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93FDE9">
      <w:pPr>
        <w:pStyle w:val="75"/>
        <w:spacing w:before="24" w:after="24"/>
      </w:pPr>
    </w:p>
    <w:p w14:paraId="45809369">
      <w:pPr>
        <w:spacing w:before="24" w:after="24"/>
        <w:rPr>
          <w:rFonts w:ascii="Times New Roman" w:hAnsi="Times New Roman" w:cs="Times New Roman"/>
        </w:rPr>
      </w:pPr>
    </w:p>
    <w:p w14:paraId="70A3ECB9">
      <w:pPr>
        <w:pStyle w:val="60"/>
        <w:spacing w:before="24" w:after="24"/>
      </w:pPr>
      <w:r>
        <w:rPr>
          <w:rFonts w:eastAsia="黑体"/>
          <w:b w:val="0"/>
          <w:color w:val="0D0D0D" w:themeColor="text1" w:themeTint="F2"/>
          <w:sz w:val="44"/>
          <w:szCs w:val="22"/>
          <w14:textFill>
            <w14:solidFill>
              <w14:schemeClr w14:val="tx1">
                <w14:lumMod w14:val="95000"/>
                <w14:lumOff w14:val="5000"/>
              </w14:schemeClr>
            </w14:solidFill>
          </w14:textFill>
        </w:rPr>
        <w:t>德钦县城地质灾害避险搬迁近期建设项目二期设计施工总承包（EPC）</w:t>
      </w:r>
    </w:p>
    <w:p w14:paraId="5BBD5D48">
      <w:pPr>
        <w:spacing w:before="24" w:after="24"/>
        <w:rPr>
          <w:rFonts w:ascii="Times New Roman" w:hAnsi="Times New Roman" w:cs="Times New Roman"/>
        </w:rPr>
      </w:pPr>
    </w:p>
    <w:p w14:paraId="0AB0788A">
      <w:pPr>
        <w:spacing w:before="24" w:after="24"/>
        <w:rPr>
          <w:rFonts w:ascii="Times New Roman" w:hAnsi="Times New Roman" w:cs="Times New Roman"/>
        </w:rPr>
      </w:pPr>
    </w:p>
    <w:p w14:paraId="2F0CF065">
      <w:pPr>
        <w:spacing w:before="24" w:after="24"/>
        <w:rPr>
          <w:rFonts w:ascii="Times New Roman" w:hAnsi="Times New Roman" w:cs="Times New Roman"/>
        </w:rPr>
      </w:pPr>
    </w:p>
    <w:p w14:paraId="1E6F1741">
      <w:pPr>
        <w:spacing w:before="24" w:after="24"/>
        <w:rPr>
          <w:rFonts w:ascii="Times New Roman" w:hAnsi="Times New Roman" w:cs="Times New Roman"/>
        </w:rPr>
      </w:pPr>
    </w:p>
    <w:p w14:paraId="26DBD3CF">
      <w:pPr>
        <w:spacing w:before="24" w:after="24"/>
        <w:rPr>
          <w:rFonts w:ascii="Times New Roman" w:hAnsi="Times New Roman" w:cs="Times New Roman"/>
        </w:rPr>
      </w:pPr>
    </w:p>
    <w:p w14:paraId="5A5972B5">
      <w:pPr>
        <w:spacing w:before="24" w:after="24"/>
        <w:rPr>
          <w:rFonts w:ascii="Times New Roman" w:hAnsi="Times New Roman" w:cs="Times New Roman"/>
        </w:rPr>
      </w:pPr>
    </w:p>
    <w:p w14:paraId="349260AC">
      <w:pPr>
        <w:pStyle w:val="58"/>
        <w:spacing w:before="24" w:after="24"/>
      </w:pPr>
      <w:r>
        <w:t>发 包 人 要 求</w:t>
      </w:r>
    </w:p>
    <w:p w14:paraId="6E9374EF">
      <w:pPr>
        <w:spacing w:before="24" w:after="24"/>
        <w:rPr>
          <w:rFonts w:ascii="Times New Roman" w:hAnsi="Times New Roman" w:cs="Times New Roman"/>
        </w:rPr>
      </w:pPr>
    </w:p>
    <w:p w14:paraId="29F9D57C">
      <w:pPr>
        <w:pStyle w:val="54"/>
        <w:spacing w:before="24" w:after="24"/>
      </w:pPr>
    </w:p>
    <w:p w14:paraId="707FB5CF">
      <w:pPr>
        <w:pStyle w:val="54"/>
        <w:spacing w:before="24" w:after="24"/>
      </w:pPr>
    </w:p>
    <w:p w14:paraId="6E6EB624">
      <w:pPr>
        <w:pStyle w:val="54"/>
        <w:spacing w:before="24" w:after="24"/>
      </w:pPr>
    </w:p>
    <w:p w14:paraId="284E6B4E">
      <w:pPr>
        <w:pStyle w:val="54"/>
        <w:spacing w:before="24" w:after="24"/>
      </w:pPr>
    </w:p>
    <w:p w14:paraId="63775C49">
      <w:pPr>
        <w:pStyle w:val="54"/>
        <w:spacing w:before="24" w:after="24"/>
      </w:pPr>
    </w:p>
    <w:p w14:paraId="751C4B43">
      <w:pPr>
        <w:pStyle w:val="54"/>
        <w:spacing w:before="24" w:after="24"/>
      </w:pPr>
    </w:p>
    <w:p w14:paraId="59803503">
      <w:pPr>
        <w:pStyle w:val="54"/>
        <w:spacing w:before="24" w:after="24"/>
      </w:pPr>
    </w:p>
    <w:p w14:paraId="267E8EAE">
      <w:pPr>
        <w:pStyle w:val="54"/>
        <w:spacing w:before="24" w:after="24"/>
      </w:pPr>
    </w:p>
    <w:p w14:paraId="603473D6">
      <w:pPr>
        <w:pStyle w:val="54"/>
        <w:spacing w:before="24" w:after="24"/>
      </w:pPr>
    </w:p>
    <w:p w14:paraId="574CD5A6">
      <w:pPr>
        <w:pStyle w:val="60"/>
        <w:spacing w:before="24" w:after="24"/>
      </w:pPr>
      <w:r>
        <w:rPr>
          <w:bCs/>
        </w:rPr>
        <w:t>发 包 人：</w:t>
      </w:r>
      <w:r>
        <w:t>德钦县城地质灾害防治和搬迁避让工作指挥部</w:t>
      </w:r>
    </w:p>
    <w:p w14:paraId="39AD1347">
      <w:pPr>
        <w:spacing w:before="24" w:after="24"/>
        <w:rPr>
          <w:rFonts w:ascii="Times New Roman" w:hAnsi="Times New Roman" w:cs="Times New Roman"/>
        </w:rPr>
      </w:pPr>
    </w:p>
    <w:p w14:paraId="3FC959B1">
      <w:pPr>
        <w:pStyle w:val="2"/>
        <w:spacing w:before="24" w:after="24"/>
        <w:rPr>
          <w:rFonts w:ascii="Times New Roman" w:hAnsi="Times New Roman" w:cs="Times New Roman"/>
        </w:rPr>
        <w:sectPr>
          <w:headerReference r:id="rId7" w:type="first"/>
          <w:headerReference r:id="rId5" w:type="default"/>
          <w:headerReference r:id="rId6" w:type="even"/>
          <w:pgSz w:w="11906" w:h="16838"/>
          <w:pgMar w:top="1304" w:right="1418" w:bottom="1304" w:left="1418" w:header="737" w:footer="624" w:gutter="0"/>
          <w:pgNumType w:start="1"/>
          <w:cols w:space="425" w:num="1"/>
          <w:docGrid w:linePitch="312" w:charSpace="0"/>
        </w:sectPr>
      </w:pPr>
    </w:p>
    <w:p w14:paraId="67432702">
      <w:pPr>
        <w:pStyle w:val="20"/>
        <w:tabs>
          <w:tab w:val="right" w:leader="dot" w:pos="9060"/>
        </w:tabs>
        <w:rPr>
          <w:rFonts w:hint="eastAsia" w:asciiTheme="minorHAnsi" w:hAnsiTheme="minorHAnsi" w:eastAsiaTheme="minorEastAsia"/>
          <w:b w:val="0"/>
          <w:sz w:val="22"/>
          <w:szCs w:val="24"/>
          <w14:ligatures w14:val="standardContextual"/>
        </w:rPr>
      </w:pPr>
      <w:r>
        <w:rPr>
          <w:rFonts w:ascii="Times New Roman" w:hAnsi="Times New Roman" w:cs="Times New Roman"/>
          <w:b w:val="0"/>
        </w:rPr>
        <w:fldChar w:fldCharType="begin"/>
      </w:r>
      <w:r>
        <w:rPr>
          <w:rFonts w:ascii="Times New Roman" w:hAnsi="Times New Roman" w:cs="Times New Roman"/>
          <w:b w:val="0"/>
        </w:rPr>
        <w:instrText xml:space="preserve"> TOC \o "1-3" \h \z \u </w:instrText>
      </w:r>
      <w:r>
        <w:rPr>
          <w:rFonts w:ascii="Times New Roman" w:hAnsi="Times New Roman" w:cs="Times New Roman"/>
          <w:b w:val="0"/>
        </w:rPr>
        <w:fldChar w:fldCharType="separate"/>
      </w:r>
      <w:r>
        <w:fldChar w:fldCharType="begin"/>
      </w:r>
      <w:r>
        <w:instrText xml:space="preserve"> HYPERLINK \l "_Toc221894052" </w:instrText>
      </w:r>
      <w:r>
        <w:fldChar w:fldCharType="separate"/>
      </w:r>
      <w:r>
        <w:rPr>
          <w:rStyle w:val="34"/>
          <w:rFonts w:hint="eastAsia" w:cs="Times New Roman"/>
        </w:rPr>
        <w:t>一、项目概况</w:t>
      </w:r>
      <w:r>
        <w:rPr>
          <w:rFonts w:hint="eastAsia"/>
        </w:rPr>
        <w:tab/>
      </w:r>
      <w:r>
        <w:rPr>
          <w:rFonts w:hint="eastAsia"/>
        </w:rPr>
        <w:fldChar w:fldCharType="begin"/>
      </w:r>
      <w:r>
        <w:rPr>
          <w:rFonts w:hint="eastAsia"/>
        </w:rPr>
        <w:instrText xml:space="preserve"> </w:instrText>
      </w:r>
      <w:r>
        <w:instrText xml:space="preserve">PAGEREF _Toc221894052 \h</w:instrText>
      </w:r>
      <w:r>
        <w:rPr>
          <w:rFonts w:hint="eastAsia"/>
        </w:rPr>
        <w:instrText xml:space="preserve"> </w:instrText>
      </w:r>
      <w:r>
        <w:rPr>
          <w:rFonts w:hint="eastAsia"/>
        </w:rPr>
        <w:fldChar w:fldCharType="separate"/>
      </w:r>
      <w:r>
        <w:rPr>
          <w:rFonts w:hint="eastAsia"/>
        </w:rPr>
        <w:t>1</w:t>
      </w:r>
      <w:r>
        <w:rPr>
          <w:rFonts w:hint="eastAsia"/>
        </w:rPr>
        <w:fldChar w:fldCharType="end"/>
      </w:r>
      <w:r>
        <w:rPr>
          <w:rFonts w:hint="eastAsia"/>
        </w:rPr>
        <w:fldChar w:fldCharType="end"/>
      </w:r>
    </w:p>
    <w:p w14:paraId="163C552A">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"_Toc221894053" </w:instrText>
      </w:r>
      <w:r>
        <w:fldChar w:fldCharType="separate"/>
      </w:r>
      <w:r>
        <w:rPr>
          <w:rStyle w:val="34"/>
          <w:rFonts w:hint="eastAsia"/>
        </w:rPr>
        <w:t>（一）工程概况</w:t>
      </w:r>
      <w:r>
        <w:rPr>
          <w:rFonts w:hint="eastAsia"/>
        </w:rPr>
        <w:tab/>
      </w:r>
      <w:r>
        <w:rPr>
          <w:rFonts w:hint="eastAsia"/>
        </w:rPr>
        <w:fldChar w:fldCharType="begin"/>
      </w:r>
      <w:r>
        <w:rPr>
          <w:rFonts w:hint="eastAsia"/>
        </w:rPr>
        <w:instrText xml:space="preserve"> </w:instrText>
      </w:r>
      <w:r>
        <w:instrText xml:space="preserve">PAGEREF _Toc221894053 \h</w:instrText>
      </w:r>
      <w:r>
        <w:rPr>
          <w:rFonts w:hint="eastAsia"/>
        </w:rPr>
        <w:instrText xml:space="preserve"> </w:instrText>
      </w:r>
      <w:r>
        <w:rPr>
          <w:rFonts w:hint="eastAsia"/>
        </w:rPr>
        <w:fldChar w:fldCharType="separate"/>
      </w:r>
      <w:r>
        <w:rPr>
          <w:rFonts w:hint="eastAsia"/>
        </w:rPr>
        <w:t>1</w:t>
      </w:r>
      <w:r>
        <w:rPr>
          <w:rFonts w:hint="eastAsia"/>
        </w:rPr>
        <w:fldChar w:fldCharType="end"/>
      </w:r>
      <w:r>
        <w:rPr>
          <w:rFonts w:hint="eastAsia"/>
        </w:rPr>
        <w:fldChar w:fldCharType="end"/>
      </w:r>
    </w:p>
    <w:p w14:paraId="239BF324">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"_Toc221894054" </w:instrText>
      </w:r>
      <w:r>
        <w:fldChar w:fldCharType="separate"/>
      </w:r>
      <w:r>
        <w:rPr>
          <w:rStyle w:val="34"/>
          <w:rFonts w:hint="eastAsia" w:cs="Times New Roman"/>
        </w:rPr>
        <w:t>1、工程名称及建设地点</w:t>
      </w:r>
      <w:r>
        <w:rPr>
          <w:rFonts w:hint="eastAsia"/>
        </w:rPr>
        <w:tab/>
      </w:r>
      <w:r>
        <w:rPr>
          <w:rFonts w:hint="eastAsia"/>
        </w:rPr>
        <w:fldChar w:fldCharType="begin"/>
      </w:r>
      <w:r>
        <w:rPr>
          <w:rFonts w:hint="eastAsia"/>
        </w:rPr>
        <w:instrText xml:space="preserve"> </w:instrText>
      </w:r>
      <w:r>
        <w:instrText xml:space="preserve">PAGEREF _Toc221894054 \h</w:instrText>
      </w:r>
      <w:r>
        <w:rPr>
          <w:rFonts w:hint="eastAsia"/>
        </w:rPr>
        <w:instrText xml:space="preserve"> </w:instrText>
      </w:r>
      <w:r>
        <w:rPr>
          <w:rFonts w:hint="eastAsia"/>
        </w:rPr>
        <w:fldChar w:fldCharType="separate"/>
      </w:r>
      <w:r>
        <w:rPr>
          <w:rFonts w:hint="eastAsia"/>
        </w:rPr>
        <w:t>1</w:t>
      </w:r>
      <w:r>
        <w:rPr>
          <w:rFonts w:hint="eastAsia"/>
        </w:rPr>
        <w:fldChar w:fldCharType="end"/>
      </w:r>
      <w:r>
        <w:rPr>
          <w:rFonts w:hint="eastAsia"/>
        </w:rPr>
        <w:fldChar w:fldCharType="end"/>
      </w:r>
    </w:p>
    <w:p w14:paraId="30CB7F79">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"_Toc221894055" </w:instrText>
      </w:r>
      <w:r>
        <w:fldChar w:fldCharType="separate"/>
      </w:r>
      <w:r>
        <w:rPr>
          <w:rStyle w:val="34"/>
          <w:rFonts w:hint="eastAsia" w:cs="Times New Roman"/>
        </w:rPr>
        <w:t>2、项目性质</w:t>
      </w:r>
      <w:r>
        <w:rPr>
          <w:rFonts w:hint="eastAsia"/>
        </w:rPr>
        <w:tab/>
      </w:r>
      <w:r>
        <w:rPr>
          <w:rFonts w:hint="eastAsia"/>
        </w:rPr>
        <w:fldChar w:fldCharType="begin"/>
      </w:r>
      <w:r>
        <w:rPr>
          <w:rFonts w:hint="eastAsia"/>
        </w:rPr>
        <w:instrText xml:space="preserve"> </w:instrText>
      </w:r>
      <w:r>
        <w:instrText xml:space="preserve">PAGEREF _Toc221894055 \h</w:instrText>
      </w:r>
      <w:r>
        <w:rPr>
          <w:rFonts w:hint="eastAsia"/>
        </w:rPr>
        <w:instrText xml:space="preserve"> </w:instrText>
      </w:r>
      <w:r>
        <w:rPr>
          <w:rFonts w:hint="eastAsia"/>
        </w:rPr>
        <w:fldChar w:fldCharType="separate"/>
      </w:r>
      <w:r>
        <w:rPr>
          <w:rFonts w:hint="eastAsia"/>
        </w:rPr>
        <w:t>1</w:t>
      </w:r>
      <w:r>
        <w:rPr>
          <w:rFonts w:hint="eastAsia"/>
        </w:rPr>
        <w:fldChar w:fldCharType="end"/>
      </w:r>
      <w:r>
        <w:rPr>
          <w:rFonts w:hint="eastAsia"/>
        </w:rPr>
        <w:fldChar w:fldCharType="end"/>
      </w:r>
    </w:p>
    <w:p w14:paraId="09E6252B">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"_Toc221894056" </w:instrText>
      </w:r>
      <w:r>
        <w:fldChar w:fldCharType="separate"/>
      </w:r>
      <w:r>
        <w:rPr>
          <w:rStyle w:val="34"/>
          <w:rFonts w:hint="eastAsia" w:cs="Times New Roman"/>
        </w:rPr>
        <w:t>3、建设内容及规模</w:t>
      </w:r>
      <w:r>
        <w:rPr>
          <w:rFonts w:hint="eastAsia"/>
        </w:rPr>
        <w:tab/>
      </w:r>
      <w:r>
        <w:rPr>
          <w:rFonts w:hint="eastAsia"/>
        </w:rPr>
        <w:fldChar w:fldCharType="begin"/>
      </w:r>
      <w:r>
        <w:rPr>
          <w:rFonts w:hint="eastAsia"/>
        </w:rPr>
        <w:instrText xml:space="preserve"> </w:instrText>
      </w:r>
      <w:r>
        <w:instrText xml:space="preserve">PAGEREF _Toc221894056 \h</w:instrText>
      </w:r>
      <w:r>
        <w:rPr>
          <w:rFonts w:hint="eastAsia"/>
        </w:rPr>
        <w:instrText xml:space="preserve"> </w:instrText>
      </w:r>
      <w:r>
        <w:rPr>
          <w:rFonts w:hint="eastAsia"/>
        </w:rPr>
        <w:fldChar w:fldCharType="separate"/>
      </w:r>
      <w:r>
        <w:rPr>
          <w:rFonts w:hint="eastAsia"/>
        </w:rPr>
        <w:t>1</w:t>
      </w:r>
      <w:r>
        <w:rPr>
          <w:rFonts w:hint="eastAsia"/>
        </w:rPr>
        <w:fldChar w:fldCharType="end"/>
      </w:r>
      <w:r>
        <w:rPr>
          <w:rFonts w:hint="eastAsia"/>
        </w:rPr>
        <w:fldChar w:fldCharType="end"/>
      </w:r>
    </w:p>
    <w:p w14:paraId="5D2C9EC9">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"_Toc221894057" </w:instrText>
      </w:r>
      <w:r>
        <w:fldChar w:fldCharType="separate"/>
      </w:r>
      <w:r>
        <w:rPr>
          <w:rStyle w:val="34"/>
          <w:rFonts w:hint="eastAsia" w:cs="Times New Roman"/>
        </w:rPr>
        <w:t>4、工程用地位置</w:t>
      </w:r>
      <w:r>
        <w:rPr>
          <w:rFonts w:hint="eastAsia"/>
        </w:rPr>
        <w:tab/>
      </w:r>
      <w:r>
        <w:rPr>
          <w:rFonts w:hint="eastAsia"/>
        </w:rPr>
        <w:fldChar w:fldCharType="begin"/>
      </w:r>
      <w:r>
        <w:rPr>
          <w:rFonts w:hint="eastAsia"/>
        </w:rPr>
        <w:instrText xml:space="preserve"> </w:instrText>
      </w:r>
      <w:r>
        <w:instrText xml:space="preserve">PAGEREF _Toc221894057 \h</w:instrText>
      </w:r>
      <w:r>
        <w:rPr>
          <w:rFonts w:hint="eastAsia"/>
        </w:rPr>
        <w:instrText xml:space="preserve"> </w:instrText>
      </w:r>
      <w:r>
        <w:rPr>
          <w:rFonts w:hint="eastAsia"/>
        </w:rPr>
        <w:fldChar w:fldCharType="separate"/>
      </w:r>
      <w:r>
        <w:rPr>
          <w:rFonts w:hint="eastAsia"/>
        </w:rPr>
        <w:t>4</w:t>
      </w:r>
      <w:r>
        <w:rPr>
          <w:rFonts w:hint="eastAsia"/>
        </w:rPr>
        <w:fldChar w:fldCharType="end"/>
      </w:r>
      <w:r>
        <w:rPr>
          <w:rFonts w:hint="eastAsia"/>
        </w:rPr>
        <w:fldChar w:fldCharType="end"/>
      </w:r>
    </w:p>
    <w:p w14:paraId="13D47FC1">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"_Toc221894058" </w:instrText>
      </w:r>
      <w:r>
        <w:fldChar w:fldCharType="separate"/>
      </w:r>
      <w:r>
        <w:rPr>
          <w:rStyle w:val="34"/>
          <w:rFonts w:hint="eastAsia"/>
        </w:rPr>
        <w:t>（二）工程规模</w:t>
      </w:r>
      <w:r>
        <w:rPr>
          <w:rFonts w:hint="eastAsia"/>
        </w:rPr>
        <w:tab/>
      </w:r>
      <w:r>
        <w:rPr>
          <w:rFonts w:hint="eastAsia"/>
        </w:rPr>
        <w:fldChar w:fldCharType="begin"/>
      </w:r>
      <w:r>
        <w:rPr>
          <w:rFonts w:hint="eastAsia"/>
        </w:rPr>
        <w:instrText xml:space="preserve"> </w:instrText>
      </w:r>
      <w:r>
        <w:instrText xml:space="preserve">PAGEREF _Toc221894058 \h</w:instrText>
      </w:r>
      <w:r>
        <w:rPr>
          <w:rFonts w:hint="eastAsia"/>
        </w:rPr>
        <w:instrText xml:space="preserve"> </w:instrText>
      </w:r>
      <w:r>
        <w:rPr>
          <w:rFonts w:hint="eastAsia"/>
        </w:rPr>
        <w:fldChar w:fldCharType="separate"/>
      </w:r>
      <w:r>
        <w:rPr>
          <w:rFonts w:hint="eastAsia"/>
        </w:rPr>
        <w:t>5</w:t>
      </w:r>
      <w:r>
        <w:rPr>
          <w:rFonts w:hint="eastAsia"/>
        </w:rPr>
        <w:fldChar w:fldCharType="end"/>
      </w:r>
      <w:r>
        <w:rPr>
          <w:rFonts w:hint="eastAsia"/>
        </w:rPr>
        <w:fldChar w:fldCharType="end"/>
      </w:r>
    </w:p>
    <w:p w14:paraId="5A35D6D2">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"_Toc221894059" </w:instrText>
      </w:r>
      <w:r>
        <w:fldChar w:fldCharType="separate"/>
      </w:r>
      <w:r>
        <w:rPr>
          <w:rStyle w:val="34"/>
          <w:rFonts w:hint="eastAsia"/>
        </w:rPr>
        <w:t>（三）项目设计技术指标</w:t>
      </w:r>
      <w:r>
        <w:rPr>
          <w:rFonts w:hint="eastAsia"/>
        </w:rPr>
        <w:tab/>
      </w:r>
      <w:r>
        <w:rPr>
          <w:rFonts w:hint="eastAsia"/>
        </w:rPr>
        <w:fldChar w:fldCharType="begin"/>
      </w:r>
      <w:r>
        <w:rPr>
          <w:rFonts w:hint="eastAsia"/>
        </w:rPr>
        <w:instrText xml:space="preserve"> </w:instrText>
      </w:r>
      <w:r>
        <w:instrText xml:space="preserve">PAGEREF _Toc221894059 \h</w:instrText>
      </w:r>
      <w:r>
        <w:rPr>
          <w:rFonts w:hint="eastAsia"/>
        </w:rPr>
        <w:instrText xml:space="preserve"> </w:instrText>
      </w:r>
      <w:r>
        <w:rPr>
          <w:rFonts w:hint="eastAsia"/>
        </w:rPr>
        <w:fldChar w:fldCharType="separate"/>
      </w:r>
      <w:r>
        <w:rPr>
          <w:rFonts w:hint="eastAsia"/>
        </w:rPr>
        <w:t>5</w:t>
      </w:r>
      <w:r>
        <w:rPr>
          <w:rFonts w:hint="eastAsia"/>
        </w:rPr>
        <w:fldChar w:fldCharType="end"/>
      </w:r>
      <w:r>
        <w:rPr>
          <w:rFonts w:hint="eastAsia"/>
        </w:rPr>
        <w:fldChar w:fldCharType="end"/>
      </w:r>
    </w:p>
    <w:p w14:paraId="5E7F099C">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"_Toc221894060" </w:instrText>
      </w:r>
      <w:r>
        <w:fldChar w:fldCharType="separate"/>
      </w:r>
      <w:r>
        <w:rPr>
          <w:rStyle w:val="34"/>
          <w:rFonts w:hint="eastAsia" w:cs="Times New Roman"/>
        </w:rPr>
        <w:t>1、规划设计指标</w:t>
      </w:r>
      <w:r>
        <w:rPr>
          <w:rFonts w:hint="eastAsia"/>
        </w:rPr>
        <w:tab/>
      </w:r>
      <w:r>
        <w:rPr>
          <w:rFonts w:hint="eastAsia"/>
        </w:rPr>
        <w:fldChar w:fldCharType="begin"/>
      </w:r>
      <w:r>
        <w:rPr>
          <w:rFonts w:hint="eastAsia"/>
        </w:rPr>
        <w:instrText xml:space="preserve"> </w:instrText>
      </w:r>
      <w:r>
        <w:instrText xml:space="preserve">PAGEREF _Toc221894060 \h</w:instrText>
      </w:r>
      <w:r>
        <w:rPr>
          <w:rFonts w:hint="eastAsia"/>
        </w:rPr>
        <w:instrText xml:space="preserve"> </w:instrText>
      </w:r>
      <w:r>
        <w:rPr>
          <w:rFonts w:hint="eastAsia"/>
        </w:rPr>
        <w:fldChar w:fldCharType="separate"/>
      </w:r>
      <w:r>
        <w:rPr>
          <w:rFonts w:hint="eastAsia"/>
        </w:rPr>
        <w:t>5</w:t>
      </w:r>
      <w:r>
        <w:rPr>
          <w:rFonts w:hint="eastAsia"/>
        </w:rPr>
        <w:fldChar w:fldCharType="end"/>
      </w:r>
      <w:r>
        <w:rPr>
          <w:rFonts w:hint="eastAsia"/>
        </w:rPr>
        <w:fldChar w:fldCharType="end"/>
      </w:r>
    </w:p>
    <w:p w14:paraId="4AA07EE9">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"_Toc221894061" </w:instrText>
      </w:r>
      <w:r>
        <w:fldChar w:fldCharType="separate"/>
      </w:r>
      <w:r>
        <w:rPr>
          <w:rStyle w:val="34"/>
          <w:rFonts w:hint="eastAsia" w:cs="Times New Roman"/>
        </w:rPr>
        <w:t>2、建筑设计指标</w:t>
      </w:r>
      <w:r>
        <w:rPr>
          <w:rFonts w:hint="eastAsia"/>
        </w:rPr>
        <w:tab/>
      </w:r>
      <w:r>
        <w:rPr>
          <w:rFonts w:hint="eastAsia"/>
        </w:rPr>
        <w:fldChar w:fldCharType="begin"/>
      </w:r>
      <w:r>
        <w:rPr>
          <w:rFonts w:hint="eastAsia"/>
        </w:rPr>
        <w:instrText xml:space="preserve"> </w:instrText>
      </w:r>
      <w:r>
        <w:instrText xml:space="preserve">PAGEREF _Toc221894061 \h</w:instrText>
      </w:r>
      <w:r>
        <w:rPr>
          <w:rFonts w:hint="eastAsia"/>
        </w:rPr>
        <w:instrText xml:space="preserve"> </w:instrText>
      </w:r>
      <w:r>
        <w:rPr>
          <w:rFonts w:hint="eastAsia"/>
        </w:rPr>
        <w:fldChar w:fldCharType="separate"/>
      </w:r>
      <w:r>
        <w:rPr>
          <w:rFonts w:hint="eastAsia"/>
        </w:rPr>
        <w:t>8</w:t>
      </w:r>
      <w:r>
        <w:rPr>
          <w:rFonts w:hint="eastAsia"/>
        </w:rPr>
        <w:fldChar w:fldCharType="end"/>
      </w:r>
      <w:r>
        <w:rPr>
          <w:rFonts w:hint="eastAsia"/>
        </w:rPr>
        <w:fldChar w:fldCharType="end"/>
      </w:r>
    </w:p>
    <w:p w14:paraId="0A31974D">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"_Toc221894062" </w:instrText>
      </w:r>
      <w:r>
        <w:fldChar w:fldCharType="separate"/>
      </w:r>
      <w:r>
        <w:rPr>
          <w:rStyle w:val="34"/>
          <w:rFonts w:hint="eastAsia" w:cs="Times New Roman"/>
        </w:rPr>
        <w:t>3、结构设计指标</w:t>
      </w:r>
      <w:r>
        <w:rPr>
          <w:rFonts w:hint="eastAsia"/>
        </w:rPr>
        <w:tab/>
      </w:r>
      <w:r>
        <w:rPr>
          <w:rFonts w:hint="eastAsia"/>
        </w:rPr>
        <w:fldChar w:fldCharType="begin"/>
      </w:r>
      <w:r>
        <w:rPr>
          <w:rFonts w:hint="eastAsia"/>
        </w:rPr>
        <w:instrText xml:space="preserve"> </w:instrText>
      </w:r>
      <w:r>
        <w:instrText xml:space="preserve">PAGEREF _Toc221894062 \h</w:instrText>
      </w:r>
      <w:r>
        <w:rPr>
          <w:rFonts w:hint="eastAsia"/>
        </w:rPr>
        <w:instrText xml:space="preserve"> </w:instrText>
      </w:r>
      <w:r>
        <w:rPr>
          <w:rFonts w:hint="eastAsia"/>
        </w:rPr>
        <w:fldChar w:fldCharType="separate"/>
      </w:r>
      <w:r>
        <w:rPr>
          <w:rFonts w:hint="eastAsia"/>
        </w:rPr>
        <w:t>9</w:t>
      </w:r>
      <w:r>
        <w:rPr>
          <w:rFonts w:hint="eastAsia"/>
        </w:rPr>
        <w:fldChar w:fldCharType="end"/>
      </w:r>
      <w:r>
        <w:rPr>
          <w:rFonts w:hint="eastAsia"/>
        </w:rPr>
        <w:fldChar w:fldCharType="end"/>
      </w:r>
    </w:p>
    <w:p w14:paraId="2B86129B">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"_Toc221894063" </w:instrText>
      </w:r>
      <w:r>
        <w:fldChar w:fldCharType="separate"/>
      </w:r>
      <w:r>
        <w:rPr>
          <w:rStyle w:val="34"/>
          <w:rFonts w:hint="eastAsia" w:cs="Times New Roman"/>
        </w:rPr>
        <w:t>4、给水排水指标</w:t>
      </w:r>
      <w:r>
        <w:rPr>
          <w:rFonts w:hint="eastAsia"/>
        </w:rPr>
        <w:tab/>
      </w:r>
      <w:r>
        <w:rPr>
          <w:rFonts w:hint="eastAsia"/>
        </w:rPr>
        <w:fldChar w:fldCharType="begin"/>
      </w:r>
      <w:r>
        <w:rPr>
          <w:rFonts w:hint="eastAsia"/>
        </w:rPr>
        <w:instrText xml:space="preserve"> </w:instrText>
      </w:r>
      <w:r>
        <w:instrText xml:space="preserve">PAGEREF _Toc221894063 \h</w:instrText>
      </w:r>
      <w:r>
        <w:rPr>
          <w:rFonts w:hint="eastAsia"/>
        </w:rPr>
        <w:instrText xml:space="preserve"> </w:instrText>
      </w:r>
      <w:r>
        <w:rPr>
          <w:rFonts w:hint="eastAsia"/>
        </w:rPr>
        <w:fldChar w:fldCharType="separate"/>
      </w:r>
      <w:r>
        <w:rPr>
          <w:rFonts w:hint="eastAsia"/>
        </w:rPr>
        <w:t>14</w:t>
      </w:r>
      <w:r>
        <w:rPr>
          <w:rFonts w:hint="eastAsia"/>
        </w:rPr>
        <w:fldChar w:fldCharType="end"/>
      </w:r>
      <w:r>
        <w:rPr>
          <w:rFonts w:hint="eastAsia"/>
        </w:rPr>
        <w:fldChar w:fldCharType="end"/>
      </w:r>
    </w:p>
    <w:p w14:paraId="51848F89">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"_Toc221894064" </w:instrText>
      </w:r>
      <w:r>
        <w:fldChar w:fldCharType="separate"/>
      </w:r>
      <w:r>
        <w:rPr>
          <w:rStyle w:val="34"/>
          <w:rFonts w:hint="eastAsia" w:cs="Times New Roman"/>
        </w:rPr>
        <w:t>5、暖通设计指标</w:t>
      </w:r>
      <w:r>
        <w:rPr>
          <w:rFonts w:hint="eastAsia"/>
        </w:rPr>
        <w:tab/>
      </w:r>
      <w:r>
        <w:rPr>
          <w:rFonts w:hint="eastAsia"/>
        </w:rPr>
        <w:fldChar w:fldCharType="begin"/>
      </w:r>
      <w:r>
        <w:rPr>
          <w:rFonts w:hint="eastAsia"/>
        </w:rPr>
        <w:instrText xml:space="preserve"> </w:instrText>
      </w:r>
      <w:r>
        <w:instrText xml:space="preserve">PAGEREF _Toc221894064 \h</w:instrText>
      </w:r>
      <w:r>
        <w:rPr>
          <w:rFonts w:hint="eastAsia"/>
        </w:rPr>
        <w:instrText xml:space="preserve"> </w:instrText>
      </w:r>
      <w:r>
        <w:rPr>
          <w:rFonts w:hint="eastAsia"/>
        </w:rPr>
        <w:fldChar w:fldCharType="separate"/>
      </w:r>
      <w:r>
        <w:rPr>
          <w:rFonts w:hint="eastAsia"/>
        </w:rPr>
        <w:t>20</w:t>
      </w:r>
      <w:r>
        <w:rPr>
          <w:rFonts w:hint="eastAsia"/>
        </w:rPr>
        <w:fldChar w:fldCharType="end"/>
      </w:r>
      <w:r>
        <w:rPr>
          <w:rFonts w:hint="eastAsia"/>
        </w:rPr>
        <w:fldChar w:fldCharType="end"/>
      </w:r>
    </w:p>
    <w:p w14:paraId="658362B1">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"_Toc221894065" </w:instrText>
      </w:r>
      <w:r>
        <w:fldChar w:fldCharType="separate"/>
      </w:r>
      <w:r>
        <w:rPr>
          <w:rStyle w:val="34"/>
          <w:rFonts w:hint="eastAsia" w:cs="Times New Roman"/>
        </w:rPr>
        <w:t>6、电气设计指标</w:t>
      </w:r>
      <w:r>
        <w:rPr>
          <w:rFonts w:hint="eastAsia"/>
        </w:rPr>
        <w:tab/>
      </w:r>
      <w:r>
        <w:rPr>
          <w:rFonts w:hint="eastAsia"/>
        </w:rPr>
        <w:fldChar w:fldCharType="begin"/>
      </w:r>
      <w:r>
        <w:rPr>
          <w:rFonts w:hint="eastAsia"/>
        </w:rPr>
        <w:instrText xml:space="preserve"> </w:instrText>
      </w:r>
      <w:r>
        <w:instrText xml:space="preserve">PAGEREF _Toc221894065 \h</w:instrText>
      </w:r>
      <w:r>
        <w:rPr>
          <w:rFonts w:hint="eastAsia"/>
        </w:rPr>
        <w:instrText xml:space="preserve"> </w:instrText>
      </w:r>
      <w:r>
        <w:rPr>
          <w:rFonts w:hint="eastAsia"/>
        </w:rPr>
        <w:fldChar w:fldCharType="separate"/>
      </w:r>
      <w:r>
        <w:rPr>
          <w:rFonts w:hint="eastAsia"/>
        </w:rPr>
        <w:t>23</w:t>
      </w:r>
      <w:r>
        <w:rPr>
          <w:rFonts w:hint="eastAsia"/>
        </w:rPr>
        <w:fldChar w:fldCharType="end"/>
      </w:r>
      <w:r>
        <w:rPr>
          <w:rFonts w:hint="eastAsia"/>
        </w:rPr>
        <w:fldChar w:fldCharType="end"/>
      </w:r>
    </w:p>
    <w:p w14:paraId="7C6E1E07">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"_Toc221894066" </w:instrText>
      </w:r>
      <w:r>
        <w:fldChar w:fldCharType="separate"/>
      </w:r>
      <w:r>
        <w:rPr>
          <w:rStyle w:val="34"/>
          <w:rFonts w:hint="eastAsia" w:cs="Times New Roman"/>
        </w:rPr>
        <w:t>7、精装修指标</w:t>
      </w:r>
      <w:r>
        <w:rPr>
          <w:rFonts w:hint="eastAsia"/>
        </w:rPr>
        <w:tab/>
      </w:r>
      <w:r>
        <w:rPr>
          <w:rFonts w:hint="eastAsia"/>
        </w:rPr>
        <w:fldChar w:fldCharType="begin"/>
      </w:r>
      <w:r>
        <w:rPr>
          <w:rFonts w:hint="eastAsia"/>
        </w:rPr>
        <w:instrText xml:space="preserve"> </w:instrText>
      </w:r>
      <w:r>
        <w:instrText xml:space="preserve">PAGEREF _Toc221894066 \h</w:instrText>
      </w:r>
      <w:r>
        <w:rPr>
          <w:rFonts w:hint="eastAsia"/>
        </w:rPr>
        <w:instrText xml:space="preserve"> </w:instrText>
      </w:r>
      <w:r>
        <w:rPr>
          <w:rFonts w:hint="eastAsia"/>
        </w:rPr>
        <w:fldChar w:fldCharType="separate"/>
      </w:r>
      <w:r>
        <w:rPr>
          <w:rFonts w:hint="eastAsia"/>
        </w:rPr>
        <w:t>31</w:t>
      </w:r>
      <w:r>
        <w:rPr>
          <w:rFonts w:hint="eastAsia"/>
        </w:rPr>
        <w:fldChar w:fldCharType="end"/>
      </w:r>
      <w:r>
        <w:rPr>
          <w:rFonts w:hint="eastAsia"/>
        </w:rPr>
        <w:fldChar w:fldCharType="end"/>
      </w:r>
    </w:p>
    <w:p w14:paraId="2782EACE">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"_Toc221894067" </w:instrText>
      </w:r>
      <w:r>
        <w:fldChar w:fldCharType="separate"/>
      </w:r>
      <w:r>
        <w:rPr>
          <w:rStyle w:val="34"/>
          <w:rFonts w:hint="eastAsia" w:cs="Times New Roman"/>
        </w:rPr>
        <w:t>8、建筑风貌及外立面要求</w:t>
      </w:r>
      <w:r>
        <w:rPr>
          <w:rFonts w:hint="eastAsia"/>
        </w:rPr>
        <w:tab/>
      </w:r>
      <w:r>
        <w:rPr>
          <w:rFonts w:hint="eastAsia"/>
        </w:rPr>
        <w:fldChar w:fldCharType="begin"/>
      </w:r>
      <w:r>
        <w:rPr>
          <w:rFonts w:hint="eastAsia"/>
        </w:rPr>
        <w:instrText xml:space="preserve"> </w:instrText>
      </w:r>
      <w:r>
        <w:instrText xml:space="preserve">PAGEREF _Toc221894067 \h</w:instrText>
      </w:r>
      <w:r>
        <w:rPr>
          <w:rFonts w:hint="eastAsia"/>
        </w:rPr>
        <w:instrText xml:space="preserve"> </w:instrText>
      </w:r>
      <w:r>
        <w:rPr>
          <w:rFonts w:hint="eastAsia"/>
        </w:rPr>
        <w:fldChar w:fldCharType="separate"/>
      </w:r>
      <w:r>
        <w:rPr>
          <w:rFonts w:hint="eastAsia"/>
        </w:rPr>
        <w:t>31</w:t>
      </w:r>
      <w:r>
        <w:rPr>
          <w:rFonts w:hint="eastAsia"/>
        </w:rPr>
        <w:fldChar w:fldCharType="end"/>
      </w:r>
      <w:r>
        <w:rPr>
          <w:rFonts w:hint="eastAsia"/>
        </w:rPr>
        <w:fldChar w:fldCharType="end"/>
      </w:r>
    </w:p>
    <w:p w14:paraId="6476A8D7">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"_Toc221894068" </w:instrText>
      </w:r>
      <w:r>
        <w:fldChar w:fldCharType="separate"/>
      </w:r>
      <w:r>
        <w:rPr>
          <w:rStyle w:val="34"/>
          <w:rFonts w:hint="eastAsia" w:cs="Times New Roman"/>
        </w:rPr>
        <w:t>9、景观绿化指标</w:t>
      </w:r>
      <w:r>
        <w:rPr>
          <w:rFonts w:hint="eastAsia"/>
        </w:rPr>
        <w:tab/>
      </w:r>
      <w:r>
        <w:rPr>
          <w:rFonts w:hint="eastAsia"/>
        </w:rPr>
        <w:fldChar w:fldCharType="begin"/>
      </w:r>
      <w:r>
        <w:rPr>
          <w:rFonts w:hint="eastAsia"/>
        </w:rPr>
        <w:instrText xml:space="preserve"> </w:instrText>
      </w:r>
      <w:r>
        <w:instrText xml:space="preserve">PAGEREF _Toc221894068 \h</w:instrText>
      </w:r>
      <w:r>
        <w:rPr>
          <w:rFonts w:hint="eastAsia"/>
        </w:rPr>
        <w:instrText xml:space="preserve"> </w:instrText>
      </w:r>
      <w:r>
        <w:rPr>
          <w:rFonts w:hint="eastAsia"/>
        </w:rPr>
        <w:fldChar w:fldCharType="separate"/>
      </w:r>
      <w:r>
        <w:rPr>
          <w:rFonts w:hint="eastAsia"/>
        </w:rPr>
        <w:t>33</w:t>
      </w:r>
      <w:r>
        <w:rPr>
          <w:rFonts w:hint="eastAsia"/>
        </w:rPr>
        <w:fldChar w:fldCharType="end"/>
      </w:r>
      <w:r>
        <w:rPr>
          <w:rFonts w:hint="eastAsia"/>
        </w:rPr>
        <w:fldChar w:fldCharType="end"/>
      </w:r>
    </w:p>
    <w:p w14:paraId="37382F4D">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"_Toc221894069" </w:instrText>
      </w:r>
      <w:r>
        <w:fldChar w:fldCharType="separate"/>
      </w:r>
      <w:r>
        <w:rPr>
          <w:rStyle w:val="34"/>
          <w:rFonts w:hint="eastAsia" w:cs="Times New Roman"/>
        </w:rPr>
        <w:t>10、市政道路指标</w:t>
      </w:r>
      <w:r>
        <w:rPr>
          <w:rFonts w:hint="eastAsia"/>
        </w:rPr>
        <w:tab/>
      </w:r>
      <w:r>
        <w:rPr>
          <w:rFonts w:hint="eastAsia"/>
        </w:rPr>
        <w:fldChar w:fldCharType="begin"/>
      </w:r>
      <w:r>
        <w:rPr>
          <w:rFonts w:hint="eastAsia"/>
        </w:rPr>
        <w:instrText xml:space="preserve"> </w:instrText>
      </w:r>
      <w:r>
        <w:instrText xml:space="preserve">PAGEREF _Toc221894069 \h</w:instrText>
      </w:r>
      <w:r>
        <w:rPr>
          <w:rFonts w:hint="eastAsia"/>
        </w:rPr>
        <w:instrText xml:space="preserve"> </w:instrText>
      </w:r>
      <w:r>
        <w:rPr>
          <w:rFonts w:hint="eastAsia"/>
        </w:rPr>
        <w:fldChar w:fldCharType="separate"/>
      </w:r>
      <w:r>
        <w:rPr>
          <w:rFonts w:hint="eastAsia"/>
        </w:rPr>
        <w:t>34</w:t>
      </w:r>
      <w:r>
        <w:rPr>
          <w:rFonts w:hint="eastAsia"/>
        </w:rPr>
        <w:fldChar w:fldCharType="end"/>
      </w:r>
      <w:r>
        <w:rPr>
          <w:rFonts w:hint="eastAsia"/>
        </w:rPr>
        <w:fldChar w:fldCharType="end"/>
      </w:r>
    </w:p>
    <w:p w14:paraId="017B65BB">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"_Toc221894070" </w:instrText>
      </w:r>
      <w:r>
        <w:fldChar w:fldCharType="separate"/>
      </w:r>
      <w:r>
        <w:rPr>
          <w:rStyle w:val="34"/>
          <w:rFonts w:hint="eastAsia"/>
        </w:rPr>
        <w:t>（四）产能保证指标</w:t>
      </w:r>
      <w:r>
        <w:rPr>
          <w:rFonts w:hint="eastAsia"/>
        </w:rPr>
        <w:tab/>
      </w:r>
      <w:r>
        <w:rPr>
          <w:rFonts w:hint="eastAsia"/>
        </w:rPr>
        <w:fldChar w:fldCharType="begin"/>
      </w:r>
      <w:r>
        <w:rPr>
          <w:rFonts w:hint="eastAsia"/>
        </w:rPr>
        <w:instrText xml:space="preserve"> </w:instrText>
      </w:r>
      <w:r>
        <w:instrText xml:space="preserve">PAGEREF _Toc221894070 \h</w:instrText>
      </w:r>
      <w:r>
        <w:rPr>
          <w:rFonts w:hint="eastAsia"/>
        </w:rPr>
        <w:instrText xml:space="preserve"> </w:instrText>
      </w:r>
      <w:r>
        <w:rPr>
          <w:rFonts w:hint="eastAsia"/>
        </w:rPr>
        <w:fldChar w:fldCharType="separate"/>
      </w:r>
      <w:r>
        <w:rPr>
          <w:rFonts w:hint="eastAsia"/>
        </w:rPr>
        <w:t>44</w:t>
      </w:r>
      <w:r>
        <w:rPr>
          <w:rFonts w:hint="eastAsia"/>
        </w:rPr>
        <w:fldChar w:fldCharType="end"/>
      </w:r>
      <w:r>
        <w:rPr>
          <w:rFonts w:hint="eastAsia"/>
        </w:rPr>
        <w:fldChar w:fldCharType="end"/>
      </w:r>
    </w:p>
    <w:p w14:paraId="75FA78B8">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"_Toc221894071" </w:instrText>
      </w:r>
      <w:r>
        <w:fldChar w:fldCharType="separate"/>
      </w:r>
      <w:r>
        <w:rPr>
          <w:rStyle w:val="34"/>
          <w:rFonts w:hint="eastAsia" w:cs="Times New Roman"/>
        </w:rPr>
        <w:t>1、垃圾焚烧处理厂</w:t>
      </w:r>
      <w:r>
        <w:rPr>
          <w:rFonts w:hint="eastAsia"/>
        </w:rPr>
        <w:tab/>
      </w:r>
      <w:r>
        <w:rPr>
          <w:rFonts w:hint="eastAsia"/>
        </w:rPr>
        <w:fldChar w:fldCharType="begin"/>
      </w:r>
      <w:r>
        <w:rPr>
          <w:rFonts w:hint="eastAsia"/>
        </w:rPr>
        <w:instrText xml:space="preserve"> </w:instrText>
      </w:r>
      <w:r>
        <w:instrText xml:space="preserve">PAGEREF _Toc221894071 \h</w:instrText>
      </w:r>
      <w:r>
        <w:rPr>
          <w:rFonts w:hint="eastAsia"/>
        </w:rPr>
        <w:instrText xml:space="preserve"> </w:instrText>
      </w:r>
      <w:r>
        <w:rPr>
          <w:rFonts w:hint="eastAsia"/>
        </w:rPr>
        <w:fldChar w:fldCharType="separate"/>
      </w:r>
      <w:r>
        <w:rPr>
          <w:rFonts w:hint="eastAsia"/>
        </w:rPr>
        <w:t>44</w:t>
      </w:r>
      <w:r>
        <w:rPr>
          <w:rFonts w:hint="eastAsia"/>
        </w:rPr>
        <w:fldChar w:fldCharType="end"/>
      </w:r>
      <w:r>
        <w:rPr>
          <w:rFonts w:hint="eastAsia"/>
        </w:rPr>
        <w:fldChar w:fldCharType="end"/>
      </w:r>
    </w:p>
    <w:p w14:paraId="24F6171E">
      <w:pPr>
        <w:pStyle w:val="20"/>
        <w:tabs>
          <w:tab w:val="right" w:leader="dot" w:pos="9060"/>
        </w:tabs>
        <w:rPr>
          <w:rFonts w:hint="eastAsia" w:asciiTheme="minorHAnsi" w:hAnsiTheme="minorHAnsi" w:eastAsiaTheme="minorEastAsia"/>
          <w:b w:val="0"/>
          <w:sz w:val="22"/>
          <w:szCs w:val="24"/>
          <w14:ligatures w14:val="standardContextual"/>
        </w:rPr>
      </w:pPr>
      <w:r>
        <w:fldChar w:fldCharType="begin"/>
      </w:r>
      <w:r>
        <w:instrText xml:space="preserve"> HYPERLINK \l "_Toc221894072" </w:instrText>
      </w:r>
      <w:r>
        <w:fldChar w:fldCharType="separate"/>
      </w:r>
      <w:r>
        <w:rPr>
          <w:rStyle w:val="34"/>
          <w:rFonts w:hint="eastAsia" w:cs="Times New Roman"/>
        </w:rPr>
        <w:t>二、工程范围及工作内容</w:t>
      </w:r>
      <w:r>
        <w:rPr>
          <w:rFonts w:hint="eastAsia"/>
        </w:rPr>
        <w:tab/>
      </w:r>
      <w:r>
        <w:rPr>
          <w:rFonts w:hint="eastAsia"/>
        </w:rPr>
        <w:fldChar w:fldCharType="begin"/>
      </w:r>
      <w:r>
        <w:rPr>
          <w:rFonts w:hint="eastAsia"/>
        </w:rPr>
        <w:instrText xml:space="preserve"> </w:instrText>
      </w:r>
      <w:r>
        <w:instrText xml:space="preserve">PAGEREF _Toc221894072 \h</w:instrText>
      </w:r>
      <w:r>
        <w:rPr>
          <w:rFonts w:hint="eastAsia"/>
        </w:rPr>
        <w:instrText xml:space="preserve"> </w:instrText>
      </w:r>
      <w:r>
        <w:rPr>
          <w:rFonts w:hint="eastAsia"/>
        </w:rPr>
        <w:fldChar w:fldCharType="separate"/>
      </w:r>
      <w:r>
        <w:rPr>
          <w:rFonts w:hint="eastAsia"/>
        </w:rPr>
        <w:t>46</w:t>
      </w:r>
      <w:r>
        <w:rPr>
          <w:rFonts w:hint="eastAsia"/>
        </w:rPr>
        <w:fldChar w:fldCharType="end"/>
      </w:r>
      <w:r>
        <w:rPr>
          <w:rFonts w:hint="eastAsia"/>
        </w:rPr>
        <w:fldChar w:fldCharType="end"/>
      </w:r>
    </w:p>
    <w:p w14:paraId="0FE1AB0D">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"_Toc221894073" </w:instrText>
      </w:r>
      <w:r>
        <w:fldChar w:fldCharType="separate"/>
      </w:r>
      <w:r>
        <w:rPr>
          <w:rStyle w:val="34"/>
          <w:rFonts w:hint="eastAsia"/>
        </w:rPr>
        <w:t>（一）工程周边条件</w:t>
      </w:r>
      <w:r>
        <w:rPr>
          <w:rFonts w:hint="eastAsia"/>
        </w:rPr>
        <w:tab/>
      </w:r>
      <w:r>
        <w:rPr>
          <w:rFonts w:hint="eastAsia"/>
        </w:rPr>
        <w:fldChar w:fldCharType="begin"/>
      </w:r>
      <w:r>
        <w:rPr>
          <w:rFonts w:hint="eastAsia"/>
        </w:rPr>
        <w:instrText xml:space="preserve"> </w:instrText>
      </w:r>
      <w:r>
        <w:instrText xml:space="preserve">PAGEREF _Toc221894073 \h</w:instrText>
      </w:r>
      <w:r>
        <w:rPr>
          <w:rFonts w:hint="eastAsia"/>
        </w:rPr>
        <w:instrText xml:space="preserve"> </w:instrText>
      </w:r>
      <w:r>
        <w:rPr>
          <w:rFonts w:hint="eastAsia"/>
        </w:rPr>
        <w:fldChar w:fldCharType="separate"/>
      </w:r>
      <w:r>
        <w:rPr>
          <w:rFonts w:hint="eastAsia"/>
        </w:rPr>
        <w:t>46</w:t>
      </w:r>
      <w:r>
        <w:rPr>
          <w:rFonts w:hint="eastAsia"/>
        </w:rPr>
        <w:fldChar w:fldCharType="end"/>
      </w:r>
      <w:r>
        <w:rPr>
          <w:rFonts w:hint="eastAsia"/>
        </w:rPr>
        <w:fldChar w:fldCharType="end"/>
      </w:r>
    </w:p>
    <w:p w14:paraId="5F6BBA55">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"_Toc221894074" </w:instrText>
      </w:r>
      <w:r>
        <w:fldChar w:fldCharType="separate"/>
      </w:r>
      <w:r>
        <w:rPr>
          <w:rStyle w:val="34"/>
          <w:rFonts w:hint="eastAsia" w:cs="Times New Roman"/>
        </w:rPr>
        <w:t>1、项目周边现状</w:t>
      </w:r>
      <w:r>
        <w:rPr>
          <w:rFonts w:hint="eastAsia"/>
        </w:rPr>
        <w:tab/>
      </w:r>
      <w:r>
        <w:rPr>
          <w:rFonts w:hint="eastAsia"/>
        </w:rPr>
        <w:fldChar w:fldCharType="begin"/>
      </w:r>
      <w:r>
        <w:rPr>
          <w:rFonts w:hint="eastAsia"/>
        </w:rPr>
        <w:instrText xml:space="preserve"> </w:instrText>
      </w:r>
      <w:r>
        <w:instrText xml:space="preserve">PAGEREF _Toc221894074 \h</w:instrText>
      </w:r>
      <w:r>
        <w:rPr>
          <w:rFonts w:hint="eastAsia"/>
        </w:rPr>
        <w:instrText xml:space="preserve"> </w:instrText>
      </w:r>
      <w:r>
        <w:rPr>
          <w:rFonts w:hint="eastAsia"/>
        </w:rPr>
        <w:fldChar w:fldCharType="separate"/>
      </w:r>
      <w:r>
        <w:rPr>
          <w:rFonts w:hint="eastAsia"/>
        </w:rPr>
        <w:t>46</w:t>
      </w:r>
      <w:r>
        <w:rPr>
          <w:rFonts w:hint="eastAsia"/>
        </w:rPr>
        <w:fldChar w:fldCharType="end"/>
      </w:r>
      <w:r>
        <w:rPr>
          <w:rFonts w:hint="eastAsia"/>
        </w:rPr>
        <w:fldChar w:fldCharType="end"/>
      </w:r>
    </w:p>
    <w:p w14:paraId="42D839F4">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"_Toc221894075" </w:instrText>
      </w:r>
      <w:r>
        <w:fldChar w:fldCharType="separate"/>
      </w:r>
      <w:r>
        <w:rPr>
          <w:rStyle w:val="34"/>
          <w:rFonts w:hint="eastAsia" w:cs="Times New Roman"/>
        </w:rPr>
        <w:t>2、建设用地现状</w:t>
      </w:r>
      <w:r>
        <w:rPr>
          <w:rFonts w:hint="eastAsia"/>
        </w:rPr>
        <w:tab/>
      </w:r>
      <w:r>
        <w:rPr>
          <w:rFonts w:hint="eastAsia"/>
        </w:rPr>
        <w:fldChar w:fldCharType="begin"/>
      </w:r>
      <w:r>
        <w:rPr>
          <w:rFonts w:hint="eastAsia"/>
        </w:rPr>
        <w:instrText xml:space="preserve"> </w:instrText>
      </w:r>
      <w:r>
        <w:instrText xml:space="preserve">PAGEREF _Toc221894075 \h</w:instrText>
      </w:r>
      <w:r>
        <w:rPr>
          <w:rFonts w:hint="eastAsia"/>
        </w:rPr>
        <w:instrText xml:space="preserve"> </w:instrText>
      </w:r>
      <w:r>
        <w:rPr>
          <w:rFonts w:hint="eastAsia"/>
        </w:rPr>
        <w:fldChar w:fldCharType="separate"/>
      </w:r>
      <w:r>
        <w:rPr>
          <w:rFonts w:hint="eastAsia"/>
        </w:rPr>
        <w:t>46</w:t>
      </w:r>
      <w:r>
        <w:rPr>
          <w:rFonts w:hint="eastAsia"/>
        </w:rPr>
        <w:fldChar w:fldCharType="end"/>
      </w:r>
      <w:r>
        <w:rPr>
          <w:rFonts w:hint="eastAsia"/>
        </w:rPr>
        <w:fldChar w:fldCharType="end"/>
      </w:r>
    </w:p>
    <w:p w14:paraId="7C340EC4">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"_Toc221894076" </w:instrText>
      </w:r>
      <w:r>
        <w:fldChar w:fldCharType="separate"/>
      </w:r>
      <w:r>
        <w:rPr>
          <w:rStyle w:val="34"/>
          <w:rFonts w:hint="eastAsia" w:cs="Times New Roman"/>
        </w:rPr>
        <w:t>3、建设用地配套基础设施条件</w:t>
      </w:r>
      <w:r>
        <w:rPr>
          <w:rFonts w:hint="eastAsia"/>
        </w:rPr>
        <w:tab/>
      </w:r>
      <w:r>
        <w:rPr>
          <w:rFonts w:hint="eastAsia"/>
        </w:rPr>
        <w:fldChar w:fldCharType="begin"/>
      </w:r>
      <w:r>
        <w:rPr>
          <w:rFonts w:hint="eastAsia"/>
        </w:rPr>
        <w:instrText xml:space="preserve"> </w:instrText>
      </w:r>
      <w:r>
        <w:instrText xml:space="preserve">PAGEREF _Toc221894076 \h</w:instrText>
      </w:r>
      <w:r>
        <w:rPr>
          <w:rFonts w:hint="eastAsia"/>
        </w:rPr>
        <w:instrText xml:space="preserve"> </w:instrText>
      </w:r>
      <w:r>
        <w:rPr>
          <w:rFonts w:hint="eastAsia"/>
        </w:rPr>
        <w:fldChar w:fldCharType="separate"/>
      </w:r>
      <w:r>
        <w:rPr>
          <w:rFonts w:hint="eastAsia"/>
        </w:rPr>
        <w:t>46</w:t>
      </w:r>
      <w:r>
        <w:rPr>
          <w:rFonts w:hint="eastAsia"/>
        </w:rPr>
        <w:fldChar w:fldCharType="end"/>
      </w:r>
      <w:r>
        <w:rPr>
          <w:rFonts w:hint="eastAsia"/>
        </w:rPr>
        <w:fldChar w:fldCharType="end"/>
      </w:r>
    </w:p>
    <w:p w14:paraId="74278031">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"_Toc221894077" </w:instrText>
      </w:r>
      <w:r>
        <w:fldChar w:fldCharType="separate"/>
      </w:r>
      <w:r>
        <w:rPr>
          <w:rStyle w:val="34"/>
          <w:rFonts w:hint="eastAsia"/>
        </w:rPr>
        <w:t>（二）EPC工程总承包的范围和工作内容</w:t>
      </w:r>
      <w:r>
        <w:rPr>
          <w:rFonts w:hint="eastAsia"/>
        </w:rPr>
        <w:tab/>
      </w:r>
      <w:r>
        <w:rPr>
          <w:rFonts w:hint="eastAsia"/>
        </w:rPr>
        <w:fldChar w:fldCharType="begin"/>
      </w:r>
      <w:r>
        <w:rPr>
          <w:rFonts w:hint="eastAsia"/>
        </w:rPr>
        <w:instrText xml:space="preserve"> </w:instrText>
      </w:r>
      <w:r>
        <w:instrText xml:space="preserve">PAGEREF _Toc221894077 \h</w:instrText>
      </w:r>
      <w:r>
        <w:rPr>
          <w:rFonts w:hint="eastAsia"/>
        </w:rPr>
        <w:instrText xml:space="preserve"> </w:instrText>
      </w:r>
      <w:r>
        <w:rPr>
          <w:rFonts w:hint="eastAsia"/>
        </w:rPr>
        <w:fldChar w:fldCharType="separate"/>
      </w:r>
      <w:r>
        <w:rPr>
          <w:rFonts w:hint="eastAsia"/>
        </w:rPr>
        <w:t>47</w:t>
      </w:r>
      <w:r>
        <w:rPr>
          <w:rFonts w:hint="eastAsia"/>
        </w:rPr>
        <w:fldChar w:fldCharType="end"/>
      </w:r>
      <w:r>
        <w:rPr>
          <w:rFonts w:hint="eastAsia"/>
        </w:rPr>
        <w:fldChar w:fldCharType="end"/>
      </w:r>
    </w:p>
    <w:p w14:paraId="2A6DD5E8">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"_Toc221894078" </w:instrText>
      </w:r>
      <w:r>
        <w:fldChar w:fldCharType="separate"/>
      </w:r>
      <w:r>
        <w:rPr>
          <w:rStyle w:val="34"/>
          <w:rFonts w:hint="eastAsia" w:cs="Times New Roman"/>
        </w:rPr>
        <w:t>1、承包范围</w:t>
      </w:r>
      <w:r>
        <w:rPr>
          <w:rFonts w:hint="eastAsia"/>
        </w:rPr>
        <w:tab/>
      </w:r>
      <w:r>
        <w:rPr>
          <w:rFonts w:hint="eastAsia"/>
        </w:rPr>
        <w:fldChar w:fldCharType="begin"/>
      </w:r>
      <w:r>
        <w:rPr>
          <w:rFonts w:hint="eastAsia"/>
        </w:rPr>
        <w:instrText xml:space="preserve"> </w:instrText>
      </w:r>
      <w:r>
        <w:instrText xml:space="preserve">PAGEREF _Toc221894078 \h</w:instrText>
      </w:r>
      <w:r>
        <w:rPr>
          <w:rFonts w:hint="eastAsia"/>
        </w:rPr>
        <w:instrText xml:space="preserve"> </w:instrText>
      </w:r>
      <w:r>
        <w:rPr>
          <w:rFonts w:hint="eastAsia"/>
        </w:rPr>
        <w:fldChar w:fldCharType="separate"/>
      </w:r>
      <w:r>
        <w:rPr>
          <w:rFonts w:hint="eastAsia"/>
        </w:rPr>
        <w:t>47</w:t>
      </w:r>
      <w:r>
        <w:rPr>
          <w:rFonts w:hint="eastAsia"/>
        </w:rPr>
        <w:fldChar w:fldCharType="end"/>
      </w:r>
      <w:r>
        <w:rPr>
          <w:rFonts w:hint="eastAsia"/>
        </w:rPr>
        <w:fldChar w:fldCharType="end"/>
      </w:r>
    </w:p>
    <w:p w14:paraId="52B3F3BB">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"_Toc221894079" </w:instrText>
      </w:r>
      <w:r>
        <w:fldChar w:fldCharType="separate"/>
      </w:r>
      <w:r>
        <w:rPr>
          <w:rStyle w:val="34"/>
          <w:rFonts w:hint="eastAsia" w:ascii="Times New Roman" w:hAnsi="Times New Roman" w:cs="Times New Roman"/>
          <w:b/>
        </w:rPr>
        <w:t>2、工作内容</w:t>
      </w:r>
      <w:r>
        <w:rPr>
          <w:rFonts w:hint="eastAsia"/>
        </w:rPr>
        <w:tab/>
      </w:r>
      <w:r>
        <w:rPr>
          <w:rFonts w:hint="eastAsia"/>
        </w:rPr>
        <w:fldChar w:fldCharType="begin"/>
      </w:r>
      <w:r>
        <w:rPr>
          <w:rFonts w:hint="eastAsia"/>
        </w:rPr>
        <w:instrText xml:space="preserve"> </w:instrText>
      </w:r>
      <w:r>
        <w:instrText xml:space="preserve">PAGEREF _Toc221894079 \h</w:instrText>
      </w:r>
      <w:r>
        <w:rPr>
          <w:rFonts w:hint="eastAsia"/>
        </w:rPr>
        <w:instrText xml:space="preserve"> </w:instrText>
      </w:r>
      <w:r>
        <w:rPr>
          <w:rFonts w:hint="eastAsia"/>
        </w:rPr>
        <w:fldChar w:fldCharType="separate"/>
      </w:r>
      <w:r>
        <w:rPr>
          <w:rFonts w:hint="eastAsia"/>
        </w:rPr>
        <w:t>47</w:t>
      </w:r>
      <w:r>
        <w:rPr>
          <w:rFonts w:hint="eastAsia"/>
        </w:rPr>
        <w:fldChar w:fldCharType="end"/>
      </w:r>
      <w:r>
        <w:rPr>
          <w:rFonts w:hint="eastAsia"/>
        </w:rPr>
        <w:fldChar w:fldCharType="end"/>
      </w:r>
    </w:p>
    <w:p w14:paraId="5C9A2D97">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"_Toc221894080" </w:instrText>
      </w:r>
      <w:r>
        <w:fldChar w:fldCharType="separate"/>
      </w:r>
      <w:r>
        <w:rPr>
          <w:rStyle w:val="34"/>
          <w:rFonts w:hint="eastAsia"/>
        </w:rPr>
        <w:t>（三）各阶段内容及要求</w:t>
      </w:r>
      <w:r>
        <w:rPr>
          <w:rFonts w:hint="eastAsia"/>
        </w:rPr>
        <w:tab/>
      </w:r>
      <w:r>
        <w:rPr>
          <w:rFonts w:hint="eastAsia"/>
        </w:rPr>
        <w:fldChar w:fldCharType="begin"/>
      </w:r>
      <w:r>
        <w:rPr>
          <w:rFonts w:hint="eastAsia"/>
        </w:rPr>
        <w:instrText xml:space="preserve"> </w:instrText>
      </w:r>
      <w:r>
        <w:instrText xml:space="preserve">PAGEREF _Toc221894080 \h</w:instrText>
      </w:r>
      <w:r>
        <w:rPr>
          <w:rFonts w:hint="eastAsia"/>
        </w:rPr>
        <w:instrText xml:space="preserve"> </w:instrText>
      </w:r>
      <w:r>
        <w:rPr>
          <w:rFonts w:hint="eastAsia"/>
        </w:rPr>
        <w:fldChar w:fldCharType="separate"/>
      </w:r>
      <w:r>
        <w:rPr>
          <w:rFonts w:hint="eastAsia"/>
        </w:rPr>
        <w:t>49</w:t>
      </w:r>
      <w:r>
        <w:rPr>
          <w:rFonts w:hint="eastAsia"/>
        </w:rPr>
        <w:fldChar w:fldCharType="end"/>
      </w:r>
      <w:r>
        <w:rPr>
          <w:rFonts w:hint="eastAsia"/>
        </w:rPr>
        <w:fldChar w:fldCharType="end"/>
      </w:r>
    </w:p>
    <w:p w14:paraId="21D3DFD6">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"_Toc221894081" </w:instrText>
      </w:r>
      <w:r>
        <w:fldChar w:fldCharType="separate"/>
      </w:r>
      <w:r>
        <w:rPr>
          <w:rStyle w:val="34"/>
          <w:rFonts w:hint="eastAsia" w:cs="Times New Roman"/>
        </w:rPr>
        <w:t>1、承包人需复核内容</w:t>
      </w:r>
      <w:r>
        <w:rPr>
          <w:rFonts w:hint="eastAsia"/>
        </w:rPr>
        <w:tab/>
      </w:r>
      <w:r>
        <w:rPr>
          <w:rFonts w:hint="eastAsia"/>
        </w:rPr>
        <w:fldChar w:fldCharType="begin"/>
      </w:r>
      <w:r>
        <w:rPr>
          <w:rFonts w:hint="eastAsia"/>
        </w:rPr>
        <w:instrText xml:space="preserve"> </w:instrText>
      </w:r>
      <w:r>
        <w:instrText xml:space="preserve">PAGEREF _Toc221894081 \h</w:instrText>
      </w:r>
      <w:r>
        <w:rPr>
          <w:rFonts w:hint="eastAsia"/>
        </w:rPr>
        <w:instrText xml:space="preserve"> </w:instrText>
      </w:r>
      <w:r>
        <w:rPr>
          <w:rFonts w:hint="eastAsia"/>
        </w:rPr>
        <w:fldChar w:fldCharType="separate"/>
      </w:r>
      <w:r>
        <w:rPr>
          <w:rFonts w:hint="eastAsia"/>
        </w:rPr>
        <w:t>49</w:t>
      </w:r>
      <w:r>
        <w:rPr>
          <w:rFonts w:hint="eastAsia"/>
        </w:rPr>
        <w:fldChar w:fldCharType="end"/>
      </w:r>
      <w:r>
        <w:rPr>
          <w:rFonts w:hint="eastAsia"/>
        </w:rPr>
        <w:fldChar w:fldCharType="end"/>
      </w:r>
    </w:p>
    <w:p w14:paraId="583ED062">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"_Toc221894082" </w:instrText>
      </w:r>
      <w:r>
        <w:fldChar w:fldCharType="separate"/>
      </w:r>
      <w:r>
        <w:rPr>
          <w:rStyle w:val="34"/>
          <w:rFonts w:hint="eastAsia" w:cs="Times New Roman"/>
        </w:rPr>
        <w:t>2、永久工程的设计、采购、施工</w:t>
      </w:r>
      <w:r>
        <w:rPr>
          <w:rFonts w:hint="eastAsia"/>
        </w:rPr>
        <w:tab/>
      </w:r>
      <w:r>
        <w:rPr>
          <w:rFonts w:hint="eastAsia"/>
        </w:rPr>
        <w:fldChar w:fldCharType="begin"/>
      </w:r>
      <w:r>
        <w:rPr>
          <w:rFonts w:hint="eastAsia"/>
        </w:rPr>
        <w:instrText xml:space="preserve"> </w:instrText>
      </w:r>
      <w:r>
        <w:instrText xml:space="preserve">PAGEREF _Toc221894082 \h</w:instrText>
      </w:r>
      <w:r>
        <w:rPr>
          <w:rFonts w:hint="eastAsia"/>
        </w:rPr>
        <w:instrText xml:space="preserve"> </w:instrText>
      </w:r>
      <w:r>
        <w:rPr>
          <w:rFonts w:hint="eastAsia"/>
        </w:rPr>
        <w:fldChar w:fldCharType="separate"/>
      </w:r>
      <w:r>
        <w:rPr>
          <w:rFonts w:hint="eastAsia"/>
        </w:rPr>
        <w:t>52</w:t>
      </w:r>
      <w:r>
        <w:rPr>
          <w:rFonts w:hint="eastAsia"/>
        </w:rPr>
        <w:fldChar w:fldCharType="end"/>
      </w:r>
      <w:r>
        <w:rPr>
          <w:rFonts w:hint="eastAsia"/>
        </w:rPr>
        <w:fldChar w:fldCharType="end"/>
      </w:r>
    </w:p>
    <w:p w14:paraId="7CCD2FEA">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"_Toc221894083" </w:instrText>
      </w:r>
      <w:r>
        <w:fldChar w:fldCharType="separate"/>
      </w:r>
      <w:r>
        <w:rPr>
          <w:rStyle w:val="34"/>
          <w:rFonts w:hint="eastAsia" w:cs="Times New Roman"/>
        </w:rPr>
        <w:t>3、临时工程的设计、施工及退出</w:t>
      </w:r>
      <w:r>
        <w:rPr>
          <w:rFonts w:hint="eastAsia"/>
        </w:rPr>
        <w:tab/>
      </w:r>
      <w:r>
        <w:rPr>
          <w:rFonts w:hint="eastAsia"/>
        </w:rPr>
        <w:fldChar w:fldCharType="begin"/>
      </w:r>
      <w:r>
        <w:rPr>
          <w:rFonts w:hint="eastAsia"/>
        </w:rPr>
        <w:instrText xml:space="preserve"> </w:instrText>
      </w:r>
      <w:r>
        <w:instrText xml:space="preserve">PAGEREF _Toc221894083 \h</w:instrText>
      </w:r>
      <w:r>
        <w:rPr>
          <w:rFonts w:hint="eastAsia"/>
        </w:rPr>
        <w:instrText xml:space="preserve"> </w:instrText>
      </w:r>
      <w:r>
        <w:rPr>
          <w:rFonts w:hint="eastAsia"/>
        </w:rPr>
        <w:fldChar w:fldCharType="separate"/>
      </w:r>
      <w:r>
        <w:rPr>
          <w:rFonts w:hint="eastAsia"/>
        </w:rPr>
        <w:t>61</w:t>
      </w:r>
      <w:r>
        <w:rPr>
          <w:rFonts w:hint="eastAsia"/>
        </w:rPr>
        <w:fldChar w:fldCharType="end"/>
      </w:r>
      <w:r>
        <w:rPr>
          <w:rFonts w:hint="eastAsia"/>
        </w:rPr>
        <w:fldChar w:fldCharType="end"/>
      </w:r>
    </w:p>
    <w:p w14:paraId="66B42EEC">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"_Toc221894084" </w:instrText>
      </w:r>
      <w:r>
        <w:fldChar w:fldCharType="separate"/>
      </w:r>
      <w:r>
        <w:rPr>
          <w:rStyle w:val="34"/>
          <w:rFonts w:hint="eastAsia" w:cs="Times New Roman"/>
        </w:rPr>
        <w:t>4、项目调试</w:t>
      </w:r>
      <w:r>
        <w:rPr>
          <w:rFonts w:hint="eastAsia"/>
        </w:rPr>
        <w:tab/>
      </w:r>
      <w:r>
        <w:rPr>
          <w:rFonts w:hint="eastAsia"/>
        </w:rPr>
        <w:fldChar w:fldCharType="begin"/>
      </w:r>
      <w:r>
        <w:rPr>
          <w:rFonts w:hint="eastAsia"/>
        </w:rPr>
        <w:instrText xml:space="preserve"> </w:instrText>
      </w:r>
      <w:r>
        <w:instrText xml:space="preserve">PAGEREF _Toc221894084 \h</w:instrText>
      </w:r>
      <w:r>
        <w:rPr>
          <w:rFonts w:hint="eastAsia"/>
        </w:rPr>
        <w:instrText xml:space="preserve"> </w:instrText>
      </w:r>
      <w:r>
        <w:rPr>
          <w:rFonts w:hint="eastAsia"/>
        </w:rPr>
        <w:fldChar w:fldCharType="separate"/>
      </w:r>
      <w:r>
        <w:rPr>
          <w:rFonts w:hint="eastAsia"/>
        </w:rPr>
        <w:t>61</w:t>
      </w:r>
      <w:r>
        <w:rPr>
          <w:rFonts w:hint="eastAsia"/>
        </w:rPr>
        <w:fldChar w:fldCharType="end"/>
      </w:r>
      <w:r>
        <w:rPr>
          <w:rFonts w:hint="eastAsia"/>
        </w:rPr>
        <w:fldChar w:fldCharType="end"/>
      </w:r>
    </w:p>
    <w:p w14:paraId="29790AF2">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"_Toc221894085" </w:instrText>
      </w:r>
      <w:r>
        <w:fldChar w:fldCharType="separate"/>
      </w:r>
      <w:r>
        <w:rPr>
          <w:rStyle w:val="34"/>
          <w:rFonts w:hint="eastAsia" w:cs="Times New Roman"/>
        </w:rPr>
        <w:t>5、项目考核</w:t>
      </w:r>
      <w:r>
        <w:rPr>
          <w:rFonts w:hint="eastAsia"/>
        </w:rPr>
        <w:tab/>
      </w:r>
      <w:r>
        <w:rPr>
          <w:rFonts w:hint="eastAsia"/>
        </w:rPr>
        <w:fldChar w:fldCharType="begin"/>
      </w:r>
      <w:r>
        <w:rPr>
          <w:rFonts w:hint="eastAsia"/>
        </w:rPr>
        <w:instrText xml:space="preserve"> </w:instrText>
      </w:r>
      <w:r>
        <w:instrText xml:space="preserve">PAGEREF _Toc221894085 \h</w:instrText>
      </w:r>
      <w:r>
        <w:rPr>
          <w:rFonts w:hint="eastAsia"/>
        </w:rPr>
        <w:instrText xml:space="preserve"> </w:instrText>
      </w:r>
      <w:r>
        <w:rPr>
          <w:rFonts w:hint="eastAsia"/>
        </w:rPr>
        <w:fldChar w:fldCharType="separate"/>
      </w:r>
      <w:r>
        <w:rPr>
          <w:rFonts w:hint="eastAsia"/>
        </w:rPr>
        <w:t>62</w:t>
      </w:r>
      <w:r>
        <w:rPr>
          <w:rFonts w:hint="eastAsia"/>
        </w:rPr>
        <w:fldChar w:fldCharType="end"/>
      </w:r>
      <w:r>
        <w:rPr>
          <w:rFonts w:hint="eastAsia"/>
        </w:rPr>
        <w:fldChar w:fldCharType="end"/>
      </w:r>
    </w:p>
    <w:p w14:paraId="23A5BF61">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"_Toc221894086" </w:instrText>
      </w:r>
      <w:r>
        <w:fldChar w:fldCharType="separate"/>
      </w:r>
      <w:r>
        <w:rPr>
          <w:rStyle w:val="34"/>
          <w:rFonts w:hint="eastAsia" w:cs="Times New Roman"/>
        </w:rPr>
        <w:t>6、竣工验收和归档</w:t>
      </w:r>
      <w:r>
        <w:rPr>
          <w:rFonts w:hint="eastAsia"/>
        </w:rPr>
        <w:tab/>
      </w:r>
      <w:r>
        <w:rPr>
          <w:rFonts w:hint="eastAsia"/>
        </w:rPr>
        <w:fldChar w:fldCharType="begin"/>
      </w:r>
      <w:r>
        <w:rPr>
          <w:rFonts w:hint="eastAsia"/>
        </w:rPr>
        <w:instrText xml:space="preserve"> </w:instrText>
      </w:r>
      <w:r>
        <w:instrText xml:space="preserve">PAGEREF _Toc221894086 \h</w:instrText>
      </w:r>
      <w:r>
        <w:rPr>
          <w:rFonts w:hint="eastAsia"/>
        </w:rPr>
        <w:instrText xml:space="preserve"> </w:instrText>
      </w:r>
      <w:r>
        <w:rPr>
          <w:rFonts w:hint="eastAsia"/>
        </w:rPr>
        <w:fldChar w:fldCharType="separate"/>
      </w:r>
      <w:r>
        <w:rPr>
          <w:rFonts w:hint="eastAsia"/>
        </w:rPr>
        <w:t>64</w:t>
      </w:r>
      <w:r>
        <w:rPr>
          <w:rFonts w:hint="eastAsia"/>
        </w:rPr>
        <w:fldChar w:fldCharType="end"/>
      </w:r>
      <w:r>
        <w:rPr>
          <w:rFonts w:hint="eastAsia"/>
        </w:rPr>
        <w:fldChar w:fldCharType="end"/>
      </w:r>
    </w:p>
    <w:p w14:paraId="28ABC16F">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"_Toc221894087" </w:instrText>
      </w:r>
      <w:r>
        <w:fldChar w:fldCharType="separate"/>
      </w:r>
      <w:r>
        <w:rPr>
          <w:rStyle w:val="34"/>
          <w:rFonts w:hint="eastAsia" w:cs="Times New Roman"/>
        </w:rPr>
        <w:t>7、技术服务工作范围</w:t>
      </w:r>
      <w:r>
        <w:rPr>
          <w:rFonts w:hint="eastAsia"/>
        </w:rPr>
        <w:tab/>
      </w:r>
      <w:r>
        <w:rPr>
          <w:rFonts w:hint="eastAsia"/>
        </w:rPr>
        <w:fldChar w:fldCharType="begin"/>
      </w:r>
      <w:r>
        <w:rPr>
          <w:rFonts w:hint="eastAsia"/>
        </w:rPr>
        <w:instrText xml:space="preserve"> </w:instrText>
      </w:r>
      <w:r>
        <w:instrText xml:space="preserve">PAGEREF _Toc221894087 \h</w:instrText>
      </w:r>
      <w:r>
        <w:rPr>
          <w:rFonts w:hint="eastAsia"/>
        </w:rPr>
        <w:instrText xml:space="preserve"> </w:instrText>
      </w:r>
      <w:r>
        <w:rPr>
          <w:rFonts w:hint="eastAsia"/>
        </w:rPr>
        <w:fldChar w:fldCharType="separate"/>
      </w:r>
      <w:r>
        <w:rPr>
          <w:rFonts w:hint="eastAsia"/>
        </w:rPr>
        <w:t>65</w:t>
      </w:r>
      <w:r>
        <w:rPr>
          <w:rFonts w:hint="eastAsia"/>
        </w:rPr>
        <w:fldChar w:fldCharType="end"/>
      </w:r>
      <w:r>
        <w:rPr>
          <w:rFonts w:hint="eastAsia"/>
        </w:rPr>
        <w:fldChar w:fldCharType="end"/>
      </w:r>
    </w:p>
    <w:p w14:paraId="602886F4">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"_Toc221894088" </w:instrText>
      </w:r>
      <w:r>
        <w:fldChar w:fldCharType="separate"/>
      </w:r>
      <w:r>
        <w:rPr>
          <w:rStyle w:val="34"/>
          <w:rFonts w:hint="eastAsia" w:ascii="Times New Roman" w:hAnsi="Times New Roman" w:cs="Times New Roman"/>
          <w:b/>
        </w:rPr>
        <w:t>8、培训和移交</w:t>
      </w:r>
      <w:r>
        <w:rPr>
          <w:rFonts w:hint="eastAsia"/>
        </w:rPr>
        <w:tab/>
      </w:r>
      <w:r>
        <w:rPr>
          <w:rFonts w:hint="eastAsia"/>
        </w:rPr>
        <w:fldChar w:fldCharType="begin"/>
      </w:r>
      <w:r>
        <w:rPr>
          <w:rFonts w:hint="eastAsia"/>
        </w:rPr>
        <w:instrText xml:space="preserve"> </w:instrText>
      </w:r>
      <w:r>
        <w:instrText xml:space="preserve">PAGEREF _Toc221894088 \h</w:instrText>
      </w:r>
      <w:r>
        <w:rPr>
          <w:rFonts w:hint="eastAsia"/>
        </w:rPr>
        <w:instrText xml:space="preserve"> </w:instrText>
      </w:r>
      <w:r>
        <w:rPr>
          <w:rFonts w:hint="eastAsia"/>
        </w:rPr>
        <w:fldChar w:fldCharType="separate"/>
      </w:r>
      <w:r>
        <w:rPr>
          <w:rFonts w:hint="eastAsia"/>
        </w:rPr>
        <w:t>66</w:t>
      </w:r>
      <w:r>
        <w:rPr>
          <w:rFonts w:hint="eastAsia"/>
        </w:rPr>
        <w:fldChar w:fldCharType="end"/>
      </w:r>
      <w:r>
        <w:rPr>
          <w:rFonts w:hint="eastAsia"/>
        </w:rPr>
        <w:fldChar w:fldCharType="end"/>
      </w:r>
    </w:p>
    <w:p w14:paraId="0DCE315C">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"_Toc221894089" </w:instrText>
      </w:r>
      <w:r>
        <w:fldChar w:fldCharType="separate"/>
      </w:r>
      <w:r>
        <w:rPr>
          <w:rStyle w:val="34"/>
          <w:rFonts w:hint="eastAsia" w:cs="Times New Roman"/>
        </w:rPr>
        <w:t>9、保修和缺陷整改</w:t>
      </w:r>
      <w:r>
        <w:rPr>
          <w:rFonts w:hint="eastAsia"/>
        </w:rPr>
        <w:tab/>
      </w:r>
      <w:r>
        <w:rPr>
          <w:rFonts w:hint="eastAsia"/>
        </w:rPr>
        <w:fldChar w:fldCharType="begin"/>
      </w:r>
      <w:r>
        <w:rPr>
          <w:rFonts w:hint="eastAsia"/>
        </w:rPr>
        <w:instrText xml:space="preserve"> </w:instrText>
      </w:r>
      <w:r>
        <w:instrText xml:space="preserve">PAGEREF _Toc221894089 \h</w:instrText>
      </w:r>
      <w:r>
        <w:rPr>
          <w:rFonts w:hint="eastAsia"/>
        </w:rPr>
        <w:instrText xml:space="preserve"> </w:instrText>
      </w:r>
      <w:r>
        <w:rPr>
          <w:rFonts w:hint="eastAsia"/>
        </w:rPr>
        <w:fldChar w:fldCharType="separate"/>
      </w:r>
      <w:r>
        <w:rPr>
          <w:rFonts w:hint="eastAsia"/>
        </w:rPr>
        <w:t>69</w:t>
      </w:r>
      <w:r>
        <w:rPr>
          <w:rFonts w:hint="eastAsia"/>
        </w:rPr>
        <w:fldChar w:fldCharType="end"/>
      </w:r>
      <w:r>
        <w:rPr>
          <w:rFonts w:hint="eastAsia"/>
        </w:rPr>
        <w:fldChar w:fldCharType="end"/>
      </w:r>
    </w:p>
    <w:p w14:paraId="3A484D6B">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"_Toc221894090" </w:instrText>
      </w:r>
      <w:r>
        <w:fldChar w:fldCharType="separate"/>
      </w:r>
      <w:r>
        <w:rPr>
          <w:rStyle w:val="34"/>
          <w:rFonts w:hint="eastAsia"/>
        </w:rPr>
        <w:t>（四）工作界面</w:t>
      </w:r>
      <w:r>
        <w:rPr>
          <w:rFonts w:hint="eastAsia"/>
        </w:rPr>
        <w:tab/>
      </w:r>
      <w:r>
        <w:rPr>
          <w:rFonts w:hint="eastAsia"/>
        </w:rPr>
        <w:fldChar w:fldCharType="begin"/>
      </w:r>
      <w:r>
        <w:rPr>
          <w:rFonts w:hint="eastAsia"/>
        </w:rPr>
        <w:instrText xml:space="preserve"> </w:instrText>
      </w:r>
      <w:r>
        <w:instrText xml:space="preserve">PAGEREF _Toc221894090 \h</w:instrText>
      </w:r>
      <w:r>
        <w:rPr>
          <w:rFonts w:hint="eastAsia"/>
        </w:rPr>
        <w:instrText xml:space="preserve"> </w:instrText>
      </w:r>
      <w:r>
        <w:rPr>
          <w:rFonts w:hint="eastAsia"/>
        </w:rPr>
        <w:fldChar w:fldCharType="separate"/>
      </w:r>
      <w:r>
        <w:rPr>
          <w:rFonts w:hint="eastAsia"/>
        </w:rPr>
        <w:t>71</w:t>
      </w:r>
      <w:r>
        <w:rPr>
          <w:rFonts w:hint="eastAsia"/>
        </w:rPr>
        <w:fldChar w:fldCharType="end"/>
      </w:r>
      <w:r>
        <w:rPr>
          <w:rFonts w:hint="eastAsia"/>
        </w:rPr>
        <w:fldChar w:fldCharType="end"/>
      </w:r>
    </w:p>
    <w:p w14:paraId="02CEE827">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"_Toc221894091" </w:instrText>
      </w:r>
      <w:r>
        <w:fldChar w:fldCharType="separate"/>
      </w:r>
      <w:r>
        <w:rPr>
          <w:rStyle w:val="34"/>
          <w:rFonts w:hint="eastAsia" w:cs="Times New Roman"/>
        </w:rPr>
        <w:t>1、发包人与承包人的工作界区</w:t>
      </w:r>
      <w:r>
        <w:rPr>
          <w:rFonts w:hint="eastAsia"/>
        </w:rPr>
        <w:tab/>
      </w:r>
      <w:r>
        <w:rPr>
          <w:rFonts w:hint="eastAsia"/>
        </w:rPr>
        <w:fldChar w:fldCharType="begin"/>
      </w:r>
      <w:r>
        <w:rPr>
          <w:rFonts w:hint="eastAsia"/>
        </w:rPr>
        <w:instrText xml:space="preserve"> </w:instrText>
      </w:r>
      <w:r>
        <w:instrText xml:space="preserve">PAGEREF _Toc221894091 \h</w:instrText>
      </w:r>
      <w:r>
        <w:rPr>
          <w:rFonts w:hint="eastAsia"/>
        </w:rPr>
        <w:instrText xml:space="preserve"> </w:instrText>
      </w:r>
      <w:r>
        <w:rPr>
          <w:rFonts w:hint="eastAsia"/>
        </w:rPr>
        <w:fldChar w:fldCharType="separate"/>
      </w:r>
      <w:r>
        <w:rPr>
          <w:rFonts w:hint="eastAsia"/>
        </w:rPr>
        <w:t>71</w:t>
      </w:r>
      <w:r>
        <w:rPr>
          <w:rFonts w:hint="eastAsia"/>
        </w:rPr>
        <w:fldChar w:fldCharType="end"/>
      </w:r>
      <w:r>
        <w:rPr>
          <w:rFonts w:hint="eastAsia"/>
        </w:rPr>
        <w:fldChar w:fldCharType="end"/>
      </w:r>
    </w:p>
    <w:p w14:paraId="56ACD152">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"_Toc221894092" </w:instrText>
      </w:r>
      <w:r>
        <w:fldChar w:fldCharType="separate"/>
      </w:r>
      <w:r>
        <w:rPr>
          <w:rStyle w:val="34"/>
          <w:rFonts w:hint="eastAsia" w:cs="Times New Roman"/>
        </w:rPr>
        <w:t>2、承包人与其他承包人的工作界区</w:t>
      </w:r>
      <w:r>
        <w:rPr>
          <w:rFonts w:hint="eastAsia"/>
        </w:rPr>
        <w:tab/>
      </w:r>
      <w:r>
        <w:rPr>
          <w:rFonts w:hint="eastAsia"/>
        </w:rPr>
        <w:fldChar w:fldCharType="begin"/>
      </w:r>
      <w:r>
        <w:rPr>
          <w:rFonts w:hint="eastAsia"/>
        </w:rPr>
        <w:instrText xml:space="preserve"> </w:instrText>
      </w:r>
      <w:r>
        <w:instrText xml:space="preserve">PAGEREF _Toc221894092 \h</w:instrText>
      </w:r>
      <w:r>
        <w:rPr>
          <w:rFonts w:hint="eastAsia"/>
        </w:rPr>
        <w:instrText xml:space="preserve"> </w:instrText>
      </w:r>
      <w:r>
        <w:rPr>
          <w:rFonts w:hint="eastAsia"/>
        </w:rPr>
        <w:fldChar w:fldCharType="separate"/>
      </w:r>
      <w:r>
        <w:rPr>
          <w:rFonts w:hint="eastAsia"/>
        </w:rPr>
        <w:t>71</w:t>
      </w:r>
      <w:r>
        <w:rPr>
          <w:rFonts w:hint="eastAsia"/>
        </w:rPr>
        <w:fldChar w:fldCharType="end"/>
      </w:r>
      <w:r>
        <w:rPr>
          <w:rFonts w:hint="eastAsia"/>
        </w:rPr>
        <w:fldChar w:fldCharType="end"/>
      </w:r>
    </w:p>
    <w:p w14:paraId="3EE716A0">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"_Toc221894093" </w:instrText>
      </w:r>
      <w:r>
        <w:fldChar w:fldCharType="separate"/>
      </w:r>
      <w:r>
        <w:rPr>
          <w:rStyle w:val="34"/>
          <w:rFonts w:hint="eastAsia" w:cs="Times New Roman"/>
        </w:rPr>
        <w:t>3、场内交通与场外交通的工作界区</w:t>
      </w:r>
      <w:r>
        <w:rPr>
          <w:rFonts w:hint="eastAsia"/>
        </w:rPr>
        <w:tab/>
      </w:r>
      <w:r>
        <w:rPr>
          <w:rFonts w:hint="eastAsia"/>
        </w:rPr>
        <w:fldChar w:fldCharType="begin"/>
      </w:r>
      <w:r>
        <w:rPr>
          <w:rFonts w:hint="eastAsia"/>
        </w:rPr>
        <w:instrText xml:space="preserve"> </w:instrText>
      </w:r>
      <w:r>
        <w:instrText xml:space="preserve">PAGEREF _Toc221894093 \h</w:instrText>
      </w:r>
      <w:r>
        <w:rPr>
          <w:rFonts w:hint="eastAsia"/>
        </w:rPr>
        <w:instrText xml:space="preserve"> </w:instrText>
      </w:r>
      <w:r>
        <w:rPr>
          <w:rFonts w:hint="eastAsia"/>
        </w:rPr>
        <w:fldChar w:fldCharType="separate"/>
      </w:r>
      <w:r>
        <w:rPr>
          <w:rFonts w:hint="eastAsia"/>
        </w:rPr>
        <w:t>71</w:t>
      </w:r>
      <w:r>
        <w:rPr>
          <w:rFonts w:hint="eastAsia"/>
        </w:rPr>
        <w:fldChar w:fldCharType="end"/>
      </w:r>
      <w:r>
        <w:rPr>
          <w:rFonts w:hint="eastAsia"/>
        </w:rPr>
        <w:fldChar w:fldCharType="end"/>
      </w:r>
    </w:p>
    <w:p w14:paraId="425BCED1">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"_Toc221894094" </w:instrText>
      </w:r>
      <w:r>
        <w:fldChar w:fldCharType="separate"/>
      </w:r>
      <w:r>
        <w:rPr>
          <w:rStyle w:val="34"/>
          <w:rFonts w:hint="eastAsia"/>
        </w:rPr>
        <w:t>（五）发包人提供的现场条件</w:t>
      </w:r>
      <w:r>
        <w:rPr>
          <w:rFonts w:hint="eastAsia"/>
        </w:rPr>
        <w:tab/>
      </w:r>
      <w:r>
        <w:rPr>
          <w:rFonts w:hint="eastAsia"/>
        </w:rPr>
        <w:fldChar w:fldCharType="begin"/>
      </w:r>
      <w:r>
        <w:rPr>
          <w:rFonts w:hint="eastAsia"/>
        </w:rPr>
        <w:instrText xml:space="preserve"> </w:instrText>
      </w:r>
      <w:r>
        <w:instrText xml:space="preserve">PAGEREF _Toc221894094 \h</w:instrText>
      </w:r>
      <w:r>
        <w:rPr>
          <w:rFonts w:hint="eastAsia"/>
        </w:rPr>
        <w:instrText xml:space="preserve"> </w:instrText>
      </w:r>
      <w:r>
        <w:rPr>
          <w:rFonts w:hint="eastAsia"/>
        </w:rPr>
        <w:fldChar w:fldCharType="separate"/>
      </w:r>
      <w:r>
        <w:rPr>
          <w:rFonts w:hint="eastAsia"/>
        </w:rPr>
        <w:t>72</w:t>
      </w:r>
      <w:r>
        <w:rPr>
          <w:rFonts w:hint="eastAsia"/>
        </w:rPr>
        <w:fldChar w:fldCharType="end"/>
      </w:r>
      <w:r>
        <w:rPr>
          <w:rFonts w:hint="eastAsia"/>
        </w:rPr>
        <w:fldChar w:fldCharType="end"/>
      </w:r>
    </w:p>
    <w:p w14:paraId="571A07D5">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"_Toc221894095" </w:instrText>
      </w:r>
      <w:r>
        <w:fldChar w:fldCharType="separate"/>
      </w:r>
      <w:r>
        <w:rPr>
          <w:rStyle w:val="34"/>
          <w:rFonts w:hint="eastAsia" w:cs="Times New Roman"/>
        </w:rPr>
        <w:t>1、施工水、电条件</w:t>
      </w:r>
      <w:r>
        <w:rPr>
          <w:rFonts w:hint="eastAsia"/>
        </w:rPr>
        <w:tab/>
      </w:r>
      <w:r>
        <w:rPr>
          <w:rFonts w:hint="eastAsia"/>
        </w:rPr>
        <w:fldChar w:fldCharType="begin"/>
      </w:r>
      <w:r>
        <w:rPr>
          <w:rFonts w:hint="eastAsia"/>
        </w:rPr>
        <w:instrText xml:space="preserve"> </w:instrText>
      </w:r>
      <w:r>
        <w:instrText xml:space="preserve">PAGEREF _Toc221894095 \h</w:instrText>
      </w:r>
      <w:r>
        <w:rPr>
          <w:rFonts w:hint="eastAsia"/>
        </w:rPr>
        <w:instrText xml:space="preserve"> </w:instrText>
      </w:r>
      <w:r>
        <w:rPr>
          <w:rFonts w:hint="eastAsia"/>
        </w:rPr>
        <w:fldChar w:fldCharType="separate"/>
      </w:r>
      <w:r>
        <w:rPr>
          <w:rFonts w:hint="eastAsia"/>
        </w:rPr>
        <w:t>72</w:t>
      </w:r>
      <w:r>
        <w:rPr>
          <w:rFonts w:hint="eastAsia"/>
        </w:rPr>
        <w:fldChar w:fldCharType="end"/>
      </w:r>
      <w:r>
        <w:rPr>
          <w:rFonts w:hint="eastAsia"/>
        </w:rPr>
        <w:fldChar w:fldCharType="end"/>
      </w:r>
    </w:p>
    <w:p w14:paraId="1CAB6367">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"_Toc221894096" </w:instrText>
      </w:r>
      <w:r>
        <w:fldChar w:fldCharType="separate"/>
      </w:r>
      <w:r>
        <w:rPr>
          <w:rStyle w:val="34"/>
          <w:rFonts w:hint="eastAsia" w:cs="Times New Roman"/>
        </w:rPr>
        <w:t>2、施工道路</w:t>
      </w:r>
      <w:r>
        <w:rPr>
          <w:rFonts w:hint="eastAsia"/>
        </w:rPr>
        <w:tab/>
      </w:r>
      <w:r>
        <w:rPr>
          <w:rFonts w:hint="eastAsia"/>
        </w:rPr>
        <w:fldChar w:fldCharType="begin"/>
      </w:r>
      <w:r>
        <w:rPr>
          <w:rFonts w:hint="eastAsia"/>
        </w:rPr>
        <w:instrText xml:space="preserve"> </w:instrText>
      </w:r>
      <w:r>
        <w:instrText xml:space="preserve">PAGEREF _Toc221894096 \h</w:instrText>
      </w:r>
      <w:r>
        <w:rPr>
          <w:rFonts w:hint="eastAsia"/>
        </w:rPr>
        <w:instrText xml:space="preserve"> </w:instrText>
      </w:r>
      <w:r>
        <w:rPr>
          <w:rFonts w:hint="eastAsia"/>
        </w:rPr>
        <w:fldChar w:fldCharType="separate"/>
      </w:r>
      <w:r>
        <w:rPr>
          <w:rFonts w:hint="eastAsia"/>
        </w:rPr>
        <w:t>72</w:t>
      </w:r>
      <w:r>
        <w:rPr>
          <w:rFonts w:hint="eastAsia"/>
        </w:rPr>
        <w:fldChar w:fldCharType="end"/>
      </w:r>
      <w:r>
        <w:rPr>
          <w:rFonts w:hint="eastAsia"/>
        </w:rPr>
        <w:fldChar w:fldCharType="end"/>
      </w:r>
    </w:p>
    <w:p w14:paraId="761124E8">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"_Toc221894097" </w:instrText>
      </w:r>
      <w:r>
        <w:fldChar w:fldCharType="separate"/>
      </w:r>
      <w:r>
        <w:rPr>
          <w:rStyle w:val="34"/>
          <w:rFonts w:hint="eastAsia" w:cs="Times New Roman"/>
        </w:rPr>
        <w:t>3、其他</w:t>
      </w:r>
      <w:r>
        <w:rPr>
          <w:rFonts w:hint="eastAsia"/>
        </w:rPr>
        <w:tab/>
      </w:r>
      <w:r>
        <w:rPr>
          <w:rFonts w:hint="eastAsia"/>
        </w:rPr>
        <w:fldChar w:fldCharType="begin"/>
      </w:r>
      <w:r>
        <w:rPr>
          <w:rFonts w:hint="eastAsia"/>
        </w:rPr>
        <w:instrText xml:space="preserve"> </w:instrText>
      </w:r>
      <w:r>
        <w:instrText xml:space="preserve">PAGEREF _Toc221894097 \h</w:instrText>
      </w:r>
      <w:r>
        <w:rPr>
          <w:rFonts w:hint="eastAsia"/>
        </w:rPr>
        <w:instrText xml:space="preserve"> </w:instrText>
      </w:r>
      <w:r>
        <w:rPr>
          <w:rFonts w:hint="eastAsia"/>
        </w:rPr>
        <w:fldChar w:fldCharType="separate"/>
      </w:r>
      <w:r>
        <w:rPr>
          <w:rFonts w:hint="eastAsia"/>
        </w:rPr>
        <w:t>72</w:t>
      </w:r>
      <w:r>
        <w:rPr>
          <w:rFonts w:hint="eastAsia"/>
        </w:rPr>
        <w:fldChar w:fldCharType="end"/>
      </w:r>
      <w:r>
        <w:rPr>
          <w:rFonts w:hint="eastAsia"/>
        </w:rPr>
        <w:fldChar w:fldCharType="end"/>
      </w:r>
    </w:p>
    <w:p w14:paraId="0AC1C4DB">
      <w:pPr>
        <w:pStyle w:val="20"/>
        <w:tabs>
          <w:tab w:val="right" w:leader="dot" w:pos="9060"/>
        </w:tabs>
        <w:rPr>
          <w:rFonts w:hint="eastAsia" w:asciiTheme="minorHAnsi" w:hAnsiTheme="minorHAnsi" w:eastAsiaTheme="minorEastAsia"/>
          <w:b w:val="0"/>
          <w:sz w:val="22"/>
          <w:szCs w:val="24"/>
          <w14:ligatures w14:val="standardContextual"/>
        </w:rPr>
      </w:pPr>
      <w:r>
        <w:fldChar w:fldCharType="begin"/>
      </w:r>
      <w:r>
        <w:instrText xml:space="preserve"> HYPERLINK \l "_Toc221894098" </w:instrText>
      </w:r>
      <w:r>
        <w:fldChar w:fldCharType="separate"/>
      </w:r>
      <w:r>
        <w:rPr>
          <w:rStyle w:val="34"/>
          <w:rFonts w:hint="eastAsia" w:cs="Times New Roman"/>
        </w:rPr>
        <w:t>三、工艺安排及要求</w:t>
      </w:r>
      <w:r>
        <w:rPr>
          <w:rFonts w:hint="eastAsia"/>
        </w:rPr>
        <w:tab/>
      </w:r>
      <w:r>
        <w:rPr>
          <w:rFonts w:hint="eastAsia"/>
        </w:rPr>
        <w:fldChar w:fldCharType="begin"/>
      </w:r>
      <w:r>
        <w:rPr>
          <w:rFonts w:hint="eastAsia"/>
        </w:rPr>
        <w:instrText xml:space="preserve"> </w:instrText>
      </w:r>
      <w:r>
        <w:instrText xml:space="preserve">PAGEREF _Toc221894098 \h</w:instrText>
      </w:r>
      <w:r>
        <w:rPr>
          <w:rFonts w:hint="eastAsia"/>
        </w:rPr>
        <w:instrText xml:space="preserve"> </w:instrText>
      </w:r>
      <w:r>
        <w:rPr>
          <w:rFonts w:hint="eastAsia"/>
        </w:rPr>
        <w:fldChar w:fldCharType="separate"/>
      </w:r>
      <w:r>
        <w:rPr>
          <w:rFonts w:hint="eastAsia"/>
        </w:rPr>
        <w:t>73</w:t>
      </w:r>
      <w:r>
        <w:rPr>
          <w:rFonts w:hint="eastAsia"/>
        </w:rPr>
        <w:fldChar w:fldCharType="end"/>
      </w:r>
      <w:r>
        <w:rPr>
          <w:rFonts w:hint="eastAsia"/>
        </w:rPr>
        <w:fldChar w:fldCharType="end"/>
      </w:r>
    </w:p>
    <w:p w14:paraId="46A9C0AD">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"_Toc221894099" </w:instrText>
      </w:r>
      <w:r>
        <w:fldChar w:fldCharType="separate"/>
      </w:r>
      <w:r>
        <w:rPr>
          <w:rStyle w:val="34"/>
          <w:rFonts w:hint="eastAsia"/>
        </w:rPr>
        <w:t>（一）垃圾焚烧处理厂</w:t>
      </w:r>
      <w:r>
        <w:rPr>
          <w:rFonts w:hint="eastAsia"/>
        </w:rPr>
        <w:tab/>
      </w:r>
      <w:r>
        <w:rPr>
          <w:rFonts w:hint="eastAsia"/>
        </w:rPr>
        <w:fldChar w:fldCharType="begin"/>
      </w:r>
      <w:r>
        <w:rPr>
          <w:rFonts w:hint="eastAsia"/>
        </w:rPr>
        <w:instrText xml:space="preserve"> </w:instrText>
      </w:r>
      <w:r>
        <w:instrText xml:space="preserve">PAGEREF _Toc221894099 \h</w:instrText>
      </w:r>
      <w:r>
        <w:rPr>
          <w:rFonts w:hint="eastAsia"/>
        </w:rPr>
        <w:instrText xml:space="preserve"> </w:instrText>
      </w:r>
      <w:r>
        <w:rPr>
          <w:rFonts w:hint="eastAsia"/>
        </w:rPr>
        <w:fldChar w:fldCharType="separate"/>
      </w:r>
      <w:r>
        <w:rPr>
          <w:rFonts w:hint="eastAsia"/>
        </w:rPr>
        <w:t>73</w:t>
      </w:r>
      <w:r>
        <w:rPr>
          <w:rFonts w:hint="eastAsia"/>
        </w:rPr>
        <w:fldChar w:fldCharType="end"/>
      </w:r>
      <w:r>
        <w:rPr>
          <w:rFonts w:hint="eastAsia"/>
        </w:rPr>
        <w:fldChar w:fldCharType="end"/>
      </w:r>
    </w:p>
    <w:p w14:paraId="795192BF">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"_Toc221894100" </w:instrText>
      </w:r>
      <w:r>
        <w:fldChar w:fldCharType="separate"/>
      </w:r>
      <w:r>
        <w:rPr>
          <w:rStyle w:val="34"/>
          <w:rFonts w:hint="eastAsia" w:ascii="Times New Roman" w:hAnsi="Times New Roman" w:cs="Times New Roman"/>
          <w:b/>
        </w:rPr>
        <w:t>1、工艺方案</w:t>
      </w:r>
      <w:r>
        <w:rPr>
          <w:rFonts w:hint="eastAsia"/>
        </w:rPr>
        <w:tab/>
      </w:r>
      <w:r>
        <w:rPr>
          <w:rFonts w:hint="eastAsia"/>
        </w:rPr>
        <w:fldChar w:fldCharType="begin"/>
      </w:r>
      <w:r>
        <w:rPr>
          <w:rFonts w:hint="eastAsia"/>
        </w:rPr>
        <w:instrText xml:space="preserve"> </w:instrText>
      </w:r>
      <w:r>
        <w:instrText xml:space="preserve">PAGEREF _Toc221894100 \h</w:instrText>
      </w:r>
      <w:r>
        <w:rPr>
          <w:rFonts w:hint="eastAsia"/>
        </w:rPr>
        <w:instrText xml:space="preserve"> </w:instrText>
      </w:r>
      <w:r>
        <w:rPr>
          <w:rFonts w:hint="eastAsia"/>
        </w:rPr>
        <w:fldChar w:fldCharType="separate"/>
      </w:r>
      <w:r>
        <w:rPr>
          <w:rFonts w:hint="eastAsia"/>
        </w:rPr>
        <w:t>73</w:t>
      </w:r>
      <w:r>
        <w:rPr>
          <w:rFonts w:hint="eastAsia"/>
        </w:rPr>
        <w:fldChar w:fldCharType="end"/>
      </w:r>
      <w:r>
        <w:rPr>
          <w:rFonts w:hint="eastAsia"/>
        </w:rPr>
        <w:fldChar w:fldCharType="end"/>
      </w:r>
    </w:p>
    <w:p w14:paraId="4977AACA">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"_Toc221894101" </w:instrText>
      </w:r>
      <w:r>
        <w:fldChar w:fldCharType="separate"/>
      </w:r>
      <w:r>
        <w:rPr>
          <w:rStyle w:val="34"/>
          <w:rFonts w:hint="eastAsia" w:ascii="Times New Roman" w:hAnsi="Times New Roman" w:cs="Times New Roman"/>
          <w:b/>
        </w:rPr>
        <w:t>2、流程安排</w:t>
      </w:r>
      <w:r>
        <w:rPr>
          <w:rFonts w:hint="eastAsia"/>
        </w:rPr>
        <w:tab/>
      </w:r>
      <w:r>
        <w:rPr>
          <w:rFonts w:hint="eastAsia"/>
        </w:rPr>
        <w:fldChar w:fldCharType="begin"/>
      </w:r>
      <w:r>
        <w:rPr>
          <w:rFonts w:hint="eastAsia"/>
        </w:rPr>
        <w:instrText xml:space="preserve"> </w:instrText>
      </w:r>
      <w:r>
        <w:instrText xml:space="preserve">PAGEREF _Toc221894101 \h</w:instrText>
      </w:r>
      <w:r>
        <w:rPr>
          <w:rFonts w:hint="eastAsia"/>
        </w:rPr>
        <w:instrText xml:space="preserve"> </w:instrText>
      </w:r>
      <w:r>
        <w:rPr>
          <w:rFonts w:hint="eastAsia"/>
        </w:rPr>
        <w:fldChar w:fldCharType="separate"/>
      </w:r>
      <w:r>
        <w:rPr>
          <w:rFonts w:hint="eastAsia"/>
        </w:rPr>
        <w:t>73</w:t>
      </w:r>
      <w:r>
        <w:rPr>
          <w:rFonts w:hint="eastAsia"/>
        </w:rPr>
        <w:fldChar w:fldCharType="end"/>
      </w:r>
      <w:r>
        <w:rPr>
          <w:rFonts w:hint="eastAsia"/>
        </w:rPr>
        <w:fldChar w:fldCharType="end"/>
      </w:r>
    </w:p>
    <w:p w14:paraId="0EDFD589">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"_Toc221894102" </w:instrText>
      </w:r>
      <w:r>
        <w:fldChar w:fldCharType="separate"/>
      </w:r>
      <w:r>
        <w:rPr>
          <w:rStyle w:val="34"/>
          <w:rFonts w:hint="eastAsia" w:ascii="Times New Roman" w:hAnsi="Times New Roman" w:cs="Times New Roman"/>
          <w:b/>
        </w:rPr>
        <w:t>3、质量要求</w:t>
      </w:r>
      <w:r>
        <w:rPr>
          <w:rFonts w:hint="eastAsia"/>
        </w:rPr>
        <w:tab/>
      </w:r>
      <w:r>
        <w:rPr>
          <w:rFonts w:hint="eastAsia"/>
        </w:rPr>
        <w:fldChar w:fldCharType="begin"/>
      </w:r>
      <w:r>
        <w:rPr>
          <w:rFonts w:hint="eastAsia"/>
        </w:rPr>
        <w:instrText xml:space="preserve"> </w:instrText>
      </w:r>
      <w:r>
        <w:instrText xml:space="preserve">PAGEREF _Toc221894102 \h</w:instrText>
      </w:r>
      <w:r>
        <w:rPr>
          <w:rFonts w:hint="eastAsia"/>
        </w:rPr>
        <w:instrText xml:space="preserve"> </w:instrText>
      </w:r>
      <w:r>
        <w:rPr>
          <w:rFonts w:hint="eastAsia"/>
        </w:rPr>
        <w:fldChar w:fldCharType="separate"/>
      </w:r>
      <w:r>
        <w:rPr>
          <w:rFonts w:hint="eastAsia"/>
        </w:rPr>
        <w:t>75</w:t>
      </w:r>
      <w:r>
        <w:rPr>
          <w:rFonts w:hint="eastAsia"/>
        </w:rPr>
        <w:fldChar w:fldCharType="end"/>
      </w:r>
      <w:r>
        <w:rPr>
          <w:rFonts w:hint="eastAsia"/>
        </w:rPr>
        <w:fldChar w:fldCharType="end"/>
      </w:r>
    </w:p>
    <w:p w14:paraId="3C0FAD8E">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"_Toc221894103" </w:instrText>
      </w:r>
      <w:r>
        <w:fldChar w:fldCharType="separate"/>
      </w:r>
      <w:r>
        <w:rPr>
          <w:rStyle w:val="34"/>
          <w:rFonts w:hint="eastAsia" w:ascii="Times New Roman" w:hAnsi="Times New Roman" w:cs="Times New Roman"/>
          <w:b/>
        </w:rPr>
        <w:t>4、产能要求</w:t>
      </w:r>
      <w:r>
        <w:rPr>
          <w:rFonts w:hint="eastAsia"/>
        </w:rPr>
        <w:tab/>
      </w:r>
      <w:r>
        <w:rPr>
          <w:rFonts w:hint="eastAsia"/>
        </w:rPr>
        <w:fldChar w:fldCharType="begin"/>
      </w:r>
      <w:r>
        <w:rPr>
          <w:rFonts w:hint="eastAsia"/>
        </w:rPr>
        <w:instrText xml:space="preserve"> </w:instrText>
      </w:r>
      <w:r>
        <w:instrText xml:space="preserve">PAGEREF _Toc221894103 \h</w:instrText>
      </w:r>
      <w:r>
        <w:rPr>
          <w:rFonts w:hint="eastAsia"/>
        </w:rPr>
        <w:instrText xml:space="preserve"> </w:instrText>
      </w:r>
      <w:r>
        <w:rPr>
          <w:rFonts w:hint="eastAsia"/>
        </w:rPr>
        <w:fldChar w:fldCharType="separate"/>
      </w:r>
      <w:r>
        <w:rPr>
          <w:rFonts w:hint="eastAsia"/>
        </w:rPr>
        <w:t>77</w:t>
      </w:r>
      <w:r>
        <w:rPr>
          <w:rFonts w:hint="eastAsia"/>
        </w:rPr>
        <w:fldChar w:fldCharType="end"/>
      </w:r>
      <w:r>
        <w:rPr>
          <w:rFonts w:hint="eastAsia"/>
        </w:rPr>
        <w:fldChar w:fldCharType="end"/>
      </w:r>
    </w:p>
    <w:p w14:paraId="4081F0AF">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"_Toc221894104" </w:instrText>
      </w:r>
      <w:r>
        <w:fldChar w:fldCharType="separate"/>
      </w:r>
      <w:r>
        <w:rPr>
          <w:rStyle w:val="34"/>
          <w:rFonts w:hint="eastAsia" w:ascii="Times New Roman" w:hAnsi="Times New Roman" w:cs="Times New Roman"/>
          <w:b/>
        </w:rPr>
        <w:t>5、技术要求</w:t>
      </w:r>
      <w:r>
        <w:rPr>
          <w:rFonts w:hint="eastAsia"/>
        </w:rPr>
        <w:tab/>
      </w:r>
      <w:r>
        <w:rPr>
          <w:rFonts w:hint="eastAsia"/>
        </w:rPr>
        <w:fldChar w:fldCharType="begin"/>
      </w:r>
      <w:r>
        <w:rPr>
          <w:rFonts w:hint="eastAsia"/>
        </w:rPr>
        <w:instrText xml:space="preserve"> </w:instrText>
      </w:r>
      <w:r>
        <w:instrText xml:space="preserve">PAGEREF _Toc221894104 \h</w:instrText>
      </w:r>
      <w:r>
        <w:rPr>
          <w:rFonts w:hint="eastAsia"/>
        </w:rPr>
        <w:instrText xml:space="preserve"> </w:instrText>
      </w:r>
      <w:r>
        <w:rPr>
          <w:rFonts w:hint="eastAsia"/>
        </w:rPr>
        <w:fldChar w:fldCharType="separate"/>
      </w:r>
      <w:r>
        <w:rPr>
          <w:rFonts w:hint="eastAsia"/>
        </w:rPr>
        <w:t>78</w:t>
      </w:r>
      <w:r>
        <w:rPr>
          <w:rFonts w:hint="eastAsia"/>
        </w:rPr>
        <w:fldChar w:fldCharType="end"/>
      </w:r>
      <w:r>
        <w:rPr>
          <w:rFonts w:hint="eastAsia"/>
        </w:rPr>
        <w:fldChar w:fldCharType="end"/>
      </w:r>
    </w:p>
    <w:p w14:paraId="53FB4A15">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"_Toc221894105" </w:instrText>
      </w:r>
      <w:r>
        <w:fldChar w:fldCharType="separate"/>
      </w:r>
      <w:r>
        <w:rPr>
          <w:rStyle w:val="34"/>
          <w:rFonts w:hint="eastAsia" w:ascii="Times New Roman" w:hAnsi="Times New Roman" w:cs="Times New Roman"/>
          <w:b/>
        </w:rPr>
        <w:t>6、安全生产要求</w:t>
      </w:r>
      <w:r>
        <w:rPr>
          <w:rFonts w:hint="eastAsia"/>
        </w:rPr>
        <w:tab/>
      </w:r>
      <w:r>
        <w:rPr>
          <w:rFonts w:hint="eastAsia"/>
        </w:rPr>
        <w:fldChar w:fldCharType="begin"/>
      </w:r>
      <w:r>
        <w:rPr>
          <w:rFonts w:hint="eastAsia"/>
        </w:rPr>
        <w:instrText xml:space="preserve"> </w:instrText>
      </w:r>
      <w:r>
        <w:instrText xml:space="preserve">PAGEREF _Toc221894105 \h</w:instrText>
      </w:r>
      <w:r>
        <w:rPr>
          <w:rFonts w:hint="eastAsia"/>
        </w:rPr>
        <w:instrText xml:space="preserve"> </w:instrText>
      </w:r>
      <w:r>
        <w:rPr>
          <w:rFonts w:hint="eastAsia"/>
        </w:rPr>
        <w:fldChar w:fldCharType="separate"/>
      </w:r>
      <w:r>
        <w:rPr>
          <w:rFonts w:hint="eastAsia"/>
        </w:rPr>
        <w:t>79</w:t>
      </w:r>
      <w:r>
        <w:rPr>
          <w:rFonts w:hint="eastAsia"/>
        </w:rPr>
        <w:fldChar w:fldCharType="end"/>
      </w:r>
      <w:r>
        <w:rPr>
          <w:rFonts w:hint="eastAsia"/>
        </w:rPr>
        <w:fldChar w:fldCharType="end"/>
      </w:r>
    </w:p>
    <w:p w14:paraId="6A55DFAB">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"_Toc221894106" </w:instrText>
      </w:r>
      <w:r>
        <w:fldChar w:fldCharType="separate"/>
      </w:r>
      <w:r>
        <w:rPr>
          <w:rStyle w:val="34"/>
          <w:rFonts w:hint="eastAsia" w:ascii="Times New Roman" w:hAnsi="Times New Roman" w:cs="Times New Roman"/>
          <w:b/>
        </w:rPr>
        <w:t>7、环保要求</w:t>
      </w:r>
      <w:r>
        <w:rPr>
          <w:rFonts w:hint="eastAsia"/>
        </w:rPr>
        <w:tab/>
      </w:r>
      <w:r>
        <w:rPr>
          <w:rFonts w:hint="eastAsia"/>
        </w:rPr>
        <w:fldChar w:fldCharType="begin"/>
      </w:r>
      <w:r>
        <w:rPr>
          <w:rFonts w:hint="eastAsia"/>
        </w:rPr>
        <w:instrText xml:space="preserve"> </w:instrText>
      </w:r>
      <w:r>
        <w:instrText xml:space="preserve">PAGEREF _Toc221894106 \h</w:instrText>
      </w:r>
      <w:r>
        <w:rPr>
          <w:rFonts w:hint="eastAsia"/>
        </w:rPr>
        <w:instrText xml:space="preserve"> </w:instrText>
      </w:r>
      <w:r>
        <w:rPr>
          <w:rFonts w:hint="eastAsia"/>
        </w:rPr>
        <w:fldChar w:fldCharType="separate"/>
      </w:r>
      <w:r>
        <w:rPr>
          <w:rFonts w:hint="eastAsia"/>
        </w:rPr>
        <w:t>81</w:t>
      </w:r>
      <w:r>
        <w:rPr>
          <w:rFonts w:hint="eastAsia"/>
        </w:rPr>
        <w:fldChar w:fldCharType="end"/>
      </w:r>
      <w:r>
        <w:rPr>
          <w:rFonts w:hint="eastAsia"/>
        </w:rPr>
        <w:fldChar w:fldCharType="end"/>
      </w:r>
    </w:p>
    <w:p w14:paraId="7B728D5E">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"_Toc221894107" </w:instrText>
      </w:r>
      <w:r>
        <w:fldChar w:fldCharType="separate"/>
      </w:r>
      <w:r>
        <w:rPr>
          <w:rStyle w:val="34"/>
          <w:rFonts w:hint="eastAsia" w:ascii="Times New Roman" w:hAnsi="Times New Roman" w:cs="Times New Roman"/>
          <w:b/>
        </w:rPr>
        <w:t>8、经济性和合理性要求</w:t>
      </w:r>
      <w:r>
        <w:rPr>
          <w:rFonts w:hint="eastAsia"/>
        </w:rPr>
        <w:tab/>
      </w:r>
      <w:r>
        <w:rPr>
          <w:rFonts w:hint="eastAsia"/>
        </w:rPr>
        <w:fldChar w:fldCharType="begin"/>
      </w:r>
      <w:r>
        <w:rPr>
          <w:rFonts w:hint="eastAsia"/>
        </w:rPr>
        <w:instrText xml:space="preserve"> </w:instrText>
      </w:r>
      <w:r>
        <w:instrText xml:space="preserve">PAGEREF _Toc221894107 \h</w:instrText>
      </w:r>
      <w:r>
        <w:rPr>
          <w:rFonts w:hint="eastAsia"/>
        </w:rPr>
        <w:instrText xml:space="preserve"> </w:instrText>
      </w:r>
      <w:r>
        <w:rPr>
          <w:rFonts w:hint="eastAsia"/>
        </w:rPr>
        <w:fldChar w:fldCharType="separate"/>
      </w:r>
      <w:r>
        <w:rPr>
          <w:rFonts w:hint="eastAsia"/>
        </w:rPr>
        <w:t>84</w:t>
      </w:r>
      <w:r>
        <w:rPr>
          <w:rFonts w:hint="eastAsia"/>
        </w:rPr>
        <w:fldChar w:fldCharType="end"/>
      </w:r>
      <w:r>
        <w:rPr>
          <w:rFonts w:hint="eastAsia"/>
        </w:rPr>
        <w:fldChar w:fldCharType="end"/>
      </w:r>
    </w:p>
    <w:p w14:paraId="74A63EB7">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"_Toc221894108" </w:instrText>
      </w:r>
      <w:r>
        <w:fldChar w:fldCharType="separate"/>
      </w:r>
      <w:r>
        <w:rPr>
          <w:rStyle w:val="34"/>
          <w:rFonts w:hint="eastAsia" w:ascii="Times New Roman" w:hAnsi="Times New Roman" w:cs="Times New Roman"/>
          <w:b/>
        </w:rPr>
        <w:t>9、工艺试验要求</w:t>
      </w:r>
      <w:r>
        <w:rPr>
          <w:rFonts w:hint="eastAsia"/>
        </w:rPr>
        <w:tab/>
      </w:r>
      <w:r>
        <w:rPr>
          <w:rFonts w:hint="eastAsia"/>
        </w:rPr>
        <w:fldChar w:fldCharType="begin"/>
      </w:r>
      <w:r>
        <w:rPr>
          <w:rFonts w:hint="eastAsia"/>
        </w:rPr>
        <w:instrText xml:space="preserve"> </w:instrText>
      </w:r>
      <w:r>
        <w:instrText xml:space="preserve">PAGEREF _Toc221894108 \h</w:instrText>
      </w:r>
      <w:r>
        <w:rPr>
          <w:rFonts w:hint="eastAsia"/>
        </w:rPr>
        <w:instrText xml:space="preserve"> </w:instrText>
      </w:r>
      <w:r>
        <w:rPr>
          <w:rFonts w:hint="eastAsia"/>
        </w:rPr>
        <w:fldChar w:fldCharType="separate"/>
      </w:r>
      <w:r>
        <w:rPr>
          <w:rFonts w:hint="eastAsia"/>
        </w:rPr>
        <w:t>85</w:t>
      </w:r>
      <w:r>
        <w:rPr>
          <w:rFonts w:hint="eastAsia"/>
        </w:rPr>
        <w:fldChar w:fldCharType="end"/>
      </w:r>
      <w:r>
        <w:rPr>
          <w:rFonts w:hint="eastAsia"/>
        </w:rPr>
        <w:fldChar w:fldCharType="end"/>
      </w:r>
    </w:p>
    <w:p w14:paraId="28C0DE27">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"_Toc221894109" </w:instrText>
      </w:r>
      <w:r>
        <w:fldChar w:fldCharType="separate"/>
      </w:r>
      <w:r>
        <w:rPr>
          <w:rStyle w:val="34"/>
          <w:rFonts w:hint="eastAsia" w:ascii="Times New Roman" w:hAnsi="Times New Roman" w:cs="Times New Roman"/>
          <w:b/>
        </w:rPr>
        <w:t>10、其他要求</w:t>
      </w:r>
      <w:r>
        <w:rPr>
          <w:rFonts w:hint="eastAsia"/>
        </w:rPr>
        <w:tab/>
      </w:r>
      <w:r>
        <w:rPr>
          <w:rFonts w:hint="eastAsia"/>
        </w:rPr>
        <w:fldChar w:fldCharType="begin"/>
      </w:r>
      <w:r>
        <w:rPr>
          <w:rFonts w:hint="eastAsia"/>
        </w:rPr>
        <w:instrText xml:space="preserve"> </w:instrText>
      </w:r>
      <w:r>
        <w:instrText xml:space="preserve">PAGEREF _Toc221894109 \h</w:instrText>
      </w:r>
      <w:r>
        <w:rPr>
          <w:rFonts w:hint="eastAsia"/>
        </w:rPr>
        <w:instrText xml:space="preserve"> </w:instrText>
      </w:r>
      <w:r>
        <w:rPr>
          <w:rFonts w:hint="eastAsia"/>
        </w:rPr>
        <w:fldChar w:fldCharType="separate"/>
      </w:r>
      <w:r>
        <w:rPr>
          <w:rFonts w:hint="eastAsia"/>
        </w:rPr>
        <w:t>87</w:t>
      </w:r>
      <w:r>
        <w:rPr>
          <w:rFonts w:hint="eastAsia"/>
        </w:rPr>
        <w:fldChar w:fldCharType="end"/>
      </w:r>
      <w:r>
        <w:rPr>
          <w:rFonts w:hint="eastAsia"/>
        </w:rPr>
        <w:fldChar w:fldCharType="end"/>
      </w:r>
    </w:p>
    <w:p w14:paraId="0A1758C3">
      <w:pPr>
        <w:pStyle w:val="20"/>
        <w:tabs>
          <w:tab w:val="right" w:leader="dot" w:pos="9060"/>
        </w:tabs>
        <w:rPr>
          <w:rFonts w:hint="eastAsia" w:asciiTheme="minorHAnsi" w:hAnsiTheme="minorHAnsi" w:eastAsiaTheme="minorEastAsia"/>
          <w:b w:val="0"/>
          <w:sz w:val="22"/>
          <w:szCs w:val="24"/>
          <w14:ligatures w14:val="standardContextual"/>
        </w:rPr>
      </w:pPr>
      <w:r>
        <w:fldChar w:fldCharType="begin"/>
      </w:r>
      <w:r>
        <w:instrText xml:space="preserve"> HYPERLINK \l "_Toc221894110" </w:instrText>
      </w:r>
      <w:r>
        <w:fldChar w:fldCharType="separate"/>
      </w:r>
      <w:r>
        <w:rPr>
          <w:rStyle w:val="34"/>
          <w:rFonts w:hint="eastAsia" w:ascii="Times New Roman" w:hAnsi="Times New Roman" w:eastAsia="黑体" w:cs="Times New Roman"/>
        </w:rPr>
        <w:t>四、时间要求</w:t>
      </w:r>
      <w:r>
        <w:rPr>
          <w:rFonts w:hint="eastAsia"/>
        </w:rPr>
        <w:tab/>
      </w:r>
      <w:r>
        <w:rPr>
          <w:rFonts w:hint="eastAsia"/>
        </w:rPr>
        <w:fldChar w:fldCharType="begin"/>
      </w:r>
      <w:r>
        <w:rPr>
          <w:rFonts w:hint="eastAsia"/>
        </w:rPr>
        <w:instrText xml:space="preserve"> </w:instrText>
      </w:r>
      <w:r>
        <w:instrText xml:space="preserve">PAGEREF _Toc221894110 \h</w:instrText>
      </w:r>
      <w:r>
        <w:rPr>
          <w:rFonts w:hint="eastAsia"/>
        </w:rPr>
        <w:instrText xml:space="preserve"> </w:instrText>
      </w:r>
      <w:r>
        <w:rPr>
          <w:rFonts w:hint="eastAsia"/>
        </w:rPr>
        <w:fldChar w:fldCharType="separate"/>
      </w:r>
      <w:r>
        <w:rPr>
          <w:rFonts w:hint="eastAsia"/>
        </w:rPr>
        <w:t>90</w:t>
      </w:r>
      <w:r>
        <w:rPr>
          <w:rFonts w:hint="eastAsia"/>
        </w:rPr>
        <w:fldChar w:fldCharType="end"/>
      </w:r>
      <w:r>
        <w:rPr>
          <w:rFonts w:hint="eastAsia"/>
        </w:rPr>
        <w:fldChar w:fldCharType="end"/>
      </w:r>
    </w:p>
    <w:p w14:paraId="3CB4D51B">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"_Toc221894111" </w:instrText>
      </w:r>
      <w:r>
        <w:fldChar w:fldCharType="separate"/>
      </w:r>
      <w:r>
        <w:rPr>
          <w:rStyle w:val="34"/>
          <w:rFonts w:hint="eastAsia"/>
        </w:rPr>
        <w:t>（一）计划总工期</w:t>
      </w:r>
      <w:r>
        <w:rPr>
          <w:rFonts w:hint="eastAsia"/>
        </w:rPr>
        <w:tab/>
      </w:r>
      <w:r>
        <w:rPr>
          <w:rFonts w:hint="eastAsia"/>
        </w:rPr>
        <w:fldChar w:fldCharType="begin"/>
      </w:r>
      <w:r>
        <w:rPr>
          <w:rFonts w:hint="eastAsia"/>
        </w:rPr>
        <w:instrText xml:space="preserve"> </w:instrText>
      </w:r>
      <w:r>
        <w:instrText xml:space="preserve">PAGEREF _Toc221894111 \h</w:instrText>
      </w:r>
      <w:r>
        <w:rPr>
          <w:rFonts w:hint="eastAsia"/>
        </w:rPr>
        <w:instrText xml:space="preserve"> </w:instrText>
      </w:r>
      <w:r>
        <w:rPr>
          <w:rFonts w:hint="eastAsia"/>
        </w:rPr>
        <w:fldChar w:fldCharType="separate"/>
      </w:r>
      <w:r>
        <w:rPr>
          <w:rFonts w:hint="eastAsia"/>
        </w:rPr>
        <w:t>90</w:t>
      </w:r>
      <w:r>
        <w:rPr>
          <w:rFonts w:hint="eastAsia"/>
        </w:rPr>
        <w:fldChar w:fldCharType="end"/>
      </w:r>
      <w:r>
        <w:rPr>
          <w:rFonts w:hint="eastAsia"/>
        </w:rPr>
        <w:fldChar w:fldCharType="end"/>
      </w:r>
    </w:p>
    <w:p w14:paraId="0060435B">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"_Toc221894112" </w:instrText>
      </w:r>
      <w:r>
        <w:fldChar w:fldCharType="separate"/>
      </w:r>
      <w:r>
        <w:rPr>
          <w:rStyle w:val="34"/>
          <w:rFonts w:hint="eastAsia"/>
        </w:rPr>
        <w:t>（二）开始时间</w:t>
      </w:r>
      <w:r>
        <w:rPr>
          <w:rFonts w:hint="eastAsia"/>
        </w:rPr>
        <w:tab/>
      </w:r>
      <w:r>
        <w:rPr>
          <w:rFonts w:hint="eastAsia"/>
        </w:rPr>
        <w:fldChar w:fldCharType="begin"/>
      </w:r>
      <w:r>
        <w:rPr>
          <w:rFonts w:hint="eastAsia"/>
        </w:rPr>
        <w:instrText xml:space="preserve"> </w:instrText>
      </w:r>
      <w:r>
        <w:instrText xml:space="preserve">PAGEREF _Toc221894112 \h</w:instrText>
      </w:r>
      <w:r>
        <w:rPr>
          <w:rFonts w:hint="eastAsia"/>
        </w:rPr>
        <w:instrText xml:space="preserve"> </w:instrText>
      </w:r>
      <w:r>
        <w:rPr>
          <w:rFonts w:hint="eastAsia"/>
        </w:rPr>
        <w:fldChar w:fldCharType="separate"/>
      </w:r>
      <w:r>
        <w:rPr>
          <w:rFonts w:hint="eastAsia"/>
        </w:rPr>
        <w:t>90</w:t>
      </w:r>
      <w:r>
        <w:rPr>
          <w:rFonts w:hint="eastAsia"/>
        </w:rPr>
        <w:fldChar w:fldCharType="end"/>
      </w:r>
      <w:r>
        <w:rPr>
          <w:rFonts w:hint="eastAsia"/>
        </w:rPr>
        <w:fldChar w:fldCharType="end"/>
      </w:r>
    </w:p>
    <w:p w14:paraId="0804A5AC">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"_Toc221894113" </w:instrText>
      </w:r>
      <w:r>
        <w:fldChar w:fldCharType="separate"/>
      </w:r>
      <w:r>
        <w:rPr>
          <w:rStyle w:val="34"/>
          <w:rFonts w:hint="eastAsia"/>
        </w:rPr>
        <w:t>（三）完成时间</w:t>
      </w:r>
      <w:r>
        <w:rPr>
          <w:rFonts w:hint="eastAsia"/>
        </w:rPr>
        <w:tab/>
      </w:r>
      <w:r>
        <w:rPr>
          <w:rFonts w:hint="eastAsia"/>
        </w:rPr>
        <w:fldChar w:fldCharType="begin"/>
      </w:r>
      <w:r>
        <w:rPr>
          <w:rFonts w:hint="eastAsia"/>
        </w:rPr>
        <w:instrText xml:space="preserve"> </w:instrText>
      </w:r>
      <w:r>
        <w:instrText xml:space="preserve">PAGEREF _Toc221894113 \h</w:instrText>
      </w:r>
      <w:r>
        <w:rPr>
          <w:rFonts w:hint="eastAsia"/>
        </w:rPr>
        <w:instrText xml:space="preserve"> </w:instrText>
      </w:r>
      <w:r>
        <w:rPr>
          <w:rFonts w:hint="eastAsia"/>
        </w:rPr>
        <w:fldChar w:fldCharType="separate"/>
      </w:r>
      <w:r>
        <w:rPr>
          <w:rFonts w:hint="eastAsia"/>
        </w:rPr>
        <w:t>90</w:t>
      </w:r>
      <w:r>
        <w:rPr>
          <w:rFonts w:hint="eastAsia"/>
        </w:rPr>
        <w:fldChar w:fldCharType="end"/>
      </w:r>
      <w:r>
        <w:rPr>
          <w:rFonts w:hint="eastAsia"/>
        </w:rPr>
        <w:fldChar w:fldCharType="end"/>
      </w:r>
    </w:p>
    <w:p w14:paraId="35546006">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"_Toc221894114" </w:instrText>
      </w:r>
      <w:r>
        <w:fldChar w:fldCharType="separate"/>
      </w:r>
      <w:r>
        <w:rPr>
          <w:rStyle w:val="34"/>
          <w:rFonts w:hint="eastAsia"/>
        </w:rPr>
        <w:t>（四）缺陷责任期</w:t>
      </w:r>
      <w:r>
        <w:rPr>
          <w:rFonts w:hint="eastAsia"/>
        </w:rPr>
        <w:tab/>
      </w:r>
      <w:r>
        <w:rPr>
          <w:rFonts w:hint="eastAsia"/>
        </w:rPr>
        <w:fldChar w:fldCharType="begin"/>
      </w:r>
      <w:r>
        <w:rPr>
          <w:rFonts w:hint="eastAsia"/>
        </w:rPr>
        <w:instrText xml:space="preserve"> </w:instrText>
      </w:r>
      <w:r>
        <w:instrText xml:space="preserve">PAGEREF _Toc221894114 \h</w:instrText>
      </w:r>
      <w:r>
        <w:rPr>
          <w:rFonts w:hint="eastAsia"/>
        </w:rPr>
        <w:instrText xml:space="preserve"> </w:instrText>
      </w:r>
      <w:r>
        <w:rPr>
          <w:rFonts w:hint="eastAsia"/>
        </w:rPr>
        <w:fldChar w:fldCharType="separate"/>
      </w:r>
      <w:r>
        <w:rPr>
          <w:rFonts w:hint="eastAsia"/>
        </w:rPr>
        <w:t>90</w:t>
      </w:r>
      <w:r>
        <w:rPr>
          <w:rFonts w:hint="eastAsia"/>
        </w:rPr>
        <w:fldChar w:fldCharType="end"/>
      </w:r>
      <w:r>
        <w:rPr>
          <w:rFonts w:hint="eastAsia"/>
        </w:rPr>
        <w:fldChar w:fldCharType="end"/>
      </w:r>
    </w:p>
    <w:p w14:paraId="00F4924D">
      <w:pPr>
        <w:pStyle w:val="20"/>
        <w:tabs>
          <w:tab w:val="right" w:leader="dot" w:pos="9060"/>
        </w:tabs>
        <w:rPr>
          <w:rFonts w:hint="eastAsia" w:asciiTheme="minorHAnsi" w:hAnsiTheme="minorHAnsi" w:eastAsiaTheme="minorEastAsia"/>
          <w:b w:val="0"/>
          <w:sz w:val="22"/>
          <w:szCs w:val="24"/>
          <w14:ligatures w14:val="standardContextual"/>
        </w:rPr>
      </w:pPr>
      <w:r>
        <w:fldChar w:fldCharType="begin"/>
      </w:r>
      <w:r>
        <w:instrText xml:space="preserve"> HYPERLINK \l "_Toc221894115" </w:instrText>
      </w:r>
      <w:r>
        <w:fldChar w:fldCharType="separate"/>
      </w:r>
      <w:r>
        <w:rPr>
          <w:rStyle w:val="34"/>
          <w:rFonts w:hint="eastAsia" w:cs="Times New Roman"/>
        </w:rPr>
        <w:t>五、技术要求</w:t>
      </w:r>
      <w:r>
        <w:rPr>
          <w:rFonts w:hint="eastAsia"/>
        </w:rPr>
        <w:tab/>
      </w:r>
      <w:r>
        <w:rPr>
          <w:rFonts w:hint="eastAsia"/>
        </w:rPr>
        <w:fldChar w:fldCharType="begin"/>
      </w:r>
      <w:r>
        <w:rPr>
          <w:rFonts w:hint="eastAsia"/>
        </w:rPr>
        <w:instrText xml:space="preserve"> </w:instrText>
      </w:r>
      <w:r>
        <w:instrText xml:space="preserve">PAGEREF _Toc221894115 \h</w:instrText>
      </w:r>
      <w:r>
        <w:rPr>
          <w:rFonts w:hint="eastAsia"/>
        </w:rPr>
        <w:instrText xml:space="preserve"> </w:instrText>
      </w:r>
      <w:r>
        <w:rPr>
          <w:rFonts w:hint="eastAsia"/>
        </w:rPr>
        <w:fldChar w:fldCharType="separate"/>
      </w:r>
      <w:r>
        <w:rPr>
          <w:rFonts w:hint="eastAsia"/>
        </w:rPr>
        <w:t>91</w:t>
      </w:r>
      <w:r>
        <w:rPr>
          <w:rFonts w:hint="eastAsia"/>
        </w:rPr>
        <w:fldChar w:fldCharType="end"/>
      </w:r>
      <w:r>
        <w:rPr>
          <w:rFonts w:hint="eastAsia"/>
        </w:rPr>
        <w:fldChar w:fldCharType="end"/>
      </w:r>
    </w:p>
    <w:p w14:paraId="419D4D2E">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"_Toc221894116" </w:instrText>
      </w:r>
      <w:r>
        <w:fldChar w:fldCharType="separate"/>
      </w:r>
      <w:r>
        <w:rPr>
          <w:rStyle w:val="34"/>
          <w:rFonts w:hint="eastAsia"/>
        </w:rPr>
        <w:t>（一）施工图设计</w:t>
      </w:r>
      <w:r>
        <w:rPr>
          <w:rFonts w:hint="eastAsia"/>
        </w:rPr>
        <w:tab/>
      </w:r>
      <w:r>
        <w:rPr>
          <w:rFonts w:hint="eastAsia"/>
        </w:rPr>
        <w:fldChar w:fldCharType="begin"/>
      </w:r>
      <w:r>
        <w:rPr>
          <w:rFonts w:hint="eastAsia"/>
        </w:rPr>
        <w:instrText xml:space="preserve"> </w:instrText>
      </w:r>
      <w:r>
        <w:instrText xml:space="preserve">PAGEREF _Toc221894116 \h</w:instrText>
      </w:r>
      <w:r>
        <w:rPr>
          <w:rFonts w:hint="eastAsia"/>
        </w:rPr>
        <w:instrText xml:space="preserve"> </w:instrText>
      </w:r>
      <w:r>
        <w:rPr>
          <w:rFonts w:hint="eastAsia"/>
        </w:rPr>
        <w:fldChar w:fldCharType="separate"/>
      </w:r>
      <w:r>
        <w:rPr>
          <w:rFonts w:hint="eastAsia"/>
        </w:rPr>
        <w:t>91</w:t>
      </w:r>
      <w:r>
        <w:rPr>
          <w:rFonts w:hint="eastAsia"/>
        </w:rPr>
        <w:fldChar w:fldCharType="end"/>
      </w:r>
      <w:r>
        <w:rPr>
          <w:rFonts w:hint="eastAsia"/>
        </w:rPr>
        <w:fldChar w:fldCharType="end"/>
      </w:r>
    </w:p>
    <w:p w14:paraId="4AA6BE8E">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"_Toc221894117" </w:instrText>
      </w:r>
      <w:r>
        <w:fldChar w:fldCharType="separate"/>
      </w:r>
      <w:r>
        <w:rPr>
          <w:rStyle w:val="34"/>
          <w:rFonts w:hint="eastAsia" w:cs="Times New Roman"/>
        </w:rPr>
        <w:t>1、目标和要求</w:t>
      </w:r>
      <w:r>
        <w:rPr>
          <w:rFonts w:hint="eastAsia"/>
        </w:rPr>
        <w:tab/>
      </w:r>
      <w:r>
        <w:rPr>
          <w:rFonts w:hint="eastAsia"/>
        </w:rPr>
        <w:fldChar w:fldCharType="begin"/>
      </w:r>
      <w:r>
        <w:rPr>
          <w:rFonts w:hint="eastAsia"/>
        </w:rPr>
        <w:instrText xml:space="preserve"> </w:instrText>
      </w:r>
      <w:r>
        <w:instrText xml:space="preserve">PAGEREF _Toc221894117 \h</w:instrText>
      </w:r>
      <w:r>
        <w:rPr>
          <w:rFonts w:hint="eastAsia"/>
        </w:rPr>
        <w:instrText xml:space="preserve"> </w:instrText>
      </w:r>
      <w:r>
        <w:rPr>
          <w:rFonts w:hint="eastAsia"/>
        </w:rPr>
        <w:fldChar w:fldCharType="separate"/>
      </w:r>
      <w:r>
        <w:rPr>
          <w:rFonts w:hint="eastAsia"/>
        </w:rPr>
        <w:t>91</w:t>
      </w:r>
      <w:r>
        <w:rPr>
          <w:rFonts w:hint="eastAsia"/>
        </w:rPr>
        <w:fldChar w:fldCharType="end"/>
      </w:r>
      <w:r>
        <w:rPr>
          <w:rFonts w:hint="eastAsia"/>
        </w:rPr>
        <w:fldChar w:fldCharType="end"/>
      </w:r>
    </w:p>
    <w:p w14:paraId="79E93D4D">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"_Toc221894118" </w:instrText>
      </w:r>
      <w:r>
        <w:fldChar w:fldCharType="separate"/>
      </w:r>
      <w:r>
        <w:rPr>
          <w:rStyle w:val="34"/>
          <w:rFonts w:hint="eastAsia" w:cs="Times New Roman"/>
        </w:rPr>
        <w:t>2、设计任务</w:t>
      </w:r>
      <w:r>
        <w:rPr>
          <w:rFonts w:hint="eastAsia"/>
        </w:rPr>
        <w:tab/>
      </w:r>
      <w:r>
        <w:rPr>
          <w:rFonts w:hint="eastAsia"/>
        </w:rPr>
        <w:fldChar w:fldCharType="begin"/>
      </w:r>
      <w:r>
        <w:rPr>
          <w:rFonts w:hint="eastAsia"/>
        </w:rPr>
        <w:instrText xml:space="preserve"> </w:instrText>
      </w:r>
      <w:r>
        <w:instrText xml:space="preserve">PAGEREF _Toc221894118 \h</w:instrText>
      </w:r>
      <w:r>
        <w:rPr>
          <w:rFonts w:hint="eastAsia"/>
        </w:rPr>
        <w:instrText xml:space="preserve"> </w:instrText>
      </w:r>
      <w:r>
        <w:rPr>
          <w:rFonts w:hint="eastAsia"/>
        </w:rPr>
        <w:fldChar w:fldCharType="separate"/>
      </w:r>
      <w:r>
        <w:rPr>
          <w:rFonts w:hint="eastAsia"/>
        </w:rPr>
        <w:t>92</w:t>
      </w:r>
      <w:r>
        <w:rPr>
          <w:rFonts w:hint="eastAsia"/>
        </w:rPr>
        <w:fldChar w:fldCharType="end"/>
      </w:r>
      <w:r>
        <w:rPr>
          <w:rFonts w:hint="eastAsia"/>
        </w:rPr>
        <w:fldChar w:fldCharType="end"/>
      </w:r>
    </w:p>
    <w:p w14:paraId="03E1AC83">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"_Toc221894119" </w:instrText>
      </w:r>
      <w:r>
        <w:fldChar w:fldCharType="separate"/>
      </w:r>
      <w:r>
        <w:rPr>
          <w:rStyle w:val="34"/>
          <w:rFonts w:hint="eastAsia"/>
        </w:rPr>
        <w:t>（二）设计标准和规范</w:t>
      </w:r>
      <w:r>
        <w:rPr>
          <w:rFonts w:hint="eastAsia"/>
        </w:rPr>
        <w:tab/>
      </w:r>
      <w:r>
        <w:rPr>
          <w:rFonts w:hint="eastAsia"/>
        </w:rPr>
        <w:fldChar w:fldCharType="begin"/>
      </w:r>
      <w:r>
        <w:rPr>
          <w:rFonts w:hint="eastAsia"/>
        </w:rPr>
        <w:instrText xml:space="preserve"> </w:instrText>
      </w:r>
      <w:r>
        <w:instrText xml:space="preserve">PAGEREF _Toc221894119 \h</w:instrText>
      </w:r>
      <w:r>
        <w:rPr>
          <w:rFonts w:hint="eastAsia"/>
        </w:rPr>
        <w:instrText xml:space="preserve"> </w:instrText>
      </w:r>
      <w:r>
        <w:rPr>
          <w:rFonts w:hint="eastAsia"/>
        </w:rPr>
        <w:fldChar w:fldCharType="separate"/>
      </w:r>
      <w:r>
        <w:rPr>
          <w:rFonts w:hint="eastAsia"/>
        </w:rPr>
        <w:t>98</w:t>
      </w:r>
      <w:r>
        <w:rPr>
          <w:rFonts w:hint="eastAsia"/>
        </w:rPr>
        <w:fldChar w:fldCharType="end"/>
      </w:r>
      <w:r>
        <w:rPr>
          <w:rFonts w:hint="eastAsia"/>
        </w:rPr>
        <w:fldChar w:fldCharType="end"/>
      </w:r>
    </w:p>
    <w:p w14:paraId="03A3C2AF">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"_Toc221894120" </w:instrText>
      </w:r>
      <w:r>
        <w:fldChar w:fldCharType="separate"/>
      </w:r>
      <w:r>
        <w:rPr>
          <w:rStyle w:val="34"/>
          <w:rFonts w:hint="eastAsia" w:cs="Times New Roman"/>
        </w:rPr>
        <w:t>1、建筑</w:t>
      </w:r>
      <w:r>
        <w:rPr>
          <w:rFonts w:hint="eastAsia"/>
        </w:rPr>
        <w:tab/>
      </w:r>
      <w:r>
        <w:rPr>
          <w:rFonts w:hint="eastAsia"/>
        </w:rPr>
        <w:fldChar w:fldCharType="begin"/>
      </w:r>
      <w:r>
        <w:rPr>
          <w:rFonts w:hint="eastAsia"/>
        </w:rPr>
        <w:instrText xml:space="preserve"> </w:instrText>
      </w:r>
      <w:r>
        <w:instrText xml:space="preserve">PAGEREF _Toc221894120 \h</w:instrText>
      </w:r>
      <w:r>
        <w:rPr>
          <w:rFonts w:hint="eastAsia"/>
        </w:rPr>
        <w:instrText xml:space="preserve"> </w:instrText>
      </w:r>
      <w:r>
        <w:rPr>
          <w:rFonts w:hint="eastAsia"/>
        </w:rPr>
        <w:fldChar w:fldCharType="separate"/>
      </w:r>
      <w:r>
        <w:rPr>
          <w:rFonts w:hint="eastAsia"/>
        </w:rPr>
        <w:t>98</w:t>
      </w:r>
      <w:r>
        <w:rPr>
          <w:rFonts w:hint="eastAsia"/>
        </w:rPr>
        <w:fldChar w:fldCharType="end"/>
      </w:r>
      <w:r>
        <w:rPr>
          <w:rFonts w:hint="eastAsia"/>
        </w:rPr>
        <w:fldChar w:fldCharType="end"/>
      </w:r>
    </w:p>
    <w:p w14:paraId="3C7063AE">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"_Toc221894121" </w:instrText>
      </w:r>
      <w:r>
        <w:fldChar w:fldCharType="separate"/>
      </w:r>
      <w:r>
        <w:rPr>
          <w:rStyle w:val="34"/>
          <w:rFonts w:hint="eastAsia" w:cs="Times New Roman"/>
        </w:rPr>
        <w:t>2、结构</w:t>
      </w:r>
      <w:r>
        <w:rPr>
          <w:rFonts w:hint="eastAsia"/>
        </w:rPr>
        <w:tab/>
      </w:r>
      <w:r>
        <w:rPr>
          <w:rFonts w:hint="eastAsia"/>
        </w:rPr>
        <w:fldChar w:fldCharType="begin"/>
      </w:r>
      <w:r>
        <w:rPr>
          <w:rFonts w:hint="eastAsia"/>
        </w:rPr>
        <w:instrText xml:space="preserve"> </w:instrText>
      </w:r>
      <w:r>
        <w:instrText xml:space="preserve">PAGEREF _Toc221894121 \h</w:instrText>
      </w:r>
      <w:r>
        <w:rPr>
          <w:rFonts w:hint="eastAsia"/>
        </w:rPr>
        <w:instrText xml:space="preserve"> </w:instrText>
      </w:r>
      <w:r>
        <w:rPr>
          <w:rFonts w:hint="eastAsia"/>
        </w:rPr>
        <w:fldChar w:fldCharType="separate"/>
      </w:r>
      <w:r>
        <w:rPr>
          <w:rFonts w:hint="eastAsia"/>
        </w:rPr>
        <w:t>100</w:t>
      </w:r>
      <w:r>
        <w:rPr>
          <w:rFonts w:hint="eastAsia"/>
        </w:rPr>
        <w:fldChar w:fldCharType="end"/>
      </w:r>
      <w:r>
        <w:rPr>
          <w:rFonts w:hint="eastAsia"/>
        </w:rPr>
        <w:fldChar w:fldCharType="end"/>
      </w:r>
    </w:p>
    <w:p w14:paraId="3EACD537">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"_Toc221894122" </w:instrText>
      </w:r>
      <w:r>
        <w:fldChar w:fldCharType="separate"/>
      </w:r>
      <w:r>
        <w:rPr>
          <w:rStyle w:val="34"/>
          <w:rFonts w:hint="eastAsia" w:cs="Times New Roman"/>
        </w:rPr>
        <w:t>3、 给排水</w:t>
      </w:r>
      <w:r>
        <w:rPr>
          <w:rFonts w:hint="eastAsia"/>
        </w:rPr>
        <w:tab/>
      </w:r>
      <w:r>
        <w:rPr>
          <w:rFonts w:hint="eastAsia"/>
        </w:rPr>
        <w:fldChar w:fldCharType="begin"/>
      </w:r>
      <w:r>
        <w:rPr>
          <w:rFonts w:hint="eastAsia"/>
        </w:rPr>
        <w:instrText xml:space="preserve"> </w:instrText>
      </w:r>
      <w:r>
        <w:instrText xml:space="preserve">PAGEREF _Toc221894122 \h</w:instrText>
      </w:r>
      <w:r>
        <w:rPr>
          <w:rFonts w:hint="eastAsia"/>
        </w:rPr>
        <w:instrText xml:space="preserve"> </w:instrText>
      </w:r>
      <w:r>
        <w:rPr>
          <w:rFonts w:hint="eastAsia"/>
        </w:rPr>
        <w:fldChar w:fldCharType="separate"/>
      </w:r>
      <w:r>
        <w:rPr>
          <w:rFonts w:hint="eastAsia"/>
        </w:rPr>
        <w:t>101</w:t>
      </w:r>
      <w:r>
        <w:rPr>
          <w:rFonts w:hint="eastAsia"/>
        </w:rPr>
        <w:fldChar w:fldCharType="end"/>
      </w:r>
      <w:r>
        <w:rPr>
          <w:rFonts w:hint="eastAsia"/>
        </w:rPr>
        <w:fldChar w:fldCharType="end"/>
      </w:r>
    </w:p>
    <w:p w14:paraId="077C7201">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"_Toc221894123" </w:instrText>
      </w:r>
      <w:r>
        <w:fldChar w:fldCharType="separate"/>
      </w:r>
      <w:r>
        <w:rPr>
          <w:rStyle w:val="34"/>
          <w:rFonts w:hint="eastAsia" w:cs="Times New Roman"/>
        </w:rPr>
        <w:t>4、暖通</w:t>
      </w:r>
      <w:r>
        <w:rPr>
          <w:rFonts w:hint="eastAsia"/>
        </w:rPr>
        <w:tab/>
      </w:r>
      <w:r>
        <w:rPr>
          <w:rFonts w:hint="eastAsia"/>
        </w:rPr>
        <w:fldChar w:fldCharType="begin"/>
      </w:r>
      <w:r>
        <w:rPr>
          <w:rFonts w:hint="eastAsia"/>
        </w:rPr>
        <w:instrText xml:space="preserve"> </w:instrText>
      </w:r>
      <w:r>
        <w:instrText xml:space="preserve">PAGEREF _Toc221894123 \h</w:instrText>
      </w:r>
      <w:r>
        <w:rPr>
          <w:rFonts w:hint="eastAsia"/>
        </w:rPr>
        <w:instrText xml:space="preserve"> </w:instrText>
      </w:r>
      <w:r>
        <w:rPr>
          <w:rFonts w:hint="eastAsia"/>
        </w:rPr>
        <w:fldChar w:fldCharType="separate"/>
      </w:r>
      <w:r>
        <w:rPr>
          <w:rFonts w:hint="eastAsia"/>
        </w:rPr>
        <w:t>103</w:t>
      </w:r>
      <w:r>
        <w:rPr>
          <w:rFonts w:hint="eastAsia"/>
        </w:rPr>
        <w:fldChar w:fldCharType="end"/>
      </w:r>
      <w:r>
        <w:rPr>
          <w:rFonts w:hint="eastAsia"/>
        </w:rPr>
        <w:fldChar w:fldCharType="end"/>
      </w:r>
    </w:p>
    <w:p w14:paraId="4C2E4DBB">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"_Toc221894124" </w:instrText>
      </w:r>
      <w:r>
        <w:fldChar w:fldCharType="separate"/>
      </w:r>
      <w:r>
        <w:rPr>
          <w:rStyle w:val="34"/>
          <w:rFonts w:hint="eastAsia" w:cs="Times New Roman"/>
        </w:rPr>
        <w:t>5、电气</w:t>
      </w:r>
      <w:r>
        <w:rPr>
          <w:rFonts w:hint="eastAsia"/>
        </w:rPr>
        <w:tab/>
      </w:r>
      <w:r>
        <w:rPr>
          <w:rFonts w:hint="eastAsia"/>
        </w:rPr>
        <w:fldChar w:fldCharType="begin"/>
      </w:r>
      <w:r>
        <w:rPr>
          <w:rFonts w:hint="eastAsia"/>
        </w:rPr>
        <w:instrText xml:space="preserve"> </w:instrText>
      </w:r>
      <w:r>
        <w:instrText xml:space="preserve">PAGEREF _Toc221894124 \h</w:instrText>
      </w:r>
      <w:r>
        <w:rPr>
          <w:rFonts w:hint="eastAsia"/>
        </w:rPr>
        <w:instrText xml:space="preserve"> </w:instrText>
      </w:r>
      <w:r>
        <w:rPr>
          <w:rFonts w:hint="eastAsia"/>
        </w:rPr>
        <w:fldChar w:fldCharType="separate"/>
      </w:r>
      <w:r>
        <w:rPr>
          <w:rFonts w:hint="eastAsia"/>
        </w:rPr>
        <w:t>106</w:t>
      </w:r>
      <w:r>
        <w:rPr>
          <w:rFonts w:hint="eastAsia"/>
        </w:rPr>
        <w:fldChar w:fldCharType="end"/>
      </w:r>
      <w:r>
        <w:rPr>
          <w:rFonts w:hint="eastAsia"/>
        </w:rPr>
        <w:fldChar w:fldCharType="end"/>
      </w:r>
    </w:p>
    <w:p w14:paraId="2768CFB5">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"_Toc221894125" </w:instrText>
      </w:r>
      <w:r>
        <w:fldChar w:fldCharType="separate"/>
      </w:r>
      <w:r>
        <w:rPr>
          <w:rStyle w:val="34"/>
          <w:rFonts w:hint="eastAsia" w:cs="Times New Roman"/>
        </w:rPr>
        <w:t>6、精装修</w:t>
      </w:r>
      <w:r>
        <w:rPr>
          <w:rFonts w:hint="eastAsia"/>
        </w:rPr>
        <w:tab/>
      </w:r>
      <w:r>
        <w:rPr>
          <w:rFonts w:hint="eastAsia"/>
        </w:rPr>
        <w:fldChar w:fldCharType="begin"/>
      </w:r>
      <w:r>
        <w:rPr>
          <w:rFonts w:hint="eastAsia"/>
        </w:rPr>
        <w:instrText xml:space="preserve"> </w:instrText>
      </w:r>
      <w:r>
        <w:instrText xml:space="preserve">PAGEREF _Toc221894125 \h</w:instrText>
      </w:r>
      <w:r>
        <w:rPr>
          <w:rFonts w:hint="eastAsia"/>
        </w:rPr>
        <w:instrText xml:space="preserve"> </w:instrText>
      </w:r>
      <w:r>
        <w:rPr>
          <w:rFonts w:hint="eastAsia"/>
        </w:rPr>
        <w:fldChar w:fldCharType="separate"/>
      </w:r>
      <w:r>
        <w:rPr>
          <w:rFonts w:hint="eastAsia"/>
        </w:rPr>
        <w:t>108</w:t>
      </w:r>
      <w:r>
        <w:rPr>
          <w:rFonts w:hint="eastAsia"/>
        </w:rPr>
        <w:fldChar w:fldCharType="end"/>
      </w:r>
      <w:r>
        <w:rPr>
          <w:rFonts w:hint="eastAsia"/>
        </w:rPr>
        <w:fldChar w:fldCharType="end"/>
      </w:r>
    </w:p>
    <w:p w14:paraId="7AF5253F">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"_Toc221894126" </w:instrText>
      </w:r>
      <w:r>
        <w:fldChar w:fldCharType="separate"/>
      </w:r>
      <w:r>
        <w:rPr>
          <w:rStyle w:val="34"/>
          <w:rFonts w:hint="eastAsia" w:cs="Times New Roman"/>
        </w:rPr>
        <w:t>7、景观绿化</w:t>
      </w:r>
      <w:r>
        <w:rPr>
          <w:rFonts w:hint="eastAsia"/>
        </w:rPr>
        <w:tab/>
      </w:r>
      <w:r>
        <w:rPr>
          <w:rFonts w:hint="eastAsia"/>
        </w:rPr>
        <w:fldChar w:fldCharType="begin"/>
      </w:r>
      <w:r>
        <w:rPr>
          <w:rFonts w:hint="eastAsia"/>
        </w:rPr>
        <w:instrText xml:space="preserve"> </w:instrText>
      </w:r>
      <w:r>
        <w:instrText xml:space="preserve">PAGEREF _Toc221894126 \h</w:instrText>
      </w:r>
      <w:r>
        <w:rPr>
          <w:rFonts w:hint="eastAsia"/>
        </w:rPr>
        <w:instrText xml:space="preserve"> </w:instrText>
      </w:r>
      <w:r>
        <w:rPr>
          <w:rFonts w:hint="eastAsia"/>
        </w:rPr>
        <w:fldChar w:fldCharType="separate"/>
      </w:r>
      <w:r>
        <w:rPr>
          <w:rFonts w:hint="eastAsia"/>
        </w:rPr>
        <w:t>109</w:t>
      </w:r>
      <w:r>
        <w:rPr>
          <w:rFonts w:hint="eastAsia"/>
        </w:rPr>
        <w:fldChar w:fldCharType="end"/>
      </w:r>
      <w:r>
        <w:rPr>
          <w:rFonts w:hint="eastAsia"/>
        </w:rPr>
        <w:fldChar w:fldCharType="end"/>
      </w:r>
    </w:p>
    <w:p w14:paraId="29A2E191">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"_Toc221894127" </w:instrText>
      </w:r>
      <w:r>
        <w:fldChar w:fldCharType="separate"/>
      </w:r>
      <w:r>
        <w:rPr>
          <w:rStyle w:val="34"/>
          <w:rFonts w:hint="eastAsia" w:cs="Times New Roman"/>
        </w:rPr>
        <w:t>8、道路</w:t>
      </w:r>
      <w:r>
        <w:rPr>
          <w:rFonts w:hint="eastAsia"/>
        </w:rPr>
        <w:tab/>
      </w:r>
      <w:r>
        <w:rPr>
          <w:rFonts w:hint="eastAsia"/>
        </w:rPr>
        <w:fldChar w:fldCharType="begin"/>
      </w:r>
      <w:r>
        <w:rPr>
          <w:rFonts w:hint="eastAsia"/>
        </w:rPr>
        <w:instrText xml:space="preserve"> </w:instrText>
      </w:r>
      <w:r>
        <w:instrText xml:space="preserve">PAGEREF _Toc221894127 \h</w:instrText>
      </w:r>
      <w:r>
        <w:rPr>
          <w:rFonts w:hint="eastAsia"/>
        </w:rPr>
        <w:instrText xml:space="preserve"> </w:instrText>
      </w:r>
      <w:r>
        <w:rPr>
          <w:rFonts w:hint="eastAsia"/>
        </w:rPr>
        <w:fldChar w:fldCharType="separate"/>
      </w:r>
      <w:r>
        <w:rPr>
          <w:rFonts w:hint="eastAsia"/>
        </w:rPr>
        <w:t>110</w:t>
      </w:r>
      <w:r>
        <w:rPr>
          <w:rFonts w:hint="eastAsia"/>
        </w:rPr>
        <w:fldChar w:fldCharType="end"/>
      </w:r>
      <w:r>
        <w:rPr>
          <w:rFonts w:hint="eastAsia"/>
        </w:rPr>
        <w:fldChar w:fldCharType="end"/>
      </w:r>
    </w:p>
    <w:p w14:paraId="68B43EEE">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"_Toc221894128" </w:instrText>
      </w:r>
      <w:r>
        <w:fldChar w:fldCharType="separate"/>
      </w:r>
      <w:r>
        <w:rPr>
          <w:rStyle w:val="34"/>
          <w:rFonts w:hint="eastAsia"/>
        </w:rPr>
        <w:t>（三）技术标准和要求</w:t>
      </w:r>
      <w:r>
        <w:rPr>
          <w:rFonts w:hint="eastAsia"/>
        </w:rPr>
        <w:tab/>
      </w:r>
      <w:r>
        <w:rPr>
          <w:rFonts w:hint="eastAsia"/>
        </w:rPr>
        <w:fldChar w:fldCharType="begin"/>
      </w:r>
      <w:r>
        <w:rPr>
          <w:rFonts w:hint="eastAsia"/>
        </w:rPr>
        <w:instrText xml:space="preserve"> </w:instrText>
      </w:r>
      <w:r>
        <w:instrText xml:space="preserve">PAGEREF _Toc221894128 \h</w:instrText>
      </w:r>
      <w:r>
        <w:rPr>
          <w:rFonts w:hint="eastAsia"/>
        </w:rPr>
        <w:instrText xml:space="preserve"> </w:instrText>
      </w:r>
      <w:r>
        <w:rPr>
          <w:rFonts w:hint="eastAsia"/>
        </w:rPr>
        <w:fldChar w:fldCharType="separate"/>
      </w:r>
      <w:r>
        <w:rPr>
          <w:rFonts w:hint="eastAsia"/>
        </w:rPr>
        <w:t>114</w:t>
      </w:r>
      <w:r>
        <w:rPr>
          <w:rFonts w:hint="eastAsia"/>
        </w:rPr>
        <w:fldChar w:fldCharType="end"/>
      </w:r>
      <w:r>
        <w:rPr>
          <w:rFonts w:hint="eastAsia"/>
        </w:rPr>
        <w:fldChar w:fldCharType="end"/>
      </w:r>
    </w:p>
    <w:p w14:paraId="65DF26B2">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"_Toc221894129" </w:instrText>
      </w:r>
      <w:r>
        <w:fldChar w:fldCharType="separate"/>
      </w:r>
      <w:r>
        <w:rPr>
          <w:rStyle w:val="34"/>
          <w:rFonts w:hint="eastAsia" w:cs="Times New Roman"/>
        </w:rPr>
        <w:t>1、总则</w:t>
      </w:r>
      <w:r>
        <w:rPr>
          <w:rFonts w:hint="eastAsia"/>
        </w:rPr>
        <w:tab/>
      </w:r>
      <w:r>
        <w:rPr>
          <w:rFonts w:hint="eastAsia"/>
        </w:rPr>
        <w:fldChar w:fldCharType="begin"/>
      </w:r>
      <w:r>
        <w:rPr>
          <w:rFonts w:hint="eastAsia"/>
        </w:rPr>
        <w:instrText xml:space="preserve"> </w:instrText>
      </w:r>
      <w:r>
        <w:instrText xml:space="preserve">PAGEREF _Toc221894129 \h</w:instrText>
      </w:r>
      <w:r>
        <w:rPr>
          <w:rFonts w:hint="eastAsia"/>
        </w:rPr>
        <w:instrText xml:space="preserve"> </w:instrText>
      </w:r>
      <w:r>
        <w:rPr>
          <w:rFonts w:hint="eastAsia"/>
        </w:rPr>
        <w:fldChar w:fldCharType="separate"/>
      </w:r>
      <w:r>
        <w:rPr>
          <w:rFonts w:hint="eastAsia"/>
        </w:rPr>
        <w:t>115</w:t>
      </w:r>
      <w:r>
        <w:rPr>
          <w:rFonts w:hint="eastAsia"/>
        </w:rPr>
        <w:fldChar w:fldCharType="end"/>
      </w:r>
      <w:r>
        <w:rPr>
          <w:rFonts w:hint="eastAsia"/>
        </w:rPr>
        <w:fldChar w:fldCharType="end"/>
      </w:r>
    </w:p>
    <w:p w14:paraId="3CDC6CA1">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"_Toc221894130" </w:instrText>
      </w:r>
      <w:r>
        <w:fldChar w:fldCharType="separate"/>
      </w:r>
      <w:r>
        <w:rPr>
          <w:rStyle w:val="34"/>
          <w:rFonts w:hint="eastAsia" w:cs="Times New Roman"/>
        </w:rPr>
        <w:t>2、总平面专业</w:t>
      </w:r>
      <w:r>
        <w:rPr>
          <w:rFonts w:hint="eastAsia"/>
        </w:rPr>
        <w:tab/>
      </w:r>
      <w:r>
        <w:rPr>
          <w:rFonts w:hint="eastAsia"/>
        </w:rPr>
        <w:fldChar w:fldCharType="begin"/>
      </w:r>
      <w:r>
        <w:rPr>
          <w:rFonts w:hint="eastAsia"/>
        </w:rPr>
        <w:instrText xml:space="preserve"> </w:instrText>
      </w:r>
      <w:r>
        <w:instrText xml:space="preserve">PAGEREF _Toc221894130 \h</w:instrText>
      </w:r>
      <w:r>
        <w:rPr>
          <w:rFonts w:hint="eastAsia"/>
        </w:rPr>
        <w:instrText xml:space="preserve"> </w:instrText>
      </w:r>
      <w:r>
        <w:rPr>
          <w:rFonts w:hint="eastAsia"/>
        </w:rPr>
        <w:fldChar w:fldCharType="separate"/>
      </w:r>
      <w:r>
        <w:rPr>
          <w:rFonts w:hint="eastAsia"/>
        </w:rPr>
        <w:t>115</w:t>
      </w:r>
      <w:r>
        <w:rPr>
          <w:rFonts w:hint="eastAsia"/>
        </w:rPr>
        <w:fldChar w:fldCharType="end"/>
      </w:r>
      <w:r>
        <w:rPr>
          <w:rFonts w:hint="eastAsia"/>
        </w:rPr>
        <w:fldChar w:fldCharType="end"/>
      </w:r>
    </w:p>
    <w:p w14:paraId="6F4040E4">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"_Toc221894131" </w:instrText>
      </w:r>
      <w:r>
        <w:fldChar w:fldCharType="separate"/>
      </w:r>
      <w:r>
        <w:rPr>
          <w:rStyle w:val="34"/>
          <w:rFonts w:hint="eastAsia" w:cs="Times New Roman"/>
        </w:rPr>
        <w:t>3、建筑专业</w:t>
      </w:r>
      <w:r>
        <w:rPr>
          <w:rFonts w:hint="eastAsia"/>
        </w:rPr>
        <w:tab/>
      </w:r>
      <w:r>
        <w:rPr>
          <w:rFonts w:hint="eastAsia"/>
        </w:rPr>
        <w:fldChar w:fldCharType="begin"/>
      </w:r>
      <w:r>
        <w:rPr>
          <w:rFonts w:hint="eastAsia"/>
        </w:rPr>
        <w:instrText xml:space="preserve"> </w:instrText>
      </w:r>
      <w:r>
        <w:instrText xml:space="preserve">PAGEREF _Toc221894131 \h</w:instrText>
      </w:r>
      <w:r>
        <w:rPr>
          <w:rFonts w:hint="eastAsia"/>
        </w:rPr>
        <w:instrText xml:space="preserve"> </w:instrText>
      </w:r>
      <w:r>
        <w:rPr>
          <w:rFonts w:hint="eastAsia"/>
        </w:rPr>
        <w:fldChar w:fldCharType="separate"/>
      </w:r>
      <w:r>
        <w:rPr>
          <w:rFonts w:hint="eastAsia"/>
        </w:rPr>
        <w:t>116</w:t>
      </w:r>
      <w:r>
        <w:rPr>
          <w:rFonts w:hint="eastAsia"/>
        </w:rPr>
        <w:fldChar w:fldCharType="end"/>
      </w:r>
      <w:r>
        <w:rPr>
          <w:rFonts w:hint="eastAsia"/>
        </w:rPr>
        <w:fldChar w:fldCharType="end"/>
      </w:r>
    </w:p>
    <w:p w14:paraId="0F0653F5">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"_Toc221894132" </w:instrText>
      </w:r>
      <w:r>
        <w:fldChar w:fldCharType="separate"/>
      </w:r>
      <w:r>
        <w:rPr>
          <w:rStyle w:val="34"/>
          <w:rFonts w:hint="eastAsia" w:cs="Times New Roman"/>
        </w:rPr>
        <w:t>4、结构专业</w:t>
      </w:r>
      <w:r>
        <w:rPr>
          <w:rFonts w:hint="eastAsia"/>
        </w:rPr>
        <w:tab/>
      </w:r>
      <w:r>
        <w:rPr>
          <w:rFonts w:hint="eastAsia"/>
        </w:rPr>
        <w:fldChar w:fldCharType="begin"/>
      </w:r>
      <w:r>
        <w:rPr>
          <w:rFonts w:hint="eastAsia"/>
        </w:rPr>
        <w:instrText xml:space="preserve"> </w:instrText>
      </w:r>
      <w:r>
        <w:instrText xml:space="preserve">PAGEREF _Toc221894132 \h</w:instrText>
      </w:r>
      <w:r>
        <w:rPr>
          <w:rFonts w:hint="eastAsia"/>
        </w:rPr>
        <w:instrText xml:space="preserve"> </w:instrText>
      </w:r>
      <w:r>
        <w:rPr>
          <w:rFonts w:hint="eastAsia"/>
        </w:rPr>
        <w:fldChar w:fldCharType="separate"/>
      </w:r>
      <w:r>
        <w:rPr>
          <w:rFonts w:hint="eastAsia"/>
        </w:rPr>
        <w:t>139</w:t>
      </w:r>
      <w:r>
        <w:rPr>
          <w:rFonts w:hint="eastAsia"/>
        </w:rPr>
        <w:fldChar w:fldCharType="end"/>
      </w:r>
      <w:r>
        <w:rPr>
          <w:rFonts w:hint="eastAsia"/>
        </w:rPr>
        <w:fldChar w:fldCharType="end"/>
      </w:r>
    </w:p>
    <w:p w14:paraId="00CF8B7D">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"_Toc221894133" </w:instrText>
      </w:r>
      <w:r>
        <w:fldChar w:fldCharType="separate"/>
      </w:r>
      <w:r>
        <w:rPr>
          <w:rStyle w:val="34"/>
          <w:rFonts w:hint="eastAsia" w:cs="Times New Roman"/>
        </w:rPr>
        <w:t>5、给排水专业</w:t>
      </w:r>
      <w:r>
        <w:rPr>
          <w:rFonts w:hint="eastAsia"/>
        </w:rPr>
        <w:tab/>
      </w:r>
      <w:r>
        <w:rPr>
          <w:rFonts w:hint="eastAsia"/>
        </w:rPr>
        <w:fldChar w:fldCharType="begin"/>
      </w:r>
      <w:r>
        <w:rPr>
          <w:rFonts w:hint="eastAsia"/>
        </w:rPr>
        <w:instrText xml:space="preserve"> </w:instrText>
      </w:r>
      <w:r>
        <w:instrText xml:space="preserve">PAGEREF _Toc221894133 \h</w:instrText>
      </w:r>
      <w:r>
        <w:rPr>
          <w:rFonts w:hint="eastAsia"/>
        </w:rPr>
        <w:instrText xml:space="preserve"> </w:instrText>
      </w:r>
      <w:r>
        <w:rPr>
          <w:rFonts w:hint="eastAsia"/>
        </w:rPr>
        <w:fldChar w:fldCharType="separate"/>
      </w:r>
      <w:r>
        <w:rPr>
          <w:rFonts w:hint="eastAsia"/>
        </w:rPr>
        <w:t>153</w:t>
      </w:r>
      <w:r>
        <w:rPr>
          <w:rFonts w:hint="eastAsia"/>
        </w:rPr>
        <w:fldChar w:fldCharType="end"/>
      </w:r>
      <w:r>
        <w:rPr>
          <w:rFonts w:hint="eastAsia"/>
        </w:rPr>
        <w:fldChar w:fldCharType="end"/>
      </w:r>
    </w:p>
    <w:p w14:paraId="3526F7B4">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"_Toc221894134" </w:instrText>
      </w:r>
      <w:r>
        <w:fldChar w:fldCharType="separate"/>
      </w:r>
      <w:r>
        <w:rPr>
          <w:rStyle w:val="34"/>
          <w:rFonts w:hint="eastAsia" w:cs="Times New Roman"/>
        </w:rPr>
        <w:t>6、暖通专业</w:t>
      </w:r>
      <w:r>
        <w:rPr>
          <w:rFonts w:hint="eastAsia"/>
        </w:rPr>
        <w:tab/>
      </w:r>
      <w:r>
        <w:rPr>
          <w:rFonts w:hint="eastAsia"/>
        </w:rPr>
        <w:fldChar w:fldCharType="begin"/>
      </w:r>
      <w:r>
        <w:rPr>
          <w:rFonts w:hint="eastAsia"/>
        </w:rPr>
        <w:instrText xml:space="preserve"> </w:instrText>
      </w:r>
      <w:r>
        <w:instrText xml:space="preserve">PAGEREF _Toc221894134 \h</w:instrText>
      </w:r>
      <w:r>
        <w:rPr>
          <w:rFonts w:hint="eastAsia"/>
        </w:rPr>
        <w:instrText xml:space="preserve"> </w:instrText>
      </w:r>
      <w:r>
        <w:rPr>
          <w:rFonts w:hint="eastAsia"/>
        </w:rPr>
        <w:fldChar w:fldCharType="separate"/>
      </w:r>
      <w:r>
        <w:rPr>
          <w:rFonts w:hint="eastAsia"/>
        </w:rPr>
        <w:t>192</w:t>
      </w:r>
      <w:r>
        <w:rPr>
          <w:rFonts w:hint="eastAsia"/>
        </w:rPr>
        <w:fldChar w:fldCharType="end"/>
      </w:r>
      <w:r>
        <w:rPr>
          <w:rFonts w:hint="eastAsia"/>
        </w:rPr>
        <w:fldChar w:fldCharType="end"/>
      </w:r>
    </w:p>
    <w:p w14:paraId="32F97E33">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"_Toc221894135" </w:instrText>
      </w:r>
      <w:r>
        <w:fldChar w:fldCharType="separate"/>
      </w:r>
      <w:r>
        <w:rPr>
          <w:rStyle w:val="34"/>
          <w:rFonts w:hint="eastAsia" w:cs="Times New Roman"/>
        </w:rPr>
        <w:t>7、电气专业</w:t>
      </w:r>
      <w:r>
        <w:rPr>
          <w:rFonts w:hint="eastAsia"/>
        </w:rPr>
        <w:tab/>
      </w:r>
      <w:r>
        <w:rPr>
          <w:rFonts w:hint="eastAsia"/>
        </w:rPr>
        <w:fldChar w:fldCharType="begin"/>
      </w:r>
      <w:r>
        <w:rPr>
          <w:rFonts w:hint="eastAsia"/>
        </w:rPr>
        <w:instrText xml:space="preserve"> </w:instrText>
      </w:r>
      <w:r>
        <w:instrText xml:space="preserve">PAGEREF _Toc221894135 \h</w:instrText>
      </w:r>
      <w:r>
        <w:rPr>
          <w:rFonts w:hint="eastAsia"/>
        </w:rPr>
        <w:instrText xml:space="preserve"> </w:instrText>
      </w:r>
      <w:r>
        <w:rPr>
          <w:rFonts w:hint="eastAsia"/>
        </w:rPr>
        <w:fldChar w:fldCharType="separate"/>
      </w:r>
      <w:r>
        <w:rPr>
          <w:rFonts w:hint="eastAsia"/>
        </w:rPr>
        <w:t>226</w:t>
      </w:r>
      <w:r>
        <w:rPr>
          <w:rFonts w:hint="eastAsia"/>
        </w:rPr>
        <w:fldChar w:fldCharType="end"/>
      </w:r>
      <w:r>
        <w:rPr>
          <w:rFonts w:hint="eastAsia"/>
        </w:rPr>
        <w:fldChar w:fldCharType="end"/>
      </w:r>
    </w:p>
    <w:p w14:paraId="286B2649">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"_Toc221894136" </w:instrText>
      </w:r>
      <w:r>
        <w:fldChar w:fldCharType="separate"/>
      </w:r>
      <w:r>
        <w:rPr>
          <w:rStyle w:val="34"/>
          <w:rFonts w:hint="eastAsia" w:cs="Times New Roman"/>
        </w:rPr>
        <w:t>8、精装修专业</w:t>
      </w:r>
      <w:r>
        <w:rPr>
          <w:rFonts w:hint="eastAsia"/>
        </w:rPr>
        <w:tab/>
      </w:r>
      <w:r>
        <w:rPr>
          <w:rFonts w:hint="eastAsia"/>
        </w:rPr>
        <w:fldChar w:fldCharType="begin"/>
      </w:r>
      <w:r>
        <w:rPr>
          <w:rFonts w:hint="eastAsia"/>
        </w:rPr>
        <w:instrText xml:space="preserve"> </w:instrText>
      </w:r>
      <w:r>
        <w:instrText xml:space="preserve">PAGEREF _Toc221894136 \h</w:instrText>
      </w:r>
      <w:r>
        <w:rPr>
          <w:rFonts w:hint="eastAsia"/>
        </w:rPr>
        <w:instrText xml:space="preserve"> </w:instrText>
      </w:r>
      <w:r>
        <w:rPr>
          <w:rFonts w:hint="eastAsia"/>
        </w:rPr>
        <w:fldChar w:fldCharType="separate"/>
      </w:r>
      <w:r>
        <w:rPr>
          <w:rFonts w:hint="eastAsia"/>
        </w:rPr>
        <w:t>270</w:t>
      </w:r>
      <w:r>
        <w:rPr>
          <w:rFonts w:hint="eastAsia"/>
        </w:rPr>
        <w:fldChar w:fldCharType="end"/>
      </w:r>
      <w:r>
        <w:rPr>
          <w:rFonts w:hint="eastAsia"/>
        </w:rPr>
        <w:fldChar w:fldCharType="end"/>
      </w:r>
    </w:p>
    <w:p w14:paraId="31A87FBF">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"_Toc221894137" </w:instrText>
      </w:r>
      <w:r>
        <w:fldChar w:fldCharType="separate"/>
      </w:r>
      <w:r>
        <w:rPr>
          <w:rStyle w:val="34"/>
          <w:rFonts w:hint="eastAsia" w:cs="Times New Roman"/>
        </w:rPr>
        <w:t>9、景观绿化</w:t>
      </w:r>
      <w:r>
        <w:rPr>
          <w:rFonts w:hint="eastAsia"/>
        </w:rPr>
        <w:tab/>
      </w:r>
      <w:r>
        <w:rPr>
          <w:rFonts w:hint="eastAsia"/>
        </w:rPr>
        <w:fldChar w:fldCharType="begin"/>
      </w:r>
      <w:r>
        <w:rPr>
          <w:rFonts w:hint="eastAsia"/>
        </w:rPr>
        <w:instrText xml:space="preserve"> </w:instrText>
      </w:r>
      <w:r>
        <w:instrText xml:space="preserve">PAGEREF _Toc221894137 \h</w:instrText>
      </w:r>
      <w:r>
        <w:rPr>
          <w:rFonts w:hint="eastAsia"/>
        </w:rPr>
        <w:instrText xml:space="preserve"> </w:instrText>
      </w:r>
      <w:r>
        <w:rPr>
          <w:rFonts w:hint="eastAsia"/>
        </w:rPr>
        <w:fldChar w:fldCharType="separate"/>
      </w:r>
      <w:r>
        <w:rPr>
          <w:rFonts w:hint="eastAsia"/>
        </w:rPr>
        <w:t>272</w:t>
      </w:r>
      <w:r>
        <w:rPr>
          <w:rFonts w:hint="eastAsia"/>
        </w:rPr>
        <w:fldChar w:fldCharType="end"/>
      </w:r>
      <w:r>
        <w:rPr>
          <w:rFonts w:hint="eastAsia"/>
        </w:rPr>
        <w:fldChar w:fldCharType="end"/>
      </w:r>
    </w:p>
    <w:p w14:paraId="28398D94">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"_Toc221894138" </w:instrText>
      </w:r>
      <w:r>
        <w:fldChar w:fldCharType="separate"/>
      </w:r>
      <w:r>
        <w:rPr>
          <w:rStyle w:val="34"/>
          <w:rFonts w:hint="eastAsia" w:cs="Times New Roman"/>
        </w:rPr>
        <w:t>10、道路专业</w:t>
      </w:r>
      <w:r>
        <w:rPr>
          <w:rFonts w:hint="eastAsia"/>
        </w:rPr>
        <w:tab/>
      </w:r>
      <w:r>
        <w:rPr>
          <w:rFonts w:hint="eastAsia"/>
        </w:rPr>
        <w:fldChar w:fldCharType="begin"/>
      </w:r>
      <w:r>
        <w:rPr>
          <w:rFonts w:hint="eastAsia"/>
        </w:rPr>
        <w:instrText xml:space="preserve"> </w:instrText>
      </w:r>
      <w:r>
        <w:instrText xml:space="preserve">PAGEREF _Toc221894138 \h</w:instrText>
      </w:r>
      <w:r>
        <w:rPr>
          <w:rFonts w:hint="eastAsia"/>
        </w:rPr>
        <w:instrText xml:space="preserve"> </w:instrText>
      </w:r>
      <w:r>
        <w:rPr>
          <w:rFonts w:hint="eastAsia"/>
        </w:rPr>
        <w:fldChar w:fldCharType="separate"/>
      </w:r>
      <w:r>
        <w:rPr>
          <w:rFonts w:hint="eastAsia"/>
        </w:rPr>
        <w:t>279</w:t>
      </w:r>
      <w:r>
        <w:rPr>
          <w:rFonts w:hint="eastAsia"/>
        </w:rPr>
        <w:fldChar w:fldCharType="end"/>
      </w:r>
      <w:r>
        <w:rPr>
          <w:rFonts w:hint="eastAsia"/>
        </w:rPr>
        <w:fldChar w:fldCharType="end"/>
      </w:r>
    </w:p>
    <w:p w14:paraId="42F93807">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"_Toc221894139" </w:instrText>
      </w:r>
      <w:r>
        <w:fldChar w:fldCharType="separate"/>
      </w:r>
      <w:r>
        <w:rPr>
          <w:rStyle w:val="34"/>
          <w:rFonts w:hint="eastAsia"/>
        </w:rPr>
        <w:t>（四）质量标准</w:t>
      </w:r>
      <w:r>
        <w:rPr>
          <w:rFonts w:hint="eastAsia"/>
        </w:rPr>
        <w:tab/>
      </w:r>
      <w:r>
        <w:rPr>
          <w:rFonts w:hint="eastAsia"/>
        </w:rPr>
        <w:fldChar w:fldCharType="begin"/>
      </w:r>
      <w:r>
        <w:rPr>
          <w:rFonts w:hint="eastAsia"/>
        </w:rPr>
        <w:instrText xml:space="preserve"> </w:instrText>
      </w:r>
      <w:r>
        <w:instrText xml:space="preserve">PAGEREF _Toc221894139 \h</w:instrText>
      </w:r>
      <w:r>
        <w:rPr>
          <w:rFonts w:hint="eastAsia"/>
        </w:rPr>
        <w:instrText xml:space="preserve"> </w:instrText>
      </w:r>
      <w:r>
        <w:rPr>
          <w:rFonts w:hint="eastAsia"/>
        </w:rPr>
        <w:fldChar w:fldCharType="separate"/>
      </w:r>
      <w:r>
        <w:rPr>
          <w:rFonts w:hint="eastAsia"/>
        </w:rPr>
        <w:t>329</w:t>
      </w:r>
      <w:r>
        <w:rPr>
          <w:rFonts w:hint="eastAsia"/>
        </w:rPr>
        <w:fldChar w:fldCharType="end"/>
      </w:r>
      <w:r>
        <w:rPr>
          <w:rFonts w:hint="eastAsia"/>
        </w:rPr>
        <w:fldChar w:fldCharType="end"/>
      </w:r>
    </w:p>
    <w:p w14:paraId="6DE72AC9">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"_Toc221894140" </w:instrText>
      </w:r>
      <w:r>
        <w:fldChar w:fldCharType="separate"/>
      </w:r>
      <w:r>
        <w:rPr>
          <w:rStyle w:val="34"/>
          <w:rFonts w:hint="eastAsia"/>
        </w:rPr>
        <w:t>（五）样品</w:t>
      </w:r>
      <w:r>
        <w:rPr>
          <w:rFonts w:hint="eastAsia"/>
        </w:rPr>
        <w:tab/>
      </w:r>
      <w:r>
        <w:rPr>
          <w:rFonts w:hint="eastAsia"/>
        </w:rPr>
        <w:fldChar w:fldCharType="begin"/>
      </w:r>
      <w:r>
        <w:rPr>
          <w:rFonts w:hint="eastAsia"/>
        </w:rPr>
        <w:instrText xml:space="preserve"> </w:instrText>
      </w:r>
      <w:r>
        <w:instrText xml:space="preserve">PAGEREF _Toc221894140 \h</w:instrText>
      </w:r>
      <w:r>
        <w:rPr>
          <w:rFonts w:hint="eastAsia"/>
        </w:rPr>
        <w:instrText xml:space="preserve"> </w:instrText>
      </w:r>
      <w:r>
        <w:rPr>
          <w:rFonts w:hint="eastAsia"/>
        </w:rPr>
        <w:fldChar w:fldCharType="separate"/>
      </w:r>
      <w:r>
        <w:rPr>
          <w:rFonts w:hint="eastAsia"/>
        </w:rPr>
        <w:t>331</w:t>
      </w:r>
      <w:r>
        <w:rPr>
          <w:rFonts w:hint="eastAsia"/>
        </w:rPr>
        <w:fldChar w:fldCharType="end"/>
      </w:r>
      <w:r>
        <w:rPr>
          <w:rFonts w:hint="eastAsia"/>
        </w:rPr>
        <w:fldChar w:fldCharType="end"/>
      </w:r>
    </w:p>
    <w:p w14:paraId="5861590E">
      <w:pPr>
        <w:pStyle w:val="20"/>
        <w:tabs>
          <w:tab w:val="right" w:leader="dot" w:pos="9060"/>
        </w:tabs>
        <w:rPr>
          <w:rFonts w:hint="eastAsia" w:asciiTheme="minorHAnsi" w:hAnsiTheme="minorHAnsi" w:eastAsiaTheme="minorEastAsia"/>
          <w:b w:val="0"/>
          <w:sz w:val="22"/>
          <w:szCs w:val="24"/>
          <w14:ligatures w14:val="standardContextual"/>
        </w:rPr>
      </w:pPr>
      <w:r>
        <w:fldChar w:fldCharType="begin"/>
      </w:r>
      <w:r>
        <w:instrText xml:space="preserve"> HYPERLINK \l "_Toc221894141" </w:instrText>
      </w:r>
      <w:r>
        <w:fldChar w:fldCharType="separate"/>
      </w:r>
      <w:r>
        <w:rPr>
          <w:rStyle w:val="34"/>
          <w:rFonts w:hint="eastAsia" w:cs="Times New Roman"/>
        </w:rPr>
        <w:t>六、竣工（前）试验</w:t>
      </w:r>
      <w:r>
        <w:rPr>
          <w:rFonts w:hint="eastAsia"/>
        </w:rPr>
        <w:tab/>
      </w:r>
      <w:r>
        <w:rPr>
          <w:rFonts w:hint="eastAsia"/>
        </w:rPr>
        <w:fldChar w:fldCharType="begin"/>
      </w:r>
      <w:r>
        <w:rPr>
          <w:rFonts w:hint="eastAsia"/>
        </w:rPr>
        <w:instrText xml:space="preserve"> </w:instrText>
      </w:r>
      <w:r>
        <w:instrText xml:space="preserve">PAGEREF _Toc221894141 \h</w:instrText>
      </w:r>
      <w:r>
        <w:rPr>
          <w:rFonts w:hint="eastAsia"/>
        </w:rPr>
        <w:instrText xml:space="preserve"> </w:instrText>
      </w:r>
      <w:r>
        <w:rPr>
          <w:rFonts w:hint="eastAsia"/>
        </w:rPr>
        <w:fldChar w:fldCharType="separate"/>
      </w:r>
      <w:r>
        <w:rPr>
          <w:rFonts w:hint="eastAsia"/>
        </w:rPr>
        <w:t>333</w:t>
      </w:r>
      <w:r>
        <w:rPr>
          <w:rFonts w:hint="eastAsia"/>
        </w:rPr>
        <w:fldChar w:fldCharType="end"/>
      </w:r>
      <w:r>
        <w:rPr>
          <w:rFonts w:hint="eastAsia"/>
        </w:rPr>
        <w:fldChar w:fldCharType="end"/>
      </w:r>
    </w:p>
    <w:p w14:paraId="29A247A0">
      <w:pPr>
        <w:pStyle w:val="20"/>
        <w:tabs>
          <w:tab w:val="right" w:leader="dot" w:pos="9060"/>
        </w:tabs>
        <w:rPr>
          <w:rFonts w:hint="eastAsia" w:asciiTheme="minorHAnsi" w:hAnsiTheme="minorHAnsi" w:eastAsiaTheme="minorEastAsia"/>
          <w:b w:val="0"/>
          <w:sz w:val="22"/>
          <w:szCs w:val="24"/>
          <w14:ligatures w14:val="standardContextual"/>
        </w:rPr>
      </w:pPr>
      <w:r>
        <w:fldChar w:fldCharType="begin"/>
      </w:r>
      <w:r>
        <w:instrText xml:space="preserve"> HYPERLINK \l "_Toc221894142" </w:instrText>
      </w:r>
      <w:r>
        <w:fldChar w:fldCharType="separate"/>
      </w:r>
      <w:r>
        <w:rPr>
          <w:rStyle w:val="34"/>
          <w:rFonts w:hint="eastAsia" w:cs="Times New Roman"/>
        </w:rPr>
        <w:t>七、竣工验收</w:t>
      </w:r>
      <w:r>
        <w:rPr>
          <w:rFonts w:hint="eastAsia"/>
        </w:rPr>
        <w:tab/>
      </w:r>
      <w:r>
        <w:rPr>
          <w:rFonts w:hint="eastAsia"/>
        </w:rPr>
        <w:fldChar w:fldCharType="begin"/>
      </w:r>
      <w:r>
        <w:rPr>
          <w:rFonts w:hint="eastAsia"/>
        </w:rPr>
        <w:instrText xml:space="preserve"> </w:instrText>
      </w:r>
      <w:r>
        <w:instrText xml:space="preserve">PAGEREF _Toc221894142 \h</w:instrText>
      </w:r>
      <w:r>
        <w:rPr>
          <w:rFonts w:hint="eastAsia"/>
        </w:rPr>
        <w:instrText xml:space="preserve"> </w:instrText>
      </w:r>
      <w:r>
        <w:rPr>
          <w:rFonts w:hint="eastAsia"/>
        </w:rPr>
        <w:fldChar w:fldCharType="separate"/>
      </w:r>
      <w:r>
        <w:rPr>
          <w:rFonts w:hint="eastAsia"/>
        </w:rPr>
        <w:t>333</w:t>
      </w:r>
      <w:r>
        <w:rPr>
          <w:rFonts w:hint="eastAsia"/>
        </w:rPr>
        <w:fldChar w:fldCharType="end"/>
      </w:r>
      <w:r>
        <w:rPr>
          <w:rFonts w:hint="eastAsia"/>
        </w:rPr>
        <w:fldChar w:fldCharType="end"/>
      </w:r>
    </w:p>
    <w:p w14:paraId="51A2A149">
      <w:pPr>
        <w:pStyle w:val="20"/>
        <w:tabs>
          <w:tab w:val="right" w:leader="dot" w:pos="9060"/>
        </w:tabs>
        <w:rPr>
          <w:rFonts w:hint="eastAsia" w:asciiTheme="minorHAnsi" w:hAnsiTheme="minorHAnsi" w:eastAsiaTheme="minorEastAsia"/>
          <w:b w:val="0"/>
          <w:sz w:val="22"/>
          <w:szCs w:val="24"/>
          <w14:ligatures w14:val="standardContextual"/>
        </w:rPr>
      </w:pPr>
      <w:r>
        <w:fldChar w:fldCharType="begin"/>
      </w:r>
      <w:r>
        <w:instrText xml:space="preserve"> HYPERLINK \l "_Toc221894143" </w:instrText>
      </w:r>
      <w:r>
        <w:fldChar w:fldCharType="separate"/>
      </w:r>
      <w:r>
        <w:rPr>
          <w:rStyle w:val="34"/>
          <w:rFonts w:hint="eastAsia" w:cs="Times New Roman"/>
        </w:rPr>
        <w:t>八、文件要求</w:t>
      </w:r>
      <w:r>
        <w:rPr>
          <w:rFonts w:hint="eastAsia"/>
        </w:rPr>
        <w:tab/>
      </w:r>
      <w:r>
        <w:rPr>
          <w:rFonts w:hint="eastAsia"/>
        </w:rPr>
        <w:fldChar w:fldCharType="begin"/>
      </w:r>
      <w:r>
        <w:rPr>
          <w:rFonts w:hint="eastAsia"/>
        </w:rPr>
        <w:instrText xml:space="preserve"> </w:instrText>
      </w:r>
      <w:r>
        <w:instrText xml:space="preserve">PAGEREF _Toc221894143 \h</w:instrText>
      </w:r>
      <w:r>
        <w:rPr>
          <w:rFonts w:hint="eastAsia"/>
        </w:rPr>
        <w:instrText xml:space="preserve"> </w:instrText>
      </w:r>
      <w:r>
        <w:rPr>
          <w:rFonts w:hint="eastAsia"/>
        </w:rPr>
        <w:fldChar w:fldCharType="separate"/>
      </w:r>
      <w:r>
        <w:rPr>
          <w:rFonts w:hint="eastAsia"/>
        </w:rPr>
        <w:t>333</w:t>
      </w:r>
      <w:r>
        <w:rPr>
          <w:rFonts w:hint="eastAsia"/>
        </w:rPr>
        <w:fldChar w:fldCharType="end"/>
      </w:r>
      <w:r>
        <w:rPr>
          <w:rFonts w:hint="eastAsia"/>
        </w:rPr>
        <w:fldChar w:fldCharType="end"/>
      </w:r>
    </w:p>
    <w:p w14:paraId="67125764">
      <w:pPr>
        <w:pStyle w:val="20"/>
        <w:tabs>
          <w:tab w:val="right" w:leader="dot" w:pos="9060"/>
        </w:tabs>
        <w:rPr>
          <w:rFonts w:hint="eastAsia" w:asciiTheme="minorHAnsi" w:hAnsiTheme="minorHAnsi" w:eastAsiaTheme="minorEastAsia"/>
          <w:b w:val="0"/>
          <w:sz w:val="22"/>
          <w:szCs w:val="24"/>
          <w14:ligatures w14:val="standardContextual"/>
        </w:rPr>
      </w:pPr>
      <w:r>
        <w:fldChar w:fldCharType="begin"/>
      </w:r>
      <w:r>
        <w:instrText xml:space="preserve"> HYPERLINK \l "_Toc221894144" </w:instrText>
      </w:r>
      <w:r>
        <w:fldChar w:fldCharType="separate"/>
      </w:r>
      <w:r>
        <w:rPr>
          <w:rStyle w:val="34"/>
          <w:rFonts w:hint="eastAsia" w:ascii="Times New Roman" w:hAnsi="Times New Roman" w:eastAsia="黑体" w:cs="Times New Roman"/>
        </w:rPr>
        <w:t>九、工程项目管理规定</w:t>
      </w:r>
      <w:r>
        <w:rPr>
          <w:rFonts w:hint="eastAsia"/>
        </w:rPr>
        <w:tab/>
      </w:r>
      <w:r>
        <w:rPr>
          <w:rFonts w:hint="eastAsia"/>
        </w:rPr>
        <w:fldChar w:fldCharType="begin"/>
      </w:r>
      <w:r>
        <w:rPr>
          <w:rFonts w:hint="eastAsia"/>
        </w:rPr>
        <w:instrText xml:space="preserve"> </w:instrText>
      </w:r>
      <w:r>
        <w:instrText xml:space="preserve">PAGEREF _Toc221894144 \h</w:instrText>
      </w:r>
      <w:r>
        <w:rPr>
          <w:rFonts w:hint="eastAsia"/>
        </w:rPr>
        <w:instrText xml:space="preserve"> </w:instrText>
      </w:r>
      <w:r>
        <w:rPr>
          <w:rFonts w:hint="eastAsia"/>
        </w:rPr>
        <w:fldChar w:fldCharType="separate"/>
      </w:r>
      <w:r>
        <w:rPr>
          <w:rFonts w:hint="eastAsia"/>
        </w:rPr>
        <w:t>334</w:t>
      </w:r>
      <w:r>
        <w:rPr>
          <w:rFonts w:hint="eastAsia"/>
        </w:rPr>
        <w:fldChar w:fldCharType="end"/>
      </w:r>
      <w:r>
        <w:rPr>
          <w:rFonts w:hint="eastAsia"/>
        </w:rPr>
        <w:fldChar w:fldCharType="end"/>
      </w:r>
    </w:p>
    <w:p w14:paraId="45AF8A6B">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"_Toc221894145" </w:instrText>
      </w:r>
      <w:r>
        <w:fldChar w:fldCharType="separate"/>
      </w:r>
      <w:r>
        <w:rPr>
          <w:rStyle w:val="34"/>
          <w:rFonts w:hint="eastAsia" w:ascii="Times New Roman" w:hAnsi="Times New Roman" w:cs="Times New Roman"/>
        </w:rPr>
        <w:t>（一）项目管理模式及各单位主要职责</w:t>
      </w:r>
      <w:r>
        <w:rPr>
          <w:rFonts w:hint="eastAsia"/>
        </w:rPr>
        <w:tab/>
      </w:r>
      <w:r>
        <w:rPr>
          <w:rFonts w:hint="eastAsia"/>
        </w:rPr>
        <w:fldChar w:fldCharType="begin"/>
      </w:r>
      <w:r>
        <w:rPr>
          <w:rFonts w:hint="eastAsia"/>
        </w:rPr>
        <w:instrText xml:space="preserve"> </w:instrText>
      </w:r>
      <w:r>
        <w:instrText xml:space="preserve">PAGEREF _Toc221894145 \h</w:instrText>
      </w:r>
      <w:r>
        <w:rPr>
          <w:rFonts w:hint="eastAsia"/>
        </w:rPr>
        <w:instrText xml:space="preserve"> </w:instrText>
      </w:r>
      <w:r>
        <w:rPr>
          <w:rFonts w:hint="eastAsia"/>
        </w:rPr>
        <w:fldChar w:fldCharType="separate"/>
      </w:r>
      <w:r>
        <w:rPr>
          <w:rFonts w:hint="eastAsia"/>
        </w:rPr>
        <w:t>334</w:t>
      </w:r>
      <w:r>
        <w:rPr>
          <w:rFonts w:hint="eastAsia"/>
        </w:rPr>
        <w:fldChar w:fldCharType="end"/>
      </w:r>
      <w:r>
        <w:rPr>
          <w:rFonts w:hint="eastAsia"/>
        </w:rPr>
        <w:fldChar w:fldCharType="end"/>
      </w:r>
    </w:p>
    <w:p w14:paraId="7A5E04B5">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"_Toc221894146" </w:instrText>
      </w:r>
      <w:r>
        <w:fldChar w:fldCharType="separate"/>
      </w:r>
      <w:r>
        <w:rPr>
          <w:rStyle w:val="34"/>
          <w:rFonts w:hint="eastAsia"/>
        </w:rPr>
        <w:t>1、发包人主要职责</w:t>
      </w:r>
      <w:r>
        <w:rPr>
          <w:rFonts w:hint="eastAsia"/>
        </w:rPr>
        <w:tab/>
      </w:r>
      <w:r>
        <w:rPr>
          <w:rFonts w:hint="eastAsia"/>
        </w:rPr>
        <w:fldChar w:fldCharType="begin"/>
      </w:r>
      <w:r>
        <w:rPr>
          <w:rFonts w:hint="eastAsia"/>
        </w:rPr>
        <w:instrText xml:space="preserve"> </w:instrText>
      </w:r>
      <w:r>
        <w:instrText xml:space="preserve">PAGEREF _Toc221894146 \h</w:instrText>
      </w:r>
      <w:r>
        <w:rPr>
          <w:rFonts w:hint="eastAsia"/>
        </w:rPr>
        <w:instrText xml:space="preserve"> </w:instrText>
      </w:r>
      <w:r>
        <w:rPr>
          <w:rFonts w:hint="eastAsia"/>
        </w:rPr>
        <w:fldChar w:fldCharType="separate"/>
      </w:r>
      <w:r>
        <w:rPr>
          <w:rFonts w:hint="eastAsia"/>
        </w:rPr>
        <w:t>334</w:t>
      </w:r>
      <w:r>
        <w:rPr>
          <w:rFonts w:hint="eastAsia"/>
        </w:rPr>
        <w:fldChar w:fldCharType="end"/>
      </w:r>
      <w:r>
        <w:rPr>
          <w:rFonts w:hint="eastAsia"/>
        </w:rPr>
        <w:fldChar w:fldCharType="end"/>
      </w:r>
    </w:p>
    <w:p w14:paraId="03E78BCB">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"_Toc221894147" </w:instrText>
      </w:r>
      <w:r>
        <w:fldChar w:fldCharType="separate"/>
      </w:r>
      <w:r>
        <w:rPr>
          <w:rStyle w:val="34"/>
          <w:rFonts w:hint="eastAsia"/>
        </w:rPr>
        <w:t>2、管理单位主要职责</w:t>
      </w:r>
      <w:r>
        <w:rPr>
          <w:rFonts w:hint="eastAsia"/>
        </w:rPr>
        <w:tab/>
      </w:r>
      <w:r>
        <w:rPr>
          <w:rFonts w:hint="eastAsia"/>
        </w:rPr>
        <w:fldChar w:fldCharType="begin"/>
      </w:r>
      <w:r>
        <w:rPr>
          <w:rFonts w:hint="eastAsia"/>
        </w:rPr>
        <w:instrText xml:space="preserve"> </w:instrText>
      </w:r>
      <w:r>
        <w:instrText xml:space="preserve">PAGEREF _Toc221894147 \h</w:instrText>
      </w:r>
      <w:r>
        <w:rPr>
          <w:rFonts w:hint="eastAsia"/>
        </w:rPr>
        <w:instrText xml:space="preserve"> </w:instrText>
      </w:r>
      <w:r>
        <w:rPr>
          <w:rFonts w:hint="eastAsia"/>
        </w:rPr>
        <w:fldChar w:fldCharType="separate"/>
      </w:r>
      <w:r>
        <w:rPr>
          <w:rFonts w:hint="eastAsia"/>
        </w:rPr>
        <w:t>335</w:t>
      </w:r>
      <w:r>
        <w:rPr>
          <w:rFonts w:hint="eastAsia"/>
        </w:rPr>
        <w:fldChar w:fldCharType="end"/>
      </w:r>
      <w:r>
        <w:rPr>
          <w:rFonts w:hint="eastAsia"/>
        </w:rPr>
        <w:fldChar w:fldCharType="end"/>
      </w:r>
    </w:p>
    <w:p w14:paraId="64EA9DEC">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"_Toc221894148" </w:instrText>
      </w:r>
      <w:r>
        <w:fldChar w:fldCharType="separate"/>
      </w:r>
      <w:r>
        <w:rPr>
          <w:rStyle w:val="34"/>
          <w:rFonts w:hint="eastAsia"/>
        </w:rPr>
        <w:t>3、监理单位主要职责</w:t>
      </w:r>
      <w:r>
        <w:rPr>
          <w:rFonts w:hint="eastAsia"/>
        </w:rPr>
        <w:tab/>
      </w:r>
      <w:r>
        <w:rPr>
          <w:rFonts w:hint="eastAsia"/>
        </w:rPr>
        <w:fldChar w:fldCharType="begin"/>
      </w:r>
      <w:r>
        <w:rPr>
          <w:rFonts w:hint="eastAsia"/>
        </w:rPr>
        <w:instrText xml:space="preserve"> </w:instrText>
      </w:r>
      <w:r>
        <w:instrText xml:space="preserve">PAGEREF _Toc221894148 \h</w:instrText>
      </w:r>
      <w:r>
        <w:rPr>
          <w:rFonts w:hint="eastAsia"/>
        </w:rPr>
        <w:instrText xml:space="preserve"> </w:instrText>
      </w:r>
      <w:r>
        <w:rPr>
          <w:rFonts w:hint="eastAsia"/>
        </w:rPr>
        <w:fldChar w:fldCharType="separate"/>
      </w:r>
      <w:r>
        <w:rPr>
          <w:rFonts w:hint="eastAsia"/>
        </w:rPr>
        <w:t>338</w:t>
      </w:r>
      <w:r>
        <w:rPr>
          <w:rFonts w:hint="eastAsia"/>
        </w:rPr>
        <w:fldChar w:fldCharType="end"/>
      </w:r>
      <w:r>
        <w:rPr>
          <w:rFonts w:hint="eastAsia"/>
        </w:rPr>
        <w:fldChar w:fldCharType="end"/>
      </w:r>
    </w:p>
    <w:p w14:paraId="17B942E6">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"_Toc221894149" </w:instrText>
      </w:r>
      <w:r>
        <w:fldChar w:fldCharType="separate"/>
      </w:r>
      <w:r>
        <w:rPr>
          <w:rStyle w:val="34"/>
          <w:rFonts w:hint="eastAsia"/>
        </w:rPr>
        <w:t>4、勘察单位主要职责</w:t>
      </w:r>
      <w:r>
        <w:rPr>
          <w:rFonts w:hint="eastAsia"/>
        </w:rPr>
        <w:tab/>
      </w:r>
      <w:r>
        <w:rPr>
          <w:rFonts w:hint="eastAsia"/>
        </w:rPr>
        <w:fldChar w:fldCharType="begin"/>
      </w:r>
      <w:r>
        <w:rPr>
          <w:rFonts w:hint="eastAsia"/>
        </w:rPr>
        <w:instrText xml:space="preserve"> </w:instrText>
      </w:r>
      <w:r>
        <w:instrText xml:space="preserve">PAGEREF _Toc221894149 \h</w:instrText>
      </w:r>
      <w:r>
        <w:rPr>
          <w:rFonts w:hint="eastAsia"/>
        </w:rPr>
        <w:instrText xml:space="preserve"> </w:instrText>
      </w:r>
      <w:r>
        <w:rPr>
          <w:rFonts w:hint="eastAsia"/>
        </w:rPr>
        <w:fldChar w:fldCharType="separate"/>
      </w:r>
      <w:r>
        <w:rPr>
          <w:rFonts w:hint="eastAsia"/>
        </w:rPr>
        <w:t>338</w:t>
      </w:r>
      <w:r>
        <w:rPr>
          <w:rFonts w:hint="eastAsia"/>
        </w:rPr>
        <w:fldChar w:fldCharType="end"/>
      </w:r>
      <w:r>
        <w:rPr>
          <w:rFonts w:hint="eastAsia"/>
        </w:rPr>
        <w:fldChar w:fldCharType="end"/>
      </w:r>
    </w:p>
    <w:p w14:paraId="39483511">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"_Toc221894150" </w:instrText>
      </w:r>
      <w:r>
        <w:fldChar w:fldCharType="separate"/>
      </w:r>
      <w:r>
        <w:rPr>
          <w:rStyle w:val="34"/>
          <w:rFonts w:hint="eastAsia"/>
        </w:rPr>
        <w:t>5、EPC 总承包单位（设计）主要职责</w:t>
      </w:r>
      <w:r>
        <w:rPr>
          <w:rFonts w:hint="eastAsia"/>
        </w:rPr>
        <w:tab/>
      </w:r>
      <w:r>
        <w:rPr>
          <w:rFonts w:hint="eastAsia"/>
        </w:rPr>
        <w:fldChar w:fldCharType="begin"/>
      </w:r>
      <w:r>
        <w:rPr>
          <w:rFonts w:hint="eastAsia"/>
        </w:rPr>
        <w:instrText xml:space="preserve"> </w:instrText>
      </w:r>
      <w:r>
        <w:instrText xml:space="preserve">PAGEREF _Toc221894150 \h</w:instrText>
      </w:r>
      <w:r>
        <w:rPr>
          <w:rFonts w:hint="eastAsia"/>
        </w:rPr>
        <w:instrText xml:space="preserve"> </w:instrText>
      </w:r>
      <w:r>
        <w:rPr>
          <w:rFonts w:hint="eastAsia"/>
        </w:rPr>
        <w:fldChar w:fldCharType="separate"/>
      </w:r>
      <w:r>
        <w:rPr>
          <w:rFonts w:hint="eastAsia"/>
        </w:rPr>
        <w:t>339</w:t>
      </w:r>
      <w:r>
        <w:rPr>
          <w:rFonts w:hint="eastAsia"/>
        </w:rPr>
        <w:fldChar w:fldCharType="end"/>
      </w:r>
      <w:r>
        <w:rPr>
          <w:rFonts w:hint="eastAsia"/>
        </w:rPr>
        <w:fldChar w:fldCharType="end"/>
      </w:r>
    </w:p>
    <w:p w14:paraId="222899E8">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"_Toc221894151" </w:instrText>
      </w:r>
      <w:r>
        <w:fldChar w:fldCharType="separate"/>
      </w:r>
      <w:r>
        <w:rPr>
          <w:rStyle w:val="34"/>
          <w:rFonts w:hint="eastAsia"/>
        </w:rPr>
        <w:t>6、EPC 总承包单位（施工）主要职责</w:t>
      </w:r>
      <w:r>
        <w:rPr>
          <w:rFonts w:hint="eastAsia"/>
        </w:rPr>
        <w:tab/>
      </w:r>
      <w:r>
        <w:rPr>
          <w:rFonts w:hint="eastAsia"/>
        </w:rPr>
        <w:fldChar w:fldCharType="begin"/>
      </w:r>
      <w:r>
        <w:rPr>
          <w:rFonts w:hint="eastAsia"/>
        </w:rPr>
        <w:instrText xml:space="preserve"> </w:instrText>
      </w:r>
      <w:r>
        <w:instrText xml:space="preserve">PAGEREF _Toc221894151 \h</w:instrText>
      </w:r>
      <w:r>
        <w:rPr>
          <w:rFonts w:hint="eastAsia"/>
        </w:rPr>
        <w:instrText xml:space="preserve"> </w:instrText>
      </w:r>
      <w:r>
        <w:rPr>
          <w:rFonts w:hint="eastAsia"/>
        </w:rPr>
        <w:fldChar w:fldCharType="separate"/>
      </w:r>
      <w:r>
        <w:rPr>
          <w:rFonts w:hint="eastAsia"/>
        </w:rPr>
        <w:t>340</w:t>
      </w:r>
      <w:r>
        <w:rPr>
          <w:rFonts w:hint="eastAsia"/>
        </w:rPr>
        <w:fldChar w:fldCharType="end"/>
      </w:r>
      <w:r>
        <w:rPr>
          <w:rFonts w:hint="eastAsia"/>
        </w:rPr>
        <w:fldChar w:fldCharType="end"/>
      </w:r>
    </w:p>
    <w:p w14:paraId="0AA50CC3">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"_Toc221894152" </w:instrText>
      </w:r>
      <w:r>
        <w:fldChar w:fldCharType="separate"/>
      </w:r>
      <w:r>
        <w:rPr>
          <w:rStyle w:val="34"/>
          <w:rFonts w:hint="eastAsia"/>
        </w:rPr>
        <w:t>7、第三方检测单位主要职责</w:t>
      </w:r>
      <w:r>
        <w:rPr>
          <w:rFonts w:hint="eastAsia"/>
        </w:rPr>
        <w:tab/>
      </w:r>
      <w:r>
        <w:rPr>
          <w:rFonts w:hint="eastAsia"/>
        </w:rPr>
        <w:fldChar w:fldCharType="begin"/>
      </w:r>
      <w:r>
        <w:rPr>
          <w:rFonts w:hint="eastAsia"/>
        </w:rPr>
        <w:instrText xml:space="preserve"> </w:instrText>
      </w:r>
      <w:r>
        <w:instrText xml:space="preserve">PAGEREF _Toc221894152 \h</w:instrText>
      </w:r>
      <w:r>
        <w:rPr>
          <w:rFonts w:hint="eastAsia"/>
        </w:rPr>
        <w:instrText xml:space="preserve"> </w:instrText>
      </w:r>
      <w:r>
        <w:rPr>
          <w:rFonts w:hint="eastAsia"/>
        </w:rPr>
        <w:fldChar w:fldCharType="separate"/>
      </w:r>
      <w:r>
        <w:rPr>
          <w:rFonts w:hint="eastAsia"/>
        </w:rPr>
        <w:t>340</w:t>
      </w:r>
      <w:r>
        <w:rPr>
          <w:rFonts w:hint="eastAsia"/>
        </w:rPr>
        <w:fldChar w:fldCharType="end"/>
      </w:r>
      <w:r>
        <w:rPr>
          <w:rFonts w:hint="eastAsia"/>
        </w:rPr>
        <w:fldChar w:fldCharType="end"/>
      </w:r>
    </w:p>
    <w:p w14:paraId="78E74025">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"_Toc221894153" </w:instrText>
      </w:r>
      <w:r>
        <w:fldChar w:fldCharType="separate"/>
      </w:r>
      <w:r>
        <w:rPr>
          <w:rStyle w:val="34"/>
          <w:rFonts w:hint="eastAsia" w:ascii="Times New Roman" w:hAnsi="Times New Roman" w:cs="Times New Roman"/>
        </w:rPr>
        <w:t>（二）质量管理</w:t>
      </w:r>
      <w:r>
        <w:rPr>
          <w:rFonts w:hint="eastAsia"/>
        </w:rPr>
        <w:tab/>
      </w:r>
      <w:r>
        <w:rPr>
          <w:rFonts w:hint="eastAsia"/>
        </w:rPr>
        <w:fldChar w:fldCharType="begin"/>
      </w:r>
      <w:r>
        <w:rPr>
          <w:rFonts w:hint="eastAsia"/>
        </w:rPr>
        <w:instrText xml:space="preserve"> </w:instrText>
      </w:r>
      <w:r>
        <w:instrText xml:space="preserve">PAGEREF _Toc221894153 \h</w:instrText>
      </w:r>
      <w:r>
        <w:rPr>
          <w:rFonts w:hint="eastAsia"/>
        </w:rPr>
        <w:instrText xml:space="preserve"> </w:instrText>
      </w:r>
      <w:r>
        <w:rPr>
          <w:rFonts w:hint="eastAsia"/>
        </w:rPr>
        <w:fldChar w:fldCharType="separate"/>
      </w:r>
      <w:r>
        <w:rPr>
          <w:rFonts w:hint="eastAsia"/>
        </w:rPr>
        <w:t>341</w:t>
      </w:r>
      <w:r>
        <w:rPr>
          <w:rFonts w:hint="eastAsia"/>
        </w:rPr>
        <w:fldChar w:fldCharType="end"/>
      </w:r>
      <w:r>
        <w:rPr>
          <w:rFonts w:hint="eastAsia"/>
        </w:rPr>
        <w:fldChar w:fldCharType="end"/>
      </w:r>
    </w:p>
    <w:p w14:paraId="5A94CB31">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"_Toc221894154" </w:instrText>
      </w:r>
      <w:r>
        <w:fldChar w:fldCharType="separate"/>
      </w:r>
      <w:r>
        <w:rPr>
          <w:rStyle w:val="34"/>
          <w:rFonts w:hint="eastAsia" w:ascii="Times New Roman" w:hAnsi="Times New Roman" w:cs="Times New Roman"/>
          <w:b/>
        </w:rPr>
        <w:t>1、质量管理的目标</w:t>
      </w:r>
      <w:r>
        <w:rPr>
          <w:rFonts w:hint="eastAsia"/>
        </w:rPr>
        <w:tab/>
      </w:r>
      <w:r>
        <w:rPr>
          <w:rFonts w:hint="eastAsia"/>
        </w:rPr>
        <w:fldChar w:fldCharType="begin"/>
      </w:r>
      <w:r>
        <w:rPr>
          <w:rFonts w:hint="eastAsia"/>
        </w:rPr>
        <w:instrText xml:space="preserve"> </w:instrText>
      </w:r>
      <w:r>
        <w:instrText xml:space="preserve">PAGEREF _Toc221894154 \h</w:instrText>
      </w:r>
      <w:r>
        <w:rPr>
          <w:rFonts w:hint="eastAsia"/>
        </w:rPr>
        <w:instrText xml:space="preserve"> </w:instrText>
      </w:r>
      <w:r>
        <w:rPr>
          <w:rFonts w:hint="eastAsia"/>
        </w:rPr>
        <w:fldChar w:fldCharType="separate"/>
      </w:r>
      <w:r>
        <w:rPr>
          <w:rFonts w:hint="eastAsia"/>
        </w:rPr>
        <w:t>341</w:t>
      </w:r>
      <w:r>
        <w:rPr>
          <w:rFonts w:hint="eastAsia"/>
        </w:rPr>
        <w:fldChar w:fldCharType="end"/>
      </w:r>
      <w:r>
        <w:rPr>
          <w:rFonts w:hint="eastAsia"/>
        </w:rPr>
        <w:fldChar w:fldCharType="end"/>
      </w:r>
    </w:p>
    <w:p w14:paraId="19440B78">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"_Toc221894155" </w:instrText>
      </w:r>
      <w:r>
        <w:fldChar w:fldCharType="separate"/>
      </w:r>
      <w:r>
        <w:rPr>
          <w:rStyle w:val="34"/>
          <w:rFonts w:hint="eastAsia"/>
        </w:rPr>
        <w:t>2、质量保证体系</w:t>
      </w:r>
      <w:r>
        <w:rPr>
          <w:rFonts w:hint="eastAsia"/>
        </w:rPr>
        <w:tab/>
      </w:r>
      <w:r>
        <w:rPr>
          <w:rFonts w:hint="eastAsia"/>
        </w:rPr>
        <w:fldChar w:fldCharType="begin"/>
      </w:r>
      <w:r>
        <w:rPr>
          <w:rFonts w:hint="eastAsia"/>
        </w:rPr>
        <w:instrText xml:space="preserve"> </w:instrText>
      </w:r>
      <w:r>
        <w:instrText xml:space="preserve">PAGEREF _Toc221894155 \h</w:instrText>
      </w:r>
      <w:r>
        <w:rPr>
          <w:rFonts w:hint="eastAsia"/>
        </w:rPr>
        <w:instrText xml:space="preserve"> </w:instrText>
      </w:r>
      <w:r>
        <w:rPr>
          <w:rFonts w:hint="eastAsia"/>
        </w:rPr>
        <w:fldChar w:fldCharType="separate"/>
      </w:r>
      <w:r>
        <w:rPr>
          <w:rFonts w:hint="eastAsia"/>
        </w:rPr>
        <w:t>342</w:t>
      </w:r>
      <w:r>
        <w:rPr>
          <w:rFonts w:hint="eastAsia"/>
        </w:rPr>
        <w:fldChar w:fldCharType="end"/>
      </w:r>
      <w:r>
        <w:rPr>
          <w:rFonts w:hint="eastAsia"/>
        </w:rPr>
        <w:fldChar w:fldCharType="end"/>
      </w:r>
    </w:p>
    <w:p w14:paraId="6278A6F3">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"_Toc221894156" </w:instrText>
      </w:r>
      <w:r>
        <w:fldChar w:fldCharType="separate"/>
      </w:r>
      <w:r>
        <w:rPr>
          <w:rStyle w:val="34"/>
          <w:rFonts w:hint="eastAsia"/>
        </w:rPr>
        <w:t>3、设计阶段的质量管理</w:t>
      </w:r>
      <w:r>
        <w:rPr>
          <w:rFonts w:hint="eastAsia"/>
        </w:rPr>
        <w:tab/>
      </w:r>
      <w:r>
        <w:rPr>
          <w:rFonts w:hint="eastAsia"/>
        </w:rPr>
        <w:fldChar w:fldCharType="begin"/>
      </w:r>
      <w:r>
        <w:rPr>
          <w:rFonts w:hint="eastAsia"/>
        </w:rPr>
        <w:instrText xml:space="preserve"> </w:instrText>
      </w:r>
      <w:r>
        <w:instrText xml:space="preserve">PAGEREF _Toc221894156 \h</w:instrText>
      </w:r>
      <w:r>
        <w:rPr>
          <w:rFonts w:hint="eastAsia"/>
        </w:rPr>
        <w:instrText xml:space="preserve"> </w:instrText>
      </w:r>
      <w:r>
        <w:rPr>
          <w:rFonts w:hint="eastAsia"/>
        </w:rPr>
        <w:fldChar w:fldCharType="separate"/>
      </w:r>
      <w:r>
        <w:rPr>
          <w:rFonts w:hint="eastAsia"/>
        </w:rPr>
        <w:t>342</w:t>
      </w:r>
      <w:r>
        <w:rPr>
          <w:rFonts w:hint="eastAsia"/>
        </w:rPr>
        <w:fldChar w:fldCharType="end"/>
      </w:r>
      <w:r>
        <w:rPr>
          <w:rFonts w:hint="eastAsia"/>
        </w:rPr>
        <w:fldChar w:fldCharType="end"/>
      </w:r>
    </w:p>
    <w:p w14:paraId="49A9A67F">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"_Toc221894157" </w:instrText>
      </w:r>
      <w:r>
        <w:fldChar w:fldCharType="separate"/>
      </w:r>
      <w:r>
        <w:rPr>
          <w:rStyle w:val="34"/>
          <w:rFonts w:hint="eastAsia" w:ascii="Times New Roman" w:hAnsi="Times New Roman" w:cs="Times New Roman"/>
          <w:b/>
        </w:rPr>
        <w:t>4、采购阶段的质量管理</w:t>
      </w:r>
      <w:r>
        <w:rPr>
          <w:rFonts w:hint="eastAsia"/>
        </w:rPr>
        <w:tab/>
      </w:r>
      <w:r>
        <w:rPr>
          <w:rFonts w:hint="eastAsia"/>
        </w:rPr>
        <w:fldChar w:fldCharType="begin"/>
      </w:r>
      <w:r>
        <w:rPr>
          <w:rFonts w:hint="eastAsia"/>
        </w:rPr>
        <w:instrText xml:space="preserve"> </w:instrText>
      </w:r>
      <w:r>
        <w:instrText xml:space="preserve">PAGEREF _Toc221894157 \h</w:instrText>
      </w:r>
      <w:r>
        <w:rPr>
          <w:rFonts w:hint="eastAsia"/>
        </w:rPr>
        <w:instrText xml:space="preserve"> </w:instrText>
      </w:r>
      <w:r>
        <w:rPr>
          <w:rFonts w:hint="eastAsia"/>
        </w:rPr>
        <w:fldChar w:fldCharType="separate"/>
      </w:r>
      <w:r>
        <w:rPr>
          <w:rFonts w:hint="eastAsia"/>
        </w:rPr>
        <w:t>342</w:t>
      </w:r>
      <w:r>
        <w:rPr>
          <w:rFonts w:hint="eastAsia"/>
        </w:rPr>
        <w:fldChar w:fldCharType="end"/>
      </w:r>
      <w:r>
        <w:rPr>
          <w:rFonts w:hint="eastAsia"/>
        </w:rPr>
        <w:fldChar w:fldCharType="end"/>
      </w:r>
    </w:p>
    <w:p w14:paraId="0C653766">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"_Toc221894158" </w:instrText>
      </w:r>
      <w:r>
        <w:fldChar w:fldCharType="separate"/>
      </w:r>
      <w:r>
        <w:rPr>
          <w:rStyle w:val="34"/>
          <w:rFonts w:hint="eastAsia" w:ascii="Times New Roman" w:hAnsi="Times New Roman" w:cs="Times New Roman"/>
          <w:b/>
        </w:rPr>
        <w:t>5、施工阶段的质量管理</w:t>
      </w:r>
      <w:r>
        <w:rPr>
          <w:rFonts w:hint="eastAsia"/>
        </w:rPr>
        <w:tab/>
      </w:r>
      <w:r>
        <w:rPr>
          <w:rFonts w:hint="eastAsia"/>
        </w:rPr>
        <w:fldChar w:fldCharType="begin"/>
      </w:r>
      <w:r>
        <w:rPr>
          <w:rFonts w:hint="eastAsia"/>
        </w:rPr>
        <w:instrText xml:space="preserve"> </w:instrText>
      </w:r>
      <w:r>
        <w:instrText xml:space="preserve">PAGEREF _Toc221894158 \h</w:instrText>
      </w:r>
      <w:r>
        <w:rPr>
          <w:rFonts w:hint="eastAsia"/>
        </w:rPr>
        <w:instrText xml:space="preserve"> </w:instrText>
      </w:r>
      <w:r>
        <w:rPr>
          <w:rFonts w:hint="eastAsia"/>
        </w:rPr>
        <w:fldChar w:fldCharType="separate"/>
      </w:r>
      <w:r>
        <w:rPr>
          <w:rFonts w:hint="eastAsia"/>
        </w:rPr>
        <w:t>343</w:t>
      </w:r>
      <w:r>
        <w:rPr>
          <w:rFonts w:hint="eastAsia"/>
        </w:rPr>
        <w:fldChar w:fldCharType="end"/>
      </w:r>
      <w:r>
        <w:rPr>
          <w:rFonts w:hint="eastAsia"/>
        </w:rPr>
        <w:fldChar w:fldCharType="end"/>
      </w:r>
    </w:p>
    <w:p w14:paraId="220AEEB1">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"_Toc221894159" </w:instrText>
      </w:r>
      <w:r>
        <w:fldChar w:fldCharType="separate"/>
      </w:r>
      <w:r>
        <w:rPr>
          <w:rStyle w:val="34"/>
          <w:rFonts w:hint="eastAsia"/>
        </w:rPr>
        <w:t>6、质量控制的具体依据及措施</w:t>
      </w:r>
      <w:r>
        <w:rPr>
          <w:rFonts w:hint="eastAsia"/>
        </w:rPr>
        <w:tab/>
      </w:r>
      <w:r>
        <w:rPr>
          <w:rFonts w:hint="eastAsia"/>
        </w:rPr>
        <w:fldChar w:fldCharType="begin"/>
      </w:r>
      <w:r>
        <w:rPr>
          <w:rFonts w:hint="eastAsia"/>
        </w:rPr>
        <w:instrText xml:space="preserve"> </w:instrText>
      </w:r>
      <w:r>
        <w:instrText xml:space="preserve">PAGEREF _Toc221894159 \h</w:instrText>
      </w:r>
      <w:r>
        <w:rPr>
          <w:rFonts w:hint="eastAsia"/>
        </w:rPr>
        <w:instrText xml:space="preserve"> </w:instrText>
      </w:r>
      <w:r>
        <w:rPr>
          <w:rFonts w:hint="eastAsia"/>
        </w:rPr>
        <w:fldChar w:fldCharType="separate"/>
      </w:r>
      <w:r>
        <w:rPr>
          <w:rFonts w:hint="eastAsia"/>
        </w:rPr>
        <w:t>346</w:t>
      </w:r>
      <w:r>
        <w:rPr>
          <w:rFonts w:hint="eastAsia"/>
        </w:rPr>
        <w:fldChar w:fldCharType="end"/>
      </w:r>
      <w:r>
        <w:rPr>
          <w:rFonts w:hint="eastAsia"/>
        </w:rPr>
        <w:fldChar w:fldCharType="end"/>
      </w:r>
    </w:p>
    <w:p w14:paraId="1873BD57">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"_Toc221894160" </w:instrText>
      </w:r>
      <w:r>
        <w:fldChar w:fldCharType="separate"/>
      </w:r>
      <w:r>
        <w:rPr>
          <w:rStyle w:val="34"/>
          <w:rFonts w:hint="eastAsia" w:ascii="Times New Roman" w:hAnsi="Times New Roman" w:cs="Times New Roman"/>
        </w:rPr>
        <w:t>（三）进度管理</w:t>
      </w:r>
      <w:r>
        <w:rPr>
          <w:rFonts w:hint="eastAsia"/>
        </w:rPr>
        <w:tab/>
      </w:r>
      <w:r>
        <w:rPr>
          <w:rFonts w:hint="eastAsia"/>
        </w:rPr>
        <w:fldChar w:fldCharType="begin"/>
      </w:r>
      <w:r>
        <w:rPr>
          <w:rFonts w:hint="eastAsia"/>
        </w:rPr>
        <w:instrText xml:space="preserve"> </w:instrText>
      </w:r>
      <w:r>
        <w:instrText xml:space="preserve">PAGEREF _Toc221894160 \h</w:instrText>
      </w:r>
      <w:r>
        <w:rPr>
          <w:rFonts w:hint="eastAsia"/>
        </w:rPr>
        <w:instrText xml:space="preserve"> </w:instrText>
      </w:r>
      <w:r>
        <w:rPr>
          <w:rFonts w:hint="eastAsia"/>
        </w:rPr>
        <w:fldChar w:fldCharType="separate"/>
      </w:r>
      <w:r>
        <w:rPr>
          <w:rFonts w:hint="eastAsia"/>
        </w:rPr>
        <w:t>350</w:t>
      </w:r>
      <w:r>
        <w:rPr>
          <w:rFonts w:hint="eastAsia"/>
        </w:rPr>
        <w:fldChar w:fldCharType="end"/>
      </w:r>
      <w:r>
        <w:rPr>
          <w:rFonts w:hint="eastAsia"/>
        </w:rPr>
        <w:fldChar w:fldCharType="end"/>
      </w:r>
    </w:p>
    <w:p w14:paraId="2B337F8F">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"_Toc221894161" </w:instrText>
      </w:r>
      <w:r>
        <w:fldChar w:fldCharType="separate"/>
      </w:r>
      <w:r>
        <w:rPr>
          <w:rStyle w:val="34"/>
          <w:rFonts w:hint="eastAsia"/>
        </w:rPr>
        <w:t>1、进度计划管理</w:t>
      </w:r>
      <w:r>
        <w:rPr>
          <w:rFonts w:hint="eastAsia"/>
        </w:rPr>
        <w:tab/>
      </w:r>
      <w:r>
        <w:rPr>
          <w:rFonts w:hint="eastAsia"/>
        </w:rPr>
        <w:fldChar w:fldCharType="begin"/>
      </w:r>
      <w:r>
        <w:rPr>
          <w:rFonts w:hint="eastAsia"/>
        </w:rPr>
        <w:instrText xml:space="preserve"> </w:instrText>
      </w:r>
      <w:r>
        <w:instrText xml:space="preserve">PAGEREF _Toc221894161 \h</w:instrText>
      </w:r>
      <w:r>
        <w:rPr>
          <w:rFonts w:hint="eastAsia"/>
        </w:rPr>
        <w:instrText xml:space="preserve"> </w:instrText>
      </w:r>
      <w:r>
        <w:rPr>
          <w:rFonts w:hint="eastAsia"/>
        </w:rPr>
        <w:fldChar w:fldCharType="separate"/>
      </w:r>
      <w:r>
        <w:rPr>
          <w:rFonts w:hint="eastAsia"/>
        </w:rPr>
        <w:t>350</w:t>
      </w:r>
      <w:r>
        <w:rPr>
          <w:rFonts w:hint="eastAsia"/>
        </w:rPr>
        <w:fldChar w:fldCharType="end"/>
      </w:r>
      <w:r>
        <w:rPr>
          <w:rFonts w:hint="eastAsia"/>
        </w:rPr>
        <w:fldChar w:fldCharType="end"/>
      </w:r>
    </w:p>
    <w:p w14:paraId="71B15954">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"_Toc221894162" </w:instrText>
      </w:r>
      <w:r>
        <w:fldChar w:fldCharType="separate"/>
      </w:r>
      <w:r>
        <w:rPr>
          <w:rStyle w:val="34"/>
          <w:rFonts w:hint="eastAsia"/>
        </w:rPr>
        <w:t>2、过程进度控制</w:t>
      </w:r>
      <w:r>
        <w:rPr>
          <w:rFonts w:hint="eastAsia"/>
        </w:rPr>
        <w:tab/>
      </w:r>
      <w:r>
        <w:rPr>
          <w:rFonts w:hint="eastAsia"/>
        </w:rPr>
        <w:fldChar w:fldCharType="begin"/>
      </w:r>
      <w:r>
        <w:rPr>
          <w:rFonts w:hint="eastAsia"/>
        </w:rPr>
        <w:instrText xml:space="preserve"> </w:instrText>
      </w:r>
      <w:r>
        <w:instrText xml:space="preserve">PAGEREF _Toc221894162 \h</w:instrText>
      </w:r>
      <w:r>
        <w:rPr>
          <w:rFonts w:hint="eastAsia"/>
        </w:rPr>
        <w:instrText xml:space="preserve"> </w:instrText>
      </w:r>
      <w:r>
        <w:rPr>
          <w:rFonts w:hint="eastAsia"/>
        </w:rPr>
        <w:fldChar w:fldCharType="separate"/>
      </w:r>
      <w:r>
        <w:rPr>
          <w:rFonts w:hint="eastAsia"/>
        </w:rPr>
        <w:t>351</w:t>
      </w:r>
      <w:r>
        <w:rPr>
          <w:rFonts w:hint="eastAsia"/>
        </w:rPr>
        <w:fldChar w:fldCharType="end"/>
      </w:r>
      <w:r>
        <w:rPr>
          <w:rFonts w:hint="eastAsia"/>
        </w:rPr>
        <w:fldChar w:fldCharType="end"/>
      </w:r>
    </w:p>
    <w:p w14:paraId="3BBCD730">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"_Toc221894163" </w:instrText>
      </w:r>
      <w:r>
        <w:fldChar w:fldCharType="separate"/>
      </w:r>
      <w:r>
        <w:rPr>
          <w:rStyle w:val="34"/>
          <w:rFonts w:hint="eastAsia"/>
        </w:rPr>
        <w:t>3、市政公用设施工程进度控制</w:t>
      </w:r>
      <w:r>
        <w:rPr>
          <w:rFonts w:hint="eastAsia"/>
        </w:rPr>
        <w:tab/>
      </w:r>
      <w:r>
        <w:rPr>
          <w:rFonts w:hint="eastAsia"/>
        </w:rPr>
        <w:fldChar w:fldCharType="begin"/>
      </w:r>
      <w:r>
        <w:rPr>
          <w:rFonts w:hint="eastAsia"/>
        </w:rPr>
        <w:instrText xml:space="preserve"> </w:instrText>
      </w:r>
      <w:r>
        <w:instrText xml:space="preserve">PAGEREF _Toc221894163 \h</w:instrText>
      </w:r>
      <w:r>
        <w:rPr>
          <w:rFonts w:hint="eastAsia"/>
        </w:rPr>
        <w:instrText xml:space="preserve"> </w:instrText>
      </w:r>
      <w:r>
        <w:rPr>
          <w:rFonts w:hint="eastAsia"/>
        </w:rPr>
        <w:fldChar w:fldCharType="separate"/>
      </w:r>
      <w:r>
        <w:rPr>
          <w:rFonts w:hint="eastAsia"/>
        </w:rPr>
        <w:t>352</w:t>
      </w:r>
      <w:r>
        <w:rPr>
          <w:rFonts w:hint="eastAsia"/>
        </w:rPr>
        <w:fldChar w:fldCharType="end"/>
      </w:r>
      <w:r>
        <w:rPr>
          <w:rFonts w:hint="eastAsia"/>
        </w:rPr>
        <w:fldChar w:fldCharType="end"/>
      </w:r>
    </w:p>
    <w:p w14:paraId="56982706">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"_Toc221894164" </w:instrText>
      </w:r>
      <w:r>
        <w:fldChar w:fldCharType="separate"/>
      </w:r>
      <w:r>
        <w:rPr>
          <w:rStyle w:val="34"/>
          <w:rFonts w:hint="eastAsia"/>
        </w:rPr>
        <w:t>（四）支付</w:t>
      </w:r>
      <w:r>
        <w:rPr>
          <w:rFonts w:hint="eastAsia"/>
        </w:rPr>
        <w:tab/>
      </w:r>
      <w:r>
        <w:rPr>
          <w:rFonts w:hint="eastAsia"/>
        </w:rPr>
        <w:fldChar w:fldCharType="begin"/>
      </w:r>
      <w:r>
        <w:rPr>
          <w:rFonts w:hint="eastAsia"/>
        </w:rPr>
        <w:instrText xml:space="preserve"> </w:instrText>
      </w:r>
      <w:r>
        <w:instrText xml:space="preserve">PAGEREF _Toc221894164 \h</w:instrText>
      </w:r>
      <w:r>
        <w:rPr>
          <w:rFonts w:hint="eastAsia"/>
        </w:rPr>
        <w:instrText xml:space="preserve"> </w:instrText>
      </w:r>
      <w:r>
        <w:rPr>
          <w:rFonts w:hint="eastAsia"/>
        </w:rPr>
        <w:fldChar w:fldCharType="separate"/>
      </w:r>
      <w:r>
        <w:rPr>
          <w:rFonts w:hint="eastAsia"/>
        </w:rPr>
        <w:t>354</w:t>
      </w:r>
      <w:r>
        <w:rPr>
          <w:rFonts w:hint="eastAsia"/>
        </w:rPr>
        <w:fldChar w:fldCharType="end"/>
      </w:r>
      <w:r>
        <w:rPr>
          <w:rFonts w:hint="eastAsia"/>
        </w:rPr>
        <w:fldChar w:fldCharType="end"/>
      </w:r>
    </w:p>
    <w:p w14:paraId="261E022C">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"_Toc221894165" </w:instrText>
      </w:r>
      <w:r>
        <w:fldChar w:fldCharType="separate"/>
      </w:r>
      <w:r>
        <w:rPr>
          <w:rStyle w:val="34"/>
          <w:rFonts w:hint="eastAsia"/>
        </w:rPr>
        <w:t>（五）项目 HSE 管理（健康、安全与环境管理体系）</w:t>
      </w:r>
      <w:r>
        <w:rPr>
          <w:rFonts w:hint="eastAsia"/>
        </w:rPr>
        <w:tab/>
      </w:r>
      <w:r>
        <w:rPr>
          <w:rFonts w:hint="eastAsia"/>
        </w:rPr>
        <w:fldChar w:fldCharType="begin"/>
      </w:r>
      <w:r>
        <w:rPr>
          <w:rFonts w:hint="eastAsia"/>
        </w:rPr>
        <w:instrText xml:space="preserve"> </w:instrText>
      </w:r>
      <w:r>
        <w:instrText xml:space="preserve">PAGEREF _Toc221894165 \h</w:instrText>
      </w:r>
      <w:r>
        <w:rPr>
          <w:rFonts w:hint="eastAsia"/>
        </w:rPr>
        <w:instrText xml:space="preserve"> </w:instrText>
      </w:r>
      <w:r>
        <w:rPr>
          <w:rFonts w:hint="eastAsia"/>
        </w:rPr>
        <w:fldChar w:fldCharType="separate"/>
      </w:r>
      <w:r>
        <w:rPr>
          <w:rFonts w:hint="eastAsia"/>
        </w:rPr>
        <w:t>354</w:t>
      </w:r>
      <w:r>
        <w:rPr>
          <w:rFonts w:hint="eastAsia"/>
        </w:rPr>
        <w:fldChar w:fldCharType="end"/>
      </w:r>
      <w:r>
        <w:rPr>
          <w:rFonts w:hint="eastAsia"/>
        </w:rPr>
        <w:fldChar w:fldCharType="end"/>
      </w:r>
    </w:p>
    <w:p w14:paraId="68462886">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"_Toc221894166" </w:instrText>
      </w:r>
      <w:r>
        <w:fldChar w:fldCharType="separate"/>
      </w:r>
      <w:r>
        <w:rPr>
          <w:rStyle w:val="34"/>
          <w:rFonts w:hint="eastAsia"/>
        </w:rPr>
        <w:t>1、建立项目 HSE 管理体系</w:t>
      </w:r>
      <w:r>
        <w:rPr>
          <w:rFonts w:hint="eastAsia"/>
        </w:rPr>
        <w:tab/>
      </w:r>
      <w:r>
        <w:rPr>
          <w:rFonts w:hint="eastAsia"/>
        </w:rPr>
        <w:fldChar w:fldCharType="begin"/>
      </w:r>
      <w:r>
        <w:rPr>
          <w:rFonts w:hint="eastAsia"/>
        </w:rPr>
        <w:instrText xml:space="preserve"> </w:instrText>
      </w:r>
      <w:r>
        <w:instrText xml:space="preserve">PAGEREF _Toc221894166 \h</w:instrText>
      </w:r>
      <w:r>
        <w:rPr>
          <w:rFonts w:hint="eastAsia"/>
        </w:rPr>
        <w:instrText xml:space="preserve"> </w:instrText>
      </w:r>
      <w:r>
        <w:rPr>
          <w:rFonts w:hint="eastAsia"/>
        </w:rPr>
        <w:fldChar w:fldCharType="separate"/>
      </w:r>
      <w:r>
        <w:rPr>
          <w:rFonts w:hint="eastAsia"/>
        </w:rPr>
        <w:t>355</w:t>
      </w:r>
      <w:r>
        <w:rPr>
          <w:rFonts w:hint="eastAsia"/>
        </w:rPr>
        <w:fldChar w:fldCharType="end"/>
      </w:r>
      <w:r>
        <w:rPr>
          <w:rFonts w:hint="eastAsia"/>
        </w:rPr>
        <w:fldChar w:fldCharType="end"/>
      </w:r>
    </w:p>
    <w:p w14:paraId="668D9503">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"_Toc221894167" </w:instrText>
      </w:r>
      <w:r>
        <w:fldChar w:fldCharType="separate"/>
      </w:r>
      <w:r>
        <w:rPr>
          <w:rStyle w:val="34"/>
          <w:rFonts w:hint="eastAsia"/>
        </w:rPr>
        <w:t>2、编制项目 HSE 管理方案</w:t>
      </w:r>
      <w:r>
        <w:rPr>
          <w:rFonts w:hint="eastAsia"/>
        </w:rPr>
        <w:tab/>
      </w:r>
      <w:r>
        <w:rPr>
          <w:rFonts w:hint="eastAsia"/>
        </w:rPr>
        <w:fldChar w:fldCharType="begin"/>
      </w:r>
      <w:r>
        <w:rPr>
          <w:rFonts w:hint="eastAsia"/>
        </w:rPr>
        <w:instrText xml:space="preserve"> </w:instrText>
      </w:r>
      <w:r>
        <w:instrText xml:space="preserve">PAGEREF _Toc221894167 \h</w:instrText>
      </w:r>
      <w:r>
        <w:rPr>
          <w:rFonts w:hint="eastAsia"/>
        </w:rPr>
        <w:instrText xml:space="preserve"> </w:instrText>
      </w:r>
      <w:r>
        <w:rPr>
          <w:rFonts w:hint="eastAsia"/>
        </w:rPr>
        <w:fldChar w:fldCharType="separate"/>
      </w:r>
      <w:r>
        <w:rPr>
          <w:rFonts w:hint="eastAsia"/>
        </w:rPr>
        <w:t>355</w:t>
      </w:r>
      <w:r>
        <w:rPr>
          <w:rFonts w:hint="eastAsia"/>
        </w:rPr>
        <w:fldChar w:fldCharType="end"/>
      </w:r>
      <w:r>
        <w:rPr>
          <w:rFonts w:hint="eastAsia"/>
        </w:rPr>
        <w:fldChar w:fldCharType="end"/>
      </w:r>
    </w:p>
    <w:p w14:paraId="609A895A">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"_Toc221894168" </w:instrText>
      </w:r>
      <w:r>
        <w:fldChar w:fldCharType="separate"/>
      </w:r>
      <w:r>
        <w:rPr>
          <w:rStyle w:val="34"/>
          <w:rFonts w:hint="eastAsia"/>
        </w:rPr>
        <w:t>3、HSE 费用管理</w:t>
      </w:r>
      <w:r>
        <w:rPr>
          <w:rFonts w:hint="eastAsia"/>
        </w:rPr>
        <w:tab/>
      </w:r>
      <w:r>
        <w:rPr>
          <w:rFonts w:hint="eastAsia"/>
        </w:rPr>
        <w:fldChar w:fldCharType="begin"/>
      </w:r>
      <w:r>
        <w:rPr>
          <w:rFonts w:hint="eastAsia"/>
        </w:rPr>
        <w:instrText xml:space="preserve"> </w:instrText>
      </w:r>
      <w:r>
        <w:instrText xml:space="preserve">PAGEREF _Toc221894168 \h</w:instrText>
      </w:r>
      <w:r>
        <w:rPr>
          <w:rFonts w:hint="eastAsia"/>
        </w:rPr>
        <w:instrText xml:space="preserve"> </w:instrText>
      </w:r>
      <w:r>
        <w:rPr>
          <w:rFonts w:hint="eastAsia"/>
        </w:rPr>
        <w:fldChar w:fldCharType="separate"/>
      </w:r>
      <w:r>
        <w:rPr>
          <w:rFonts w:hint="eastAsia"/>
        </w:rPr>
        <w:t>355</w:t>
      </w:r>
      <w:r>
        <w:rPr>
          <w:rFonts w:hint="eastAsia"/>
        </w:rPr>
        <w:fldChar w:fldCharType="end"/>
      </w:r>
      <w:r>
        <w:rPr>
          <w:rFonts w:hint="eastAsia"/>
        </w:rPr>
        <w:fldChar w:fldCharType="end"/>
      </w:r>
    </w:p>
    <w:p w14:paraId="239425CD">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"_Toc221894169" </w:instrText>
      </w:r>
      <w:r>
        <w:fldChar w:fldCharType="separate"/>
      </w:r>
      <w:r>
        <w:rPr>
          <w:rStyle w:val="34"/>
          <w:rFonts w:hint="eastAsia"/>
        </w:rPr>
        <w:t>4、应急救援预案</w:t>
      </w:r>
      <w:r>
        <w:rPr>
          <w:rFonts w:hint="eastAsia"/>
        </w:rPr>
        <w:tab/>
      </w:r>
      <w:r>
        <w:rPr>
          <w:rFonts w:hint="eastAsia"/>
        </w:rPr>
        <w:fldChar w:fldCharType="begin"/>
      </w:r>
      <w:r>
        <w:rPr>
          <w:rFonts w:hint="eastAsia"/>
        </w:rPr>
        <w:instrText xml:space="preserve"> </w:instrText>
      </w:r>
      <w:r>
        <w:instrText xml:space="preserve">PAGEREF _Toc221894169 \h</w:instrText>
      </w:r>
      <w:r>
        <w:rPr>
          <w:rFonts w:hint="eastAsia"/>
        </w:rPr>
        <w:instrText xml:space="preserve"> </w:instrText>
      </w:r>
      <w:r>
        <w:rPr>
          <w:rFonts w:hint="eastAsia"/>
        </w:rPr>
        <w:fldChar w:fldCharType="separate"/>
      </w:r>
      <w:r>
        <w:rPr>
          <w:rFonts w:hint="eastAsia"/>
        </w:rPr>
        <w:t>355</w:t>
      </w:r>
      <w:r>
        <w:rPr>
          <w:rFonts w:hint="eastAsia"/>
        </w:rPr>
        <w:fldChar w:fldCharType="end"/>
      </w:r>
      <w:r>
        <w:rPr>
          <w:rFonts w:hint="eastAsia"/>
        </w:rPr>
        <w:fldChar w:fldCharType="end"/>
      </w:r>
    </w:p>
    <w:p w14:paraId="057AF6BA">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"_Toc221894170" </w:instrText>
      </w:r>
      <w:r>
        <w:fldChar w:fldCharType="separate"/>
      </w:r>
      <w:r>
        <w:rPr>
          <w:rStyle w:val="34"/>
          <w:rFonts w:hint="eastAsia"/>
        </w:rPr>
        <w:t>5、项目 HSE 工作月报</w:t>
      </w:r>
      <w:r>
        <w:rPr>
          <w:rFonts w:hint="eastAsia"/>
        </w:rPr>
        <w:tab/>
      </w:r>
      <w:r>
        <w:rPr>
          <w:rFonts w:hint="eastAsia"/>
        </w:rPr>
        <w:fldChar w:fldCharType="begin"/>
      </w:r>
      <w:r>
        <w:rPr>
          <w:rFonts w:hint="eastAsia"/>
        </w:rPr>
        <w:instrText xml:space="preserve"> </w:instrText>
      </w:r>
      <w:r>
        <w:instrText xml:space="preserve">PAGEREF _Toc221894170 \h</w:instrText>
      </w:r>
      <w:r>
        <w:rPr>
          <w:rFonts w:hint="eastAsia"/>
        </w:rPr>
        <w:instrText xml:space="preserve"> </w:instrText>
      </w:r>
      <w:r>
        <w:rPr>
          <w:rFonts w:hint="eastAsia"/>
        </w:rPr>
        <w:fldChar w:fldCharType="separate"/>
      </w:r>
      <w:r>
        <w:rPr>
          <w:rFonts w:hint="eastAsia"/>
        </w:rPr>
        <w:t>355</w:t>
      </w:r>
      <w:r>
        <w:rPr>
          <w:rFonts w:hint="eastAsia"/>
        </w:rPr>
        <w:fldChar w:fldCharType="end"/>
      </w:r>
      <w:r>
        <w:rPr>
          <w:rFonts w:hint="eastAsia"/>
        </w:rPr>
        <w:fldChar w:fldCharType="end"/>
      </w:r>
    </w:p>
    <w:p w14:paraId="5957FB76">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"_Toc221894171" </w:instrText>
      </w:r>
      <w:r>
        <w:fldChar w:fldCharType="separate"/>
      </w:r>
      <w:r>
        <w:rPr>
          <w:rStyle w:val="34"/>
          <w:rFonts w:hint="eastAsia"/>
        </w:rPr>
        <w:t>6、设计安全管理</w:t>
      </w:r>
      <w:r>
        <w:rPr>
          <w:rFonts w:hint="eastAsia"/>
        </w:rPr>
        <w:tab/>
      </w:r>
      <w:r>
        <w:rPr>
          <w:rFonts w:hint="eastAsia"/>
        </w:rPr>
        <w:fldChar w:fldCharType="begin"/>
      </w:r>
      <w:r>
        <w:rPr>
          <w:rFonts w:hint="eastAsia"/>
        </w:rPr>
        <w:instrText xml:space="preserve"> </w:instrText>
      </w:r>
      <w:r>
        <w:instrText xml:space="preserve">PAGEREF _Toc221894171 \h</w:instrText>
      </w:r>
      <w:r>
        <w:rPr>
          <w:rFonts w:hint="eastAsia"/>
        </w:rPr>
        <w:instrText xml:space="preserve"> </w:instrText>
      </w:r>
      <w:r>
        <w:rPr>
          <w:rFonts w:hint="eastAsia"/>
        </w:rPr>
        <w:fldChar w:fldCharType="separate"/>
      </w:r>
      <w:r>
        <w:rPr>
          <w:rFonts w:hint="eastAsia"/>
        </w:rPr>
        <w:t>356</w:t>
      </w:r>
      <w:r>
        <w:rPr>
          <w:rFonts w:hint="eastAsia"/>
        </w:rPr>
        <w:fldChar w:fldCharType="end"/>
      </w:r>
      <w:r>
        <w:rPr>
          <w:rFonts w:hint="eastAsia"/>
        </w:rPr>
        <w:fldChar w:fldCharType="end"/>
      </w:r>
    </w:p>
    <w:p w14:paraId="1F56B90F">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"_Toc221894172" </w:instrText>
      </w:r>
      <w:r>
        <w:fldChar w:fldCharType="separate"/>
      </w:r>
      <w:r>
        <w:rPr>
          <w:rStyle w:val="34"/>
          <w:rFonts w:hint="eastAsia"/>
        </w:rPr>
        <w:t>7、分包人 HSE 管理</w:t>
      </w:r>
      <w:r>
        <w:rPr>
          <w:rFonts w:hint="eastAsia"/>
        </w:rPr>
        <w:tab/>
      </w:r>
      <w:r>
        <w:rPr>
          <w:rFonts w:hint="eastAsia"/>
        </w:rPr>
        <w:fldChar w:fldCharType="begin"/>
      </w:r>
      <w:r>
        <w:rPr>
          <w:rFonts w:hint="eastAsia"/>
        </w:rPr>
        <w:instrText xml:space="preserve"> </w:instrText>
      </w:r>
      <w:r>
        <w:instrText xml:space="preserve">PAGEREF _Toc221894172 \h</w:instrText>
      </w:r>
      <w:r>
        <w:rPr>
          <w:rFonts w:hint="eastAsia"/>
        </w:rPr>
        <w:instrText xml:space="preserve"> </w:instrText>
      </w:r>
      <w:r>
        <w:rPr>
          <w:rFonts w:hint="eastAsia"/>
        </w:rPr>
        <w:fldChar w:fldCharType="separate"/>
      </w:r>
      <w:r>
        <w:rPr>
          <w:rFonts w:hint="eastAsia"/>
        </w:rPr>
        <w:t>356</w:t>
      </w:r>
      <w:r>
        <w:rPr>
          <w:rFonts w:hint="eastAsia"/>
        </w:rPr>
        <w:fldChar w:fldCharType="end"/>
      </w:r>
      <w:r>
        <w:rPr>
          <w:rFonts w:hint="eastAsia"/>
        </w:rPr>
        <w:fldChar w:fldCharType="end"/>
      </w:r>
    </w:p>
    <w:p w14:paraId="5D062A19">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"_Toc221894173" </w:instrText>
      </w:r>
      <w:r>
        <w:fldChar w:fldCharType="separate"/>
      </w:r>
      <w:r>
        <w:rPr>
          <w:rStyle w:val="34"/>
          <w:rFonts w:hint="eastAsia"/>
        </w:rPr>
        <w:t>8、施工管理</w:t>
      </w:r>
      <w:r>
        <w:rPr>
          <w:rFonts w:hint="eastAsia"/>
        </w:rPr>
        <w:tab/>
      </w:r>
      <w:r>
        <w:rPr>
          <w:rFonts w:hint="eastAsia"/>
        </w:rPr>
        <w:fldChar w:fldCharType="begin"/>
      </w:r>
      <w:r>
        <w:rPr>
          <w:rFonts w:hint="eastAsia"/>
        </w:rPr>
        <w:instrText xml:space="preserve"> </w:instrText>
      </w:r>
      <w:r>
        <w:instrText xml:space="preserve">PAGEREF _Toc221894173 \h</w:instrText>
      </w:r>
      <w:r>
        <w:rPr>
          <w:rFonts w:hint="eastAsia"/>
        </w:rPr>
        <w:instrText xml:space="preserve"> </w:instrText>
      </w:r>
      <w:r>
        <w:rPr>
          <w:rFonts w:hint="eastAsia"/>
        </w:rPr>
        <w:fldChar w:fldCharType="separate"/>
      </w:r>
      <w:r>
        <w:rPr>
          <w:rFonts w:hint="eastAsia"/>
        </w:rPr>
        <w:t>356</w:t>
      </w:r>
      <w:r>
        <w:rPr>
          <w:rFonts w:hint="eastAsia"/>
        </w:rPr>
        <w:fldChar w:fldCharType="end"/>
      </w:r>
      <w:r>
        <w:rPr>
          <w:rFonts w:hint="eastAsia"/>
        </w:rPr>
        <w:fldChar w:fldCharType="end"/>
      </w:r>
    </w:p>
    <w:p w14:paraId="5089DD05">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"_Toc221894174" </w:instrText>
      </w:r>
      <w:r>
        <w:fldChar w:fldCharType="separate"/>
      </w:r>
      <w:r>
        <w:rPr>
          <w:rStyle w:val="34"/>
          <w:rFonts w:hint="eastAsia"/>
        </w:rPr>
        <w:t>9、现场劳动用工</w:t>
      </w:r>
      <w:r>
        <w:rPr>
          <w:rFonts w:hint="eastAsia"/>
        </w:rPr>
        <w:tab/>
      </w:r>
      <w:r>
        <w:rPr>
          <w:rFonts w:hint="eastAsia"/>
        </w:rPr>
        <w:fldChar w:fldCharType="begin"/>
      </w:r>
      <w:r>
        <w:rPr>
          <w:rFonts w:hint="eastAsia"/>
        </w:rPr>
        <w:instrText xml:space="preserve"> </w:instrText>
      </w:r>
      <w:r>
        <w:instrText xml:space="preserve">PAGEREF _Toc221894174 \h</w:instrText>
      </w:r>
      <w:r>
        <w:rPr>
          <w:rFonts w:hint="eastAsia"/>
        </w:rPr>
        <w:instrText xml:space="preserve"> </w:instrText>
      </w:r>
      <w:r>
        <w:rPr>
          <w:rFonts w:hint="eastAsia"/>
        </w:rPr>
        <w:fldChar w:fldCharType="separate"/>
      </w:r>
      <w:r>
        <w:rPr>
          <w:rFonts w:hint="eastAsia"/>
        </w:rPr>
        <w:t>358</w:t>
      </w:r>
      <w:r>
        <w:rPr>
          <w:rFonts w:hint="eastAsia"/>
        </w:rPr>
        <w:fldChar w:fldCharType="end"/>
      </w:r>
      <w:r>
        <w:rPr>
          <w:rFonts w:hint="eastAsia"/>
        </w:rPr>
        <w:fldChar w:fldCharType="end"/>
      </w:r>
    </w:p>
    <w:p w14:paraId="53F0DDC9">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"_Toc221894175" </w:instrText>
      </w:r>
      <w:r>
        <w:fldChar w:fldCharType="separate"/>
      </w:r>
      <w:r>
        <w:rPr>
          <w:rStyle w:val="34"/>
          <w:rFonts w:hint="eastAsia"/>
        </w:rPr>
        <w:t>10、文明施工管理要求</w:t>
      </w:r>
      <w:r>
        <w:rPr>
          <w:rFonts w:hint="eastAsia"/>
        </w:rPr>
        <w:tab/>
      </w:r>
      <w:r>
        <w:rPr>
          <w:rFonts w:hint="eastAsia"/>
        </w:rPr>
        <w:fldChar w:fldCharType="begin"/>
      </w:r>
      <w:r>
        <w:rPr>
          <w:rFonts w:hint="eastAsia"/>
        </w:rPr>
        <w:instrText xml:space="preserve"> </w:instrText>
      </w:r>
      <w:r>
        <w:instrText xml:space="preserve">PAGEREF _Toc221894175 \h</w:instrText>
      </w:r>
      <w:r>
        <w:rPr>
          <w:rFonts w:hint="eastAsia"/>
        </w:rPr>
        <w:instrText xml:space="preserve"> </w:instrText>
      </w:r>
      <w:r>
        <w:rPr>
          <w:rFonts w:hint="eastAsia"/>
        </w:rPr>
        <w:fldChar w:fldCharType="separate"/>
      </w:r>
      <w:r>
        <w:rPr>
          <w:rFonts w:hint="eastAsia"/>
        </w:rPr>
        <w:t>358</w:t>
      </w:r>
      <w:r>
        <w:rPr>
          <w:rFonts w:hint="eastAsia"/>
        </w:rPr>
        <w:fldChar w:fldCharType="end"/>
      </w:r>
      <w:r>
        <w:rPr>
          <w:rFonts w:hint="eastAsia"/>
        </w:rPr>
        <w:fldChar w:fldCharType="end"/>
      </w:r>
    </w:p>
    <w:p w14:paraId="5A79411C">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"_Toc221894176" </w:instrText>
      </w:r>
      <w:r>
        <w:fldChar w:fldCharType="separate"/>
      </w:r>
      <w:r>
        <w:rPr>
          <w:rStyle w:val="34"/>
          <w:rFonts w:hint="eastAsia" w:ascii="Times New Roman" w:hAnsi="Times New Roman" w:cs="Times New Roman"/>
        </w:rPr>
        <w:t>（六）沟通管理</w:t>
      </w:r>
      <w:r>
        <w:rPr>
          <w:rFonts w:hint="eastAsia"/>
        </w:rPr>
        <w:tab/>
      </w:r>
      <w:r>
        <w:rPr>
          <w:rFonts w:hint="eastAsia"/>
        </w:rPr>
        <w:fldChar w:fldCharType="begin"/>
      </w:r>
      <w:r>
        <w:rPr>
          <w:rFonts w:hint="eastAsia"/>
        </w:rPr>
        <w:instrText xml:space="preserve"> </w:instrText>
      </w:r>
      <w:r>
        <w:instrText xml:space="preserve">PAGEREF _Toc221894176 \h</w:instrText>
      </w:r>
      <w:r>
        <w:rPr>
          <w:rFonts w:hint="eastAsia"/>
        </w:rPr>
        <w:instrText xml:space="preserve"> </w:instrText>
      </w:r>
      <w:r>
        <w:rPr>
          <w:rFonts w:hint="eastAsia"/>
        </w:rPr>
        <w:fldChar w:fldCharType="separate"/>
      </w:r>
      <w:r>
        <w:rPr>
          <w:rFonts w:hint="eastAsia"/>
        </w:rPr>
        <w:t>359</w:t>
      </w:r>
      <w:r>
        <w:rPr>
          <w:rFonts w:hint="eastAsia"/>
        </w:rPr>
        <w:fldChar w:fldCharType="end"/>
      </w:r>
      <w:r>
        <w:rPr>
          <w:rFonts w:hint="eastAsia"/>
        </w:rPr>
        <w:fldChar w:fldCharType="end"/>
      </w:r>
    </w:p>
    <w:p w14:paraId="78C3A7E2">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"_Toc221894177" </w:instrText>
      </w:r>
      <w:r>
        <w:fldChar w:fldCharType="separate"/>
      </w:r>
      <w:r>
        <w:rPr>
          <w:rStyle w:val="34"/>
          <w:rFonts w:hint="eastAsia"/>
        </w:rPr>
        <w:t>1、沟通协调渠道</w:t>
      </w:r>
      <w:r>
        <w:rPr>
          <w:rFonts w:hint="eastAsia"/>
        </w:rPr>
        <w:tab/>
      </w:r>
      <w:r>
        <w:rPr>
          <w:rFonts w:hint="eastAsia"/>
        </w:rPr>
        <w:fldChar w:fldCharType="begin"/>
      </w:r>
      <w:r>
        <w:rPr>
          <w:rFonts w:hint="eastAsia"/>
        </w:rPr>
        <w:instrText xml:space="preserve"> </w:instrText>
      </w:r>
      <w:r>
        <w:instrText xml:space="preserve">PAGEREF _Toc221894177 \h</w:instrText>
      </w:r>
      <w:r>
        <w:rPr>
          <w:rFonts w:hint="eastAsia"/>
        </w:rPr>
        <w:instrText xml:space="preserve"> </w:instrText>
      </w:r>
      <w:r>
        <w:rPr>
          <w:rFonts w:hint="eastAsia"/>
        </w:rPr>
        <w:fldChar w:fldCharType="separate"/>
      </w:r>
      <w:r>
        <w:rPr>
          <w:rFonts w:hint="eastAsia"/>
        </w:rPr>
        <w:t>359</w:t>
      </w:r>
      <w:r>
        <w:rPr>
          <w:rFonts w:hint="eastAsia"/>
        </w:rPr>
        <w:fldChar w:fldCharType="end"/>
      </w:r>
      <w:r>
        <w:rPr>
          <w:rFonts w:hint="eastAsia"/>
        </w:rPr>
        <w:fldChar w:fldCharType="end"/>
      </w:r>
    </w:p>
    <w:p w14:paraId="050C8BB5">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"_Toc221894178" </w:instrText>
      </w:r>
      <w:r>
        <w:fldChar w:fldCharType="separate"/>
      </w:r>
      <w:r>
        <w:rPr>
          <w:rStyle w:val="34"/>
          <w:rFonts w:hint="eastAsia" w:ascii="Times New Roman" w:hAnsi="Times New Roman" w:cs="Times New Roman"/>
          <w:b/>
        </w:rPr>
        <w:t>2、沟通协调管理办法</w:t>
      </w:r>
      <w:r>
        <w:rPr>
          <w:rFonts w:hint="eastAsia"/>
        </w:rPr>
        <w:tab/>
      </w:r>
      <w:r>
        <w:rPr>
          <w:rFonts w:hint="eastAsia"/>
        </w:rPr>
        <w:fldChar w:fldCharType="begin"/>
      </w:r>
      <w:r>
        <w:rPr>
          <w:rFonts w:hint="eastAsia"/>
        </w:rPr>
        <w:instrText xml:space="preserve"> </w:instrText>
      </w:r>
      <w:r>
        <w:instrText xml:space="preserve">PAGEREF _Toc221894178 \h</w:instrText>
      </w:r>
      <w:r>
        <w:rPr>
          <w:rFonts w:hint="eastAsia"/>
        </w:rPr>
        <w:instrText xml:space="preserve"> </w:instrText>
      </w:r>
      <w:r>
        <w:rPr>
          <w:rFonts w:hint="eastAsia"/>
        </w:rPr>
        <w:fldChar w:fldCharType="separate"/>
      </w:r>
      <w:r>
        <w:rPr>
          <w:rFonts w:hint="eastAsia"/>
        </w:rPr>
        <w:t>361</w:t>
      </w:r>
      <w:r>
        <w:rPr>
          <w:rFonts w:hint="eastAsia"/>
        </w:rPr>
        <w:fldChar w:fldCharType="end"/>
      </w:r>
      <w:r>
        <w:rPr>
          <w:rFonts w:hint="eastAsia"/>
        </w:rPr>
        <w:fldChar w:fldCharType="end"/>
      </w:r>
    </w:p>
    <w:p w14:paraId="4D5842F2">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"_Toc221894179" </w:instrText>
      </w:r>
      <w:r>
        <w:fldChar w:fldCharType="separate"/>
      </w:r>
      <w:r>
        <w:rPr>
          <w:rStyle w:val="34"/>
          <w:rFonts w:hint="eastAsia"/>
        </w:rPr>
        <w:t>3、沟通协调的方法与措施</w:t>
      </w:r>
      <w:r>
        <w:rPr>
          <w:rFonts w:hint="eastAsia"/>
        </w:rPr>
        <w:tab/>
      </w:r>
      <w:r>
        <w:rPr>
          <w:rFonts w:hint="eastAsia"/>
        </w:rPr>
        <w:fldChar w:fldCharType="begin"/>
      </w:r>
      <w:r>
        <w:rPr>
          <w:rFonts w:hint="eastAsia"/>
        </w:rPr>
        <w:instrText xml:space="preserve"> </w:instrText>
      </w:r>
      <w:r>
        <w:instrText xml:space="preserve">PAGEREF _Toc221894179 \h</w:instrText>
      </w:r>
      <w:r>
        <w:rPr>
          <w:rFonts w:hint="eastAsia"/>
        </w:rPr>
        <w:instrText xml:space="preserve"> </w:instrText>
      </w:r>
      <w:r>
        <w:rPr>
          <w:rFonts w:hint="eastAsia"/>
        </w:rPr>
        <w:fldChar w:fldCharType="separate"/>
      </w:r>
      <w:r>
        <w:rPr>
          <w:rFonts w:hint="eastAsia"/>
        </w:rPr>
        <w:t>362</w:t>
      </w:r>
      <w:r>
        <w:rPr>
          <w:rFonts w:hint="eastAsia"/>
        </w:rPr>
        <w:fldChar w:fldCharType="end"/>
      </w:r>
      <w:r>
        <w:rPr>
          <w:rFonts w:hint="eastAsia"/>
        </w:rPr>
        <w:fldChar w:fldCharType="end"/>
      </w:r>
    </w:p>
    <w:p w14:paraId="4E0D0D7D">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"_Toc221894180" </w:instrText>
      </w:r>
      <w:r>
        <w:fldChar w:fldCharType="separate"/>
      </w:r>
      <w:r>
        <w:rPr>
          <w:rStyle w:val="34"/>
          <w:rFonts w:hint="eastAsia"/>
        </w:rPr>
        <w:t>4、沟通协调过程控制要点</w:t>
      </w:r>
      <w:r>
        <w:rPr>
          <w:rFonts w:hint="eastAsia"/>
        </w:rPr>
        <w:tab/>
      </w:r>
      <w:r>
        <w:rPr>
          <w:rFonts w:hint="eastAsia"/>
        </w:rPr>
        <w:fldChar w:fldCharType="begin"/>
      </w:r>
      <w:r>
        <w:rPr>
          <w:rFonts w:hint="eastAsia"/>
        </w:rPr>
        <w:instrText xml:space="preserve"> </w:instrText>
      </w:r>
      <w:r>
        <w:instrText xml:space="preserve">PAGEREF _Toc221894180 \h</w:instrText>
      </w:r>
      <w:r>
        <w:rPr>
          <w:rFonts w:hint="eastAsia"/>
        </w:rPr>
        <w:instrText xml:space="preserve"> </w:instrText>
      </w:r>
      <w:r>
        <w:rPr>
          <w:rFonts w:hint="eastAsia"/>
        </w:rPr>
        <w:fldChar w:fldCharType="separate"/>
      </w:r>
      <w:r>
        <w:rPr>
          <w:rFonts w:hint="eastAsia"/>
        </w:rPr>
        <w:t>363</w:t>
      </w:r>
      <w:r>
        <w:rPr>
          <w:rFonts w:hint="eastAsia"/>
        </w:rPr>
        <w:fldChar w:fldCharType="end"/>
      </w:r>
      <w:r>
        <w:rPr>
          <w:rFonts w:hint="eastAsia"/>
        </w:rPr>
        <w:fldChar w:fldCharType="end"/>
      </w:r>
    </w:p>
    <w:p w14:paraId="65CB4A80">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"_Toc221894181" </w:instrText>
      </w:r>
      <w:r>
        <w:fldChar w:fldCharType="separate"/>
      </w:r>
      <w:r>
        <w:rPr>
          <w:rStyle w:val="34"/>
          <w:rFonts w:hint="eastAsia"/>
        </w:rPr>
        <w:t>5、沟通协调文件要求</w:t>
      </w:r>
      <w:r>
        <w:rPr>
          <w:rFonts w:hint="eastAsia"/>
        </w:rPr>
        <w:tab/>
      </w:r>
      <w:r>
        <w:rPr>
          <w:rFonts w:hint="eastAsia"/>
        </w:rPr>
        <w:fldChar w:fldCharType="begin"/>
      </w:r>
      <w:r>
        <w:rPr>
          <w:rFonts w:hint="eastAsia"/>
        </w:rPr>
        <w:instrText xml:space="preserve"> </w:instrText>
      </w:r>
      <w:r>
        <w:instrText xml:space="preserve">PAGEREF _Toc221894181 \h</w:instrText>
      </w:r>
      <w:r>
        <w:rPr>
          <w:rFonts w:hint="eastAsia"/>
        </w:rPr>
        <w:instrText xml:space="preserve"> </w:instrText>
      </w:r>
      <w:r>
        <w:rPr>
          <w:rFonts w:hint="eastAsia"/>
        </w:rPr>
        <w:fldChar w:fldCharType="separate"/>
      </w:r>
      <w:r>
        <w:rPr>
          <w:rFonts w:hint="eastAsia"/>
        </w:rPr>
        <w:t>365</w:t>
      </w:r>
      <w:r>
        <w:rPr>
          <w:rFonts w:hint="eastAsia"/>
        </w:rPr>
        <w:fldChar w:fldCharType="end"/>
      </w:r>
      <w:r>
        <w:rPr>
          <w:rFonts w:hint="eastAsia"/>
        </w:rPr>
        <w:fldChar w:fldCharType="end"/>
      </w:r>
    </w:p>
    <w:p w14:paraId="42F60563">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"_Toc221894182" </w:instrText>
      </w:r>
      <w:r>
        <w:fldChar w:fldCharType="separate"/>
      </w:r>
      <w:r>
        <w:rPr>
          <w:rStyle w:val="34"/>
          <w:rFonts w:hint="eastAsia"/>
        </w:rPr>
        <w:t>（七）变更管理</w:t>
      </w:r>
      <w:r>
        <w:rPr>
          <w:rFonts w:hint="eastAsia"/>
        </w:rPr>
        <w:tab/>
      </w:r>
      <w:r>
        <w:rPr>
          <w:rFonts w:hint="eastAsia"/>
        </w:rPr>
        <w:fldChar w:fldCharType="begin"/>
      </w:r>
      <w:r>
        <w:rPr>
          <w:rFonts w:hint="eastAsia"/>
        </w:rPr>
        <w:instrText xml:space="preserve"> </w:instrText>
      </w:r>
      <w:r>
        <w:instrText xml:space="preserve">PAGEREF _Toc221894182 \h</w:instrText>
      </w:r>
      <w:r>
        <w:rPr>
          <w:rFonts w:hint="eastAsia"/>
        </w:rPr>
        <w:instrText xml:space="preserve"> </w:instrText>
      </w:r>
      <w:r>
        <w:rPr>
          <w:rFonts w:hint="eastAsia"/>
        </w:rPr>
        <w:fldChar w:fldCharType="separate"/>
      </w:r>
      <w:r>
        <w:rPr>
          <w:rFonts w:hint="eastAsia"/>
        </w:rPr>
        <w:t>365</w:t>
      </w:r>
      <w:r>
        <w:rPr>
          <w:rFonts w:hint="eastAsia"/>
        </w:rPr>
        <w:fldChar w:fldCharType="end"/>
      </w:r>
      <w:r>
        <w:rPr>
          <w:rFonts w:hint="eastAsia"/>
        </w:rPr>
        <w:fldChar w:fldCharType="end"/>
      </w:r>
    </w:p>
    <w:p w14:paraId="73398E96">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"_Toc221894183" </w:instrText>
      </w:r>
      <w:r>
        <w:fldChar w:fldCharType="separate"/>
      </w:r>
      <w:r>
        <w:rPr>
          <w:rStyle w:val="34"/>
          <w:rFonts w:hint="eastAsia"/>
        </w:rPr>
        <w:t>（八）项目考核管理办法</w:t>
      </w:r>
      <w:r>
        <w:rPr>
          <w:rFonts w:hint="eastAsia"/>
        </w:rPr>
        <w:tab/>
      </w:r>
      <w:r>
        <w:rPr>
          <w:rFonts w:hint="eastAsia"/>
        </w:rPr>
        <w:fldChar w:fldCharType="begin"/>
      </w:r>
      <w:r>
        <w:rPr>
          <w:rFonts w:hint="eastAsia"/>
        </w:rPr>
        <w:instrText xml:space="preserve"> </w:instrText>
      </w:r>
      <w:r>
        <w:instrText xml:space="preserve">PAGEREF _Toc221894183 \h</w:instrText>
      </w:r>
      <w:r>
        <w:rPr>
          <w:rFonts w:hint="eastAsia"/>
        </w:rPr>
        <w:instrText xml:space="preserve"> </w:instrText>
      </w:r>
      <w:r>
        <w:rPr>
          <w:rFonts w:hint="eastAsia"/>
        </w:rPr>
        <w:fldChar w:fldCharType="separate"/>
      </w:r>
      <w:r>
        <w:rPr>
          <w:rFonts w:hint="eastAsia"/>
        </w:rPr>
        <w:t>365</w:t>
      </w:r>
      <w:r>
        <w:rPr>
          <w:rFonts w:hint="eastAsia"/>
        </w:rPr>
        <w:fldChar w:fldCharType="end"/>
      </w:r>
      <w:r>
        <w:rPr>
          <w:rFonts w:hint="eastAsia"/>
        </w:rPr>
        <w:fldChar w:fldCharType="end"/>
      </w:r>
    </w:p>
    <w:p w14:paraId="022018B7">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"_Toc221894184" </w:instrText>
      </w:r>
      <w:r>
        <w:fldChar w:fldCharType="separate"/>
      </w:r>
      <w:r>
        <w:rPr>
          <w:rStyle w:val="34"/>
          <w:rFonts w:hint="eastAsia"/>
        </w:rPr>
        <w:t>1、总包单位考核管理办法</w:t>
      </w:r>
      <w:r>
        <w:rPr>
          <w:rFonts w:hint="eastAsia"/>
        </w:rPr>
        <w:tab/>
      </w:r>
      <w:r>
        <w:rPr>
          <w:rFonts w:hint="eastAsia"/>
        </w:rPr>
        <w:fldChar w:fldCharType="begin"/>
      </w:r>
      <w:r>
        <w:rPr>
          <w:rFonts w:hint="eastAsia"/>
        </w:rPr>
        <w:instrText xml:space="preserve"> </w:instrText>
      </w:r>
      <w:r>
        <w:instrText xml:space="preserve">PAGEREF _Toc221894184 \h</w:instrText>
      </w:r>
      <w:r>
        <w:rPr>
          <w:rFonts w:hint="eastAsia"/>
        </w:rPr>
        <w:instrText xml:space="preserve"> </w:instrText>
      </w:r>
      <w:r>
        <w:rPr>
          <w:rFonts w:hint="eastAsia"/>
        </w:rPr>
        <w:fldChar w:fldCharType="separate"/>
      </w:r>
      <w:r>
        <w:rPr>
          <w:rFonts w:hint="eastAsia"/>
        </w:rPr>
        <w:t>365</w:t>
      </w:r>
      <w:r>
        <w:rPr>
          <w:rFonts w:hint="eastAsia"/>
        </w:rPr>
        <w:fldChar w:fldCharType="end"/>
      </w:r>
      <w:r>
        <w:rPr>
          <w:rFonts w:hint="eastAsia"/>
        </w:rPr>
        <w:fldChar w:fldCharType="end"/>
      </w:r>
    </w:p>
    <w:p w14:paraId="2460E0A6">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"_Toc221894185" </w:instrText>
      </w:r>
      <w:r>
        <w:fldChar w:fldCharType="separate"/>
      </w:r>
      <w:r>
        <w:rPr>
          <w:rStyle w:val="34"/>
          <w:rFonts w:hint="eastAsia"/>
        </w:rPr>
        <w:t>2、设计单位考核管理办法</w:t>
      </w:r>
      <w:r>
        <w:rPr>
          <w:rFonts w:hint="eastAsia"/>
        </w:rPr>
        <w:tab/>
      </w:r>
      <w:r>
        <w:rPr>
          <w:rFonts w:hint="eastAsia"/>
        </w:rPr>
        <w:fldChar w:fldCharType="begin"/>
      </w:r>
      <w:r>
        <w:rPr>
          <w:rFonts w:hint="eastAsia"/>
        </w:rPr>
        <w:instrText xml:space="preserve"> </w:instrText>
      </w:r>
      <w:r>
        <w:instrText xml:space="preserve">PAGEREF _Toc221894185 \h</w:instrText>
      </w:r>
      <w:r>
        <w:rPr>
          <w:rFonts w:hint="eastAsia"/>
        </w:rPr>
        <w:instrText xml:space="preserve"> </w:instrText>
      </w:r>
      <w:r>
        <w:rPr>
          <w:rFonts w:hint="eastAsia"/>
        </w:rPr>
        <w:fldChar w:fldCharType="separate"/>
      </w:r>
      <w:r>
        <w:rPr>
          <w:rFonts w:hint="eastAsia"/>
        </w:rPr>
        <w:t>365</w:t>
      </w:r>
      <w:r>
        <w:rPr>
          <w:rFonts w:hint="eastAsia"/>
        </w:rPr>
        <w:fldChar w:fldCharType="end"/>
      </w:r>
      <w:r>
        <w:rPr>
          <w:rFonts w:hint="eastAsia"/>
        </w:rPr>
        <w:fldChar w:fldCharType="end"/>
      </w:r>
    </w:p>
    <w:p w14:paraId="339714AD">
      <w:pPr>
        <w:pStyle w:val="20"/>
        <w:tabs>
          <w:tab w:val="right" w:leader="dot" w:pos="9060"/>
        </w:tabs>
        <w:rPr>
          <w:rFonts w:hint="eastAsia" w:asciiTheme="minorHAnsi" w:hAnsiTheme="minorHAnsi" w:eastAsiaTheme="minorEastAsia"/>
          <w:b w:val="0"/>
          <w:sz w:val="22"/>
          <w:szCs w:val="24"/>
          <w14:ligatures w14:val="standardContextual"/>
        </w:rPr>
      </w:pPr>
      <w:r>
        <w:fldChar w:fldCharType="begin"/>
      </w:r>
      <w:r>
        <w:instrText xml:space="preserve"> HYPERLINK \l "_Toc221894186" </w:instrText>
      </w:r>
      <w:r>
        <w:fldChar w:fldCharType="separate"/>
      </w:r>
      <w:r>
        <w:rPr>
          <w:rStyle w:val="34"/>
          <w:rFonts w:hint="eastAsia" w:cs="Times New Roman"/>
        </w:rPr>
        <w:t>十、其他要求</w:t>
      </w:r>
      <w:r>
        <w:rPr>
          <w:rFonts w:hint="eastAsia"/>
        </w:rPr>
        <w:tab/>
      </w:r>
      <w:r>
        <w:rPr>
          <w:rFonts w:hint="eastAsia"/>
        </w:rPr>
        <w:fldChar w:fldCharType="begin"/>
      </w:r>
      <w:r>
        <w:rPr>
          <w:rFonts w:hint="eastAsia"/>
        </w:rPr>
        <w:instrText xml:space="preserve"> </w:instrText>
      </w:r>
      <w:r>
        <w:instrText xml:space="preserve">PAGEREF _Toc221894186 \h</w:instrText>
      </w:r>
      <w:r>
        <w:rPr>
          <w:rFonts w:hint="eastAsia"/>
        </w:rPr>
        <w:instrText xml:space="preserve"> </w:instrText>
      </w:r>
      <w:r>
        <w:rPr>
          <w:rFonts w:hint="eastAsia"/>
        </w:rPr>
        <w:fldChar w:fldCharType="separate"/>
      </w:r>
      <w:r>
        <w:rPr>
          <w:rFonts w:hint="eastAsia"/>
        </w:rPr>
        <w:t>368</w:t>
      </w:r>
      <w:r>
        <w:rPr>
          <w:rFonts w:hint="eastAsia"/>
        </w:rPr>
        <w:fldChar w:fldCharType="end"/>
      </w:r>
      <w:r>
        <w:rPr>
          <w:rFonts w:hint="eastAsia"/>
        </w:rPr>
        <w:fldChar w:fldCharType="end"/>
      </w:r>
    </w:p>
    <w:p w14:paraId="46010F8F">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"_Toc221894187" </w:instrText>
      </w:r>
      <w:r>
        <w:fldChar w:fldCharType="separate"/>
      </w:r>
      <w:r>
        <w:rPr>
          <w:rStyle w:val="34"/>
          <w:rFonts w:hint="eastAsia"/>
        </w:rPr>
        <w:t>（一）分包</w:t>
      </w:r>
      <w:r>
        <w:rPr>
          <w:rFonts w:hint="eastAsia"/>
        </w:rPr>
        <w:tab/>
      </w:r>
      <w:r>
        <w:rPr>
          <w:rFonts w:hint="eastAsia"/>
        </w:rPr>
        <w:fldChar w:fldCharType="begin"/>
      </w:r>
      <w:r>
        <w:rPr>
          <w:rFonts w:hint="eastAsia"/>
        </w:rPr>
        <w:instrText xml:space="preserve"> </w:instrText>
      </w:r>
      <w:r>
        <w:instrText xml:space="preserve">PAGEREF _Toc221894187 \h</w:instrText>
      </w:r>
      <w:r>
        <w:rPr>
          <w:rFonts w:hint="eastAsia"/>
        </w:rPr>
        <w:instrText xml:space="preserve"> </w:instrText>
      </w:r>
      <w:r>
        <w:rPr>
          <w:rFonts w:hint="eastAsia"/>
        </w:rPr>
        <w:fldChar w:fldCharType="separate"/>
      </w:r>
      <w:r>
        <w:rPr>
          <w:rFonts w:hint="eastAsia"/>
        </w:rPr>
        <w:t>368</w:t>
      </w:r>
      <w:r>
        <w:rPr>
          <w:rFonts w:hint="eastAsia"/>
        </w:rPr>
        <w:fldChar w:fldCharType="end"/>
      </w:r>
      <w:r>
        <w:rPr>
          <w:rFonts w:hint="eastAsia"/>
        </w:rPr>
        <w:fldChar w:fldCharType="end"/>
      </w:r>
    </w:p>
    <w:p w14:paraId="31BEAB34">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"_Toc221894188" </w:instrText>
      </w:r>
      <w:r>
        <w:fldChar w:fldCharType="separate"/>
      </w:r>
      <w:r>
        <w:rPr>
          <w:rStyle w:val="34"/>
          <w:rFonts w:hint="eastAsia" w:cs="Times New Roman"/>
        </w:rPr>
        <w:t>1、分包计划</w:t>
      </w:r>
      <w:r>
        <w:rPr>
          <w:rFonts w:hint="eastAsia"/>
        </w:rPr>
        <w:tab/>
      </w:r>
      <w:r>
        <w:rPr>
          <w:rFonts w:hint="eastAsia"/>
        </w:rPr>
        <w:fldChar w:fldCharType="begin"/>
      </w:r>
      <w:r>
        <w:rPr>
          <w:rFonts w:hint="eastAsia"/>
        </w:rPr>
        <w:instrText xml:space="preserve"> </w:instrText>
      </w:r>
      <w:r>
        <w:instrText xml:space="preserve">PAGEREF _Toc221894188 \h</w:instrText>
      </w:r>
      <w:r>
        <w:rPr>
          <w:rFonts w:hint="eastAsia"/>
        </w:rPr>
        <w:instrText xml:space="preserve"> </w:instrText>
      </w:r>
      <w:r>
        <w:rPr>
          <w:rFonts w:hint="eastAsia"/>
        </w:rPr>
        <w:fldChar w:fldCharType="separate"/>
      </w:r>
      <w:r>
        <w:rPr>
          <w:rFonts w:hint="eastAsia"/>
        </w:rPr>
        <w:t>368</w:t>
      </w:r>
      <w:r>
        <w:rPr>
          <w:rFonts w:hint="eastAsia"/>
        </w:rPr>
        <w:fldChar w:fldCharType="end"/>
      </w:r>
      <w:r>
        <w:rPr>
          <w:rFonts w:hint="eastAsia"/>
        </w:rPr>
        <w:fldChar w:fldCharType="end"/>
      </w:r>
    </w:p>
    <w:p w14:paraId="7ABAC3F4">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"_Toc221894189" </w:instrText>
      </w:r>
      <w:r>
        <w:fldChar w:fldCharType="separate"/>
      </w:r>
      <w:r>
        <w:rPr>
          <w:rStyle w:val="34"/>
          <w:rFonts w:hint="eastAsia" w:cs="Times New Roman"/>
        </w:rPr>
        <w:t>2、分包人资格审查</w:t>
      </w:r>
      <w:r>
        <w:rPr>
          <w:rFonts w:hint="eastAsia"/>
        </w:rPr>
        <w:tab/>
      </w:r>
      <w:r>
        <w:rPr>
          <w:rFonts w:hint="eastAsia"/>
        </w:rPr>
        <w:fldChar w:fldCharType="begin"/>
      </w:r>
      <w:r>
        <w:rPr>
          <w:rFonts w:hint="eastAsia"/>
        </w:rPr>
        <w:instrText xml:space="preserve"> </w:instrText>
      </w:r>
      <w:r>
        <w:instrText xml:space="preserve">PAGEREF _Toc221894189 \h</w:instrText>
      </w:r>
      <w:r>
        <w:rPr>
          <w:rFonts w:hint="eastAsia"/>
        </w:rPr>
        <w:instrText xml:space="preserve"> </w:instrText>
      </w:r>
      <w:r>
        <w:rPr>
          <w:rFonts w:hint="eastAsia"/>
        </w:rPr>
        <w:fldChar w:fldCharType="separate"/>
      </w:r>
      <w:r>
        <w:rPr>
          <w:rFonts w:hint="eastAsia"/>
        </w:rPr>
        <w:t>368</w:t>
      </w:r>
      <w:r>
        <w:rPr>
          <w:rFonts w:hint="eastAsia"/>
        </w:rPr>
        <w:fldChar w:fldCharType="end"/>
      </w:r>
      <w:r>
        <w:rPr>
          <w:rFonts w:hint="eastAsia"/>
        </w:rPr>
        <w:fldChar w:fldCharType="end"/>
      </w:r>
    </w:p>
    <w:p w14:paraId="69FC4E37">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"_Toc221894190" </w:instrText>
      </w:r>
      <w:r>
        <w:fldChar w:fldCharType="separate"/>
      </w:r>
      <w:r>
        <w:rPr>
          <w:rStyle w:val="34"/>
          <w:rFonts w:hint="eastAsia" w:cs="Times New Roman"/>
        </w:rPr>
        <w:t>3、分包人确定及授标</w:t>
      </w:r>
      <w:r>
        <w:rPr>
          <w:rFonts w:hint="eastAsia"/>
        </w:rPr>
        <w:tab/>
      </w:r>
      <w:r>
        <w:rPr>
          <w:rFonts w:hint="eastAsia"/>
        </w:rPr>
        <w:fldChar w:fldCharType="begin"/>
      </w:r>
      <w:r>
        <w:rPr>
          <w:rFonts w:hint="eastAsia"/>
        </w:rPr>
        <w:instrText xml:space="preserve"> </w:instrText>
      </w:r>
      <w:r>
        <w:instrText xml:space="preserve">PAGEREF _Toc221894190 \h</w:instrText>
      </w:r>
      <w:r>
        <w:rPr>
          <w:rFonts w:hint="eastAsia"/>
        </w:rPr>
        <w:instrText xml:space="preserve"> </w:instrText>
      </w:r>
      <w:r>
        <w:rPr>
          <w:rFonts w:hint="eastAsia"/>
        </w:rPr>
        <w:fldChar w:fldCharType="separate"/>
      </w:r>
      <w:r>
        <w:rPr>
          <w:rFonts w:hint="eastAsia"/>
        </w:rPr>
        <w:t>368</w:t>
      </w:r>
      <w:r>
        <w:rPr>
          <w:rFonts w:hint="eastAsia"/>
        </w:rPr>
        <w:fldChar w:fldCharType="end"/>
      </w:r>
      <w:r>
        <w:rPr>
          <w:rFonts w:hint="eastAsia"/>
        </w:rPr>
        <w:fldChar w:fldCharType="end"/>
      </w:r>
    </w:p>
    <w:p w14:paraId="0F518773">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"_Toc221894191" </w:instrText>
      </w:r>
      <w:r>
        <w:fldChar w:fldCharType="separate"/>
      </w:r>
      <w:r>
        <w:rPr>
          <w:rStyle w:val="34"/>
          <w:rFonts w:hint="eastAsia" w:cs="Times New Roman"/>
        </w:rPr>
        <w:t>4、分包合同商务条款</w:t>
      </w:r>
      <w:r>
        <w:rPr>
          <w:rFonts w:hint="eastAsia"/>
        </w:rPr>
        <w:tab/>
      </w:r>
      <w:r>
        <w:rPr>
          <w:rFonts w:hint="eastAsia"/>
        </w:rPr>
        <w:fldChar w:fldCharType="begin"/>
      </w:r>
      <w:r>
        <w:rPr>
          <w:rFonts w:hint="eastAsia"/>
        </w:rPr>
        <w:instrText xml:space="preserve"> </w:instrText>
      </w:r>
      <w:r>
        <w:instrText xml:space="preserve">PAGEREF _Toc221894191 \h</w:instrText>
      </w:r>
      <w:r>
        <w:rPr>
          <w:rFonts w:hint="eastAsia"/>
        </w:rPr>
        <w:instrText xml:space="preserve"> </w:instrText>
      </w:r>
      <w:r>
        <w:rPr>
          <w:rFonts w:hint="eastAsia"/>
        </w:rPr>
        <w:fldChar w:fldCharType="separate"/>
      </w:r>
      <w:r>
        <w:rPr>
          <w:rFonts w:hint="eastAsia"/>
        </w:rPr>
        <w:t>368</w:t>
      </w:r>
      <w:r>
        <w:rPr>
          <w:rFonts w:hint="eastAsia"/>
        </w:rPr>
        <w:fldChar w:fldCharType="end"/>
      </w:r>
      <w:r>
        <w:rPr>
          <w:rFonts w:hint="eastAsia"/>
        </w:rPr>
        <w:fldChar w:fldCharType="end"/>
      </w:r>
    </w:p>
    <w:p w14:paraId="45C5F6BB">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"_Toc221894192" </w:instrText>
      </w:r>
      <w:r>
        <w:fldChar w:fldCharType="separate"/>
      </w:r>
      <w:r>
        <w:rPr>
          <w:rStyle w:val="34"/>
          <w:rFonts w:hint="eastAsia" w:cs="Times New Roman"/>
        </w:rPr>
        <w:t>5、劳务分包特定要求</w:t>
      </w:r>
      <w:r>
        <w:rPr>
          <w:rFonts w:hint="eastAsia"/>
        </w:rPr>
        <w:tab/>
      </w:r>
      <w:r>
        <w:rPr>
          <w:rFonts w:hint="eastAsia"/>
        </w:rPr>
        <w:fldChar w:fldCharType="begin"/>
      </w:r>
      <w:r>
        <w:rPr>
          <w:rFonts w:hint="eastAsia"/>
        </w:rPr>
        <w:instrText xml:space="preserve"> </w:instrText>
      </w:r>
      <w:r>
        <w:instrText xml:space="preserve">PAGEREF _Toc221894192 \h</w:instrText>
      </w:r>
      <w:r>
        <w:rPr>
          <w:rFonts w:hint="eastAsia"/>
        </w:rPr>
        <w:instrText xml:space="preserve"> </w:instrText>
      </w:r>
      <w:r>
        <w:rPr>
          <w:rFonts w:hint="eastAsia"/>
        </w:rPr>
        <w:fldChar w:fldCharType="separate"/>
      </w:r>
      <w:r>
        <w:rPr>
          <w:rFonts w:hint="eastAsia"/>
        </w:rPr>
        <w:t>370</w:t>
      </w:r>
      <w:r>
        <w:rPr>
          <w:rFonts w:hint="eastAsia"/>
        </w:rPr>
        <w:fldChar w:fldCharType="end"/>
      </w:r>
      <w:r>
        <w:rPr>
          <w:rFonts w:hint="eastAsia"/>
        </w:rPr>
        <w:fldChar w:fldCharType="end"/>
      </w:r>
    </w:p>
    <w:p w14:paraId="5697475D">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"_Toc221894193" </w:instrText>
      </w:r>
      <w:r>
        <w:fldChar w:fldCharType="separate"/>
      </w:r>
      <w:r>
        <w:rPr>
          <w:rStyle w:val="34"/>
          <w:rFonts w:hint="eastAsia" w:cs="Times New Roman"/>
        </w:rPr>
        <w:t>6、专业分包</w:t>
      </w:r>
      <w:r>
        <w:rPr>
          <w:rFonts w:hint="eastAsia"/>
        </w:rPr>
        <w:tab/>
      </w:r>
      <w:r>
        <w:rPr>
          <w:rFonts w:hint="eastAsia"/>
        </w:rPr>
        <w:fldChar w:fldCharType="begin"/>
      </w:r>
      <w:r>
        <w:rPr>
          <w:rFonts w:hint="eastAsia"/>
        </w:rPr>
        <w:instrText xml:space="preserve"> </w:instrText>
      </w:r>
      <w:r>
        <w:instrText xml:space="preserve">PAGEREF _Toc221894193 \h</w:instrText>
      </w:r>
      <w:r>
        <w:rPr>
          <w:rFonts w:hint="eastAsia"/>
        </w:rPr>
        <w:instrText xml:space="preserve"> </w:instrText>
      </w:r>
      <w:r>
        <w:rPr>
          <w:rFonts w:hint="eastAsia"/>
        </w:rPr>
        <w:fldChar w:fldCharType="separate"/>
      </w:r>
      <w:r>
        <w:rPr>
          <w:rFonts w:hint="eastAsia"/>
        </w:rPr>
        <w:t>370</w:t>
      </w:r>
      <w:r>
        <w:rPr>
          <w:rFonts w:hint="eastAsia"/>
        </w:rPr>
        <w:fldChar w:fldCharType="end"/>
      </w:r>
      <w:r>
        <w:rPr>
          <w:rFonts w:hint="eastAsia"/>
        </w:rPr>
        <w:fldChar w:fldCharType="end"/>
      </w:r>
    </w:p>
    <w:p w14:paraId="0499960D">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"_Toc221894194" </w:instrText>
      </w:r>
      <w:r>
        <w:fldChar w:fldCharType="separate"/>
      </w:r>
      <w:r>
        <w:rPr>
          <w:rStyle w:val="34"/>
          <w:rFonts w:hint="eastAsia"/>
        </w:rPr>
        <w:t>（二）缺陷责任期的服务要求</w:t>
      </w:r>
      <w:r>
        <w:rPr>
          <w:rFonts w:hint="eastAsia"/>
        </w:rPr>
        <w:tab/>
      </w:r>
      <w:r>
        <w:rPr>
          <w:rFonts w:hint="eastAsia"/>
        </w:rPr>
        <w:fldChar w:fldCharType="begin"/>
      </w:r>
      <w:r>
        <w:rPr>
          <w:rFonts w:hint="eastAsia"/>
        </w:rPr>
        <w:instrText xml:space="preserve"> </w:instrText>
      </w:r>
      <w:r>
        <w:instrText xml:space="preserve">PAGEREF _Toc221894194 \h</w:instrText>
      </w:r>
      <w:r>
        <w:rPr>
          <w:rFonts w:hint="eastAsia"/>
        </w:rPr>
        <w:instrText xml:space="preserve"> </w:instrText>
      </w:r>
      <w:r>
        <w:rPr>
          <w:rFonts w:hint="eastAsia"/>
        </w:rPr>
        <w:fldChar w:fldCharType="separate"/>
      </w:r>
      <w:r>
        <w:rPr>
          <w:rFonts w:hint="eastAsia"/>
        </w:rPr>
        <w:t>371</w:t>
      </w:r>
      <w:r>
        <w:rPr>
          <w:rFonts w:hint="eastAsia"/>
        </w:rPr>
        <w:fldChar w:fldCharType="end"/>
      </w:r>
      <w:r>
        <w:rPr>
          <w:rFonts w:hint="eastAsia"/>
        </w:rPr>
        <w:fldChar w:fldCharType="end"/>
      </w:r>
    </w:p>
    <w:p w14:paraId="131E2D58">
      <w:pPr>
        <w:pStyle w:val="20"/>
        <w:tabs>
          <w:tab w:val="right" w:leader="dot" w:pos="9060"/>
        </w:tabs>
        <w:rPr>
          <w:rFonts w:hint="eastAsia" w:asciiTheme="minorHAnsi" w:hAnsiTheme="minorHAnsi" w:eastAsiaTheme="minorEastAsia"/>
          <w:b w:val="0"/>
          <w:sz w:val="22"/>
          <w:szCs w:val="24"/>
          <w14:ligatures w14:val="standardContextual"/>
        </w:rPr>
      </w:pPr>
      <w:r>
        <w:fldChar w:fldCharType="begin"/>
      </w:r>
      <w:r>
        <w:instrText xml:space="preserve"> HYPERLINK \l "_Toc221894195" </w:instrText>
      </w:r>
      <w:r>
        <w:fldChar w:fldCharType="separate"/>
      </w:r>
      <w:r>
        <w:rPr>
          <w:rStyle w:val="34"/>
          <w:rFonts w:hint="eastAsia" w:cs="Times New Roman"/>
        </w:rPr>
        <w:t>十一、信息化管控平台使用要求</w:t>
      </w:r>
      <w:r>
        <w:rPr>
          <w:rFonts w:hint="eastAsia"/>
        </w:rPr>
        <w:tab/>
      </w:r>
      <w:r>
        <w:rPr>
          <w:rFonts w:hint="eastAsia"/>
        </w:rPr>
        <w:fldChar w:fldCharType="begin"/>
      </w:r>
      <w:r>
        <w:rPr>
          <w:rFonts w:hint="eastAsia"/>
        </w:rPr>
        <w:instrText xml:space="preserve"> </w:instrText>
      </w:r>
      <w:r>
        <w:instrText xml:space="preserve">PAGEREF _Toc221894195 \h</w:instrText>
      </w:r>
      <w:r>
        <w:rPr>
          <w:rFonts w:hint="eastAsia"/>
        </w:rPr>
        <w:instrText xml:space="preserve"> </w:instrText>
      </w:r>
      <w:r>
        <w:rPr>
          <w:rFonts w:hint="eastAsia"/>
        </w:rPr>
        <w:fldChar w:fldCharType="separate"/>
      </w:r>
      <w:r>
        <w:rPr>
          <w:rFonts w:hint="eastAsia"/>
        </w:rPr>
        <w:t>373</w:t>
      </w:r>
      <w:r>
        <w:rPr>
          <w:rFonts w:hint="eastAsia"/>
        </w:rPr>
        <w:fldChar w:fldCharType="end"/>
      </w:r>
      <w:r>
        <w:rPr>
          <w:rFonts w:hint="eastAsia"/>
        </w:rPr>
        <w:fldChar w:fldCharType="end"/>
      </w:r>
    </w:p>
    <w:p w14:paraId="07BE3A6D">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"_Toc221894196" </w:instrText>
      </w:r>
      <w:r>
        <w:fldChar w:fldCharType="separate"/>
      </w:r>
      <w:r>
        <w:rPr>
          <w:rStyle w:val="34"/>
          <w:rFonts w:hint="eastAsia"/>
        </w:rPr>
        <w:t>（一）信息化管控平台概述</w:t>
      </w:r>
      <w:r>
        <w:rPr>
          <w:rFonts w:hint="eastAsia"/>
        </w:rPr>
        <w:tab/>
      </w:r>
      <w:r>
        <w:rPr>
          <w:rFonts w:hint="eastAsia"/>
        </w:rPr>
        <w:fldChar w:fldCharType="begin"/>
      </w:r>
      <w:r>
        <w:rPr>
          <w:rFonts w:hint="eastAsia"/>
        </w:rPr>
        <w:instrText xml:space="preserve"> </w:instrText>
      </w:r>
      <w:r>
        <w:instrText xml:space="preserve">PAGEREF _Toc221894196 \h</w:instrText>
      </w:r>
      <w:r>
        <w:rPr>
          <w:rFonts w:hint="eastAsia"/>
        </w:rPr>
        <w:instrText xml:space="preserve"> </w:instrText>
      </w:r>
      <w:r>
        <w:rPr>
          <w:rFonts w:hint="eastAsia"/>
        </w:rPr>
        <w:fldChar w:fldCharType="separate"/>
      </w:r>
      <w:r>
        <w:rPr>
          <w:rFonts w:hint="eastAsia"/>
        </w:rPr>
        <w:t>373</w:t>
      </w:r>
      <w:r>
        <w:rPr>
          <w:rFonts w:hint="eastAsia"/>
        </w:rPr>
        <w:fldChar w:fldCharType="end"/>
      </w:r>
      <w:r>
        <w:rPr>
          <w:rFonts w:hint="eastAsia"/>
        </w:rPr>
        <w:fldChar w:fldCharType="end"/>
      </w:r>
    </w:p>
    <w:p w14:paraId="27D41694">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"_Toc221894197" </w:instrText>
      </w:r>
      <w:r>
        <w:fldChar w:fldCharType="separate"/>
      </w:r>
      <w:r>
        <w:rPr>
          <w:rStyle w:val="34"/>
          <w:rFonts w:hint="eastAsia"/>
        </w:rPr>
        <w:t>（二）信息化管控平台使用要求</w:t>
      </w:r>
      <w:r>
        <w:rPr>
          <w:rFonts w:hint="eastAsia"/>
        </w:rPr>
        <w:tab/>
      </w:r>
      <w:r>
        <w:rPr>
          <w:rFonts w:hint="eastAsia"/>
        </w:rPr>
        <w:fldChar w:fldCharType="begin"/>
      </w:r>
      <w:r>
        <w:rPr>
          <w:rFonts w:hint="eastAsia"/>
        </w:rPr>
        <w:instrText xml:space="preserve"> </w:instrText>
      </w:r>
      <w:r>
        <w:instrText xml:space="preserve">PAGEREF _Toc221894197 \h</w:instrText>
      </w:r>
      <w:r>
        <w:rPr>
          <w:rFonts w:hint="eastAsia"/>
        </w:rPr>
        <w:instrText xml:space="preserve"> </w:instrText>
      </w:r>
      <w:r>
        <w:rPr>
          <w:rFonts w:hint="eastAsia"/>
        </w:rPr>
        <w:fldChar w:fldCharType="separate"/>
      </w:r>
      <w:r>
        <w:rPr>
          <w:rFonts w:hint="eastAsia"/>
        </w:rPr>
        <w:t>373</w:t>
      </w:r>
      <w:r>
        <w:rPr>
          <w:rFonts w:hint="eastAsia"/>
        </w:rPr>
        <w:fldChar w:fldCharType="end"/>
      </w:r>
      <w:r>
        <w:rPr>
          <w:rFonts w:hint="eastAsia"/>
        </w:rPr>
        <w:fldChar w:fldCharType="end"/>
      </w:r>
    </w:p>
    <w:p w14:paraId="0E730156">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"_Toc221894198" </w:instrText>
      </w:r>
      <w:r>
        <w:fldChar w:fldCharType="separate"/>
      </w:r>
      <w:r>
        <w:rPr>
          <w:rStyle w:val="34"/>
          <w:rFonts w:hint="eastAsia" w:cs="Times New Roman"/>
        </w:rPr>
        <w:t>1、适用范围与强制性</w:t>
      </w:r>
      <w:r>
        <w:rPr>
          <w:rFonts w:hint="eastAsia"/>
        </w:rPr>
        <w:tab/>
      </w:r>
      <w:r>
        <w:rPr>
          <w:rFonts w:hint="eastAsia"/>
        </w:rPr>
        <w:fldChar w:fldCharType="begin"/>
      </w:r>
      <w:r>
        <w:rPr>
          <w:rFonts w:hint="eastAsia"/>
        </w:rPr>
        <w:instrText xml:space="preserve"> </w:instrText>
      </w:r>
      <w:r>
        <w:instrText xml:space="preserve">PAGEREF _Toc221894198 \h</w:instrText>
      </w:r>
      <w:r>
        <w:rPr>
          <w:rFonts w:hint="eastAsia"/>
        </w:rPr>
        <w:instrText xml:space="preserve"> </w:instrText>
      </w:r>
      <w:r>
        <w:rPr>
          <w:rFonts w:hint="eastAsia"/>
        </w:rPr>
        <w:fldChar w:fldCharType="separate"/>
      </w:r>
      <w:r>
        <w:rPr>
          <w:rFonts w:hint="eastAsia"/>
        </w:rPr>
        <w:t>373</w:t>
      </w:r>
      <w:r>
        <w:rPr>
          <w:rFonts w:hint="eastAsia"/>
        </w:rPr>
        <w:fldChar w:fldCharType="end"/>
      </w:r>
      <w:r>
        <w:rPr>
          <w:rFonts w:hint="eastAsia"/>
        </w:rPr>
        <w:fldChar w:fldCharType="end"/>
      </w:r>
    </w:p>
    <w:p w14:paraId="6D070459">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"_Toc221894199" </w:instrText>
      </w:r>
      <w:r>
        <w:fldChar w:fldCharType="separate"/>
      </w:r>
      <w:r>
        <w:rPr>
          <w:rStyle w:val="34"/>
          <w:rFonts w:hint="eastAsia" w:cs="Times New Roman"/>
        </w:rPr>
        <w:t>2、平台核心应用功能要求</w:t>
      </w:r>
      <w:r>
        <w:rPr>
          <w:rFonts w:hint="eastAsia"/>
        </w:rPr>
        <w:tab/>
      </w:r>
      <w:r>
        <w:rPr>
          <w:rFonts w:hint="eastAsia"/>
        </w:rPr>
        <w:fldChar w:fldCharType="begin"/>
      </w:r>
      <w:r>
        <w:rPr>
          <w:rFonts w:hint="eastAsia"/>
        </w:rPr>
        <w:instrText xml:space="preserve"> </w:instrText>
      </w:r>
      <w:r>
        <w:instrText xml:space="preserve">PAGEREF _Toc221894199 \h</w:instrText>
      </w:r>
      <w:r>
        <w:rPr>
          <w:rFonts w:hint="eastAsia"/>
        </w:rPr>
        <w:instrText xml:space="preserve"> </w:instrText>
      </w:r>
      <w:r>
        <w:rPr>
          <w:rFonts w:hint="eastAsia"/>
        </w:rPr>
        <w:fldChar w:fldCharType="separate"/>
      </w:r>
      <w:r>
        <w:rPr>
          <w:rFonts w:hint="eastAsia"/>
        </w:rPr>
        <w:t>373</w:t>
      </w:r>
      <w:r>
        <w:rPr>
          <w:rFonts w:hint="eastAsia"/>
        </w:rPr>
        <w:fldChar w:fldCharType="end"/>
      </w:r>
      <w:r>
        <w:rPr>
          <w:rFonts w:hint="eastAsia"/>
        </w:rPr>
        <w:fldChar w:fldCharType="end"/>
      </w:r>
    </w:p>
    <w:p w14:paraId="413ECECE">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"_Toc221894200" </w:instrText>
      </w:r>
      <w:r>
        <w:fldChar w:fldCharType="separate"/>
      </w:r>
      <w:r>
        <w:rPr>
          <w:rStyle w:val="34"/>
          <w:rFonts w:hint="eastAsia" w:cs="Times New Roman"/>
        </w:rPr>
        <w:t>3、数据质量与违约责任</w:t>
      </w:r>
      <w:r>
        <w:rPr>
          <w:rFonts w:hint="eastAsia"/>
        </w:rPr>
        <w:tab/>
      </w:r>
      <w:r>
        <w:rPr>
          <w:rFonts w:hint="eastAsia"/>
        </w:rPr>
        <w:fldChar w:fldCharType="begin"/>
      </w:r>
      <w:r>
        <w:rPr>
          <w:rFonts w:hint="eastAsia"/>
        </w:rPr>
        <w:instrText xml:space="preserve"> </w:instrText>
      </w:r>
      <w:r>
        <w:instrText xml:space="preserve">PAGEREF _Toc221894200 \h</w:instrText>
      </w:r>
      <w:r>
        <w:rPr>
          <w:rFonts w:hint="eastAsia"/>
        </w:rPr>
        <w:instrText xml:space="preserve"> </w:instrText>
      </w:r>
      <w:r>
        <w:rPr>
          <w:rFonts w:hint="eastAsia"/>
        </w:rPr>
        <w:fldChar w:fldCharType="separate"/>
      </w:r>
      <w:r>
        <w:rPr>
          <w:rFonts w:hint="eastAsia"/>
        </w:rPr>
        <w:t>374</w:t>
      </w:r>
      <w:r>
        <w:rPr>
          <w:rFonts w:hint="eastAsia"/>
        </w:rPr>
        <w:fldChar w:fldCharType="end"/>
      </w:r>
      <w:r>
        <w:rPr>
          <w:rFonts w:hint="eastAsia"/>
        </w:rPr>
        <w:fldChar w:fldCharType="end"/>
      </w:r>
    </w:p>
    <w:p w14:paraId="21909412">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"_Toc221894201" </w:instrText>
      </w:r>
      <w:r>
        <w:fldChar w:fldCharType="separate"/>
      </w:r>
      <w:r>
        <w:rPr>
          <w:rStyle w:val="34"/>
          <w:rFonts w:hint="eastAsia"/>
        </w:rPr>
        <w:t>（三）智慧工地硬件部署与数据接入要求</w:t>
      </w:r>
      <w:r>
        <w:rPr>
          <w:rFonts w:hint="eastAsia"/>
        </w:rPr>
        <w:tab/>
      </w:r>
      <w:r>
        <w:rPr>
          <w:rFonts w:hint="eastAsia"/>
        </w:rPr>
        <w:fldChar w:fldCharType="begin"/>
      </w:r>
      <w:r>
        <w:rPr>
          <w:rFonts w:hint="eastAsia"/>
        </w:rPr>
        <w:instrText xml:space="preserve"> </w:instrText>
      </w:r>
      <w:r>
        <w:instrText xml:space="preserve">PAGEREF _Toc221894201 \h</w:instrText>
      </w:r>
      <w:r>
        <w:rPr>
          <w:rFonts w:hint="eastAsia"/>
        </w:rPr>
        <w:instrText xml:space="preserve"> </w:instrText>
      </w:r>
      <w:r>
        <w:rPr>
          <w:rFonts w:hint="eastAsia"/>
        </w:rPr>
        <w:fldChar w:fldCharType="separate"/>
      </w:r>
      <w:r>
        <w:rPr>
          <w:rFonts w:hint="eastAsia"/>
        </w:rPr>
        <w:t>374</w:t>
      </w:r>
      <w:r>
        <w:rPr>
          <w:rFonts w:hint="eastAsia"/>
        </w:rPr>
        <w:fldChar w:fldCharType="end"/>
      </w:r>
      <w:r>
        <w:rPr>
          <w:rFonts w:hint="eastAsia"/>
        </w:rPr>
        <w:fldChar w:fldCharType="end"/>
      </w:r>
    </w:p>
    <w:p w14:paraId="428D4B35">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"_Toc221894202" </w:instrText>
      </w:r>
      <w:r>
        <w:fldChar w:fldCharType="separate"/>
      </w:r>
      <w:r>
        <w:rPr>
          <w:rStyle w:val="34"/>
          <w:rFonts w:hint="eastAsia" w:cs="Times New Roman"/>
        </w:rPr>
        <w:t>1、硬件配置责任与标准</w:t>
      </w:r>
      <w:r>
        <w:rPr>
          <w:rFonts w:hint="eastAsia"/>
        </w:rPr>
        <w:tab/>
      </w:r>
      <w:r>
        <w:rPr>
          <w:rFonts w:hint="eastAsia"/>
        </w:rPr>
        <w:fldChar w:fldCharType="begin"/>
      </w:r>
      <w:r>
        <w:rPr>
          <w:rFonts w:hint="eastAsia"/>
        </w:rPr>
        <w:instrText xml:space="preserve"> </w:instrText>
      </w:r>
      <w:r>
        <w:instrText xml:space="preserve">PAGEREF _Toc221894202 \h</w:instrText>
      </w:r>
      <w:r>
        <w:rPr>
          <w:rFonts w:hint="eastAsia"/>
        </w:rPr>
        <w:instrText xml:space="preserve"> </w:instrText>
      </w:r>
      <w:r>
        <w:rPr>
          <w:rFonts w:hint="eastAsia"/>
        </w:rPr>
        <w:fldChar w:fldCharType="separate"/>
      </w:r>
      <w:r>
        <w:rPr>
          <w:rFonts w:hint="eastAsia"/>
        </w:rPr>
        <w:t>374</w:t>
      </w:r>
      <w:r>
        <w:rPr>
          <w:rFonts w:hint="eastAsia"/>
        </w:rPr>
        <w:fldChar w:fldCharType="end"/>
      </w:r>
      <w:r>
        <w:rPr>
          <w:rFonts w:hint="eastAsia"/>
        </w:rPr>
        <w:fldChar w:fldCharType="end"/>
      </w:r>
    </w:p>
    <w:p w14:paraId="418B13D5">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"_Toc221894203" </w:instrText>
      </w:r>
      <w:r>
        <w:fldChar w:fldCharType="separate"/>
      </w:r>
      <w:r>
        <w:rPr>
          <w:rStyle w:val="34"/>
          <w:rFonts w:hint="eastAsia" w:cs="Times New Roman"/>
        </w:rPr>
        <w:t>2、核心功能实现要求</w:t>
      </w:r>
      <w:r>
        <w:rPr>
          <w:rFonts w:hint="eastAsia"/>
        </w:rPr>
        <w:tab/>
      </w:r>
      <w:r>
        <w:rPr>
          <w:rFonts w:hint="eastAsia"/>
        </w:rPr>
        <w:fldChar w:fldCharType="begin"/>
      </w:r>
      <w:r>
        <w:rPr>
          <w:rFonts w:hint="eastAsia"/>
        </w:rPr>
        <w:instrText xml:space="preserve"> </w:instrText>
      </w:r>
      <w:r>
        <w:instrText xml:space="preserve">PAGEREF _Toc221894203 \h</w:instrText>
      </w:r>
      <w:r>
        <w:rPr>
          <w:rFonts w:hint="eastAsia"/>
        </w:rPr>
        <w:instrText xml:space="preserve"> </w:instrText>
      </w:r>
      <w:r>
        <w:rPr>
          <w:rFonts w:hint="eastAsia"/>
        </w:rPr>
        <w:fldChar w:fldCharType="separate"/>
      </w:r>
      <w:r>
        <w:rPr>
          <w:rFonts w:hint="eastAsia"/>
        </w:rPr>
        <w:t>375</w:t>
      </w:r>
      <w:r>
        <w:rPr>
          <w:rFonts w:hint="eastAsia"/>
        </w:rPr>
        <w:fldChar w:fldCharType="end"/>
      </w:r>
      <w:r>
        <w:rPr>
          <w:rFonts w:hint="eastAsia"/>
        </w:rPr>
        <w:fldChar w:fldCharType="end"/>
      </w:r>
    </w:p>
    <w:p w14:paraId="0F84BB95">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"_Toc221894204" </w:instrText>
      </w:r>
      <w:r>
        <w:fldChar w:fldCharType="separate"/>
      </w:r>
      <w:r>
        <w:rPr>
          <w:rStyle w:val="34"/>
          <w:rFonts w:hint="eastAsia" w:cs="Times New Roman"/>
        </w:rPr>
        <w:t>3、实施与运维保障</w:t>
      </w:r>
      <w:r>
        <w:rPr>
          <w:rFonts w:hint="eastAsia"/>
        </w:rPr>
        <w:tab/>
      </w:r>
      <w:r>
        <w:rPr>
          <w:rFonts w:hint="eastAsia"/>
        </w:rPr>
        <w:fldChar w:fldCharType="begin"/>
      </w:r>
      <w:r>
        <w:rPr>
          <w:rFonts w:hint="eastAsia"/>
        </w:rPr>
        <w:instrText xml:space="preserve"> </w:instrText>
      </w:r>
      <w:r>
        <w:instrText xml:space="preserve">PAGEREF _Toc221894204 \h</w:instrText>
      </w:r>
      <w:r>
        <w:rPr>
          <w:rFonts w:hint="eastAsia"/>
        </w:rPr>
        <w:instrText xml:space="preserve"> </w:instrText>
      </w:r>
      <w:r>
        <w:rPr>
          <w:rFonts w:hint="eastAsia"/>
        </w:rPr>
        <w:fldChar w:fldCharType="separate"/>
      </w:r>
      <w:r>
        <w:rPr>
          <w:rFonts w:hint="eastAsia"/>
        </w:rPr>
        <w:t>376</w:t>
      </w:r>
      <w:r>
        <w:rPr>
          <w:rFonts w:hint="eastAsia"/>
        </w:rPr>
        <w:fldChar w:fldCharType="end"/>
      </w:r>
      <w:r>
        <w:rPr>
          <w:rFonts w:hint="eastAsia"/>
        </w:rPr>
        <w:fldChar w:fldCharType="end"/>
      </w:r>
    </w:p>
    <w:p w14:paraId="721CF780">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"_Toc221894205" </w:instrText>
      </w:r>
      <w:r>
        <w:fldChar w:fldCharType="separate"/>
      </w:r>
      <w:r>
        <w:rPr>
          <w:rStyle w:val="34"/>
          <w:rFonts w:hint="eastAsia" w:cs="Times New Roman"/>
        </w:rPr>
        <w:t>4、智慧工地技术要求见附件</w:t>
      </w:r>
      <w:r>
        <w:rPr>
          <w:rFonts w:hint="eastAsia"/>
        </w:rPr>
        <w:tab/>
      </w:r>
      <w:r>
        <w:rPr>
          <w:rFonts w:hint="eastAsia"/>
        </w:rPr>
        <w:fldChar w:fldCharType="begin"/>
      </w:r>
      <w:r>
        <w:rPr>
          <w:rFonts w:hint="eastAsia"/>
        </w:rPr>
        <w:instrText xml:space="preserve"> </w:instrText>
      </w:r>
      <w:r>
        <w:instrText xml:space="preserve">PAGEREF _Toc221894205 \h</w:instrText>
      </w:r>
      <w:r>
        <w:rPr>
          <w:rFonts w:hint="eastAsia"/>
        </w:rPr>
        <w:instrText xml:space="preserve"> </w:instrText>
      </w:r>
      <w:r>
        <w:rPr>
          <w:rFonts w:hint="eastAsia"/>
        </w:rPr>
        <w:fldChar w:fldCharType="separate"/>
      </w:r>
      <w:r>
        <w:rPr>
          <w:rFonts w:hint="eastAsia"/>
        </w:rPr>
        <w:t>376</w:t>
      </w:r>
      <w:r>
        <w:rPr>
          <w:rFonts w:hint="eastAsia"/>
        </w:rPr>
        <w:fldChar w:fldCharType="end"/>
      </w:r>
      <w:r>
        <w:rPr>
          <w:rFonts w:hint="eastAsia"/>
        </w:rPr>
        <w:fldChar w:fldCharType="end"/>
      </w:r>
    </w:p>
    <w:p w14:paraId="5C4FE86D">
      <w:pPr>
        <w:pStyle w:val="20"/>
        <w:tabs>
          <w:tab w:val="right" w:leader="dot" w:pos="9060"/>
        </w:tabs>
        <w:rPr>
          <w:rFonts w:hint="eastAsia" w:asciiTheme="minorHAnsi" w:hAnsiTheme="minorHAnsi" w:eastAsiaTheme="minorEastAsia"/>
          <w:b w:val="0"/>
          <w:sz w:val="22"/>
          <w:szCs w:val="24"/>
          <w14:ligatures w14:val="standardContextual"/>
        </w:rPr>
      </w:pPr>
      <w:r>
        <w:fldChar w:fldCharType="begin"/>
      </w:r>
      <w:r>
        <w:instrText xml:space="preserve"> HYPERLINK \l "_Toc221894206" </w:instrText>
      </w:r>
      <w:r>
        <w:fldChar w:fldCharType="separate"/>
      </w:r>
      <w:r>
        <w:rPr>
          <w:rStyle w:val="34"/>
          <w:rFonts w:hint="eastAsia" w:cs="Times New Roman"/>
        </w:rPr>
        <w:t>十二、BIM技术实施要求</w:t>
      </w:r>
      <w:r>
        <w:rPr>
          <w:rFonts w:hint="eastAsia"/>
        </w:rPr>
        <w:tab/>
      </w:r>
      <w:r>
        <w:rPr>
          <w:rFonts w:hint="eastAsia"/>
        </w:rPr>
        <w:fldChar w:fldCharType="begin"/>
      </w:r>
      <w:r>
        <w:rPr>
          <w:rFonts w:hint="eastAsia"/>
        </w:rPr>
        <w:instrText xml:space="preserve"> </w:instrText>
      </w:r>
      <w:r>
        <w:instrText xml:space="preserve">PAGEREF _Toc221894206 \h</w:instrText>
      </w:r>
      <w:r>
        <w:rPr>
          <w:rFonts w:hint="eastAsia"/>
        </w:rPr>
        <w:instrText xml:space="preserve"> </w:instrText>
      </w:r>
      <w:r>
        <w:rPr>
          <w:rFonts w:hint="eastAsia"/>
        </w:rPr>
        <w:fldChar w:fldCharType="separate"/>
      </w:r>
      <w:r>
        <w:rPr>
          <w:rFonts w:hint="eastAsia"/>
        </w:rPr>
        <w:t>377</w:t>
      </w:r>
      <w:r>
        <w:rPr>
          <w:rFonts w:hint="eastAsia"/>
        </w:rPr>
        <w:fldChar w:fldCharType="end"/>
      </w:r>
      <w:r>
        <w:rPr>
          <w:rFonts w:hint="eastAsia"/>
        </w:rPr>
        <w:fldChar w:fldCharType="end"/>
      </w:r>
    </w:p>
    <w:p w14:paraId="0094926A">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"_Toc221894207" </w:instrText>
      </w:r>
      <w:r>
        <w:fldChar w:fldCharType="separate"/>
      </w:r>
      <w:r>
        <w:rPr>
          <w:rStyle w:val="34"/>
          <w:rFonts w:hint="eastAsia"/>
        </w:rPr>
        <w:t>（一）BIM技术实施范围</w:t>
      </w:r>
      <w:r>
        <w:rPr>
          <w:rFonts w:hint="eastAsia"/>
        </w:rPr>
        <w:tab/>
      </w:r>
      <w:r>
        <w:rPr>
          <w:rFonts w:hint="eastAsia"/>
        </w:rPr>
        <w:fldChar w:fldCharType="begin"/>
      </w:r>
      <w:r>
        <w:rPr>
          <w:rFonts w:hint="eastAsia"/>
        </w:rPr>
        <w:instrText xml:space="preserve"> </w:instrText>
      </w:r>
      <w:r>
        <w:instrText xml:space="preserve">PAGEREF _Toc221894207 \h</w:instrText>
      </w:r>
      <w:r>
        <w:rPr>
          <w:rFonts w:hint="eastAsia"/>
        </w:rPr>
        <w:instrText xml:space="preserve"> </w:instrText>
      </w:r>
      <w:r>
        <w:rPr>
          <w:rFonts w:hint="eastAsia"/>
        </w:rPr>
        <w:fldChar w:fldCharType="separate"/>
      </w:r>
      <w:r>
        <w:rPr>
          <w:rFonts w:hint="eastAsia"/>
        </w:rPr>
        <w:t>377</w:t>
      </w:r>
      <w:r>
        <w:rPr>
          <w:rFonts w:hint="eastAsia"/>
        </w:rPr>
        <w:fldChar w:fldCharType="end"/>
      </w:r>
      <w:r>
        <w:rPr>
          <w:rFonts w:hint="eastAsia"/>
        </w:rPr>
        <w:fldChar w:fldCharType="end"/>
      </w:r>
    </w:p>
    <w:p w14:paraId="5EC1A6CD">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"_Toc221894208" </w:instrText>
      </w:r>
      <w:r>
        <w:fldChar w:fldCharType="separate"/>
      </w:r>
      <w:r>
        <w:rPr>
          <w:rStyle w:val="34"/>
          <w:rFonts w:hint="eastAsia" w:cs="Times New Roman"/>
        </w:rPr>
        <w:t>1、项目实施范围</w:t>
      </w:r>
      <w:r>
        <w:rPr>
          <w:rFonts w:hint="eastAsia"/>
        </w:rPr>
        <w:tab/>
      </w:r>
      <w:r>
        <w:rPr>
          <w:rFonts w:hint="eastAsia"/>
        </w:rPr>
        <w:fldChar w:fldCharType="begin"/>
      </w:r>
      <w:r>
        <w:rPr>
          <w:rFonts w:hint="eastAsia"/>
        </w:rPr>
        <w:instrText xml:space="preserve"> </w:instrText>
      </w:r>
      <w:r>
        <w:instrText xml:space="preserve">PAGEREF _Toc221894208 \h</w:instrText>
      </w:r>
      <w:r>
        <w:rPr>
          <w:rFonts w:hint="eastAsia"/>
        </w:rPr>
        <w:instrText xml:space="preserve"> </w:instrText>
      </w:r>
      <w:r>
        <w:rPr>
          <w:rFonts w:hint="eastAsia"/>
        </w:rPr>
        <w:fldChar w:fldCharType="separate"/>
      </w:r>
      <w:r>
        <w:rPr>
          <w:rFonts w:hint="eastAsia"/>
        </w:rPr>
        <w:t>377</w:t>
      </w:r>
      <w:r>
        <w:rPr>
          <w:rFonts w:hint="eastAsia"/>
        </w:rPr>
        <w:fldChar w:fldCharType="end"/>
      </w:r>
      <w:r>
        <w:rPr>
          <w:rFonts w:hint="eastAsia"/>
        </w:rPr>
        <w:fldChar w:fldCharType="end"/>
      </w:r>
    </w:p>
    <w:p w14:paraId="4628EC74">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"_Toc221894209" </w:instrText>
      </w:r>
      <w:r>
        <w:fldChar w:fldCharType="separate"/>
      </w:r>
      <w:r>
        <w:rPr>
          <w:rStyle w:val="34"/>
          <w:rFonts w:hint="eastAsia" w:cs="Times New Roman"/>
        </w:rPr>
        <w:t>2、BIM工作实施范围</w:t>
      </w:r>
      <w:r>
        <w:rPr>
          <w:rFonts w:hint="eastAsia"/>
        </w:rPr>
        <w:tab/>
      </w:r>
      <w:r>
        <w:rPr>
          <w:rFonts w:hint="eastAsia"/>
        </w:rPr>
        <w:fldChar w:fldCharType="begin"/>
      </w:r>
      <w:r>
        <w:rPr>
          <w:rFonts w:hint="eastAsia"/>
        </w:rPr>
        <w:instrText xml:space="preserve"> </w:instrText>
      </w:r>
      <w:r>
        <w:instrText xml:space="preserve">PAGEREF _Toc221894209 \h</w:instrText>
      </w:r>
      <w:r>
        <w:rPr>
          <w:rFonts w:hint="eastAsia"/>
        </w:rPr>
        <w:instrText xml:space="preserve"> </w:instrText>
      </w:r>
      <w:r>
        <w:rPr>
          <w:rFonts w:hint="eastAsia"/>
        </w:rPr>
        <w:fldChar w:fldCharType="separate"/>
      </w:r>
      <w:r>
        <w:rPr>
          <w:rFonts w:hint="eastAsia"/>
        </w:rPr>
        <w:t>377</w:t>
      </w:r>
      <w:r>
        <w:rPr>
          <w:rFonts w:hint="eastAsia"/>
        </w:rPr>
        <w:fldChar w:fldCharType="end"/>
      </w:r>
      <w:r>
        <w:rPr>
          <w:rFonts w:hint="eastAsia"/>
        </w:rPr>
        <w:fldChar w:fldCharType="end"/>
      </w:r>
    </w:p>
    <w:p w14:paraId="2B03E540">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"_Toc221894210" </w:instrText>
      </w:r>
      <w:r>
        <w:fldChar w:fldCharType="separate"/>
      </w:r>
      <w:r>
        <w:rPr>
          <w:rStyle w:val="34"/>
          <w:rFonts w:hint="eastAsia"/>
        </w:rPr>
        <w:t>（二）BIM技术实施目标</w:t>
      </w:r>
      <w:r>
        <w:rPr>
          <w:rFonts w:hint="eastAsia"/>
        </w:rPr>
        <w:tab/>
      </w:r>
      <w:r>
        <w:rPr>
          <w:rFonts w:hint="eastAsia"/>
        </w:rPr>
        <w:fldChar w:fldCharType="begin"/>
      </w:r>
      <w:r>
        <w:rPr>
          <w:rFonts w:hint="eastAsia"/>
        </w:rPr>
        <w:instrText xml:space="preserve"> </w:instrText>
      </w:r>
      <w:r>
        <w:instrText xml:space="preserve">PAGEREF _Toc221894210 \h</w:instrText>
      </w:r>
      <w:r>
        <w:rPr>
          <w:rFonts w:hint="eastAsia"/>
        </w:rPr>
        <w:instrText xml:space="preserve"> </w:instrText>
      </w:r>
      <w:r>
        <w:rPr>
          <w:rFonts w:hint="eastAsia"/>
        </w:rPr>
        <w:fldChar w:fldCharType="separate"/>
      </w:r>
      <w:r>
        <w:rPr>
          <w:rFonts w:hint="eastAsia"/>
        </w:rPr>
        <w:t>377</w:t>
      </w:r>
      <w:r>
        <w:rPr>
          <w:rFonts w:hint="eastAsia"/>
        </w:rPr>
        <w:fldChar w:fldCharType="end"/>
      </w:r>
      <w:r>
        <w:rPr>
          <w:rFonts w:hint="eastAsia"/>
        </w:rPr>
        <w:fldChar w:fldCharType="end"/>
      </w:r>
    </w:p>
    <w:p w14:paraId="4F7E8A30">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"_Toc221894211" </w:instrText>
      </w:r>
      <w:r>
        <w:fldChar w:fldCharType="separate"/>
      </w:r>
      <w:r>
        <w:rPr>
          <w:rStyle w:val="34"/>
          <w:rFonts w:hint="eastAsia" w:cs="Times New Roman"/>
        </w:rPr>
        <w:t>1、总体目标</w:t>
      </w:r>
      <w:r>
        <w:rPr>
          <w:rFonts w:hint="eastAsia"/>
        </w:rPr>
        <w:tab/>
      </w:r>
      <w:r>
        <w:rPr>
          <w:rFonts w:hint="eastAsia"/>
        </w:rPr>
        <w:fldChar w:fldCharType="begin"/>
      </w:r>
      <w:r>
        <w:rPr>
          <w:rFonts w:hint="eastAsia"/>
        </w:rPr>
        <w:instrText xml:space="preserve"> </w:instrText>
      </w:r>
      <w:r>
        <w:instrText xml:space="preserve">PAGEREF _Toc221894211 \h</w:instrText>
      </w:r>
      <w:r>
        <w:rPr>
          <w:rFonts w:hint="eastAsia"/>
        </w:rPr>
        <w:instrText xml:space="preserve"> </w:instrText>
      </w:r>
      <w:r>
        <w:rPr>
          <w:rFonts w:hint="eastAsia"/>
        </w:rPr>
        <w:fldChar w:fldCharType="separate"/>
      </w:r>
      <w:r>
        <w:rPr>
          <w:rFonts w:hint="eastAsia"/>
        </w:rPr>
        <w:t>377</w:t>
      </w:r>
      <w:r>
        <w:rPr>
          <w:rFonts w:hint="eastAsia"/>
        </w:rPr>
        <w:fldChar w:fldCharType="end"/>
      </w:r>
      <w:r>
        <w:rPr>
          <w:rFonts w:hint="eastAsia"/>
        </w:rPr>
        <w:fldChar w:fldCharType="end"/>
      </w:r>
    </w:p>
    <w:p w14:paraId="44882748">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"_Toc221894212" </w:instrText>
      </w:r>
      <w:r>
        <w:fldChar w:fldCharType="separate"/>
      </w:r>
      <w:r>
        <w:rPr>
          <w:rStyle w:val="34"/>
          <w:rFonts w:hint="eastAsia" w:cs="Times New Roman"/>
        </w:rPr>
        <w:t>2、质量目标</w:t>
      </w:r>
      <w:r>
        <w:rPr>
          <w:rFonts w:hint="eastAsia"/>
        </w:rPr>
        <w:tab/>
      </w:r>
      <w:r>
        <w:rPr>
          <w:rFonts w:hint="eastAsia"/>
        </w:rPr>
        <w:fldChar w:fldCharType="begin"/>
      </w:r>
      <w:r>
        <w:rPr>
          <w:rFonts w:hint="eastAsia"/>
        </w:rPr>
        <w:instrText xml:space="preserve"> </w:instrText>
      </w:r>
      <w:r>
        <w:instrText xml:space="preserve">PAGEREF _Toc221894212 \h</w:instrText>
      </w:r>
      <w:r>
        <w:rPr>
          <w:rFonts w:hint="eastAsia"/>
        </w:rPr>
        <w:instrText xml:space="preserve"> </w:instrText>
      </w:r>
      <w:r>
        <w:rPr>
          <w:rFonts w:hint="eastAsia"/>
        </w:rPr>
        <w:fldChar w:fldCharType="separate"/>
      </w:r>
      <w:r>
        <w:rPr>
          <w:rFonts w:hint="eastAsia"/>
        </w:rPr>
        <w:t>377</w:t>
      </w:r>
      <w:r>
        <w:rPr>
          <w:rFonts w:hint="eastAsia"/>
        </w:rPr>
        <w:fldChar w:fldCharType="end"/>
      </w:r>
      <w:r>
        <w:rPr>
          <w:rFonts w:hint="eastAsia"/>
        </w:rPr>
        <w:fldChar w:fldCharType="end"/>
      </w:r>
    </w:p>
    <w:p w14:paraId="3657D8D0">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"_Toc221894213" </w:instrText>
      </w:r>
      <w:r>
        <w:fldChar w:fldCharType="separate"/>
      </w:r>
      <w:r>
        <w:rPr>
          <w:rStyle w:val="34"/>
          <w:rFonts w:hint="eastAsia" w:cs="Times New Roman"/>
        </w:rPr>
        <w:t>3、技术目标</w:t>
      </w:r>
      <w:r>
        <w:rPr>
          <w:rFonts w:hint="eastAsia"/>
        </w:rPr>
        <w:tab/>
      </w:r>
      <w:r>
        <w:rPr>
          <w:rFonts w:hint="eastAsia"/>
        </w:rPr>
        <w:fldChar w:fldCharType="begin"/>
      </w:r>
      <w:r>
        <w:rPr>
          <w:rFonts w:hint="eastAsia"/>
        </w:rPr>
        <w:instrText xml:space="preserve"> </w:instrText>
      </w:r>
      <w:r>
        <w:instrText xml:space="preserve">PAGEREF _Toc221894213 \h</w:instrText>
      </w:r>
      <w:r>
        <w:rPr>
          <w:rFonts w:hint="eastAsia"/>
        </w:rPr>
        <w:instrText xml:space="preserve"> </w:instrText>
      </w:r>
      <w:r>
        <w:rPr>
          <w:rFonts w:hint="eastAsia"/>
        </w:rPr>
        <w:fldChar w:fldCharType="separate"/>
      </w:r>
      <w:r>
        <w:rPr>
          <w:rFonts w:hint="eastAsia"/>
        </w:rPr>
        <w:t>378</w:t>
      </w:r>
      <w:r>
        <w:rPr>
          <w:rFonts w:hint="eastAsia"/>
        </w:rPr>
        <w:fldChar w:fldCharType="end"/>
      </w:r>
      <w:r>
        <w:rPr>
          <w:rFonts w:hint="eastAsia"/>
        </w:rPr>
        <w:fldChar w:fldCharType="end"/>
      </w:r>
    </w:p>
    <w:p w14:paraId="63256D5D">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"_Toc221894214" </w:instrText>
      </w:r>
      <w:r>
        <w:fldChar w:fldCharType="separate"/>
      </w:r>
      <w:r>
        <w:rPr>
          <w:rStyle w:val="34"/>
          <w:rFonts w:hint="eastAsia" w:cs="Times New Roman"/>
        </w:rPr>
        <w:t>4、成效目标</w:t>
      </w:r>
      <w:r>
        <w:rPr>
          <w:rFonts w:hint="eastAsia"/>
        </w:rPr>
        <w:tab/>
      </w:r>
      <w:r>
        <w:rPr>
          <w:rFonts w:hint="eastAsia"/>
        </w:rPr>
        <w:fldChar w:fldCharType="begin"/>
      </w:r>
      <w:r>
        <w:rPr>
          <w:rFonts w:hint="eastAsia"/>
        </w:rPr>
        <w:instrText xml:space="preserve"> </w:instrText>
      </w:r>
      <w:r>
        <w:instrText xml:space="preserve">PAGEREF _Toc221894214 \h</w:instrText>
      </w:r>
      <w:r>
        <w:rPr>
          <w:rFonts w:hint="eastAsia"/>
        </w:rPr>
        <w:instrText xml:space="preserve"> </w:instrText>
      </w:r>
      <w:r>
        <w:rPr>
          <w:rFonts w:hint="eastAsia"/>
        </w:rPr>
        <w:fldChar w:fldCharType="separate"/>
      </w:r>
      <w:r>
        <w:rPr>
          <w:rFonts w:hint="eastAsia"/>
        </w:rPr>
        <w:t>378</w:t>
      </w:r>
      <w:r>
        <w:rPr>
          <w:rFonts w:hint="eastAsia"/>
        </w:rPr>
        <w:fldChar w:fldCharType="end"/>
      </w:r>
      <w:r>
        <w:rPr>
          <w:rFonts w:hint="eastAsia"/>
        </w:rPr>
        <w:fldChar w:fldCharType="end"/>
      </w:r>
    </w:p>
    <w:p w14:paraId="2DE185C4">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"_Toc221894215" </w:instrText>
      </w:r>
      <w:r>
        <w:fldChar w:fldCharType="separate"/>
      </w:r>
      <w:r>
        <w:rPr>
          <w:rStyle w:val="34"/>
          <w:rFonts w:hint="eastAsia"/>
        </w:rPr>
        <w:t>（三）承包人承诺遵循以下BIM技术实施要求</w:t>
      </w:r>
      <w:r>
        <w:rPr>
          <w:rFonts w:hint="eastAsia"/>
        </w:rPr>
        <w:tab/>
      </w:r>
      <w:r>
        <w:rPr>
          <w:rFonts w:hint="eastAsia"/>
        </w:rPr>
        <w:fldChar w:fldCharType="begin"/>
      </w:r>
      <w:r>
        <w:rPr>
          <w:rFonts w:hint="eastAsia"/>
        </w:rPr>
        <w:instrText xml:space="preserve"> </w:instrText>
      </w:r>
      <w:r>
        <w:instrText xml:space="preserve">PAGEREF _Toc221894215 \h</w:instrText>
      </w:r>
      <w:r>
        <w:rPr>
          <w:rFonts w:hint="eastAsia"/>
        </w:rPr>
        <w:instrText xml:space="preserve"> </w:instrText>
      </w:r>
      <w:r>
        <w:rPr>
          <w:rFonts w:hint="eastAsia"/>
        </w:rPr>
        <w:fldChar w:fldCharType="separate"/>
      </w:r>
      <w:r>
        <w:rPr>
          <w:rFonts w:hint="eastAsia"/>
        </w:rPr>
        <w:t>379</w:t>
      </w:r>
      <w:r>
        <w:rPr>
          <w:rFonts w:hint="eastAsia"/>
        </w:rPr>
        <w:fldChar w:fldCharType="end"/>
      </w:r>
      <w:r>
        <w:rPr>
          <w:rFonts w:hint="eastAsia"/>
        </w:rPr>
        <w:fldChar w:fldCharType="end"/>
      </w:r>
    </w:p>
    <w:p w14:paraId="3FD58925">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"_Toc221894216" </w:instrText>
      </w:r>
      <w:r>
        <w:fldChar w:fldCharType="separate"/>
      </w:r>
      <w:r>
        <w:rPr>
          <w:rStyle w:val="34"/>
          <w:rFonts w:hint="eastAsia" w:cs="Times New Roman"/>
        </w:rPr>
        <w:t>1、总体要求</w:t>
      </w:r>
      <w:r>
        <w:rPr>
          <w:rFonts w:hint="eastAsia"/>
        </w:rPr>
        <w:tab/>
      </w:r>
      <w:r>
        <w:rPr>
          <w:rFonts w:hint="eastAsia"/>
        </w:rPr>
        <w:fldChar w:fldCharType="begin"/>
      </w:r>
      <w:r>
        <w:rPr>
          <w:rFonts w:hint="eastAsia"/>
        </w:rPr>
        <w:instrText xml:space="preserve"> </w:instrText>
      </w:r>
      <w:r>
        <w:instrText xml:space="preserve">PAGEREF _Toc221894216 \h</w:instrText>
      </w:r>
      <w:r>
        <w:rPr>
          <w:rFonts w:hint="eastAsia"/>
        </w:rPr>
        <w:instrText xml:space="preserve"> </w:instrText>
      </w:r>
      <w:r>
        <w:rPr>
          <w:rFonts w:hint="eastAsia"/>
        </w:rPr>
        <w:fldChar w:fldCharType="separate"/>
      </w:r>
      <w:r>
        <w:rPr>
          <w:rFonts w:hint="eastAsia"/>
        </w:rPr>
        <w:t>379</w:t>
      </w:r>
      <w:r>
        <w:rPr>
          <w:rFonts w:hint="eastAsia"/>
        </w:rPr>
        <w:fldChar w:fldCharType="end"/>
      </w:r>
      <w:r>
        <w:rPr>
          <w:rFonts w:hint="eastAsia"/>
        </w:rPr>
        <w:fldChar w:fldCharType="end"/>
      </w:r>
    </w:p>
    <w:p w14:paraId="7DFB1B37">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"_Toc221894217" </w:instrText>
      </w:r>
      <w:r>
        <w:fldChar w:fldCharType="separate"/>
      </w:r>
      <w:r>
        <w:rPr>
          <w:rStyle w:val="34"/>
          <w:rFonts w:hint="eastAsia" w:cs="Times New Roman"/>
        </w:rPr>
        <w:t>2、组织要求</w:t>
      </w:r>
      <w:r>
        <w:rPr>
          <w:rFonts w:hint="eastAsia"/>
        </w:rPr>
        <w:tab/>
      </w:r>
      <w:r>
        <w:rPr>
          <w:rFonts w:hint="eastAsia"/>
        </w:rPr>
        <w:fldChar w:fldCharType="begin"/>
      </w:r>
      <w:r>
        <w:rPr>
          <w:rFonts w:hint="eastAsia"/>
        </w:rPr>
        <w:instrText xml:space="preserve"> </w:instrText>
      </w:r>
      <w:r>
        <w:instrText xml:space="preserve">PAGEREF _Toc221894217 \h</w:instrText>
      </w:r>
      <w:r>
        <w:rPr>
          <w:rFonts w:hint="eastAsia"/>
        </w:rPr>
        <w:instrText xml:space="preserve"> </w:instrText>
      </w:r>
      <w:r>
        <w:rPr>
          <w:rFonts w:hint="eastAsia"/>
        </w:rPr>
        <w:fldChar w:fldCharType="separate"/>
      </w:r>
      <w:r>
        <w:rPr>
          <w:rFonts w:hint="eastAsia"/>
        </w:rPr>
        <w:t>379</w:t>
      </w:r>
      <w:r>
        <w:rPr>
          <w:rFonts w:hint="eastAsia"/>
        </w:rPr>
        <w:fldChar w:fldCharType="end"/>
      </w:r>
      <w:r>
        <w:rPr>
          <w:rFonts w:hint="eastAsia"/>
        </w:rPr>
        <w:fldChar w:fldCharType="end"/>
      </w:r>
    </w:p>
    <w:p w14:paraId="255017D3">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"_Toc221894218" </w:instrText>
      </w:r>
      <w:r>
        <w:fldChar w:fldCharType="separate"/>
      </w:r>
      <w:r>
        <w:rPr>
          <w:rStyle w:val="34"/>
          <w:rFonts w:hint="eastAsia" w:cs="Times New Roman"/>
        </w:rPr>
        <w:t>3、BIM技术要求</w:t>
      </w:r>
      <w:r>
        <w:rPr>
          <w:rFonts w:hint="eastAsia"/>
        </w:rPr>
        <w:tab/>
      </w:r>
      <w:r>
        <w:rPr>
          <w:rFonts w:hint="eastAsia"/>
        </w:rPr>
        <w:fldChar w:fldCharType="begin"/>
      </w:r>
      <w:r>
        <w:rPr>
          <w:rFonts w:hint="eastAsia"/>
        </w:rPr>
        <w:instrText xml:space="preserve"> </w:instrText>
      </w:r>
      <w:r>
        <w:instrText xml:space="preserve">PAGEREF _Toc221894218 \h</w:instrText>
      </w:r>
      <w:r>
        <w:rPr>
          <w:rFonts w:hint="eastAsia"/>
        </w:rPr>
        <w:instrText xml:space="preserve"> </w:instrText>
      </w:r>
      <w:r>
        <w:rPr>
          <w:rFonts w:hint="eastAsia"/>
        </w:rPr>
        <w:fldChar w:fldCharType="separate"/>
      </w:r>
      <w:r>
        <w:rPr>
          <w:rFonts w:hint="eastAsia"/>
        </w:rPr>
        <w:t>379</w:t>
      </w:r>
      <w:r>
        <w:rPr>
          <w:rFonts w:hint="eastAsia"/>
        </w:rPr>
        <w:fldChar w:fldCharType="end"/>
      </w:r>
      <w:r>
        <w:rPr>
          <w:rFonts w:hint="eastAsia"/>
        </w:rPr>
        <w:fldChar w:fldCharType="end"/>
      </w:r>
    </w:p>
    <w:p w14:paraId="0CAEC376">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"_Toc221894219" </w:instrText>
      </w:r>
      <w:r>
        <w:fldChar w:fldCharType="separate"/>
      </w:r>
      <w:r>
        <w:rPr>
          <w:rStyle w:val="34"/>
          <w:rFonts w:hint="eastAsia" w:cs="Times New Roman"/>
        </w:rPr>
        <w:t>4、交付内容要求</w:t>
      </w:r>
      <w:r>
        <w:rPr>
          <w:rFonts w:hint="eastAsia"/>
        </w:rPr>
        <w:tab/>
      </w:r>
      <w:r>
        <w:rPr>
          <w:rFonts w:hint="eastAsia"/>
        </w:rPr>
        <w:fldChar w:fldCharType="begin"/>
      </w:r>
      <w:r>
        <w:rPr>
          <w:rFonts w:hint="eastAsia"/>
        </w:rPr>
        <w:instrText xml:space="preserve"> </w:instrText>
      </w:r>
      <w:r>
        <w:instrText xml:space="preserve">PAGEREF _Toc221894219 \h</w:instrText>
      </w:r>
      <w:r>
        <w:rPr>
          <w:rFonts w:hint="eastAsia"/>
        </w:rPr>
        <w:instrText xml:space="preserve"> </w:instrText>
      </w:r>
      <w:r>
        <w:rPr>
          <w:rFonts w:hint="eastAsia"/>
        </w:rPr>
        <w:fldChar w:fldCharType="separate"/>
      </w:r>
      <w:r>
        <w:rPr>
          <w:rFonts w:hint="eastAsia"/>
        </w:rPr>
        <w:t>391</w:t>
      </w:r>
      <w:r>
        <w:rPr>
          <w:rFonts w:hint="eastAsia"/>
        </w:rPr>
        <w:fldChar w:fldCharType="end"/>
      </w:r>
      <w:r>
        <w:rPr>
          <w:rFonts w:hint="eastAsia"/>
        </w:rPr>
        <w:fldChar w:fldCharType="end"/>
      </w:r>
    </w:p>
    <w:p w14:paraId="278D361F">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"_Toc221894220" </w:instrText>
      </w:r>
      <w:r>
        <w:fldChar w:fldCharType="separate"/>
      </w:r>
      <w:r>
        <w:rPr>
          <w:rStyle w:val="34"/>
          <w:rFonts w:hint="eastAsia" w:cs="Times New Roman"/>
        </w:rPr>
        <w:t>5、时效要求</w:t>
      </w:r>
      <w:r>
        <w:rPr>
          <w:rFonts w:hint="eastAsia"/>
        </w:rPr>
        <w:tab/>
      </w:r>
      <w:r>
        <w:rPr>
          <w:rFonts w:hint="eastAsia"/>
        </w:rPr>
        <w:fldChar w:fldCharType="begin"/>
      </w:r>
      <w:r>
        <w:rPr>
          <w:rFonts w:hint="eastAsia"/>
        </w:rPr>
        <w:instrText xml:space="preserve"> </w:instrText>
      </w:r>
      <w:r>
        <w:instrText xml:space="preserve">PAGEREF _Toc221894220 \h</w:instrText>
      </w:r>
      <w:r>
        <w:rPr>
          <w:rFonts w:hint="eastAsia"/>
        </w:rPr>
        <w:instrText xml:space="preserve"> </w:instrText>
      </w:r>
      <w:r>
        <w:rPr>
          <w:rFonts w:hint="eastAsia"/>
        </w:rPr>
        <w:fldChar w:fldCharType="separate"/>
      </w:r>
      <w:r>
        <w:rPr>
          <w:rFonts w:hint="eastAsia"/>
        </w:rPr>
        <w:t>391</w:t>
      </w:r>
      <w:r>
        <w:rPr>
          <w:rFonts w:hint="eastAsia"/>
        </w:rPr>
        <w:fldChar w:fldCharType="end"/>
      </w:r>
      <w:r>
        <w:rPr>
          <w:rFonts w:hint="eastAsia"/>
        </w:rPr>
        <w:fldChar w:fldCharType="end"/>
      </w:r>
    </w:p>
    <w:p w14:paraId="6F621C33">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"_Toc221894221" </w:instrText>
      </w:r>
      <w:r>
        <w:fldChar w:fldCharType="separate"/>
      </w:r>
      <w:r>
        <w:rPr>
          <w:rStyle w:val="34"/>
          <w:rFonts w:hint="eastAsia" w:cs="Times New Roman"/>
        </w:rPr>
        <w:t>6、交付物要求</w:t>
      </w:r>
      <w:r>
        <w:rPr>
          <w:rFonts w:hint="eastAsia"/>
        </w:rPr>
        <w:tab/>
      </w:r>
      <w:r>
        <w:rPr>
          <w:rFonts w:hint="eastAsia"/>
        </w:rPr>
        <w:fldChar w:fldCharType="begin"/>
      </w:r>
      <w:r>
        <w:rPr>
          <w:rFonts w:hint="eastAsia"/>
        </w:rPr>
        <w:instrText xml:space="preserve"> </w:instrText>
      </w:r>
      <w:r>
        <w:instrText xml:space="preserve">PAGEREF _Toc221894221 \h</w:instrText>
      </w:r>
      <w:r>
        <w:rPr>
          <w:rFonts w:hint="eastAsia"/>
        </w:rPr>
        <w:instrText xml:space="preserve"> </w:instrText>
      </w:r>
      <w:r>
        <w:rPr>
          <w:rFonts w:hint="eastAsia"/>
        </w:rPr>
        <w:fldChar w:fldCharType="separate"/>
      </w:r>
      <w:r>
        <w:rPr>
          <w:rFonts w:hint="eastAsia"/>
        </w:rPr>
        <w:t>391</w:t>
      </w:r>
      <w:r>
        <w:rPr>
          <w:rFonts w:hint="eastAsia"/>
        </w:rPr>
        <w:fldChar w:fldCharType="end"/>
      </w:r>
      <w:r>
        <w:rPr>
          <w:rFonts w:hint="eastAsia"/>
        </w:rPr>
        <w:fldChar w:fldCharType="end"/>
      </w:r>
    </w:p>
    <w:p w14:paraId="21E0C1AC">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"_Toc221894222" </w:instrText>
      </w:r>
      <w:r>
        <w:fldChar w:fldCharType="separate"/>
      </w:r>
      <w:r>
        <w:rPr>
          <w:rStyle w:val="34"/>
          <w:rFonts w:hint="eastAsia" w:cs="Times New Roman"/>
        </w:rPr>
        <w:t>7、协同要求</w:t>
      </w:r>
      <w:r>
        <w:rPr>
          <w:rFonts w:hint="eastAsia"/>
        </w:rPr>
        <w:tab/>
      </w:r>
      <w:r>
        <w:rPr>
          <w:rFonts w:hint="eastAsia"/>
        </w:rPr>
        <w:fldChar w:fldCharType="begin"/>
      </w:r>
      <w:r>
        <w:rPr>
          <w:rFonts w:hint="eastAsia"/>
        </w:rPr>
        <w:instrText xml:space="preserve"> </w:instrText>
      </w:r>
      <w:r>
        <w:instrText xml:space="preserve">PAGEREF _Toc221894222 \h</w:instrText>
      </w:r>
      <w:r>
        <w:rPr>
          <w:rFonts w:hint="eastAsia"/>
        </w:rPr>
        <w:instrText xml:space="preserve"> </w:instrText>
      </w:r>
      <w:r>
        <w:rPr>
          <w:rFonts w:hint="eastAsia"/>
        </w:rPr>
        <w:fldChar w:fldCharType="separate"/>
      </w:r>
      <w:r>
        <w:rPr>
          <w:rFonts w:hint="eastAsia"/>
        </w:rPr>
        <w:t>392</w:t>
      </w:r>
      <w:r>
        <w:rPr>
          <w:rFonts w:hint="eastAsia"/>
        </w:rPr>
        <w:fldChar w:fldCharType="end"/>
      </w:r>
      <w:r>
        <w:rPr>
          <w:rFonts w:hint="eastAsia"/>
        </w:rPr>
        <w:fldChar w:fldCharType="end"/>
      </w:r>
    </w:p>
    <w:p w14:paraId="4672A1C0">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"_Toc221894223" </w:instrText>
      </w:r>
      <w:r>
        <w:fldChar w:fldCharType="separate"/>
      </w:r>
      <w:r>
        <w:rPr>
          <w:rStyle w:val="34"/>
          <w:rFonts w:hint="eastAsia"/>
        </w:rPr>
        <w:t>（四）承包人承诺完成以下BIM技术实施工作内容</w:t>
      </w:r>
      <w:r>
        <w:rPr>
          <w:rFonts w:hint="eastAsia"/>
        </w:rPr>
        <w:tab/>
      </w:r>
      <w:r>
        <w:rPr>
          <w:rFonts w:hint="eastAsia"/>
        </w:rPr>
        <w:fldChar w:fldCharType="begin"/>
      </w:r>
      <w:r>
        <w:rPr>
          <w:rFonts w:hint="eastAsia"/>
        </w:rPr>
        <w:instrText xml:space="preserve"> </w:instrText>
      </w:r>
      <w:r>
        <w:instrText xml:space="preserve">PAGEREF _Toc221894223 \h</w:instrText>
      </w:r>
      <w:r>
        <w:rPr>
          <w:rFonts w:hint="eastAsia"/>
        </w:rPr>
        <w:instrText xml:space="preserve"> </w:instrText>
      </w:r>
      <w:r>
        <w:rPr>
          <w:rFonts w:hint="eastAsia"/>
        </w:rPr>
        <w:fldChar w:fldCharType="separate"/>
      </w:r>
      <w:r>
        <w:rPr>
          <w:rFonts w:hint="eastAsia"/>
        </w:rPr>
        <w:t>392</w:t>
      </w:r>
      <w:r>
        <w:rPr>
          <w:rFonts w:hint="eastAsia"/>
        </w:rPr>
        <w:fldChar w:fldCharType="end"/>
      </w:r>
      <w:r>
        <w:rPr>
          <w:rFonts w:hint="eastAsia"/>
        </w:rPr>
        <w:fldChar w:fldCharType="end"/>
      </w:r>
    </w:p>
    <w:p w14:paraId="36B41A6B">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"_Toc221894224" </w:instrText>
      </w:r>
      <w:r>
        <w:fldChar w:fldCharType="separate"/>
      </w:r>
      <w:r>
        <w:rPr>
          <w:rStyle w:val="34"/>
          <w:rFonts w:hint="eastAsia" w:cs="Times New Roman"/>
        </w:rPr>
        <w:t>1、设计阶段</w:t>
      </w:r>
      <w:r>
        <w:rPr>
          <w:rFonts w:hint="eastAsia"/>
        </w:rPr>
        <w:tab/>
      </w:r>
      <w:r>
        <w:rPr>
          <w:rFonts w:hint="eastAsia"/>
        </w:rPr>
        <w:fldChar w:fldCharType="begin"/>
      </w:r>
      <w:r>
        <w:rPr>
          <w:rFonts w:hint="eastAsia"/>
        </w:rPr>
        <w:instrText xml:space="preserve"> </w:instrText>
      </w:r>
      <w:r>
        <w:instrText xml:space="preserve">PAGEREF _Toc221894224 \h</w:instrText>
      </w:r>
      <w:r>
        <w:rPr>
          <w:rFonts w:hint="eastAsia"/>
        </w:rPr>
        <w:instrText xml:space="preserve"> </w:instrText>
      </w:r>
      <w:r>
        <w:rPr>
          <w:rFonts w:hint="eastAsia"/>
        </w:rPr>
        <w:fldChar w:fldCharType="separate"/>
      </w:r>
      <w:r>
        <w:rPr>
          <w:rFonts w:hint="eastAsia"/>
        </w:rPr>
        <w:t>392</w:t>
      </w:r>
      <w:r>
        <w:rPr>
          <w:rFonts w:hint="eastAsia"/>
        </w:rPr>
        <w:fldChar w:fldCharType="end"/>
      </w:r>
      <w:r>
        <w:rPr>
          <w:rFonts w:hint="eastAsia"/>
        </w:rPr>
        <w:fldChar w:fldCharType="end"/>
      </w:r>
    </w:p>
    <w:p w14:paraId="36664247">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"_Toc221894225" </w:instrText>
      </w:r>
      <w:r>
        <w:fldChar w:fldCharType="separate"/>
      </w:r>
      <w:r>
        <w:rPr>
          <w:rStyle w:val="34"/>
          <w:rFonts w:hint="eastAsia" w:cs="Times New Roman"/>
        </w:rPr>
        <w:t>2、施工阶段</w:t>
      </w:r>
      <w:r>
        <w:rPr>
          <w:rFonts w:hint="eastAsia"/>
        </w:rPr>
        <w:tab/>
      </w:r>
      <w:r>
        <w:rPr>
          <w:rFonts w:hint="eastAsia"/>
        </w:rPr>
        <w:fldChar w:fldCharType="begin"/>
      </w:r>
      <w:r>
        <w:rPr>
          <w:rFonts w:hint="eastAsia"/>
        </w:rPr>
        <w:instrText xml:space="preserve"> </w:instrText>
      </w:r>
      <w:r>
        <w:instrText xml:space="preserve">PAGEREF _Toc221894225 \h</w:instrText>
      </w:r>
      <w:r>
        <w:rPr>
          <w:rFonts w:hint="eastAsia"/>
        </w:rPr>
        <w:instrText xml:space="preserve"> </w:instrText>
      </w:r>
      <w:r>
        <w:rPr>
          <w:rFonts w:hint="eastAsia"/>
        </w:rPr>
        <w:fldChar w:fldCharType="separate"/>
      </w:r>
      <w:r>
        <w:rPr>
          <w:rFonts w:hint="eastAsia"/>
        </w:rPr>
        <w:t>393</w:t>
      </w:r>
      <w:r>
        <w:rPr>
          <w:rFonts w:hint="eastAsia"/>
        </w:rPr>
        <w:fldChar w:fldCharType="end"/>
      </w:r>
      <w:r>
        <w:rPr>
          <w:rFonts w:hint="eastAsia"/>
        </w:rPr>
        <w:fldChar w:fldCharType="end"/>
      </w:r>
    </w:p>
    <w:p w14:paraId="0C097B9B">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"_Toc221894226" </w:instrText>
      </w:r>
      <w:r>
        <w:fldChar w:fldCharType="separate"/>
      </w:r>
      <w:r>
        <w:rPr>
          <w:rStyle w:val="34"/>
          <w:rFonts w:hint="eastAsia" w:cs="Times New Roman"/>
        </w:rPr>
        <w:t>3、竣工阶段</w:t>
      </w:r>
      <w:r>
        <w:rPr>
          <w:rFonts w:hint="eastAsia"/>
        </w:rPr>
        <w:tab/>
      </w:r>
      <w:r>
        <w:rPr>
          <w:rFonts w:hint="eastAsia"/>
        </w:rPr>
        <w:fldChar w:fldCharType="begin"/>
      </w:r>
      <w:r>
        <w:rPr>
          <w:rFonts w:hint="eastAsia"/>
        </w:rPr>
        <w:instrText xml:space="preserve"> </w:instrText>
      </w:r>
      <w:r>
        <w:instrText xml:space="preserve">PAGEREF _Toc221894226 \h</w:instrText>
      </w:r>
      <w:r>
        <w:rPr>
          <w:rFonts w:hint="eastAsia"/>
        </w:rPr>
        <w:instrText xml:space="preserve"> </w:instrText>
      </w:r>
      <w:r>
        <w:rPr>
          <w:rFonts w:hint="eastAsia"/>
        </w:rPr>
        <w:fldChar w:fldCharType="separate"/>
      </w:r>
      <w:r>
        <w:rPr>
          <w:rFonts w:hint="eastAsia"/>
        </w:rPr>
        <w:t>393</w:t>
      </w:r>
      <w:r>
        <w:rPr>
          <w:rFonts w:hint="eastAsia"/>
        </w:rPr>
        <w:fldChar w:fldCharType="end"/>
      </w:r>
      <w:r>
        <w:rPr>
          <w:rFonts w:hint="eastAsia"/>
        </w:rPr>
        <w:fldChar w:fldCharType="end"/>
      </w:r>
    </w:p>
    <w:p w14:paraId="62D7ACAB">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"_Toc221894227" </w:instrText>
      </w:r>
      <w:r>
        <w:fldChar w:fldCharType="separate"/>
      </w:r>
      <w:r>
        <w:rPr>
          <w:rStyle w:val="34"/>
          <w:rFonts w:hint="eastAsia"/>
        </w:rPr>
        <w:t>（五）承包人承诺达到以下交付与验收要求</w:t>
      </w:r>
      <w:r>
        <w:rPr>
          <w:rFonts w:hint="eastAsia"/>
        </w:rPr>
        <w:tab/>
      </w:r>
      <w:r>
        <w:rPr>
          <w:rFonts w:hint="eastAsia"/>
        </w:rPr>
        <w:fldChar w:fldCharType="begin"/>
      </w:r>
      <w:r>
        <w:rPr>
          <w:rFonts w:hint="eastAsia"/>
        </w:rPr>
        <w:instrText xml:space="preserve"> </w:instrText>
      </w:r>
      <w:r>
        <w:instrText xml:space="preserve">PAGEREF _Toc221894227 \h</w:instrText>
      </w:r>
      <w:r>
        <w:rPr>
          <w:rFonts w:hint="eastAsia"/>
        </w:rPr>
        <w:instrText xml:space="preserve"> </w:instrText>
      </w:r>
      <w:r>
        <w:rPr>
          <w:rFonts w:hint="eastAsia"/>
        </w:rPr>
        <w:fldChar w:fldCharType="separate"/>
      </w:r>
      <w:r>
        <w:rPr>
          <w:rFonts w:hint="eastAsia"/>
        </w:rPr>
        <w:t>393</w:t>
      </w:r>
      <w:r>
        <w:rPr>
          <w:rFonts w:hint="eastAsia"/>
        </w:rPr>
        <w:fldChar w:fldCharType="end"/>
      </w:r>
      <w:r>
        <w:rPr>
          <w:rFonts w:hint="eastAsia"/>
        </w:rPr>
        <w:fldChar w:fldCharType="end"/>
      </w:r>
    </w:p>
    <w:p w14:paraId="07080147">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"_Toc221894228" </w:instrText>
      </w:r>
      <w:r>
        <w:fldChar w:fldCharType="separate"/>
      </w:r>
      <w:r>
        <w:rPr>
          <w:rStyle w:val="34"/>
          <w:rFonts w:hint="eastAsia" w:cs="Times New Roman"/>
        </w:rPr>
        <w:t>1、交付内容</w:t>
      </w:r>
      <w:r>
        <w:rPr>
          <w:rFonts w:hint="eastAsia"/>
        </w:rPr>
        <w:tab/>
      </w:r>
      <w:r>
        <w:rPr>
          <w:rFonts w:hint="eastAsia"/>
        </w:rPr>
        <w:fldChar w:fldCharType="begin"/>
      </w:r>
      <w:r>
        <w:rPr>
          <w:rFonts w:hint="eastAsia"/>
        </w:rPr>
        <w:instrText xml:space="preserve"> </w:instrText>
      </w:r>
      <w:r>
        <w:instrText xml:space="preserve">PAGEREF _Toc221894228 \h</w:instrText>
      </w:r>
      <w:r>
        <w:rPr>
          <w:rFonts w:hint="eastAsia"/>
        </w:rPr>
        <w:instrText xml:space="preserve"> </w:instrText>
      </w:r>
      <w:r>
        <w:rPr>
          <w:rFonts w:hint="eastAsia"/>
        </w:rPr>
        <w:fldChar w:fldCharType="separate"/>
      </w:r>
      <w:r>
        <w:rPr>
          <w:rFonts w:hint="eastAsia"/>
        </w:rPr>
        <w:t>393</w:t>
      </w:r>
      <w:r>
        <w:rPr>
          <w:rFonts w:hint="eastAsia"/>
        </w:rPr>
        <w:fldChar w:fldCharType="end"/>
      </w:r>
      <w:r>
        <w:rPr>
          <w:rFonts w:hint="eastAsia"/>
        </w:rPr>
        <w:fldChar w:fldCharType="end"/>
      </w:r>
    </w:p>
    <w:p w14:paraId="5925BC82">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"_Toc221894229" </w:instrText>
      </w:r>
      <w:r>
        <w:fldChar w:fldCharType="separate"/>
      </w:r>
      <w:r>
        <w:rPr>
          <w:rStyle w:val="34"/>
          <w:rFonts w:hint="eastAsia" w:cs="Times New Roman"/>
        </w:rPr>
        <w:t>2、验收标准</w:t>
      </w:r>
      <w:r>
        <w:rPr>
          <w:rFonts w:hint="eastAsia"/>
        </w:rPr>
        <w:tab/>
      </w:r>
      <w:r>
        <w:rPr>
          <w:rFonts w:hint="eastAsia"/>
        </w:rPr>
        <w:fldChar w:fldCharType="begin"/>
      </w:r>
      <w:r>
        <w:rPr>
          <w:rFonts w:hint="eastAsia"/>
        </w:rPr>
        <w:instrText xml:space="preserve"> </w:instrText>
      </w:r>
      <w:r>
        <w:instrText xml:space="preserve">PAGEREF _Toc221894229 \h</w:instrText>
      </w:r>
      <w:r>
        <w:rPr>
          <w:rFonts w:hint="eastAsia"/>
        </w:rPr>
        <w:instrText xml:space="preserve"> </w:instrText>
      </w:r>
      <w:r>
        <w:rPr>
          <w:rFonts w:hint="eastAsia"/>
        </w:rPr>
        <w:fldChar w:fldCharType="separate"/>
      </w:r>
      <w:r>
        <w:rPr>
          <w:rFonts w:hint="eastAsia"/>
        </w:rPr>
        <w:t>394</w:t>
      </w:r>
      <w:r>
        <w:rPr>
          <w:rFonts w:hint="eastAsia"/>
        </w:rPr>
        <w:fldChar w:fldCharType="end"/>
      </w:r>
      <w:r>
        <w:rPr>
          <w:rFonts w:hint="eastAsia"/>
        </w:rPr>
        <w:fldChar w:fldCharType="end"/>
      </w:r>
    </w:p>
    <w:p w14:paraId="17BDBE84">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"_Toc221894230" </w:instrText>
      </w:r>
      <w:r>
        <w:fldChar w:fldCharType="separate"/>
      </w:r>
      <w:r>
        <w:rPr>
          <w:rStyle w:val="34"/>
          <w:rFonts w:hint="eastAsia"/>
        </w:rPr>
        <w:t>（六）费用与责任要求</w:t>
      </w:r>
      <w:r>
        <w:rPr>
          <w:rFonts w:hint="eastAsia"/>
        </w:rPr>
        <w:tab/>
      </w:r>
      <w:r>
        <w:rPr>
          <w:rFonts w:hint="eastAsia"/>
        </w:rPr>
        <w:fldChar w:fldCharType="begin"/>
      </w:r>
      <w:r>
        <w:rPr>
          <w:rFonts w:hint="eastAsia"/>
        </w:rPr>
        <w:instrText xml:space="preserve"> </w:instrText>
      </w:r>
      <w:r>
        <w:instrText xml:space="preserve">PAGEREF _Toc221894230 \h</w:instrText>
      </w:r>
      <w:r>
        <w:rPr>
          <w:rFonts w:hint="eastAsia"/>
        </w:rPr>
        <w:instrText xml:space="preserve"> </w:instrText>
      </w:r>
      <w:r>
        <w:rPr>
          <w:rFonts w:hint="eastAsia"/>
        </w:rPr>
        <w:fldChar w:fldCharType="separate"/>
      </w:r>
      <w:r>
        <w:rPr>
          <w:rFonts w:hint="eastAsia"/>
        </w:rPr>
        <w:t>394</w:t>
      </w:r>
      <w:r>
        <w:rPr>
          <w:rFonts w:hint="eastAsia"/>
        </w:rPr>
        <w:fldChar w:fldCharType="end"/>
      </w:r>
      <w:r>
        <w:rPr>
          <w:rFonts w:hint="eastAsia"/>
        </w:rPr>
        <w:fldChar w:fldCharType="end"/>
      </w:r>
    </w:p>
    <w:p w14:paraId="65428805">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"_Toc221894231" </w:instrText>
      </w:r>
      <w:r>
        <w:fldChar w:fldCharType="separate"/>
      </w:r>
      <w:r>
        <w:rPr>
          <w:rStyle w:val="34"/>
          <w:rFonts w:hint="eastAsia" w:cs="Times New Roman"/>
        </w:rPr>
        <w:t>1、BIM费用</w:t>
      </w:r>
      <w:r>
        <w:rPr>
          <w:rFonts w:hint="eastAsia"/>
        </w:rPr>
        <w:tab/>
      </w:r>
      <w:r>
        <w:rPr>
          <w:rFonts w:hint="eastAsia"/>
        </w:rPr>
        <w:fldChar w:fldCharType="begin"/>
      </w:r>
      <w:r>
        <w:rPr>
          <w:rFonts w:hint="eastAsia"/>
        </w:rPr>
        <w:instrText xml:space="preserve"> </w:instrText>
      </w:r>
      <w:r>
        <w:instrText xml:space="preserve">PAGEREF _Toc221894231 \h</w:instrText>
      </w:r>
      <w:r>
        <w:rPr>
          <w:rFonts w:hint="eastAsia"/>
        </w:rPr>
        <w:instrText xml:space="preserve"> </w:instrText>
      </w:r>
      <w:r>
        <w:rPr>
          <w:rFonts w:hint="eastAsia"/>
        </w:rPr>
        <w:fldChar w:fldCharType="separate"/>
      </w:r>
      <w:r>
        <w:rPr>
          <w:rFonts w:hint="eastAsia"/>
        </w:rPr>
        <w:t>394</w:t>
      </w:r>
      <w:r>
        <w:rPr>
          <w:rFonts w:hint="eastAsia"/>
        </w:rPr>
        <w:fldChar w:fldCharType="end"/>
      </w:r>
      <w:r>
        <w:rPr>
          <w:rFonts w:hint="eastAsia"/>
        </w:rPr>
        <w:fldChar w:fldCharType="end"/>
      </w:r>
    </w:p>
    <w:p w14:paraId="44691F41">
      <w:pPr>
        <w:pStyle w:val="14"/>
        <w:tabs>
          <w:tab w:val="right" w:leader="dot" w:pos="9060"/>
        </w:tabs>
        <w:ind w:left="1120"/>
        <w:rPr>
          <w:rFonts w:hint="eastAsia" w:asciiTheme="minorHAnsi" w:hAnsiTheme="minorHAnsi" w:eastAsiaTheme="minorEastAsia"/>
          <w:sz w:val="22"/>
          <w:szCs w:val="24"/>
          <w14:ligatures w14:val="standardContextual"/>
        </w:rPr>
      </w:pPr>
      <w:r>
        <w:fldChar w:fldCharType="begin"/>
      </w:r>
      <w:r>
        <w:instrText xml:space="preserve"> HYPERLINK \l "_Toc221894232" </w:instrText>
      </w:r>
      <w:r>
        <w:fldChar w:fldCharType="separate"/>
      </w:r>
      <w:r>
        <w:rPr>
          <w:rStyle w:val="34"/>
          <w:rFonts w:hint="eastAsia" w:cs="Times New Roman"/>
        </w:rPr>
        <w:t>2、承包人责任</w:t>
      </w:r>
      <w:r>
        <w:rPr>
          <w:rFonts w:hint="eastAsia"/>
        </w:rPr>
        <w:tab/>
      </w:r>
      <w:r>
        <w:rPr>
          <w:rFonts w:hint="eastAsia"/>
        </w:rPr>
        <w:fldChar w:fldCharType="begin"/>
      </w:r>
      <w:r>
        <w:rPr>
          <w:rFonts w:hint="eastAsia"/>
        </w:rPr>
        <w:instrText xml:space="preserve"> </w:instrText>
      </w:r>
      <w:r>
        <w:instrText xml:space="preserve">PAGEREF _Toc221894232 \h</w:instrText>
      </w:r>
      <w:r>
        <w:rPr>
          <w:rFonts w:hint="eastAsia"/>
        </w:rPr>
        <w:instrText xml:space="preserve"> </w:instrText>
      </w:r>
      <w:r>
        <w:rPr>
          <w:rFonts w:hint="eastAsia"/>
        </w:rPr>
        <w:fldChar w:fldCharType="separate"/>
      </w:r>
      <w:r>
        <w:rPr>
          <w:rFonts w:hint="eastAsia"/>
        </w:rPr>
        <w:t>394</w:t>
      </w:r>
      <w:r>
        <w:rPr>
          <w:rFonts w:hint="eastAsia"/>
        </w:rPr>
        <w:fldChar w:fldCharType="end"/>
      </w:r>
      <w:r>
        <w:rPr>
          <w:rFonts w:hint="eastAsia"/>
        </w:rPr>
        <w:fldChar w:fldCharType="end"/>
      </w:r>
    </w:p>
    <w:p w14:paraId="0FE0C89F">
      <w:pPr>
        <w:pStyle w:val="20"/>
        <w:tabs>
          <w:tab w:val="right" w:leader="dot" w:pos="9060"/>
        </w:tabs>
        <w:rPr>
          <w:rFonts w:hint="eastAsia" w:asciiTheme="minorHAnsi" w:hAnsiTheme="minorHAnsi" w:eastAsiaTheme="minorEastAsia"/>
          <w:b w:val="0"/>
          <w:sz w:val="22"/>
          <w:szCs w:val="24"/>
          <w14:ligatures w14:val="standardContextual"/>
        </w:rPr>
      </w:pPr>
      <w:r>
        <w:fldChar w:fldCharType="begin"/>
      </w:r>
      <w:r>
        <w:instrText xml:space="preserve"> HYPERLINK \l "_Toc221894233" </w:instrText>
      </w:r>
      <w:r>
        <w:fldChar w:fldCharType="separate"/>
      </w:r>
      <w:r>
        <w:rPr>
          <w:rStyle w:val="34"/>
          <w:rFonts w:hint="eastAsia" w:cs="Times New Roman"/>
        </w:rPr>
        <w:t>十三、财务管理要求</w:t>
      </w:r>
      <w:r>
        <w:rPr>
          <w:rFonts w:hint="eastAsia"/>
        </w:rPr>
        <w:tab/>
      </w:r>
      <w:r>
        <w:rPr>
          <w:rFonts w:hint="eastAsia"/>
        </w:rPr>
        <w:fldChar w:fldCharType="begin"/>
      </w:r>
      <w:r>
        <w:rPr>
          <w:rFonts w:hint="eastAsia"/>
        </w:rPr>
        <w:instrText xml:space="preserve"> </w:instrText>
      </w:r>
      <w:r>
        <w:instrText xml:space="preserve">PAGEREF _Toc221894233 \h</w:instrText>
      </w:r>
      <w:r>
        <w:rPr>
          <w:rFonts w:hint="eastAsia"/>
        </w:rPr>
        <w:instrText xml:space="preserve"> </w:instrText>
      </w:r>
      <w:r>
        <w:rPr>
          <w:rFonts w:hint="eastAsia"/>
        </w:rPr>
        <w:fldChar w:fldCharType="separate"/>
      </w:r>
      <w:r>
        <w:rPr>
          <w:rFonts w:hint="eastAsia"/>
        </w:rPr>
        <w:t>396</w:t>
      </w:r>
      <w:r>
        <w:rPr>
          <w:rFonts w:hint="eastAsia"/>
        </w:rPr>
        <w:fldChar w:fldCharType="end"/>
      </w:r>
      <w:r>
        <w:rPr>
          <w:rFonts w:hint="eastAsia"/>
        </w:rPr>
        <w:fldChar w:fldCharType="end"/>
      </w:r>
    </w:p>
    <w:p w14:paraId="3D7D4498">
      <w:pPr>
        <w:pStyle w:val="20"/>
        <w:tabs>
          <w:tab w:val="right" w:leader="dot" w:pos="9060"/>
        </w:tabs>
        <w:rPr>
          <w:rFonts w:hint="eastAsia" w:asciiTheme="minorHAnsi" w:hAnsiTheme="minorHAnsi" w:eastAsiaTheme="minorEastAsia"/>
          <w:b w:val="0"/>
          <w:sz w:val="22"/>
          <w:szCs w:val="24"/>
          <w14:ligatures w14:val="standardContextual"/>
        </w:rPr>
      </w:pPr>
      <w:r>
        <w:fldChar w:fldCharType="begin"/>
      </w:r>
      <w:r>
        <w:instrText xml:space="preserve"> HYPERLINK \l "_Toc221894234" </w:instrText>
      </w:r>
      <w:r>
        <w:fldChar w:fldCharType="separate"/>
      </w:r>
      <w:r>
        <w:rPr>
          <w:rStyle w:val="34"/>
          <w:rFonts w:hint="eastAsia" w:cs="Times New Roman"/>
        </w:rPr>
        <w:t>十四、构造做法及设备参数清单表</w:t>
      </w:r>
      <w:r>
        <w:rPr>
          <w:rFonts w:hint="eastAsia"/>
        </w:rPr>
        <w:tab/>
      </w:r>
      <w:r>
        <w:rPr>
          <w:rFonts w:hint="eastAsia"/>
        </w:rPr>
        <w:fldChar w:fldCharType="begin"/>
      </w:r>
      <w:r>
        <w:rPr>
          <w:rFonts w:hint="eastAsia"/>
        </w:rPr>
        <w:instrText xml:space="preserve"> </w:instrText>
      </w:r>
      <w:r>
        <w:instrText xml:space="preserve">PAGEREF _Toc221894234 \h</w:instrText>
      </w:r>
      <w:r>
        <w:rPr>
          <w:rFonts w:hint="eastAsia"/>
        </w:rPr>
        <w:instrText xml:space="preserve"> </w:instrText>
      </w:r>
      <w:r>
        <w:rPr>
          <w:rFonts w:hint="eastAsia"/>
        </w:rPr>
        <w:fldChar w:fldCharType="separate"/>
      </w:r>
      <w:r>
        <w:rPr>
          <w:rFonts w:hint="eastAsia"/>
        </w:rPr>
        <w:t>397</w:t>
      </w:r>
      <w:r>
        <w:rPr>
          <w:rFonts w:hint="eastAsia"/>
        </w:rPr>
        <w:fldChar w:fldCharType="end"/>
      </w:r>
      <w:r>
        <w:rPr>
          <w:rFonts w:hint="eastAsia"/>
        </w:rPr>
        <w:fldChar w:fldCharType="end"/>
      </w:r>
    </w:p>
    <w:p w14:paraId="09BD43FA">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"_Toc221894235" </w:instrText>
      </w:r>
      <w:r>
        <w:fldChar w:fldCharType="separate"/>
      </w:r>
      <w:r>
        <w:rPr>
          <w:rStyle w:val="34"/>
          <w:rFonts w:hint="eastAsia"/>
        </w:rPr>
        <w:t>（一）土建构造做法</w:t>
      </w:r>
      <w:r>
        <w:rPr>
          <w:rFonts w:hint="eastAsia"/>
        </w:rPr>
        <w:tab/>
      </w:r>
      <w:r>
        <w:rPr>
          <w:rFonts w:hint="eastAsia"/>
        </w:rPr>
        <w:fldChar w:fldCharType="begin"/>
      </w:r>
      <w:r>
        <w:rPr>
          <w:rFonts w:hint="eastAsia"/>
        </w:rPr>
        <w:instrText xml:space="preserve"> </w:instrText>
      </w:r>
      <w:r>
        <w:instrText xml:space="preserve">PAGEREF _Toc221894235 \h</w:instrText>
      </w:r>
      <w:r>
        <w:rPr>
          <w:rFonts w:hint="eastAsia"/>
        </w:rPr>
        <w:instrText xml:space="preserve"> </w:instrText>
      </w:r>
      <w:r>
        <w:rPr>
          <w:rFonts w:hint="eastAsia"/>
        </w:rPr>
        <w:fldChar w:fldCharType="separate"/>
      </w:r>
      <w:r>
        <w:rPr>
          <w:rFonts w:hint="eastAsia"/>
        </w:rPr>
        <w:t>397</w:t>
      </w:r>
      <w:r>
        <w:rPr>
          <w:rFonts w:hint="eastAsia"/>
        </w:rPr>
        <w:fldChar w:fldCharType="end"/>
      </w:r>
      <w:r>
        <w:rPr>
          <w:rFonts w:hint="eastAsia"/>
        </w:rPr>
        <w:fldChar w:fldCharType="end"/>
      </w:r>
    </w:p>
    <w:p w14:paraId="3CE58F9C">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"_Toc221894236" </w:instrText>
      </w:r>
      <w:r>
        <w:fldChar w:fldCharType="separate"/>
      </w:r>
      <w:r>
        <w:rPr>
          <w:rStyle w:val="34"/>
          <w:rFonts w:hint="eastAsia"/>
        </w:rPr>
        <w:t>（二）给排水专业设备参数清单表</w:t>
      </w:r>
      <w:r>
        <w:rPr>
          <w:rFonts w:hint="eastAsia"/>
        </w:rPr>
        <w:tab/>
      </w:r>
      <w:r>
        <w:rPr>
          <w:rFonts w:hint="eastAsia"/>
        </w:rPr>
        <w:fldChar w:fldCharType="begin"/>
      </w:r>
      <w:r>
        <w:rPr>
          <w:rFonts w:hint="eastAsia"/>
        </w:rPr>
        <w:instrText xml:space="preserve"> </w:instrText>
      </w:r>
      <w:r>
        <w:instrText xml:space="preserve">PAGEREF _Toc221894236 \h</w:instrText>
      </w:r>
      <w:r>
        <w:rPr>
          <w:rFonts w:hint="eastAsia"/>
        </w:rPr>
        <w:instrText xml:space="preserve"> </w:instrText>
      </w:r>
      <w:r>
        <w:rPr>
          <w:rFonts w:hint="eastAsia"/>
        </w:rPr>
        <w:fldChar w:fldCharType="separate"/>
      </w:r>
      <w:r>
        <w:rPr>
          <w:rFonts w:hint="eastAsia"/>
        </w:rPr>
        <w:t>424</w:t>
      </w:r>
      <w:r>
        <w:rPr>
          <w:rFonts w:hint="eastAsia"/>
        </w:rPr>
        <w:fldChar w:fldCharType="end"/>
      </w:r>
      <w:r>
        <w:rPr>
          <w:rFonts w:hint="eastAsia"/>
        </w:rPr>
        <w:fldChar w:fldCharType="end"/>
      </w:r>
    </w:p>
    <w:p w14:paraId="4DC31994">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"_Toc221894237" </w:instrText>
      </w:r>
      <w:r>
        <w:fldChar w:fldCharType="separate"/>
      </w:r>
      <w:r>
        <w:rPr>
          <w:rStyle w:val="34"/>
          <w:rFonts w:hint="eastAsia"/>
        </w:rPr>
        <w:t>（三）暖通专业设备参数清单表</w:t>
      </w:r>
      <w:r>
        <w:rPr>
          <w:rFonts w:hint="eastAsia"/>
        </w:rPr>
        <w:tab/>
      </w:r>
      <w:r>
        <w:rPr>
          <w:rFonts w:hint="eastAsia"/>
        </w:rPr>
        <w:fldChar w:fldCharType="begin"/>
      </w:r>
      <w:r>
        <w:rPr>
          <w:rFonts w:hint="eastAsia"/>
        </w:rPr>
        <w:instrText xml:space="preserve"> </w:instrText>
      </w:r>
      <w:r>
        <w:instrText xml:space="preserve">PAGEREF _Toc221894237 \h</w:instrText>
      </w:r>
      <w:r>
        <w:rPr>
          <w:rFonts w:hint="eastAsia"/>
        </w:rPr>
        <w:instrText xml:space="preserve"> </w:instrText>
      </w:r>
      <w:r>
        <w:rPr>
          <w:rFonts w:hint="eastAsia"/>
        </w:rPr>
        <w:fldChar w:fldCharType="separate"/>
      </w:r>
      <w:r>
        <w:rPr>
          <w:rFonts w:hint="eastAsia"/>
        </w:rPr>
        <w:t>436</w:t>
      </w:r>
      <w:r>
        <w:rPr>
          <w:rFonts w:hint="eastAsia"/>
        </w:rPr>
        <w:fldChar w:fldCharType="end"/>
      </w:r>
      <w:r>
        <w:rPr>
          <w:rFonts w:hint="eastAsia"/>
        </w:rPr>
        <w:fldChar w:fldCharType="end"/>
      </w:r>
    </w:p>
    <w:p w14:paraId="50B92EA9">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"_Toc221894238" </w:instrText>
      </w:r>
      <w:r>
        <w:fldChar w:fldCharType="separate"/>
      </w:r>
      <w:r>
        <w:rPr>
          <w:rStyle w:val="34"/>
          <w:rFonts w:hint="eastAsia"/>
        </w:rPr>
        <w:t>（四）电气专业设备参数清单表</w:t>
      </w:r>
      <w:r>
        <w:rPr>
          <w:rFonts w:hint="eastAsia"/>
        </w:rPr>
        <w:tab/>
      </w:r>
      <w:r>
        <w:rPr>
          <w:rFonts w:hint="eastAsia"/>
        </w:rPr>
        <w:fldChar w:fldCharType="begin"/>
      </w:r>
      <w:r>
        <w:rPr>
          <w:rFonts w:hint="eastAsia"/>
        </w:rPr>
        <w:instrText xml:space="preserve"> </w:instrText>
      </w:r>
      <w:r>
        <w:instrText xml:space="preserve">PAGEREF _Toc221894238 \h</w:instrText>
      </w:r>
      <w:r>
        <w:rPr>
          <w:rFonts w:hint="eastAsia"/>
        </w:rPr>
        <w:instrText xml:space="preserve"> </w:instrText>
      </w:r>
      <w:r>
        <w:rPr>
          <w:rFonts w:hint="eastAsia"/>
        </w:rPr>
        <w:fldChar w:fldCharType="separate"/>
      </w:r>
      <w:r>
        <w:rPr>
          <w:rFonts w:hint="eastAsia"/>
        </w:rPr>
        <w:t>441</w:t>
      </w:r>
      <w:r>
        <w:rPr>
          <w:rFonts w:hint="eastAsia"/>
        </w:rPr>
        <w:fldChar w:fldCharType="end"/>
      </w:r>
      <w:r>
        <w:rPr>
          <w:rFonts w:hint="eastAsia"/>
        </w:rPr>
        <w:fldChar w:fldCharType="end"/>
      </w:r>
    </w:p>
    <w:p w14:paraId="6B3FF8D0">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"_Toc221894239" </w:instrText>
      </w:r>
      <w:r>
        <w:fldChar w:fldCharType="separate"/>
      </w:r>
      <w:r>
        <w:rPr>
          <w:rStyle w:val="34"/>
          <w:rFonts w:hint="eastAsia"/>
        </w:rPr>
        <w:t>（五）精装修专业构造做法</w:t>
      </w:r>
      <w:r>
        <w:rPr>
          <w:rFonts w:hint="eastAsia"/>
        </w:rPr>
        <w:tab/>
      </w:r>
      <w:r>
        <w:rPr>
          <w:rFonts w:hint="eastAsia"/>
        </w:rPr>
        <w:fldChar w:fldCharType="begin"/>
      </w:r>
      <w:r>
        <w:rPr>
          <w:rFonts w:hint="eastAsia"/>
        </w:rPr>
        <w:instrText xml:space="preserve"> </w:instrText>
      </w:r>
      <w:r>
        <w:instrText xml:space="preserve">PAGEREF _Toc221894239 \h</w:instrText>
      </w:r>
      <w:r>
        <w:rPr>
          <w:rFonts w:hint="eastAsia"/>
        </w:rPr>
        <w:instrText xml:space="preserve"> </w:instrText>
      </w:r>
      <w:r>
        <w:rPr>
          <w:rFonts w:hint="eastAsia"/>
        </w:rPr>
        <w:fldChar w:fldCharType="separate"/>
      </w:r>
      <w:r>
        <w:rPr>
          <w:rFonts w:hint="eastAsia"/>
        </w:rPr>
        <w:t>449</w:t>
      </w:r>
      <w:r>
        <w:rPr>
          <w:rFonts w:hint="eastAsia"/>
        </w:rPr>
        <w:fldChar w:fldCharType="end"/>
      </w:r>
      <w:r>
        <w:rPr>
          <w:rFonts w:hint="eastAsia"/>
        </w:rPr>
        <w:fldChar w:fldCharType="end"/>
      </w:r>
    </w:p>
    <w:p w14:paraId="1039213A">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"_Toc221894240" </w:instrText>
      </w:r>
      <w:r>
        <w:fldChar w:fldCharType="separate"/>
      </w:r>
      <w:r>
        <w:rPr>
          <w:rStyle w:val="34"/>
          <w:rFonts w:hint="eastAsia"/>
        </w:rPr>
        <w:t>（六）景观绿化专业-做法及设备参数清单表</w:t>
      </w:r>
      <w:r>
        <w:rPr>
          <w:rFonts w:hint="eastAsia"/>
        </w:rPr>
        <w:tab/>
      </w:r>
      <w:r>
        <w:rPr>
          <w:rFonts w:hint="eastAsia"/>
        </w:rPr>
        <w:fldChar w:fldCharType="begin"/>
      </w:r>
      <w:r>
        <w:rPr>
          <w:rFonts w:hint="eastAsia"/>
        </w:rPr>
        <w:instrText xml:space="preserve"> </w:instrText>
      </w:r>
      <w:r>
        <w:instrText xml:space="preserve">PAGEREF _Toc221894240 \h</w:instrText>
      </w:r>
      <w:r>
        <w:rPr>
          <w:rFonts w:hint="eastAsia"/>
        </w:rPr>
        <w:instrText xml:space="preserve"> </w:instrText>
      </w:r>
      <w:r>
        <w:rPr>
          <w:rFonts w:hint="eastAsia"/>
        </w:rPr>
        <w:fldChar w:fldCharType="separate"/>
      </w:r>
      <w:r>
        <w:rPr>
          <w:rFonts w:hint="eastAsia"/>
        </w:rPr>
        <w:t>452</w:t>
      </w:r>
      <w:r>
        <w:rPr>
          <w:rFonts w:hint="eastAsia"/>
        </w:rPr>
        <w:fldChar w:fldCharType="end"/>
      </w:r>
      <w:r>
        <w:rPr>
          <w:rFonts w:hint="eastAsia"/>
        </w:rPr>
        <w:fldChar w:fldCharType="end"/>
      </w:r>
    </w:p>
    <w:p w14:paraId="7ABC63A4">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"_Toc221894241" </w:instrText>
      </w:r>
      <w:r>
        <w:fldChar w:fldCharType="separate"/>
      </w:r>
      <w:r>
        <w:rPr>
          <w:rStyle w:val="34"/>
          <w:rFonts w:hint="eastAsia"/>
        </w:rPr>
        <w:t>（七）道路专业构造做法</w:t>
      </w:r>
      <w:r>
        <w:rPr>
          <w:rFonts w:hint="eastAsia"/>
        </w:rPr>
        <w:tab/>
      </w:r>
      <w:r>
        <w:rPr>
          <w:rFonts w:hint="eastAsia"/>
        </w:rPr>
        <w:fldChar w:fldCharType="begin"/>
      </w:r>
      <w:r>
        <w:rPr>
          <w:rFonts w:hint="eastAsia"/>
        </w:rPr>
        <w:instrText xml:space="preserve"> </w:instrText>
      </w:r>
      <w:r>
        <w:instrText xml:space="preserve">PAGEREF _Toc221894241 \h</w:instrText>
      </w:r>
      <w:r>
        <w:rPr>
          <w:rFonts w:hint="eastAsia"/>
        </w:rPr>
        <w:instrText xml:space="preserve"> </w:instrText>
      </w:r>
      <w:r>
        <w:rPr>
          <w:rFonts w:hint="eastAsia"/>
        </w:rPr>
        <w:fldChar w:fldCharType="separate"/>
      </w:r>
      <w:r>
        <w:rPr>
          <w:rFonts w:hint="eastAsia"/>
        </w:rPr>
        <w:t>454</w:t>
      </w:r>
      <w:r>
        <w:rPr>
          <w:rFonts w:hint="eastAsia"/>
        </w:rPr>
        <w:fldChar w:fldCharType="end"/>
      </w:r>
      <w:r>
        <w:rPr>
          <w:rFonts w:hint="eastAsia"/>
        </w:rPr>
        <w:fldChar w:fldCharType="end"/>
      </w:r>
    </w:p>
    <w:p w14:paraId="284785E9">
      <w:pPr>
        <w:pStyle w:val="20"/>
        <w:tabs>
          <w:tab w:val="right" w:leader="dot" w:pos="9060"/>
        </w:tabs>
        <w:rPr>
          <w:rFonts w:hint="eastAsia" w:asciiTheme="minorHAnsi" w:hAnsiTheme="minorHAnsi" w:eastAsiaTheme="minorEastAsia"/>
          <w:b w:val="0"/>
          <w:sz w:val="22"/>
          <w:szCs w:val="24"/>
          <w14:ligatures w14:val="standardContextual"/>
        </w:rPr>
      </w:pPr>
      <w:r>
        <w:fldChar w:fldCharType="begin"/>
      </w:r>
      <w:r>
        <w:instrText xml:space="preserve"> HYPERLINK \l "_Toc221894242" </w:instrText>
      </w:r>
      <w:r>
        <w:fldChar w:fldCharType="separate"/>
      </w:r>
      <w:r>
        <w:rPr>
          <w:rStyle w:val="34"/>
          <w:rFonts w:hint="eastAsia" w:cs="Times New Roman"/>
        </w:rPr>
        <w:t>十五、附件</w:t>
      </w:r>
      <w:r>
        <w:rPr>
          <w:rFonts w:hint="eastAsia"/>
        </w:rPr>
        <w:tab/>
      </w:r>
      <w:r>
        <w:rPr>
          <w:rFonts w:hint="eastAsia"/>
        </w:rPr>
        <w:fldChar w:fldCharType="begin"/>
      </w:r>
      <w:r>
        <w:rPr>
          <w:rFonts w:hint="eastAsia"/>
        </w:rPr>
        <w:instrText xml:space="preserve"> </w:instrText>
      </w:r>
      <w:r>
        <w:instrText xml:space="preserve">PAGEREF _Toc221894242 \h</w:instrText>
      </w:r>
      <w:r>
        <w:rPr>
          <w:rFonts w:hint="eastAsia"/>
        </w:rPr>
        <w:instrText xml:space="preserve"> </w:instrText>
      </w:r>
      <w:r>
        <w:rPr>
          <w:rFonts w:hint="eastAsia"/>
        </w:rPr>
        <w:fldChar w:fldCharType="separate"/>
      </w:r>
      <w:r>
        <w:rPr>
          <w:rFonts w:hint="eastAsia"/>
        </w:rPr>
        <w:t>455</w:t>
      </w:r>
      <w:r>
        <w:rPr>
          <w:rFonts w:hint="eastAsia"/>
        </w:rPr>
        <w:fldChar w:fldCharType="end"/>
      </w:r>
      <w:r>
        <w:rPr>
          <w:rFonts w:hint="eastAsia"/>
        </w:rPr>
        <w:fldChar w:fldCharType="end"/>
      </w:r>
    </w:p>
    <w:p w14:paraId="5AE914E2">
      <w:pPr>
        <w:pStyle w:val="25"/>
        <w:tabs>
          <w:tab w:val="right" w:leader="dot" w:pos="9060"/>
        </w:tabs>
        <w:ind w:left="560"/>
        <w:rPr>
          <w:rFonts w:hint="eastAsia" w:asciiTheme="minorHAnsi" w:hAnsiTheme="minorHAnsi" w:eastAsiaTheme="minorEastAsia"/>
          <w:b w:val="0"/>
          <w:sz w:val="22"/>
          <w:szCs w:val="24"/>
          <w14:ligatures w14:val="standardContextual"/>
        </w:rPr>
      </w:pPr>
      <w:r>
        <w:fldChar w:fldCharType="begin"/>
      </w:r>
      <w:r>
        <w:instrText xml:space="preserve"> HYPERLINK \l "_Toc221894243" </w:instrText>
      </w:r>
      <w:r>
        <w:fldChar w:fldCharType="separate"/>
      </w:r>
      <w:r>
        <w:rPr>
          <w:rStyle w:val="34"/>
          <w:rFonts w:hint="eastAsia"/>
          <w:lang w:bidi="en-US"/>
        </w:rPr>
        <w:t>附件：智慧工地</w:t>
      </w:r>
      <w:r>
        <w:rPr>
          <w:rStyle w:val="34"/>
          <w:rFonts w:hint="eastAsia"/>
        </w:rPr>
        <w:t>技术要求</w:t>
      </w:r>
      <w:r>
        <w:rPr>
          <w:rFonts w:hint="eastAsia"/>
        </w:rPr>
        <w:tab/>
      </w:r>
      <w:r>
        <w:rPr>
          <w:rFonts w:hint="eastAsia"/>
        </w:rPr>
        <w:fldChar w:fldCharType="begin"/>
      </w:r>
      <w:r>
        <w:rPr>
          <w:rFonts w:hint="eastAsia"/>
        </w:rPr>
        <w:instrText xml:space="preserve"> </w:instrText>
      </w:r>
      <w:r>
        <w:instrText xml:space="preserve">PAGEREF _Toc221894243 \h</w:instrText>
      </w:r>
      <w:r>
        <w:rPr>
          <w:rFonts w:hint="eastAsia"/>
        </w:rPr>
        <w:instrText xml:space="preserve"> </w:instrText>
      </w:r>
      <w:r>
        <w:rPr>
          <w:rFonts w:hint="eastAsia"/>
        </w:rPr>
        <w:fldChar w:fldCharType="separate"/>
      </w:r>
      <w:r>
        <w:rPr>
          <w:rFonts w:hint="eastAsia"/>
        </w:rPr>
        <w:t>455</w:t>
      </w:r>
      <w:r>
        <w:rPr>
          <w:rFonts w:hint="eastAsia"/>
        </w:rPr>
        <w:fldChar w:fldCharType="end"/>
      </w:r>
      <w:r>
        <w:rPr>
          <w:rFonts w:hint="eastAsia"/>
        </w:rPr>
        <w:fldChar w:fldCharType="end"/>
      </w:r>
    </w:p>
    <w:p w14:paraId="06713920">
      <w:pPr>
        <w:pStyle w:val="54"/>
        <w:spacing w:before="24" w:after="24"/>
        <w:ind w:firstLine="602"/>
      </w:pPr>
      <w:r>
        <w:rPr>
          <w:rFonts w:eastAsia="宋体"/>
          <w:b/>
          <w:color w:val="auto"/>
          <w:sz w:val="30"/>
        </w:rPr>
        <w:fldChar w:fldCharType="end"/>
      </w:r>
    </w:p>
    <w:p w14:paraId="40A92783">
      <w:pPr>
        <w:pStyle w:val="54"/>
        <w:spacing w:before="24" w:after="24"/>
      </w:pPr>
    </w:p>
    <w:p w14:paraId="345DB0D8">
      <w:pPr>
        <w:pStyle w:val="54"/>
        <w:spacing w:before="24" w:after="24"/>
        <w:sectPr>
          <w:headerReference r:id="rId8" w:type="default"/>
          <w:footerReference r:id="rId9" w:type="default"/>
          <w:pgSz w:w="11906" w:h="16838"/>
          <w:pgMar w:top="1304" w:right="1418" w:bottom="1304" w:left="1418" w:header="737" w:footer="624" w:gutter="0"/>
          <w:pgNumType w:start="1"/>
          <w:cols w:space="425" w:num="1"/>
          <w:docGrid w:linePitch="312" w:charSpace="0"/>
        </w:sectPr>
      </w:pPr>
    </w:p>
    <w:p w14:paraId="095629A9">
      <w:pPr>
        <w:pStyle w:val="53"/>
        <w:spacing w:before="24" w:after="24"/>
        <w:rPr>
          <w:rFonts w:cs="Times New Roman"/>
        </w:rPr>
      </w:pPr>
      <w:bookmarkStart w:id="0" w:name="_Toc221894052"/>
      <w:r>
        <w:rPr>
          <w:rFonts w:cs="Times New Roman"/>
        </w:rPr>
        <w:t>一、项目概况</w:t>
      </w:r>
      <w:bookmarkEnd w:id="0"/>
    </w:p>
    <w:p w14:paraId="4988EE0B">
      <w:pPr>
        <w:pStyle w:val="62"/>
      </w:pPr>
      <w:bookmarkStart w:id="1" w:name="_Toc221894053"/>
      <w:r>
        <w:t>（一）工程概况</w:t>
      </w:r>
      <w:bookmarkEnd w:id="1"/>
    </w:p>
    <w:p w14:paraId="2520F7EF">
      <w:pPr>
        <w:pStyle w:val="64"/>
        <w:spacing w:before="24" w:after="24"/>
        <w:rPr>
          <w:rFonts w:cs="Times New Roman"/>
        </w:rPr>
      </w:pPr>
      <w:bookmarkStart w:id="2" w:name="_Toc221894054"/>
      <w:r>
        <w:rPr>
          <w:rFonts w:cs="Times New Roman"/>
        </w:rPr>
        <w:t>1、工程名称及建设地点</w:t>
      </w:r>
      <w:bookmarkEnd w:id="2"/>
    </w:p>
    <w:p w14:paraId="7CD460CA">
      <w:pPr>
        <w:pStyle w:val="54"/>
        <w:spacing w:before="24" w:after="24"/>
      </w:pPr>
      <w:r>
        <w:t>项目名称：德钦县城地质灾害避险搬迁近期建设项目二期</w:t>
      </w:r>
    </w:p>
    <w:p w14:paraId="7A9224D5">
      <w:pPr>
        <w:pStyle w:val="54"/>
        <w:spacing w:before="24" w:after="24"/>
      </w:pPr>
      <w:r>
        <w:t>建设地点：德钦县叶枝镇</w:t>
      </w:r>
    </w:p>
    <w:p w14:paraId="539BFE88">
      <w:pPr>
        <w:pStyle w:val="64"/>
        <w:spacing w:before="24" w:after="24"/>
        <w:rPr>
          <w:rFonts w:cs="Times New Roman"/>
        </w:rPr>
      </w:pPr>
      <w:bookmarkStart w:id="3" w:name="_Toc221894055"/>
      <w:r>
        <w:rPr>
          <w:rFonts w:cs="Times New Roman"/>
        </w:rPr>
        <w:t>2、项目性质</w:t>
      </w:r>
      <w:bookmarkEnd w:id="3"/>
    </w:p>
    <w:p w14:paraId="22808AB0">
      <w:pPr>
        <w:pStyle w:val="54"/>
        <w:spacing w:before="24" w:after="24"/>
      </w:pPr>
      <w:r>
        <w:t>项目性质：新建</w:t>
      </w:r>
    </w:p>
    <w:p w14:paraId="38554F44">
      <w:pPr>
        <w:pStyle w:val="64"/>
        <w:spacing w:before="24" w:after="24"/>
        <w:rPr>
          <w:rFonts w:cs="Times New Roman"/>
        </w:rPr>
      </w:pPr>
      <w:bookmarkStart w:id="4" w:name="_Toc221894056"/>
      <w:r>
        <w:rPr>
          <w:rFonts w:cs="Times New Roman"/>
        </w:rPr>
        <w:t>3、建设内容及规模</w:t>
      </w:r>
      <w:bookmarkEnd w:id="4"/>
    </w:p>
    <w:p w14:paraId="3BCEA890">
      <w:pPr>
        <w:spacing w:before="24" w:after="24"/>
        <w:ind w:firstLine="560" w:firstLineChars="200"/>
        <w:rPr>
          <w:rFonts w:ascii="Times New Roman" w:hAnsi="Times New Roman" w:cs="Times New Roman"/>
          <w:color w:val="181717" w:themeColor="background2" w:themeShade="1A"/>
        </w:rPr>
      </w:pPr>
      <w:r>
        <w:rPr>
          <w:rFonts w:hint="eastAsia" w:ascii="Times New Roman" w:hAnsi="Times New Roman" w:cs="Times New Roman"/>
          <w:color w:val="181717" w:themeColor="background2" w:themeShade="1A"/>
        </w:rPr>
        <w:t>德钦县城地质灾害避险搬迁近期建设项目二期包含保障和改善民生工程类、基础设施工程类、机关单位办公及业务技术用房工程类等建设项目，项目总建筑面积95765.45㎡，总投资为153396.75万元，其中第一部分工程费为131225.69万元，第二部分工程建设其他费为14860.07万元，预备费为7310.99万元。项目规模及投资以最终批复的初步设计为准。</w:t>
      </w:r>
    </w:p>
    <w:tbl>
      <w:tblPr>
        <w:tblStyle w:val="30"/>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5"/>
        <w:gridCol w:w="1798"/>
        <w:gridCol w:w="6674"/>
      </w:tblGrid>
      <w:tr w14:paraId="772AB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7" w:hRule="atLeast"/>
          <w:tblHeader/>
        </w:trPr>
        <w:tc>
          <w:tcPr>
            <w:tcW w:w="595" w:type="dxa"/>
            <w:noWrap/>
            <w:vAlign w:val="center"/>
          </w:tcPr>
          <w:p w14:paraId="22C5C900">
            <w:pPr>
              <w:pStyle w:val="95"/>
              <w:spacing w:before="24" w:after="24" w:line="360" w:lineRule="exact"/>
            </w:pPr>
            <w:r>
              <w:rPr>
                <w:rFonts w:hint="eastAsia"/>
              </w:rPr>
              <w:t>序号</w:t>
            </w:r>
          </w:p>
        </w:tc>
        <w:tc>
          <w:tcPr>
            <w:tcW w:w="1798" w:type="dxa"/>
            <w:noWrap/>
            <w:vAlign w:val="center"/>
          </w:tcPr>
          <w:p w14:paraId="18BCD0FB">
            <w:pPr>
              <w:pStyle w:val="95"/>
              <w:spacing w:before="24" w:after="24" w:line="360" w:lineRule="exact"/>
            </w:pPr>
            <w:r>
              <w:rPr>
                <w:rFonts w:hint="eastAsia"/>
              </w:rPr>
              <w:t>内容清单</w:t>
            </w:r>
          </w:p>
        </w:tc>
        <w:tc>
          <w:tcPr>
            <w:tcW w:w="6674" w:type="dxa"/>
            <w:noWrap/>
            <w:vAlign w:val="center"/>
          </w:tcPr>
          <w:p w14:paraId="1EA9E7B4">
            <w:pPr>
              <w:pStyle w:val="95"/>
              <w:spacing w:before="24" w:after="24" w:line="360" w:lineRule="exact"/>
            </w:pPr>
            <w:r>
              <w:rPr>
                <w:rFonts w:hint="eastAsia"/>
              </w:rPr>
              <w:t>建设内容及规模</w:t>
            </w:r>
          </w:p>
        </w:tc>
      </w:tr>
      <w:tr w14:paraId="331AA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595" w:type="dxa"/>
            <w:noWrap/>
            <w:vAlign w:val="center"/>
          </w:tcPr>
          <w:p w14:paraId="3D04984A">
            <w:pPr>
              <w:pStyle w:val="96"/>
              <w:spacing w:before="24" w:after="24" w:line="360" w:lineRule="exact"/>
              <w:rPr>
                <w:rFonts w:hint="eastAsia"/>
              </w:rPr>
            </w:pPr>
            <w:r>
              <w:rPr>
                <w:rFonts w:hint="eastAsia"/>
              </w:rPr>
              <w:t>一</w:t>
            </w:r>
          </w:p>
        </w:tc>
        <w:tc>
          <w:tcPr>
            <w:tcW w:w="8472" w:type="dxa"/>
            <w:gridSpan w:val="2"/>
            <w:vAlign w:val="center"/>
          </w:tcPr>
          <w:p w14:paraId="74531A08">
            <w:pPr>
              <w:pStyle w:val="96"/>
              <w:spacing w:before="24" w:after="24" w:line="360" w:lineRule="exact"/>
              <w:rPr>
                <w:rFonts w:hint="eastAsia"/>
                <w:b/>
              </w:rPr>
            </w:pPr>
            <w:r>
              <w:rPr>
                <w:rFonts w:hint="eastAsia"/>
                <w:b/>
              </w:rPr>
              <w:t>保障和改善民生工程</w:t>
            </w:r>
          </w:p>
        </w:tc>
      </w:tr>
      <w:tr w14:paraId="5F4BE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5" w:type="dxa"/>
            <w:noWrap/>
            <w:vAlign w:val="center"/>
          </w:tcPr>
          <w:p w14:paraId="214E08B6">
            <w:pPr>
              <w:pStyle w:val="96"/>
              <w:spacing w:before="24" w:after="24" w:line="360" w:lineRule="exact"/>
              <w:rPr>
                <w:rFonts w:hint="eastAsia"/>
              </w:rPr>
            </w:pPr>
            <w:r>
              <w:rPr>
                <w:rFonts w:hint="eastAsia"/>
              </w:rPr>
              <w:t>1</w:t>
            </w:r>
          </w:p>
        </w:tc>
        <w:tc>
          <w:tcPr>
            <w:tcW w:w="1798" w:type="dxa"/>
            <w:vAlign w:val="center"/>
          </w:tcPr>
          <w:p w14:paraId="49B0E736">
            <w:pPr>
              <w:pStyle w:val="96"/>
              <w:spacing w:before="24" w:after="24" w:line="360" w:lineRule="exact"/>
              <w:jc w:val="left"/>
              <w:rPr>
                <w:rFonts w:hint="eastAsia"/>
                <w:lang w:eastAsia="zh-CN"/>
              </w:rPr>
            </w:pPr>
            <w:r>
              <w:rPr>
                <w:rFonts w:hint="eastAsia"/>
                <w:lang w:eastAsia="zh-CN"/>
              </w:rPr>
              <w:t>德钦新县城中学建设项目（二期）</w:t>
            </w:r>
          </w:p>
        </w:tc>
        <w:tc>
          <w:tcPr>
            <w:tcW w:w="6674" w:type="dxa"/>
            <w:vAlign w:val="center"/>
          </w:tcPr>
          <w:p w14:paraId="22A2EC31">
            <w:pPr>
              <w:pStyle w:val="96"/>
              <w:spacing w:before="24" w:after="24" w:line="360" w:lineRule="exact"/>
              <w:jc w:val="left"/>
              <w:rPr>
                <w:rFonts w:hint="eastAsia"/>
                <w:lang w:eastAsia="zh-CN"/>
              </w:rPr>
            </w:pPr>
            <w:r>
              <w:rPr>
                <w:rFonts w:hint="eastAsia"/>
                <w:lang w:eastAsia="zh-CN"/>
              </w:rPr>
              <w:t>项目用地面积</w:t>
            </w:r>
            <w:r>
              <w:rPr>
                <w:rFonts w:hint="eastAsia"/>
                <w:highlight w:val="none"/>
              </w:rPr>
              <w:t>47229</w:t>
            </w:r>
            <w:r>
              <w:rPr>
                <w:rFonts w:hint="eastAsia"/>
                <w:highlight w:val="none"/>
                <w:lang w:val="en-US" w:eastAsia="zh-CN"/>
              </w:rPr>
              <w:t>平方米</w:t>
            </w:r>
            <w:r>
              <w:rPr>
                <w:rFonts w:hint="eastAsia"/>
                <w:lang w:eastAsia="zh-CN"/>
              </w:rPr>
              <w:t>，总建筑面积13992.47平方米，新建高中部12班，学生数600人，包括中学校舍部分中学风雨操场和合班教室、高中教学楼及高中学生宿舍等主体建筑和室外场地建设；配建地下停车库部分；配建人防工程部分。</w:t>
            </w:r>
          </w:p>
        </w:tc>
      </w:tr>
      <w:tr w14:paraId="78769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trPr>
        <w:tc>
          <w:tcPr>
            <w:tcW w:w="595" w:type="dxa"/>
            <w:noWrap/>
            <w:vAlign w:val="center"/>
          </w:tcPr>
          <w:p w14:paraId="7E83E2C6">
            <w:pPr>
              <w:pStyle w:val="96"/>
              <w:spacing w:before="24" w:after="24" w:line="360" w:lineRule="exact"/>
              <w:rPr>
                <w:rFonts w:hint="eastAsia"/>
              </w:rPr>
            </w:pPr>
            <w:r>
              <w:rPr>
                <w:rFonts w:hint="eastAsia"/>
              </w:rPr>
              <w:t>2</w:t>
            </w:r>
          </w:p>
        </w:tc>
        <w:tc>
          <w:tcPr>
            <w:tcW w:w="1798" w:type="dxa"/>
            <w:vAlign w:val="center"/>
          </w:tcPr>
          <w:p w14:paraId="249FBC78">
            <w:pPr>
              <w:pStyle w:val="96"/>
              <w:spacing w:before="24" w:after="24" w:line="360" w:lineRule="exact"/>
              <w:jc w:val="left"/>
              <w:rPr>
                <w:rFonts w:hint="eastAsia"/>
                <w:lang w:eastAsia="zh-CN"/>
              </w:rPr>
            </w:pPr>
            <w:r>
              <w:rPr>
                <w:rFonts w:hint="eastAsia"/>
                <w:lang w:eastAsia="zh-CN"/>
              </w:rPr>
              <w:t>德钦新县城叶枝15分钟综合服务中心建设项目</w:t>
            </w:r>
          </w:p>
        </w:tc>
        <w:tc>
          <w:tcPr>
            <w:tcW w:w="6674" w:type="dxa"/>
            <w:vAlign w:val="center"/>
          </w:tcPr>
          <w:p w14:paraId="1F0E08DC">
            <w:pPr>
              <w:pStyle w:val="96"/>
              <w:spacing w:before="24" w:after="24" w:line="360" w:lineRule="exact"/>
              <w:jc w:val="left"/>
              <w:rPr>
                <w:rFonts w:hint="eastAsia"/>
                <w:lang w:eastAsia="zh-CN"/>
              </w:rPr>
            </w:pPr>
            <w:r>
              <w:rPr>
                <w:rFonts w:hint="eastAsia"/>
                <w:lang w:eastAsia="zh-CN"/>
              </w:rPr>
              <w:t>项目用地面积11816.50平方米，总建筑面积4755.98平方米，内部包括：社区服务中心、街道办事处、司法所、老年活动室、日间照料中心、农业服务中心、健身房等功能房间，还有室外综合健身场地、健身广场等附属设施。</w:t>
            </w:r>
          </w:p>
        </w:tc>
      </w:tr>
      <w:tr w14:paraId="11B3F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595" w:type="dxa"/>
            <w:noWrap/>
            <w:vAlign w:val="center"/>
          </w:tcPr>
          <w:p w14:paraId="793513E3">
            <w:pPr>
              <w:pStyle w:val="96"/>
              <w:spacing w:before="24" w:after="24" w:line="360" w:lineRule="exact"/>
              <w:rPr>
                <w:rFonts w:hint="eastAsia"/>
              </w:rPr>
            </w:pPr>
            <w:r>
              <w:rPr>
                <w:rFonts w:hint="eastAsia"/>
              </w:rPr>
              <w:t>3</w:t>
            </w:r>
          </w:p>
        </w:tc>
        <w:tc>
          <w:tcPr>
            <w:tcW w:w="1798" w:type="dxa"/>
            <w:vAlign w:val="center"/>
          </w:tcPr>
          <w:p w14:paraId="0448D857">
            <w:pPr>
              <w:pStyle w:val="96"/>
              <w:spacing w:before="24" w:after="24" w:line="360" w:lineRule="exact"/>
              <w:jc w:val="left"/>
              <w:rPr>
                <w:rFonts w:hint="eastAsia"/>
                <w:lang w:eastAsia="zh-CN"/>
              </w:rPr>
            </w:pPr>
            <w:r>
              <w:rPr>
                <w:rFonts w:hint="eastAsia"/>
                <w:lang w:eastAsia="zh-CN"/>
              </w:rPr>
              <w:t>德钦新县城养老院建设项目（一期）</w:t>
            </w:r>
          </w:p>
        </w:tc>
        <w:tc>
          <w:tcPr>
            <w:tcW w:w="6674" w:type="dxa"/>
            <w:vAlign w:val="center"/>
          </w:tcPr>
          <w:p w14:paraId="79A0323B">
            <w:pPr>
              <w:pStyle w:val="96"/>
              <w:spacing w:before="24" w:after="24" w:line="360" w:lineRule="exact"/>
              <w:jc w:val="left"/>
              <w:rPr>
                <w:rFonts w:hint="eastAsia"/>
                <w:lang w:eastAsia="zh-CN"/>
              </w:rPr>
            </w:pPr>
            <w:r>
              <w:rPr>
                <w:rFonts w:hint="eastAsia"/>
                <w:lang w:eastAsia="zh-CN"/>
              </w:rPr>
              <w:t>项目用地面积14510.04平方米，总建筑面积3629.14平方米，其中养老院建筑面积3306.32平方米，附属用房建筑面积322.82平方米。建设养老院、附属用房及配套室外附属设施。</w:t>
            </w:r>
          </w:p>
        </w:tc>
      </w:tr>
      <w:tr w14:paraId="0ABB1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595" w:type="dxa"/>
            <w:noWrap/>
            <w:vAlign w:val="center"/>
          </w:tcPr>
          <w:p w14:paraId="41060384">
            <w:pPr>
              <w:pStyle w:val="96"/>
              <w:spacing w:before="24" w:after="24" w:line="360" w:lineRule="exact"/>
              <w:rPr>
                <w:rFonts w:hint="eastAsia"/>
              </w:rPr>
            </w:pPr>
            <w:r>
              <w:rPr>
                <w:rFonts w:hint="eastAsia"/>
                <w:b/>
                <w:bCs/>
              </w:rPr>
              <w:t>二</w:t>
            </w:r>
          </w:p>
        </w:tc>
        <w:tc>
          <w:tcPr>
            <w:tcW w:w="8472" w:type="dxa"/>
            <w:gridSpan w:val="2"/>
            <w:vAlign w:val="center"/>
          </w:tcPr>
          <w:p w14:paraId="1EC1C54F">
            <w:pPr>
              <w:pStyle w:val="96"/>
              <w:spacing w:before="24" w:after="24" w:line="360" w:lineRule="exact"/>
              <w:rPr>
                <w:rFonts w:hint="eastAsia"/>
              </w:rPr>
            </w:pPr>
            <w:r>
              <w:rPr>
                <w:rFonts w:hint="eastAsia"/>
                <w:b/>
                <w:bCs/>
              </w:rPr>
              <w:t>基础设施工程</w:t>
            </w:r>
          </w:p>
        </w:tc>
      </w:tr>
      <w:tr w14:paraId="7A18C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trPr>
        <w:tc>
          <w:tcPr>
            <w:tcW w:w="595" w:type="dxa"/>
            <w:noWrap/>
            <w:vAlign w:val="center"/>
          </w:tcPr>
          <w:p w14:paraId="47C09700">
            <w:pPr>
              <w:pStyle w:val="96"/>
              <w:spacing w:before="24" w:after="24" w:line="360" w:lineRule="exact"/>
              <w:rPr>
                <w:rFonts w:hint="eastAsia"/>
              </w:rPr>
            </w:pPr>
            <w:r>
              <w:rPr>
                <w:rFonts w:hint="eastAsia"/>
              </w:rPr>
              <w:t>4</w:t>
            </w:r>
          </w:p>
        </w:tc>
        <w:tc>
          <w:tcPr>
            <w:tcW w:w="1798" w:type="dxa"/>
            <w:vAlign w:val="center"/>
          </w:tcPr>
          <w:p w14:paraId="426DC16D">
            <w:pPr>
              <w:pStyle w:val="96"/>
              <w:spacing w:before="24" w:after="24" w:line="360" w:lineRule="exact"/>
              <w:jc w:val="left"/>
              <w:rPr>
                <w:rFonts w:hint="eastAsia"/>
                <w:lang w:eastAsia="zh-CN"/>
              </w:rPr>
            </w:pPr>
            <w:r>
              <w:rPr>
                <w:rFonts w:hint="eastAsia"/>
                <w:lang w:eastAsia="zh-CN"/>
              </w:rPr>
              <w:t>德钦新县城市政道路及配套基础设施建设项目（三期）</w:t>
            </w:r>
          </w:p>
        </w:tc>
        <w:tc>
          <w:tcPr>
            <w:tcW w:w="6674" w:type="dxa"/>
            <w:vAlign w:val="center"/>
          </w:tcPr>
          <w:p w14:paraId="07A2580E">
            <w:pPr>
              <w:pStyle w:val="96"/>
              <w:spacing w:before="24" w:after="24" w:line="360" w:lineRule="exact"/>
              <w:jc w:val="both"/>
              <w:rPr>
                <w:rFonts w:hint="eastAsia"/>
                <w:lang w:eastAsia="zh-CN"/>
              </w:rPr>
            </w:pPr>
            <w:r>
              <w:rPr>
                <w:rFonts w:hint="eastAsia"/>
                <w:lang w:eastAsia="zh-CN"/>
              </w:rPr>
              <w:t>建设城市道路总长度8344.041米，红线宽度27-30米，道路总面积240022.3平方米，包括Z4号路和NZ1号路两条路。其中，Z4号路道路等级主干路，道路长度6000.75米，红线宽度27-30米，道路面积176208.9平方米；NZ1号路道路等级主干路，道路长度2343.291米，红线宽度27-30米，道路面积63813.4平方米。主要建设内容包括：道路工程、桥涵工程、交通工程、给排水工程、电气工程、照明工程、燃气工程、绿化工程、管线综合等配套设施和其他市政基础设施。</w:t>
            </w:r>
          </w:p>
        </w:tc>
      </w:tr>
      <w:tr w14:paraId="58C97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trPr>
        <w:tc>
          <w:tcPr>
            <w:tcW w:w="595" w:type="dxa"/>
            <w:noWrap/>
            <w:vAlign w:val="center"/>
          </w:tcPr>
          <w:p w14:paraId="22E35DDE">
            <w:pPr>
              <w:pStyle w:val="96"/>
              <w:spacing w:before="24" w:after="24" w:line="360" w:lineRule="exact"/>
              <w:rPr>
                <w:rFonts w:hint="eastAsia"/>
              </w:rPr>
            </w:pPr>
            <w:r>
              <w:rPr>
                <w:rFonts w:hint="eastAsia"/>
              </w:rPr>
              <w:t>5</w:t>
            </w:r>
          </w:p>
        </w:tc>
        <w:tc>
          <w:tcPr>
            <w:tcW w:w="1798" w:type="dxa"/>
            <w:vAlign w:val="center"/>
          </w:tcPr>
          <w:p w14:paraId="0794C938">
            <w:pPr>
              <w:pStyle w:val="96"/>
              <w:spacing w:before="24" w:after="24" w:line="360" w:lineRule="exact"/>
              <w:jc w:val="left"/>
              <w:rPr>
                <w:rFonts w:hint="eastAsia"/>
                <w:lang w:eastAsia="zh-CN"/>
              </w:rPr>
            </w:pPr>
            <w:r>
              <w:rPr>
                <w:rFonts w:hint="eastAsia"/>
                <w:lang w:eastAsia="zh-CN"/>
              </w:rPr>
              <w:t>德钦新县城滨江步行绿道建设项目（一期）</w:t>
            </w:r>
          </w:p>
        </w:tc>
        <w:tc>
          <w:tcPr>
            <w:tcW w:w="6674" w:type="dxa"/>
            <w:vAlign w:val="center"/>
          </w:tcPr>
          <w:p w14:paraId="71F82C54">
            <w:pPr>
              <w:pStyle w:val="96"/>
              <w:spacing w:before="24" w:after="24" w:line="360" w:lineRule="exact"/>
              <w:jc w:val="both"/>
              <w:rPr>
                <w:rFonts w:hint="eastAsia"/>
                <w:lang w:eastAsia="zh-CN"/>
              </w:rPr>
            </w:pPr>
            <w:r>
              <w:rPr>
                <w:rFonts w:hint="eastAsia"/>
                <w:lang w:eastAsia="zh-CN"/>
              </w:rPr>
              <w:t>项目建设滨江步行绿道全长7633.03米，包含建设5米宽滨江公园绿道长度3475.94米，同步完成绿道两侧各1.5米宽的绿化带；建设3米宽叶枝河绿道长度938.17米、3米宽迪马河绿道长度1528.56米，同步完成绿道两侧各1.0米宽的绿化带；建设3米宽绕城绿道1690.36米，并根据用地现状完成绿道两侧（局部段为单侧）1.0米宽的绿化带及其它相关基础配套设施。</w:t>
            </w:r>
          </w:p>
        </w:tc>
      </w:tr>
      <w:tr w14:paraId="0BF14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595" w:type="dxa"/>
            <w:noWrap/>
            <w:vAlign w:val="center"/>
          </w:tcPr>
          <w:p w14:paraId="4487D733">
            <w:pPr>
              <w:pStyle w:val="96"/>
              <w:spacing w:before="24" w:after="24" w:line="360" w:lineRule="exact"/>
              <w:rPr>
                <w:rFonts w:hint="eastAsia"/>
              </w:rPr>
            </w:pPr>
            <w:r>
              <w:rPr>
                <w:rFonts w:hint="eastAsia"/>
              </w:rPr>
              <w:t>6</w:t>
            </w:r>
          </w:p>
        </w:tc>
        <w:tc>
          <w:tcPr>
            <w:tcW w:w="1798" w:type="dxa"/>
            <w:vAlign w:val="center"/>
          </w:tcPr>
          <w:p w14:paraId="2A57958C">
            <w:pPr>
              <w:pStyle w:val="96"/>
              <w:spacing w:before="24" w:after="24" w:line="360" w:lineRule="exact"/>
              <w:jc w:val="left"/>
              <w:rPr>
                <w:rFonts w:hint="eastAsia"/>
                <w:lang w:eastAsia="zh-CN"/>
              </w:rPr>
            </w:pPr>
            <w:r>
              <w:rPr>
                <w:rFonts w:hint="eastAsia"/>
                <w:highlight w:val="none"/>
              </w:rPr>
              <w:t>德钦新县城垃圾焚烧处理厂建设项目</w:t>
            </w:r>
          </w:p>
        </w:tc>
        <w:tc>
          <w:tcPr>
            <w:tcW w:w="6674" w:type="dxa"/>
            <w:vAlign w:val="center"/>
          </w:tcPr>
          <w:p w14:paraId="7D10E36A">
            <w:pPr>
              <w:pStyle w:val="96"/>
              <w:spacing w:before="24" w:after="24" w:line="360" w:lineRule="exact"/>
              <w:jc w:val="both"/>
              <w:rPr>
                <w:rFonts w:hint="eastAsia"/>
                <w:lang w:eastAsia="zh-CN"/>
              </w:rPr>
            </w:pPr>
            <w:r>
              <w:rPr>
                <w:rFonts w:hint="eastAsia"/>
                <w:lang w:eastAsia="zh-CN"/>
              </w:rPr>
              <w:t>项目用地面积34354.2平方米，总建筑面积5307.53平方米。生活垃圾日处理量为50吨，年处理量为1.825万吨。建设内容包括建设一条50吨/天的焚烧线、余热锅炉和烟气净化系统，长973米、宽6米（面积5838平方米）的进场道路及其它相关基础配套设施。</w:t>
            </w:r>
          </w:p>
        </w:tc>
      </w:tr>
      <w:tr w14:paraId="1249B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595" w:type="dxa"/>
            <w:noWrap/>
            <w:vAlign w:val="center"/>
          </w:tcPr>
          <w:p w14:paraId="41FAB03F">
            <w:pPr>
              <w:pStyle w:val="96"/>
              <w:spacing w:before="24" w:after="24" w:line="360" w:lineRule="exact"/>
              <w:rPr>
                <w:rFonts w:hint="eastAsia"/>
              </w:rPr>
            </w:pPr>
            <w:r>
              <w:rPr>
                <w:rFonts w:hint="eastAsia"/>
              </w:rPr>
              <w:t>7</w:t>
            </w:r>
          </w:p>
        </w:tc>
        <w:tc>
          <w:tcPr>
            <w:tcW w:w="1798" w:type="dxa"/>
            <w:vAlign w:val="center"/>
          </w:tcPr>
          <w:p w14:paraId="49482E5D">
            <w:pPr>
              <w:pStyle w:val="96"/>
              <w:spacing w:before="24" w:after="24" w:line="360" w:lineRule="exact"/>
              <w:jc w:val="left"/>
              <w:rPr>
                <w:rFonts w:hint="eastAsia"/>
                <w:lang w:eastAsia="zh-CN"/>
              </w:rPr>
            </w:pPr>
            <w:r>
              <w:rPr>
                <w:rFonts w:hint="eastAsia"/>
                <w:lang w:eastAsia="zh-CN"/>
              </w:rPr>
              <w:t>德钦新县城同乐垃圾转运站、岩瓦垃圾转运站建设项目</w:t>
            </w:r>
          </w:p>
        </w:tc>
        <w:tc>
          <w:tcPr>
            <w:tcW w:w="6674" w:type="dxa"/>
            <w:vAlign w:val="center"/>
          </w:tcPr>
          <w:p w14:paraId="71277894">
            <w:pPr>
              <w:pStyle w:val="96"/>
              <w:spacing w:before="24" w:after="24" w:line="360" w:lineRule="exact"/>
              <w:jc w:val="left"/>
              <w:rPr>
                <w:rFonts w:hint="eastAsia"/>
                <w:lang w:eastAsia="zh-CN"/>
              </w:rPr>
            </w:pPr>
            <w:r>
              <w:rPr>
                <w:rFonts w:hint="eastAsia"/>
                <w:lang w:eastAsia="zh-CN"/>
              </w:rPr>
              <w:t>项目总用地面积2554.53平方米，总建筑面积为666.54平方米。其中同乐转运站用地面积1235.35平方米，建筑面积405.16平方米，转运规模50吨/日；岩瓦转运站用地面积1319.18平方米，建筑面积261.38平方米，转运规模17吨/日。主要建设内容包括</w:t>
            </w:r>
            <w:bookmarkStart w:id="223" w:name="_GoBack"/>
            <w:bookmarkEnd w:id="223"/>
            <w:r>
              <w:rPr>
                <w:rFonts w:hint="eastAsia"/>
                <w:lang w:eastAsia="zh-CN"/>
              </w:rPr>
              <w:t>：转运站、公共厕所、管理用房等，配套建设道路广场、绿化、照明、构筑物、室外管线等红线内室外工程。</w:t>
            </w:r>
          </w:p>
        </w:tc>
      </w:tr>
      <w:tr w14:paraId="69DA0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trPr>
        <w:tc>
          <w:tcPr>
            <w:tcW w:w="595" w:type="dxa"/>
            <w:noWrap/>
            <w:vAlign w:val="center"/>
          </w:tcPr>
          <w:p w14:paraId="3195FFC7">
            <w:pPr>
              <w:pStyle w:val="96"/>
              <w:spacing w:before="24" w:after="24" w:line="360" w:lineRule="exact"/>
              <w:rPr>
                <w:rFonts w:hint="eastAsia"/>
              </w:rPr>
            </w:pPr>
            <w:r>
              <w:rPr>
                <w:rFonts w:hint="eastAsia"/>
              </w:rPr>
              <w:t>8</w:t>
            </w:r>
          </w:p>
        </w:tc>
        <w:tc>
          <w:tcPr>
            <w:tcW w:w="1798" w:type="dxa"/>
            <w:vAlign w:val="center"/>
          </w:tcPr>
          <w:p w14:paraId="628246AA">
            <w:pPr>
              <w:pStyle w:val="96"/>
              <w:spacing w:before="24" w:after="24" w:line="360" w:lineRule="exact"/>
              <w:jc w:val="left"/>
              <w:rPr>
                <w:rFonts w:hint="eastAsia"/>
                <w:lang w:eastAsia="zh-CN"/>
              </w:rPr>
            </w:pPr>
            <w:r>
              <w:rPr>
                <w:rFonts w:hint="eastAsia"/>
                <w:lang w:eastAsia="zh-CN"/>
              </w:rPr>
              <w:t>德钦新县城城市公园建设项目（一期）</w:t>
            </w:r>
          </w:p>
        </w:tc>
        <w:tc>
          <w:tcPr>
            <w:tcW w:w="6674" w:type="dxa"/>
            <w:vAlign w:val="center"/>
          </w:tcPr>
          <w:p w14:paraId="3ADDCBA3">
            <w:pPr>
              <w:pStyle w:val="96"/>
              <w:spacing w:before="24" w:after="24" w:line="360" w:lineRule="exact"/>
              <w:jc w:val="left"/>
              <w:rPr>
                <w:rFonts w:hint="eastAsia"/>
                <w:lang w:eastAsia="zh-CN"/>
              </w:rPr>
            </w:pPr>
            <w:r>
              <w:rPr>
                <w:rFonts w:hint="eastAsia"/>
                <w:lang w:eastAsia="zh-CN"/>
              </w:rPr>
              <w:t>项目总用地面积50591.85平方米（扣除绿道后面积为40286.22平方米）。项目建设内容主要包含土方工程、硬质铺装工程、绿化工程、构筑物、照明工程、给水工程、排水工程、公共服务设施、其他建筑工程、弱电工程和挡墙工程等其他配套和绿化建设内容。</w:t>
            </w:r>
          </w:p>
        </w:tc>
      </w:tr>
      <w:tr w14:paraId="0B5F5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trPr>
        <w:tc>
          <w:tcPr>
            <w:tcW w:w="595" w:type="dxa"/>
            <w:noWrap/>
            <w:vAlign w:val="center"/>
          </w:tcPr>
          <w:p w14:paraId="6CE1F059">
            <w:pPr>
              <w:pStyle w:val="96"/>
              <w:spacing w:before="24" w:after="24" w:line="360" w:lineRule="exact"/>
              <w:rPr>
                <w:rFonts w:hint="eastAsia"/>
              </w:rPr>
            </w:pPr>
            <w:r>
              <w:rPr>
                <w:rFonts w:hint="eastAsia"/>
              </w:rPr>
              <w:t>9</w:t>
            </w:r>
          </w:p>
        </w:tc>
        <w:tc>
          <w:tcPr>
            <w:tcW w:w="1798" w:type="dxa"/>
            <w:vAlign w:val="center"/>
          </w:tcPr>
          <w:p w14:paraId="32CE86C3">
            <w:pPr>
              <w:pStyle w:val="96"/>
              <w:spacing w:before="24" w:after="24" w:line="360" w:lineRule="exact"/>
              <w:jc w:val="left"/>
              <w:rPr>
                <w:rFonts w:hint="eastAsia"/>
                <w:lang w:eastAsia="zh-CN"/>
              </w:rPr>
            </w:pPr>
            <w:r>
              <w:rPr>
                <w:rFonts w:hint="eastAsia"/>
                <w:lang w:eastAsia="zh-CN"/>
              </w:rPr>
              <w:t>德钦新县城城市广场建设项目</w:t>
            </w:r>
          </w:p>
        </w:tc>
        <w:tc>
          <w:tcPr>
            <w:tcW w:w="6674" w:type="dxa"/>
            <w:vAlign w:val="center"/>
          </w:tcPr>
          <w:p w14:paraId="3814A734">
            <w:pPr>
              <w:pStyle w:val="96"/>
              <w:spacing w:before="24" w:after="24" w:line="360" w:lineRule="exact"/>
              <w:jc w:val="left"/>
              <w:rPr>
                <w:rFonts w:hint="eastAsia"/>
                <w:lang w:eastAsia="zh-CN"/>
              </w:rPr>
            </w:pPr>
            <w:r>
              <w:rPr>
                <w:rFonts w:hint="eastAsia"/>
                <w:lang w:eastAsia="zh-CN"/>
              </w:rPr>
              <w:t>项目总用地面积60232.548平方米，共包含14个地块。其中硬质铺装工程用地面积27079.84平方米、水景工程用地面积3203平方米、绿化工程用地面积29195.708平方米、建筑工程用地面积754平方米。</w:t>
            </w:r>
          </w:p>
        </w:tc>
      </w:tr>
      <w:tr w14:paraId="31ED9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595" w:type="dxa"/>
            <w:noWrap/>
            <w:vAlign w:val="center"/>
          </w:tcPr>
          <w:p w14:paraId="62ADA8AA">
            <w:pPr>
              <w:pStyle w:val="96"/>
              <w:spacing w:before="24" w:after="24" w:line="360" w:lineRule="exact"/>
              <w:rPr>
                <w:rFonts w:hint="eastAsia"/>
              </w:rPr>
            </w:pPr>
            <w:r>
              <w:rPr>
                <w:rFonts w:hint="eastAsia"/>
                <w:b/>
                <w:bCs/>
              </w:rPr>
              <w:t>三</w:t>
            </w:r>
          </w:p>
        </w:tc>
        <w:tc>
          <w:tcPr>
            <w:tcW w:w="8472" w:type="dxa"/>
            <w:gridSpan w:val="2"/>
            <w:vAlign w:val="center"/>
          </w:tcPr>
          <w:p w14:paraId="3B2C6A0F">
            <w:pPr>
              <w:pStyle w:val="96"/>
              <w:spacing w:before="24" w:after="24" w:line="360" w:lineRule="exact"/>
              <w:rPr>
                <w:rFonts w:hint="eastAsia"/>
                <w:lang w:eastAsia="zh-CN"/>
              </w:rPr>
            </w:pPr>
            <w:r>
              <w:rPr>
                <w:rFonts w:hint="eastAsia"/>
                <w:b/>
                <w:bCs/>
                <w:lang w:eastAsia="zh-CN"/>
              </w:rPr>
              <w:t>机关单位办公及业务技术用房工程</w:t>
            </w:r>
          </w:p>
        </w:tc>
      </w:tr>
      <w:tr w14:paraId="68C7A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4" w:hRule="atLeast"/>
        </w:trPr>
        <w:tc>
          <w:tcPr>
            <w:tcW w:w="595" w:type="dxa"/>
            <w:noWrap/>
            <w:vAlign w:val="center"/>
          </w:tcPr>
          <w:p w14:paraId="028541E8">
            <w:pPr>
              <w:pStyle w:val="96"/>
              <w:spacing w:before="24" w:after="24" w:line="360" w:lineRule="exact"/>
              <w:rPr>
                <w:rFonts w:hint="eastAsia"/>
              </w:rPr>
            </w:pPr>
            <w:r>
              <w:rPr>
                <w:rFonts w:hint="eastAsia"/>
              </w:rPr>
              <w:t>10</w:t>
            </w:r>
          </w:p>
        </w:tc>
        <w:tc>
          <w:tcPr>
            <w:tcW w:w="1798" w:type="dxa"/>
            <w:vAlign w:val="center"/>
          </w:tcPr>
          <w:p w14:paraId="4D3E04B9">
            <w:pPr>
              <w:pStyle w:val="96"/>
              <w:spacing w:before="24" w:after="24" w:line="360" w:lineRule="exact"/>
              <w:jc w:val="left"/>
              <w:rPr>
                <w:rFonts w:hint="eastAsia"/>
                <w:lang w:eastAsia="zh-CN"/>
              </w:rPr>
            </w:pPr>
            <w:r>
              <w:rPr>
                <w:rFonts w:hint="eastAsia"/>
                <w:lang w:eastAsia="zh-CN"/>
              </w:rPr>
              <w:t>德钦新县城工人文化宫暨群团服务中心建设项目</w:t>
            </w:r>
          </w:p>
        </w:tc>
        <w:tc>
          <w:tcPr>
            <w:tcW w:w="6674" w:type="dxa"/>
            <w:vAlign w:val="center"/>
          </w:tcPr>
          <w:p w14:paraId="5F4803D3">
            <w:pPr>
              <w:pStyle w:val="96"/>
              <w:spacing w:before="24" w:after="24" w:line="360" w:lineRule="exact"/>
              <w:jc w:val="left"/>
              <w:rPr>
                <w:rFonts w:hint="eastAsia"/>
                <w:lang w:eastAsia="zh-CN"/>
              </w:rPr>
            </w:pPr>
            <w:r>
              <w:rPr>
                <w:rFonts w:hint="eastAsia"/>
                <w:lang w:eastAsia="zh-CN"/>
              </w:rPr>
              <w:t>项目用地面积9955.54平方米，总建筑面积3987.08平方米，其中工人文化宫建筑面积2955.68平方米，群团服务中心建筑面积1031.40平方米及室外活动场所等附属设施。</w:t>
            </w:r>
          </w:p>
        </w:tc>
      </w:tr>
      <w:tr w14:paraId="18145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trPr>
        <w:tc>
          <w:tcPr>
            <w:tcW w:w="595" w:type="dxa"/>
            <w:noWrap/>
            <w:vAlign w:val="center"/>
          </w:tcPr>
          <w:p w14:paraId="4E28A04B">
            <w:pPr>
              <w:pStyle w:val="96"/>
              <w:spacing w:before="24" w:after="24" w:line="360" w:lineRule="exact"/>
              <w:rPr>
                <w:rFonts w:hint="eastAsia"/>
              </w:rPr>
            </w:pPr>
            <w:r>
              <w:rPr>
                <w:rFonts w:hint="eastAsia"/>
              </w:rPr>
              <w:t>11</w:t>
            </w:r>
          </w:p>
        </w:tc>
        <w:tc>
          <w:tcPr>
            <w:tcW w:w="1798" w:type="dxa"/>
            <w:vAlign w:val="center"/>
          </w:tcPr>
          <w:p w14:paraId="079A428E">
            <w:pPr>
              <w:pStyle w:val="96"/>
              <w:spacing w:before="24" w:after="24" w:line="360" w:lineRule="exact"/>
              <w:jc w:val="left"/>
              <w:rPr>
                <w:rFonts w:hint="eastAsia"/>
                <w:lang w:eastAsia="zh-CN"/>
              </w:rPr>
            </w:pPr>
            <w:r>
              <w:rPr>
                <w:rFonts w:hint="eastAsia"/>
                <w:lang w:eastAsia="zh-CN"/>
              </w:rPr>
              <w:t>德钦新县城文物管理所建设项目</w:t>
            </w:r>
          </w:p>
        </w:tc>
        <w:tc>
          <w:tcPr>
            <w:tcW w:w="6674" w:type="dxa"/>
            <w:vAlign w:val="center"/>
          </w:tcPr>
          <w:p w14:paraId="43F7E4E1">
            <w:pPr>
              <w:pStyle w:val="96"/>
              <w:spacing w:before="24" w:after="24" w:line="360" w:lineRule="exact"/>
              <w:jc w:val="left"/>
              <w:rPr>
                <w:rFonts w:hint="eastAsia"/>
                <w:lang w:eastAsia="zh-CN"/>
              </w:rPr>
            </w:pPr>
            <w:r>
              <w:rPr>
                <w:rFonts w:hint="eastAsia"/>
                <w:lang w:eastAsia="zh-CN"/>
              </w:rPr>
              <w:t>项目用地面积3075.55平方米，总建筑面积1715.52平方米，建设业务用房及配套室外附属设施。</w:t>
            </w:r>
          </w:p>
        </w:tc>
      </w:tr>
      <w:tr w14:paraId="6C792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595" w:type="dxa"/>
            <w:noWrap/>
            <w:vAlign w:val="center"/>
          </w:tcPr>
          <w:p w14:paraId="5EF76E0D">
            <w:pPr>
              <w:pStyle w:val="96"/>
              <w:spacing w:before="24" w:after="24" w:line="360" w:lineRule="exact"/>
              <w:rPr>
                <w:rFonts w:hint="eastAsia"/>
              </w:rPr>
            </w:pPr>
            <w:r>
              <w:rPr>
                <w:rFonts w:hint="eastAsia"/>
              </w:rPr>
              <w:t>12</w:t>
            </w:r>
          </w:p>
        </w:tc>
        <w:tc>
          <w:tcPr>
            <w:tcW w:w="1798" w:type="dxa"/>
            <w:vAlign w:val="center"/>
          </w:tcPr>
          <w:p w14:paraId="5545D91D">
            <w:pPr>
              <w:pStyle w:val="96"/>
              <w:spacing w:before="24" w:after="24" w:line="360" w:lineRule="exact"/>
              <w:jc w:val="left"/>
              <w:rPr>
                <w:rFonts w:hint="eastAsia"/>
                <w:lang w:eastAsia="zh-CN"/>
              </w:rPr>
            </w:pPr>
            <w:r>
              <w:rPr>
                <w:rFonts w:hint="eastAsia"/>
                <w:lang w:eastAsia="zh-CN"/>
              </w:rPr>
              <w:t>德钦新县城档案馆建设项目</w:t>
            </w:r>
          </w:p>
        </w:tc>
        <w:tc>
          <w:tcPr>
            <w:tcW w:w="6674" w:type="dxa"/>
            <w:vAlign w:val="center"/>
          </w:tcPr>
          <w:p w14:paraId="73A7190E">
            <w:pPr>
              <w:pStyle w:val="96"/>
              <w:spacing w:before="24" w:after="24" w:line="360" w:lineRule="exact"/>
              <w:jc w:val="left"/>
              <w:rPr>
                <w:rFonts w:hint="eastAsia"/>
                <w:lang w:eastAsia="zh-CN"/>
              </w:rPr>
            </w:pPr>
            <w:r>
              <w:rPr>
                <w:rFonts w:hint="eastAsia"/>
                <w:lang w:eastAsia="zh-CN"/>
              </w:rPr>
              <w:t>项目用地面积3150.24平方米，总建筑面积3327.38平方米，建设业务用房及配套室外附属设施。</w:t>
            </w:r>
          </w:p>
        </w:tc>
      </w:tr>
      <w:tr w14:paraId="2ECFE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9" w:hRule="atLeast"/>
        </w:trPr>
        <w:tc>
          <w:tcPr>
            <w:tcW w:w="595" w:type="dxa"/>
            <w:noWrap/>
            <w:vAlign w:val="center"/>
          </w:tcPr>
          <w:p w14:paraId="7DF4D597">
            <w:pPr>
              <w:pStyle w:val="96"/>
              <w:spacing w:before="24" w:after="24" w:line="360" w:lineRule="exact"/>
              <w:rPr>
                <w:rFonts w:hint="eastAsia"/>
              </w:rPr>
            </w:pPr>
            <w:r>
              <w:rPr>
                <w:rFonts w:hint="eastAsia"/>
              </w:rPr>
              <w:t>13</w:t>
            </w:r>
          </w:p>
        </w:tc>
        <w:tc>
          <w:tcPr>
            <w:tcW w:w="1798" w:type="dxa"/>
            <w:vAlign w:val="center"/>
          </w:tcPr>
          <w:p w14:paraId="34B31025">
            <w:pPr>
              <w:pStyle w:val="96"/>
              <w:spacing w:before="24" w:after="24" w:line="360" w:lineRule="exact"/>
              <w:jc w:val="left"/>
              <w:rPr>
                <w:rFonts w:hint="eastAsia"/>
                <w:lang w:eastAsia="zh-CN"/>
              </w:rPr>
            </w:pPr>
            <w:r>
              <w:rPr>
                <w:rFonts w:hint="eastAsia"/>
                <w:lang w:eastAsia="zh-CN"/>
              </w:rPr>
              <w:t>德钦新县城战略和应急物资储备库建设项目</w:t>
            </w:r>
          </w:p>
        </w:tc>
        <w:tc>
          <w:tcPr>
            <w:tcW w:w="6674" w:type="dxa"/>
            <w:vAlign w:val="center"/>
          </w:tcPr>
          <w:p w14:paraId="547F32E2">
            <w:pPr>
              <w:pStyle w:val="96"/>
              <w:spacing w:before="24" w:after="24" w:line="360" w:lineRule="exact"/>
              <w:jc w:val="left"/>
              <w:rPr>
                <w:rFonts w:hint="eastAsia"/>
                <w:lang w:eastAsia="zh-CN"/>
              </w:rPr>
            </w:pPr>
            <w:r>
              <w:rPr>
                <w:rFonts w:hint="eastAsia"/>
                <w:lang w:eastAsia="zh-CN"/>
              </w:rPr>
              <w:t>项目用地面积为2612.59平方米，总建筑面积为1200.60平方米，建设仓储用房及相关配套附属设施。</w:t>
            </w:r>
          </w:p>
        </w:tc>
      </w:tr>
      <w:tr w14:paraId="7468C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595" w:type="dxa"/>
            <w:noWrap/>
            <w:vAlign w:val="center"/>
          </w:tcPr>
          <w:p w14:paraId="77F64DE7">
            <w:pPr>
              <w:pStyle w:val="96"/>
              <w:spacing w:before="24" w:after="24" w:line="360" w:lineRule="exact"/>
              <w:rPr>
                <w:rFonts w:hint="eastAsia"/>
              </w:rPr>
            </w:pPr>
            <w:r>
              <w:rPr>
                <w:rFonts w:hint="eastAsia"/>
              </w:rPr>
              <w:t>14</w:t>
            </w:r>
          </w:p>
        </w:tc>
        <w:tc>
          <w:tcPr>
            <w:tcW w:w="1798" w:type="dxa"/>
            <w:vAlign w:val="center"/>
          </w:tcPr>
          <w:p w14:paraId="3F177F85">
            <w:pPr>
              <w:pStyle w:val="96"/>
              <w:spacing w:before="24" w:after="24" w:line="360" w:lineRule="exact"/>
              <w:jc w:val="left"/>
              <w:rPr>
                <w:rFonts w:hint="eastAsia"/>
                <w:lang w:eastAsia="zh-CN"/>
              </w:rPr>
            </w:pPr>
            <w:r>
              <w:rPr>
                <w:rFonts w:hint="eastAsia"/>
                <w:lang w:eastAsia="zh-CN"/>
              </w:rPr>
              <w:t>德钦新县城应急成品粮油储备库建设项目</w:t>
            </w:r>
          </w:p>
        </w:tc>
        <w:tc>
          <w:tcPr>
            <w:tcW w:w="6674" w:type="dxa"/>
            <w:vAlign w:val="center"/>
          </w:tcPr>
          <w:p w14:paraId="0383DAAD">
            <w:pPr>
              <w:pStyle w:val="96"/>
              <w:spacing w:before="24" w:after="24" w:line="360" w:lineRule="exact"/>
              <w:jc w:val="left"/>
              <w:rPr>
                <w:rFonts w:hint="eastAsia"/>
                <w:lang w:eastAsia="zh-CN"/>
              </w:rPr>
            </w:pPr>
            <w:r>
              <w:rPr>
                <w:rFonts w:hint="eastAsia"/>
                <w:lang w:eastAsia="zh-CN"/>
              </w:rPr>
              <w:t>项目用地面积为2512.28平方米，总建筑面积为1439.06平方米，建设仓储用房及相关配套附属设施。</w:t>
            </w:r>
          </w:p>
        </w:tc>
      </w:tr>
      <w:tr w14:paraId="32C5D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0" w:hRule="atLeast"/>
        </w:trPr>
        <w:tc>
          <w:tcPr>
            <w:tcW w:w="595" w:type="dxa"/>
            <w:noWrap/>
            <w:vAlign w:val="center"/>
          </w:tcPr>
          <w:p w14:paraId="7359B755">
            <w:pPr>
              <w:pStyle w:val="96"/>
              <w:spacing w:before="24" w:after="24" w:line="360" w:lineRule="exact"/>
              <w:rPr>
                <w:rFonts w:hint="eastAsia"/>
              </w:rPr>
            </w:pPr>
            <w:r>
              <w:rPr>
                <w:rFonts w:hint="eastAsia"/>
              </w:rPr>
              <w:t>15</w:t>
            </w:r>
          </w:p>
        </w:tc>
        <w:tc>
          <w:tcPr>
            <w:tcW w:w="1798" w:type="dxa"/>
            <w:vAlign w:val="center"/>
          </w:tcPr>
          <w:p w14:paraId="53DB26D9">
            <w:pPr>
              <w:pStyle w:val="96"/>
              <w:spacing w:before="24" w:after="24" w:line="360" w:lineRule="exact"/>
              <w:jc w:val="left"/>
              <w:rPr>
                <w:rFonts w:hint="eastAsia"/>
                <w:lang w:eastAsia="zh-CN"/>
              </w:rPr>
            </w:pPr>
            <w:r>
              <w:rPr>
                <w:rFonts w:hint="eastAsia"/>
                <w:lang w:eastAsia="zh-CN"/>
              </w:rPr>
              <w:t>德钦新县城消防救援大队营房建设项目</w:t>
            </w:r>
          </w:p>
        </w:tc>
        <w:tc>
          <w:tcPr>
            <w:tcW w:w="6674" w:type="dxa"/>
            <w:vAlign w:val="center"/>
          </w:tcPr>
          <w:p w14:paraId="196E2D20">
            <w:pPr>
              <w:pStyle w:val="96"/>
              <w:spacing w:before="24" w:after="24" w:line="360" w:lineRule="exact"/>
              <w:jc w:val="left"/>
              <w:rPr>
                <w:rFonts w:hint="eastAsia"/>
                <w:lang w:eastAsia="zh-CN"/>
              </w:rPr>
            </w:pPr>
            <w:r>
              <w:rPr>
                <w:rFonts w:hint="eastAsia"/>
                <w:lang w:eastAsia="zh-CN"/>
              </w:rPr>
              <w:t>项目用地面积8057.22平方米，总建筑面积为5792.15平方米。其中：消防站建筑面积5473.27平方米，训练塔建筑面积258.72平方米，门卫室建筑面积60.16平方米及相关配套附属设施。</w:t>
            </w:r>
          </w:p>
        </w:tc>
      </w:tr>
      <w:tr w14:paraId="0C773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595" w:type="dxa"/>
            <w:noWrap/>
            <w:vAlign w:val="center"/>
          </w:tcPr>
          <w:p w14:paraId="6A4B1743">
            <w:pPr>
              <w:pStyle w:val="96"/>
              <w:spacing w:before="24" w:after="24" w:line="360" w:lineRule="exact"/>
              <w:rPr>
                <w:rFonts w:hint="eastAsia"/>
              </w:rPr>
            </w:pPr>
            <w:r>
              <w:rPr>
                <w:rFonts w:hint="eastAsia"/>
              </w:rPr>
              <w:t>16</w:t>
            </w:r>
          </w:p>
        </w:tc>
        <w:tc>
          <w:tcPr>
            <w:tcW w:w="1798" w:type="dxa"/>
            <w:vAlign w:val="center"/>
          </w:tcPr>
          <w:p w14:paraId="5DC85C2D">
            <w:pPr>
              <w:pStyle w:val="96"/>
              <w:spacing w:before="24" w:after="24" w:line="360" w:lineRule="exact"/>
              <w:jc w:val="left"/>
              <w:rPr>
                <w:rFonts w:hint="eastAsia"/>
                <w:lang w:eastAsia="zh-CN"/>
              </w:rPr>
            </w:pPr>
            <w:r>
              <w:rPr>
                <w:rFonts w:hint="eastAsia"/>
                <w:lang w:eastAsia="zh-CN"/>
              </w:rPr>
              <w:t>德钦新县城党校建设项目</w:t>
            </w:r>
          </w:p>
        </w:tc>
        <w:tc>
          <w:tcPr>
            <w:tcW w:w="6674" w:type="dxa"/>
            <w:vAlign w:val="center"/>
          </w:tcPr>
          <w:p w14:paraId="6A850755">
            <w:pPr>
              <w:pStyle w:val="96"/>
              <w:spacing w:before="24" w:after="24" w:line="360" w:lineRule="exact"/>
              <w:jc w:val="left"/>
              <w:rPr>
                <w:rFonts w:hint="eastAsia"/>
                <w:lang w:eastAsia="zh-CN"/>
              </w:rPr>
            </w:pPr>
            <w:r>
              <w:rPr>
                <w:rFonts w:hint="eastAsia"/>
                <w:lang w:eastAsia="zh-CN"/>
              </w:rPr>
              <w:t>项目用地面积24490.66平方米，总建筑面积11975.02平方米，包括综合教学楼、车库、学员公寓、学员食堂、活动中心及附属配套设施。</w:t>
            </w:r>
          </w:p>
        </w:tc>
      </w:tr>
      <w:tr w14:paraId="12FB0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trPr>
        <w:tc>
          <w:tcPr>
            <w:tcW w:w="595" w:type="dxa"/>
            <w:noWrap/>
            <w:vAlign w:val="center"/>
          </w:tcPr>
          <w:p w14:paraId="53B9A5F8">
            <w:pPr>
              <w:pStyle w:val="96"/>
              <w:spacing w:before="24" w:after="24" w:line="360" w:lineRule="exact"/>
              <w:rPr>
                <w:rFonts w:hint="eastAsia"/>
              </w:rPr>
            </w:pPr>
            <w:r>
              <w:rPr>
                <w:rFonts w:hint="eastAsia"/>
              </w:rPr>
              <w:t>17</w:t>
            </w:r>
          </w:p>
        </w:tc>
        <w:tc>
          <w:tcPr>
            <w:tcW w:w="1798" w:type="dxa"/>
            <w:vAlign w:val="center"/>
          </w:tcPr>
          <w:p w14:paraId="1420F90F">
            <w:pPr>
              <w:pStyle w:val="96"/>
              <w:spacing w:before="24" w:after="24" w:line="360" w:lineRule="exact"/>
              <w:jc w:val="left"/>
              <w:rPr>
                <w:rFonts w:hint="eastAsia"/>
                <w:lang w:eastAsia="zh-CN"/>
              </w:rPr>
            </w:pPr>
            <w:r>
              <w:rPr>
                <w:rFonts w:hint="eastAsia"/>
                <w:lang w:eastAsia="zh-CN"/>
              </w:rPr>
              <w:t>德钦新县城政务服务中心建设项目</w:t>
            </w:r>
          </w:p>
        </w:tc>
        <w:tc>
          <w:tcPr>
            <w:tcW w:w="6674" w:type="dxa"/>
            <w:vAlign w:val="center"/>
          </w:tcPr>
          <w:p w14:paraId="4FFF5F62">
            <w:pPr>
              <w:pStyle w:val="96"/>
              <w:spacing w:before="24" w:after="24" w:line="360" w:lineRule="exact"/>
              <w:jc w:val="left"/>
              <w:rPr>
                <w:rFonts w:hint="eastAsia"/>
                <w:lang w:eastAsia="zh-CN"/>
              </w:rPr>
            </w:pPr>
            <w:r>
              <w:rPr>
                <w:rFonts w:hint="eastAsia"/>
                <w:lang w:eastAsia="zh-CN"/>
              </w:rPr>
              <w:t>项目用地面积3000平方米，总建筑面积4094.62平方米，新建政务服务中心和室外场地建设。</w:t>
            </w:r>
          </w:p>
        </w:tc>
      </w:tr>
      <w:tr w14:paraId="0FAD6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trPr>
        <w:tc>
          <w:tcPr>
            <w:tcW w:w="595" w:type="dxa"/>
            <w:noWrap/>
            <w:vAlign w:val="center"/>
          </w:tcPr>
          <w:p w14:paraId="448EF76C">
            <w:pPr>
              <w:pStyle w:val="96"/>
              <w:spacing w:before="24" w:after="24" w:line="360" w:lineRule="exact"/>
              <w:rPr>
                <w:rFonts w:hint="eastAsia"/>
              </w:rPr>
            </w:pPr>
            <w:r>
              <w:rPr>
                <w:rFonts w:hint="eastAsia"/>
              </w:rPr>
              <w:t>18</w:t>
            </w:r>
          </w:p>
        </w:tc>
        <w:tc>
          <w:tcPr>
            <w:tcW w:w="1798" w:type="dxa"/>
            <w:vAlign w:val="center"/>
          </w:tcPr>
          <w:p w14:paraId="3BB6B41D">
            <w:pPr>
              <w:pStyle w:val="96"/>
              <w:spacing w:before="24" w:after="24" w:line="360" w:lineRule="exact"/>
              <w:jc w:val="left"/>
              <w:rPr>
                <w:rFonts w:hint="eastAsia"/>
                <w:lang w:eastAsia="zh-CN"/>
              </w:rPr>
            </w:pPr>
            <w:r>
              <w:rPr>
                <w:rFonts w:hint="eastAsia"/>
                <w:lang w:eastAsia="zh-CN"/>
              </w:rPr>
              <w:t>德钦新县城人民法院办公及审判综合大楼建设项目</w:t>
            </w:r>
          </w:p>
        </w:tc>
        <w:tc>
          <w:tcPr>
            <w:tcW w:w="6674" w:type="dxa"/>
            <w:vAlign w:val="center"/>
          </w:tcPr>
          <w:p w14:paraId="6B289A1E">
            <w:pPr>
              <w:pStyle w:val="96"/>
              <w:spacing w:before="24" w:after="24" w:line="360" w:lineRule="exact"/>
              <w:jc w:val="left"/>
              <w:rPr>
                <w:rFonts w:hint="eastAsia"/>
                <w:lang w:eastAsia="zh-CN"/>
              </w:rPr>
            </w:pPr>
            <w:r>
              <w:rPr>
                <w:rFonts w:hint="eastAsia"/>
                <w:lang w:eastAsia="zh-CN"/>
              </w:rPr>
              <w:t>项目用地面积9535.81平方米，总建筑面积为12335.93平方米。其中，审判综合大楼业务用房建筑面积9890平方米，办公用房建筑面积2445.93平方米。</w:t>
            </w:r>
          </w:p>
        </w:tc>
      </w:tr>
      <w:tr w14:paraId="1996B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595" w:type="dxa"/>
            <w:noWrap/>
            <w:vAlign w:val="center"/>
          </w:tcPr>
          <w:p w14:paraId="0B182CC9">
            <w:pPr>
              <w:pStyle w:val="96"/>
              <w:spacing w:before="24" w:after="24" w:line="360" w:lineRule="exact"/>
              <w:rPr>
                <w:rFonts w:hint="eastAsia"/>
              </w:rPr>
            </w:pPr>
            <w:r>
              <w:rPr>
                <w:rFonts w:hint="eastAsia"/>
              </w:rPr>
              <w:t>19</w:t>
            </w:r>
          </w:p>
        </w:tc>
        <w:tc>
          <w:tcPr>
            <w:tcW w:w="1798" w:type="dxa"/>
            <w:vAlign w:val="center"/>
          </w:tcPr>
          <w:p w14:paraId="397AD59D">
            <w:pPr>
              <w:pStyle w:val="96"/>
              <w:spacing w:before="24" w:after="24" w:line="360" w:lineRule="exact"/>
              <w:jc w:val="left"/>
              <w:rPr>
                <w:rFonts w:hint="eastAsia"/>
                <w:lang w:eastAsia="zh-CN"/>
              </w:rPr>
            </w:pPr>
            <w:r>
              <w:rPr>
                <w:rFonts w:hint="eastAsia"/>
                <w:lang w:eastAsia="zh-CN"/>
              </w:rPr>
              <w:t>德钦新县城人民检察院办公、办案和专业技术用房建设项目</w:t>
            </w:r>
          </w:p>
        </w:tc>
        <w:tc>
          <w:tcPr>
            <w:tcW w:w="6674" w:type="dxa"/>
            <w:vAlign w:val="center"/>
          </w:tcPr>
          <w:p w14:paraId="3861C386">
            <w:pPr>
              <w:pStyle w:val="96"/>
              <w:spacing w:before="24" w:after="24" w:line="360" w:lineRule="exact"/>
              <w:jc w:val="left"/>
              <w:rPr>
                <w:rFonts w:hint="eastAsia"/>
                <w:lang w:eastAsia="zh-CN"/>
              </w:rPr>
            </w:pPr>
            <w:r>
              <w:rPr>
                <w:rFonts w:hint="eastAsia"/>
                <w:lang w:eastAsia="zh-CN"/>
              </w:rPr>
              <w:t>项目用地面积6741.64平方米，总建筑面积为5196.27平方米。其中，办公用房建筑面积2021.27平方米（基本办公用房建筑面积1041.37平方米、附属用房建筑面积979.9平方米），检察办案和专业技术用房建筑面积3175平方米。</w:t>
            </w:r>
          </w:p>
        </w:tc>
      </w:tr>
      <w:tr w14:paraId="3946B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6" w:hRule="atLeast"/>
        </w:trPr>
        <w:tc>
          <w:tcPr>
            <w:tcW w:w="595" w:type="dxa"/>
            <w:noWrap/>
            <w:vAlign w:val="center"/>
          </w:tcPr>
          <w:p w14:paraId="46E53F58">
            <w:pPr>
              <w:pStyle w:val="96"/>
              <w:spacing w:before="24" w:after="24" w:line="360" w:lineRule="exact"/>
              <w:rPr>
                <w:rFonts w:hint="eastAsia"/>
              </w:rPr>
            </w:pPr>
            <w:r>
              <w:rPr>
                <w:rFonts w:hint="eastAsia"/>
              </w:rPr>
              <w:t>20</w:t>
            </w:r>
          </w:p>
        </w:tc>
        <w:tc>
          <w:tcPr>
            <w:tcW w:w="1798" w:type="dxa"/>
            <w:vAlign w:val="center"/>
          </w:tcPr>
          <w:p w14:paraId="63BBE96F">
            <w:pPr>
              <w:pStyle w:val="96"/>
              <w:spacing w:before="24" w:after="24" w:line="360" w:lineRule="exact"/>
              <w:jc w:val="left"/>
              <w:rPr>
                <w:rFonts w:hint="eastAsia"/>
                <w:lang w:eastAsia="zh-CN"/>
              </w:rPr>
            </w:pPr>
            <w:r>
              <w:rPr>
                <w:rFonts w:hint="eastAsia"/>
                <w:lang w:eastAsia="zh-CN"/>
              </w:rPr>
              <w:t>德钦新县城司法局业务办公房建设项目</w:t>
            </w:r>
          </w:p>
        </w:tc>
        <w:tc>
          <w:tcPr>
            <w:tcW w:w="6674" w:type="dxa"/>
            <w:vAlign w:val="center"/>
          </w:tcPr>
          <w:p w14:paraId="3AF738B1">
            <w:pPr>
              <w:pStyle w:val="96"/>
              <w:spacing w:before="24" w:after="24" w:line="360" w:lineRule="exact"/>
              <w:jc w:val="left"/>
              <w:rPr>
                <w:rFonts w:hint="eastAsia"/>
                <w:lang w:eastAsia="zh-CN"/>
              </w:rPr>
            </w:pPr>
            <w:r>
              <w:rPr>
                <w:rFonts w:hint="eastAsia"/>
                <w:lang w:eastAsia="zh-CN"/>
              </w:rPr>
              <w:t>项目用地面积5396.69平方米，总建筑面积2656.72平方米，其中，安置帮教基地及智慧矫正中心建筑面积673.01平方米，其他司法业务用房及办公用房建筑面积1983.71平方米。</w:t>
            </w:r>
          </w:p>
        </w:tc>
      </w:tr>
      <w:tr w14:paraId="727A9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595" w:type="dxa"/>
            <w:noWrap/>
            <w:vAlign w:val="center"/>
          </w:tcPr>
          <w:p w14:paraId="680D7A84">
            <w:pPr>
              <w:pStyle w:val="96"/>
              <w:spacing w:before="24" w:after="24" w:line="360" w:lineRule="exact"/>
              <w:rPr>
                <w:rFonts w:hint="eastAsia"/>
              </w:rPr>
            </w:pPr>
            <w:r>
              <w:rPr>
                <w:rFonts w:hint="eastAsia"/>
              </w:rPr>
              <w:t>21</w:t>
            </w:r>
          </w:p>
        </w:tc>
        <w:tc>
          <w:tcPr>
            <w:tcW w:w="1798" w:type="dxa"/>
            <w:vAlign w:val="center"/>
          </w:tcPr>
          <w:p w14:paraId="68221116">
            <w:pPr>
              <w:pStyle w:val="96"/>
              <w:spacing w:before="24" w:after="24" w:line="360" w:lineRule="exact"/>
              <w:jc w:val="left"/>
              <w:rPr>
                <w:rFonts w:hint="eastAsia"/>
                <w:lang w:eastAsia="zh-CN"/>
              </w:rPr>
            </w:pPr>
            <w:r>
              <w:rPr>
                <w:rFonts w:hint="eastAsia"/>
                <w:lang w:eastAsia="zh-CN"/>
              </w:rPr>
              <w:t>德钦新县城人民武装部建设项目</w:t>
            </w:r>
          </w:p>
        </w:tc>
        <w:tc>
          <w:tcPr>
            <w:tcW w:w="6674" w:type="dxa"/>
            <w:vAlign w:val="center"/>
          </w:tcPr>
          <w:p w14:paraId="7DF671D9">
            <w:pPr>
              <w:pStyle w:val="96"/>
              <w:spacing w:before="24" w:after="24" w:line="360" w:lineRule="exact"/>
              <w:jc w:val="left"/>
              <w:rPr>
                <w:rFonts w:hint="eastAsia"/>
                <w:lang w:eastAsia="zh-CN"/>
              </w:rPr>
            </w:pPr>
            <w:r>
              <w:rPr>
                <w:rFonts w:hint="eastAsia" w:ascii="宋体" w:hAnsi="宋体" w:cs="宋体"/>
                <w:lang w:eastAsia="zh-CN"/>
              </w:rPr>
              <w:t>项目用地面积5955.44平方米，总建筑面积4196平方米。其中：办公用房建筑面积330平方米、业务技术用房建筑面积1460平方米、营房建筑面积1494平方米、后勤辅助及特殊功能用房建筑面积912平方米及相关基础配套设施。</w:t>
            </w:r>
          </w:p>
        </w:tc>
      </w:tr>
      <w:tr w14:paraId="44A7A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595" w:type="dxa"/>
            <w:noWrap/>
            <w:vAlign w:val="center"/>
          </w:tcPr>
          <w:p w14:paraId="632D15D8">
            <w:pPr>
              <w:pStyle w:val="96"/>
              <w:spacing w:before="24" w:after="24" w:line="360" w:lineRule="exact"/>
              <w:rPr>
                <w:rFonts w:hint="eastAsia"/>
              </w:rPr>
            </w:pPr>
            <w:r>
              <w:rPr>
                <w:rFonts w:hint="eastAsia"/>
              </w:rPr>
              <w:t>22</w:t>
            </w:r>
          </w:p>
        </w:tc>
        <w:tc>
          <w:tcPr>
            <w:tcW w:w="1798" w:type="dxa"/>
            <w:vAlign w:val="center"/>
          </w:tcPr>
          <w:p w14:paraId="53ABF5C8">
            <w:pPr>
              <w:pStyle w:val="96"/>
              <w:spacing w:before="24" w:after="24" w:line="360" w:lineRule="exact"/>
              <w:jc w:val="left"/>
              <w:rPr>
                <w:rFonts w:hint="eastAsia"/>
                <w:lang w:eastAsia="zh-CN"/>
              </w:rPr>
            </w:pPr>
            <w:r>
              <w:rPr>
                <w:rFonts w:hint="eastAsia"/>
                <w:lang w:eastAsia="zh-CN"/>
              </w:rPr>
              <w:t>德钦新县城监管场所、武警德钦县中队驻训基地建设项目</w:t>
            </w:r>
          </w:p>
        </w:tc>
        <w:tc>
          <w:tcPr>
            <w:tcW w:w="6674" w:type="dxa"/>
            <w:vAlign w:val="center"/>
          </w:tcPr>
          <w:p w14:paraId="0700CC3B">
            <w:pPr>
              <w:pStyle w:val="96"/>
              <w:spacing w:before="24" w:after="24" w:line="360" w:lineRule="exact"/>
              <w:jc w:val="left"/>
              <w:rPr>
                <w:rFonts w:hint="eastAsia"/>
                <w:lang w:eastAsia="zh-CN"/>
              </w:rPr>
            </w:pPr>
            <w:r>
              <w:rPr>
                <w:rFonts w:hint="eastAsia" w:ascii="宋体" w:hAnsi="宋体" w:cs="宋体"/>
                <w:lang w:eastAsia="zh-CN"/>
              </w:rPr>
              <w:t>项目总用地面积53730.82平方米，总建筑面积7292.25平方米，建设看守所、拘留所、武警营房、专业训练场地、绿化、停车场及附属设施。</w:t>
            </w:r>
          </w:p>
        </w:tc>
      </w:tr>
      <w:tr w14:paraId="05068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595" w:type="dxa"/>
            <w:noWrap/>
            <w:vAlign w:val="center"/>
          </w:tcPr>
          <w:p w14:paraId="6FB23F31">
            <w:pPr>
              <w:pStyle w:val="96"/>
              <w:spacing w:before="24" w:after="24" w:line="360" w:lineRule="exact"/>
              <w:rPr>
                <w:rFonts w:hint="eastAsia"/>
              </w:rPr>
            </w:pPr>
            <w:r>
              <w:rPr>
                <w:rFonts w:hint="eastAsia"/>
              </w:rPr>
              <w:t>23</w:t>
            </w:r>
          </w:p>
        </w:tc>
        <w:tc>
          <w:tcPr>
            <w:tcW w:w="1798" w:type="dxa"/>
            <w:vAlign w:val="center"/>
          </w:tcPr>
          <w:p w14:paraId="242F316A">
            <w:pPr>
              <w:pStyle w:val="96"/>
              <w:spacing w:before="24" w:after="24" w:line="360" w:lineRule="exact"/>
              <w:jc w:val="both"/>
              <w:rPr>
                <w:rFonts w:hint="eastAsia"/>
                <w:lang w:eastAsia="zh-CN"/>
              </w:rPr>
            </w:pPr>
            <w:r>
              <w:rPr>
                <w:rFonts w:hint="eastAsia"/>
                <w:lang w:eastAsia="zh-CN"/>
              </w:rPr>
              <w:t>德钦新县城生态环境监测业务用房建设项目</w:t>
            </w:r>
          </w:p>
        </w:tc>
        <w:tc>
          <w:tcPr>
            <w:tcW w:w="6674" w:type="dxa"/>
            <w:vAlign w:val="center"/>
          </w:tcPr>
          <w:p w14:paraId="418777AA">
            <w:pPr>
              <w:pStyle w:val="96"/>
              <w:tabs>
                <w:tab w:val="left" w:pos="648"/>
              </w:tabs>
              <w:spacing w:before="24" w:after="24" w:line="360" w:lineRule="exact"/>
              <w:jc w:val="left"/>
              <w:rPr>
                <w:rFonts w:hint="eastAsia"/>
                <w:lang w:eastAsia="zh-CN"/>
              </w:rPr>
            </w:pPr>
            <w:r>
              <w:rPr>
                <w:rFonts w:hint="eastAsia" w:ascii="宋体" w:hAnsi="宋体" w:cs="宋体"/>
                <w:lang w:eastAsia="zh-CN"/>
              </w:rPr>
              <w:t>项目用地面积2479.43平方米，总建筑面积2205.19平方米，建设一栋生态环境监测业务用房及配套室外附属设施。</w:t>
            </w:r>
          </w:p>
        </w:tc>
      </w:tr>
    </w:tbl>
    <w:p w14:paraId="0C779F98">
      <w:pPr>
        <w:pStyle w:val="64"/>
        <w:spacing w:before="24" w:after="24"/>
        <w:rPr>
          <w:rFonts w:cs="Times New Roman"/>
        </w:rPr>
      </w:pPr>
      <w:bookmarkStart w:id="5" w:name="_Toc221894057"/>
      <w:r>
        <w:rPr>
          <w:rFonts w:cs="Times New Roman"/>
        </w:rPr>
        <w:t>4、工程用地位置</w:t>
      </w:r>
      <w:bookmarkEnd w:id="5"/>
    </w:p>
    <w:p w14:paraId="6432487B">
      <w:pPr>
        <w:pStyle w:val="54"/>
        <w:spacing w:before="24" w:after="24"/>
      </w:pPr>
      <w:r>
        <w:t>项目规划用地位于云南省迪庆藏族自治州德钦县叶枝镇，位于云南省西北部、迪庆藏族自治州西北部、德钦县域西南部，北毗巴迪乡，南邻维西县康普乡，东邻香格里拉市，西邻怒江州贡山县、福贡县。叶枝镇距离升平镇约85公里，距香格里拉直线距离65公里。</w:t>
      </w:r>
    </w:p>
    <w:p w14:paraId="781394B6">
      <w:pPr>
        <w:pStyle w:val="85"/>
        <w:rPr>
          <w:rFonts w:ascii="Times New Roman" w:hAnsi="Times New Roman" w:cs="Times New Roman"/>
        </w:rPr>
      </w:pPr>
      <w:r>
        <w:rPr>
          <w:rFonts w:ascii="Times New Roman" w:hAnsi="Times New Roman" w:cs="Times New Roman"/>
        </w:rPr>
        <w:drawing>
          <wp:inline distT="0" distB="0" distL="114300" distR="114300">
            <wp:extent cx="4843780" cy="2874645"/>
            <wp:effectExtent l="0" t="0" r="13970" b="1905"/>
            <wp:docPr id="3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5"/>
                    <pic:cNvPicPr>
                      <a:picLocks noChangeAspect="1"/>
                    </pic:cNvPicPr>
                  </pic:nvPicPr>
                  <pic:blipFill>
                    <a:blip r:embed="rId12"/>
                    <a:stretch>
                      <a:fillRect/>
                    </a:stretch>
                  </pic:blipFill>
                  <pic:spPr>
                    <a:xfrm>
                      <a:off x="0" y="0"/>
                      <a:ext cx="4843780" cy="2874645"/>
                    </a:xfrm>
                    <a:prstGeom prst="rect">
                      <a:avLst/>
                    </a:prstGeom>
                  </pic:spPr>
                </pic:pic>
              </a:graphicData>
            </a:graphic>
          </wp:inline>
        </w:drawing>
      </w:r>
    </w:p>
    <w:p w14:paraId="223CF7E4">
      <w:pPr>
        <w:spacing w:before="24" w:after="24"/>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br w:type="page"/>
      </w:r>
    </w:p>
    <w:p w14:paraId="17FE9D5A">
      <w:pPr>
        <w:pStyle w:val="62"/>
        <w:rPr>
          <w:highlight w:val="yellow"/>
        </w:rPr>
      </w:pPr>
      <w:bookmarkStart w:id="6" w:name="_Toc221894058"/>
      <w:r>
        <w:t>（二）工程规模</w:t>
      </w:r>
      <w:bookmarkEnd w:id="6"/>
    </w:p>
    <w:p w14:paraId="1DE75007">
      <w:pPr>
        <w:pStyle w:val="54"/>
        <w:spacing w:before="24" w:after="24"/>
      </w:pPr>
      <w:r>
        <w:t>（1）二期项目总投资约</w:t>
      </w:r>
      <w:r>
        <w:rPr>
          <w:rFonts w:hint="eastAsia"/>
        </w:rPr>
        <w:t>153396.75</w:t>
      </w:r>
      <w:r>
        <w:t>万元。</w:t>
      </w:r>
    </w:p>
    <w:p w14:paraId="4DF5D736">
      <w:pPr>
        <w:pStyle w:val="54"/>
        <w:spacing w:before="24" w:after="24"/>
      </w:pPr>
      <w:r>
        <w:t>（2）总建筑面积：</w:t>
      </w:r>
      <w:r>
        <w:rPr>
          <w:rFonts w:hint="eastAsia"/>
        </w:rPr>
        <w:t>95765.45</w:t>
      </w:r>
      <w:r>
        <w:t>㎡。</w:t>
      </w:r>
    </w:p>
    <w:p w14:paraId="6B4E1512">
      <w:pPr>
        <w:pStyle w:val="54"/>
        <w:spacing w:before="24" w:after="24"/>
      </w:pPr>
      <w:r>
        <w:t>（3）项目用地规划：</w:t>
      </w:r>
    </w:p>
    <w:p w14:paraId="2D8B474E">
      <w:pPr>
        <w:pStyle w:val="54"/>
        <w:spacing w:before="24" w:after="24"/>
      </w:pPr>
      <w:r>
        <w:t>项目总用地面积约</w:t>
      </w:r>
      <w:r>
        <w:rPr>
          <w:rFonts w:hint="eastAsia"/>
        </w:rPr>
        <w:t>981.11</w:t>
      </w:r>
      <w:r>
        <w:t>亩，项目用地不涉及生态保护红线，不涉及占用永久基本农田，在城镇开发边界内，符合《德钦县国土空间总体规划（2021-2035年）》的要求。</w:t>
      </w:r>
    </w:p>
    <w:p w14:paraId="533B473D">
      <w:pPr>
        <w:pStyle w:val="62"/>
      </w:pPr>
      <w:bookmarkStart w:id="7" w:name="_Toc221894059"/>
      <w:r>
        <w:t>（三）项目设计技术指标</w:t>
      </w:r>
      <w:bookmarkEnd w:id="7"/>
    </w:p>
    <w:p w14:paraId="2428C913">
      <w:pPr>
        <w:pStyle w:val="64"/>
        <w:spacing w:before="24" w:after="24"/>
        <w:rPr>
          <w:rFonts w:cs="Times New Roman"/>
        </w:rPr>
      </w:pPr>
      <w:bookmarkStart w:id="8" w:name="_Toc221894060"/>
      <w:r>
        <w:rPr>
          <w:rFonts w:cs="Times New Roman"/>
        </w:rPr>
        <w:t>1、规划设计指标</w:t>
      </w:r>
      <w:bookmarkEnd w:id="8"/>
    </w:p>
    <w:tbl>
      <w:tblPr>
        <w:tblStyle w:val="31"/>
        <w:tblW w:w="9241" w:type="dxa"/>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top w:w="0" w:type="dxa"/>
          <w:left w:w="108" w:type="dxa"/>
          <w:bottom w:w="0" w:type="dxa"/>
          <w:right w:w="108" w:type="dxa"/>
        </w:tblCellMar>
      </w:tblPr>
      <w:tblGrid>
        <w:gridCol w:w="585"/>
        <w:gridCol w:w="1773"/>
        <w:gridCol w:w="1323"/>
        <w:gridCol w:w="1110"/>
        <w:gridCol w:w="755"/>
        <w:gridCol w:w="959"/>
        <w:gridCol w:w="859"/>
        <w:gridCol w:w="926"/>
        <w:gridCol w:w="951"/>
      </w:tblGrid>
      <w:tr w14:paraId="3B85C7C4">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57" w:hRule="atLeast"/>
          <w:tblHeader/>
        </w:trPr>
        <w:tc>
          <w:tcPr>
            <w:tcW w:w="9241" w:type="dxa"/>
            <w:gridSpan w:val="9"/>
            <w:tcBorders>
              <w:top w:val="single" w:color="000000" w:sz="4" w:space="0"/>
              <w:left w:val="single" w:color="000000" w:sz="4" w:space="0"/>
              <w:bottom w:val="single" w:color="000000" w:sz="4" w:space="0"/>
              <w:right w:val="single" w:color="000000" w:sz="4" w:space="0"/>
            </w:tcBorders>
            <w:vAlign w:val="center"/>
          </w:tcPr>
          <w:p w14:paraId="4BB6B68B">
            <w:pPr>
              <w:pStyle w:val="71"/>
              <w:spacing w:before="24" w:after="24"/>
              <w:rPr>
                <w:rFonts w:cs="Times New Roman"/>
              </w:rPr>
            </w:pPr>
            <w:r>
              <w:rPr>
                <w:rFonts w:cs="Times New Roman"/>
              </w:rPr>
              <w:t>德钦县城地质灾害避险搬迁近期建设项目二期</w:t>
            </w:r>
          </w:p>
        </w:tc>
      </w:tr>
      <w:tr w14:paraId="3D4D86BC">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57" w:hRule="atLeast"/>
          <w:tblHeader/>
        </w:trPr>
        <w:tc>
          <w:tcPr>
            <w:tcW w:w="585" w:type="dxa"/>
            <w:tcBorders>
              <w:top w:val="single" w:color="000000" w:sz="4" w:space="0"/>
              <w:left w:val="single" w:color="000000" w:sz="4" w:space="0"/>
              <w:bottom w:val="single" w:color="000000" w:sz="4" w:space="0"/>
              <w:right w:val="single" w:color="000000" w:sz="4" w:space="0"/>
            </w:tcBorders>
            <w:vAlign w:val="center"/>
          </w:tcPr>
          <w:p w14:paraId="164D78CE">
            <w:pPr>
              <w:pStyle w:val="71"/>
              <w:spacing w:before="24" w:after="24"/>
              <w:rPr>
                <w:rFonts w:cs="Times New Roman"/>
              </w:rPr>
            </w:pPr>
            <w:r>
              <w:rPr>
                <w:rFonts w:cs="Times New Roman"/>
              </w:rPr>
              <w:t>序号</w:t>
            </w:r>
          </w:p>
        </w:tc>
        <w:tc>
          <w:tcPr>
            <w:tcW w:w="1773" w:type="dxa"/>
            <w:tcBorders>
              <w:top w:val="single" w:color="000000" w:sz="4" w:space="0"/>
              <w:left w:val="nil"/>
              <w:bottom w:val="single" w:color="000000" w:sz="4" w:space="0"/>
              <w:right w:val="single" w:color="000000" w:sz="4" w:space="0"/>
            </w:tcBorders>
            <w:vAlign w:val="center"/>
          </w:tcPr>
          <w:p w14:paraId="35203F11">
            <w:pPr>
              <w:pStyle w:val="71"/>
              <w:spacing w:before="24" w:after="24"/>
              <w:rPr>
                <w:rFonts w:cs="Times New Roman"/>
              </w:rPr>
            </w:pPr>
            <w:r>
              <w:rPr>
                <w:rFonts w:cs="Times New Roman"/>
              </w:rPr>
              <w:t>项目名称</w:t>
            </w:r>
          </w:p>
        </w:tc>
        <w:tc>
          <w:tcPr>
            <w:tcW w:w="1323" w:type="dxa"/>
            <w:tcBorders>
              <w:top w:val="single" w:color="000000" w:sz="4" w:space="0"/>
              <w:left w:val="nil"/>
              <w:bottom w:val="single" w:color="000000" w:sz="4" w:space="0"/>
              <w:right w:val="single" w:color="000000" w:sz="4" w:space="0"/>
            </w:tcBorders>
            <w:vAlign w:val="center"/>
          </w:tcPr>
          <w:p w14:paraId="31204CEA">
            <w:pPr>
              <w:pStyle w:val="71"/>
              <w:spacing w:before="24" w:after="24"/>
              <w:rPr>
                <w:rFonts w:cs="Times New Roman"/>
              </w:rPr>
            </w:pPr>
            <w:r>
              <w:rPr>
                <w:rFonts w:cs="Times New Roman"/>
              </w:rPr>
              <w:t>地块编号</w:t>
            </w:r>
          </w:p>
        </w:tc>
        <w:tc>
          <w:tcPr>
            <w:tcW w:w="1110" w:type="dxa"/>
            <w:tcBorders>
              <w:top w:val="single" w:color="000000" w:sz="4" w:space="0"/>
              <w:left w:val="nil"/>
              <w:bottom w:val="single" w:color="000000" w:sz="4" w:space="0"/>
              <w:right w:val="single" w:color="000000" w:sz="4" w:space="0"/>
            </w:tcBorders>
            <w:vAlign w:val="center"/>
          </w:tcPr>
          <w:p w14:paraId="3F336967">
            <w:pPr>
              <w:pStyle w:val="71"/>
              <w:spacing w:before="24" w:after="24"/>
              <w:rPr>
                <w:rFonts w:cs="Times New Roman"/>
              </w:rPr>
            </w:pPr>
            <w:r>
              <w:rPr>
                <w:rFonts w:cs="Times New Roman"/>
              </w:rPr>
              <w:t>用地面积（亩）</w:t>
            </w:r>
          </w:p>
        </w:tc>
        <w:tc>
          <w:tcPr>
            <w:tcW w:w="755" w:type="dxa"/>
            <w:tcBorders>
              <w:top w:val="single" w:color="000000" w:sz="4" w:space="0"/>
              <w:left w:val="nil"/>
              <w:bottom w:val="single" w:color="000000" w:sz="4" w:space="0"/>
              <w:right w:val="single" w:color="000000" w:sz="4" w:space="0"/>
            </w:tcBorders>
            <w:vAlign w:val="center"/>
          </w:tcPr>
          <w:p w14:paraId="325F5755">
            <w:pPr>
              <w:pStyle w:val="71"/>
              <w:spacing w:before="24" w:after="24"/>
              <w:rPr>
                <w:rFonts w:cs="Times New Roman"/>
              </w:rPr>
            </w:pPr>
            <w:r>
              <w:rPr>
                <w:rFonts w:cs="Times New Roman"/>
              </w:rPr>
              <w:t>容积率</w:t>
            </w:r>
          </w:p>
        </w:tc>
        <w:tc>
          <w:tcPr>
            <w:tcW w:w="959" w:type="dxa"/>
            <w:tcBorders>
              <w:top w:val="single" w:color="000000" w:sz="4" w:space="0"/>
              <w:left w:val="nil"/>
              <w:bottom w:val="single" w:color="000000" w:sz="4" w:space="0"/>
              <w:right w:val="single" w:color="000000" w:sz="4" w:space="0"/>
            </w:tcBorders>
            <w:vAlign w:val="center"/>
          </w:tcPr>
          <w:p w14:paraId="0EA6133A">
            <w:pPr>
              <w:pStyle w:val="71"/>
              <w:spacing w:before="24" w:after="24"/>
              <w:rPr>
                <w:rFonts w:cs="Times New Roman"/>
              </w:rPr>
            </w:pPr>
            <w:r>
              <w:rPr>
                <w:rFonts w:cs="Times New Roman"/>
              </w:rPr>
              <w:t>绿地率（%）</w:t>
            </w:r>
          </w:p>
        </w:tc>
        <w:tc>
          <w:tcPr>
            <w:tcW w:w="859" w:type="dxa"/>
            <w:tcBorders>
              <w:top w:val="single" w:color="000000" w:sz="4" w:space="0"/>
              <w:left w:val="nil"/>
              <w:bottom w:val="single" w:color="000000" w:sz="4" w:space="0"/>
              <w:right w:val="single" w:color="000000" w:sz="4" w:space="0"/>
            </w:tcBorders>
            <w:vAlign w:val="center"/>
          </w:tcPr>
          <w:p w14:paraId="143C4627">
            <w:pPr>
              <w:pStyle w:val="71"/>
              <w:spacing w:before="24" w:after="24"/>
              <w:rPr>
                <w:rFonts w:cs="Times New Roman"/>
              </w:rPr>
            </w:pPr>
            <w:r>
              <w:rPr>
                <w:rFonts w:cs="Times New Roman"/>
              </w:rPr>
              <w:t>建筑密度（%）</w:t>
            </w:r>
          </w:p>
        </w:tc>
        <w:tc>
          <w:tcPr>
            <w:tcW w:w="926" w:type="dxa"/>
            <w:tcBorders>
              <w:top w:val="single" w:color="000000" w:sz="4" w:space="0"/>
              <w:left w:val="nil"/>
              <w:bottom w:val="single" w:color="000000" w:sz="4" w:space="0"/>
              <w:right w:val="single" w:color="000000" w:sz="4" w:space="0"/>
            </w:tcBorders>
            <w:vAlign w:val="center"/>
          </w:tcPr>
          <w:p w14:paraId="675C14D7">
            <w:pPr>
              <w:pStyle w:val="71"/>
              <w:spacing w:before="24" w:after="24"/>
              <w:rPr>
                <w:rFonts w:cs="Times New Roman"/>
              </w:rPr>
            </w:pPr>
            <w:r>
              <w:rPr>
                <w:rFonts w:cs="Times New Roman"/>
              </w:rPr>
              <w:t>建筑限高（m）</w:t>
            </w:r>
          </w:p>
        </w:tc>
        <w:tc>
          <w:tcPr>
            <w:tcW w:w="947" w:type="dxa"/>
            <w:tcBorders>
              <w:top w:val="single" w:color="000000" w:sz="4" w:space="0"/>
              <w:left w:val="nil"/>
              <w:bottom w:val="single" w:color="000000" w:sz="4" w:space="0"/>
              <w:right w:val="single" w:color="000000" w:sz="4" w:space="0"/>
            </w:tcBorders>
            <w:vAlign w:val="center"/>
          </w:tcPr>
          <w:p w14:paraId="22EB8964">
            <w:pPr>
              <w:pStyle w:val="71"/>
              <w:spacing w:before="24" w:after="24"/>
              <w:rPr>
                <w:rFonts w:cs="Times New Roman"/>
              </w:rPr>
            </w:pPr>
            <w:r>
              <w:rPr>
                <w:rFonts w:cs="Times New Roman"/>
              </w:rPr>
              <w:t>用地</w:t>
            </w:r>
          </w:p>
          <w:p w14:paraId="529871AB">
            <w:pPr>
              <w:pStyle w:val="71"/>
              <w:spacing w:before="24" w:after="24"/>
              <w:rPr>
                <w:rFonts w:cs="Times New Roman"/>
              </w:rPr>
            </w:pPr>
            <w:r>
              <w:rPr>
                <w:rFonts w:cs="Times New Roman"/>
              </w:rPr>
              <w:t>性质</w:t>
            </w:r>
          </w:p>
        </w:tc>
      </w:tr>
      <w:tr w14:paraId="1F011CB8">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57" w:hRule="atLeast"/>
        </w:trPr>
        <w:tc>
          <w:tcPr>
            <w:tcW w:w="585" w:type="dxa"/>
            <w:tcBorders>
              <w:top w:val="nil"/>
              <w:left w:val="single" w:color="000000" w:sz="4" w:space="0"/>
              <w:bottom w:val="single" w:color="000000" w:sz="4" w:space="0"/>
              <w:right w:val="single" w:color="000000" w:sz="4" w:space="0"/>
            </w:tcBorders>
            <w:vAlign w:val="center"/>
          </w:tcPr>
          <w:p w14:paraId="6236BD6D">
            <w:pPr>
              <w:pStyle w:val="71"/>
              <w:spacing w:before="24" w:after="24"/>
              <w:rPr>
                <w:rFonts w:cs="Times New Roman"/>
              </w:rPr>
            </w:pPr>
            <w:r>
              <w:rPr>
                <w:rFonts w:cs="Times New Roman"/>
              </w:rPr>
              <w:t>1</w:t>
            </w:r>
          </w:p>
        </w:tc>
        <w:tc>
          <w:tcPr>
            <w:tcW w:w="1773" w:type="dxa"/>
            <w:tcBorders>
              <w:top w:val="nil"/>
              <w:left w:val="nil"/>
              <w:bottom w:val="single" w:color="000000" w:sz="4" w:space="0"/>
              <w:right w:val="single" w:color="000000" w:sz="4" w:space="0"/>
            </w:tcBorders>
            <w:vAlign w:val="center"/>
          </w:tcPr>
          <w:p w14:paraId="690DE459">
            <w:pPr>
              <w:pStyle w:val="71"/>
              <w:spacing w:before="24" w:after="24"/>
              <w:rPr>
                <w:rFonts w:cs="Times New Roman"/>
              </w:rPr>
            </w:pPr>
            <w:r>
              <w:rPr>
                <w:rFonts w:cs="Times New Roman"/>
              </w:rPr>
              <w:t>德钦新县城中学建设项目（二期）</w:t>
            </w:r>
          </w:p>
        </w:tc>
        <w:tc>
          <w:tcPr>
            <w:tcW w:w="1323" w:type="dxa"/>
            <w:tcBorders>
              <w:top w:val="single" w:color="000000" w:sz="4" w:space="0"/>
              <w:left w:val="nil"/>
              <w:bottom w:val="single" w:color="000000" w:sz="4" w:space="0"/>
              <w:right w:val="single" w:color="000000" w:sz="4" w:space="0"/>
            </w:tcBorders>
            <w:vAlign w:val="center"/>
          </w:tcPr>
          <w:p w14:paraId="54FE1DCC">
            <w:pPr>
              <w:pStyle w:val="71"/>
              <w:spacing w:before="24" w:after="24"/>
              <w:rPr>
                <w:rFonts w:cs="Times New Roman"/>
              </w:rPr>
            </w:pPr>
            <w:r>
              <w:rPr>
                <w:rFonts w:cs="Times New Roman"/>
              </w:rPr>
              <w:t>03-11</w:t>
            </w:r>
          </w:p>
        </w:tc>
        <w:tc>
          <w:tcPr>
            <w:tcW w:w="1110" w:type="dxa"/>
            <w:tcBorders>
              <w:top w:val="single" w:color="000000" w:sz="4" w:space="0"/>
              <w:left w:val="nil"/>
              <w:bottom w:val="single" w:color="000000" w:sz="4" w:space="0"/>
              <w:right w:val="single" w:color="000000" w:sz="4" w:space="0"/>
            </w:tcBorders>
            <w:vAlign w:val="center"/>
          </w:tcPr>
          <w:p w14:paraId="33C9F16E">
            <w:pPr>
              <w:pStyle w:val="71"/>
              <w:spacing w:before="24" w:after="24"/>
              <w:rPr>
                <w:rFonts w:cs="Times New Roman"/>
              </w:rPr>
            </w:pPr>
            <w:r>
              <w:rPr>
                <w:rFonts w:cs="Times New Roman"/>
              </w:rPr>
              <w:t>70.84</w:t>
            </w:r>
          </w:p>
        </w:tc>
        <w:tc>
          <w:tcPr>
            <w:tcW w:w="755" w:type="dxa"/>
            <w:tcBorders>
              <w:top w:val="single" w:color="000000" w:sz="4" w:space="0"/>
              <w:left w:val="nil"/>
              <w:bottom w:val="single" w:color="000000" w:sz="4" w:space="0"/>
              <w:right w:val="single" w:color="000000" w:sz="4" w:space="0"/>
            </w:tcBorders>
            <w:vAlign w:val="center"/>
          </w:tcPr>
          <w:p w14:paraId="653FC607">
            <w:pPr>
              <w:pStyle w:val="71"/>
              <w:spacing w:before="24" w:after="24"/>
              <w:rPr>
                <w:rFonts w:cs="Times New Roman"/>
              </w:rPr>
            </w:pPr>
            <w:r>
              <w:rPr>
                <w:rFonts w:cs="Times New Roman"/>
              </w:rPr>
              <w:t>1</w:t>
            </w:r>
          </w:p>
        </w:tc>
        <w:tc>
          <w:tcPr>
            <w:tcW w:w="959" w:type="dxa"/>
            <w:tcBorders>
              <w:top w:val="single" w:color="000000" w:sz="4" w:space="0"/>
              <w:left w:val="nil"/>
              <w:bottom w:val="single" w:color="000000" w:sz="4" w:space="0"/>
              <w:right w:val="single" w:color="000000" w:sz="4" w:space="0"/>
            </w:tcBorders>
            <w:vAlign w:val="center"/>
          </w:tcPr>
          <w:p w14:paraId="5A9CD5CE">
            <w:pPr>
              <w:pStyle w:val="71"/>
              <w:spacing w:before="24" w:after="24"/>
              <w:rPr>
                <w:rFonts w:cs="Times New Roman"/>
              </w:rPr>
            </w:pPr>
            <w:r>
              <w:rPr>
                <w:rFonts w:cs="Times New Roman"/>
              </w:rPr>
              <w:t>30</w:t>
            </w:r>
          </w:p>
        </w:tc>
        <w:tc>
          <w:tcPr>
            <w:tcW w:w="859" w:type="dxa"/>
            <w:tcBorders>
              <w:top w:val="single" w:color="000000" w:sz="4" w:space="0"/>
              <w:left w:val="nil"/>
              <w:bottom w:val="single" w:color="000000" w:sz="4" w:space="0"/>
              <w:right w:val="single" w:color="000000" w:sz="4" w:space="0"/>
            </w:tcBorders>
            <w:vAlign w:val="center"/>
          </w:tcPr>
          <w:p w14:paraId="4DC322D1">
            <w:pPr>
              <w:pStyle w:val="71"/>
              <w:spacing w:before="24" w:after="24"/>
              <w:rPr>
                <w:rFonts w:cs="Times New Roman"/>
              </w:rPr>
            </w:pPr>
            <w:r>
              <w:rPr>
                <w:rFonts w:cs="Times New Roman"/>
              </w:rPr>
              <w:t>40</w:t>
            </w:r>
          </w:p>
        </w:tc>
        <w:tc>
          <w:tcPr>
            <w:tcW w:w="926" w:type="dxa"/>
            <w:tcBorders>
              <w:top w:val="single" w:color="000000" w:sz="4" w:space="0"/>
              <w:left w:val="nil"/>
              <w:bottom w:val="single" w:color="000000" w:sz="4" w:space="0"/>
              <w:right w:val="single" w:color="000000" w:sz="4" w:space="0"/>
            </w:tcBorders>
            <w:vAlign w:val="center"/>
          </w:tcPr>
          <w:p w14:paraId="521B83BE">
            <w:pPr>
              <w:pStyle w:val="71"/>
              <w:spacing w:before="24" w:after="24"/>
              <w:rPr>
                <w:rFonts w:cs="Times New Roman"/>
              </w:rPr>
            </w:pPr>
            <w:r>
              <w:rPr>
                <w:rFonts w:cs="Times New Roman"/>
              </w:rPr>
              <w:t>24</w:t>
            </w:r>
          </w:p>
        </w:tc>
        <w:tc>
          <w:tcPr>
            <w:tcW w:w="947" w:type="dxa"/>
            <w:tcBorders>
              <w:top w:val="single" w:color="000000" w:sz="4" w:space="0"/>
              <w:left w:val="nil"/>
              <w:bottom w:val="single" w:color="000000" w:sz="4" w:space="0"/>
              <w:right w:val="single" w:color="000000" w:sz="4" w:space="0"/>
            </w:tcBorders>
            <w:vAlign w:val="center"/>
          </w:tcPr>
          <w:p w14:paraId="0499E55F">
            <w:pPr>
              <w:pStyle w:val="71"/>
              <w:spacing w:before="24" w:after="24"/>
              <w:rPr>
                <w:rFonts w:cs="Times New Roman"/>
              </w:rPr>
            </w:pPr>
            <w:r>
              <w:rPr>
                <w:rFonts w:cs="Times New Roman"/>
              </w:rPr>
              <w:t>中小学用地</w:t>
            </w:r>
          </w:p>
        </w:tc>
      </w:tr>
      <w:tr w14:paraId="21681EA1">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57" w:hRule="atLeast"/>
        </w:trPr>
        <w:tc>
          <w:tcPr>
            <w:tcW w:w="585" w:type="dxa"/>
            <w:tcBorders>
              <w:top w:val="single" w:color="000000" w:sz="4" w:space="0"/>
              <w:left w:val="single" w:color="000000" w:sz="4" w:space="0"/>
              <w:bottom w:val="single" w:color="000000" w:sz="4" w:space="0"/>
              <w:right w:val="single" w:color="000000" w:sz="4" w:space="0"/>
            </w:tcBorders>
            <w:vAlign w:val="center"/>
          </w:tcPr>
          <w:p w14:paraId="08B782F5">
            <w:pPr>
              <w:pStyle w:val="71"/>
              <w:spacing w:before="24" w:after="24"/>
              <w:rPr>
                <w:rFonts w:cs="Times New Roman"/>
              </w:rPr>
            </w:pPr>
            <w:r>
              <w:rPr>
                <w:rFonts w:cs="Times New Roman"/>
              </w:rPr>
              <w:t>2</w:t>
            </w:r>
          </w:p>
        </w:tc>
        <w:tc>
          <w:tcPr>
            <w:tcW w:w="1773" w:type="dxa"/>
            <w:tcBorders>
              <w:top w:val="single" w:color="000000" w:sz="4" w:space="0"/>
              <w:left w:val="nil"/>
              <w:bottom w:val="single" w:color="000000" w:sz="4" w:space="0"/>
              <w:right w:val="single" w:color="000000" w:sz="4" w:space="0"/>
            </w:tcBorders>
            <w:vAlign w:val="center"/>
          </w:tcPr>
          <w:p w14:paraId="0327A8C1">
            <w:pPr>
              <w:pStyle w:val="71"/>
              <w:spacing w:before="24" w:after="24"/>
              <w:rPr>
                <w:rFonts w:cs="Times New Roman"/>
              </w:rPr>
            </w:pPr>
            <w:r>
              <w:rPr>
                <w:rFonts w:cs="Times New Roman"/>
              </w:rPr>
              <w:t>德钦新县城叶枝15分钟综合服务中心建设项目</w:t>
            </w:r>
          </w:p>
        </w:tc>
        <w:tc>
          <w:tcPr>
            <w:tcW w:w="1323" w:type="dxa"/>
            <w:tcBorders>
              <w:top w:val="single" w:color="000000" w:sz="4" w:space="0"/>
              <w:left w:val="nil"/>
              <w:bottom w:val="single" w:color="000000" w:sz="4" w:space="0"/>
              <w:right w:val="single" w:color="000000" w:sz="4" w:space="0"/>
            </w:tcBorders>
            <w:vAlign w:val="center"/>
          </w:tcPr>
          <w:p w14:paraId="2381ACFC">
            <w:pPr>
              <w:pStyle w:val="71"/>
              <w:spacing w:before="24" w:after="24"/>
              <w:rPr>
                <w:rFonts w:cs="Times New Roman"/>
              </w:rPr>
            </w:pPr>
            <w:r>
              <w:rPr>
                <w:rFonts w:cs="Times New Roman"/>
              </w:rPr>
              <w:t>04-05</w:t>
            </w:r>
          </w:p>
        </w:tc>
        <w:tc>
          <w:tcPr>
            <w:tcW w:w="1110" w:type="dxa"/>
            <w:tcBorders>
              <w:top w:val="single" w:color="000000" w:sz="4" w:space="0"/>
              <w:left w:val="nil"/>
              <w:bottom w:val="single" w:color="000000" w:sz="4" w:space="0"/>
              <w:right w:val="single" w:color="000000" w:sz="4" w:space="0"/>
            </w:tcBorders>
            <w:vAlign w:val="center"/>
          </w:tcPr>
          <w:p w14:paraId="40D61438">
            <w:pPr>
              <w:pStyle w:val="71"/>
              <w:spacing w:before="24" w:after="24"/>
              <w:rPr>
                <w:rFonts w:cs="Times New Roman"/>
              </w:rPr>
            </w:pPr>
            <w:r>
              <w:rPr>
                <w:rFonts w:cs="Times New Roman"/>
              </w:rPr>
              <w:t>17.72</w:t>
            </w:r>
          </w:p>
        </w:tc>
        <w:tc>
          <w:tcPr>
            <w:tcW w:w="755" w:type="dxa"/>
            <w:tcBorders>
              <w:top w:val="single" w:color="000000" w:sz="4" w:space="0"/>
              <w:left w:val="nil"/>
              <w:bottom w:val="single" w:color="000000" w:sz="4" w:space="0"/>
              <w:right w:val="single" w:color="000000" w:sz="4" w:space="0"/>
            </w:tcBorders>
            <w:vAlign w:val="center"/>
          </w:tcPr>
          <w:p w14:paraId="6FD27C90">
            <w:pPr>
              <w:pStyle w:val="71"/>
              <w:spacing w:before="24" w:after="24"/>
              <w:rPr>
                <w:rFonts w:cs="Times New Roman"/>
              </w:rPr>
            </w:pPr>
            <w:r>
              <w:rPr>
                <w:rFonts w:cs="Times New Roman"/>
              </w:rPr>
              <w:t>1.2</w:t>
            </w:r>
          </w:p>
        </w:tc>
        <w:tc>
          <w:tcPr>
            <w:tcW w:w="959" w:type="dxa"/>
            <w:tcBorders>
              <w:top w:val="single" w:color="000000" w:sz="4" w:space="0"/>
              <w:left w:val="nil"/>
              <w:bottom w:val="single" w:color="000000" w:sz="4" w:space="0"/>
              <w:right w:val="single" w:color="000000" w:sz="4" w:space="0"/>
            </w:tcBorders>
            <w:vAlign w:val="center"/>
          </w:tcPr>
          <w:p w14:paraId="79018071">
            <w:pPr>
              <w:pStyle w:val="71"/>
              <w:spacing w:before="24" w:after="24"/>
              <w:rPr>
                <w:rFonts w:cs="Times New Roman"/>
              </w:rPr>
            </w:pPr>
            <w:r>
              <w:rPr>
                <w:rFonts w:cs="Times New Roman"/>
              </w:rPr>
              <w:t>30</w:t>
            </w:r>
          </w:p>
        </w:tc>
        <w:tc>
          <w:tcPr>
            <w:tcW w:w="859" w:type="dxa"/>
            <w:tcBorders>
              <w:top w:val="single" w:color="000000" w:sz="4" w:space="0"/>
              <w:left w:val="nil"/>
              <w:bottom w:val="single" w:color="000000" w:sz="4" w:space="0"/>
              <w:right w:val="single" w:color="000000" w:sz="4" w:space="0"/>
            </w:tcBorders>
            <w:vAlign w:val="center"/>
          </w:tcPr>
          <w:p w14:paraId="49A9710D">
            <w:pPr>
              <w:pStyle w:val="71"/>
              <w:spacing w:before="24" w:after="24"/>
              <w:rPr>
                <w:rFonts w:cs="Times New Roman"/>
              </w:rPr>
            </w:pPr>
            <w:r>
              <w:rPr>
                <w:rFonts w:cs="Times New Roman"/>
              </w:rPr>
              <w:t>40</w:t>
            </w:r>
          </w:p>
        </w:tc>
        <w:tc>
          <w:tcPr>
            <w:tcW w:w="926" w:type="dxa"/>
            <w:tcBorders>
              <w:top w:val="single" w:color="000000" w:sz="4" w:space="0"/>
              <w:left w:val="nil"/>
              <w:bottom w:val="single" w:color="000000" w:sz="4" w:space="0"/>
              <w:right w:val="single" w:color="000000" w:sz="4" w:space="0"/>
            </w:tcBorders>
            <w:vAlign w:val="center"/>
          </w:tcPr>
          <w:p w14:paraId="0462DF43">
            <w:pPr>
              <w:pStyle w:val="71"/>
              <w:spacing w:before="24" w:after="24"/>
              <w:rPr>
                <w:rFonts w:cs="Times New Roman"/>
              </w:rPr>
            </w:pPr>
            <w:r>
              <w:rPr>
                <w:rFonts w:cs="Times New Roman"/>
              </w:rPr>
              <w:t>21</w:t>
            </w:r>
          </w:p>
        </w:tc>
        <w:tc>
          <w:tcPr>
            <w:tcW w:w="947" w:type="dxa"/>
            <w:tcBorders>
              <w:top w:val="single" w:color="000000" w:sz="4" w:space="0"/>
              <w:left w:val="nil"/>
              <w:bottom w:val="single" w:color="000000" w:sz="4" w:space="0"/>
              <w:right w:val="single" w:color="000000" w:sz="4" w:space="0"/>
            </w:tcBorders>
            <w:vAlign w:val="center"/>
          </w:tcPr>
          <w:p w14:paraId="601BB127">
            <w:pPr>
              <w:pStyle w:val="71"/>
              <w:spacing w:before="24" w:after="24"/>
              <w:rPr>
                <w:rFonts w:cs="Times New Roman"/>
              </w:rPr>
            </w:pPr>
            <w:r>
              <w:rPr>
                <w:rFonts w:cs="Times New Roman"/>
              </w:rPr>
              <w:t>社会福利用地</w:t>
            </w:r>
          </w:p>
        </w:tc>
      </w:tr>
      <w:tr w14:paraId="7BBE4476">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57" w:hRule="atLeast"/>
        </w:trPr>
        <w:tc>
          <w:tcPr>
            <w:tcW w:w="585" w:type="dxa"/>
            <w:tcBorders>
              <w:top w:val="single" w:color="000000" w:sz="4" w:space="0"/>
              <w:left w:val="single" w:color="000000" w:sz="4" w:space="0"/>
              <w:bottom w:val="single" w:color="000000" w:sz="4" w:space="0"/>
              <w:right w:val="single" w:color="000000" w:sz="4" w:space="0"/>
            </w:tcBorders>
            <w:vAlign w:val="center"/>
          </w:tcPr>
          <w:p w14:paraId="326BCAD3">
            <w:pPr>
              <w:pStyle w:val="71"/>
              <w:spacing w:before="24" w:after="24"/>
              <w:rPr>
                <w:rFonts w:cs="Times New Roman"/>
              </w:rPr>
            </w:pPr>
            <w:r>
              <w:rPr>
                <w:rFonts w:cs="Times New Roman"/>
              </w:rPr>
              <w:t>3</w:t>
            </w:r>
          </w:p>
        </w:tc>
        <w:tc>
          <w:tcPr>
            <w:tcW w:w="1773" w:type="dxa"/>
            <w:tcBorders>
              <w:top w:val="single" w:color="000000" w:sz="4" w:space="0"/>
              <w:left w:val="nil"/>
              <w:bottom w:val="single" w:color="000000" w:sz="4" w:space="0"/>
              <w:right w:val="single" w:color="000000" w:sz="4" w:space="0"/>
            </w:tcBorders>
            <w:vAlign w:val="center"/>
          </w:tcPr>
          <w:p w14:paraId="6C50CD4D">
            <w:pPr>
              <w:pStyle w:val="71"/>
              <w:spacing w:before="24" w:after="24"/>
              <w:rPr>
                <w:rFonts w:cs="Times New Roman"/>
              </w:rPr>
            </w:pPr>
            <w:r>
              <w:rPr>
                <w:rFonts w:cs="Times New Roman"/>
              </w:rPr>
              <w:t>德钦新县城养老院建设项目（一期）</w:t>
            </w:r>
          </w:p>
        </w:tc>
        <w:tc>
          <w:tcPr>
            <w:tcW w:w="1323" w:type="dxa"/>
            <w:tcBorders>
              <w:top w:val="single" w:color="000000" w:sz="4" w:space="0"/>
              <w:left w:val="nil"/>
              <w:bottom w:val="single" w:color="000000" w:sz="4" w:space="0"/>
              <w:right w:val="single" w:color="000000" w:sz="4" w:space="0"/>
            </w:tcBorders>
            <w:vAlign w:val="center"/>
          </w:tcPr>
          <w:p w14:paraId="72E0FC34">
            <w:pPr>
              <w:pStyle w:val="71"/>
              <w:spacing w:before="24" w:after="24"/>
              <w:rPr>
                <w:rFonts w:cs="Times New Roman"/>
              </w:rPr>
            </w:pPr>
            <w:r>
              <w:rPr>
                <w:rFonts w:cs="Times New Roman"/>
              </w:rPr>
              <w:t>04-08-04</w:t>
            </w:r>
          </w:p>
        </w:tc>
        <w:tc>
          <w:tcPr>
            <w:tcW w:w="1110" w:type="dxa"/>
            <w:tcBorders>
              <w:top w:val="single" w:color="000000" w:sz="4" w:space="0"/>
              <w:left w:val="nil"/>
              <w:bottom w:val="single" w:color="000000" w:sz="4" w:space="0"/>
              <w:right w:val="single" w:color="000000" w:sz="4" w:space="0"/>
            </w:tcBorders>
            <w:vAlign w:val="center"/>
          </w:tcPr>
          <w:p w14:paraId="3C385332">
            <w:pPr>
              <w:pStyle w:val="71"/>
              <w:spacing w:before="24" w:after="24"/>
              <w:rPr>
                <w:rFonts w:cs="Times New Roman"/>
              </w:rPr>
            </w:pPr>
            <w:r>
              <w:rPr>
                <w:rFonts w:cs="Times New Roman"/>
              </w:rPr>
              <w:t>8.92</w:t>
            </w:r>
          </w:p>
        </w:tc>
        <w:tc>
          <w:tcPr>
            <w:tcW w:w="755" w:type="dxa"/>
            <w:tcBorders>
              <w:top w:val="single" w:color="000000" w:sz="4" w:space="0"/>
              <w:left w:val="nil"/>
              <w:bottom w:val="single" w:color="000000" w:sz="4" w:space="0"/>
              <w:right w:val="single" w:color="000000" w:sz="4" w:space="0"/>
            </w:tcBorders>
            <w:vAlign w:val="center"/>
          </w:tcPr>
          <w:p w14:paraId="57DC8C30">
            <w:pPr>
              <w:pStyle w:val="71"/>
              <w:spacing w:before="24" w:after="24"/>
              <w:rPr>
                <w:rFonts w:cs="Times New Roman"/>
              </w:rPr>
            </w:pPr>
            <w:r>
              <w:rPr>
                <w:rFonts w:cs="Times New Roman"/>
              </w:rPr>
              <w:t>1</w:t>
            </w:r>
          </w:p>
        </w:tc>
        <w:tc>
          <w:tcPr>
            <w:tcW w:w="959" w:type="dxa"/>
            <w:tcBorders>
              <w:top w:val="single" w:color="000000" w:sz="4" w:space="0"/>
              <w:left w:val="nil"/>
              <w:bottom w:val="single" w:color="000000" w:sz="4" w:space="0"/>
              <w:right w:val="single" w:color="000000" w:sz="4" w:space="0"/>
            </w:tcBorders>
            <w:vAlign w:val="center"/>
          </w:tcPr>
          <w:p w14:paraId="42FB0446">
            <w:pPr>
              <w:pStyle w:val="71"/>
              <w:spacing w:before="24" w:after="24"/>
              <w:rPr>
                <w:rFonts w:cs="Times New Roman"/>
              </w:rPr>
            </w:pPr>
            <w:r>
              <w:rPr>
                <w:rFonts w:cs="Times New Roman"/>
              </w:rPr>
              <w:t>35</w:t>
            </w:r>
          </w:p>
        </w:tc>
        <w:tc>
          <w:tcPr>
            <w:tcW w:w="859" w:type="dxa"/>
            <w:tcBorders>
              <w:top w:val="single" w:color="000000" w:sz="4" w:space="0"/>
              <w:left w:val="nil"/>
              <w:bottom w:val="single" w:color="000000" w:sz="4" w:space="0"/>
              <w:right w:val="single" w:color="000000" w:sz="4" w:space="0"/>
            </w:tcBorders>
            <w:vAlign w:val="center"/>
          </w:tcPr>
          <w:p w14:paraId="32DFCE6B">
            <w:pPr>
              <w:pStyle w:val="71"/>
              <w:spacing w:before="24" w:after="24"/>
              <w:rPr>
                <w:rFonts w:cs="Times New Roman"/>
              </w:rPr>
            </w:pPr>
            <w:r>
              <w:rPr>
                <w:rFonts w:cs="Times New Roman"/>
              </w:rPr>
              <w:t>30</w:t>
            </w:r>
          </w:p>
        </w:tc>
        <w:tc>
          <w:tcPr>
            <w:tcW w:w="926" w:type="dxa"/>
            <w:tcBorders>
              <w:top w:val="single" w:color="000000" w:sz="4" w:space="0"/>
              <w:left w:val="nil"/>
              <w:bottom w:val="single" w:color="000000" w:sz="4" w:space="0"/>
              <w:right w:val="single" w:color="000000" w:sz="4" w:space="0"/>
            </w:tcBorders>
            <w:vAlign w:val="center"/>
          </w:tcPr>
          <w:p w14:paraId="4EFEA24E">
            <w:pPr>
              <w:pStyle w:val="71"/>
              <w:spacing w:before="24" w:after="24"/>
              <w:rPr>
                <w:rFonts w:cs="Times New Roman"/>
              </w:rPr>
            </w:pPr>
            <w:r>
              <w:rPr>
                <w:rFonts w:cs="Times New Roman"/>
              </w:rPr>
              <w:t>15</w:t>
            </w:r>
          </w:p>
        </w:tc>
        <w:tc>
          <w:tcPr>
            <w:tcW w:w="947" w:type="dxa"/>
            <w:tcBorders>
              <w:top w:val="single" w:color="000000" w:sz="4" w:space="0"/>
              <w:left w:val="nil"/>
              <w:bottom w:val="single" w:color="000000" w:sz="4" w:space="0"/>
              <w:right w:val="single" w:color="000000" w:sz="4" w:space="0"/>
            </w:tcBorders>
            <w:vAlign w:val="center"/>
          </w:tcPr>
          <w:p w14:paraId="19A57676">
            <w:pPr>
              <w:pStyle w:val="71"/>
              <w:spacing w:before="24" w:after="24"/>
              <w:rPr>
                <w:rFonts w:cs="Times New Roman"/>
              </w:rPr>
            </w:pPr>
            <w:r>
              <w:rPr>
                <w:rFonts w:cs="Times New Roman"/>
              </w:rPr>
              <w:t>社会福利用地</w:t>
            </w:r>
          </w:p>
        </w:tc>
      </w:tr>
      <w:tr w14:paraId="55643C11">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57" w:hRule="atLeast"/>
        </w:trPr>
        <w:tc>
          <w:tcPr>
            <w:tcW w:w="585" w:type="dxa"/>
            <w:tcBorders>
              <w:top w:val="single" w:color="000000" w:sz="4" w:space="0"/>
              <w:left w:val="single" w:color="000000" w:sz="4" w:space="0"/>
              <w:bottom w:val="single" w:color="000000" w:sz="4" w:space="0"/>
              <w:right w:val="single" w:color="000000" w:sz="4" w:space="0"/>
            </w:tcBorders>
            <w:vAlign w:val="center"/>
          </w:tcPr>
          <w:p w14:paraId="4D555A87">
            <w:pPr>
              <w:pStyle w:val="71"/>
              <w:spacing w:before="24" w:after="24"/>
              <w:rPr>
                <w:rFonts w:cs="Times New Roman"/>
              </w:rPr>
            </w:pPr>
            <w:r>
              <w:rPr>
                <w:rFonts w:cs="Times New Roman"/>
              </w:rPr>
              <w:t>4</w:t>
            </w:r>
          </w:p>
        </w:tc>
        <w:tc>
          <w:tcPr>
            <w:tcW w:w="1773" w:type="dxa"/>
            <w:tcBorders>
              <w:top w:val="single" w:color="000000" w:sz="4" w:space="0"/>
              <w:left w:val="nil"/>
              <w:bottom w:val="single" w:color="000000" w:sz="4" w:space="0"/>
              <w:right w:val="single" w:color="000000" w:sz="4" w:space="0"/>
            </w:tcBorders>
            <w:vAlign w:val="center"/>
          </w:tcPr>
          <w:p w14:paraId="5E7ECA07">
            <w:pPr>
              <w:pStyle w:val="71"/>
              <w:spacing w:before="24" w:after="24"/>
              <w:rPr>
                <w:rFonts w:cs="Times New Roman"/>
              </w:rPr>
            </w:pPr>
            <w:r>
              <w:rPr>
                <w:rFonts w:cs="Times New Roman"/>
              </w:rPr>
              <w:t>德钦新县城市政道路及配套基础设施建设项目（三期）</w:t>
            </w:r>
          </w:p>
        </w:tc>
        <w:tc>
          <w:tcPr>
            <w:tcW w:w="1323" w:type="dxa"/>
            <w:tcBorders>
              <w:top w:val="single" w:color="000000" w:sz="4" w:space="0"/>
              <w:left w:val="nil"/>
              <w:bottom w:val="single" w:color="000000" w:sz="4" w:space="0"/>
              <w:right w:val="single" w:color="000000" w:sz="4" w:space="0"/>
            </w:tcBorders>
            <w:vAlign w:val="center"/>
          </w:tcPr>
          <w:p w14:paraId="41195858">
            <w:pPr>
              <w:pStyle w:val="71"/>
              <w:spacing w:before="24" w:after="24"/>
              <w:rPr>
                <w:rFonts w:cs="Times New Roman"/>
              </w:rPr>
            </w:pPr>
            <w:r>
              <w:rPr>
                <w:rFonts w:cs="Times New Roman"/>
              </w:rPr>
              <w:t>/</w:t>
            </w:r>
          </w:p>
        </w:tc>
        <w:tc>
          <w:tcPr>
            <w:tcW w:w="1110" w:type="dxa"/>
            <w:tcBorders>
              <w:top w:val="single" w:color="000000" w:sz="4" w:space="0"/>
              <w:left w:val="nil"/>
              <w:bottom w:val="single" w:color="000000" w:sz="4" w:space="0"/>
              <w:right w:val="single" w:color="000000" w:sz="4" w:space="0"/>
            </w:tcBorders>
            <w:vAlign w:val="center"/>
          </w:tcPr>
          <w:p w14:paraId="045EEDBB">
            <w:pPr>
              <w:pStyle w:val="71"/>
              <w:spacing w:before="24" w:after="24"/>
              <w:rPr>
                <w:rFonts w:cs="Times New Roman"/>
              </w:rPr>
            </w:pPr>
            <w:r>
              <w:rPr>
                <w:rFonts w:cs="Times New Roman"/>
              </w:rPr>
              <w:t>373.2</w:t>
            </w:r>
          </w:p>
        </w:tc>
        <w:tc>
          <w:tcPr>
            <w:tcW w:w="755" w:type="dxa"/>
            <w:tcBorders>
              <w:top w:val="single" w:color="000000" w:sz="4" w:space="0"/>
              <w:left w:val="nil"/>
              <w:bottom w:val="single" w:color="000000" w:sz="4" w:space="0"/>
              <w:right w:val="single" w:color="000000" w:sz="4" w:space="0"/>
            </w:tcBorders>
            <w:vAlign w:val="center"/>
          </w:tcPr>
          <w:p w14:paraId="48D2D688">
            <w:pPr>
              <w:pStyle w:val="71"/>
              <w:spacing w:before="24" w:after="24"/>
              <w:rPr>
                <w:rFonts w:cs="Times New Roman"/>
              </w:rPr>
            </w:pPr>
            <w:r>
              <w:rPr>
                <w:rFonts w:cs="Times New Roman"/>
              </w:rPr>
              <w:t>/</w:t>
            </w:r>
          </w:p>
        </w:tc>
        <w:tc>
          <w:tcPr>
            <w:tcW w:w="959" w:type="dxa"/>
            <w:tcBorders>
              <w:top w:val="single" w:color="000000" w:sz="4" w:space="0"/>
              <w:left w:val="nil"/>
              <w:bottom w:val="single" w:color="000000" w:sz="4" w:space="0"/>
              <w:right w:val="single" w:color="000000" w:sz="4" w:space="0"/>
            </w:tcBorders>
            <w:vAlign w:val="center"/>
          </w:tcPr>
          <w:p w14:paraId="5B7CF0B4">
            <w:pPr>
              <w:pStyle w:val="71"/>
              <w:spacing w:before="24" w:after="24"/>
              <w:rPr>
                <w:rFonts w:cs="Times New Roman"/>
              </w:rPr>
            </w:pPr>
            <w:r>
              <w:rPr>
                <w:rFonts w:cs="Times New Roman"/>
              </w:rPr>
              <w:t>/</w:t>
            </w:r>
          </w:p>
        </w:tc>
        <w:tc>
          <w:tcPr>
            <w:tcW w:w="859" w:type="dxa"/>
            <w:tcBorders>
              <w:top w:val="single" w:color="000000" w:sz="4" w:space="0"/>
              <w:left w:val="nil"/>
              <w:bottom w:val="single" w:color="000000" w:sz="4" w:space="0"/>
              <w:right w:val="single" w:color="000000" w:sz="4" w:space="0"/>
            </w:tcBorders>
            <w:vAlign w:val="center"/>
          </w:tcPr>
          <w:p w14:paraId="632B064D">
            <w:pPr>
              <w:pStyle w:val="71"/>
              <w:spacing w:before="24" w:after="24"/>
              <w:rPr>
                <w:rFonts w:cs="Times New Roman"/>
              </w:rPr>
            </w:pPr>
            <w:r>
              <w:rPr>
                <w:rFonts w:cs="Times New Roman"/>
              </w:rPr>
              <w:t>/</w:t>
            </w:r>
          </w:p>
        </w:tc>
        <w:tc>
          <w:tcPr>
            <w:tcW w:w="926" w:type="dxa"/>
            <w:tcBorders>
              <w:top w:val="single" w:color="000000" w:sz="4" w:space="0"/>
              <w:left w:val="nil"/>
              <w:bottom w:val="single" w:color="000000" w:sz="4" w:space="0"/>
              <w:right w:val="single" w:color="000000" w:sz="4" w:space="0"/>
            </w:tcBorders>
            <w:vAlign w:val="center"/>
          </w:tcPr>
          <w:p w14:paraId="049D9ACF">
            <w:pPr>
              <w:pStyle w:val="71"/>
              <w:spacing w:before="24" w:after="24"/>
              <w:rPr>
                <w:rFonts w:cs="Times New Roman"/>
              </w:rPr>
            </w:pPr>
            <w:r>
              <w:rPr>
                <w:rFonts w:cs="Times New Roman"/>
              </w:rPr>
              <w:t>/</w:t>
            </w:r>
          </w:p>
        </w:tc>
        <w:tc>
          <w:tcPr>
            <w:tcW w:w="947" w:type="dxa"/>
            <w:tcBorders>
              <w:top w:val="single" w:color="000000" w:sz="4" w:space="0"/>
              <w:left w:val="nil"/>
              <w:bottom w:val="single" w:color="000000" w:sz="4" w:space="0"/>
              <w:right w:val="single" w:color="000000" w:sz="4" w:space="0"/>
            </w:tcBorders>
            <w:vAlign w:val="center"/>
          </w:tcPr>
          <w:p w14:paraId="2D489AB7">
            <w:pPr>
              <w:pStyle w:val="71"/>
              <w:spacing w:before="24" w:after="24"/>
              <w:rPr>
                <w:rFonts w:cs="Times New Roman"/>
              </w:rPr>
            </w:pPr>
            <w:r>
              <w:rPr>
                <w:rFonts w:cs="Times New Roman"/>
              </w:rPr>
              <w:t>交通设施用地</w:t>
            </w:r>
          </w:p>
        </w:tc>
      </w:tr>
      <w:tr w14:paraId="2C0FF5F1">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57" w:hRule="atLeast"/>
        </w:trPr>
        <w:tc>
          <w:tcPr>
            <w:tcW w:w="585" w:type="dxa"/>
            <w:tcBorders>
              <w:top w:val="single" w:color="000000" w:sz="4" w:space="0"/>
              <w:left w:val="single" w:color="000000" w:sz="4" w:space="0"/>
              <w:bottom w:val="single" w:color="000000" w:sz="4" w:space="0"/>
              <w:right w:val="single" w:color="000000" w:sz="4" w:space="0"/>
            </w:tcBorders>
            <w:vAlign w:val="center"/>
          </w:tcPr>
          <w:p w14:paraId="01612D00">
            <w:pPr>
              <w:pStyle w:val="71"/>
              <w:spacing w:before="24" w:after="24"/>
              <w:rPr>
                <w:rFonts w:cs="Times New Roman"/>
              </w:rPr>
            </w:pPr>
            <w:r>
              <w:rPr>
                <w:rFonts w:cs="Times New Roman"/>
              </w:rPr>
              <w:t>5</w:t>
            </w:r>
          </w:p>
        </w:tc>
        <w:tc>
          <w:tcPr>
            <w:tcW w:w="1773" w:type="dxa"/>
            <w:tcBorders>
              <w:top w:val="single" w:color="000000" w:sz="4" w:space="0"/>
              <w:left w:val="nil"/>
              <w:bottom w:val="single" w:color="000000" w:sz="4" w:space="0"/>
              <w:right w:val="single" w:color="000000" w:sz="4" w:space="0"/>
            </w:tcBorders>
            <w:vAlign w:val="center"/>
          </w:tcPr>
          <w:p w14:paraId="0807FDCB">
            <w:pPr>
              <w:pStyle w:val="71"/>
              <w:spacing w:before="24" w:after="24"/>
              <w:rPr>
                <w:rFonts w:cs="Times New Roman"/>
              </w:rPr>
            </w:pPr>
            <w:r>
              <w:rPr>
                <w:rFonts w:cs="Times New Roman"/>
              </w:rPr>
              <w:t>德钦新县城滨江步行绿道建设项目（一期）</w:t>
            </w:r>
          </w:p>
        </w:tc>
        <w:tc>
          <w:tcPr>
            <w:tcW w:w="1323" w:type="dxa"/>
            <w:tcBorders>
              <w:top w:val="single" w:color="000000" w:sz="4" w:space="0"/>
              <w:left w:val="nil"/>
              <w:bottom w:val="single" w:color="000000" w:sz="4" w:space="0"/>
              <w:right w:val="single" w:color="000000" w:sz="4" w:space="0"/>
            </w:tcBorders>
            <w:vAlign w:val="center"/>
          </w:tcPr>
          <w:p w14:paraId="35A00F58">
            <w:pPr>
              <w:pStyle w:val="71"/>
              <w:spacing w:before="24" w:after="24"/>
              <w:rPr>
                <w:rFonts w:cs="Times New Roman"/>
              </w:rPr>
            </w:pPr>
            <w:r>
              <w:rPr>
                <w:rFonts w:cs="Times New Roman"/>
              </w:rPr>
              <w:t>/</w:t>
            </w:r>
          </w:p>
        </w:tc>
        <w:tc>
          <w:tcPr>
            <w:tcW w:w="1110" w:type="dxa"/>
            <w:tcBorders>
              <w:top w:val="single" w:color="000000" w:sz="4" w:space="0"/>
              <w:left w:val="nil"/>
              <w:bottom w:val="single" w:color="000000" w:sz="4" w:space="0"/>
              <w:right w:val="single" w:color="000000" w:sz="4" w:space="0"/>
            </w:tcBorders>
            <w:vAlign w:val="center"/>
          </w:tcPr>
          <w:p w14:paraId="58796398">
            <w:pPr>
              <w:pStyle w:val="71"/>
              <w:spacing w:before="24" w:after="24"/>
              <w:rPr>
                <w:rFonts w:cs="Times New Roman"/>
              </w:rPr>
            </w:pPr>
            <w:r>
              <w:rPr>
                <w:rFonts w:cs="Times New Roman"/>
              </w:rPr>
              <w:t>64.56</w:t>
            </w:r>
          </w:p>
        </w:tc>
        <w:tc>
          <w:tcPr>
            <w:tcW w:w="755" w:type="dxa"/>
            <w:tcBorders>
              <w:top w:val="single" w:color="000000" w:sz="4" w:space="0"/>
              <w:left w:val="nil"/>
              <w:bottom w:val="single" w:color="000000" w:sz="4" w:space="0"/>
              <w:right w:val="single" w:color="000000" w:sz="4" w:space="0"/>
            </w:tcBorders>
            <w:vAlign w:val="center"/>
          </w:tcPr>
          <w:p w14:paraId="43EE9E6D">
            <w:pPr>
              <w:pStyle w:val="71"/>
              <w:spacing w:before="24" w:after="24"/>
              <w:rPr>
                <w:rFonts w:cs="Times New Roman"/>
              </w:rPr>
            </w:pPr>
            <w:r>
              <w:rPr>
                <w:rFonts w:cs="Times New Roman"/>
              </w:rPr>
              <w:t>/</w:t>
            </w:r>
          </w:p>
        </w:tc>
        <w:tc>
          <w:tcPr>
            <w:tcW w:w="959" w:type="dxa"/>
            <w:tcBorders>
              <w:top w:val="single" w:color="000000" w:sz="4" w:space="0"/>
              <w:left w:val="nil"/>
              <w:bottom w:val="single" w:color="000000" w:sz="4" w:space="0"/>
              <w:right w:val="single" w:color="000000" w:sz="4" w:space="0"/>
            </w:tcBorders>
            <w:vAlign w:val="center"/>
          </w:tcPr>
          <w:p w14:paraId="34409E21">
            <w:pPr>
              <w:pStyle w:val="71"/>
              <w:spacing w:before="24" w:after="24"/>
              <w:rPr>
                <w:rFonts w:cs="Times New Roman"/>
              </w:rPr>
            </w:pPr>
            <w:r>
              <w:rPr>
                <w:rFonts w:cs="Times New Roman"/>
              </w:rPr>
              <w:t>/</w:t>
            </w:r>
          </w:p>
        </w:tc>
        <w:tc>
          <w:tcPr>
            <w:tcW w:w="859" w:type="dxa"/>
            <w:tcBorders>
              <w:top w:val="single" w:color="000000" w:sz="4" w:space="0"/>
              <w:left w:val="nil"/>
              <w:bottom w:val="single" w:color="000000" w:sz="4" w:space="0"/>
              <w:right w:val="single" w:color="000000" w:sz="4" w:space="0"/>
            </w:tcBorders>
            <w:vAlign w:val="center"/>
          </w:tcPr>
          <w:p w14:paraId="2DFF2C5C">
            <w:pPr>
              <w:pStyle w:val="71"/>
              <w:spacing w:before="24" w:after="24"/>
              <w:rPr>
                <w:rFonts w:cs="Times New Roman"/>
              </w:rPr>
            </w:pPr>
            <w:r>
              <w:rPr>
                <w:rFonts w:cs="Times New Roman"/>
              </w:rPr>
              <w:t>/</w:t>
            </w:r>
          </w:p>
        </w:tc>
        <w:tc>
          <w:tcPr>
            <w:tcW w:w="926" w:type="dxa"/>
            <w:tcBorders>
              <w:top w:val="single" w:color="000000" w:sz="4" w:space="0"/>
              <w:left w:val="nil"/>
              <w:bottom w:val="single" w:color="000000" w:sz="4" w:space="0"/>
              <w:right w:val="single" w:color="000000" w:sz="4" w:space="0"/>
            </w:tcBorders>
            <w:vAlign w:val="center"/>
          </w:tcPr>
          <w:p w14:paraId="31558D21">
            <w:pPr>
              <w:pStyle w:val="71"/>
              <w:spacing w:before="24" w:after="24"/>
              <w:rPr>
                <w:rFonts w:cs="Times New Roman"/>
              </w:rPr>
            </w:pPr>
            <w:r>
              <w:rPr>
                <w:rFonts w:cs="Times New Roman"/>
              </w:rPr>
              <w:t>/</w:t>
            </w:r>
          </w:p>
        </w:tc>
        <w:tc>
          <w:tcPr>
            <w:tcW w:w="947" w:type="dxa"/>
            <w:tcBorders>
              <w:top w:val="single" w:color="000000" w:sz="4" w:space="0"/>
              <w:left w:val="nil"/>
              <w:bottom w:val="single" w:color="000000" w:sz="4" w:space="0"/>
              <w:right w:val="single" w:color="000000" w:sz="4" w:space="0"/>
            </w:tcBorders>
            <w:vAlign w:val="center"/>
          </w:tcPr>
          <w:p w14:paraId="3A13FE4F">
            <w:pPr>
              <w:pStyle w:val="71"/>
              <w:spacing w:before="24" w:after="24"/>
              <w:rPr>
                <w:rFonts w:cs="Times New Roman"/>
              </w:rPr>
            </w:pPr>
            <w:r>
              <w:rPr>
                <w:rFonts w:cs="Times New Roman"/>
              </w:rPr>
              <w:t>公园绿地</w:t>
            </w:r>
          </w:p>
        </w:tc>
      </w:tr>
      <w:tr w14:paraId="2F994C50">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57" w:hRule="atLeast"/>
        </w:trPr>
        <w:tc>
          <w:tcPr>
            <w:tcW w:w="585" w:type="dxa"/>
            <w:tcBorders>
              <w:top w:val="single" w:color="000000" w:sz="4" w:space="0"/>
              <w:left w:val="single" w:color="000000" w:sz="4" w:space="0"/>
              <w:bottom w:val="single" w:color="000000" w:sz="4" w:space="0"/>
              <w:right w:val="single" w:color="000000" w:sz="4" w:space="0"/>
            </w:tcBorders>
            <w:vAlign w:val="center"/>
          </w:tcPr>
          <w:p w14:paraId="7B5ADED6">
            <w:pPr>
              <w:pStyle w:val="71"/>
              <w:spacing w:before="24" w:after="24"/>
              <w:rPr>
                <w:rFonts w:cs="Times New Roman"/>
              </w:rPr>
            </w:pPr>
            <w:r>
              <w:rPr>
                <w:rFonts w:cs="Times New Roman"/>
              </w:rPr>
              <w:t>6</w:t>
            </w:r>
          </w:p>
        </w:tc>
        <w:tc>
          <w:tcPr>
            <w:tcW w:w="1773" w:type="dxa"/>
            <w:tcBorders>
              <w:top w:val="single" w:color="000000" w:sz="4" w:space="0"/>
              <w:left w:val="nil"/>
              <w:bottom w:val="single" w:color="000000" w:sz="4" w:space="0"/>
              <w:right w:val="single" w:color="000000" w:sz="4" w:space="0"/>
            </w:tcBorders>
            <w:vAlign w:val="center"/>
          </w:tcPr>
          <w:p w14:paraId="6823B219">
            <w:pPr>
              <w:pStyle w:val="71"/>
              <w:spacing w:before="24" w:after="24"/>
              <w:rPr>
                <w:rFonts w:cs="Times New Roman"/>
              </w:rPr>
            </w:pPr>
            <w:r>
              <w:rPr>
                <w:rFonts w:cs="Times New Roman"/>
              </w:rPr>
              <w:t>德钦新县城垃圾焚烧处理厂建设项目</w:t>
            </w:r>
          </w:p>
        </w:tc>
        <w:tc>
          <w:tcPr>
            <w:tcW w:w="1323" w:type="dxa"/>
            <w:tcBorders>
              <w:top w:val="single" w:color="000000" w:sz="4" w:space="0"/>
              <w:left w:val="nil"/>
              <w:bottom w:val="single" w:color="000000" w:sz="4" w:space="0"/>
              <w:right w:val="single" w:color="000000" w:sz="4" w:space="0"/>
            </w:tcBorders>
            <w:vAlign w:val="center"/>
          </w:tcPr>
          <w:p w14:paraId="3C745AC0">
            <w:pPr>
              <w:pStyle w:val="71"/>
              <w:spacing w:before="24" w:after="24"/>
              <w:rPr>
                <w:rFonts w:cs="Times New Roman"/>
              </w:rPr>
            </w:pPr>
            <w:r>
              <w:rPr>
                <w:rFonts w:cs="Times New Roman"/>
              </w:rPr>
              <w:t>/</w:t>
            </w:r>
          </w:p>
        </w:tc>
        <w:tc>
          <w:tcPr>
            <w:tcW w:w="1110" w:type="dxa"/>
            <w:tcBorders>
              <w:top w:val="single" w:color="000000" w:sz="4" w:space="0"/>
              <w:left w:val="nil"/>
              <w:bottom w:val="single" w:color="000000" w:sz="4" w:space="0"/>
              <w:right w:val="single" w:color="000000" w:sz="4" w:space="0"/>
            </w:tcBorders>
            <w:vAlign w:val="center"/>
          </w:tcPr>
          <w:p w14:paraId="56CA4048">
            <w:pPr>
              <w:pStyle w:val="71"/>
              <w:spacing w:before="24" w:after="24"/>
              <w:rPr>
                <w:rFonts w:cs="Times New Roman"/>
              </w:rPr>
            </w:pPr>
            <w:r>
              <w:rPr>
                <w:rFonts w:cs="Times New Roman"/>
              </w:rPr>
              <w:t>51.53</w:t>
            </w:r>
          </w:p>
        </w:tc>
        <w:tc>
          <w:tcPr>
            <w:tcW w:w="755" w:type="dxa"/>
            <w:tcBorders>
              <w:top w:val="single" w:color="000000" w:sz="4" w:space="0"/>
              <w:left w:val="nil"/>
              <w:bottom w:val="single" w:color="000000" w:sz="4" w:space="0"/>
              <w:right w:val="single" w:color="000000" w:sz="4" w:space="0"/>
            </w:tcBorders>
            <w:vAlign w:val="center"/>
          </w:tcPr>
          <w:p w14:paraId="2810DD67">
            <w:pPr>
              <w:pStyle w:val="71"/>
              <w:spacing w:before="24" w:after="24"/>
              <w:rPr>
                <w:rFonts w:cs="Times New Roman"/>
              </w:rPr>
            </w:pPr>
            <w:r>
              <w:rPr>
                <w:rFonts w:cs="Times New Roman"/>
              </w:rPr>
              <w:t>/</w:t>
            </w:r>
          </w:p>
        </w:tc>
        <w:tc>
          <w:tcPr>
            <w:tcW w:w="959" w:type="dxa"/>
            <w:tcBorders>
              <w:top w:val="single" w:color="000000" w:sz="4" w:space="0"/>
              <w:left w:val="nil"/>
              <w:bottom w:val="single" w:color="000000" w:sz="4" w:space="0"/>
              <w:right w:val="single" w:color="000000" w:sz="4" w:space="0"/>
            </w:tcBorders>
            <w:vAlign w:val="center"/>
          </w:tcPr>
          <w:p w14:paraId="2A0A8AB1">
            <w:pPr>
              <w:pStyle w:val="71"/>
              <w:spacing w:before="24" w:after="24"/>
              <w:rPr>
                <w:rFonts w:cs="Times New Roman"/>
              </w:rPr>
            </w:pPr>
            <w:r>
              <w:rPr>
                <w:rFonts w:cs="Times New Roman"/>
              </w:rPr>
              <w:t>/</w:t>
            </w:r>
          </w:p>
        </w:tc>
        <w:tc>
          <w:tcPr>
            <w:tcW w:w="859" w:type="dxa"/>
            <w:tcBorders>
              <w:top w:val="single" w:color="000000" w:sz="4" w:space="0"/>
              <w:left w:val="nil"/>
              <w:bottom w:val="single" w:color="000000" w:sz="4" w:space="0"/>
              <w:right w:val="single" w:color="000000" w:sz="4" w:space="0"/>
            </w:tcBorders>
            <w:vAlign w:val="center"/>
          </w:tcPr>
          <w:p w14:paraId="71776CB5">
            <w:pPr>
              <w:pStyle w:val="71"/>
              <w:spacing w:before="24" w:after="24"/>
              <w:rPr>
                <w:rFonts w:cs="Times New Roman"/>
              </w:rPr>
            </w:pPr>
            <w:r>
              <w:rPr>
                <w:rFonts w:cs="Times New Roman"/>
              </w:rPr>
              <w:t>/</w:t>
            </w:r>
          </w:p>
        </w:tc>
        <w:tc>
          <w:tcPr>
            <w:tcW w:w="926" w:type="dxa"/>
            <w:tcBorders>
              <w:top w:val="single" w:color="000000" w:sz="4" w:space="0"/>
              <w:left w:val="nil"/>
              <w:bottom w:val="single" w:color="000000" w:sz="4" w:space="0"/>
              <w:right w:val="single" w:color="000000" w:sz="4" w:space="0"/>
            </w:tcBorders>
            <w:vAlign w:val="center"/>
          </w:tcPr>
          <w:p w14:paraId="0D9255BE">
            <w:pPr>
              <w:pStyle w:val="71"/>
              <w:spacing w:before="24" w:after="24"/>
              <w:rPr>
                <w:rFonts w:cs="Times New Roman"/>
              </w:rPr>
            </w:pPr>
            <w:r>
              <w:rPr>
                <w:rFonts w:cs="Times New Roman"/>
              </w:rPr>
              <w:t>/</w:t>
            </w:r>
          </w:p>
        </w:tc>
        <w:tc>
          <w:tcPr>
            <w:tcW w:w="947" w:type="dxa"/>
            <w:tcBorders>
              <w:top w:val="single" w:color="000000" w:sz="4" w:space="0"/>
              <w:left w:val="nil"/>
              <w:bottom w:val="single" w:color="000000" w:sz="4" w:space="0"/>
              <w:right w:val="single" w:color="000000" w:sz="4" w:space="0"/>
            </w:tcBorders>
            <w:vAlign w:val="center"/>
          </w:tcPr>
          <w:p w14:paraId="41F00269">
            <w:pPr>
              <w:pStyle w:val="71"/>
              <w:spacing w:before="24" w:after="24"/>
              <w:rPr>
                <w:rFonts w:cs="Times New Roman"/>
              </w:rPr>
            </w:pPr>
            <w:r>
              <w:rPr>
                <w:rFonts w:cs="Times New Roman"/>
              </w:rPr>
              <w:t>公共设施用地</w:t>
            </w:r>
          </w:p>
        </w:tc>
      </w:tr>
      <w:tr w14:paraId="48AE4054">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57" w:hRule="atLeast"/>
        </w:trPr>
        <w:tc>
          <w:tcPr>
            <w:tcW w:w="585" w:type="dxa"/>
            <w:vMerge w:val="restart"/>
            <w:tcBorders>
              <w:top w:val="single" w:color="000000" w:sz="4" w:space="0"/>
              <w:left w:val="single" w:color="000000" w:sz="4" w:space="0"/>
              <w:right w:val="single" w:color="000000" w:sz="4" w:space="0"/>
            </w:tcBorders>
            <w:vAlign w:val="center"/>
          </w:tcPr>
          <w:p w14:paraId="27116E8F">
            <w:pPr>
              <w:pStyle w:val="71"/>
              <w:spacing w:before="24" w:after="24"/>
              <w:rPr>
                <w:rFonts w:cs="Times New Roman"/>
              </w:rPr>
            </w:pPr>
            <w:r>
              <w:rPr>
                <w:rFonts w:cs="Times New Roman"/>
              </w:rPr>
              <w:t>7</w:t>
            </w:r>
          </w:p>
        </w:tc>
        <w:tc>
          <w:tcPr>
            <w:tcW w:w="1773" w:type="dxa"/>
            <w:vMerge w:val="restart"/>
            <w:tcBorders>
              <w:top w:val="single" w:color="000000" w:sz="4" w:space="0"/>
              <w:left w:val="nil"/>
              <w:right w:val="single" w:color="000000" w:sz="4" w:space="0"/>
            </w:tcBorders>
            <w:vAlign w:val="center"/>
          </w:tcPr>
          <w:p w14:paraId="62CB2117">
            <w:pPr>
              <w:pStyle w:val="71"/>
              <w:spacing w:before="24" w:after="24"/>
              <w:rPr>
                <w:rFonts w:cs="Times New Roman"/>
              </w:rPr>
            </w:pPr>
            <w:r>
              <w:rPr>
                <w:rFonts w:cs="Times New Roman"/>
              </w:rPr>
              <w:t>德钦新县城同乐垃圾转运站、岩瓦垃圾转运站建设项目</w:t>
            </w:r>
          </w:p>
        </w:tc>
        <w:tc>
          <w:tcPr>
            <w:tcW w:w="1323" w:type="dxa"/>
            <w:tcBorders>
              <w:top w:val="single" w:color="000000" w:sz="4" w:space="0"/>
              <w:left w:val="nil"/>
              <w:bottom w:val="single" w:color="000000" w:sz="4" w:space="0"/>
              <w:right w:val="single" w:color="000000" w:sz="4" w:space="0"/>
            </w:tcBorders>
            <w:vAlign w:val="center"/>
          </w:tcPr>
          <w:p w14:paraId="25C15197">
            <w:pPr>
              <w:pStyle w:val="71"/>
              <w:spacing w:before="24" w:after="24"/>
              <w:rPr>
                <w:rFonts w:cs="Times New Roman"/>
              </w:rPr>
            </w:pPr>
            <w:r>
              <w:rPr>
                <w:rFonts w:cs="Times New Roman"/>
              </w:rPr>
              <w:t>01-07-02（岩瓦）</w:t>
            </w:r>
          </w:p>
        </w:tc>
        <w:tc>
          <w:tcPr>
            <w:tcW w:w="1110" w:type="dxa"/>
            <w:tcBorders>
              <w:top w:val="single" w:color="000000" w:sz="4" w:space="0"/>
              <w:left w:val="nil"/>
              <w:bottom w:val="single" w:color="000000" w:sz="4" w:space="0"/>
              <w:right w:val="single" w:color="000000" w:sz="4" w:space="0"/>
            </w:tcBorders>
            <w:vAlign w:val="center"/>
          </w:tcPr>
          <w:p w14:paraId="0463C65B">
            <w:pPr>
              <w:pStyle w:val="71"/>
              <w:spacing w:before="24" w:after="24"/>
              <w:rPr>
                <w:rFonts w:cs="Times New Roman"/>
              </w:rPr>
            </w:pPr>
            <w:r>
              <w:rPr>
                <w:rFonts w:cs="Times New Roman"/>
              </w:rPr>
              <w:t>1.98</w:t>
            </w:r>
          </w:p>
        </w:tc>
        <w:tc>
          <w:tcPr>
            <w:tcW w:w="755" w:type="dxa"/>
            <w:tcBorders>
              <w:top w:val="single" w:color="000000" w:sz="4" w:space="0"/>
              <w:left w:val="nil"/>
              <w:bottom w:val="single" w:color="000000" w:sz="4" w:space="0"/>
              <w:right w:val="single" w:color="000000" w:sz="4" w:space="0"/>
            </w:tcBorders>
            <w:vAlign w:val="center"/>
          </w:tcPr>
          <w:p w14:paraId="02BD42E4">
            <w:pPr>
              <w:pStyle w:val="71"/>
              <w:spacing w:before="24" w:after="24"/>
              <w:rPr>
                <w:rFonts w:cs="Times New Roman"/>
              </w:rPr>
            </w:pPr>
            <w:r>
              <w:rPr>
                <w:rFonts w:cs="Times New Roman"/>
              </w:rPr>
              <w:t>/</w:t>
            </w:r>
          </w:p>
        </w:tc>
        <w:tc>
          <w:tcPr>
            <w:tcW w:w="959" w:type="dxa"/>
            <w:tcBorders>
              <w:top w:val="single" w:color="000000" w:sz="4" w:space="0"/>
              <w:left w:val="nil"/>
              <w:bottom w:val="single" w:color="000000" w:sz="4" w:space="0"/>
              <w:right w:val="single" w:color="000000" w:sz="4" w:space="0"/>
            </w:tcBorders>
            <w:vAlign w:val="center"/>
          </w:tcPr>
          <w:p w14:paraId="31BBD04A">
            <w:pPr>
              <w:pStyle w:val="71"/>
              <w:spacing w:before="24" w:after="24"/>
              <w:rPr>
                <w:rFonts w:cs="Times New Roman"/>
              </w:rPr>
            </w:pPr>
            <w:r>
              <w:rPr>
                <w:rFonts w:cs="Times New Roman"/>
              </w:rPr>
              <w:t>/</w:t>
            </w:r>
          </w:p>
        </w:tc>
        <w:tc>
          <w:tcPr>
            <w:tcW w:w="859" w:type="dxa"/>
            <w:tcBorders>
              <w:top w:val="single" w:color="000000" w:sz="4" w:space="0"/>
              <w:left w:val="nil"/>
              <w:bottom w:val="single" w:color="000000" w:sz="4" w:space="0"/>
              <w:right w:val="single" w:color="000000" w:sz="4" w:space="0"/>
            </w:tcBorders>
            <w:vAlign w:val="center"/>
          </w:tcPr>
          <w:p w14:paraId="0D3267DA">
            <w:pPr>
              <w:pStyle w:val="71"/>
              <w:spacing w:before="24" w:after="24"/>
              <w:rPr>
                <w:rFonts w:cs="Times New Roman"/>
              </w:rPr>
            </w:pPr>
            <w:r>
              <w:rPr>
                <w:rFonts w:cs="Times New Roman"/>
              </w:rPr>
              <w:t>/</w:t>
            </w:r>
          </w:p>
        </w:tc>
        <w:tc>
          <w:tcPr>
            <w:tcW w:w="926" w:type="dxa"/>
            <w:tcBorders>
              <w:top w:val="single" w:color="000000" w:sz="4" w:space="0"/>
              <w:left w:val="nil"/>
              <w:bottom w:val="single" w:color="000000" w:sz="4" w:space="0"/>
              <w:right w:val="single" w:color="000000" w:sz="4" w:space="0"/>
            </w:tcBorders>
            <w:vAlign w:val="center"/>
          </w:tcPr>
          <w:p w14:paraId="61C6CCD1">
            <w:pPr>
              <w:pStyle w:val="71"/>
              <w:spacing w:before="24" w:after="24"/>
              <w:rPr>
                <w:rFonts w:cs="Times New Roman"/>
              </w:rPr>
            </w:pPr>
            <w:r>
              <w:rPr>
                <w:rFonts w:cs="Times New Roman"/>
              </w:rPr>
              <w:t>/</w:t>
            </w:r>
          </w:p>
        </w:tc>
        <w:tc>
          <w:tcPr>
            <w:tcW w:w="947" w:type="dxa"/>
            <w:tcBorders>
              <w:top w:val="single" w:color="000000" w:sz="4" w:space="0"/>
              <w:left w:val="nil"/>
              <w:bottom w:val="single" w:color="000000" w:sz="4" w:space="0"/>
              <w:right w:val="single" w:color="000000" w:sz="4" w:space="0"/>
            </w:tcBorders>
            <w:vAlign w:val="center"/>
          </w:tcPr>
          <w:p w14:paraId="22AC57BA">
            <w:pPr>
              <w:pStyle w:val="71"/>
              <w:spacing w:before="24" w:after="24"/>
              <w:rPr>
                <w:rFonts w:cs="Times New Roman"/>
              </w:rPr>
            </w:pPr>
            <w:r>
              <w:rPr>
                <w:rFonts w:cs="Times New Roman"/>
              </w:rPr>
              <w:t>环卫用地</w:t>
            </w:r>
          </w:p>
        </w:tc>
      </w:tr>
      <w:tr w14:paraId="1240AA2B">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57" w:hRule="atLeast"/>
        </w:trPr>
        <w:tc>
          <w:tcPr>
            <w:tcW w:w="585" w:type="dxa"/>
            <w:vMerge w:val="continue"/>
            <w:tcBorders>
              <w:left w:val="single" w:color="000000" w:sz="4" w:space="0"/>
              <w:bottom w:val="single" w:color="000000" w:sz="4" w:space="0"/>
              <w:right w:val="single" w:color="000000" w:sz="4" w:space="0"/>
            </w:tcBorders>
            <w:vAlign w:val="center"/>
          </w:tcPr>
          <w:p w14:paraId="5FE6B479">
            <w:pPr>
              <w:pStyle w:val="71"/>
              <w:spacing w:before="24" w:after="24"/>
              <w:rPr>
                <w:rFonts w:cs="Times New Roman"/>
              </w:rPr>
            </w:pPr>
          </w:p>
        </w:tc>
        <w:tc>
          <w:tcPr>
            <w:tcW w:w="1773" w:type="dxa"/>
            <w:vMerge w:val="continue"/>
            <w:tcBorders>
              <w:left w:val="nil"/>
              <w:bottom w:val="single" w:color="000000" w:sz="4" w:space="0"/>
              <w:right w:val="single" w:color="000000" w:sz="4" w:space="0"/>
            </w:tcBorders>
            <w:vAlign w:val="center"/>
          </w:tcPr>
          <w:p w14:paraId="30A67D9E">
            <w:pPr>
              <w:pStyle w:val="71"/>
              <w:spacing w:before="24" w:after="24"/>
              <w:rPr>
                <w:rFonts w:cs="Times New Roman"/>
              </w:rPr>
            </w:pPr>
          </w:p>
        </w:tc>
        <w:tc>
          <w:tcPr>
            <w:tcW w:w="1323" w:type="dxa"/>
            <w:tcBorders>
              <w:top w:val="single" w:color="000000" w:sz="4" w:space="0"/>
              <w:left w:val="nil"/>
              <w:bottom w:val="single" w:color="000000" w:sz="4" w:space="0"/>
              <w:right w:val="single" w:color="000000" w:sz="4" w:space="0"/>
            </w:tcBorders>
            <w:vAlign w:val="center"/>
          </w:tcPr>
          <w:p w14:paraId="7E2DF34E">
            <w:pPr>
              <w:spacing w:before="24" w:after="24"/>
              <w:jc w:val="center"/>
              <w:rPr>
                <w:rFonts w:ascii="Times New Roman" w:hAnsi="Times New Roman" w:cs="Times New Roman"/>
              </w:rPr>
            </w:pPr>
            <w:r>
              <w:rPr>
                <w:rFonts w:ascii="Times New Roman" w:hAnsi="Times New Roman" w:cs="Times New Roman"/>
                <w:sz w:val="24"/>
              </w:rPr>
              <w:t>06-06-02（同乐）</w:t>
            </w:r>
          </w:p>
        </w:tc>
        <w:tc>
          <w:tcPr>
            <w:tcW w:w="1110" w:type="dxa"/>
            <w:tcBorders>
              <w:top w:val="single" w:color="000000" w:sz="4" w:space="0"/>
              <w:left w:val="nil"/>
              <w:bottom w:val="single" w:color="000000" w:sz="4" w:space="0"/>
              <w:right w:val="single" w:color="000000" w:sz="4" w:space="0"/>
            </w:tcBorders>
            <w:vAlign w:val="center"/>
          </w:tcPr>
          <w:p w14:paraId="43DC0088">
            <w:pPr>
              <w:pStyle w:val="71"/>
              <w:spacing w:before="24" w:after="24"/>
              <w:rPr>
                <w:rFonts w:cs="Times New Roman"/>
              </w:rPr>
            </w:pPr>
            <w:r>
              <w:rPr>
                <w:rFonts w:cs="Times New Roman"/>
              </w:rPr>
              <w:t>1.85</w:t>
            </w:r>
          </w:p>
        </w:tc>
        <w:tc>
          <w:tcPr>
            <w:tcW w:w="755" w:type="dxa"/>
            <w:tcBorders>
              <w:top w:val="single" w:color="000000" w:sz="4" w:space="0"/>
              <w:left w:val="nil"/>
              <w:bottom w:val="single" w:color="000000" w:sz="4" w:space="0"/>
              <w:right w:val="single" w:color="000000" w:sz="4" w:space="0"/>
            </w:tcBorders>
            <w:vAlign w:val="center"/>
          </w:tcPr>
          <w:p w14:paraId="6A0D2B5C">
            <w:pPr>
              <w:pStyle w:val="71"/>
              <w:spacing w:before="24" w:after="24"/>
              <w:rPr>
                <w:rFonts w:cs="Times New Roman"/>
              </w:rPr>
            </w:pPr>
            <w:r>
              <w:rPr>
                <w:rFonts w:cs="Times New Roman"/>
              </w:rPr>
              <w:t>/</w:t>
            </w:r>
          </w:p>
        </w:tc>
        <w:tc>
          <w:tcPr>
            <w:tcW w:w="959" w:type="dxa"/>
            <w:tcBorders>
              <w:top w:val="single" w:color="000000" w:sz="4" w:space="0"/>
              <w:left w:val="nil"/>
              <w:bottom w:val="single" w:color="000000" w:sz="4" w:space="0"/>
              <w:right w:val="single" w:color="000000" w:sz="4" w:space="0"/>
            </w:tcBorders>
            <w:vAlign w:val="center"/>
          </w:tcPr>
          <w:p w14:paraId="16454CFA">
            <w:pPr>
              <w:pStyle w:val="71"/>
              <w:spacing w:before="24" w:after="24"/>
              <w:rPr>
                <w:rFonts w:cs="Times New Roman"/>
              </w:rPr>
            </w:pPr>
            <w:r>
              <w:rPr>
                <w:rFonts w:cs="Times New Roman"/>
              </w:rPr>
              <w:t>/</w:t>
            </w:r>
          </w:p>
        </w:tc>
        <w:tc>
          <w:tcPr>
            <w:tcW w:w="859" w:type="dxa"/>
            <w:tcBorders>
              <w:top w:val="single" w:color="000000" w:sz="4" w:space="0"/>
              <w:left w:val="nil"/>
              <w:bottom w:val="single" w:color="000000" w:sz="4" w:space="0"/>
              <w:right w:val="single" w:color="000000" w:sz="4" w:space="0"/>
            </w:tcBorders>
            <w:vAlign w:val="center"/>
          </w:tcPr>
          <w:p w14:paraId="7BA6E384">
            <w:pPr>
              <w:pStyle w:val="71"/>
              <w:spacing w:before="24" w:after="24"/>
              <w:rPr>
                <w:rFonts w:cs="Times New Roman"/>
              </w:rPr>
            </w:pPr>
            <w:r>
              <w:rPr>
                <w:rFonts w:cs="Times New Roman"/>
              </w:rPr>
              <w:t>/</w:t>
            </w:r>
          </w:p>
        </w:tc>
        <w:tc>
          <w:tcPr>
            <w:tcW w:w="926" w:type="dxa"/>
            <w:tcBorders>
              <w:top w:val="single" w:color="000000" w:sz="4" w:space="0"/>
              <w:left w:val="nil"/>
              <w:bottom w:val="single" w:color="000000" w:sz="4" w:space="0"/>
              <w:right w:val="single" w:color="000000" w:sz="4" w:space="0"/>
            </w:tcBorders>
            <w:vAlign w:val="center"/>
          </w:tcPr>
          <w:p w14:paraId="4C7330D8">
            <w:pPr>
              <w:pStyle w:val="71"/>
              <w:spacing w:before="24" w:after="24"/>
              <w:rPr>
                <w:rFonts w:cs="Times New Roman"/>
              </w:rPr>
            </w:pPr>
            <w:r>
              <w:rPr>
                <w:rFonts w:cs="Times New Roman"/>
              </w:rPr>
              <w:t>/</w:t>
            </w:r>
          </w:p>
        </w:tc>
        <w:tc>
          <w:tcPr>
            <w:tcW w:w="947" w:type="dxa"/>
            <w:tcBorders>
              <w:top w:val="single" w:color="000000" w:sz="4" w:space="0"/>
              <w:left w:val="nil"/>
              <w:bottom w:val="single" w:color="000000" w:sz="4" w:space="0"/>
              <w:right w:val="single" w:color="000000" w:sz="4" w:space="0"/>
            </w:tcBorders>
            <w:vAlign w:val="center"/>
          </w:tcPr>
          <w:p w14:paraId="7A25ABE7">
            <w:pPr>
              <w:pStyle w:val="71"/>
              <w:spacing w:before="24" w:after="24"/>
              <w:rPr>
                <w:rFonts w:cs="Times New Roman"/>
              </w:rPr>
            </w:pPr>
            <w:r>
              <w:rPr>
                <w:rFonts w:cs="Times New Roman"/>
              </w:rPr>
              <w:t>环卫用地</w:t>
            </w:r>
          </w:p>
        </w:tc>
      </w:tr>
      <w:tr w14:paraId="385C55D7">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57" w:hRule="atLeast"/>
        </w:trPr>
        <w:tc>
          <w:tcPr>
            <w:tcW w:w="585" w:type="dxa"/>
            <w:tcBorders>
              <w:top w:val="nil"/>
              <w:left w:val="single" w:color="000000" w:sz="4" w:space="0"/>
              <w:bottom w:val="single" w:color="000000" w:sz="4" w:space="0"/>
              <w:right w:val="single" w:color="000000" w:sz="4" w:space="0"/>
            </w:tcBorders>
            <w:vAlign w:val="center"/>
          </w:tcPr>
          <w:p w14:paraId="55CCE0CD">
            <w:pPr>
              <w:pStyle w:val="71"/>
              <w:spacing w:before="24" w:after="24"/>
              <w:rPr>
                <w:rFonts w:cs="Times New Roman"/>
              </w:rPr>
            </w:pPr>
            <w:r>
              <w:rPr>
                <w:rFonts w:cs="Times New Roman"/>
              </w:rPr>
              <w:t>8</w:t>
            </w:r>
          </w:p>
        </w:tc>
        <w:tc>
          <w:tcPr>
            <w:tcW w:w="1773" w:type="dxa"/>
            <w:tcBorders>
              <w:top w:val="single" w:color="000000" w:sz="4" w:space="0"/>
              <w:left w:val="nil"/>
              <w:bottom w:val="single" w:color="000000" w:sz="4" w:space="0"/>
              <w:right w:val="single" w:color="000000" w:sz="4" w:space="0"/>
            </w:tcBorders>
            <w:vAlign w:val="center"/>
          </w:tcPr>
          <w:p w14:paraId="2FD9069E">
            <w:pPr>
              <w:pStyle w:val="71"/>
              <w:spacing w:before="24" w:after="24"/>
              <w:rPr>
                <w:rFonts w:cs="Times New Roman"/>
              </w:rPr>
            </w:pPr>
            <w:r>
              <w:rPr>
                <w:rFonts w:cs="Times New Roman"/>
              </w:rPr>
              <w:t>德钦新县城城市公园建设项目（一期）</w:t>
            </w:r>
          </w:p>
        </w:tc>
        <w:tc>
          <w:tcPr>
            <w:tcW w:w="1323" w:type="dxa"/>
            <w:tcBorders>
              <w:top w:val="single" w:color="000000" w:sz="4" w:space="0"/>
              <w:left w:val="nil"/>
              <w:bottom w:val="single" w:color="000000" w:sz="4" w:space="0"/>
              <w:right w:val="single" w:color="000000" w:sz="4" w:space="0"/>
            </w:tcBorders>
            <w:vAlign w:val="center"/>
          </w:tcPr>
          <w:p w14:paraId="33DFB5B0">
            <w:pPr>
              <w:pStyle w:val="71"/>
              <w:spacing w:before="24" w:after="24"/>
              <w:rPr>
                <w:rFonts w:cs="Times New Roman"/>
              </w:rPr>
            </w:pPr>
            <w:r>
              <w:rPr>
                <w:rFonts w:cs="Times New Roman"/>
              </w:rPr>
              <w:t>/</w:t>
            </w:r>
          </w:p>
        </w:tc>
        <w:tc>
          <w:tcPr>
            <w:tcW w:w="1110" w:type="dxa"/>
            <w:tcBorders>
              <w:top w:val="single" w:color="000000" w:sz="4" w:space="0"/>
              <w:left w:val="nil"/>
              <w:bottom w:val="single" w:color="000000" w:sz="4" w:space="0"/>
              <w:right w:val="single" w:color="000000" w:sz="4" w:space="0"/>
            </w:tcBorders>
            <w:vAlign w:val="center"/>
          </w:tcPr>
          <w:p w14:paraId="2849F60F">
            <w:pPr>
              <w:pStyle w:val="71"/>
              <w:spacing w:before="24" w:after="24"/>
              <w:rPr>
                <w:rFonts w:cs="Times New Roman"/>
              </w:rPr>
            </w:pPr>
            <w:r>
              <w:rPr>
                <w:rFonts w:cs="Times New Roman"/>
              </w:rPr>
              <w:t>75.89</w:t>
            </w:r>
          </w:p>
        </w:tc>
        <w:tc>
          <w:tcPr>
            <w:tcW w:w="755" w:type="dxa"/>
            <w:tcBorders>
              <w:top w:val="single" w:color="000000" w:sz="4" w:space="0"/>
              <w:left w:val="nil"/>
              <w:bottom w:val="single" w:color="000000" w:sz="4" w:space="0"/>
              <w:right w:val="single" w:color="000000" w:sz="4" w:space="0"/>
            </w:tcBorders>
            <w:vAlign w:val="center"/>
          </w:tcPr>
          <w:p w14:paraId="38715E1D">
            <w:pPr>
              <w:pStyle w:val="71"/>
              <w:spacing w:before="24" w:after="24"/>
              <w:rPr>
                <w:rFonts w:cs="Times New Roman"/>
              </w:rPr>
            </w:pPr>
            <w:r>
              <w:rPr>
                <w:rFonts w:cs="Times New Roman"/>
              </w:rPr>
              <w:t>/</w:t>
            </w:r>
          </w:p>
        </w:tc>
        <w:tc>
          <w:tcPr>
            <w:tcW w:w="959" w:type="dxa"/>
            <w:tcBorders>
              <w:top w:val="single" w:color="000000" w:sz="4" w:space="0"/>
              <w:left w:val="nil"/>
              <w:bottom w:val="single" w:color="000000" w:sz="4" w:space="0"/>
              <w:right w:val="single" w:color="000000" w:sz="4" w:space="0"/>
            </w:tcBorders>
            <w:vAlign w:val="center"/>
          </w:tcPr>
          <w:p w14:paraId="70344F01">
            <w:pPr>
              <w:pStyle w:val="71"/>
              <w:spacing w:before="24" w:after="24"/>
              <w:rPr>
                <w:rFonts w:cs="Times New Roman"/>
              </w:rPr>
            </w:pPr>
            <w:r>
              <w:rPr>
                <w:rFonts w:cs="Times New Roman"/>
              </w:rPr>
              <w:t>/</w:t>
            </w:r>
          </w:p>
        </w:tc>
        <w:tc>
          <w:tcPr>
            <w:tcW w:w="859" w:type="dxa"/>
            <w:tcBorders>
              <w:top w:val="single" w:color="000000" w:sz="4" w:space="0"/>
              <w:left w:val="nil"/>
              <w:bottom w:val="single" w:color="000000" w:sz="4" w:space="0"/>
              <w:right w:val="single" w:color="000000" w:sz="4" w:space="0"/>
            </w:tcBorders>
            <w:vAlign w:val="center"/>
          </w:tcPr>
          <w:p w14:paraId="21C7DCB7">
            <w:pPr>
              <w:pStyle w:val="71"/>
              <w:spacing w:before="24" w:after="24"/>
              <w:rPr>
                <w:rFonts w:cs="Times New Roman"/>
              </w:rPr>
            </w:pPr>
            <w:r>
              <w:rPr>
                <w:rFonts w:cs="Times New Roman"/>
              </w:rPr>
              <w:t>/</w:t>
            </w:r>
          </w:p>
        </w:tc>
        <w:tc>
          <w:tcPr>
            <w:tcW w:w="926" w:type="dxa"/>
            <w:tcBorders>
              <w:top w:val="single" w:color="000000" w:sz="4" w:space="0"/>
              <w:left w:val="nil"/>
              <w:bottom w:val="single" w:color="000000" w:sz="4" w:space="0"/>
              <w:right w:val="single" w:color="000000" w:sz="4" w:space="0"/>
            </w:tcBorders>
            <w:vAlign w:val="center"/>
          </w:tcPr>
          <w:p w14:paraId="0B6B1BFF">
            <w:pPr>
              <w:pStyle w:val="71"/>
              <w:spacing w:before="24" w:after="24"/>
              <w:rPr>
                <w:rFonts w:cs="Times New Roman"/>
              </w:rPr>
            </w:pPr>
            <w:r>
              <w:rPr>
                <w:rFonts w:cs="Times New Roman"/>
              </w:rPr>
              <w:t>/</w:t>
            </w:r>
          </w:p>
        </w:tc>
        <w:tc>
          <w:tcPr>
            <w:tcW w:w="947" w:type="dxa"/>
            <w:tcBorders>
              <w:top w:val="single" w:color="000000" w:sz="4" w:space="0"/>
              <w:left w:val="nil"/>
              <w:bottom w:val="single" w:color="000000" w:sz="4" w:space="0"/>
              <w:right w:val="single" w:color="000000" w:sz="4" w:space="0"/>
            </w:tcBorders>
            <w:vAlign w:val="center"/>
          </w:tcPr>
          <w:p w14:paraId="271DAC00">
            <w:pPr>
              <w:pStyle w:val="71"/>
              <w:spacing w:before="24" w:after="24"/>
              <w:rPr>
                <w:rFonts w:cs="Times New Roman"/>
              </w:rPr>
            </w:pPr>
            <w:r>
              <w:rPr>
                <w:rFonts w:cs="Times New Roman"/>
              </w:rPr>
              <w:t>公园绿地</w:t>
            </w:r>
          </w:p>
        </w:tc>
      </w:tr>
      <w:tr w14:paraId="1557C30F">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57" w:hRule="atLeast"/>
        </w:trPr>
        <w:tc>
          <w:tcPr>
            <w:tcW w:w="585" w:type="dxa"/>
            <w:tcBorders>
              <w:top w:val="single" w:color="000000" w:sz="4" w:space="0"/>
              <w:left w:val="single" w:color="000000" w:sz="4" w:space="0"/>
              <w:bottom w:val="single" w:color="000000" w:sz="4" w:space="0"/>
              <w:right w:val="single" w:color="000000" w:sz="4" w:space="0"/>
            </w:tcBorders>
            <w:vAlign w:val="center"/>
          </w:tcPr>
          <w:p w14:paraId="4955EAC7">
            <w:pPr>
              <w:pStyle w:val="71"/>
              <w:spacing w:before="24" w:after="24"/>
              <w:rPr>
                <w:rFonts w:cs="Times New Roman"/>
              </w:rPr>
            </w:pPr>
            <w:r>
              <w:rPr>
                <w:rFonts w:cs="Times New Roman"/>
              </w:rPr>
              <w:t>9</w:t>
            </w:r>
          </w:p>
        </w:tc>
        <w:tc>
          <w:tcPr>
            <w:tcW w:w="1773" w:type="dxa"/>
            <w:tcBorders>
              <w:top w:val="single" w:color="000000" w:sz="4" w:space="0"/>
              <w:left w:val="nil"/>
              <w:bottom w:val="single" w:color="000000" w:sz="4" w:space="0"/>
              <w:right w:val="single" w:color="000000" w:sz="4" w:space="0"/>
            </w:tcBorders>
            <w:vAlign w:val="center"/>
          </w:tcPr>
          <w:p w14:paraId="001CADB0">
            <w:pPr>
              <w:pStyle w:val="71"/>
              <w:spacing w:before="24" w:after="24"/>
              <w:rPr>
                <w:rFonts w:cs="Times New Roman"/>
              </w:rPr>
            </w:pPr>
            <w:r>
              <w:rPr>
                <w:rFonts w:cs="Times New Roman"/>
              </w:rPr>
              <w:t>德钦新县城城市广场建设项目</w:t>
            </w:r>
          </w:p>
        </w:tc>
        <w:tc>
          <w:tcPr>
            <w:tcW w:w="1323" w:type="dxa"/>
            <w:tcBorders>
              <w:top w:val="single" w:color="000000" w:sz="4" w:space="0"/>
              <w:left w:val="nil"/>
              <w:bottom w:val="single" w:color="000000" w:sz="4" w:space="0"/>
              <w:right w:val="single" w:color="000000" w:sz="4" w:space="0"/>
            </w:tcBorders>
            <w:vAlign w:val="center"/>
          </w:tcPr>
          <w:p w14:paraId="673FE0CC">
            <w:pPr>
              <w:pStyle w:val="71"/>
              <w:spacing w:before="24" w:after="24"/>
              <w:rPr>
                <w:rFonts w:cs="Times New Roman"/>
              </w:rPr>
            </w:pPr>
            <w:r>
              <w:rPr>
                <w:rFonts w:cs="Times New Roman"/>
              </w:rPr>
              <w:t>/</w:t>
            </w:r>
          </w:p>
        </w:tc>
        <w:tc>
          <w:tcPr>
            <w:tcW w:w="1110" w:type="dxa"/>
            <w:tcBorders>
              <w:top w:val="single" w:color="000000" w:sz="4" w:space="0"/>
              <w:left w:val="nil"/>
              <w:bottom w:val="single" w:color="000000" w:sz="4" w:space="0"/>
              <w:right w:val="single" w:color="000000" w:sz="4" w:space="0"/>
            </w:tcBorders>
            <w:vAlign w:val="center"/>
          </w:tcPr>
          <w:p w14:paraId="189FE43B">
            <w:pPr>
              <w:pStyle w:val="71"/>
              <w:spacing w:before="24" w:after="24"/>
              <w:rPr>
                <w:rFonts w:cs="Times New Roman"/>
              </w:rPr>
            </w:pPr>
            <w:r>
              <w:rPr>
                <w:rFonts w:cs="Times New Roman"/>
              </w:rPr>
              <w:t>90.35</w:t>
            </w:r>
          </w:p>
        </w:tc>
        <w:tc>
          <w:tcPr>
            <w:tcW w:w="755" w:type="dxa"/>
            <w:tcBorders>
              <w:top w:val="single" w:color="000000" w:sz="4" w:space="0"/>
              <w:left w:val="nil"/>
              <w:bottom w:val="single" w:color="000000" w:sz="4" w:space="0"/>
              <w:right w:val="single" w:color="000000" w:sz="4" w:space="0"/>
            </w:tcBorders>
            <w:vAlign w:val="center"/>
          </w:tcPr>
          <w:p w14:paraId="49035F6F">
            <w:pPr>
              <w:pStyle w:val="71"/>
              <w:spacing w:before="24" w:after="24"/>
              <w:rPr>
                <w:rFonts w:cs="Times New Roman"/>
              </w:rPr>
            </w:pPr>
            <w:r>
              <w:rPr>
                <w:rFonts w:cs="Times New Roman"/>
              </w:rPr>
              <w:t>/</w:t>
            </w:r>
          </w:p>
        </w:tc>
        <w:tc>
          <w:tcPr>
            <w:tcW w:w="959" w:type="dxa"/>
            <w:tcBorders>
              <w:top w:val="single" w:color="000000" w:sz="4" w:space="0"/>
              <w:left w:val="nil"/>
              <w:bottom w:val="single" w:color="000000" w:sz="4" w:space="0"/>
              <w:right w:val="single" w:color="000000" w:sz="4" w:space="0"/>
            </w:tcBorders>
            <w:vAlign w:val="center"/>
          </w:tcPr>
          <w:p w14:paraId="2171016A">
            <w:pPr>
              <w:pStyle w:val="71"/>
              <w:spacing w:before="24" w:after="24"/>
              <w:rPr>
                <w:rFonts w:cs="Times New Roman"/>
              </w:rPr>
            </w:pPr>
            <w:r>
              <w:rPr>
                <w:rFonts w:cs="Times New Roman"/>
              </w:rPr>
              <w:t>/</w:t>
            </w:r>
          </w:p>
        </w:tc>
        <w:tc>
          <w:tcPr>
            <w:tcW w:w="859" w:type="dxa"/>
            <w:tcBorders>
              <w:top w:val="single" w:color="000000" w:sz="4" w:space="0"/>
              <w:left w:val="nil"/>
              <w:bottom w:val="single" w:color="000000" w:sz="4" w:space="0"/>
              <w:right w:val="single" w:color="000000" w:sz="4" w:space="0"/>
            </w:tcBorders>
            <w:vAlign w:val="center"/>
          </w:tcPr>
          <w:p w14:paraId="074FFC0E">
            <w:pPr>
              <w:pStyle w:val="71"/>
              <w:spacing w:before="24" w:after="24"/>
              <w:rPr>
                <w:rFonts w:cs="Times New Roman"/>
              </w:rPr>
            </w:pPr>
            <w:r>
              <w:rPr>
                <w:rFonts w:cs="Times New Roman"/>
              </w:rPr>
              <w:t>/</w:t>
            </w:r>
          </w:p>
        </w:tc>
        <w:tc>
          <w:tcPr>
            <w:tcW w:w="926" w:type="dxa"/>
            <w:tcBorders>
              <w:top w:val="single" w:color="000000" w:sz="4" w:space="0"/>
              <w:left w:val="nil"/>
              <w:bottom w:val="single" w:color="000000" w:sz="4" w:space="0"/>
              <w:right w:val="single" w:color="000000" w:sz="4" w:space="0"/>
            </w:tcBorders>
            <w:vAlign w:val="center"/>
          </w:tcPr>
          <w:p w14:paraId="22854F93">
            <w:pPr>
              <w:pStyle w:val="71"/>
              <w:spacing w:before="24" w:after="24"/>
              <w:rPr>
                <w:rFonts w:cs="Times New Roman"/>
              </w:rPr>
            </w:pPr>
            <w:r>
              <w:rPr>
                <w:rFonts w:cs="Times New Roman"/>
              </w:rPr>
              <w:t>/</w:t>
            </w:r>
          </w:p>
        </w:tc>
        <w:tc>
          <w:tcPr>
            <w:tcW w:w="947" w:type="dxa"/>
            <w:tcBorders>
              <w:top w:val="single" w:color="000000" w:sz="4" w:space="0"/>
              <w:left w:val="nil"/>
              <w:bottom w:val="single" w:color="000000" w:sz="4" w:space="0"/>
              <w:right w:val="single" w:color="000000" w:sz="4" w:space="0"/>
            </w:tcBorders>
            <w:vAlign w:val="center"/>
          </w:tcPr>
          <w:p w14:paraId="6F4A6D80">
            <w:pPr>
              <w:pStyle w:val="71"/>
              <w:spacing w:before="24" w:after="24"/>
              <w:rPr>
                <w:rFonts w:cs="Times New Roman"/>
              </w:rPr>
            </w:pPr>
            <w:r>
              <w:rPr>
                <w:rFonts w:cs="Times New Roman"/>
              </w:rPr>
              <w:t>广场用地</w:t>
            </w:r>
          </w:p>
        </w:tc>
      </w:tr>
      <w:tr w14:paraId="117A424A">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57" w:hRule="atLeast"/>
        </w:trPr>
        <w:tc>
          <w:tcPr>
            <w:tcW w:w="585" w:type="dxa"/>
            <w:tcBorders>
              <w:top w:val="single" w:color="000000" w:sz="4" w:space="0"/>
              <w:left w:val="single" w:color="000000" w:sz="4" w:space="0"/>
              <w:bottom w:val="single" w:color="000000" w:sz="4" w:space="0"/>
              <w:right w:val="single" w:color="000000" w:sz="4" w:space="0"/>
            </w:tcBorders>
            <w:vAlign w:val="center"/>
          </w:tcPr>
          <w:p w14:paraId="62E2DE27">
            <w:pPr>
              <w:pStyle w:val="71"/>
              <w:spacing w:before="24" w:after="24"/>
              <w:rPr>
                <w:rFonts w:cs="Times New Roman"/>
              </w:rPr>
            </w:pPr>
            <w:r>
              <w:rPr>
                <w:rFonts w:cs="Times New Roman"/>
              </w:rPr>
              <w:t>10</w:t>
            </w:r>
          </w:p>
        </w:tc>
        <w:tc>
          <w:tcPr>
            <w:tcW w:w="1773" w:type="dxa"/>
            <w:tcBorders>
              <w:top w:val="single" w:color="000000" w:sz="4" w:space="0"/>
              <w:left w:val="nil"/>
              <w:bottom w:val="single" w:color="000000" w:sz="4" w:space="0"/>
              <w:right w:val="single" w:color="000000" w:sz="4" w:space="0"/>
            </w:tcBorders>
            <w:vAlign w:val="center"/>
          </w:tcPr>
          <w:p w14:paraId="347177DA">
            <w:pPr>
              <w:pStyle w:val="71"/>
              <w:spacing w:before="24" w:after="24"/>
              <w:rPr>
                <w:rFonts w:cs="Times New Roman"/>
              </w:rPr>
            </w:pPr>
            <w:r>
              <w:rPr>
                <w:rFonts w:cs="Times New Roman"/>
              </w:rPr>
              <w:t>德钦新县城工人文化宫暨群团服务中心建设项目</w:t>
            </w:r>
          </w:p>
        </w:tc>
        <w:tc>
          <w:tcPr>
            <w:tcW w:w="1323" w:type="dxa"/>
            <w:tcBorders>
              <w:top w:val="single" w:color="000000" w:sz="4" w:space="0"/>
              <w:left w:val="nil"/>
              <w:bottom w:val="single" w:color="000000" w:sz="4" w:space="0"/>
              <w:right w:val="single" w:color="000000" w:sz="4" w:space="0"/>
            </w:tcBorders>
            <w:vAlign w:val="center"/>
          </w:tcPr>
          <w:p w14:paraId="000FBF70">
            <w:pPr>
              <w:pStyle w:val="71"/>
              <w:spacing w:before="24" w:after="24"/>
              <w:rPr>
                <w:rFonts w:cs="Times New Roman"/>
              </w:rPr>
            </w:pPr>
            <w:r>
              <w:rPr>
                <w:rFonts w:cs="Times New Roman"/>
              </w:rPr>
              <w:t>05-21-03</w:t>
            </w:r>
          </w:p>
        </w:tc>
        <w:tc>
          <w:tcPr>
            <w:tcW w:w="1110" w:type="dxa"/>
            <w:tcBorders>
              <w:top w:val="single" w:color="000000" w:sz="4" w:space="0"/>
              <w:left w:val="nil"/>
              <w:bottom w:val="single" w:color="000000" w:sz="4" w:space="0"/>
              <w:right w:val="single" w:color="000000" w:sz="4" w:space="0"/>
            </w:tcBorders>
            <w:vAlign w:val="center"/>
          </w:tcPr>
          <w:p w14:paraId="772FEBF9">
            <w:pPr>
              <w:pStyle w:val="71"/>
              <w:spacing w:before="24" w:after="24"/>
              <w:rPr>
                <w:rFonts w:cs="Times New Roman"/>
              </w:rPr>
            </w:pPr>
            <w:r>
              <w:rPr>
                <w:rFonts w:cs="Times New Roman"/>
              </w:rPr>
              <w:t>14.93</w:t>
            </w:r>
          </w:p>
        </w:tc>
        <w:tc>
          <w:tcPr>
            <w:tcW w:w="755" w:type="dxa"/>
            <w:tcBorders>
              <w:top w:val="single" w:color="000000" w:sz="4" w:space="0"/>
              <w:left w:val="nil"/>
              <w:bottom w:val="single" w:color="000000" w:sz="4" w:space="0"/>
              <w:right w:val="single" w:color="000000" w:sz="4" w:space="0"/>
            </w:tcBorders>
            <w:vAlign w:val="center"/>
          </w:tcPr>
          <w:p w14:paraId="047CA9D2">
            <w:pPr>
              <w:pStyle w:val="71"/>
              <w:spacing w:before="24" w:after="24"/>
              <w:rPr>
                <w:rFonts w:cs="Times New Roman"/>
              </w:rPr>
            </w:pPr>
            <w:r>
              <w:rPr>
                <w:rFonts w:cs="Times New Roman"/>
              </w:rPr>
              <w:t>1</w:t>
            </w:r>
          </w:p>
        </w:tc>
        <w:tc>
          <w:tcPr>
            <w:tcW w:w="959" w:type="dxa"/>
            <w:tcBorders>
              <w:top w:val="single" w:color="000000" w:sz="4" w:space="0"/>
              <w:left w:val="nil"/>
              <w:bottom w:val="single" w:color="000000" w:sz="4" w:space="0"/>
              <w:right w:val="single" w:color="000000" w:sz="4" w:space="0"/>
            </w:tcBorders>
            <w:vAlign w:val="center"/>
          </w:tcPr>
          <w:p w14:paraId="3D8B8FDE">
            <w:pPr>
              <w:pStyle w:val="71"/>
              <w:spacing w:before="24" w:after="24"/>
              <w:rPr>
                <w:rFonts w:cs="Times New Roman"/>
              </w:rPr>
            </w:pPr>
            <w:r>
              <w:rPr>
                <w:rFonts w:cs="Times New Roman"/>
              </w:rPr>
              <w:t>25</w:t>
            </w:r>
          </w:p>
        </w:tc>
        <w:tc>
          <w:tcPr>
            <w:tcW w:w="859" w:type="dxa"/>
            <w:tcBorders>
              <w:top w:val="single" w:color="000000" w:sz="4" w:space="0"/>
              <w:left w:val="nil"/>
              <w:bottom w:val="single" w:color="000000" w:sz="4" w:space="0"/>
              <w:right w:val="single" w:color="000000" w:sz="4" w:space="0"/>
            </w:tcBorders>
            <w:vAlign w:val="center"/>
          </w:tcPr>
          <w:p w14:paraId="2E1B026E">
            <w:pPr>
              <w:pStyle w:val="71"/>
              <w:spacing w:before="24" w:after="24"/>
              <w:rPr>
                <w:rFonts w:cs="Times New Roman"/>
              </w:rPr>
            </w:pPr>
            <w:r>
              <w:rPr>
                <w:rFonts w:cs="Times New Roman"/>
              </w:rPr>
              <w:t>40</w:t>
            </w:r>
          </w:p>
        </w:tc>
        <w:tc>
          <w:tcPr>
            <w:tcW w:w="926" w:type="dxa"/>
            <w:tcBorders>
              <w:top w:val="single" w:color="000000" w:sz="4" w:space="0"/>
              <w:left w:val="nil"/>
              <w:bottom w:val="single" w:color="000000" w:sz="4" w:space="0"/>
              <w:right w:val="single" w:color="000000" w:sz="4" w:space="0"/>
            </w:tcBorders>
            <w:vAlign w:val="center"/>
          </w:tcPr>
          <w:p w14:paraId="5D38F413">
            <w:pPr>
              <w:pStyle w:val="71"/>
              <w:spacing w:before="24" w:after="24"/>
              <w:rPr>
                <w:rFonts w:cs="Times New Roman"/>
              </w:rPr>
            </w:pPr>
            <w:r>
              <w:rPr>
                <w:rFonts w:cs="Times New Roman"/>
              </w:rPr>
              <w:t>24</w:t>
            </w:r>
          </w:p>
        </w:tc>
        <w:tc>
          <w:tcPr>
            <w:tcW w:w="947" w:type="dxa"/>
            <w:tcBorders>
              <w:top w:val="single" w:color="000000" w:sz="4" w:space="0"/>
              <w:left w:val="nil"/>
              <w:bottom w:val="single" w:color="000000" w:sz="4" w:space="0"/>
              <w:right w:val="single" w:color="000000" w:sz="4" w:space="0"/>
            </w:tcBorders>
            <w:vAlign w:val="center"/>
          </w:tcPr>
          <w:p w14:paraId="6CF86CFE">
            <w:pPr>
              <w:pStyle w:val="71"/>
              <w:spacing w:before="24" w:after="24"/>
              <w:rPr>
                <w:rFonts w:cs="Times New Roman"/>
              </w:rPr>
            </w:pPr>
            <w:r>
              <w:rPr>
                <w:rFonts w:cs="Times New Roman"/>
              </w:rPr>
              <w:t>文化用地</w:t>
            </w:r>
          </w:p>
        </w:tc>
      </w:tr>
      <w:tr w14:paraId="0D68FA85">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57" w:hRule="atLeast"/>
        </w:trPr>
        <w:tc>
          <w:tcPr>
            <w:tcW w:w="585" w:type="dxa"/>
            <w:tcBorders>
              <w:top w:val="single" w:color="000000" w:sz="4" w:space="0"/>
              <w:left w:val="single" w:color="000000" w:sz="4" w:space="0"/>
              <w:bottom w:val="single" w:color="000000" w:sz="4" w:space="0"/>
              <w:right w:val="single" w:color="000000" w:sz="4" w:space="0"/>
            </w:tcBorders>
            <w:vAlign w:val="center"/>
          </w:tcPr>
          <w:p w14:paraId="1A4DC7A8">
            <w:pPr>
              <w:pStyle w:val="71"/>
              <w:spacing w:before="24" w:after="24"/>
              <w:rPr>
                <w:rFonts w:cs="Times New Roman"/>
              </w:rPr>
            </w:pPr>
            <w:r>
              <w:rPr>
                <w:rFonts w:cs="Times New Roman"/>
              </w:rPr>
              <w:t>11</w:t>
            </w:r>
          </w:p>
        </w:tc>
        <w:tc>
          <w:tcPr>
            <w:tcW w:w="1773" w:type="dxa"/>
            <w:tcBorders>
              <w:top w:val="single" w:color="000000" w:sz="4" w:space="0"/>
              <w:left w:val="nil"/>
              <w:bottom w:val="single" w:color="000000" w:sz="4" w:space="0"/>
              <w:right w:val="single" w:color="000000" w:sz="4" w:space="0"/>
            </w:tcBorders>
            <w:vAlign w:val="center"/>
          </w:tcPr>
          <w:p w14:paraId="34F14968">
            <w:pPr>
              <w:pStyle w:val="71"/>
              <w:spacing w:before="24" w:after="24"/>
              <w:rPr>
                <w:rFonts w:cs="Times New Roman"/>
              </w:rPr>
            </w:pPr>
            <w:r>
              <w:rPr>
                <w:rFonts w:cs="Times New Roman"/>
              </w:rPr>
              <w:t>德钦新县城文物管理所建设项目</w:t>
            </w:r>
          </w:p>
        </w:tc>
        <w:tc>
          <w:tcPr>
            <w:tcW w:w="1323" w:type="dxa"/>
            <w:tcBorders>
              <w:top w:val="single" w:color="000000" w:sz="4" w:space="0"/>
              <w:left w:val="nil"/>
              <w:bottom w:val="single" w:color="000000" w:sz="4" w:space="0"/>
              <w:right w:val="single" w:color="000000" w:sz="4" w:space="0"/>
            </w:tcBorders>
            <w:vAlign w:val="center"/>
          </w:tcPr>
          <w:p w14:paraId="2799D84D">
            <w:pPr>
              <w:pStyle w:val="71"/>
              <w:spacing w:before="24" w:after="24"/>
              <w:rPr>
                <w:rFonts w:cs="Times New Roman"/>
              </w:rPr>
            </w:pPr>
            <w:r>
              <w:rPr>
                <w:rFonts w:cs="Times New Roman"/>
              </w:rPr>
              <w:t>05-32-02</w:t>
            </w:r>
          </w:p>
        </w:tc>
        <w:tc>
          <w:tcPr>
            <w:tcW w:w="1110" w:type="dxa"/>
            <w:tcBorders>
              <w:top w:val="single" w:color="000000" w:sz="4" w:space="0"/>
              <w:left w:val="nil"/>
              <w:bottom w:val="single" w:color="000000" w:sz="4" w:space="0"/>
              <w:right w:val="single" w:color="000000" w:sz="4" w:space="0"/>
            </w:tcBorders>
            <w:vAlign w:val="center"/>
          </w:tcPr>
          <w:p w14:paraId="540BBA51">
            <w:pPr>
              <w:pStyle w:val="71"/>
              <w:spacing w:before="24" w:after="24"/>
              <w:rPr>
                <w:rFonts w:cs="Times New Roman"/>
              </w:rPr>
            </w:pPr>
            <w:r>
              <w:rPr>
                <w:rFonts w:cs="Times New Roman"/>
              </w:rPr>
              <w:t>4.61</w:t>
            </w:r>
          </w:p>
        </w:tc>
        <w:tc>
          <w:tcPr>
            <w:tcW w:w="755" w:type="dxa"/>
            <w:tcBorders>
              <w:top w:val="single" w:color="000000" w:sz="4" w:space="0"/>
              <w:left w:val="nil"/>
              <w:bottom w:val="single" w:color="000000" w:sz="4" w:space="0"/>
              <w:right w:val="single" w:color="000000" w:sz="4" w:space="0"/>
            </w:tcBorders>
            <w:vAlign w:val="center"/>
          </w:tcPr>
          <w:p w14:paraId="60F7A60B">
            <w:pPr>
              <w:pStyle w:val="71"/>
              <w:spacing w:before="24" w:after="24"/>
              <w:rPr>
                <w:rFonts w:cs="Times New Roman"/>
              </w:rPr>
            </w:pPr>
            <w:r>
              <w:rPr>
                <w:rFonts w:cs="Times New Roman"/>
              </w:rPr>
              <w:t>1.2</w:t>
            </w:r>
          </w:p>
        </w:tc>
        <w:tc>
          <w:tcPr>
            <w:tcW w:w="959" w:type="dxa"/>
            <w:tcBorders>
              <w:top w:val="single" w:color="000000" w:sz="4" w:space="0"/>
              <w:left w:val="nil"/>
              <w:bottom w:val="single" w:color="000000" w:sz="4" w:space="0"/>
              <w:right w:val="single" w:color="000000" w:sz="4" w:space="0"/>
            </w:tcBorders>
            <w:vAlign w:val="center"/>
          </w:tcPr>
          <w:p w14:paraId="17A9CE10">
            <w:pPr>
              <w:pStyle w:val="71"/>
              <w:spacing w:before="24" w:after="24"/>
              <w:rPr>
                <w:rFonts w:cs="Times New Roman"/>
              </w:rPr>
            </w:pPr>
            <w:r>
              <w:rPr>
                <w:rFonts w:cs="Times New Roman"/>
              </w:rPr>
              <w:t>40</w:t>
            </w:r>
          </w:p>
        </w:tc>
        <w:tc>
          <w:tcPr>
            <w:tcW w:w="859" w:type="dxa"/>
            <w:tcBorders>
              <w:top w:val="single" w:color="000000" w:sz="4" w:space="0"/>
              <w:left w:val="nil"/>
              <w:bottom w:val="single" w:color="000000" w:sz="4" w:space="0"/>
              <w:right w:val="single" w:color="000000" w:sz="4" w:space="0"/>
            </w:tcBorders>
            <w:vAlign w:val="center"/>
          </w:tcPr>
          <w:p w14:paraId="6852FC06">
            <w:pPr>
              <w:pStyle w:val="71"/>
              <w:spacing w:before="24" w:after="24"/>
              <w:rPr>
                <w:rFonts w:cs="Times New Roman"/>
              </w:rPr>
            </w:pPr>
            <w:r>
              <w:rPr>
                <w:rFonts w:cs="Times New Roman"/>
              </w:rPr>
              <w:t>30</w:t>
            </w:r>
          </w:p>
        </w:tc>
        <w:tc>
          <w:tcPr>
            <w:tcW w:w="926" w:type="dxa"/>
            <w:tcBorders>
              <w:top w:val="single" w:color="000000" w:sz="4" w:space="0"/>
              <w:left w:val="nil"/>
              <w:bottom w:val="single" w:color="000000" w:sz="4" w:space="0"/>
              <w:right w:val="single" w:color="000000" w:sz="4" w:space="0"/>
            </w:tcBorders>
            <w:vAlign w:val="center"/>
          </w:tcPr>
          <w:p w14:paraId="529B6592">
            <w:pPr>
              <w:pStyle w:val="71"/>
              <w:spacing w:before="24" w:after="24"/>
              <w:rPr>
                <w:rFonts w:cs="Times New Roman"/>
              </w:rPr>
            </w:pPr>
            <w:r>
              <w:rPr>
                <w:rFonts w:cs="Times New Roman"/>
              </w:rPr>
              <w:t>18</w:t>
            </w:r>
          </w:p>
        </w:tc>
        <w:tc>
          <w:tcPr>
            <w:tcW w:w="947" w:type="dxa"/>
            <w:tcBorders>
              <w:top w:val="single" w:color="000000" w:sz="4" w:space="0"/>
              <w:left w:val="nil"/>
              <w:bottom w:val="single" w:color="000000" w:sz="4" w:space="0"/>
              <w:right w:val="single" w:color="000000" w:sz="4" w:space="0"/>
            </w:tcBorders>
            <w:vAlign w:val="center"/>
          </w:tcPr>
          <w:p w14:paraId="2E946164">
            <w:pPr>
              <w:pStyle w:val="71"/>
              <w:spacing w:before="24" w:after="24"/>
              <w:rPr>
                <w:rFonts w:cs="Times New Roman"/>
              </w:rPr>
            </w:pPr>
            <w:r>
              <w:rPr>
                <w:rFonts w:cs="Times New Roman"/>
              </w:rPr>
              <w:t>机关团体用地</w:t>
            </w:r>
          </w:p>
        </w:tc>
      </w:tr>
      <w:tr w14:paraId="57789574">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57" w:hRule="atLeast"/>
        </w:trPr>
        <w:tc>
          <w:tcPr>
            <w:tcW w:w="585" w:type="dxa"/>
            <w:tcBorders>
              <w:top w:val="single" w:color="000000" w:sz="4" w:space="0"/>
              <w:left w:val="single" w:color="000000" w:sz="4" w:space="0"/>
              <w:bottom w:val="single" w:color="000000" w:sz="4" w:space="0"/>
              <w:right w:val="single" w:color="000000" w:sz="4" w:space="0"/>
            </w:tcBorders>
            <w:vAlign w:val="center"/>
          </w:tcPr>
          <w:p w14:paraId="0F5F74D8">
            <w:pPr>
              <w:pStyle w:val="71"/>
              <w:spacing w:before="24" w:after="24"/>
              <w:rPr>
                <w:rFonts w:cs="Times New Roman"/>
              </w:rPr>
            </w:pPr>
            <w:r>
              <w:rPr>
                <w:rFonts w:cs="Times New Roman"/>
              </w:rPr>
              <w:t>12</w:t>
            </w:r>
          </w:p>
        </w:tc>
        <w:tc>
          <w:tcPr>
            <w:tcW w:w="1773" w:type="dxa"/>
            <w:tcBorders>
              <w:top w:val="single" w:color="000000" w:sz="4" w:space="0"/>
              <w:left w:val="nil"/>
              <w:bottom w:val="single" w:color="000000" w:sz="4" w:space="0"/>
              <w:right w:val="single" w:color="000000" w:sz="4" w:space="0"/>
            </w:tcBorders>
            <w:vAlign w:val="center"/>
          </w:tcPr>
          <w:p w14:paraId="5C12429B">
            <w:pPr>
              <w:pStyle w:val="71"/>
              <w:spacing w:before="24" w:after="24"/>
              <w:rPr>
                <w:rFonts w:cs="Times New Roman"/>
              </w:rPr>
            </w:pPr>
            <w:r>
              <w:rPr>
                <w:rFonts w:cs="Times New Roman"/>
              </w:rPr>
              <w:t>德钦新县城档案馆建设项目</w:t>
            </w:r>
          </w:p>
        </w:tc>
        <w:tc>
          <w:tcPr>
            <w:tcW w:w="1323" w:type="dxa"/>
            <w:tcBorders>
              <w:top w:val="single" w:color="000000" w:sz="4" w:space="0"/>
              <w:left w:val="nil"/>
              <w:bottom w:val="single" w:color="000000" w:sz="4" w:space="0"/>
              <w:right w:val="single" w:color="000000" w:sz="4" w:space="0"/>
            </w:tcBorders>
            <w:vAlign w:val="center"/>
          </w:tcPr>
          <w:p w14:paraId="439220BB">
            <w:pPr>
              <w:pStyle w:val="71"/>
              <w:spacing w:before="24" w:after="24"/>
              <w:rPr>
                <w:rFonts w:cs="Times New Roman"/>
              </w:rPr>
            </w:pPr>
            <w:r>
              <w:rPr>
                <w:rFonts w:cs="Times New Roman"/>
              </w:rPr>
              <w:t>05-30</w:t>
            </w:r>
          </w:p>
        </w:tc>
        <w:tc>
          <w:tcPr>
            <w:tcW w:w="1110" w:type="dxa"/>
            <w:tcBorders>
              <w:top w:val="single" w:color="000000" w:sz="4" w:space="0"/>
              <w:left w:val="nil"/>
              <w:bottom w:val="single" w:color="000000" w:sz="4" w:space="0"/>
              <w:right w:val="single" w:color="000000" w:sz="4" w:space="0"/>
            </w:tcBorders>
            <w:vAlign w:val="center"/>
          </w:tcPr>
          <w:p w14:paraId="57FE7967">
            <w:pPr>
              <w:pStyle w:val="71"/>
              <w:spacing w:before="24" w:after="24"/>
              <w:rPr>
                <w:rFonts w:cs="Times New Roman"/>
              </w:rPr>
            </w:pPr>
            <w:r>
              <w:rPr>
                <w:rFonts w:cs="Times New Roman"/>
              </w:rPr>
              <w:t>4.73</w:t>
            </w:r>
          </w:p>
        </w:tc>
        <w:tc>
          <w:tcPr>
            <w:tcW w:w="755" w:type="dxa"/>
            <w:tcBorders>
              <w:top w:val="single" w:color="000000" w:sz="4" w:space="0"/>
              <w:left w:val="nil"/>
              <w:bottom w:val="single" w:color="000000" w:sz="4" w:space="0"/>
              <w:right w:val="single" w:color="000000" w:sz="4" w:space="0"/>
            </w:tcBorders>
            <w:vAlign w:val="center"/>
          </w:tcPr>
          <w:p w14:paraId="58844B98">
            <w:pPr>
              <w:pStyle w:val="71"/>
              <w:spacing w:before="24" w:after="24"/>
              <w:rPr>
                <w:rFonts w:cs="Times New Roman"/>
              </w:rPr>
            </w:pPr>
            <w:r>
              <w:rPr>
                <w:rFonts w:cs="Times New Roman"/>
              </w:rPr>
              <w:t>1.5</w:t>
            </w:r>
          </w:p>
        </w:tc>
        <w:tc>
          <w:tcPr>
            <w:tcW w:w="959" w:type="dxa"/>
            <w:tcBorders>
              <w:top w:val="single" w:color="000000" w:sz="4" w:space="0"/>
              <w:left w:val="nil"/>
              <w:bottom w:val="single" w:color="000000" w:sz="4" w:space="0"/>
              <w:right w:val="single" w:color="000000" w:sz="4" w:space="0"/>
            </w:tcBorders>
            <w:vAlign w:val="center"/>
          </w:tcPr>
          <w:p w14:paraId="6654E4A0">
            <w:pPr>
              <w:pStyle w:val="71"/>
              <w:spacing w:before="24" w:after="24"/>
              <w:rPr>
                <w:rFonts w:cs="Times New Roman"/>
              </w:rPr>
            </w:pPr>
            <w:r>
              <w:rPr>
                <w:rFonts w:cs="Times New Roman"/>
              </w:rPr>
              <w:t>30</w:t>
            </w:r>
          </w:p>
        </w:tc>
        <w:tc>
          <w:tcPr>
            <w:tcW w:w="859" w:type="dxa"/>
            <w:tcBorders>
              <w:top w:val="single" w:color="000000" w:sz="4" w:space="0"/>
              <w:left w:val="nil"/>
              <w:bottom w:val="single" w:color="000000" w:sz="4" w:space="0"/>
              <w:right w:val="single" w:color="000000" w:sz="4" w:space="0"/>
            </w:tcBorders>
            <w:vAlign w:val="center"/>
          </w:tcPr>
          <w:p w14:paraId="61D3C93B">
            <w:pPr>
              <w:pStyle w:val="71"/>
              <w:spacing w:before="24" w:after="24"/>
              <w:rPr>
                <w:rFonts w:cs="Times New Roman"/>
              </w:rPr>
            </w:pPr>
            <w:r>
              <w:rPr>
                <w:rFonts w:cs="Times New Roman"/>
              </w:rPr>
              <w:t>40</w:t>
            </w:r>
          </w:p>
        </w:tc>
        <w:tc>
          <w:tcPr>
            <w:tcW w:w="926" w:type="dxa"/>
            <w:tcBorders>
              <w:top w:val="single" w:color="000000" w:sz="4" w:space="0"/>
              <w:left w:val="nil"/>
              <w:bottom w:val="single" w:color="000000" w:sz="4" w:space="0"/>
              <w:right w:val="single" w:color="000000" w:sz="4" w:space="0"/>
            </w:tcBorders>
            <w:vAlign w:val="center"/>
          </w:tcPr>
          <w:p w14:paraId="14DBC6FC">
            <w:pPr>
              <w:pStyle w:val="71"/>
              <w:spacing w:before="24" w:after="24"/>
              <w:rPr>
                <w:rFonts w:cs="Times New Roman"/>
              </w:rPr>
            </w:pPr>
            <w:r>
              <w:rPr>
                <w:rFonts w:cs="Times New Roman"/>
              </w:rPr>
              <w:t>24</w:t>
            </w:r>
          </w:p>
        </w:tc>
        <w:tc>
          <w:tcPr>
            <w:tcW w:w="947" w:type="dxa"/>
            <w:tcBorders>
              <w:top w:val="single" w:color="000000" w:sz="4" w:space="0"/>
              <w:left w:val="nil"/>
              <w:bottom w:val="single" w:color="000000" w:sz="4" w:space="0"/>
              <w:right w:val="single" w:color="000000" w:sz="4" w:space="0"/>
            </w:tcBorders>
            <w:vAlign w:val="center"/>
          </w:tcPr>
          <w:p w14:paraId="4E6D7043">
            <w:pPr>
              <w:pStyle w:val="71"/>
              <w:spacing w:before="24" w:after="24"/>
              <w:rPr>
                <w:rFonts w:cs="Times New Roman"/>
              </w:rPr>
            </w:pPr>
            <w:r>
              <w:rPr>
                <w:rFonts w:cs="Times New Roman"/>
              </w:rPr>
              <w:t>机关团体用地</w:t>
            </w:r>
          </w:p>
        </w:tc>
      </w:tr>
      <w:tr w14:paraId="0CA64FF6">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57" w:hRule="atLeast"/>
        </w:trPr>
        <w:tc>
          <w:tcPr>
            <w:tcW w:w="585" w:type="dxa"/>
            <w:tcBorders>
              <w:top w:val="single" w:color="000000" w:sz="4" w:space="0"/>
              <w:left w:val="single" w:color="000000" w:sz="4" w:space="0"/>
              <w:bottom w:val="single" w:color="000000" w:sz="4" w:space="0"/>
              <w:right w:val="single" w:color="000000" w:sz="4" w:space="0"/>
            </w:tcBorders>
            <w:vAlign w:val="center"/>
          </w:tcPr>
          <w:p w14:paraId="480A582F">
            <w:pPr>
              <w:pStyle w:val="71"/>
              <w:spacing w:before="24" w:after="24"/>
              <w:rPr>
                <w:rFonts w:cs="Times New Roman"/>
              </w:rPr>
            </w:pPr>
            <w:r>
              <w:rPr>
                <w:rFonts w:cs="Times New Roman"/>
              </w:rPr>
              <w:t>13</w:t>
            </w:r>
          </w:p>
        </w:tc>
        <w:tc>
          <w:tcPr>
            <w:tcW w:w="1773" w:type="dxa"/>
            <w:tcBorders>
              <w:top w:val="single" w:color="000000" w:sz="4" w:space="0"/>
              <w:left w:val="nil"/>
              <w:bottom w:val="single" w:color="000000" w:sz="4" w:space="0"/>
              <w:right w:val="single" w:color="000000" w:sz="4" w:space="0"/>
            </w:tcBorders>
            <w:vAlign w:val="center"/>
          </w:tcPr>
          <w:p w14:paraId="4FE5E322">
            <w:pPr>
              <w:pStyle w:val="71"/>
              <w:spacing w:before="24" w:after="24"/>
              <w:rPr>
                <w:rFonts w:cs="Times New Roman"/>
              </w:rPr>
            </w:pPr>
            <w:r>
              <w:rPr>
                <w:rFonts w:cs="Times New Roman"/>
              </w:rPr>
              <w:t>德钦新县城战略和应急物资储备库建设项目</w:t>
            </w:r>
          </w:p>
        </w:tc>
        <w:tc>
          <w:tcPr>
            <w:tcW w:w="1323" w:type="dxa"/>
            <w:tcBorders>
              <w:top w:val="single" w:color="000000" w:sz="4" w:space="0"/>
              <w:left w:val="nil"/>
              <w:bottom w:val="single" w:color="000000" w:sz="4" w:space="0"/>
              <w:right w:val="single" w:color="000000" w:sz="4" w:space="0"/>
            </w:tcBorders>
            <w:vAlign w:val="center"/>
          </w:tcPr>
          <w:p w14:paraId="414763F2">
            <w:pPr>
              <w:pStyle w:val="71"/>
              <w:spacing w:before="24" w:after="24"/>
              <w:rPr>
                <w:rFonts w:cs="Times New Roman"/>
              </w:rPr>
            </w:pPr>
            <w:r>
              <w:rPr>
                <w:rFonts w:cs="Times New Roman"/>
              </w:rPr>
              <w:t>03-04-02</w:t>
            </w:r>
          </w:p>
        </w:tc>
        <w:tc>
          <w:tcPr>
            <w:tcW w:w="1110" w:type="dxa"/>
            <w:tcBorders>
              <w:top w:val="single" w:color="000000" w:sz="4" w:space="0"/>
              <w:left w:val="nil"/>
              <w:bottom w:val="single" w:color="000000" w:sz="4" w:space="0"/>
              <w:right w:val="single" w:color="000000" w:sz="4" w:space="0"/>
            </w:tcBorders>
            <w:vAlign w:val="center"/>
          </w:tcPr>
          <w:p w14:paraId="6AD21786">
            <w:pPr>
              <w:pStyle w:val="71"/>
              <w:spacing w:before="24" w:after="24"/>
              <w:rPr>
                <w:rFonts w:cs="Times New Roman"/>
              </w:rPr>
            </w:pPr>
            <w:r>
              <w:rPr>
                <w:rFonts w:cs="Times New Roman"/>
              </w:rPr>
              <w:t>3.92</w:t>
            </w:r>
          </w:p>
        </w:tc>
        <w:tc>
          <w:tcPr>
            <w:tcW w:w="755" w:type="dxa"/>
            <w:tcBorders>
              <w:top w:val="single" w:color="000000" w:sz="4" w:space="0"/>
              <w:left w:val="nil"/>
              <w:bottom w:val="single" w:color="000000" w:sz="4" w:space="0"/>
              <w:right w:val="single" w:color="000000" w:sz="4" w:space="0"/>
            </w:tcBorders>
            <w:vAlign w:val="center"/>
          </w:tcPr>
          <w:p w14:paraId="18DD5D01">
            <w:pPr>
              <w:pStyle w:val="71"/>
              <w:spacing w:before="24" w:after="24"/>
              <w:rPr>
                <w:rFonts w:cs="Times New Roman"/>
              </w:rPr>
            </w:pPr>
            <w:r>
              <w:rPr>
                <w:rFonts w:cs="Times New Roman"/>
              </w:rPr>
              <w:t>1.3</w:t>
            </w:r>
          </w:p>
        </w:tc>
        <w:tc>
          <w:tcPr>
            <w:tcW w:w="959" w:type="dxa"/>
            <w:tcBorders>
              <w:top w:val="single" w:color="000000" w:sz="4" w:space="0"/>
              <w:left w:val="nil"/>
              <w:bottom w:val="single" w:color="000000" w:sz="4" w:space="0"/>
              <w:right w:val="single" w:color="000000" w:sz="4" w:space="0"/>
            </w:tcBorders>
            <w:vAlign w:val="center"/>
          </w:tcPr>
          <w:p w14:paraId="7F45A36F">
            <w:pPr>
              <w:pStyle w:val="71"/>
              <w:spacing w:before="24" w:after="24"/>
              <w:rPr>
                <w:rFonts w:cs="Times New Roman"/>
              </w:rPr>
            </w:pPr>
            <w:r>
              <w:rPr>
                <w:rFonts w:cs="Times New Roman"/>
              </w:rPr>
              <w:t>10</w:t>
            </w:r>
          </w:p>
        </w:tc>
        <w:tc>
          <w:tcPr>
            <w:tcW w:w="859" w:type="dxa"/>
            <w:tcBorders>
              <w:top w:val="single" w:color="000000" w:sz="4" w:space="0"/>
              <w:left w:val="nil"/>
              <w:bottom w:val="single" w:color="000000" w:sz="4" w:space="0"/>
              <w:right w:val="single" w:color="000000" w:sz="4" w:space="0"/>
            </w:tcBorders>
            <w:vAlign w:val="center"/>
          </w:tcPr>
          <w:p w14:paraId="2D9BE2BF">
            <w:pPr>
              <w:pStyle w:val="71"/>
              <w:spacing w:before="24" w:after="24"/>
              <w:rPr>
                <w:rFonts w:cs="Times New Roman"/>
              </w:rPr>
            </w:pPr>
            <w:r>
              <w:rPr>
                <w:rFonts w:cs="Times New Roman"/>
              </w:rPr>
              <w:t>60</w:t>
            </w:r>
          </w:p>
        </w:tc>
        <w:tc>
          <w:tcPr>
            <w:tcW w:w="926" w:type="dxa"/>
            <w:tcBorders>
              <w:top w:val="single" w:color="000000" w:sz="4" w:space="0"/>
              <w:left w:val="nil"/>
              <w:bottom w:val="single" w:color="000000" w:sz="4" w:space="0"/>
              <w:right w:val="single" w:color="000000" w:sz="4" w:space="0"/>
            </w:tcBorders>
            <w:vAlign w:val="center"/>
          </w:tcPr>
          <w:p w14:paraId="505671F5">
            <w:pPr>
              <w:pStyle w:val="71"/>
              <w:spacing w:before="24" w:after="24"/>
              <w:rPr>
                <w:rFonts w:cs="Times New Roman"/>
              </w:rPr>
            </w:pPr>
            <w:r>
              <w:rPr>
                <w:rFonts w:cs="Times New Roman"/>
              </w:rPr>
              <w:t>24</w:t>
            </w:r>
          </w:p>
        </w:tc>
        <w:tc>
          <w:tcPr>
            <w:tcW w:w="947" w:type="dxa"/>
            <w:tcBorders>
              <w:top w:val="single" w:color="000000" w:sz="4" w:space="0"/>
              <w:left w:val="nil"/>
              <w:bottom w:val="single" w:color="000000" w:sz="4" w:space="0"/>
              <w:right w:val="single" w:color="000000" w:sz="4" w:space="0"/>
            </w:tcBorders>
            <w:vAlign w:val="center"/>
          </w:tcPr>
          <w:p w14:paraId="1F5EA32A">
            <w:pPr>
              <w:pStyle w:val="71"/>
              <w:spacing w:before="24" w:after="24"/>
              <w:rPr>
                <w:rFonts w:cs="Times New Roman"/>
              </w:rPr>
            </w:pPr>
            <w:r>
              <w:rPr>
                <w:rFonts w:cs="Times New Roman"/>
              </w:rPr>
              <w:t>机关团体用地</w:t>
            </w:r>
          </w:p>
        </w:tc>
      </w:tr>
      <w:tr w14:paraId="609BBF55">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57" w:hRule="atLeast"/>
        </w:trPr>
        <w:tc>
          <w:tcPr>
            <w:tcW w:w="585" w:type="dxa"/>
            <w:tcBorders>
              <w:top w:val="single" w:color="000000" w:sz="4" w:space="0"/>
              <w:left w:val="single" w:color="000000" w:sz="4" w:space="0"/>
              <w:bottom w:val="single" w:color="000000" w:sz="4" w:space="0"/>
              <w:right w:val="single" w:color="000000" w:sz="4" w:space="0"/>
            </w:tcBorders>
            <w:vAlign w:val="center"/>
          </w:tcPr>
          <w:p w14:paraId="635651B4">
            <w:pPr>
              <w:pStyle w:val="71"/>
              <w:spacing w:before="24" w:after="24"/>
              <w:rPr>
                <w:rFonts w:cs="Times New Roman"/>
              </w:rPr>
            </w:pPr>
            <w:r>
              <w:rPr>
                <w:rFonts w:cs="Times New Roman"/>
              </w:rPr>
              <w:t>14</w:t>
            </w:r>
          </w:p>
        </w:tc>
        <w:tc>
          <w:tcPr>
            <w:tcW w:w="1773" w:type="dxa"/>
            <w:tcBorders>
              <w:top w:val="single" w:color="000000" w:sz="4" w:space="0"/>
              <w:left w:val="nil"/>
              <w:bottom w:val="single" w:color="000000" w:sz="4" w:space="0"/>
              <w:right w:val="single" w:color="000000" w:sz="4" w:space="0"/>
            </w:tcBorders>
            <w:vAlign w:val="center"/>
          </w:tcPr>
          <w:p w14:paraId="01894F38">
            <w:pPr>
              <w:pStyle w:val="71"/>
              <w:spacing w:before="24" w:after="24"/>
              <w:rPr>
                <w:rFonts w:cs="Times New Roman"/>
              </w:rPr>
            </w:pPr>
            <w:r>
              <w:rPr>
                <w:rFonts w:cs="Times New Roman"/>
              </w:rPr>
              <w:t>德钦新县城应急成品粮油储备库建设项目</w:t>
            </w:r>
          </w:p>
        </w:tc>
        <w:tc>
          <w:tcPr>
            <w:tcW w:w="1323" w:type="dxa"/>
            <w:tcBorders>
              <w:top w:val="single" w:color="000000" w:sz="4" w:space="0"/>
              <w:left w:val="nil"/>
              <w:bottom w:val="single" w:color="000000" w:sz="4" w:space="0"/>
              <w:right w:val="single" w:color="000000" w:sz="4" w:space="0"/>
            </w:tcBorders>
            <w:vAlign w:val="center"/>
          </w:tcPr>
          <w:p w14:paraId="0BB0CF3E">
            <w:pPr>
              <w:pStyle w:val="71"/>
              <w:spacing w:before="24" w:after="24"/>
              <w:rPr>
                <w:rFonts w:cs="Times New Roman"/>
              </w:rPr>
            </w:pPr>
            <w:r>
              <w:rPr>
                <w:rFonts w:cs="Times New Roman"/>
              </w:rPr>
              <w:t>03-04-02</w:t>
            </w:r>
          </w:p>
        </w:tc>
        <w:tc>
          <w:tcPr>
            <w:tcW w:w="1110" w:type="dxa"/>
            <w:tcBorders>
              <w:top w:val="single" w:color="000000" w:sz="4" w:space="0"/>
              <w:left w:val="nil"/>
              <w:bottom w:val="single" w:color="000000" w:sz="4" w:space="0"/>
              <w:right w:val="single" w:color="000000" w:sz="4" w:space="0"/>
            </w:tcBorders>
            <w:vAlign w:val="center"/>
          </w:tcPr>
          <w:p w14:paraId="190B4456">
            <w:pPr>
              <w:pStyle w:val="71"/>
              <w:spacing w:before="24" w:after="24"/>
              <w:rPr>
                <w:rFonts w:cs="Times New Roman"/>
              </w:rPr>
            </w:pPr>
            <w:r>
              <w:rPr>
                <w:rFonts w:cs="Times New Roman"/>
              </w:rPr>
              <w:t>3.77</w:t>
            </w:r>
          </w:p>
        </w:tc>
        <w:tc>
          <w:tcPr>
            <w:tcW w:w="755" w:type="dxa"/>
            <w:tcBorders>
              <w:top w:val="single" w:color="000000" w:sz="4" w:space="0"/>
              <w:left w:val="nil"/>
              <w:bottom w:val="single" w:color="000000" w:sz="4" w:space="0"/>
              <w:right w:val="single" w:color="000000" w:sz="4" w:space="0"/>
            </w:tcBorders>
            <w:vAlign w:val="center"/>
          </w:tcPr>
          <w:p w14:paraId="604948CE">
            <w:pPr>
              <w:pStyle w:val="71"/>
              <w:spacing w:before="24" w:after="24"/>
              <w:rPr>
                <w:rFonts w:cs="Times New Roman"/>
              </w:rPr>
            </w:pPr>
            <w:r>
              <w:rPr>
                <w:rFonts w:cs="Times New Roman"/>
              </w:rPr>
              <w:t>1.3</w:t>
            </w:r>
          </w:p>
        </w:tc>
        <w:tc>
          <w:tcPr>
            <w:tcW w:w="959" w:type="dxa"/>
            <w:tcBorders>
              <w:top w:val="single" w:color="000000" w:sz="4" w:space="0"/>
              <w:left w:val="nil"/>
              <w:bottom w:val="single" w:color="000000" w:sz="4" w:space="0"/>
              <w:right w:val="single" w:color="000000" w:sz="4" w:space="0"/>
            </w:tcBorders>
            <w:vAlign w:val="center"/>
          </w:tcPr>
          <w:p w14:paraId="767AF9CF">
            <w:pPr>
              <w:pStyle w:val="71"/>
              <w:spacing w:before="24" w:after="24"/>
              <w:rPr>
                <w:rFonts w:cs="Times New Roman"/>
              </w:rPr>
            </w:pPr>
            <w:r>
              <w:rPr>
                <w:rFonts w:cs="Times New Roman"/>
              </w:rPr>
              <w:t>10</w:t>
            </w:r>
          </w:p>
        </w:tc>
        <w:tc>
          <w:tcPr>
            <w:tcW w:w="859" w:type="dxa"/>
            <w:tcBorders>
              <w:top w:val="single" w:color="000000" w:sz="4" w:space="0"/>
              <w:left w:val="nil"/>
              <w:bottom w:val="single" w:color="000000" w:sz="4" w:space="0"/>
              <w:right w:val="single" w:color="000000" w:sz="4" w:space="0"/>
            </w:tcBorders>
            <w:vAlign w:val="center"/>
          </w:tcPr>
          <w:p w14:paraId="66CE832B">
            <w:pPr>
              <w:pStyle w:val="71"/>
              <w:spacing w:before="24" w:after="24"/>
              <w:rPr>
                <w:rFonts w:cs="Times New Roman"/>
              </w:rPr>
            </w:pPr>
            <w:r>
              <w:rPr>
                <w:rFonts w:cs="Times New Roman"/>
              </w:rPr>
              <w:t>60</w:t>
            </w:r>
          </w:p>
        </w:tc>
        <w:tc>
          <w:tcPr>
            <w:tcW w:w="926" w:type="dxa"/>
            <w:tcBorders>
              <w:top w:val="single" w:color="000000" w:sz="4" w:space="0"/>
              <w:left w:val="nil"/>
              <w:bottom w:val="single" w:color="000000" w:sz="4" w:space="0"/>
              <w:right w:val="single" w:color="000000" w:sz="4" w:space="0"/>
            </w:tcBorders>
            <w:vAlign w:val="center"/>
          </w:tcPr>
          <w:p w14:paraId="1B8AE3F6">
            <w:pPr>
              <w:pStyle w:val="71"/>
              <w:spacing w:before="24" w:after="24"/>
              <w:rPr>
                <w:rFonts w:cs="Times New Roman"/>
              </w:rPr>
            </w:pPr>
            <w:r>
              <w:rPr>
                <w:rFonts w:cs="Times New Roman"/>
              </w:rPr>
              <w:t>24</w:t>
            </w:r>
          </w:p>
        </w:tc>
        <w:tc>
          <w:tcPr>
            <w:tcW w:w="947" w:type="dxa"/>
            <w:tcBorders>
              <w:top w:val="single" w:color="000000" w:sz="4" w:space="0"/>
              <w:left w:val="nil"/>
              <w:bottom w:val="single" w:color="000000" w:sz="4" w:space="0"/>
              <w:right w:val="single" w:color="000000" w:sz="4" w:space="0"/>
            </w:tcBorders>
            <w:vAlign w:val="center"/>
          </w:tcPr>
          <w:p w14:paraId="3A5817F4">
            <w:pPr>
              <w:pStyle w:val="71"/>
              <w:spacing w:before="24" w:after="24"/>
              <w:rPr>
                <w:rFonts w:cs="Times New Roman"/>
              </w:rPr>
            </w:pPr>
            <w:r>
              <w:rPr>
                <w:rFonts w:cs="Times New Roman"/>
              </w:rPr>
              <w:t>机关团体用地</w:t>
            </w:r>
          </w:p>
        </w:tc>
      </w:tr>
      <w:tr w14:paraId="77C51835">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57" w:hRule="atLeast"/>
        </w:trPr>
        <w:tc>
          <w:tcPr>
            <w:tcW w:w="585" w:type="dxa"/>
            <w:tcBorders>
              <w:top w:val="single" w:color="000000" w:sz="4" w:space="0"/>
              <w:left w:val="single" w:color="000000" w:sz="4" w:space="0"/>
              <w:bottom w:val="single" w:color="000000" w:sz="4" w:space="0"/>
              <w:right w:val="single" w:color="000000" w:sz="4" w:space="0"/>
            </w:tcBorders>
            <w:vAlign w:val="center"/>
          </w:tcPr>
          <w:p w14:paraId="52081BF6">
            <w:pPr>
              <w:pStyle w:val="71"/>
              <w:spacing w:before="24" w:after="24"/>
              <w:rPr>
                <w:rFonts w:cs="Times New Roman"/>
              </w:rPr>
            </w:pPr>
            <w:r>
              <w:rPr>
                <w:rFonts w:cs="Times New Roman"/>
              </w:rPr>
              <w:t>15</w:t>
            </w:r>
          </w:p>
        </w:tc>
        <w:tc>
          <w:tcPr>
            <w:tcW w:w="1773" w:type="dxa"/>
            <w:tcBorders>
              <w:top w:val="single" w:color="000000" w:sz="4" w:space="0"/>
              <w:left w:val="nil"/>
              <w:bottom w:val="single" w:color="000000" w:sz="4" w:space="0"/>
              <w:right w:val="single" w:color="000000" w:sz="4" w:space="0"/>
            </w:tcBorders>
            <w:vAlign w:val="center"/>
          </w:tcPr>
          <w:p w14:paraId="1C257E6B">
            <w:pPr>
              <w:pStyle w:val="71"/>
              <w:spacing w:before="24" w:after="24"/>
              <w:rPr>
                <w:rFonts w:cs="Times New Roman"/>
              </w:rPr>
            </w:pPr>
            <w:r>
              <w:rPr>
                <w:rFonts w:cs="Times New Roman"/>
              </w:rPr>
              <w:t>德钦新县城消防救援大队营房建设项目</w:t>
            </w:r>
          </w:p>
        </w:tc>
        <w:tc>
          <w:tcPr>
            <w:tcW w:w="1323" w:type="dxa"/>
            <w:tcBorders>
              <w:top w:val="single" w:color="000000" w:sz="4" w:space="0"/>
              <w:left w:val="nil"/>
              <w:bottom w:val="single" w:color="000000" w:sz="4" w:space="0"/>
              <w:right w:val="single" w:color="000000" w:sz="4" w:space="0"/>
            </w:tcBorders>
            <w:vAlign w:val="center"/>
          </w:tcPr>
          <w:p w14:paraId="656F7E60">
            <w:pPr>
              <w:pStyle w:val="71"/>
              <w:spacing w:before="24" w:after="24"/>
              <w:rPr>
                <w:rFonts w:cs="Times New Roman"/>
              </w:rPr>
            </w:pPr>
            <w:r>
              <w:rPr>
                <w:rFonts w:cs="Times New Roman"/>
              </w:rPr>
              <w:t>05-13-01</w:t>
            </w:r>
          </w:p>
        </w:tc>
        <w:tc>
          <w:tcPr>
            <w:tcW w:w="1110" w:type="dxa"/>
            <w:tcBorders>
              <w:top w:val="single" w:color="000000" w:sz="4" w:space="0"/>
              <w:left w:val="nil"/>
              <w:bottom w:val="single" w:color="000000" w:sz="4" w:space="0"/>
              <w:right w:val="single" w:color="000000" w:sz="4" w:space="0"/>
            </w:tcBorders>
            <w:vAlign w:val="center"/>
          </w:tcPr>
          <w:p w14:paraId="015008DD">
            <w:pPr>
              <w:pStyle w:val="71"/>
              <w:spacing w:before="24" w:after="24"/>
              <w:rPr>
                <w:rFonts w:cs="Times New Roman"/>
              </w:rPr>
            </w:pPr>
            <w:r>
              <w:rPr>
                <w:rFonts w:cs="Times New Roman"/>
              </w:rPr>
              <w:t>12.09</w:t>
            </w:r>
          </w:p>
        </w:tc>
        <w:tc>
          <w:tcPr>
            <w:tcW w:w="755" w:type="dxa"/>
            <w:tcBorders>
              <w:top w:val="single" w:color="000000" w:sz="4" w:space="0"/>
              <w:left w:val="nil"/>
              <w:bottom w:val="single" w:color="000000" w:sz="4" w:space="0"/>
              <w:right w:val="single" w:color="000000" w:sz="4" w:space="0"/>
            </w:tcBorders>
            <w:vAlign w:val="center"/>
          </w:tcPr>
          <w:p w14:paraId="7670AD8B">
            <w:pPr>
              <w:pStyle w:val="71"/>
              <w:spacing w:before="24" w:after="24"/>
              <w:rPr>
                <w:rFonts w:cs="Times New Roman"/>
              </w:rPr>
            </w:pPr>
            <w:r>
              <w:rPr>
                <w:rFonts w:cs="Times New Roman"/>
              </w:rPr>
              <w:t>/</w:t>
            </w:r>
          </w:p>
        </w:tc>
        <w:tc>
          <w:tcPr>
            <w:tcW w:w="959" w:type="dxa"/>
            <w:tcBorders>
              <w:top w:val="single" w:color="000000" w:sz="4" w:space="0"/>
              <w:left w:val="nil"/>
              <w:bottom w:val="single" w:color="000000" w:sz="4" w:space="0"/>
              <w:right w:val="single" w:color="000000" w:sz="4" w:space="0"/>
            </w:tcBorders>
            <w:vAlign w:val="center"/>
          </w:tcPr>
          <w:p w14:paraId="5BBEB497">
            <w:pPr>
              <w:pStyle w:val="71"/>
              <w:spacing w:before="24" w:after="24"/>
              <w:rPr>
                <w:rFonts w:cs="Times New Roman"/>
              </w:rPr>
            </w:pPr>
            <w:r>
              <w:rPr>
                <w:rFonts w:cs="Times New Roman"/>
              </w:rPr>
              <w:t>/</w:t>
            </w:r>
          </w:p>
        </w:tc>
        <w:tc>
          <w:tcPr>
            <w:tcW w:w="859" w:type="dxa"/>
            <w:tcBorders>
              <w:top w:val="single" w:color="000000" w:sz="4" w:space="0"/>
              <w:left w:val="nil"/>
              <w:bottom w:val="single" w:color="000000" w:sz="4" w:space="0"/>
              <w:right w:val="single" w:color="000000" w:sz="4" w:space="0"/>
            </w:tcBorders>
            <w:vAlign w:val="center"/>
          </w:tcPr>
          <w:p w14:paraId="3E22FD6A">
            <w:pPr>
              <w:pStyle w:val="71"/>
              <w:spacing w:before="24" w:after="24"/>
              <w:rPr>
                <w:rFonts w:cs="Times New Roman"/>
              </w:rPr>
            </w:pPr>
            <w:r>
              <w:rPr>
                <w:rFonts w:cs="Times New Roman"/>
              </w:rPr>
              <w:t>/</w:t>
            </w:r>
          </w:p>
        </w:tc>
        <w:tc>
          <w:tcPr>
            <w:tcW w:w="926" w:type="dxa"/>
            <w:tcBorders>
              <w:top w:val="single" w:color="000000" w:sz="4" w:space="0"/>
              <w:left w:val="nil"/>
              <w:bottom w:val="single" w:color="000000" w:sz="4" w:space="0"/>
              <w:right w:val="single" w:color="000000" w:sz="4" w:space="0"/>
            </w:tcBorders>
            <w:vAlign w:val="center"/>
          </w:tcPr>
          <w:p w14:paraId="5F60AF50">
            <w:pPr>
              <w:pStyle w:val="71"/>
              <w:spacing w:before="24" w:after="24"/>
              <w:rPr>
                <w:rFonts w:cs="Times New Roman"/>
              </w:rPr>
            </w:pPr>
            <w:r>
              <w:rPr>
                <w:rFonts w:cs="Times New Roman"/>
              </w:rPr>
              <w:t>/</w:t>
            </w:r>
          </w:p>
        </w:tc>
        <w:tc>
          <w:tcPr>
            <w:tcW w:w="947" w:type="dxa"/>
            <w:tcBorders>
              <w:top w:val="single" w:color="000000" w:sz="4" w:space="0"/>
              <w:left w:val="nil"/>
              <w:bottom w:val="single" w:color="000000" w:sz="4" w:space="0"/>
              <w:right w:val="single" w:color="000000" w:sz="4" w:space="0"/>
            </w:tcBorders>
            <w:vAlign w:val="center"/>
          </w:tcPr>
          <w:p w14:paraId="1B3267CE">
            <w:pPr>
              <w:pStyle w:val="71"/>
              <w:spacing w:before="24" w:after="24"/>
              <w:rPr>
                <w:rFonts w:cs="Times New Roman"/>
              </w:rPr>
            </w:pPr>
            <w:r>
              <w:rPr>
                <w:rFonts w:cs="Times New Roman"/>
              </w:rPr>
              <w:t>消防用地</w:t>
            </w:r>
          </w:p>
        </w:tc>
      </w:tr>
      <w:tr w14:paraId="746313ED">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57" w:hRule="atLeast"/>
        </w:trPr>
        <w:tc>
          <w:tcPr>
            <w:tcW w:w="585" w:type="dxa"/>
            <w:tcBorders>
              <w:top w:val="single" w:color="000000" w:sz="4" w:space="0"/>
              <w:left w:val="single" w:color="000000" w:sz="4" w:space="0"/>
              <w:bottom w:val="single" w:color="000000" w:sz="4" w:space="0"/>
              <w:right w:val="single" w:color="000000" w:sz="4" w:space="0"/>
            </w:tcBorders>
            <w:vAlign w:val="center"/>
          </w:tcPr>
          <w:p w14:paraId="5F3EA94E">
            <w:pPr>
              <w:pStyle w:val="71"/>
              <w:spacing w:before="24" w:after="24"/>
              <w:rPr>
                <w:rFonts w:cs="Times New Roman"/>
              </w:rPr>
            </w:pPr>
            <w:r>
              <w:rPr>
                <w:rFonts w:cs="Times New Roman"/>
              </w:rPr>
              <w:t>16</w:t>
            </w:r>
          </w:p>
        </w:tc>
        <w:tc>
          <w:tcPr>
            <w:tcW w:w="1773" w:type="dxa"/>
            <w:tcBorders>
              <w:top w:val="single" w:color="000000" w:sz="4" w:space="0"/>
              <w:left w:val="nil"/>
              <w:bottom w:val="single" w:color="000000" w:sz="4" w:space="0"/>
              <w:right w:val="single" w:color="000000" w:sz="4" w:space="0"/>
            </w:tcBorders>
            <w:vAlign w:val="center"/>
          </w:tcPr>
          <w:p w14:paraId="01F1FF83">
            <w:pPr>
              <w:pStyle w:val="71"/>
              <w:spacing w:before="24" w:after="24"/>
              <w:rPr>
                <w:rFonts w:cs="Times New Roman"/>
              </w:rPr>
            </w:pPr>
            <w:r>
              <w:rPr>
                <w:rFonts w:cs="Times New Roman"/>
              </w:rPr>
              <w:t>德钦新县城党校建设项目</w:t>
            </w:r>
          </w:p>
        </w:tc>
        <w:tc>
          <w:tcPr>
            <w:tcW w:w="1323" w:type="dxa"/>
            <w:tcBorders>
              <w:top w:val="single" w:color="000000" w:sz="4" w:space="0"/>
              <w:left w:val="nil"/>
              <w:bottom w:val="single" w:color="000000" w:sz="4" w:space="0"/>
              <w:right w:val="single" w:color="000000" w:sz="4" w:space="0"/>
            </w:tcBorders>
            <w:vAlign w:val="center"/>
          </w:tcPr>
          <w:p w14:paraId="3BE406D4">
            <w:pPr>
              <w:pStyle w:val="71"/>
              <w:spacing w:before="24" w:after="24"/>
              <w:rPr>
                <w:rFonts w:cs="Times New Roman"/>
              </w:rPr>
            </w:pPr>
            <w:r>
              <w:rPr>
                <w:rFonts w:cs="Times New Roman"/>
              </w:rPr>
              <w:t>05-35-02</w:t>
            </w:r>
          </w:p>
        </w:tc>
        <w:tc>
          <w:tcPr>
            <w:tcW w:w="1110" w:type="dxa"/>
            <w:tcBorders>
              <w:top w:val="single" w:color="000000" w:sz="4" w:space="0"/>
              <w:left w:val="nil"/>
              <w:bottom w:val="single" w:color="000000" w:sz="4" w:space="0"/>
              <w:right w:val="single" w:color="000000" w:sz="4" w:space="0"/>
            </w:tcBorders>
            <w:vAlign w:val="center"/>
          </w:tcPr>
          <w:p w14:paraId="35E6BC60">
            <w:pPr>
              <w:pStyle w:val="71"/>
              <w:spacing w:before="24" w:after="24"/>
              <w:rPr>
                <w:rFonts w:cs="Times New Roman"/>
              </w:rPr>
            </w:pPr>
            <w:r>
              <w:rPr>
                <w:rFonts w:cs="Times New Roman"/>
              </w:rPr>
              <w:t>36.74</w:t>
            </w:r>
          </w:p>
        </w:tc>
        <w:tc>
          <w:tcPr>
            <w:tcW w:w="755" w:type="dxa"/>
            <w:tcBorders>
              <w:top w:val="single" w:color="000000" w:sz="4" w:space="0"/>
              <w:left w:val="nil"/>
              <w:bottom w:val="single" w:color="000000" w:sz="4" w:space="0"/>
              <w:right w:val="single" w:color="000000" w:sz="4" w:space="0"/>
            </w:tcBorders>
            <w:vAlign w:val="center"/>
          </w:tcPr>
          <w:p w14:paraId="6FD572AF">
            <w:pPr>
              <w:pStyle w:val="71"/>
              <w:spacing w:before="24" w:after="24"/>
              <w:rPr>
                <w:rFonts w:cs="Times New Roman"/>
              </w:rPr>
            </w:pPr>
            <w:r>
              <w:rPr>
                <w:rFonts w:cs="Times New Roman"/>
              </w:rPr>
              <w:t>1</w:t>
            </w:r>
          </w:p>
        </w:tc>
        <w:tc>
          <w:tcPr>
            <w:tcW w:w="959" w:type="dxa"/>
            <w:tcBorders>
              <w:top w:val="single" w:color="000000" w:sz="4" w:space="0"/>
              <w:left w:val="nil"/>
              <w:bottom w:val="single" w:color="000000" w:sz="4" w:space="0"/>
              <w:right w:val="single" w:color="000000" w:sz="4" w:space="0"/>
            </w:tcBorders>
            <w:vAlign w:val="center"/>
          </w:tcPr>
          <w:p w14:paraId="6A9D8C2C">
            <w:pPr>
              <w:pStyle w:val="71"/>
              <w:spacing w:before="24" w:after="24"/>
              <w:rPr>
                <w:rFonts w:cs="Times New Roman"/>
              </w:rPr>
            </w:pPr>
            <w:r>
              <w:rPr>
                <w:rFonts w:cs="Times New Roman"/>
              </w:rPr>
              <w:t>35</w:t>
            </w:r>
          </w:p>
        </w:tc>
        <w:tc>
          <w:tcPr>
            <w:tcW w:w="859" w:type="dxa"/>
            <w:tcBorders>
              <w:top w:val="single" w:color="000000" w:sz="4" w:space="0"/>
              <w:left w:val="nil"/>
              <w:bottom w:val="single" w:color="000000" w:sz="4" w:space="0"/>
              <w:right w:val="single" w:color="000000" w:sz="4" w:space="0"/>
            </w:tcBorders>
            <w:vAlign w:val="center"/>
          </w:tcPr>
          <w:p w14:paraId="391763B4">
            <w:pPr>
              <w:pStyle w:val="71"/>
              <w:spacing w:before="24" w:after="24"/>
              <w:rPr>
                <w:rFonts w:cs="Times New Roman"/>
              </w:rPr>
            </w:pPr>
            <w:r>
              <w:rPr>
                <w:rFonts w:cs="Times New Roman"/>
              </w:rPr>
              <w:t>30</w:t>
            </w:r>
          </w:p>
        </w:tc>
        <w:tc>
          <w:tcPr>
            <w:tcW w:w="926" w:type="dxa"/>
            <w:tcBorders>
              <w:top w:val="single" w:color="000000" w:sz="4" w:space="0"/>
              <w:left w:val="nil"/>
              <w:bottom w:val="single" w:color="000000" w:sz="4" w:space="0"/>
              <w:right w:val="single" w:color="000000" w:sz="4" w:space="0"/>
            </w:tcBorders>
            <w:vAlign w:val="center"/>
          </w:tcPr>
          <w:p w14:paraId="5158C38F">
            <w:pPr>
              <w:pStyle w:val="71"/>
              <w:spacing w:before="24" w:after="24"/>
              <w:rPr>
                <w:rFonts w:cs="Times New Roman"/>
              </w:rPr>
            </w:pPr>
            <w:r>
              <w:rPr>
                <w:rFonts w:cs="Times New Roman"/>
              </w:rPr>
              <w:t>18</w:t>
            </w:r>
          </w:p>
        </w:tc>
        <w:tc>
          <w:tcPr>
            <w:tcW w:w="947" w:type="dxa"/>
            <w:tcBorders>
              <w:top w:val="single" w:color="000000" w:sz="4" w:space="0"/>
              <w:left w:val="nil"/>
              <w:bottom w:val="single" w:color="000000" w:sz="4" w:space="0"/>
              <w:right w:val="single" w:color="000000" w:sz="4" w:space="0"/>
            </w:tcBorders>
            <w:vAlign w:val="center"/>
          </w:tcPr>
          <w:p w14:paraId="5553369D">
            <w:pPr>
              <w:pStyle w:val="71"/>
              <w:spacing w:before="24" w:after="24"/>
              <w:rPr>
                <w:rFonts w:cs="Times New Roman"/>
              </w:rPr>
            </w:pPr>
            <w:r>
              <w:rPr>
                <w:rFonts w:cs="Times New Roman"/>
              </w:rPr>
              <w:t>高等教育用地</w:t>
            </w:r>
          </w:p>
        </w:tc>
      </w:tr>
      <w:tr w14:paraId="25E8ED1C">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57" w:hRule="atLeast"/>
        </w:trPr>
        <w:tc>
          <w:tcPr>
            <w:tcW w:w="585" w:type="dxa"/>
            <w:tcBorders>
              <w:top w:val="single" w:color="000000" w:sz="4" w:space="0"/>
              <w:left w:val="single" w:color="000000" w:sz="4" w:space="0"/>
              <w:bottom w:val="single" w:color="000000" w:sz="4" w:space="0"/>
              <w:right w:val="single" w:color="000000" w:sz="4" w:space="0"/>
            </w:tcBorders>
            <w:vAlign w:val="center"/>
          </w:tcPr>
          <w:p w14:paraId="180064B6">
            <w:pPr>
              <w:pStyle w:val="71"/>
              <w:spacing w:before="24" w:after="24"/>
              <w:rPr>
                <w:rFonts w:cs="Times New Roman"/>
              </w:rPr>
            </w:pPr>
            <w:r>
              <w:rPr>
                <w:rFonts w:cs="Times New Roman"/>
              </w:rPr>
              <w:t>1</w:t>
            </w:r>
            <w:r>
              <w:rPr>
                <w:rFonts w:hint="eastAsia" w:cs="Times New Roman"/>
              </w:rPr>
              <w:t>7</w:t>
            </w:r>
          </w:p>
        </w:tc>
        <w:tc>
          <w:tcPr>
            <w:tcW w:w="1773" w:type="dxa"/>
            <w:tcBorders>
              <w:top w:val="single" w:color="000000" w:sz="4" w:space="0"/>
              <w:left w:val="nil"/>
              <w:bottom w:val="single" w:color="000000" w:sz="4" w:space="0"/>
              <w:right w:val="single" w:color="000000" w:sz="4" w:space="0"/>
            </w:tcBorders>
            <w:vAlign w:val="center"/>
          </w:tcPr>
          <w:p w14:paraId="62244619">
            <w:pPr>
              <w:pStyle w:val="71"/>
              <w:spacing w:before="24" w:after="24"/>
              <w:rPr>
                <w:rFonts w:cs="Times New Roman"/>
              </w:rPr>
            </w:pPr>
            <w:r>
              <w:rPr>
                <w:rFonts w:cs="Times New Roman"/>
              </w:rPr>
              <w:t>德钦新县城政务服务中心建设项目</w:t>
            </w:r>
          </w:p>
        </w:tc>
        <w:tc>
          <w:tcPr>
            <w:tcW w:w="1323" w:type="dxa"/>
            <w:tcBorders>
              <w:top w:val="single" w:color="000000" w:sz="4" w:space="0"/>
              <w:left w:val="nil"/>
              <w:bottom w:val="single" w:color="000000" w:sz="4" w:space="0"/>
              <w:right w:val="single" w:color="000000" w:sz="4" w:space="0"/>
            </w:tcBorders>
            <w:vAlign w:val="center"/>
          </w:tcPr>
          <w:p w14:paraId="24A21ED3">
            <w:pPr>
              <w:pStyle w:val="71"/>
              <w:spacing w:before="24" w:after="24"/>
              <w:rPr>
                <w:rFonts w:cs="Times New Roman"/>
              </w:rPr>
            </w:pPr>
            <w:r>
              <w:rPr>
                <w:rFonts w:cs="Times New Roman"/>
              </w:rPr>
              <w:t>05-32-05</w:t>
            </w:r>
          </w:p>
        </w:tc>
        <w:tc>
          <w:tcPr>
            <w:tcW w:w="1110" w:type="dxa"/>
            <w:tcBorders>
              <w:top w:val="single" w:color="000000" w:sz="4" w:space="0"/>
              <w:left w:val="nil"/>
              <w:bottom w:val="single" w:color="000000" w:sz="4" w:space="0"/>
              <w:right w:val="single" w:color="000000" w:sz="4" w:space="0"/>
            </w:tcBorders>
            <w:vAlign w:val="center"/>
          </w:tcPr>
          <w:p w14:paraId="7A855426">
            <w:pPr>
              <w:pStyle w:val="71"/>
              <w:spacing w:before="24" w:after="24"/>
              <w:rPr>
                <w:rFonts w:cs="Times New Roman"/>
              </w:rPr>
            </w:pPr>
            <w:r>
              <w:rPr>
                <w:rFonts w:cs="Times New Roman"/>
              </w:rPr>
              <w:t>4.53</w:t>
            </w:r>
          </w:p>
        </w:tc>
        <w:tc>
          <w:tcPr>
            <w:tcW w:w="755" w:type="dxa"/>
            <w:tcBorders>
              <w:top w:val="single" w:color="000000" w:sz="4" w:space="0"/>
              <w:left w:val="nil"/>
              <w:bottom w:val="single" w:color="000000" w:sz="4" w:space="0"/>
              <w:right w:val="single" w:color="000000" w:sz="4" w:space="0"/>
            </w:tcBorders>
            <w:vAlign w:val="center"/>
          </w:tcPr>
          <w:p w14:paraId="67FA2B4A">
            <w:pPr>
              <w:pStyle w:val="71"/>
              <w:spacing w:before="24" w:after="24"/>
              <w:rPr>
                <w:rFonts w:cs="Times New Roman"/>
              </w:rPr>
            </w:pPr>
            <w:r>
              <w:rPr>
                <w:rFonts w:cs="Times New Roman"/>
              </w:rPr>
              <w:t>1.2</w:t>
            </w:r>
          </w:p>
        </w:tc>
        <w:tc>
          <w:tcPr>
            <w:tcW w:w="959" w:type="dxa"/>
            <w:tcBorders>
              <w:top w:val="single" w:color="000000" w:sz="4" w:space="0"/>
              <w:left w:val="nil"/>
              <w:bottom w:val="single" w:color="000000" w:sz="4" w:space="0"/>
              <w:right w:val="single" w:color="000000" w:sz="4" w:space="0"/>
            </w:tcBorders>
            <w:vAlign w:val="center"/>
          </w:tcPr>
          <w:p w14:paraId="035BAEE5">
            <w:pPr>
              <w:pStyle w:val="71"/>
              <w:spacing w:before="24" w:after="24"/>
              <w:rPr>
                <w:rFonts w:cs="Times New Roman"/>
              </w:rPr>
            </w:pPr>
            <w:r>
              <w:rPr>
                <w:rFonts w:cs="Times New Roman"/>
              </w:rPr>
              <w:t>30</w:t>
            </w:r>
          </w:p>
        </w:tc>
        <w:tc>
          <w:tcPr>
            <w:tcW w:w="859" w:type="dxa"/>
            <w:tcBorders>
              <w:top w:val="single" w:color="000000" w:sz="4" w:space="0"/>
              <w:left w:val="nil"/>
              <w:bottom w:val="single" w:color="000000" w:sz="4" w:space="0"/>
              <w:right w:val="single" w:color="000000" w:sz="4" w:space="0"/>
            </w:tcBorders>
            <w:vAlign w:val="center"/>
          </w:tcPr>
          <w:p w14:paraId="6F514814">
            <w:pPr>
              <w:pStyle w:val="71"/>
              <w:spacing w:before="24" w:after="24"/>
              <w:rPr>
                <w:rFonts w:cs="Times New Roman"/>
              </w:rPr>
            </w:pPr>
            <w:r>
              <w:rPr>
                <w:rFonts w:cs="Times New Roman"/>
              </w:rPr>
              <w:t>40</w:t>
            </w:r>
          </w:p>
        </w:tc>
        <w:tc>
          <w:tcPr>
            <w:tcW w:w="926" w:type="dxa"/>
            <w:tcBorders>
              <w:top w:val="single" w:color="000000" w:sz="4" w:space="0"/>
              <w:left w:val="nil"/>
              <w:bottom w:val="single" w:color="000000" w:sz="4" w:space="0"/>
              <w:right w:val="single" w:color="000000" w:sz="4" w:space="0"/>
            </w:tcBorders>
            <w:vAlign w:val="center"/>
          </w:tcPr>
          <w:p w14:paraId="1C470CA5">
            <w:pPr>
              <w:pStyle w:val="71"/>
              <w:spacing w:before="24" w:after="24"/>
              <w:rPr>
                <w:rFonts w:cs="Times New Roman"/>
              </w:rPr>
            </w:pPr>
            <w:r>
              <w:rPr>
                <w:rFonts w:cs="Times New Roman"/>
              </w:rPr>
              <w:t>18</w:t>
            </w:r>
          </w:p>
        </w:tc>
        <w:tc>
          <w:tcPr>
            <w:tcW w:w="947" w:type="dxa"/>
            <w:tcBorders>
              <w:top w:val="single" w:color="000000" w:sz="4" w:space="0"/>
              <w:left w:val="nil"/>
              <w:bottom w:val="single" w:color="000000" w:sz="4" w:space="0"/>
              <w:right w:val="single" w:color="000000" w:sz="4" w:space="0"/>
            </w:tcBorders>
            <w:vAlign w:val="center"/>
          </w:tcPr>
          <w:p w14:paraId="6CBCE6A3">
            <w:pPr>
              <w:pStyle w:val="71"/>
              <w:spacing w:before="24" w:after="24"/>
              <w:rPr>
                <w:rFonts w:cs="Times New Roman"/>
              </w:rPr>
            </w:pPr>
            <w:r>
              <w:rPr>
                <w:rFonts w:cs="Times New Roman"/>
              </w:rPr>
              <w:t>机关团体用地</w:t>
            </w:r>
          </w:p>
        </w:tc>
      </w:tr>
      <w:tr w14:paraId="739B3948">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57" w:hRule="atLeast"/>
        </w:trPr>
        <w:tc>
          <w:tcPr>
            <w:tcW w:w="585" w:type="dxa"/>
            <w:tcBorders>
              <w:top w:val="single" w:color="000000" w:sz="4" w:space="0"/>
              <w:left w:val="single" w:color="000000" w:sz="4" w:space="0"/>
              <w:bottom w:val="single" w:color="000000" w:sz="4" w:space="0"/>
              <w:right w:val="single" w:color="000000" w:sz="4" w:space="0"/>
            </w:tcBorders>
            <w:vAlign w:val="center"/>
          </w:tcPr>
          <w:p w14:paraId="73DD023E">
            <w:pPr>
              <w:pStyle w:val="71"/>
              <w:spacing w:before="24" w:after="24"/>
              <w:rPr>
                <w:rFonts w:cs="Times New Roman"/>
              </w:rPr>
            </w:pPr>
            <w:r>
              <w:rPr>
                <w:rFonts w:cs="Times New Roman"/>
              </w:rPr>
              <w:t>1</w:t>
            </w:r>
            <w:r>
              <w:rPr>
                <w:rFonts w:hint="eastAsia" w:cs="Times New Roman"/>
              </w:rPr>
              <w:t>8</w:t>
            </w:r>
          </w:p>
        </w:tc>
        <w:tc>
          <w:tcPr>
            <w:tcW w:w="1773" w:type="dxa"/>
            <w:tcBorders>
              <w:top w:val="single" w:color="000000" w:sz="4" w:space="0"/>
              <w:left w:val="nil"/>
              <w:bottom w:val="single" w:color="000000" w:sz="4" w:space="0"/>
              <w:right w:val="single" w:color="000000" w:sz="4" w:space="0"/>
            </w:tcBorders>
            <w:vAlign w:val="center"/>
          </w:tcPr>
          <w:p w14:paraId="00ABF1C6">
            <w:pPr>
              <w:pStyle w:val="71"/>
              <w:spacing w:before="24" w:after="24"/>
              <w:rPr>
                <w:rFonts w:cs="Times New Roman"/>
              </w:rPr>
            </w:pPr>
            <w:r>
              <w:rPr>
                <w:rFonts w:cs="Times New Roman"/>
              </w:rPr>
              <w:t>德钦新县城人民法院办公及审判综合大楼建设项目</w:t>
            </w:r>
          </w:p>
        </w:tc>
        <w:tc>
          <w:tcPr>
            <w:tcW w:w="1323" w:type="dxa"/>
            <w:tcBorders>
              <w:top w:val="single" w:color="000000" w:sz="4" w:space="0"/>
              <w:left w:val="nil"/>
              <w:bottom w:val="single" w:color="000000" w:sz="4" w:space="0"/>
              <w:right w:val="single" w:color="000000" w:sz="4" w:space="0"/>
            </w:tcBorders>
            <w:vAlign w:val="center"/>
          </w:tcPr>
          <w:p w14:paraId="5F66E61C">
            <w:pPr>
              <w:pStyle w:val="71"/>
              <w:spacing w:before="24" w:after="24"/>
              <w:rPr>
                <w:rFonts w:cs="Times New Roman"/>
              </w:rPr>
            </w:pPr>
            <w:r>
              <w:rPr>
                <w:rFonts w:cs="Times New Roman"/>
              </w:rPr>
              <w:t>05-27</w:t>
            </w:r>
          </w:p>
        </w:tc>
        <w:tc>
          <w:tcPr>
            <w:tcW w:w="1110" w:type="dxa"/>
            <w:tcBorders>
              <w:top w:val="single" w:color="000000" w:sz="4" w:space="0"/>
              <w:left w:val="nil"/>
              <w:bottom w:val="single" w:color="000000" w:sz="4" w:space="0"/>
              <w:right w:val="single" w:color="000000" w:sz="4" w:space="0"/>
            </w:tcBorders>
            <w:vAlign w:val="center"/>
          </w:tcPr>
          <w:p w14:paraId="0996AE52">
            <w:pPr>
              <w:pStyle w:val="71"/>
              <w:spacing w:before="24" w:after="24"/>
              <w:rPr>
                <w:rFonts w:cs="Times New Roman"/>
              </w:rPr>
            </w:pPr>
            <w:r>
              <w:rPr>
                <w:rFonts w:cs="Times New Roman"/>
              </w:rPr>
              <w:t>14.30</w:t>
            </w:r>
          </w:p>
        </w:tc>
        <w:tc>
          <w:tcPr>
            <w:tcW w:w="755" w:type="dxa"/>
            <w:tcBorders>
              <w:top w:val="single" w:color="000000" w:sz="4" w:space="0"/>
              <w:left w:val="nil"/>
              <w:bottom w:val="single" w:color="000000" w:sz="4" w:space="0"/>
              <w:right w:val="single" w:color="000000" w:sz="4" w:space="0"/>
            </w:tcBorders>
            <w:vAlign w:val="center"/>
          </w:tcPr>
          <w:p w14:paraId="74AA3F2D">
            <w:pPr>
              <w:pStyle w:val="71"/>
              <w:spacing w:before="24" w:after="24"/>
              <w:rPr>
                <w:rFonts w:cs="Times New Roman"/>
              </w:rPr>
            </w:pPr>
            <w:r>
              <w:rPr>
                <w:rFonts w:cs="Times New Roman"/>
              </w:rPr>
              <w:t>1.6</w:t>
            </w:r>
          </w:p>
        </w:tc>
        <w:tc>
          <w:tcPr>
            <w:tcW w:w="959" w:type="dxa"/>
            <w:tcBorders>
              <w:top w:val="single" w:color="000000" w:sz="4" w:space="0"/>
              <w:left w:val="nil"/>
              <w:bottom w:val="single" w:color="000000" w:sz="4" w:space="0"/>
              <w:right w:val="single" w:color="000000" w:sz="4" w:space="0"/>
            </w:tcBorders>
            <w:vAlign w:val="center"/>
          </w:tcPr>
          <w:p w14:paraId="424694D0">
            <w:pPr>
              <w:pStyle w:val="71"/>
              <w:spacing w:before="24" w:after="24"/>
              <w:rPr>
                <w:rFonts w:cs="Times New Roman"/>
              </w:rPr>
            </w:pPr>
            <w:r>
              <w:rPr>
                <w:rFonts w:cs="Times New Roman"/>
              </w:rPr>
              <w:t>30</w:t>
            </w:r>
          </w:p>
        </w:tc>
        <w:tc>
          <w:tcPr>
            <w:tcW w:w="859" w:type="dxa"/>
            <w:tcBorders>
              <w:top w:val="single" w:color="000000" w:sz="4" w:space="0"/>
              <w:left w:val="nil"/>
              <w:bottom w:val="single" w:color="000000" w:sz="4" w:space="0"/>
              <w:right w:val="single" w:color="000000" w:sz="4" w:space="0"/>
            </w:tcBorders>
            <w:vAlign w:val="center"/>
          </w:tcPr>
          <w:p w14:paraId="28C7C5F5">
            <w:pPr>
              <w:pStyle w:val="71"/>
              <w:spacing w:before="24" w:after="24"/>
              <w:rPr>
                <w:rFonts w:cs="Times New Roman"/>
              </w:rPr>
            </w:pPr>
            <w:r>
              <w:rPr>
                <w:rFonts w:cs="Times New Roman"/>
              </w:rPr>
              <w:t>40</w:t>
            </w:r>
          </w:p>
        </w:tc>
        <w:tc>
          <w:tcPr>
            <w:tcW w:w="926" w:type="dxa"/>
            <w:tcBorders>
              <w:top w:val="single" w:color="000000" w:sz="4" w:space="0"/>
              <w:left w:val="nil"/>
              <w:bottom w:val="single" w:color="000000" w:sz="4" w:space="0"/>
              <w:right w:val="single" w:color="000000" w:sz="4" w:space="0"/>
            </w:tcBorders>
            <w:vAlign w:val="center"/>
          </w:tcPr>
          <w:p w14:paraId="13020C0B">
            <w:pPr>
              <w:pStyle w:val="71"/>
              <w:spacing w:before="24" w:after="24"/>
              <w:rPr>
                <w:rFonts w:cs="Times New Roman"/>
              </w:rPr>
            </w:pPr>
            <w:r>
              <w:rPr>
                <w:rFonts w:cs="Times New Roman"/>
              </w:rPr>
              <w:t>24</w:t>
            </w:r>
          </w:p>
        </w:tc>
        <w:tc>
          <w:tcPr>
            <w:tcW w:w="947" w:type="dxa"/>
            <w:tcBorders>
              <w:top w:val="single" w:color="000000" w:sz="4" w:space="0"/>
              <w:left w:val="nil"/>
              <w:bottom w:val="single" w:color="000000" w:sz="4" w:space="0"/>
              <w:right w:val="single" w:color="000000" w:sz="4" w:space="0"/>
            </w:tcBorders>
            <w:vAlign w:val="center"/>
          </w:tcPr>
          <w:p w14:paraId="5094B2C6">
            <w:pPr>
              <w:pStyle w:val="71"/>
              <w:spacing w:before="24" w:after="24"/>
              <w:rPr>
                <w:rFonts w:cs="Times New Roman"/>
              </w:rPr>
            </w:pPr>
            <w:r>
              <w:rPr>
                <w:rFonts w:cs="Times New Roman"/>
              </w:rPr>
              <w:t>机关团体用地</w:t>
            </w:r>
          </w:p>
        </w:tc>
      </w:tr>
      <w:tr w14:paraId="3A3E71E3">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57" w:hRule="atLeast"/>
        </w:trPr>
        <w:tc>
          <w:tcPr>
            <w:tcW w:w="585" w:type="dxa"/>
            <w:tcBorders>
              <w:top w:val="single" w:color="000000" w:sz="4" w:space="0"/>
              <w:left w:val="single" w:color="000000" w:sz="4" w:space="0"/>
              <w:bottom w:val="single" w:color="000000" w:sz="4" w:space="0"/>
              <w:right w:val="single" w:color="000000" w:sz="4" w:space="0"/>
            </w:tcBorders>
            <w:vAlign w:val="center"/>
          </w:tcPr>
          <w:p w14:paraId="24F179D1">
            <w:pPr>
              <w:pStyle w:val="71"/>
              <w:spacing w:before="24" w:after="24"/>
              <w:rPr>
                <w:rFonts w:cs="Times New Roman"/>
              </w:rPr>
            </w:pPr>
            <w:r>
              <w:rPr>
                <w:rFonts w:hint="eastAsia" w:cs="Times New Roman"/>
              </w:rPr>
              <w:t>19</w:t>
            </w:r>
          </w:p>
        </w:tc>
        <w:tc>
          <w:tcPr>
            <w:tcW w:w="1773" w:type="dxa"/>
            <w:tcBorders>
              <w:top w:val="single" w:color="000000" w:sz="4" w:space="0"/>
              <w:left w:val="nil"/>
              <w:bottom w:val="single" w:color="000000" w:sz="4" w:space="0"/>
              <w:right w:val="single" w:color="000000" w:sz="4" w:space="0"/>
            </w:tcBorders>
            <w:vAlign w:val="center"/>
          </w:tcPr>
          <w:p w14:paraId="5EDB07BD">
            <w:pPr>
              <w:pStyle w:val="71"/>
              <w:spacing w:before="24" w:after="24"/>
              <w:rPr>
                <w:rFonts w:cs="Times New Roman"/>
              </w:rPr>
            </w:pPr>
            <w:r>
              <w:rPr>
                <w:rFonts w:cs="Times New Roman"/>
              </w:rPr>
              <w:t>德钦新县城人民检察院办公、办案和专业技术用房建设项目</w:t>
            </w:r>
          </w:p>
        </w:tc>
        <w:tc>
          <w:tcPr>
            <w:tcW w:w="1323" w:type="dxa"/>
            <w:tcBorders>
              <w:top w:val="single" w:color="000000" w:sz="4" w:space="0"/>
              <w:left w:val="nil"/>
              <w:bottom w:val="single" w:color="000000" w:sz="4" w:space="0"/>
              <w:right w:val="single" w:color="000000" w:sz="4" w:space="0"/>
            </w:tcBorders>
            <w:vAlign w:val="center"/>
          </w:tcPr>
          <w:p w14:paraId="13C4BC13">
            <w:pPr>
              <w:pStyle w:val="71"/>
              <w:spacing w:before="24" w:after="24"/>
              <w:rPr>
                <w:rFonts w:cs="Times New Roman"/>
              </w:rPr>
            </w:pPr>
            <w:r>
              <w:rPr>
                <w:rFonts w:cs="Times New Roman"/>
              </w:rPr>
              <w:t>05-27</w:t>
            </w:r>
          </w:p>
        </w:tc>
        <w:tc>
          <w:tcPr>
            <w:tcW w:w="1110" w:type="dxa"/>
            <w:tcBorders>
              <w:top w:val="single" w:color="000000" w:sz="4" w:space="0"/>
              <w:left w:val="nil"/>
              <w:bottom w:val="single" w:color="000000" w:sz="4" w:space="0"/>
              <w:right w:val="single" w:color="000000" w:sz="4" w:space="0"/>
            </w:tcBorders>
            <w:vAlign w:val="center"/>
          </w:tcPr>
          <w:p w14:paraId="7D6FD348">
            <w:pPr>
              <w:pStyle w:val="71"/>
              <w:spacing w:before="24" w:after="24"/>
              <w:rPr>
                <w:rFonts w:cs="Times New Roman"/>
              </w:rPr>
            </w:pPr>
            <w:r>
              <w:rPr>
                <w:rFonts w:cs="Times New Roman"/>
              </w:rPr>
              <w:t>10.11</w:t>
            </w:r>
          </w:p>
        </w:tc>
        <w:tc>
          <w:tcPr>
            <w:tcW w:w="755" w:type="dxa"/>
            <w:tcBorders>
              <w:top w:val="single" w:color="000000" w:sz="4" w:space="0"/>
              <w:left w:val="nil"/>
              <w:bottom w:val="single" w:color="000000" w:sz="4" w:space="0"/>
              <w:right w:val="single" w:color="000000" w:sz="4" w:space="0"/>
            </w:tcBorders>
            <w:vAlign w:val="center"/>
          </w:tcPr>
          <w:p w14:paraId="46095BB4">
            <w:pPr>
              <w:pStyle w:val="71"/>
              <w:spacing w:before="24" w:after="24"/>
              <w:rPr>
                <w:rFonts w:cs="Times New Roman"/>
              </w:rPr>
            </w:pPr>
            <w:r>
              <w:rPr>
                <w:rFonts w:cs="Times New Roman"/>
              </w:rPr>
              <w:t>1.6</w:t>
            </w:r>
          </w:p>
        </w:tc>
        <w:tc>
          <w:tcPr>
            <w:tcW w:w="959" w:type="dxa"/>
            <w:tcBorders>
              <w:top w:val="single" w:color="000000" w:sz="4" w:space="0"/>
              <w:left w:val="nil"/>
              <w:bottom w:val="single" w:color="000000" w:sz="4" w:space="0"/>
              <w:right w:val="single" w:color="000000" w:sz="4" w:space="0"/>
            </w:tcBorders>
            <w:vAlign w:val="center"/>
          </w:tcPr>
          <w:p w14:paraId="700FED9E">
            <w:pPr>
              <w:pStyle w:val="71"/>
              <w:spacing w:before="24" w:after="24"/>
              <w:rPr>
                <w:rFonts w:cs="Times New Roman"/>
              </w:rPr>
            </w:pPr>
            <w:r>
              <w:rPr>
                <w:rFonts w:cs="Times New Roman"/>
              </w:rPr>
              <w:t>30</w:t>
            </w:r>
          </w:p>
        </w:tc>
        <w:tc>
          <w:tcPr>
            <w:tcW w:w="859" w:type="dxa"/>
            <w:tcBorders>
              <w:top w:val="single" w:color="000000" w:sz="4" w:space="0"/>
              <w:left w:val="nil"/>
              <w:bottom w:val="single" w:color="000000" w:sz="4" w:space="0"/>
              <w:right w:val="single" w:color="000000" w:sz="4" w:space="0"/>
            </w:tcBorders>
            <w:vAlign w:val="center"/>
          </w:tcPr>
          <w:p w14:paraId="2E1BAF73">
            <w:pPr>
              <w:pStyle w:val="71"/>
              <w:spacing w:before="24" w:after="24"/>
              <w:rPr>
                <w:rFonts w:cs="Times New Roman"/>
              </w:rPr>
            </w:pPr>
            <w:r>
              <w:rPr>
                <w:rFonts w:cs="Times New Roman"/>
              </w:rPr>
              <w:t>40</w:t>
            </w:r>
          </w:p>
        </w:tc>
        <w:tc>
          <w:tcPr>
            <w:tcW w:w="926" w:type="dxa"/>
            <w:tcBorders>
              <w:top w:val="single" w:color="000000" w:sz="4" w:space="0"/>
              <w:left w:val="nil"/>
              <w:bottom w:val="single" w:color="000000" w:sz="4" w:space="0"/>
              <w:right w:val="single" w:color="000000" w:sz="4" w:space="0"/>
            </w:tcBorders>
            <w:vAlign w:val="center"/>
          </w:tcPr>
          <w:p w14:paraId="77269BBA">
            <w:pPr>
              <w:pStyle w:val="71"/>
              <w:spacing w:before="24" w:after="24"/>
              <w:rPr>
                <w:rFonts w:cs="Times New Roman"/>
              </w:rPr>
            </w:pPr>
            <w:r>
              <w:rPr>
                <w:rFonts w:cs="Times New Roman"/>
              </w:rPr>
              <w:t>24</w:t>
            </w:r>
          </w:p>
        </w:tc>
        <w:tc>
          <w:tcPr>
            <w:tcW w:w="947" w:type="dxa"/>
            <w:tcBorders>
              <w:top w:val="single" w:color="000000" w:sz="4" w:space="0"/>
              <w:left w:val="nil"/>
              <w:bottom w:val="single" w:color="000000" w:sz="4" w:space="0"/>
              <w:right w:val="single" w:color="000000" w:sz="4" w:space="0"/>
            </w:tcBorders>
            <w:vAlign w:val="center"/>
          </w:tcPr>
          <w:p w14:paraId="1F311D51">
            <w:pPr>
              <w:pStyle w:val="71"/>
              <w:spacing w:before="24" w:after="24"/>
              <w:rPr>
                <w:rFonts w:cs="Times New Roman"/>
              </w:rPr>
            </w:pPr>
            <w:r>
              <w:rPr>
                <w:rFonts w:cs="Times New Roman"/>
              </w:rPr>
              <w:t>机关团体用地</w:t>
            </w:r>
          </w:p>
        </w:tc>
      </w:tr>
      <w:tr w14:paraId="478C570E">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57" w:hRule="atLeast"/>
        </w:trPr>
        <w:tc>
          <w:tcPr>
            <w:tcW w:w="585" w:type="dxa"/>
            <w:tcBorders>
              <w:top w:val="single" w:color="000000" w:sz="4" w:space="0"/>
              <w:left w:val="single" w:color="000000" w:sz="4" w:space="0"/>
              <w:bottom w:val="single" w:color="000000" w:sz="4" w:space="0"/>
              <w:right w:val="single" w:color="000000" w:sz="4" w:space="0"/>
            </w:tcBorders>
            <w:vAlign w:val="center"/>
          </w:tcPr>
          <w:p w14:paraId="08A3D38E">
            <w:pPr>
              <w:pStyle w:val="71"/>
              <w:spacing w:before="24" w:after="24"/>
              <w:rPr>
                <w:rFonts w:cs="Times New Roman"/>
              </w:rPr>
            </w:pPr>
            <w:r>
              <w:rPr>
                <w:rFonts w:cs="Times New Roman"/>
              </w:rPr>
              <w:t>2</w:t>
            </w:r>
            <w:r>
              <w:rPr>
                <w:rFonts w:hint="eastAsia" w:cs="Times New Roman"/>
              </w:rPr>
              <w:t>0</w:t>
            </w:r>
          </w:p>
        </w:tc>
        <w:tc>
          <w:tcPr>
            <w:tcW w:w="1773" w:type="dxa"/>
            <w:tcBorders>
              <w:top w:val="single" w:color="000000" w:sz="4" w:space="0"/>
              <w:left w:val="nil"/>
              <w:bottom w:val="single" w:color="000000" w:sz="4" w:space="0"/>
              <w:right w:val="single" w:color="000000" w:sz="4" w:space="0"/>
            </w:tcBorders>
            <w:vAlign w:val="center"/>
          </w:tcPr>
          <w:p w14:paraId="0FF7AA02">
            <w:pPr>
              <w:pStyle w:val="71"/>
              <w:spacing w:before="24" w:after="24"/>
              <w:rPr>
                <w:rFonts w:cs="Times New Roman"/>
              </w:rPr>
            </w:pPr>
            <w:r>
              <w:rPr>
                <w:rFonts w:cs="Times New Roman"/>
              </w:rPr>
              <w:t>德钦新县城司法局业务办公房建设项目</w:t>
            </w:r>
          </w:p>
        </w:tc>
        <w:tc>
          <w:tcPr>
            <w:tcW w:w="1323" w:type="dxa"/>
            <w:tcBorders>
              <w:top w:val="single" w:color="000000" w:sz="4" w:space="0"/>
              <w:left w:val="nil"/>
              <w:bottom w:val="single" w:color="000000" w:sz="4" w:space="0"/>
              <w:right w:val="single" w:color="000000" w:sz="4" w:space="0"/>
            </w:tcBorders>
            <w:vAlign w:val="center"/>
          </w:tcPr>
          <w:p w14:paraId="2B41C3C7">
            <w:pPr>
              <w:pStyle w:val="71"/>
              <w:spacing w:before="24" w:after="24"/>
              <w:rPr>
                <w:rFonts w:cs="Times New Roman"/>
              </w:rPr>
            </w:pPr>
            <w:r>
              <w:rPr>
                <w:rFonts w:cs="Times New Roman"/>
              </w:rPr>
              <w:t>05-27</w:t>
            </w:r>
          </w:p>
        </w:tc>
        <w:tc>
          <w:tcPr>
            <w:tcW w:w="1110" w:type="dxa"/>
            <w:tcBorders>
              <w:top w:val="single" w:color="000000" w:sz="4" w:space="0"/>
              <w:left w:val="nil"/>
              <w:bottom w:val="single" w:color="000000" w:sz="4" w:space="0"/>
              <w:right w:val="single" w:color="000000" w:sz="4" w:space="0"/>
            </w:tcBorders>
            <w:vAlign w:val="center"/>
          </w:tcPr>
          <w:p w14:paraId="150073D9">
            <w:pPr>
              <w:pStyle w:val="71"/>
              <w:spacing w:before="24" w:after="24"/>
              <w:rPr>
                <w:rFonts w:cs="Times New Roman"/>
              </w:rPr>
            </w:pPr>
            <w:r>
              <w:rPr>
                <w:rFonts w:cs="Times New Roman"/>
              </w:rPr>
              <w:t>8.10</w:t>
            </w:r>
          </w:p>
        </w:tc>
        <w:tc>
          <w:tcPr>
            <w:tcW w:w="755" w:type="dxa"/>
            <w:tcBorders>
              <w:top w:val="single" w:color="000000" w:sz="4" w:space="0"/>
              <w:left w:val="nil"/>
              <w:bottom w:val="single" w:color="000000" w:sz="4" w:space="0"/>
              <w:right w:val="single" w:color="000000" w:sz="4" w:space="0"/>
            </w:tcBorders>
            <w:vAlign w:val="center"/>
          </w:tcPr>
          <w:p w14:paraId="4D691B68">
            <w:pPr>
              <w:pStyle w:val="71"/>
              <w:spacing w:before="24" w:after="24"/>
              <w:rPr>
                <w:rFonts w:cs="Times New Roman"/>
              </w:rPr>
            </w:pPr>
            <w:r>
              <w:rPr>
                <w:rFonts w:cs="Times New Roman"/>
              </w:rPr>
              <w:t>1.6</w:t>
            </w:r>
          </w:p>
        </w:tc>
        <w:tc>
          <w:tcPr>
            <w:tcW w:w="959" w:type="dxa"/>
            <w:tcBorders>
              <w:top w:val="single" w:color="000000" w:sz="4" w:space="0"/>
              <w:left w:val="nil"/>
              <w:bottom w:val="single" w:color="000000" w:sz="4" w:space="0"/>
              <w:right w:val="single" w:color="000000" w:sz="4" w:space="0"/>
            </w:tcBorders>
            <w:vAlign w:val="center"/>
          </w:tcPr>
          <w:p w14:paraId="544D3ADF">
            <w:pPr>
              <w:pStyle w:val="71"/>
              <w:spacing w:before="24" w:after="24"/>
              <w:rPr>
                <w:rFonts w:cs="Times New Roman"/>
              </w:rPr>
            </w:pPr>
            <w:r>
              <w:rPr>
                <w:rFonts w:cs="Times New Roman"/>
              </w:rPr>
              <w:t>30</w:t>
            </w:r>
          </w:p>
        </w:tc>
        <w:tc>
          <w:tcPr>
            <w:tcW w:w="859" w:type="dxa"/>
            <w:tcBorders>
              <w:top w:val="single" w:color="000000" w:sz="4" w:space="0"/>
              <w:left w:val="nil"/>
              <w:bottom w:val="single" w:color="000000" w:sz="4" w:space="0"/>
              <w:right w:val="single" w:color="000000" w:sz="4" w:space="0"/>
            </w:tcBorders>
            <w:vAlign w:val="center"/>
          </w:tcPr>
          <w:p w14:paraId="31D871E7">
            <w:pPr>
              <w:pStyle w:val="71"/>
              <w:spacing w:before="24" w:after="24"/>
              <w:rPr>
                <w:rFonts w:cs="Times New Roman"/>
              </w:rPr>
            </w:pPr>
            <w:r>
              <w:rPr>
                <w:rFonts w:cs="Times New Roman"/>
              </w:rPr>
              <w:t>40</w:t>
            </w:r>
          </w:p>
        </w:tc>
        <w:tc>
          <w:tcPr>
            <w:tcW w:w="926" w:type="dxa"/>
            <w:tcBorders>
              <w:top w:val="single" w:color="000000" w:sz="4" w:space="0"/>
              <w:left w:val="nil"/>
              <w:bottom w:val="single" w:color="000000" w:sz="4" w:space="0"/>
              <w:right w:val="single" w:color="000000" w:sz="4" w:space="0"/>
            </w:tcBorders>
            <w:vAlign w:val="center"/>
          </w:tcPr>
          <w:p w14:paraId="57966C2E">
            <w:pPr>
              <w:pStyle w:val="71"/>
              <w:spacing w:before="24" w:after="24"/>
              <w:rPr>
                <w:rFonts w:cs="Times New Roman"/>
              </w:rPr>
            </w:pPr>
            <w:r>
              <w:rPr>
                <w:rFonts w:cs="Times New Roman"/>
              </w:rPr>
              <w:t>24</w:t>
            </w:r>
          </w:p>
        </w:tc>
        <w:tc>
          <w:tcPr>
            <w:tcW w:w="947" w:type="dxa"/>
            <w:tcBorders>
              <w:top w:val="single" w:color="000000" w:sz="4" w:space="0"/>
              <w:left w:val="nil"/>
              <w:bottom w:val="single" w:color="000000" w:sz="4" w:space="0"/>
              <w:right w:val="single" w:color="000000" w:sz="4" w:space="0"/>
            </w:tcBorders>
            <w:vAlign w:val="center"/>
          </w:tcPr>
          <w:p w14:paraId="40C10291">
            <w:pPr>
              <w:pStyle w:val="71"/>
              <w:spacing w:before="24" w:after="24"/>
              <w:rPr>
                <w:rFonts w:cs="Times New Roman"/>
              </w:rPr>
            </w:pPr>
            <w:r>
              <w:rPr>
                <w:rFonts w:cs="Times New Roman"/>
              </w:rPr>
              <w:t>机关团体用地</w:t>
            </w:r>
          </w:p>
        </w:tc>
      </w:tr>
      <w:tr w14:paraId="0C4A847F">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57" w:hRule="atLeast"/>
        </w:trPr>
        <w:tc>
          <w:tcPr>
            <w:tcW w:w="585" w:type="dxa"/>
            <w:tcBorders>
              <w:top w:val="single" w:color="000000" w:sz="4" w:space="0"/>
              <w:left w:val="single" w:color="000000" w:sz="4" w:space="0"/>
              <w:bottom w:val="single" w:color="000000" w:sz="4" w:space="0"/>
              <w:right w:val="single" w:color="000000" w:sz="4" w:space="0"/>
            </w:tcBorders>
            <w:vAlign w:val="center"/>
          </w:tcPr>
          <w:p w14:paraId="6DF4A0E1">
            <w:pPr>
              <w:pStyle w:val="71"/>
              <w:spacing w:before="24" w:after="24"/>
              <w:rPr>
                <w:rFonts w:cs="Times New Roman"/>
              </w:rPr>
            </w:pPr>
            <w:r>
              <w:rPr>
                <w:rFonts w:cs="Times New Roman"/>
              </w:rPr>
              <w:t>2</w:t>
            </w:r>
            <w:r>
              <w:rPr>
                <w:rFonts w:hint="eastAsia" w:cs="Times New Roman"/>
              </w:rPr>
              <w:t>1</w:t>
            </w:r>
          </w:p>
        </w:tc>
        <w:tc>
          <w:tcPr>
            <w:tcW w:w="1773" w:type="dxa"/>
            <w:tcBorders>
              <w:top w:val="single" w:color="000000" w:sz="4" w:space="0"/>
              <w:left w:val="nil"/>
              <w:bottom w:val="single" w:color="000000" w:sz="4" w:space="0"/>
              <w:right w:val="single" w:color="000000" w:sz="4" w:space="0"/>
            </w:tcBorders>
            <w:vAlign w:val="center"/>
          </w:tcPr>
          <w:p w14:paraId="5CCCCE0C">
            <w:pPr>
              <w:pStyle w:val="71"/>
              <w:spacing w:before="24" w:after="24"/>
              <w:rPr>
                <w:rFonts w:cs="Times New Roman"/>
              </w:rPr>
            </w:pPr>
            <w:r>
              <w:rPr>
                <w:rFonts w:cs="Times New Roman"/>
              </w:rPr>
              <w:t>德钦新县城人民武装部建设项目</w:t>
            </w:r>
          </w:p>
        </w:tc>
        <w:tc>
          <w:tcPr>
            <w:tcW w:w="1323" w:type="dxa"/>
            <w:tcBorders>
              <w:top w:val="single" w:color="000000" w:sz="4" w:space="0"/>
              <w:left w:val="nil"/>
              <w:bottom w:val="single" w:color="000000" w:sz="4" w:space="0"/>
              <w:right w:val="single" w:color="000000" w:sz="4" w:space="0"/>
            </w:tcBorders>
            <w:vAlign w:val="center"/>
          </w:tcPr>
          <w:p w14:paraId="38099B5F">
            <w:pPr>
              <w:pStyle w:val="71"/>
              <w:spacing w:before="24" w:after="24"/>
              <w:rPr>
                <w:rFonts w:cs="Times New Roman"/>
              </w:rPr>
            </w:pPr>
            <w:r>
              <w:rPr>
                <w:rFonts w:cs="Times New Roman"/>
              </w:rPr>
              <w:t>05-35-04</w:t>
            </w:r>
          </w:p>
        </w:tc>
        <w:tc>
          <w:tcPr>
            <w:tcW w:w="1110" w:type="dxa"/>
            <w:tcBorders>
              <w:top w:val="single" w:color="000000" w:sz="4" w:space="0"/>
              <w:left w:val="nil"/>
              <w:bottom w:val="single" w:color="000000" w:sz="4" w:space="0"/>
              <w:right w:val="single" w:color="000000" w:sz="4" w:space="0"/>
            </w:tcBorders>
            <w:vAlign w:val="center"/>
          </w:tcPr>
          <w:p w14:paraId="639A4C66">
            <w:pPr>
              <w:pStyle w:val="71"/>
              <w:spacing w:before="24" w:after="24"/>
              <w:rPr>
                <w:rFonts w:cs="Times New Roman"/>
              </w:rPr>
            </w:pPr>
            <w:r>
              <w:rPr>
                <w:rFonts w:cs="Times New Roman"/>
              </w:rPr>
              <w:t>8.93</w:t>
            </w:r>
          </w:p>
        </w:tc>
        <w:tc>
          <w:tcPr>
            <w:tcW w:w="755" w:type="dxa"/>
            <w:tcBorders>
              <w:top w:val="single" w:color="000000" w:sz="4" w:space="0"/>
              <w:left w:val="nil"/>
              <w:bottom w:val="single" w:color="000000" w:sz="4" w:space="0"/>
              <w:right w:val="single" w:color="000000" w:sz="4" w:space="0"/>
            </w:tcBorders>
            <w:vAlign w:val="center"/>
          </w:tcPr>
          <w:p w14:paraId="3171CA6F">
            <w:pPr>
              <w:pStyle w:val="71"/>
              <w:spacing w:before="24" w:after="24"/>
              <w:rPr>
                <w:rFonts w:cs="Times New Roman"/>
              </w:rPr>
            </w:pPr>
            <w:r>
              <w:rPr>
                <w:rFonts w:cs="Times New Roman"/>
              </w:rPr>
              <w:t>1.5</w:t>
            </w:r>
          </w:p>
        </w:tc>
        <w:tc>
          <w:tcPr>
            <w:tcW w:w="959" w:type="dxa"/>
            <w:tcBorders>
              <w:top w:val="single" w:color="000000" w:sz="4" w:space="0"/>
              <w:left w:val="nil"/>
              <w:bottom w:val="single" w:color="000000" w:sz="4" w:space="0"/>
              <w:right w:val="single" w:color="000000" w:sz="4" w:space="0"/>
            </w:tcBorders>
            <w:vAlign w:val="center"/>
          </w:tcPr>
          <w:p w14:paraId="756FD4F2">
            <w:pPr>
              <w:pStyle w:val="71"/>
              <w:spacing w:before="24" w:after="24"/>
              <w:rPr>
                <w:rFonts w:cs="Times New Roman"/>
              </w:rPr>
            </w:pPr>
            <w:r>
              <w:rPr>
                <w:rFonts w:cs="Times New Roman"/>
              </w:rPr>
              <w:t>30</w:t>
            </w:r>
          </w:p>
        </w:tc>
        <w:tc>
          <w:tcPr>
            <w:tcW w:w="859" w:type="dxa"/>
            <w:tcBorders>
              <w:top w:val="single" w:color="000000" w:sz="4" w:space="0"/>
              <w:left w:val="nil"/>
              <w:bottom w:val="single" w:color="000000" w:sz="4" w:space="0"/>
              <w:right w:val="single" w:color="000000" w:sz="4" w:space="0"/>
            </w:tcBorders>
            <w:vAlign w:val="center"/>
          </w:tcPr>
          <w:p w14:paraId="5E4932D6">
            <w:pPr>
              <w:pStyle w:val="71"/>
              <w:spacing w:before="24" w:after="24"/>
              <w:rPr>
                <w:rFonts w:cs="Times New Roman"/>
              </w:rPr>
            </w:pPr>
            <w:r>
              <w:rPr>
                <w:rFonts w:cs="Times New Roman"/>
              </w:rPr>
              <w:t>40</w:t>
            </w:r>
          </w:p>
        </w:tc>
        <w:tc>
          <w:tcPr>
            <w:tcW w:w="926" w:type="dxa"/>
            <w:tcBorders>
              <w:top w:val="single" w:color="000000" w:sz="4" w:space="0"/>
              <w:left w:val="nil"/>
              <w:bottom w:val="single" w:color="000000" w:sz="4" w:space="0"/>
              <w:right w:val="single" w:color="000000" w:sz="4" w:space="0"/>
            </w:tcBorders>
            <w:vAlign w:val="center"/>
          </w:tcPr>
          <w:p w14:paraId="39301D60">
            <w:pPr>
              <w:pStyle w:val="71"/>
              <w:spacing w:before="24" w:after="24"/>
              <w:rPr>
                <w:rFonts w:cs="Times New Roman"/>
              </w:rPr>
            </w:pPr>
            <w:r>
              <w:rPr>
                <w:rFonts w:cs="Times New Roman"/>
              </w:rPr>
              <w:t>18</w:t>
            </w:r>
          </w:p>
        </w:tc>
        <w:tc>
          <w:tcPr>
            <w:tcW w:w="947" w:type="dxa"/>
            <w:tcBorders>
              <w:top w:val="single" w:color="000000" w:sz="4" w:space="0"/>
              <w:left w:val="nil"/>
              <w:bottom w:val="single" w:color="000000" w:sz="4" w:space="0"/>
              <w:right w:val="single" w:color="000000" w:sz="4" w:space="0"/>
            </w:tcBorders>
            <w:vAlign w:val="center"/>
          </w:tcPr>
          <w:p w14:paraId="05E3B95B">
            <w:pPr>
              <w:pStyle w:val="71"/>
              <w:spacing w:before="24" w:after="24"/>
              <w:rPr>
                <w:rFonts w:cs="Times New Roman"/>
              </w:rPr>
            </w:pPr>
            <w:r>
              <w:rPr>
                <w:rFonts w:cs="Times New Roman"/>
              </w:rPr>
              <w:t>机关团体用地</w:t>
            </w:r>
          </w:p>
        </w:tc>
      </w:tr>
      <w:tr w14:paraId="0D26F975">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57" w:hRule="atLeast"/>
        </w:trPr>
        <w:tc>
          <w:tcPr>
            <w:tcW w:w="585" w:type="dxa"/>
            <w:tcBorders>
              <w:top w:val="single" w:color="000000" w:sz="4" w:space="0"/>
              <w:left w:val="single" w:color="000000" w:sz="4" w:space="0"/>
              <w:bottom w:val="single" w:color="000000" w:sz="4" w:space="0"/>
              <w:right w:val="single" w:color="000000" w:sz="4" w:space="0"/>
            </w:tcBorders>
            <w:vAlign w:val="center"/>
          </w:tcPr>
          <w:p w14:paraId="21C9A49A">
            <w:pPr>
              <w:pStyle w:val="71"/>
              <w:spacing w:before="24" w:after="24"/>
              <w:rPr>
                <w:rFonts w:cs="Times New Roman"/>
              </w:rPr>
            </w:pPr>
            <w:r>
              <w:rPr>
                <w:rFonts w:cs="Times New Roman"/>
              </w:rPr>
              <w:t>2</w:t>
            </w:r>
            <w:r>
              <w:rPr>
                <w:rFonts w:hint="eastAsia" w:cs="Times New Roman"/>
              </w:rPr>
              <w:t>2</w:t>
            </w:r>
          </w:p>
        </w:tc>
        <w:tc>
          <w:tcPr>
            <w:tcW w:w="1773" w:type="dxa"/>
            <w:tcBorders>
              <w:top w:val="single" w:color="000000" w:sz="4" w:space="0"/>
              <w:left w:val="nil"/>
              <w:bottom w:val="single" w:color="000000" w:sz="4" w:space="0"/>
              <w:right w:val="single" w:color="000000" w:sz="4" w:space="0"/>
            </w:tcBorders>
            <w:vAlign w:val="center"/>
          </w:tcPr>
          <w:p w14:paraId="4FBC5EB8">
            <w:pPr>
              <w:pStyle w:val="71"/>
              <w:spacing w:before="24" w:after="24"/>
              <w:rPr>
                <w:rFonts w:cs="Times New Roman"/>
              </w:rPr>
            </w:pPr>
            <w:r>
              <w:rPr>
                <w:rFonts w:cs="Times New Roman"/>
              </w:rPr>
              <w:t>德钦新县城监管场所、武警德钦县中队驻训基地建设项目</w:t>
            </w:r>
          </w:p>
        </w:tc>
        <w:tc>
          <w:tcPr>
            <w:tcW w:w="1323" w:type="dxa"/>
            <w:tcBorders>
              <w:top w:val="single" w:color="000000" w:sz="4" w:space="0"/>
              <w:left w:val="nil"/>
              <w:bottom w:val="single" w:color="000000" w:sz="4" w:space="0"/>
              <w:right w:val="single" w:color="000000" w:sz="4" w:space="0"/>
            </w:tcBorders>
            <w:vAlign w:val="center"/>
          </w:tcPr>
          <w:p w14:paraId="088A8A38">
            <w:pPr>
              <w:pStyle w:val="71"/>
              <w:spacing w:before="24" w:after="24"/>
              <w:rPr>
                <w:rFonts w:cs="Times New Roman"/>
              </w:rPr>
            </w:pPr>
            <w:r>
              <w:rPr>
                <w:rFonts w:cs="Times New Roman"/>
              </w:rPr>
              <w:t>01-10-04</w:t>
            </w:r>
          </w:p>
        </w:tc>
        <w:tc>
          <w:tcPr>
            <w:tcW w:w="1110" w:type="dxa"/>
            <w:tcBorders>
              <w:top w:val="single" w:color="000000" w:sz="4" w:space="0"/>
              <w:left w:val="nil"/>
              <w:bottom w:val="single" w:color="000000" w:sz="4" w:space="0"/>
              <w:right w:val="single" w:color="000000" w:sz="4" w:space="0"/>
            </w:tcBorders>
            <w:vAlign w:val="center"/>
          </w:tcPr>
          <w:p w14:paraId="45E543DC">
            <w:pPr>
              <w:pStyle w:val="71"/>
              <w:spacing w:before="24" w:after="24"/>
              <w:rPr>
                <w:rFonts w:cs="Times New Roman"/>
              </w:rPr>
            </w:pPr>
            <w:r>
              <w:rPr>
                <w:rFonts w:cs="Times New Roman"/>
              </w:rPr>
              <w:t>80.60</w:t>
            </w:r>
          </w:p>
        </w:tc>
        <w:tc>
          <w:tcPr>
            <w:tcW w:w="755" w:type="dxa"/>
            <w:tcBorders>
              <w:top w:val="single" w:color="000000" w:sz="4" w:space="0"/>
              <w:left w:val="nil"/>
              <w:bottom w:val="single" w:color="000000" w:sz="4" w:space="0"/>
              <w:right w:val="single" w:color="000000" w:sz="4" w:space="0"/>
            </w:tcBorders>
            <w:vAlign w:val="center"/>
          </w:tcPr>
          <w:p w14:paraId="07692DA3">
            <w:pPr>
              <w:pStyle w:val="71"/>
              <w:spacing w:before="24" w:after="24"/>
              <w:rPr>
                <w:rFonts w:cs="Times New Roman"/>
              </w:rPr>
            </w:pPr>
            <w:r>
              <w:rPr>
                <w:rFonts w:cs="Times New Roman"/>
              </w:rPr>
              <w:t>/</w:t>
            </w:r>
          </w:p>
        </w:tc>
        <w:tc>
          <w:tcPr>
            <w:tcW w:w="959" w:type="dxa"/>
            <w:tcBorders>
              <w:top w:val="single" w:color="000000" w:sz="4" w:space="0"/>
              <w:left w:val="nil"/>
              <w:bottom w:val="single" w:color="000000" w:sz="4" w:space="0"/>
              <w:right w:val="single" w:color="000000" w:sz="4" w:space="0"/>
            </w:tcBorders>
            <w:vAlign w:val="center"/>
          </w:tcPr>
          <w:p w14:paraId="69086A1A">
            <w:pPr>
              <w:pStyle w:val="71"/>
              <w:spacing w:before="24" w:after="24"/>
              <w:rPr>
                <w:rFonts w:cs="Times New Roman"/>
              </w:rPr>
            </w:pPr>
            <w:r>
              <w:rPr>
                <w:rFonts w:cs="Times New Roman"/>
              </w:rPr>
              <w:t>/</w:t>
            </w:r>
          </w:p>
        </w:tc>
        <w:tc>
          <w:tcPr>
            <w:tcW w:w="859" w:type="dxa"/>
            <w:tcBorders>
              <w:top w:val="single" w:color="000000" w:sz="4" w:space="0"/>
              <w:left w:val="nil"/>
              <w:bottom w:val="single" w:color="000000" w:sz="4" w:space="0"/>
              <w:right w:val="single" w:color="000000" w:sz="4" w:space="0"/>
            </w:tcBorders>
            <w:vAlign w:val="center"/>
          </w:tcPr>
          <w:p w14:paraId="02DB67E0">
            <w:pPr>
              <w:pStyle w:val="71"/>
              <w:spacing w:before="24" w:after="24"/>
              <w:rPr>
                <w:rFonts w:cs="Times New Roman"/>
              </w:rPr>
            </w:pPr>
            <w:r>
              <w:rPr>
                <w:rFonts w:cs="Times New Roman"/>
              </w:rPr>
              <w:t>/</w:t>
            </w:r>
          </w:p>
        </w:tc>
        <w:tc>
          <w:tcPr>
            <w:tcW w:w="926" w:type="dxa"/>
            <w:tcBorders>
              <w:top w:val="single" w:color="000000" w:sz="4" w:space="0"/>
              <w:left w:val="nil"/>
              <w:bottom w:val="single" w:color="000000" w:sz="4" w:space="0"/>
              <w:right w:val="single" w:color="000000" w:sz="4" w:space="0"/>
            </w:tcBorders>
            <w:vAlign w:val="center"/>
          </w:tcPr>
          <w:p w14:paraId="362CBC97">
            <w:pPr>
              <w:pStyle w:val="71"/>
              <w:spacing w:before="24" w:after="24"/>
              <w:rPr>
                <w:rFonts w:cs="Times New Roman"/>
              </w:rPr>
            </w:pPr>
            <w:r>
              <w:rPr>
                <w:rFonts w:cs="Times New Roman"/>
              </w:rPr>
              <w:t>/</w:t>
            </w:r>
          </w:p>
        </w:tc>
        <w:tc>
          <w:tcPr>
            <w:tcW w:w="947" w:type="dxa"/>
            <w:tcBorders>
              <w:top w:val="single" w:color="000000" w:sz="4" w:space="0"/>
              <w:left w:val="nil"/>
              <w:bottom w:val="single" w:color="000000" w:sz="4" w:space="0"/>
              <w:right w:val="single" w:color="000000" w:sz="4" w:space="0"/>
            </w:tcBorders>
            <w:vAlign w:val="center"/>
          </w:tcPr>
          <w:p w14:paraId="6D4BB9E2">
            <w:pPr>
              <w:pStyle w:val="71"/>
              <w:spacing w:before="24" w:after="24"/>
              <w:rPr>
                <w:rFonts w:cs="Times New Roman"/>
              </w:rPr>
            </w:pPr>
            <w:r>
              <w:rPr>
                <w:rFonts w:cs="Times New Roman"/>
              </w:rPr>
              <w:t>机关团体用地</w:t>
            </w:r>
          </w:p>
        </w:tc>
      </w:tr>
      <w:tr w14:paraId="04D1E5AA">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57" w:hRule="atLeast"/>
        </w:trPr>
        <w:tc>
          <w:tcPr>
            <w:tcW w:w="585" w:type="dxa"/>
            <w:tcBorders>
              <w:top w:val="single" w:color="000000" w:sz="4" w:space="0"/>
              <w:left w:val="single" w:color="000000" w:sz="4" w:space="0"/>
              <w:bottom w:val="single" w:color="000000" w:sz="4" w:space="0"/>
              <w:right w:val="single" w:color="000000" w:sz="4" w:space="0"/>
            </w:tcBorders>
            <w:vAlign w:val="center"/>
          </w:tcPr>
          <w:p w14:paraId="2B3CB5C7">
            <w:pPr>
              <w:pStyle w:val="71"/>
              <w:spacing w:before="24" w:after="24"/>
              <w:rPr>
                <w:rFonts w:cs="Times New Roman"/>
              </w:rPr>
            </w:pPr>
            <w:r>
              <w:rPr>
                <w:rFonts w:cs="Times New Roman"/>
              </w:rPr>
              <w:t>2</w:t>
            </w:r>
            <w:r>
              <w:rPr>
                <w:rFonts w:hint="eastAsia" w:cs="Times New Roman"/>
              </w:rPr>
              <w:t>3</w:t>
            </w:r>
          </w:p>
        </w:tc>
        <w:tc>
          <w:tcPr>
            <w:tcW w:w="1773" w:type="dxa"/>
            <w:tcBorders>
              <w:top w:val="single" w:color="000000" w:sz="4" w:space="0"/>
              <w:left w:val="nil"/>
              <w:bottom w:val="single" w:color="000000" w:sz="4" w:space="0"/>
              <w:right w:val="single" w:color="000000" w:sz="4" w:space="0"/>
            </w:tcBorders>
            <w:vAlign w:val="center"/>
          </w:tcPr>
          <w:p w14:paraId="53165694">
            <w:pPr>
              <w:pStyle w:val="71"/>
              <w:spacing w:before="24" w:after="24"/>
              <w:rPr>
                <w:rFonts w:cs="Times New Roman"/>
              </w:rPr>
            </w:pPr>
            <w:r>
              <w:rPr>
                <w:rFonts w:cs="Times New Roman"/>
              </w:rPr>
              <w:t>德钦新县城生态环境监测业务用房建设项目</w:t>
            </w:r>
          </w:p>
        </w:tc>
        <w:tc>
          <w:tcPr>
            <w:tcW w:w="1323" w:type="dxa"/>
            <w:tcBorders>
              <w:top w:val="single" w:color="000000" w:sz="4" w:space="0"/>
              <w:left w:val="nil"/>
              <w:bottom w:val="single" w:color="000000" w:sz="4" w:space="0"/>
              <w:right w:val="single" w:color="000000" w:sz="4" w:space="0"/>
            </w:tcBorders>
            <w:vAlign w:val="center"/>
          </w:tcPr>
          <w:p w14:paraId="1B0449F4">
            <w:pPr>
              <w:pStyle w:val="71"/>
              <w:spacing w:before="24" w:after="24"/>
              <w:rPr>
                <w:rFonts w:cs="Times New Roman"/>
              </w:rPr>
            </w:pPr>
            <w:r>
              <w:rPr>
                <w:rFonts w:cs="Times New Roman"/>
              </w:rPr>
              <w:t>/</w:t>
            </w:r>
          </w:p>
        </w:tc>
        <w:tc>
          <w:tcPr>
            <w:tcW w:w="1110" w:type="dxa"/>
            <w:tcBorders>
              <w:top w:val="single" w:color="000000" w:sz="4" w:space="0"/>
              <w:left w:val="nil"/>
              <w:bottom w:val="single" w:color="000000" w:sz="4" w:space="0"/>
              <w:right w:val="single" w:color="000000" w:sz="4" w:space="0"/>
            </w:tcBorders>
            <w:vAlign w:val="center"/>
          </w:tcPr>
          <w:p w14:paraId="0E95D57C">
            <w:pPr>
              <w:pStyle w:val="71"/>
              <w:spacing w:before="24" w:after="24"/>
              <w:rPr>
                <w:rFonts w:cs="Times New Roman"/>
              </w:rPr>
            </w:pPr>
            <w:r>
              <w:rPr>
                <w:rFonts w:cs="Times New Roman"/>
              </w:rPr>
              <w:t>3.72</w:t>
            </w:r>
          </w:p>
        </w:tc>
        <w:tc>
          <w:tcPr>
            <w:tcW w:w="755" w:type="dxa"/>
            <w:tcBorders>
              <w:top w:val="single" w:color="000000" w:sz="4" w:space="0"/>
              <w:left w:val="nil"/>
              <w:bottom w:val="single" w:color="000000" w:sz="4" w:space="0"/>
              <w:right w:val="single" w:color="000000" w:sz="4" w:space="0"/>
            </w:tcBorders>
            <w:vAlign w:val="center"/>
          </w:tcPr>
          <w:p w14:paraId="252BA03C">
            <w:pPr>
              <w:pStyle w:val="71"/>
              <w:spacing w:before="24" w:after="24"/>
              <w:rPr>
                <w:rFonts w:cs="Times New Roman"/>
              </w:rPr>
            </w:pPr>
            <w:r>
              <w:rPr>
                <w:rFonts w:cs="Times New Roman"/>
              </w:rPr>
              <w:t>/</w:t>
            </w:r>
          </w:p>
        </w:tc>
        <w:tc>
          <w:tcPr>
            <w:tcW w:w="959" w:type="dxa"/>
            <w:tcBorders>
              <w:top w:val="single" w:color="000000" w:sz="4" w:space="0"/>
              <w:left w:val="nil"/>
              <w:bottom w:val="single" w:color="000000" w:sz="4" w:space="0"/>
              <w:right w:val="single" w:color="000000" w:sz="4" w:space="0"/>
            </w:tcBorders>
            <w:vAlign w:val="center"/>
          </w:tcPr>
          <w:p w14:paraId="15AEDB64">
            <w:pPr>
              <w:pStyle w:val="71"/>
              <w:spacing w:before="24" w:after="24"/>
              <w:rPr>
                <w:rFonts w:cs="Times New Roman"/>
              </w:rPr>
            </w:pPr>
            <w:r>
              <w:rPr>
                <w:rFonts w:cs="Times New Roman"/>
              </w:rPr>
              <w:t>/</w:t>
            </w:r>
          </w:p>
        </w:tc>
        <w:tc>
          <w:tcPr>
            <w:tcW w:w="859" w:type="dxa"/>
            <w:tcBorders>
              <w:top w:val="single" w:color="000000" w:sz="4" w:space="0"/>
              <w:left w:val="nil"/>
              <w:bottom w:val="single" w:color="000000" w:sz="4" w:space="0"/>
              <w:right w:val="single" w:color="000000" w:sz="4" w:space="0"/>
            </w:tcBorders>
            <w:vAlign w:val="center"/>
          </w:tcPr>
          <w:p w14:paraId="70234AA4">
            <w:pPr>
              <w:pStyle w:val="71"/>
              <w:spacing w:before="24" w:after="24"/>
              <w:rPr>
                <w:rFonts w:cs="Times New Roman"/>
              </w:rPr>
            </w:pPr>
            <w:r>
              <w:rPr>
                <w:rFonts w:cs="Times New Roman"/>
              </w:rPr>
              <w:t>/</w:t>
            </w:r>
          </w:p>
        </w:tc>
        <w:tc>
          <w:tcPr>
            <w:tcW w:w="926" w:type="dxa"/>
            <w:tcBorders>
              <w:top w:val="single" w:color="000000" w:sz="4" w:space="0"/>
              <w:left w:val="nil"/>
              <w:bottom w:val="single" w:color="000000" w:sz="4" w:space="0"/>
              <w:right w:val="single" w:color="000000" w:sz="4" w:space="0"/>
            </w:tcBorders>
            <w:vAlign w:val="center"/>
          </w:tcPr>
          <w:p w14:paraId="14F36214">
            <w:pPr>
              <w:pStyle w:val="71"/>
              <w:spacing w:before="24" w:after="24"/>
              <w:rPr>
                <w:rFonts w:cs="Times New Roman"/>
              </w:rPr>
            </w:pPr>
            <w:r>
              <w:rPr>
                <w:rFonts w:cs="Times New Roman"/>
              </w:rPr>
              <w:t>/</w:t>
            </w:r>
          </w:p>
        </w:tc>
        <w:tc>
          <w:tcPr>
            <w:tcW w:w="947" w:type="dxa"/>
            <w:tcBorders>
              <w:top w:val="single" w:color="000000" w:sz="4" w:space="0"/>
              <w:left w:val="nil"/>
              <w:bottom w:val="single" w:color="000000" w:sz="4" w:space="0"/>
              <w:right w:val="single" w:color="000000" w:sz="4" w:space="0"/>
            </w:tcBorders>
            <w:vAlign w:val="center"/>
          </w:tcPr>
          <w:p w14:paraId="58064D57">
            <w:pPr>
              <w:pStyle w:val="71"/>
              <w:spacing w:before="24" w:after="24"/>
              <w:rPr>
                <w:rFonts w:cs="Times New Roman"/>
              </w:rPr>
            </w:pPr>
            <w:r>
              <w:rPr>
                <w:rFonts w:cs="Times New Roman"/>
              </w:rPr>
              <w:t>机关团体用地</w:t>
            </w:r>
          </w:p>
        </w:tc>
      </w:tr>
    </w:tbl>
    <w:p w14:paraId="0364632F">
      <w:pPr>
        <w:pStyle w:val="64"/>
        <w:spacing w:before="24" w:after="24"/>
        <w:rPr>
          <w:rFonts w:cs="Times New Roman"/>
        </w:rPr>
      </w:pPr>
      <w:bookmarkStart w:id="9" w:name="_Toc221894061"/>
      <w:r>
        <w:rPr>
          <w:rFonts w:cs="Times New Roman"/>
        </w:rPr>
        <w:t>2、建筑设计指标</w:t>
      </w:r>
      <w:bookmarkEnd w:id="9"/>
    </w:p>
    <w:p w14:paraId="3D3DACEF">
      <w:pPr>
        <w:pStyle w:val="54"/>
        <w:spacing w:before="24" w:after="24"/>
      </w:pPr>
      <w:r>
        <w:t>2.1项目技术经济指标应与规划方案及初步设计一致，建筑高度、立面效果与规划方案及初步设计一致。</w:t>
      </w:r>
    </w:p>
    <w:p w14:paraId="022022C5">
      <w:pPr>
        <w:pStyle w:val="54"/>
        <w:spacing w:before="24" w:after="24"/>
      </w:pPr>
      <w:r>
        <w:t>2.2建筑面积计算应按照《建筑工程建筑面积计算规范》GB/T50353-2013及《民用建筑通用规范》GB55031-2022执行。</w:t>
      </w:r>
    </w:p>
    <w:p w14:paraId="25E2A028">
      <w:pPr>
        <w:pStyle w:val="54"/>
        <w:spacing w:before="24" w:after="24"/>
      </w:pPr>
      <w:r>
        <w:t>2.3建筑之间的防火间距应满足下表（单位：m）</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90"/>
        <w:gridCol w:w="1800"/>
        <w:gridCol w:w="2205"/>
        <w:gridCol w:w="2745"/>
      </w:tblGrid>
      <w:tr w14:paraId="6CBC1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90" w:type="dxa"/>
            <w:gridSpan w:val="2"/>
            <w:vMerge w:val="restart"/>
            <w:vAlign w:val="center"/>
          </w:tcPr>
          <w:p w14:paraId="0226E80B">
            <w:pPr>
              <w:pStyle w:val="71"/>
              <w:spacing w:before="24" w:after="24"/>
              <w:rPr>
                <w:rFonts w:cs="Times New Roman"/>
              </w:rPr>
            </w:pPr>
            <w:r>
              <w:rPr>
                <w:rFonts w:cs="Times New Roman"/>
              </w:rPr>
              <w:t>建筑类别</w:t>
            </w:r>
          </w:p>
        </w:tc>
        <w:tc>
          <w:tcPr>
            <w:tcW w:w="2205" w:type="dxa"/>
            <w:vAlign w:val="center"/>
          </w:tcPr>
          <w:p w14:paraId="29A09962">
            <w:pPr>
              <w:pStyle w:val="71"/>
              <w:spacing w:before="24" w:after="24"/>
              <w:rPr>
                <w:rFonts w:cs="Times New Roman"/>
              </w:rPr>
            </w:pPr>
            <w:r>
              <w:rPr>
                <w:rFonts w:cs="Times New Roman"/>
              </w:rPr>
              <w:t>高层民用建筑</w:t>
            </w:r>
          </w:p>
        </w:tc>
        <w:tc>
          <w:tcPr>
            <w:tcW w:w="2745" w:type="dxa"/>
            <w:vAlign w:val="center"/>
          </w:tcPr>
          <w:p w14:paraId="1128FE9A">
            <w:pPr>
              <w:pStyle w:val="71"/>
              <w:spacing w:before="24" w:after="24"/>
              <w:rPr>
                <w:rFonts w:cs="Times New Roman"/>
              </w:rPr>
            </w:pPr>
            <w:r>
              <w:rPr>
                <w:rFonts w:cs="Times New Roman"/>
              </w:rPr>
              <w:t>裙房和其他民用建筑</w:t>
            </w:r>
          </w:p>
        </w:tc>
      </w:tr>
      <w:tr w14:paraId="03F9B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90" w:type="dxa"/>
            <w:gridSpan w:val="2"/>
            <w:vMerge w:val="continue"/>
            <w:vAlign w:val="center"/>
          </w:tcPr>
          <w:p w14:paraId="06728D5E">
            <w:pPr>
              <w:pStyle w:val="71"/>
              <w:spacing w:before="24" w:after="24"/>
              <w:rPr>
                <w:rFonts w:cs="Times New Roman"/>
              </w:rPr>
            </w:pPr>
          </w:p>
        </w:tc>
        <w:tc>
          <w:tcPr>
            <w:tcW w:w="2205" w:type="dxa"/>
            <w:vAlign w:val="center"/>
          </w:tcPr>
          <w:p w14:paraId="73A5F223">
            <w:pPr>
              <w:pStyle w:val="71"/>
              <w:spacing w:before="24" w:after="24"/>
              <w:rPr>
                <w:rFonts w:cs="Times New Roman"/>
              </w:rPr>
            </w:pPr>
            <w:r>
              <w:rPr>
                <w:rFonts w:cs="Times New Roman"/>
              </w:rPr>
              <w:t>一、二级</w:t>
            </w:r>
          </w:p>
        </w:tc>
        <w:tc>
          <w:tcPr>
            <w:tcW w:w="2745" w:type="dxa"/>
            <w:vAlign w:val="center"/>
          </w:tcPr>
          <w:p w14:paraId="40472240">
            <w:pPr>
              <w:pStyle w:val="71"/>
              <w:spacing w:before="24" w:after="24"/>
              <w:rPr>
                <w:rFonts w:cs="Times New Roman"/>
              </w:rPr>
            </w:pPr>
            <w:r>
              <w:rPr>
                <w:rFonts w:cs="Times New Roman"/>
              </w:rPr>
              <w:t>二级</w:t>
            </w:r>
          </w:p>
        </w:tc>
      </w:tr>
      <w:tr w14:paraId="10B1A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0" w:type="dxa"/>
            <w:vAlign w:val="center"/>
          </w:tcPr>
          <w:p w14:paraId="1EC91BDC">
            <w:pPr>
              <w:pStyle w:val="71"/>
              <w:spacing w:before="24" w:after="24"/>
              <w:rPr>
                <w:rFonts w:cs="Times New Roman"/>
              </w:rPr>
            </w:pPr>
            <w:r>
              <w:rPr>
                <w:rFonts w:cs="Times New Roman"/>
              </w:rPr>
              <w:t>高层民用建筑</w:t>
            </w:r>
          </w:p>
        </w:tc>
        <w:tc>
          <w:tcPr>
            <w:tcW w:w="1800" w:type="dxa"/>
            <w:vAlign w:val="center"/>
          </w:tcPr>
          <w:p w14:paraId="243E91ED">
            <w:pPr>
              <w:pStyle w:val="71"/>
              <w:spacing w:before="24" w:after="24"/>
              <w:rPr>
                <w:rFonts w:cs="Times New Roman"/>
              </w:rPr>
            </w:pPr>
            <w:r>
              <w:rPr>
                <w:rFonts w:cs="Times New Roman"/>
              </w:rPr>
              <w:t>一、二级</w:t>
            </w:r>
          </w:p>
        </w:tc>
        <w:tc>
          <w:tcPr>
            <w:tcW w:w="2205" w:type="dxa"/>
            <w:vAlign w:val="center"/>
          </w:tcPr>
          <w:p w14:paraId="0F71041F">
            <w:pPr>
              <w:pStyle w:val="71"/>
              <w:spacing w:before="24" w:after="24"/>
              <w:rPr>
                <w:rFonts w:cs="Times New Roman"/>
              </w:rPr>
            </w:pPr>
            <w:r>
              <w:rPr>
                <w:rFonts w:cs="Times New Roman"/>
              </w:rPr>
              <w:t>13</w:t>
            </w:r>
          </w:p>
        </w:tc>
        <w:tc>
          <w:tcPr>
            <w:tcW w:w="2745" w:type="dxa"/>
            <w:vAlign w:val="center"/>
          </w:tcPr>
          <w:p w14:paraId="7DB7D6A0">
            <w:pPr>
              <w:pStyle w:val="71"/>
              <w:spacing w:before="24" w:after="24"/>
              <w:rPr>
                <w:rFonts w:cs="Times New Roman"/>
              </w:rPr>
            </w:pPr>
            <w:r>
              <w:rPr>
                <w:rFonts w:cs="Times New Roman"/>
              </w:rPr>
              <w:t>9</w:t>
            </w:r>
          </w:p>
        </w:tc>
      </w:tr>
      <w:tr w14:paraId="47455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0" w:type="dxa"/>
            <w:vAlign w:val="center"/>
          </w:tcPr>
          <w:p w14:paraId="0B9D6FFD">
            <w:pPr>
              <w:pStyle w:val="71"/>
              <w:spacing w:before="24" w:after="24"/>
              <w:rPr>
                <w:rFonts w:cs="Times New Roman"/>
              </w:rPr>
            </w:pPr>
            <w:r>
              <w:rPr>
                <w:rFonts w:cs="Times New Roman"/>
              </w:rPr>
              <w:t>裙房和其他民用建筑</w:t>
            </w:r>
          </w:p>
        </w:tc>
        <w:tc>
          <w:tcPr>
            <w:tcW w:w="1800" w:type="dxa"/>
            <w:vAlign w:val="center"/>
          </w:tcPr>
          <w:p w14:paraId="31DDFDCD">
            <w:pPr>
              <w:pStyle w:val="71"/>
              <w:spacing w:before="24" w:after="24"/>
              <w:rPr>
                <w:rFonts w:cs="Times New Roman"/>
              </w:rPr>
            </w:pPr>
            <w:r>
              <w:rPr>
                <w:rFonts w:cs="Times New Roman"/>
              </w:rPr>
              <w:t>二级</w:t>
            </w:r>
          </w:p>
        </w:tc>
        <w:tc>
          <w:tcPr>
            <w:tcW w:w="2205" w:type="dxa"/>
            <w:vAlign w:val="center"/>
          </w:tcPr>
          <w:p w14:paraId="2C5E607D">
            <w:pPr>
              <w:pStyle w:val="71"/>
              <w:spacing w:before="24" w:after="24"/>
              <w:rPr>
                <w:rFonts w:cs="Times New Roman"/>
              </w:rPr>
            </w:pPr>
            <w:r>
              <w:rPr>
                <w:rFonts w:cs="Times New Roman"/>
              </w:rPr>
              <w:t>9</w:t>
            </w:r>
          </w:p>
        </w:tc>
        <w:tc>
          <w:tcPr>
            <w:tcW w:w="2745" w:type="dxa"/>
            <w:vAlign w:val="center"/>
          </w:tcPr>
          <w:p w14:paraId="3BA86C09">
            <w:pPr>
              <w:pStyle w:val="71"/>
              <w:spacing w:before="24" w:after="24"/>
              <w:rPr>
                <w:rFonts w:cs="Times New Roman"/>
              </w:rPr>
            </w:pPr>
            <w:r>
              <w:rPr>
                <w:rFonts w:cs="Times New Roman"/>
              </w:rPr>
              <w:t>6</w:t>
            </w:r>
          </w:p>
        </w:tc>
      </w:tr>
      <w:tr w14:paraId="648DD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40" w:type="dxa"/>
            <w:gridSpan w:val="4"/>
            <w:vAlign w:val="center"/>
          </w:tcPr>
          <w:p w14:paraId="4A93FB92">
            <w:pPr>
              <w:pStyle w:val="71"/>
              <w:spacing w:before="24" w:after="24"/>
              <w:jc w:val="left"/>
              <w:rPr>
                <w:rFonts w:cs="Times New Roman"/>
              </w:rPr>
            </w:pPr>
            <w:r>
              <w:rPr>
                <w:rFonts w:cs="Times New Roman"/>
              </w:rPr>
              <w:t>注：1.相邻两座单、多层建筑，当相邻外墙为不燃性墙体且无外露的可燃性屋檐，每面外墙上无防火保护的门、窗、洞口不正对开设且该门、窗、洞口的面积之和不大于外墙面积的5％时，其防火间距可按本表的规定减少25％。</w:t>
            </w:r>
          </w:p>
          <w:p w14:paraId="2A26FCE9">
            <w:pPr>
              <w:pStyle w:val="71"/>
              <w:spacing w:before="24" w:after="24"/>
              <w:jc w:val="left"/>
              <w:rPr>
                <w:rFonts w:cs="Times New Roman"/>
              </w:rPr>
            </w:pPr>
            <w:r>
              <w:rPr>
                <w:rFonts w:cs="Times New Roman"/>
              </w:rPr>
              <w:t>2.两栋建筑相邻较高一面外墙为防火墙，或高出相邻较低一座一、二级耐火等级建筑的屋面15m及以下范围内的外墙为防火墙时，其防火间距不限。</w:t>
            </w:r>
          </w:p>
          <w:p w14:paraId="34C14D90">
            <w:pPr>
              <w:pStyle w:val="71"/>
              <w:spacing w:before="24" w:after="24"/>
              <w:jc w:val="left"/>
              <w:rPr>
                <w:rFonts w:cs="Times New Roman"/>
              </w:rPr>
            </w:pPr>
            <w:r>
              <w:rPr>
                <w:rFonts w:cs="Times New Roman"/>
              </w:rPr>
              <w:t>3.相邻两座高度相同的一、二级耐火等级建筑中相邻任一侧外墙为防火墙，屋顶的耐火极限不低于1.00h时，其防火间距不限。</w:t>
            </w:r>
          </w:p>
          <w:p w14:paraId="76C95BC2">
            <w:pPr>
              <w:pStyle w:val="71"/>
              <w:spacing w:before="24" w:after="24"/>
              <w:jc w:val="left"/>
              <w:rPr>
                <w:rFonts w:cs="Times New Roman"/>
              </w:rPr>
            </w:pPr>
            <w:r>
              <w:rPr>
                <w:rFonts w:cs="Times New Roman"/>
              </w:rPr>
              <w:t>4.相邻两座建筑中较低一座建筑的耐火等级不低于二级，相邻较低一面外墙为防火墙且屋顶无天窗，屋顶的耐火极限不低于1.00h时，其防火间距不应小于3.5m；对于高层建筑，不应小于4m。</w:t>
            </w:r>
          </w:p>
          <w:p w14:paraId="25D22880">
            <w:pPr>
              <w:pStyle w:val="71"/>
              <w:spacing w:before="24" w:after="24"/>
              <w:jc w:val="left"/>
              <w:rPr>
                <w:rFonts w:cs="Times New Roman"/>
              </w:rPr>
            </w:pPr>
            <w:r>
              <w:rPr>
                <w:rFonts w:cs="Times New Roman"/>
              </w:rPr>
              <w:t>5.相邻两座建筑中较低一座建筑的耐火等级不低于二级且屋顶无天窗，相邻较高一面外墙高出较低一座建筑的屋面15m及以下范围内的开口部位设置甲级防火门、窗，或设置符合现行国家标准《自动喷水灭火系统设计规范》GB50084规定的防火分隔水幕，其防火间距不应小于3.5m；对于高层建筑，不应小于4m。</w:t>
            </w:r>
          </w:p>
          <w:p w14:paraId="0A687644">
            <w:pPr>
              <w:pStyle w:val="71"/>
              <w:spacing w:before="24" w:after="24"/>
              <w:jc w:val="left"/>
              <w:rPr>
                <w:rFonts w:cs="Times New Roman"/>
              </w:rPr>
            </w:pPr>
            <w:r>
              <w:rPr>
                <w:rFonts w:cs="Times New Roman"/>
              </w:rPr>
              <w:t>6.相邻建筑通过连廊、天桥或底部的建筑物等连接时，其间距不应小于本表的规定。</w:t>
            </w:r>
          </w:p>
        </w:tc>
      </w:tr>
    </w:tbl>
    <w:p w14:paraId="30AF2A3C">
      <w:pPr>
        <w:pStyle w:val="54"/>
        <w:spacing w:before="24" w:after="24"/>
      </w:pPr>
      <w:r>
        <w:t>2.4建筑防火等级及防火分区面积应满足下表要求</w:t>
      </w:r>
    </w:p>
    <w:tbl>
      <w:tblPr>
        <w:tblStyle w:val="31"/>
        <w:tblW w:w="97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7"/>
        <w:gridCol w:w="1307"/>
        <w:gridCol w:w="1614"/>
        <w:gridCol w:w="4887"/>
      </w:tblGrid>
      <w:tr w14:paraId="0A3FC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blHeader/>
        </w:trPr>
        <w:tc>
          <w:tcPr>
            <w:tcW w:w="1897" w:type="dxa"/>
            <w:vAlign w:val="center"/>
          </w:tcPr>
          <w:p w14:paraId="4AF3FEBC">
            <w:pPr>
              <w:pStyle w:val="71"/>
              <w:spacing w:before="24" w:after="24"/>
              <w:rPr>
                <w:rFonts w:cs="Times New Roman"/>
              </w:rPr>
            </w:pPr>
            <w:r>
              <w:rPr>
                <w:rFonts w:cs="Times New Roman"/>
              </w:rPr>
              <w:t>名称</w:t>
            </w:r>
          </w:p>
        </w:tc>
        <w:tc>
          <w:tcPr>
            <w:tcW w:w="1307" w:type="dxa"/>
            <w:vAlign w:val="center"/>
          </w:tcPr>
          <w:p w14:paraId="0D806251">
            <w:pPr>
              <w:pStyle w:val="71"/>
              <w:spacing w:before="24" w:after="24"/>
              <w:rPr>
                <w:rFonts w:cs="Times New Roman"/>
              </w:rPr>
            </w:pPr>
            <w:r>
              <w:rPr>
                <w:rFonts w:cs="Times New Roman"/>
              </w:rPr>
              <w:t>耐火等级</w:t>
            </w:r>
          </w:p>
        </w:tc>
        <w:tc>
          <w:tcPr>
            <w:tcW w:w="1614" w:type="dxa"/>
            <w:vAlign w:val="center"/>
          </w:tcPr>
          <w:p w14:paraId="1148861C">
            <w:pPr>
              <w:pStyle w:val="71"/>
              <w:spacing w:before="24" w:after="24"/>
              <w:rPr>
                <w:rFonts w:cs="Times New Roman"/>
              </w:rPr>
            </w:pPr>
            <w:r>
              <w:rPr>
                <w:rFonts w:cs="Times New Roman"/>
              </w:rPr>
              <w:t>防火分区最大允许面积（m2）</w:t>
            </w:r>
          </w:p>
        </w:tc>
        <w:tc>
          <w:tcPr>
            <w:tcW w:w="4887" w:type="dxa"/>
            <w:vAlign w:val="center"/>
          </w:tcPr>
          <w:p w14:paraId="264D9AFE">
            <w:pPr>
              <w:pStyle w:val="71"/>
              <w:spacing w:before="24" w:after="24"/>
              <w:rPr>
                <w:rFonts w:cs="Times New Roman"/>
              </w:rPr>
            </w:pPr>
            <w:r>
              <w:rPr>
                <w:rFonts w:cs="Times New Roman"/>
              </w:rPr>
              <w:t>注释</w:t>
            </w:r>
          </w:p>
        </w:tc>
      </w:tr>
      <w:tr w14:paraId="02270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897" w:type="dxa"/>
            <w:vAlign w:val="center"/>
          </w:tcPr>
          <w:p w14:paraId="4C8D917F">
            <w:pPr>
              <w:pStyle w:val="71"/>
              <w:spacing w:before="24" w:after="24"/>
              <w:rPr>
                <w:rFonts w:cs="Times New Roman"/>
              </w:rPr>
            </w:pPr>
            <w:r>
              <w:rPr>
                <w:rFonts w:cs="Times New Roman"/>
              </w:rPr>
              <w:t>一类高层民用建筑</w:t>
            </w:r>
          </w:p>
        </w:tc>
        <w:tc>
          <w:tcPr>
            <w:tcW w:w="1307" w:type="dxa"/>
            <w:vAlign w:val="center"/>
          </w:tcPr>
          <w:p w14:paraId="6E1381B6">
            <w:pPr>
              <w:pStyle w:val="71"/>
              <w:spacing w:before="24" w:after="24"/>
              <w:rPr>
                <w:rFonts w:cs="Times New Roman"/>
              </w:rPr>
            </w:pPr>
            <w:r>
              <w:rPr>
                <w:rFonts w:cs="Times New Roman"/>
              </w:rPr>
              <w:t>一级</w:t>
            </w:r>
          </w:p>
        </w:tc>
        <w:tc>
          <w:tcPr>
            <w:tcW w:w="1614" w:type="dxa"/>
            <w:vAlign w:val="center"/>
          </w:tcPr>
          <w:p w14:paraId="7D641561">
            <w:pPr>
              <w:pStyle w:val="71"/>
              <w:spacing w:before="24" w:after="24"/>
              <w:rPr>
                <w:rFonts w:cs="Times New Roman"/>
              </w:rPr>
            </w:pPr>
            <w:r>
              <w:rPr>
                <w:rFonts w:cs="Times New Roman"/>
              </w:rPr>
              <w:t>1500</w:t>
            </w:r>
          </w:p>
        </w:tc>
        <w:tc>
          <w:tcPr>
            <w:tcW w:w="4887" w:type="dxa"/>
          </w:tcPr>
          <w:p w14:paraId="03952A98">
            <w:pPr>
              <w:pStyle w:val="71"/>
              <w:spacing w:before="24" w:after="24"/>
              <w:jc w:val="left"/>
              <w:rPr>
                <w:rFonts w:cs="Times New Roman"/>
              </w:rPr>
            </w:pPr>
            <w:r>
              <w:rPr>
                <w:rFonts w:cs="Times New Roman"/>
              </w:rPr>
              <w:t>1.当建筑内设置自动灭火系统时，可按本表的规定增加1.0倍；局部设置时，防火分区的增加面积可按该局部面积的1.0倍计算。</w:t>
            </w:r>
          </w:p>
          <w:p w14:paraId="0C8FC28B">
            <w:pPr>
              <w:pStyle w:val="71"/>
              <w:spacing w:before="24" w:after="24"/>
              <w:jc w:val="left"/>
              <w:rPr>
                <w:rFonts w:cs="Times New Roman"/>
              </w:rPr>
            </w:pPr>
            <w:r>
              <w:rPr>
                <w:rFonts w:cs="Times New Roman"/>
              </w:rPr>
              <w:t>2.裙房与高层建筑主体之间设置防火墙时，裙房的防火分区可按单、多层建筑的要求确定。</w:t>
            </w:r>
          </w:p>
        </w:tc>
      </w:tr>
      <w:tr w14:paraId="4E6A9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897" w:type="dxa"/>
            <w:vAlign w:val="center"/>
          </w:tcPr>
          <w:p w14:paraId="2D41621B">
            <w:pPr>
              <w:pStyle w:val="71"/>
              <w:spacing w:before="24" w:after="24"/>
              <w:rPr>
                <w:rFonts w:cs="Times New Roman"/>
              </w:rPr>
            </w:pPr>
            <w:r>
              <w:rPr>
                <w:rFonts w:cs="Times New Roman"/>
              </w:rPr>
              <w:t>二类高层民用建筑</w:t>
            </w:r>
          </w:p>
        </w:tc>
        <w:tc>
          <w:tcPr>
            <w:tcW w:w="1307" w:type="dxa"/>
            <w:vAlign w:val="center"/>
          </w:tcPr>
          <w:p w14:paraId="405D6AE5">
            <w:pPr>
              <w:pStyle w:val="71"/>
              <w:spacing w:before="24" w:after="24"/>
              <w:rPr>
                <w:rFonts w:cs="Times New Roman"/>
              </w:rPr>
            </w:pPr>
            <w:r>
              <w:rPr>
                <w:rFonts w:cs="Times New Roman"/>
              </w:rPr>
              <w:t>二级</w:t>
            </w:r>
          </w:p>
        </w:tc>
        <w:tc>
          <w:tcPr>
            <w:tcW w:w="1614" w:type="dxa"/>
            <w:vAlign w:val="center"/>
          </w:tcPr>
          <w:p w14:paraId="5ADAAFCD">
            <w:pPr>
              <w:pStyle w:val="71"/>
              <w:spacing w:before="24" w:after="24"/>
              <w:rPr>
                <w:rFonts w:cs="Times New Roman"/>
              </w:rPr>
            </w:pPr>
            <w:r>
              <w:rPr>
                <w:rFonts w:cs="Times New Roman"/>
              </w:rPr>
              <w:t>1500</w:t>
            </w:r>
          </w:p>
        </w:tc>
        <w:tc>
          <w:tcPr>
            <w:tcW w:w="4887" w:type="dxa"/>
          </w:tcPr>
          <w:p w14:paraId="129738CC">
            <w:pPr>
              <w:pStyle w:val="71"/>
              <w:spacing w:before="24" w:after="24"/>
              <w:rPr>
                <w:rFonts w:cs="Times New Roman"/>
              </w:rPr>
            </w:pPr>
          </w:p>
        </w:tc>
      </w:tr>
      <w:tr w14:paraId="6E89D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897" w:type="dxa"/>
            <w:vAlign w:val="center"/>
          </w:tcPr>
          <w:p w14:paraId="6B407442">
            <w:pPr>
              <w:pStyle w:val="71"/>
              <w:spacing w:before="24" w:after="24"/>
              <w:rPr>
                <w:rFonts w:cs="Times New Roman"/>
              </w:rPr>
            </w:pPr>
            <w:r>
              <w:rPr>
                <w:rFonts w:cs="Times New Roman"/>
              </w:rPr>
              <w:t>单多层民用建筑</w:t>
            </w:r>
          </w:p>
        </w:tc>
        <w:tc>
          <w:tcPr>
            <w:tcW w:w="1307" w:type="dxa"/>
            <w:vAlign w:val="center"/>
          </w:tcPr>
          <w:p w14:paraId="22B8EAE2">
            <w:pPr>
              <w:pStyle w:val="71"/>
              <w:spacing w:before="24" w:after="24"/>
              <w:rPr>
                <w:rFonts w:cs="Times New Roman"/>
              </w:rPr>
            </w:pPr>
            <w:r>
              <w:rPr>
                <w:rFonts w:cs="Times New Roman"/>
              </w:rPr>
              <w:t>二级</w:t>
            </w:r>
          </w:p>
        </w:tc>
        <w:tc>
          <w:tcPr>
            <w:tcW w:w="1614" w:type="dxa"/>
            <w:vAlign w:val="center"/>
          </w:tcPr>
          <w:p w14:paraId="2B17B0F3">
            <w:pPr>
              <w:pStyle w:val="71"/>
              <w:spacing w:before="24" w:after="24"/>
              <w:rPr>
                <w:rFonts w:cs="Times New Roman"/>
              </w:rPr>
            </w:pPr>
            <w:r>
              <w:rPr>
                <w:rFonts w:cs="Times New Roman"/>
              </w:rPr>
              <w:t>2500</w:t>
            </w:r>
          </w:p>
        </w:tc>
        <w:tc>
          <w:tcPr>
            <w:tcW w:w="4887" w:type="dxa"/>
          </w:tcPr>
          <w:p w14:paraId="46EC33BE">
            <w:pPr>
              <w:pStyle w:val="71"/>
              <w:spacing w:before="24" w:after="24"/>
              <w:rPr>
                <w:rFonts w:cs="Times New Roman"/>
              </w:rPr>
            </w:pPr>
          </w:p>
        </w:tc>
      </w:tr>
      <w:tr w14:paraId="176AB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897" w:type="dxa"/>
            <w:vAlign w:val="center"/>
          </w:tcPr>
          <w:p w14:paraId="38C58CFA">
            <w:pPr>
              <w:pStyle w:val="71"/>
              <w:spacing w:before="24" w:after="24"/>
              <w:rPr>
                <w:rFonts w:cs="Times New Roman"/>
              </w:rPr>
            </w:pPr>
            <w:r>
              <w:rPr>
                <w:rFonts w:cs="Times New Roman"/>
              </w:rPr>
              <w:t>地下或半地下民用建筑</w:t>
            </w:r>
          </w:p>
        </w:tc>
        <w:tc>
          <w:tcPr>
            <w:tcW w:w="1307" w:type="dxa"/>
            <w:vAlign w:val="center"/>
          </w:tcPr>
          <w:p w14:paraId="0DBE1F2D">
            <w:pPr>
              <w:pStyle w:val="71"/>
              <w:spacing w:before="24" w:after="24"/>
              <w:rPr>
                <w:rFonts w:cs="Times New Roman"/>
              </w:rPr>
            </w:pPr>
            <w:r>
              <w:rPr>
                <w:rFonts w:cs="Times New Roman"/>
              </w:rPr>
              <w:t>一级</w:t>
            </w:r>
          </w:p>
        </w:tc>
        <w:tc>
          <w:tcPr>
            <w:tcW w:w="1614" w:type="dxa"/>
            <w:vAlign w:val="center"/>
          </w:tcPr>
          <w:p w14:paraId="51BEB858">
            <w:pPr>
              <w:pStyle w:val="71"/>
              <w:spacing w:before="24" w:after="24"/>
              <w:rPr>
                <w:rFonts w:cs="Times New Roman"/>
              </w:rPr>
            </w:pPr>
            <w:r>
              <w:rPr>
                <w:rFonts w:cs="Times New Roman"/>
              </w:rPr>
              <w:t>500</w:t>
            </w:r>
          </w:p>
        </w:tc>
        <w:tc>
          <w:tcPr>
            <w:tcW w:w="4887" w:type="dxa"/>
          </w:tcPr>
          <w:p w14:paraId="1CB2EE40">
            <w:pPr>
              <w:pStyle w:val="71"/>
              <w:spacing w:before="24" w:after="24"/>
              <w:rPr>
                <w:rFonts w:cs="Times New Roman"/>
              </w:rPr>
            </w:pPr>
          </w:p>
        </w:tc>
      </w:tr>
      <w:tr w14:paraId="414FB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897" w:type="dxa"/>
            <w:vAlign w:val="center"/>
          </w:tcPr>
          <w:p w14:paraId="75175540">
            <w:pPr>
              <w:pStyle w:val="71"/>
              <w:spacing w:before="24" w:after="24"/>
              <w:rPr>
                <w:rFonts w:cs="Times New Roman"/>
              </w:rPr>
            </w:pPr>
            <w:r>
              <w:rPr>
                <w:rFonts w:cs="Times New Roman"/>
              </w:rPr>
              <w:t>地下汽车库</w:t>
            </w:r>
          </w:p>
        </w:tc>
        <w:tc>
          <w:tcPr>
            <w:tcW w:w="1307" w:type="dxa"/>
            <w:vAlign w:val="center"/>
          </w:tcPr>
          <w:p w14:paraId="1B2E5E4E">
            <w:pPr>
              <w:pStyle w:val="71"/>
              <w:spacing w:before="24" w:after="24"/>
              <w:rPr>
                <w:rFonts w:cs="Times New Roman"/>
              </w:rPr>
            </w:pPr>
            <w:r>
              <w:rPr>
                <w:rFonts w:cs="Times New Roman"/>
              </w:rPr>
              <w:t>一级</w:t>
            </w:r>
          </w:p>
        </w:tc>
        <w:tc>
          <w:tcPr>
            <w:tcW w:w="1614" w:type="dxa"/>
            <w:vAlign w:val="center"/>
          </w:tcPr>
          <w:p w14:paraId="5CE49918">
            <w:pPr>
              <w:pStyle w:val="71"/>
              <w:spacing w:before="24" w:after="24"/>
              <w:rPr>
                <w:rFonts w:cs="Times New Roman"/>
              </w:rPr>
            </w:pPr>
            <w:r>
              <w:rPr>
                <w:rFonts w:cs="Times New Roman"/>
              </w:rPr>
              <w:t>2000</w:t>
            </w:r>
          </w:p>
        </w:tc>
        <w:tc>
          <w:tcPr>
            <w:tcW w:w="4887" w:type="dxa"/>
          </w:tcPr>
          <w:p w14:paraId="48D227DA">
            <w:pPr>
              <w:pStyle w:val="71"/>
              <w:spacing w:before="24" w:after="24"/>
              <w:jc w:val="left"/>
              <w:rPr>
                <w:rFonts w:cs="Times New Roman"/>
              </w:rPr>
            </w:pPr>
            <w:r>
              <w:rPr>
                <w:rFonts w:cs="Times New Roman"/>
              </w:rPr>
              <w:t>1.设置自动灭火系统时，防火分区允许最大建筑面积为4000m2</w:t>
            </w:r>
          </w:p>
        </w:tc>
      </w:tr>
    </w:tbl>
    <w:p w14:paraId="298E5607">
      <w:pPr>
        <w:pStyle w:val="54"/>
        <w:spacing w:before="24" w:after="24"/>
      </w:pPr>
      <w:r>
        <w:t>2.5地下工程防水设计工作年限不应低于工程结构设计工作年限；屋面工程防水设计工作年限不应低于20年；室内工程防水设计工作年限不应低于25年；桥梁工程桥面防水设计工作年限不应低于桥面铺装设计工作年限；非侵蚀性介质蓄水类工程内壁防水层设计工作年限不应低于10年。防水等级按照一级防水设防。</w:t>
      </w:r>
    </w:p>
    <w:p w14:paraId="548720C9">
      <w:pPr>
        <w:pStyle w:val="54"/>
        <w:spacing w:before="24" w:after="24"/>
      </w:pPr>
      <w:r>
        <w:t>2.6根据《云南省住房和城乡建设厅关于德钦新县城建筑热工设计分区的批复》，本项目热工分区为温和A区，建筑和围护结构热工设计按照温和A区设计，围护结构热工性能应满足《建筑节能与可再生能源利用通用规范》GB55015-2021相关要求。</w:t>
      </w:r>
    </w:p>
    <w:p w14:paraId="5F019B7B">
      <w:pPr>
        <w:pStyle w:val="54"/>
        <w:spacing w:before="24" w:after="24"/>
      </w:pPr>
      <w:r>
        <w:t>2.7绿色建筑等级应不低于一星级。</w:t>
      </w:r>
    </w:p>
    <w:p w14:paraId="5BB69D11">
      <w:pPr>
        <w:pStyle w:val="54"/>
        <w:spacing w:before="24" w:after="24"/>
      </w:pPr>
      <w:r>
        <w:t>2.8本项目采用装配式建造方式，单体装配率不低于15%。</w:t>
      </w:r>
    </w:p>
    <w:p w14:paraId="07B477C9">
      <w:pPr>
        <w:pStyle w:val="54"/>
        <w:spacing w:before="24" w:after="24"/>
      </w:pPr>
      <w:r>
        <w:t>2.9专业间图纸需一致，图纸采用A0、A1、A2及其加长图幅，且加长不超过1/2。</w:t>
      </w:r>
    </w:p>
    <w:p w14:paraId="31640EFF">
      <w:pPr>
        <w:pStyle w:val="64"/>
        <w:spacing w:before="24" w:after="24"/>
        <w:rPr>
          <w:rFonts w:cs="Times New Roman"/>
        </w:rPr>
      </w:pPr>
      <w:bookmarkStart w:id="10" w:name="_Toc221894062"/>
      <w:r>
        <w:rPr>
          <w:rFonts w:cs="Times New Roman"/>
        </w:rPr>
        <w:t>3、结构设计指标</w:t>
      </w:r>
      <w:bookmarkEnd w:id="10"/>
    </w:p>
    <w:p w14:paraId="66A01038">
      <w:pPr>
        <w:pStyle w:val="54"/>
        <w:spacing w:before="24" w:after="24"/>
      </w:pPr>
      <w:r>
        <w:t>3.1避免出现超限情况。</w:t>
      </w:r>
    </w:p>
    <w:p w14:paraId="259B2E67">
      <w:pPr>
        <w:pStyle w:val="54"/>
        <w:spacing w:before="24" w:after="24"/>
      </w:pPr>
      <w:r>
        <w:t>3.2 在考虑偶然偏心影响的规定水平地震力作用下，楼层竖向构件最大的水平位移和层间位移不宜大于该楼层平均值的1.2倍，不应大于该楼层平均值的1.5倍。</w:t>
      </w:r>
    </w:p>
    <w:p w14:paraId="4D4FFB23">
      <w:pPr>
        <w:pStyle w:val="54"/>
        <w:spacing w:before="24" w:after="24"/>
      </w:pPr>
      <w:r>
        <w:t>3.3 楼层侧向刚度不宜小于相邻上部楼层侧向刚度的70%或其上相邻三层侧向刚度平均值的80%。</w:t>
      </w:r>
    </w:p>
    <w:p w14:paraId="10623FC4">
      <w:pPr>
        <w:pStyle w:val="54"/>
        <w:spacing w:before="24" w:after="24"/>
      </w:pPr>
      <w:r>
        <w:t>3.4 振型参与质量不小于总质量的（有效质量系数）90%。</w:t>
      </w:r>
    </w:p>
    <w:p w14:paraId="2434F1B6">
      <w:pPr>
        <w:pStyle w:val="54"/>
        <w:spacing w:before="24" w:after="24"/>
      </w:pPr>
      <w:r>
        <w:t>3.5 结构计算成果指标如轴压比、周期、位移、剪重比、刚重比等应满足《建筑抗震设计标准》GB/T 50011-2010（2024年版）值。</w:t>
      </w:r>
    </w:p>
    <w:p w14:paraId="1E298CBD">
      <w:pPr>
        <w:pStyle w:val="54"/>
        <w:spacing w:before="24" w:after="24"/>
      </w:pPr>
      <w:r>
        <w:t>3.6 当层间位移角控制计算时，层间位移角应控制在规范限值附近。如无特殊原因，位移角不宜小于规范限值10%，不应小于规范限值20%以上，否则应调整结构布置保证经济性及合理性。</w:t>
      </w:r>
    </w:p>
    <w:p w14:paraId="3B08FC49">
      <w:pPr>
        <w:pStyle w:val="54"/>
        <w:spacing w:before="24" w:after="24"/>
      </w:pPr>
      <w:r>
        <w:t>3.7 钢结构体系的单体强度、刚度、扰度变形、位移及长细比等需满足相关规范限值要求。</w:t>
      </w:r>
    </w:p>
    <w:p w14:paraId="62C35D40">
      <w:pPr>
        <w:pStyle w:val="54"/>
        <w:spacing w:before="24" w:after="24"/>
      </w:pPr>
      <w:r>
        <w:t>3.8 结构指标控制表：</w:t>
      </w:r>
    </w:p>
    <w:p w14:paraId="7BDD4D31">
      <w:pPr>
        <w:pStyle w:val="54"/>
        <w:spacing w:before="24" w:after="24"/>
      </w:pPr>
      <w:r>
        <w:t>3.8.1 结构总体技术指标控制表</w:t>
      </w:r>
    </w:p>
    <w:tbl>
      <w:tblPr>
        <w:tblStyle w:val="31"/>
        <w:tblW w:w="0" w:type="auto"/>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06"/>
        <w:gridCol w:w="1434"/>
        <w:gridCol w:w="1728"/>
        <w:gridCol w:w="1032"/>
        <w:gridCol w:w="1824"/>
        <w:gridCol w:w="2112"/>
      </w:tblGrid>
      <w:tr w14:paraId="0CB69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 w:hRule="atLeast"/>
          <w:tblHeader/>
        </w:trPr>
        <w:tc>
          <w:tcPr>
            <w:tcW w:w="9336" w:type="dxa"/>
            <w:gridSpan w:val="6"/>
            <w:tcBorders>
              <w:tl2br w:val="nil"/>
              <w:tr2bl w:val="nil"/>
            </w:tcBorders>
            <w:tcMar>
              <w:top w:w="0" w:type="dxa"/>
              <w:left w:w="108" w:type="dxa"/>
              <w:bottom w:w="0" w:type="dxa"/>
              <w:right w:w="108" w:type="dxa"/>
            </w:tcMar>
            <w:vAlign w:val="center"/>
          </w:tcPr>
          <w:p w14:paraId="73E7550C">
            <w:pPr>
              <w:pStyle w:val="71"/>
              <w:spacing w:before="24" w:after="24"/>
              <w:rPr>
                <w:rFonts w:cs="Times New Roman"/>
              </w:rPr>
            </w:pPr>
            <w:r>
              <w:rPr>
                <w:rFonts w:cs="Times New Roman"/>
              </w:rPr>
              <w:t>结构总体技术指标控制表</w:t>
            </w:r>
          </w:p>
        </w:tc>
      </w:tr>
      <w:tr w14:paraId="30F37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206" w:type="dxa"/>
            <w:tcBorders>
              <w:tl2br w:val="nil"/>
              <w:tr2bl w:val="nil"/>
            </w:tcBorders>
            <w:tcMar>
              <w:top w:w="0" w:type="dxa"/>
              <w:left w:w="108" w:type="dxa"/>
              <w:bottom w:w="0" w:type="dxa"/>
              <w:right w:w="108" w:type="dxa"/>
            </w:tcMar>
            <w:vAlign w:val="center"/>
          </w:tcPr>
          <w:p w14:paraId="54DD19B3">
            <w:pPr>
              <w:pStyle w:val="71"/>
              <w:spacing w:before="24" w:after="24"/>
              <w:rPr>
                <w:rFonts w:cs="Times New Roman"/>
              </w:rPr>
            </w:pPr>
            <w:r>
              <w:rPr>
                <w:rFonts w:cs="Times New Roman"/>
              </w:rPr>
              <w:t>抗震设防烈度</w:t>
            </w:r>
          </w:p>
        </w:tc>
        <w:tc>
          <w:tcPr>
            <w:tcW w:w="1434" w:type="dxa"/>
            <w:tcBorders>
              <w:tl2br w:val="nil"/>
              <w:tr2bl w:val="nil"/>
            </w:tcBorders>
            <w:tcMar>
              <w:top w:w="0" w:type="dxa"/>
              <w:left w:w="108" w:type="dxa"/>
              <w:bottom w:w="0" w:type="dxa"/>
              <w:right w:w="108" w:type="dxa"/>
            </w:tcMar>
            <w:vAlign w:val="center"/>
          </w:tcPr>
          <w:p w14:paraId="412FCD55">
            <w:pPr>
              <w:pStyle w:val="71"/>
              <w:spacing w:before="24" w:after="24"/>
              <w:rPr>
                <w:rFonts w:cs="Times New Roman"/>
              </w:rPr>
            </w:pPr>
            <w:r>
              <w:rPr>
                <w:rFonts w:cs="Times New Roman"/>
              </w:rPr>
              <w:t>7度（0.15g）</w:t>
            </w:r>
          </w:p>
        </w:tc>
        <w:tc>
          <w:tcPr>
            <w:tcW w:w="1728" w:type="dxa"/>
            <w:tcBorders>
              <w:tl2br w:val="nil"/>
              <w:tr2bl w:val="nil"/>
            </w:tcBorders>
            <w:tcMar>
              <w:top w:w="0" w:type="dxa"/>
              <w:left w:w="108" w:type="dxa"/>
              <w:bottom w:w="0" w:type="dxa"/>
              <w:right w:w="108" w:type="dxa"/>
            </w:tcMar>
            <w:vAlign w:val="center"/>
          </w:tcPr>
          <w:p w14:paraId="61E4FF88">
            <w:pPr>
              <w:pStyle w:val="71"/>
              <w:spacing w:before="24" w:after="24"/>
              <w:rPr>
                <w:rFonts w:cs="Times New Roman"/>
              </w:rPr>
            </w:pPr>
            <w:r>
              <w:rPr>
                <w:rFonts w:cs="Times New Roman"/>
              </w:rPr>
              <w:t>设计地震分组</w:t>
            </w:r>
          </w:p>
        </w:tc>
        <w:tc>
          <w:tcPr>
            <w:tcW w:w="1032" w:type="dxa"/>
            <w:tcBorders>
              <w:tl2br w:val="nil"/>
              <w:tr2bl w:val="nil"/>
            </w:tcBorders>
            <w:tcMar>
              <w:top w:w="0" w:type="dxa"/>
              <w:left w:w="108" w:type="dxa"/>
              <w:bottom w:w="0" w:type="dxa"/>
              <w:right w:w="108" w:type="dxa"/>
            </w:tcMar>
            <w:vAlign w:val="center"/>
          </w:tcPr>
          <w:p w14:paraId="292BF374">
            <w:pPr>
              <w:pStyle w:val="71"/>
              <w:spacing w:before="24" w:after="24"/>
              <w:rPr>
                <w:rFonts w:cs="Times New Roman"/>
              </w:rPr>
            </w:pPr>
            <w:r>
              <w:rPr>
                <w:rFonts w:cs="Times New Roman"/>
              </w:rPr>
              <w:t>第二组</w:t>
            </w:r>
          </w:p>
        </w:tc>
        <w:tc>
          <w:tcPr>
            <w:tcW w:w="1824" w:type="dxa"/>
            <w:tcBorders>
              <w:tl2br w:val="nil"/>
              <w:tr2bl w:val="nil"/>
            </w:tcBorders>
            <w:tcMar>
              <w:top w:w="0" w:type="dxa"/>
              <w:left w:w="108" w:type="dxa"/>
              <w:bottom w:w="0" w:type="dxa"/>
              <w:right w:w="108" w:type="dxa"/>
            </w:tcMar>
            <w:vAlign w:val="center"/>
          </w:tcPr>
          <w:p w14:paraId="162763F6">
            <w:pPr>
              <w:pStyle w:val="71"/>
              <w:spacing w:before="24" w:after="24"/>
              <w:rPr>
                <w:rFonts w:cs="Times New Roman"/>
              </w:rPr>
            </w:pPr>
            <w:r>
              <w:rPr>
                <w:rFonts w:cs="Times New Roman"/>
              </w:rPr>
              <w:t>场地特征周期值</w:t>
            </w:r>
          </w:p>
        </w:tc>
        <w:tc>
          <w:tcPr>
            <w:tcW w:w="2112" w:type="dxa"/>
            <w:tcBorders>
              <w:tl2br w:val="nil"/>
              <w:tr2bl w:val="nil"/>
            </w:tcBorders>
            <w:tcMar>
              <w:top w:w="0" w:type="dxa"/>
              <w:left w:w="108" w:type="dxa"/>
              <w:bottom w:w="0" w:type="dxa"/>
              <w:right w:w="108" w:type="dxa"/>
            </w:tcMar>
            <w:vAlign w:val="center"/>
          </w:tcPr>
          <w:p w14:paraId="00329E67">
            <w:pPr>
              <w:pStyle w:val="71"/>
              <w:spacing w:before="24" w:after="24"/>
              <w:rPr>
                <w:rFonts w:cs="Times New Roman"/>
              </w:rPr>
            </w:pPr>
            <w:r>
              <w:rPr>
                <w:rFonts w:cs="Times New Roman"/>
              </w:rPr>
              <w:t>0.40</w:t>
            </w:r>
          </w:p>
        </w:tc>
      </w:tr>
      <w:tr w14:paraId="0474D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1206" w:type="dxa"/>
            <w:tcBorders>
              <w:tl2br w:val="nil"/>
              <w:tr2bl w:val="nil"/>
            </w:tcBorders>
            <w:tcMar>
              <w:top w:w="0" w:type="dxa"/>
              <w:left w:w="108" w:type="dxa"/>
              <w:bottom w:w="0" w:type="dxa"/>
              <w:right w:w="108" w:type="dxa"/>
            </w:tcMar>
            <w:vAlign w:val="center"/>
          </w:tcPr>
          <w:p w14:paraId="06BE2E90">
            <w:pPr>
              <w:pStyle w:val="71"/>
              <w:spacing w:before="24" w:after="24"/>
              <w:rPr>
                <w:rFonts w:cs="Times New Roman"/>
              </w:rPr>
            </w:pPr>
            <w:r>
              <w:rPr>
                <w:rFonts w:cs="Times New Roman"/>
              </w:rPr>
              <w:t>场地土类别</w:t>
            </w:r>
          </w:p>
        </w:tc>
        <w:tc>
          <w:tcPr>
            <w:tcW w:w="1434" w:type="dxa"/>
            <w:tcBorders>
              <w:tl2br w:val="nil"/>
              <w:tr2bl w:val="nil"/>
            </w:tcBorders>
            <w:tcMar>
              <w:top w:w="0" w:type="dxa"/>
              <w:left w:w="108" w:type="dxa"/>
              <w:bottom w:w="0" w:type="dxa"/>
              <w:right w:w="108" w:type="dxa"/>
            </w:tcMar>
            <w:vAlign w:val="center"/>
          </w:tcPr>
          <w:p w14:paraId="490CFE3D">
            <w:pPr>
              <w:pStyle w:val="71"/>
              <w:spacing w:before="24" w:after="24"/>
              <w:rPr>
                <w:rFonts w:cs="Times New Roman"/>
              </w:rPr>
            </w:pPr>
            <w:r>
              <w:rPr>
                <w:rFonts w:cs="Times New Roman"/>
              </w:rPr>
              <w:t>暂定Ⅱ类</w:t>
            </w:r>
          </w:p>
        </w:tc>
        <w:tc>
          <w:tcPr>
            <w:tcW w:w="1728" w:type="dxa"/>
            <w:tcBorders>
              <w:tl2br w:val="nil"/>
              <w:tr2bl w:val="nil"/>
            </w:tcBorders>
            <w:tcMar>
              <w:top w:w="0" w:type="dxa"/>
              <w:left w:w="108" w:type="dxa"/>
              <w:bottom w:w="0" w:type="dxa"/>
              <w:right w:w="108" w:type="dxa"/>
            </w:tcMar>
            <w:vAlign w:val="center"/>
          </w:tcPr>
          <w:p w14:paraId="12823F48">
            <w:pPr>
              <w:pStyle w:val="71"/>
              <w:spacing w:before="24" w:after="24"/>
              <w:rPr>
                <w:rFonts w:cs="Times New Roman"/>
              </w:rPr>
            </w:pPr>
            <w:r>
              <w:rPr>
                <w:rFonts w:cs="Times New Roman"/>
              </w:rPr>
              <w:t>地面粗糙度</w:t>
            </w:r>
          </w:p>
        </w:tc>
        <w:tc>
          <w:tcPr>
            <w:tcW w:w="1032" w:type="dxa"/>
            <w:tcBorders>
              <w:tl2br w:val="nil"/>
              <w:tr2bl w:val="nil"/>
            </w:tcBorders>
            <w:tcMar>
              <w:top w:w="0" w:type="dxa"/>
              <w:left w:w="108" w:type="dxa"/>
              <w:bottom w:w="0" w:type="dxa"/>
              <w:right w:w="108" w:type="dxa"/>
            </w:tcMar>
            <w:vAlign w:val="center"/>
          </w:tcPr>
          <w:p w14:paraId="29C26DD2">
            <w:pPr>
              <w:pStyle w:val="71"/>
              <w:spacing w:before="24" w:after="24"/>
              <w:rPr>
                <w:rFonts w:cs="Times New Roman"/>
              </w:rPr>
            </w:pPr>
            <w:r>
              <w:rPr>
                <w:rFonts w:cs="Times New Roman"/>
              </w:rPr>
              <w:t>B类</w:t>
            </w:r>
          </w:p>
        </w:tc>
        <w:tc>
          <w:tcPr>
            <w:tcW w:w="1824" w:type="dxa"/>
            <w:tcBorders>
              <w:tl2br w:val="nil"/>
              <w:tr2bl w:val="nil"/>
            </w:tcBorders>
            <w:tcMar>
              <w:top w:w="0" w:type="dxa"/>
              <w:left w:w="108" w:type="dxa"/>
              <w:bottom w:w="0" w:type="dxa"/>
              <w:right w:w="108" w:type="dxa"/>
            </w:tcMar>
            <w:vAlign w:val="center"/>
          </w:tcPr>
          <w:p w14:paraId="22FBE1C4">
            <w:pPr>
              <w:pStyle w:val="71"/>
              <w:spacing w:before="24" w:after="24"/>
              <w:rPr>
                <w:rFonts w:cs="Times New Roman"/>
              </w:rPr>
            </w:pPr>
            <w:r>
              <w:rPr>
                <w:rFonts w:cs="Times New Roman"/>
              </w:rPr>
              <w:t>基本风压</w:t>
            </w:r>
          </w:p>
        </w:tc>
        <w:tc>
          <w:tcPr>
            <w:tcW w:w="2112" w:type="dxa"/>
            <w:tcBorders>
              <w:tl2br w:val="nil"/>
              <w:tr2bl w:val="nil"/>
            </w:tcBorders>
            <w:tcMar>
              <w:top w:w="0" w:type="dxa"/>
              <w:left w:w="108" w:type="dxa"/>
              <w:bottom w:w="0" w:type="dxa"/>
              <w:right w:w="108" w:type="dxa"/>
            </w:tcMar>
            <w:vAlign w:val="center"/>
          </w:tcPr>
          <w:p w14:paraId="3410D2D4">
            <w:pPr>
              <w:pStyle w:val="71"/>
              <w:spacing w:before="24" w:after="24"/>
              <w:rPr>
                <w:rFonts w:cs="Times New Roman"/>
              </w:rPr>
            </w:pPr>
            <w:r>
              <w:rPr>
                <w:rFonts w:cs="Times New Roman"/>
              </w:rPr>
              <w:t>0.3</w:t>
            </w:r>
          </w:p>
        </w:tc>
      </w:tr>
      <w:tr w14:paraId="2093E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1206" w:type="dxa"/>
            <w:tcBorders>
              <w:tl2br w:val="nil"/>
              <w:tr2bl w:val="nil"/>
            </w:tcBorders>
            <w:tcMar>
              <w:top w:w="0" w:type="dxa"/>
              <w:left w:w="108" w:type="dxa"/>
              <w:bottom w:w="0" w:type="dxa"/>
              <w:right w:w="108" w:type="dxa"/>
            </w:tcMar>
            <w:vAlign w:val="center"/>
          </w:tcPr>
          <w:p w14:paraId="10BA71E7">
            <w:pPr>
              <w:pStyle w:val="71"/>
              <w:spacing w:before="24" w:after="24"/>
              <w:rPr>
                <w:rFonts w:cs="Times New Roman"/>
              </w:rPr>
            </w:pPr>
            <w:r>
              <w:rPr>
                <w:rFonts w:cs="Times New Roman"/>
              </w:rPr>
              <w:t>基本雪压</w:t>
            </w:r>
          </w:p>
        </w:tc>
        <w:tc>
          <w:tcPr>
            <w:tcW w:w="1434" w:type="dxa"/>
            <w:tcBorders>
              <w:tl2br w:val="nil"/>
              <w:tr2bl w:val="nil"/>
            </w:tcBorders>
            <w:tcMar>
              <w:top w:w="0" w:type="dxa"/>
              <w:left w:w="108" w:type="dxa"/>
              <w:bottom w:w="0" w:type="dxa"/>
              <w:right w:w="108" w:type="dxa"/>
            </w:tcMar>
            <w:vAlign w:val="center"/>
          </w:tcPr>
          <w:p w14:paraId="5BB06283">
            <w:pPr>
              <w:pStyle w:val="71"/>
              <w:spacing w:before="24" w:after="24"/>
              <w:rPr>
                <w:rFonts w:cs="Times New Roman"/>
              </w:rPr>
            </w:pPr>
            <w:r>
              <w:rPr>
                <w:rFonts w:cs="Times New Roman"/>
              </w:rPr>
              <w:t>0.65</w:t>
            </w:r>
          </w:p>
        </w:tc>
        <w:tc>
          <w:tcPr>
            <w:tcW w:w="1728" w:type="dxa"/>
            <w:tcBorders>
              <w:tl2br w:val="nil"/>
              <w:tr2bl w:val="nil"/>
            </w:tcBorders>
            <w:tcMar>
              <w:top w:w="0" w:type="dxa"/>
              <w:left w:w="108" w:type="dxa"/>
              <w:bottom w:w="0" w:type="dxa"/>
              <w:right w:w="108" w:type="dxa"/>
            </w:tcMar>
            <w:vAlign w:val="center"/>
          </w:tcPr>
          <w:p w14:paraId="18C03341">
            <w:pPr>
              <w:pStyle w:val="71"/>
              <w:spacing w:before="24" w:after="24"/>
              <w:rPr>
                <w:rFonts w:cs="Times New Roman"/>
              </w:rPr>
            </w:pPr>
            <w:r>
              <w:rPr>
                <w:rFonts w:cs="Times New Roman"/>
              </w:rPr>
              <w:t>挠度控制要求</w:t>
            </w:r>
          </w:p>
        </w:tc>
        <w:tc>
          <w:tcPr>
            <w:tcW w:w="1032" w:type="dxa"/>
            <w:tcBorders>
              <w:tl2br w:val="nil"/>
              <w:tr2bl w:val="nil"/>
            </w:tcBorders>
            <w:tcMar>
              <w:top w:w="0" w:type="dxa"/>
              <w:left w:w="108" w:type="dxa"/>
              <w:bottom w:w="0" w:type="dxa"/>
              <w:right w:w="108" w:type="dxa"/>
            </w:tcMar>
            <w:vAlign w:val="center"/>
          </w:tcPr>
          <w:p w14:paraId="207AFB2A">
            <w:pPr>
              <w:pStyle w:val="71"/>
              <w:spacing w:before="24" w:after="24"/>
              <w:rPr>
                <w:rFonts w:cs="Times New Roman"/>
              </w:rPr>
            </w:pPr>
            <w:r>
              <w:rPr>
                <w:rFonts w:cs="Times New Roman"/>
              </w:rPr>
              <w:t>1/250</w:t>
            </w:r>
          </w:p>
        </w:tc>
        <w:tc>
          <w:tcPr>
            <w:tcW w:w="1824" w:type="dxa"/>
            <w:tcBorders>
              <w:tl2br w:val="nil"/>
              <w:tr2bl w:val="nil"/>
            </w:tcBorders>
            <w:tcMar>
              <w:top w:w="0" w:type="dxa"/>
              <w:left w:w="108" w:type="dxa"/>
              <w:bottom w:w="0" w:type="dxa"/>
              <w:right w:w="108" w:type="dxa"/>
            </w:tcMar>
            <w:vAlign w:val="center"/>
          </w:tcPr>
          <w:p w14:paraId="290236BA">
            <w:pPr>
              <w:pStyle w:val="71"/>
              <w:spacing w:before="24" w:after="24"/>
              <w:rPr>
                <w:rFonts w:cs="Times New Roman"/>
              </w:rPr>
            </w:pPr>
            <w:r>
              <w:rPr>
                <w:rFonts w:cs="Times New Roman"/>
              </w:rPr>
              <w:t>裂缝控制要求</w:t>
            </w:r>
          </w:p>
        </w:tc>
        <w:tc>
          <w:tcPr>
            <w:tcW w:w="2112" w:type="dxa"/>
            <w:tcBorders>
              <w:tl2br w:val="nil"/>
              <w:tr2bl w:val="nil"/>
            </w:tcBorders>
            <w:tcMar>
              <w:top w:w="0" w:type="dxa"/>
              <w:left w:w="108" w:type="dxa"/>
              <w:bottom w:w="0" w:type="dxa"/>
              <w:right w:w="108" w:type="dxa"/>
            </w:tcMar>
            <w:vAlign w:val="center"/>
          </w:tcPr>
          <w:p w14:paraId="54FA4773">
            <w:pPr>
              <w:pStyle w:val="71"/>
              <w:spacing w:before="24" w:after="24"/>
              <w:rPr>
                <w:rFonts w:cs="Times New Roman"/>
              </w:rPr>
            </w:pPr>
            <w:r>
              <w:rPr>
                <w:rFonts w:cs="Times New Roman"/>
              </w:rPr>
              <w:t>0.3mm（室内）</w:t>
            </w:r>
          </w:p>
        </w:tc>
      </w:tr>
      <w:tr w14:paraId="6E722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1206" w:type="dxa"/>
            <w:tcBorders>
              <w:tl2br w:val="nil"/>
              <w:tr2bl w:val="nil"/>
            </w:tcBorders>
            <w:tcMar>
              <w:top w:w="0" w:type="dxa"/>
              <w:left w:w="108" w:type="dxa"/>
              <w:bottom w:w="0" w:type="dxa"/>
              <w:right w:w="108" w:type="dxa"/>
            </w:tcMar>
            <w:vAlign w:val="center"/>
          </w:tcPr>
          <w:p w14:paraId="64AC989A">
            <w:pPr>
              <w:pStyle w:val="71"/>
              <w:spacing w:before="24" w:after="24"/>
              <w:rPr>
                <w:rFonts w:cs="Times New Roman"/>
              </w:rPr>
            </w:pPr>
            <w:r>
              <w:rPr>
                <w:rFonts w:cs="Times New Roman"/>
              </w:rPr>
              <w:t>结构安全等级</w:t>
            </w:r>
          </w:p>
        </w:tc>
        <w:tc>
          <w:tcPr>
            <w:tcW w:w="1434" w:type="dxa"/>
            <w:tcBorders>
              <w:tl2br w:val="nil"/>
              <w:tr2bl w:val="nil"/>
            </w:tcBorders>
            <w:tcMar>
              <w:top w:w="0" w:type="dxa"/>
              <w:left w:w="108" w:type="dxa"/>
              <w:bottom w:w="0" w:type="dxa"/>
              <w:right w:w="108" w:type="dxa"/>
            </w:tcMar>
            <w:vAlign w:val="center"/>
          </w:tcPr>
          <w:p w14:paraId="4C673D76">
            <w:pPr>
              <w:pStyle w:val="71"/>
              <w:spacing w:before="24" w:after="24"/>
              <w:rPr>
                <w:rFonts w:cs="Times New Roman"/>
              </w:rPr>
            </w:pPr>
            <w:r>
              <w:rPr>
                <w:rFonts w:cs="Times New Roman"/>
              </w:rPr>
              <w:t>一级/二级</w:t>
            </w:r>
          </w:p>
        </w:tc>
        <w:tc>
          <w:tcPr>
            <w:tcW w:w="1728" w:type="dxa"/>
            <w:tcBorders>
              <w:tl2br w:val="nil"/>
              <w:tr2bl w:val="nil"/>
            </w:tcBorders>
            <w:tcMar>
              <w:top w:w="0" w:type="dxa"/>
              <w:left w:w="108" w:type="dxa"/>
              <w:bottom w:w="0" w:type="dxa"/>
              <w:right w:w="108" w:type="dxa"/>
            </w:tcMar>
            <w:vAlign w:val="center"/>
          </w:tcPr>
          <w:p w14:paraId="2FADB8D3">
            <w:pPr>
              <w:pStyle w:val="71"/>
              <w:spacing w:before="24" w:after="24"/>
              <w:rPr>
                <w:rFonts w:cs="Times New Roman"/>
              </w:rPr>
            </w:pPr>
            <w:r>
              <w:rPr>
                <w:rFonts w:cs="Times New Roman"/>
              </w:rPr>
              <w:t>设计使用年限</w:t>
            </w:r>
          </w:p>
        </w:tc>
        <w:tc>
          <w:tcPr>
            <w:tcW w:w="1032" w:type="dxa"/>
            <w:tcBorders>
              <w:tl2br w:val="nil"/>
              <w:tr2bl w:val="nil"/>
            </w:tcBorders>
            <w:tcMar>
              <w:top w:w="0" w:type="dxa"/>
              <w:left w:w="108" w:type="dxa"/>
              <w:bottom w:w="0" w:type="dxa"/>
              <w:right w:w="108" w:type="dxa"/>
            </w:tcMar>
            <w:vAlign w:val="center"/>
          </w:tcPr>
          <w:p w14:paraId="36985224">
            <w:pPr>
              <w:pStyle w:val="71"/>
              <w:spacing w:before="24" w:after="24"/>
              <w:rPr>
                <w:rFonts w:cs="Times New Roman"/>
              </w:rPr>
            </w:pPr>
            <w:r>
              <w:rPr>
                <w:rFonts w:cs="Times New Roman"/>
              </w:rPr>
              <w:t>50</w:t>
            </w:r>
          </w:p>
        </w:tc>
        <w:tc>
          <w:tcPr>
            <w:tcW w:w="1824" w:type="dxa"/>
            <w:tcBorders>
              <w:tl2br w:val="nil"/>
              <w:tr2bl w:val="nil"/>
            </w:tcBorders>
            <w:tcMar>
              <w:top w:w="0" w:type="dxa"/>
              <w:left w:w="108" w:type="dxa"/>
              <w:bottom w:w="0" w:type="dxa"/>
              <w:right w:w="108" w:type="dxa"/>
            </w:tcMar>
            <w:vAlign w:val="center"/>
          </w:tcPr>
          <w:p w14:paraId="0C94009B">
            <w:pPr>
              <w:pStyle w:val="71"/>
              <w:spacing w:before="24" w:after="24"/>
              <w:rPr>
                <w:rFonts w:cs="Times New Roman"/>
              </w:rPr>
            </w:pPr>
            <w:r>
              <w:rPr>
                <w:rFonts w:cs="Times New Roman"/>
              </w:rPr>
              <w:t>抗震设防类别</w:t>
            </w:r>
          </w:p>
        </w:tc>
        <w:tc>
          <w:tcPr>
            <w:tcW w:w="2112" w:type="dxa"/>
            <w:tcBorders>
              <w:tl2br w:val="nil"/>
              <w:tr2bl w:val="nil"/>
            </w:tcBorders>
            <w:tcMar>
              <w:top w:w="0" w:type="dxa"/>
              <w:left w:w="108" w:type="dxa"/>
              <w:bottom w:w="0" w:type="dxa"/>
              <w:right w:w="108" w:type="dxa"/>
            </w:tcMar>
            <w:vAlign w:val="center"/>
          </w:tcPr>
          <w:p w14:paraId="24E7DF66">
            <w:pPr>
              <w:pStyle w:val="71"/>
              <w:spacing w:before="24" w:after="24"/>
              <w:rPr>
                <w:rFonts w:cs="Times New Roman"/>
              </w:rPr>
            </w:pPr>
            <w:r>
              <w:rPr>
                <w:rFonts w:cs="Times New Roman"/>
              </w:rPr>
              <w:t>乙类/丙类</w:t>
            </w:r>
          </w:p>
        </w:tc>
      </w:tr>
      <w:tr w14:paraId="5923D1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1206" w:type="dxa"/>
            <w:tcBorders>
              <w:tl2br w:val="nil"/>
              <w:tr2bl w:val="nil"/>
            </w:tcBorders>
            <w:tcMar>
              <w:top w:w="0" w:type="dxa"/>
              <w:left w:w="108" w:type="dxa"/>
              <w:bottom w:w="0" w:type="dxa"/>
              <w:right w:w="108" w:type="dxa"/>
            </w:tcMar>
            <w:vAlign w:val="center"/>
          </w:tcPr>
          <w:p w14:paraId="2BA339AF">
            <w:pPr>
              <w:pStyle w:val="71"/>
              <w:spacing w:before="24" w:after="24"/>
              <w:rPr>
                <w:rFonts w:cs="Times New Roman"/>
              </w:rPr>
            </w:pPr>
            <w:r>
              <w:rPr>
                <w:rFonts w:cs="Times New Roman"/>
              </w:rPr>
              <w:t>嵌固端</w:t>
            </w:r>
          </w:p>
        </w:tc>
        <w:tc>
          <w:tcPr>
            <w:tcW w:w="1434" w:type="dxa"/>
            <w:tcBorders>
              <w:tl2br w:val="nil"/>
              <w:tr2bl w:val="nil"/>
            </w:tcBorders>
            <w:tcMar>
              <w:top w:w="0" w:type="dxa"/>
              <w:left w:w="108" w:type="dxa"/>
              <w:bottom w:w="0" w:type="dxa"/>
              <w:right w:w="108" w:type="dxa"/>
            </w:tcMar>
            <w:vAlign w:val="center"/>
          </w:tcPr>
          <w:p w14:paraId="2FE8C1AC">
            <w:pPr>
              <w:pStyle w:val="71"/>
              <w:spacing w:before="24" w:after="24"/>
              <w:rPr>
                <w:rFonts w:cs="Times New Roman"/>
              </w:rPr>
            </w:pPr>
            <w:r>
              <w:rPr>
                <w:rFonts w:cs="Times New Roman"/>
              </w:rPr>
              <w:t>基础顶或地下室顶板</w:t>
            </w:r>
          </w:p>
        </w:tc>
        <w:tc>
          <w:tcPr>
            <w:tcW w:w="1728" w:type="dxa"/>
            <w:tcBorders>
              <w:tl2br w:val="nil"/>
              <w:tr2bl w:val="nil"/>
            </w:tcBorders>
            <w:tcMar>
              <w:top w:w="0" w:type="dxa"/>
              <w:left w:w="108" w:type="dxa"/>
              <w:bottom w:w="0" w:type="dxa"/>
              <w:right w:w="108" w:type="dxa"/>
            </w:tcMar>
            <w:vAlign w:val="center"/>
          </w:tcPr>
          <w:p w14:paraId="0F5AA7D3">
            <w:pPr>
              <w:pStyle w:val="71"/>
              <w:spacing w:before="24" w:after="24"/>
              <w:rPr>
                <w:rFonts w:cs="Times New Roman"/>
              </w:rPr>
            </w:pPr>
            <w:r>
              <w:rPr>
                <w:rFonts w:cs="Times New Roman"/>
              </w:rPr>
              <w:t>混凝土容重</w:t>
            </w:r>
          </w:p>
        </w:tc>
        <w:tc>
          <w:tcPr>
            <w:tcW w:w="1032" w:type="dxa"/>
            <w:tcBorders>
              <w:tl2br w:val="nil"/>
              <w:tr2bl w:val="nil"/>
            </w:tcBorders>
            <w:tcMar>
              <w:top w:w="0" w:type="dxa"/>
              <w:left w:w="108" w:type="dxa"/>
              <w:bottom w:w="0" w:type="dxa"/>
              <w:right w:w="108" w:type="dxa"/>
            </w:tcMar>
            <w:vAlign w:val="center"/>
          </w:tcPr>
          <w:p w14:paraId="23E4EFF1">
            <w:pPr>
              <w:pStyle w:val="71"/>
              <w:spacing w:before="24" w:after="24"/>
              <w:rPr>
                <w:rFonts w:cs="Times New Roman"/>
              </w:rPr>
            </w:pPr>
            <w:r>
              <w:rPr>
                <w:rFonts w:cs="Times New Roman"/>
              </w:rPr>
              <w:t>25.5kN/m³</w:t>
            </w:r>
          </w:p>
        </w:tc>
        <w:tc>
          <w:tcPr>
            <w:tcW w:w="1824" w:type="dxa"/>
            <w:tcBorders>
              <w:tl2br w:val="nil"/>
              <w:tr2bl w:val="nil"/>
            </w:tcBorders>
            <w:tcMar>
              <w:top w:w="0" w:type="dxa"/>
              <w:left w:w="108" w:type="dxa"/>
              <w:bottom w:w="0" w:type="dxa"/>
              <w:right w:w="108" w:type="dxa"/>
            </w:tcMar>
            <w:vAlign w:val="center"/>
          </w:tcPr>
          <w:p w14:paraId="20D5C36C">
            <w:pPr>
              <w:pStyle w:val="71"/>
              <w:spacing w:before="24" w:after="24"/>
              <w:rPr>
                <w:rFonts w:cs="Times New Roman"/>
              </w:rPr>
            </w:pPr>
            <w:r>
              <w:rPr>
                <w:rFonts w:cs="Times New Roman"/>
              </w:rPr>
              <w:t>结构重要性系数</w:t>
            </w:r>
          </w:p>
        </w:tc>
        <w:tc>
          <w:tcPr>
            <w:tcW w:w="2112" w:type="dxa"/>
            <w:tcBorders>
              <w:tl2br w:val="nil"/>
              <w:tr2bl w:val="nil"/>
            </w:tcBorders>
            <w:tcMar>
              <w:top w:w="0" w:type="dxa"/>
              <w:left w:w="108" w:type="dxa"/>
              <w:bottom w:w="0" w:type="dxa"/>
              <w:right w:w="108" w:type="dxa"/>
            </w:tcMar>
            <w:vAlign w:val="center"/>
          </w:tcPr>
          <w:p w14:paraId="43B6DC07">
            <w:pPr>
              <w:pStyle w:val="71"/>
              <w:spacing w:before="24" w:after="24"/>
              <w:rPr>
                <w:rFonts w:cs="Times New Roman"/>
              </w:rPr>
            </w:pPr>
            <w:r>
              <w:rPr>
                <w:rFonts w:cs="Times New Roman"/>
              </w:rPr>
              <w:t>1.1/1.0</w:t>
            </w:r>
          </w:p>
        </w:tc>
      </w:tr>
      <w:tr w14:paraId="6ABB7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1206" w:type="dxa"/>
            <w:tcBorders>
              <w:tl2br w:val="nil"/>
              <w:tr2bl w:val="nil"/>
            </w:tcBorders>
            <w:tcMar>
              <w:top w:w="0" w:type="dxa"/>
              <w:left w:w="108" w:type="dxa"/>
              <w:bottom w:w="0" w:type="dxa"/>
              <w:right w:w="108" w:type="dxa"/>
            </w:tcMar>
            <w:vAlign w:val="center"/>
          </w:tcPr>
          <w:p w14:paraId="4E2B2CB2">
            <w:pPr>
              <w:pStyle w:val="71"/>
              <w:spacing w:before="24" w:after="24"/>
              <w:rPr>
                <w:rFonts w:cs="Times New Roman"/>
              </w:rPr>
            </w:pPr>
            <w:r>
              <w:rPr>
                <w:rFonts w:cs="Times New Roman"/>
              </w:rPr>
              <w:t>钢筋级别</w:t>
            </w:r>
          </w:p>
        </w:tc>
        <w:tc>
          <w:tcPr>
            <w:tcW w:w="8130" w:type="dxa"/>
            <w:gridSpan w:val="5"/>
            <w:tcBorders>
              <w:tl2br w:val="nil"/>
              <w:tr2bl w:val="nil"/>
            </w:tcBorders>
            <w:tcMar>
              <w:top w:w="0" w:type="dxa"/>
              <w:left w:w="108" w:type="dxa"/>
              <w:bottom w:w="0" w:type="dxa"/>
              <w:right w:w="108" w:type="dxa"/>
            </w:tcMar>
            <w:vAlign w:val="center"/>
          </w:tcPr>
          <w:p w14:paraId="695E8905">
            <w:pPr>
              <w:pStyle w:val="71"/>
              <w:spacing w:before="24" w:after="24"/>
              <w:rPr>
                <w:rFonts w:cs="Times New Roman"/>
              </w:rPr>
            </w:pPr>
            <w:r>
              <w:rPr>
                <w:rFonts w:cs="Times New Roman"/>
              </w:rPr>
              <w:t>HPB300级、HRB400级、HRB500级</w:t>
            </w:r>
          </w:p>
        </w:tc>
      </w:tr>
      <w:tr w14:paraId="1647F2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1206" w:type="dxa"/>
            <w:tcBorders>
              <w:tl2br w:val="nil"/>
              <w:tr2bl w:val="nil"/>
            </w:tcBorders>
            <w:tcMar>
              <w:top w:w="0" w:type="dxa"/>
              <w:left w:w="108" w:type="dxa"/>
              <w:bottom w:w="0" w:type="dxa"/>
              <w:right w:w="108" w:type="dxa"/>
            </w:tcMar>
            <w:vAlign w:val="center"/>
          </w:tcPr>
          <w:p w14:paraId="348F3DA6">
            <w:pPr>
              <w:pStyle w:val="71"/>
              <w:spacing w:before="24" w:after="24"/>
              <w:rPr>
                <w:rFonts w:cs="Times New Roman"/>
              </w:rPr>
            </w:pPr>
            <w:r>
              <w:rPr>
                <w:rFonts w:cs="Times New Roman"/>
              </w:rPr>
              <w:t>钢材</w:t>
            </w:r>
          </w:p>
        </w:tc>
        <w:tc>
          <w:tcPr>
            <w:tcW w:w="8130" w:type="dxa"/>
            <w:gridSpan w:val="5"/>
            <w:tcBorders>
              <w:tl2br w:val="nil"/>
              <w:tr2bl w:val="nil"/>
            </w:tcBorders>
            <w:tcMar>
              <w:top w:w="0" w:type="dxa"/>
              <w:left w:w="108" w:type="dxa"/>
              <w:bottom w:w="0" w:type="dxa"/>
              <w:right w:w="108" w:type="dxa"/>
            </w:tcMar>
            <w:vAlign w:val="center"/>
          </w:tcPr>
          <w:p w14:paraId="763CD1C2">
            <w:pPr>
              <w:pStyle w:val="71"/>
              <w:spacing w:before="24" w:after="24"/>
              <w:rPr>
                <w:rFonts w:cs="Times New Roman"/>
              </w:rPr>
            </w:pPr>
            <w:r>
              <w:rPr>
                <w:rFonts w:cs="Times New Roman"/>
              </w:rPr>
              <w:t>Q235、Q355</w:t>
            </w:r>
          </w:p>
        </w:tc>
      </w:tr>
      <w:tr w14:paraId="715749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1206" w:type="dxa"/>
            <w:tcBorders>
              <w:tl2br w:val="nil"/>
              <w:tr2bl w:val="nil"/>
            </w:tcBorders>
            <w:tcMar>
              <w:top w:w="0" w:type="dxa"/>
              <w:left w:w="108" w:type="dxa"/>
              <w:bottom w:w="0" w:type="dxa"/>
              <w:right w:w="108" w:type="dxa"/>
            </w:tcMar>
            <w:vAlign w:val="center"/>
          </w:tcPr>
          <w:p w14:paraId="61203F70">
            <w:pPr>
              <w:pStyle w:val="71"/>
              <w:spacing w:before="24" w:after="24"/>
              <w:rPr>
                <w:rFonts w:cs="Times New Roman"/>
              </w:rPr>
            </w:pPr>
            <w:r>
              <w:rPr>
                <w:rFonts w:cs="Times New Roman"/>
              </w:rPr>
              <w:t>混凝土等级</w:t>
            </w:r>
          </w:p>
        </w:tc>
        <w:tc>
          <w:tcPr>
            <w:tcW w:w="8130" w:type="dxa"/>
            <w:gridSpan w:val="5"/>
            <w:tcBorders>
              <w:tl2br w:val="nil"/>
              <w:tr2bl w:val="nil"/>
            </w:tcBorders>
            <w:tcMar>
              <w:top w:w="0" w:type="dxa"/>
              <w:left w:w="108" w:type="dxa"/>
              <w:bottom w:w="0" w:type="dxa"/>
              <w:right w:w="108" w:type="dxa"/>
            </w:tcMar>
            <w:vAlign w:val="center"/>
          </w:tcPr>
          <w:p w14:paraId="2D2EA406">
            <w:pPr>
              <w:pStyle w:val="71"/>
              <w:spacing w:before="24" w:after="24"/>
              <w:rPr>
                <w:rFonts w:cs="Times New Roman"/>
              </w:rPr>
            </w:pPr>
            <w:r>
              <w:rPr>
                <w:rFonts w:cs="Times New Roman"/>
              </w:rPr>
              <w:t>C40~C25</w:t>
            </w:r>
          </w:p>
        </w:tc>
      </w:tr>
      <w:tr w14:paraId="611F0A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206" w:type="dxa"/>
            <w:tcBorders>
              <w:tl2br w:val="nil"/>
              <w:tr2bl w:val="nil"/>
            </w:tcBorders>
            <w:tcMar>
              <w:top w:w="0" w:type="dxa"/>
              <w:left w:w="108" w:type="dxa"/>
              <w:bottom w:w="0" w:type="dxa"/>
              <w:right w:w="108" w:type="dxa"/>
            </w:tcMar>
            <w:vAlign w:val="center"/>
          </w:tcPr>
          <w:p w14:paraId="3C9B685F">
            <w:pPr>
              <w:pStyle w:val="71"/>
              <w:spacing w:before="24" w:after="24"/>
              <w:rPr>
                <w:rFonts w:cs="Times New Roman"/>
              </w:rPr>
            </w:pPr>
            <w:r>
              <w:rPr>
                <w:rFonts w:cs="Times New Roman"/>
              </w:rPr>
              <w:t>填充墙</w:t>
            </w:r>
          </w:p>
        </w:tc>
        <w:tc>
          <w:tcPr>
            <w:tcW w:w="8130" w:type="dxa"/>
            <w:gridSpan w:val="5"/>
            <w:tcBorders>
              <w:tl2br w:val="nil"/>
              <w:tr2bl w:val="nil"/>
            </w:tcBorders>
            <w:tcMar>
              <w:top w:w="0" w:type="dxa"/>
              <w:left w:w="108" w:type="dxa"/>
              <w:bottom w:w="0" w:type="dxa"/>
              <w:right w:w="108" w:type="dxa"/>
            </w:tcMar>
            <w:vAlign w:val="center"/>
          </w:tcPr>
          <w:p w14:paraId="30FFD1C4">
            <w:pPr>
              <w:pStyle w:val="71"/>
              <w:spacing w:before="24" w:after="24"/>
              <w:jc w:val="both"/>
              <w:rPr>
                <w:rFonts w:cs="Times New Roman"/>
              </w:rPr>
            </w:pPr>
            <w:r>
              <w:rPr>
                <w:rFonts w:cs="Times New Roman"/>
              </w:rPr>
              <w:t>蒸压加气混凝土砌块、免烧实心砖，输入不得大于10%以上</w:t>
            </w:r>
          </w:p>
        </w:tc>
      </w:tr>
      <w:tr w14:paraId="2261B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1206" w:type="dxa"/>
            <w:tcBorders>
              <w:tl2br w:val="nil"/>
              <w:tr2bl w:val="nil"/>
            </w:tcBorders>
            <w:tcMar>
              <w:top w:w="0" w:type="dxa"/>
              <w:left w:w="108" w:type="dxa"/>
              <w:bottom w:w="0" w:type="dxa"/>
              <w:right w:w="108" w:type="dxa"/>
            </w:tcMar>
            <w:vAlign w:val="center"/>
          </w:tcPr>
          <w:p w14:paraId="7ED315E7">
            <w:pPr>
              <w:pStyle w:val="71"/>
              <w:spacing w:before="24" w:after="24"/>
              <w:rPr>
                <w:rFonts w:cs="Times New Roman"/>
              </w:rPr>
            </w:pPr>
            <w:r>
              <w:rPr>
                <w:rFonts w:cs="Times New Roman"/>
              </w:rPr>
              <w:t>楼面恒载标准值</w:t>
            </w:r>
          </w:p>
        </w:tc>
        <w:tc>
          <w:tcPr>
            <w:tcW w:w="8130" w:type="dxa"/>
            <w:gridSpan w:val="5"/>
            <w:tcBorders>
              <w:tl2br w:val="nil"/>
              <w:tr2bl w:val="nil"/>
            </w:tcBorders>
            <w:tcMar>
              <w:top w:w="0" w:type="dxa"/>
              <w:left w:w="108" w:type="dxa"/>
              <w:bottom w:w="0" w:type="dxa"/>
              <w:right w:w="108" w:type="dxa"/>
            </w:tcMar>
            <w:vAlign w:val="center"/>
          </w:tcPr>
          <w:p w14:paraId="02FC414C">
            <w:pPr>
              <w:pStyle w:val="71"/>
              <w:spacing w:before="24" w:after="24"/>
              <w:jc w:val="both"/>
              <w:rPr>
                <w:rFonts w:cs="Times New Roman"/>
              </w:rPr>
            </w:pPr>
            <w:r>
              <w:rPr>
                <w:rFonts w:cs="Times New Roman"/>
              </w:rPr>
              <w:t>非结构层（包括找平层、结合层、面层及板底抹灰）：1.5kN/m²</w:t>
            </w:r>
          </w:p>
        </w:tc>
      </w:tr>
      <w:tr w14:paraId="2CB42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1206" w:type="dxa"/>
            <w:tcBorders>
              <w:tl2br w:val="nil"/>
              <w:tr2bl w:val="nil"/>
            </w:tcBorders>
            <w:tcMar>
              <w:top w:w="0" w:type="dxa"/>
              <w:left w:w="108" w:type="dxa"/>
              <w:bottom w:w="0" w:type="dxa"/>
              <w:right w:w="108" w:type="dxa"/>
            </w:tcMar>
            <w:vAlign w:val="center"/>
          </w:tcPr>
          <w:p w14:paraId="1996FE0C">
            <w:pPr>
              <w:pStyle w:val="71"/>
              <w:spacing w:before="24" w:after="24"/>
              <w:rPr>
                <w:rFonts w:cs="Times New Roman"/>
              </w:rPr>
            </w:pPr>
            <w:r>
              <w:rPr>
                <w:rFonts w:cs="Times New Roman"/>
              </w:rPr>
              <w:t>屋面恒载标准值</w:t>
            </w:r>
          </w:p>
        </w:tc>
        <w:tc>
          <w:tcPr>
            <w:tcW w:w="8130" w:type="dxa"/>
            <w:gridSpan w:val="5"/>
            <w:tcBorders>
              <w:tl2br w:val="nil"/>
              <w:tr2bl w:val="nil"/>
            </w:tcBorders>
            <w:tcMar>
              <w:top w:w="0" w:type="dxa"/>
              <w:left w:w="108" w:type="dxa"/>
              <w:bottom w:w="0" w:type="dxa"/>
              <w:right w:w="108" w:type="dxa"/>
            </w:tcMar>
            <w:vAlign w:val="center"/>
          </w:tcPr>
          <w:p w14:paraId="509CDC17">
            <w:pPr>
              <w:pStyle w:val="71"/>
              <w:spacing w:before="24" w:after="24"/>
              <w:jc w:val="both"/>
              <w:rPr>
                <w:rFonts w:cs="Times New Roman"/>
              </w:rPr>
            </w:pPr>
            <w:r>
              <w:rPr>
                <w:rFonts w:cs="Times New Roman"/>
              </w:rPr>
              <w:t>上人屋面：4.0kN/m²、非上人屋面：3.5kN/m²（包括防水层、找坡层、结合层、面层及板底抹灰）</w:t>
            </w:r>
          </w:p>
        </w:tc>
      </w:tr>
      <w:tr w14:paraId="6A44C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1206" w:type="dxa"/>
            <w:tcBorders>
              <w:tl2br w:val="nil"/>
              <w:tr2bl w:val="nil"/>
            </w:tcBorders>
            <w:tcMar>
              <w:top w:w="0" w:type="dxa"/>
              <w:left w:w="108" w:type="dxa"/>
              <w:bottom w:w="0" w:type="dxa"/>
              <w:right w:w="108" w:type="dxa"/>
            </w:tcMar>
            <w:vAlign w:val="center"/>
          </w:tcPr>
          <w:p w14:paraId="1755B96D">
            <w:pPr>
              <w:pStyle w:val="71"/>
              <w:spacing w:before="24" w:after="24"/>
              <w:rPr>
                <w:rFonts w:cs="Times New Roman"/>
              </w:rPr>
            </w:pPr>
            <w:r>
              <w:rPr>
                <w:rFonts w:cs="Times New Roman"/>
              </w:rPr>
              <w:t>楼面活载标准值</w:t>
            </w:r>
          </w:p>
        </w:tc>
        <w:tc>
          <w:tcPr>
            <w:tcW w:w="8130" w:type="dxa"/>
            <w:gridSpan w:val="5"/>
            <w:tcBorders>
              <w:tl2br w:val="nil"/>
              <w:tr2bl w:val="nil"/>
            </w:tcBorders>
            <w:tcMar>
              <w:top w:w="0" w:type="dxa"/>
              <w:left w:w="108" w:type="dxa"/>
              <w:bottom w:w="0" w:type="dxa"/>
              <w:right w:w="108" w:type="dxa"/>
            </w:tcMar>
            <w:vAlign w:val="center"/>
          </w:tcPr>
          <w:p w14:paraId="4EB75500">
            <w:pPr>
              <w:pStyle w:val="71"/>
              <w:spacing w:before="24" w:after="24"/>
              <w:jc w:val="both"/>
              <w:rPr>
                <w:rFonts w:cs="Times New Roman"/>
              </w:rPr>
            </w:pPr>
            <w:r>
              <w:rPr>
                <w:rFonts w:cs="Times New Roman"/>
              </w:rPr>
              <w:t>活荷载按照《工程结构通用规范》（GB 55001-2021）取值，并按4.2.4、4.2.5条对楼面梁、墙、柱及基础进行荷载折减</w:t>
            </w:r>
          </w:p>
        </w:tc>
      </w:tr>
      <w:tr w14:paraId="1E0910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1206" w:type="dxa"/>
            <w:tcBorders>
              <w:tl2br w:val="nil"/>
              <w:tr2bl w:val="nil"/>
            </w:tcBorders>
            <w:tcMar>
              <w:top w:w="0" w:type="dxa"/>
              <w:left w:w="108" w:type="dxa"/>
              <w:bottom w:w="0" w:type="dxa"/>
              <w:right w:w="108" w:type="dxa"/>
            </w:tcMar>
            <w:vAlign w:val="center"/>
          </w:tcPr>
          <w:p w14:paraId="6BDFE355">
            <w:pPr>
              <w:pStyle w:val="71"/>
              <w:spacing w:before="24" w:after="24"/>
              <w:rPr>
                <w:rFonts w:cs="Times New Roman"/>
              </w:rPr>
            </w:pPr>
            <w:r>
              <w:rPr>
                <w:rFonts w:cs="Times New Roman"/>
              </w:rPr>
              <w:t>阻尼比</w:t>
            </w:r>
          </w:p>
        </w:tc>
        <w:tc>
          <w:tcPr>
            <w:tcW w:w="8130" w:type="dxa"/>
            <w:gridSpan w:val="5"/>
            <w:tcBorders>
              <w:tl2br w:val="nil"/>
              <w:tr2bl w:val="nil"/>
            </w:tcBorders>
            <w:tcMar>
              <w:top w:w="0" w:type="dxa"/>
              <w:left w:w="108" w:type="dxa"/>
              <w:bottom w:w="0" w:type="dxa"/>
              <w:right w:w="108" w:type="dxa"/>
            </w:tcMar>
            <w:vAlign w:val="center"/>
          </w:tcPr>
          <w:p w14:paraId="07212806">
            <w:pPr>
              <w:pStyle w:val="71"/>
              <w:spacing w:before="24" w:after="24"/>
              <w:jc w:val="both"/>
              <w:rPr>
                <w:rFonts w:cs="Times New Roman"/>
              </w:rPr>
            </w:pPr>
            <w:r>
              <w:rPr>
                <w:rFonts w:cs="Times New Roman"/>
              </w:rPr>
              <w:t>钢筋混凝土结构为0.05</w:t>
            </w:r>
          </w:p>
        </w:tc>
      </w:tr>
      <w:tr w14:paraId="2EF57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5" w:hRule="atLeast"/>
        </w:trPr>
        <w:tc>
          <w:tcPr>
            <w:tcW w:w="1206" w:type="dxa"/>
            <w:tcBorders>
              <w:tl2br w:val="nil"/>
              <w:tr2bl w:val="nil"/>
            </w:tcBorders>
            <w:tcMar>
              <w:top w:w="0" w:type="dxa"/>
              <w:left w:w="108" w:type="dxa"/>
              <w:bottom w:w="0" w:type="dxa"/>
              <w:right w:w="108" w:type="dxa"/>
            </w:tcMar>
            <w:vAlign w:val="center"/>
          </w:tcPr>
          <w:p w14:paraId="5CC219B5">
            <w:pPr>
              <w:pStyle w:val="71"/>
              <w:spacing w:before="24" w:after="24"/>
              <w:rPr>
                <w:rFonts w:cs="Times New Roman"/>
              </w:rPr>
            </w:pPr>
            <w:r>
              <w:rPr>
                <w:rFonts w:cs="Times New Roman"/>
              </w:rPr>
              <w:t>有效质量系数</w:t>
            </w:r>
          </w:p>
        </w:tc>
        <w:tc>
          <w:tcPr>
            <w:tcW w:w="8130" w:type="dxa"/>
            <w:gridSpan w:val="5"/>
            <w:tcBorders>
              <w:tl2br w:val="nil"/>
              <w:tr2bl w:val="nil"/>
            </w:tcBorders>
            <w:tcMar>
              <w:top w:w="0" w:type="dxa"/>
              <w:left w:w="108" w:type="dxa"/>
              <w:bottom w:w="0" w:type="dxa"/>
              <w:right w:w="108" w:type="dxa"/>
            </w:tcMar>
            <w:vAlign w:val="center"/>
          </w:tcPr>
          <w:p w14:paraId="1D610B26">
            <w:pPr>
              <w:pStyle w:val="71"/>
              <w:spacing w:before="24" w:after="24"/>
              <w:jc w:val="both"/>
              <w:rPr>
                <w:rFonts w:cs="Times New Roman"/>
              </w:rPr>
            </w:pPr>
            <w:r>
              <w:rPr>
                <w:rFonts w:cs="Times New Roman"/>
              </w:rPr>
              <w:t>振型参与质量不小于总质量的（有效质量系数）90%</w:t>
            </w:r>
          </w:p>
        </w:tc>
      </w:tr>
      <w:tr w14:paraId="5789A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1206" w:type="dxa"/>
            <w:tcBorders>
              <w:tl2br w:val="nil"/>
              <w:tr2bl w:val="nil"/>
            </w:tcBorders>
            <w:tcMar>
              <w:top w:w="0" w:type="dxa"/>
              <w:left w:w="108" w:type="dxa"/>
              <w:bottom w:w="0" w:type="dxa"/>
              <w:right w:w="108" w:type="dxa"/>
            </w:tcMar>
            <w:vAlign w:val="center"/>
          </w:tcPr>
          <w:p w14:paraId="19903340">
            <w:pPr>
              <w:pStyle w:val="71"/>
              <w:spacing w:before="24" w:after="24"/>
              <w:rPr>
                <w:rFonts w:cs="Times New Roman"/>
              </w:rPr>
            </w:pPr>
            <w:r>
              <w:rPr>
                <w:rFonts w:cs="Times New Roman"/>
              </w:rPr>
              <w:t>楼层最大位移比</w:t>
            </w:r>
          </w:p>
        </w:tc>
        <w:tc>
          <w:tcPr>
            <w:tcW w:w="8130" w:type="dxa"/>
            <w:gridSpan w:val="5"/>
            <w:tcBorders>
              <w:tl2br w:val="nil"/>
              <w:tr2bl w:val="nil"/>
            </w:tcBorders>
            <w:tcMar>
              <w:top w:w="0" w:type="dxa"/>
              <w:left w:w="108" w:type="dxa"/>
              <w:bottom w:w="0" w:type="dxa"/>
              <w:right w:w="108" w:type="dxa"/>
            </w:tcMar>
            <w:vAlign w:val="center"/>
          </w:tcPr>
          <w:p w14:paraId="4C0ADB3E">
            <w:pPr>
              <w:pStyle w:val="71"/>
              <w:spacing w:before="24" w:after="24"/>
              <w:jc w:val="both"/>
              <w:rPr>
                <w:rFonts w:cs="Times New Roman"/>
              </w:rPr>
            </w:pPr>
            <w:r>
              <w:rPr>
                <w:rFonts w:cs="Times New Roman"/>
              </w:rPr>
              <w:t>在考虑偶然偏心影响的规定水平地震力作用下，楼层竖向构件最大的水平位移和层间位移不宜大于该楼层平均值的1.2倍，不应大于该楼层平均值的1.5倍</w:t>
            </w:r>
          </w:p>
        </w:tc>
      </w:tr>
    </w:tbl>
    <w:p w14:paraId="57DE1207">
      <w:pPr>
        <w:spacing w:before="24" w:after="24"/>
        <w:rPr>
          <w:rFonts w:ascii="Times New Roman" w:hAnsi="Times New Roman" w:cs="Times New Roman"/>
        </w:rPr>
      </w:pPr>
      <w:r>
        <w:rPr>
          <w:rFonts w:ascii="Times New Roman" w:hAnsi="Times New Roman" w:cs="Times New Roman"/>
        </w:rPr>
        <w:br w:type="page"/>
      </w:r>
    </w:p>
    <w:p w14:paraId="7D666DFB">
      <w:pPr>
        <w:pStyle w:val="54"/>
        <w:spacing w:before="24" w:after="24"/>
      </w:pPr>
      <w:r>
        <w:t>3.8.2 各单体结构总体技术指标控制表</w:t>
      </w:r>
    </w:p>
    <w:tbl>
      <w:tblPr>
        <w:tblStyle w:val="31"/>
        <w:tblW w:w="9423" w:type="dxa"/>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90"/>
        <w:gridCol w:w="2763"/>
        <w:gridCol w:w="1887"/>
        <w:gridCol w:w="823"/>
        <w:gridCol w:w="1000"/>
        <w:gridCol w:w="1022"/>
        <w:gridCol w:w="1438"/>
      </w:tblGrid>
      <w:tr w14:paraId="347F9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0" w:hRule="atLeast"/>
          <w:tblHeader/>
        </w:trPr>
        <w:tc>
          <w:tcPr>
            <w:tcW w:w="490" w:type="dxa"/>
            <w:tcBorders>
              <w:tl2br w:val="nil"/>
              <w:tr2bl w:val="nil"/>
            </w:tcBorders>
            <w:tcMar>
              <w:top w:w="0" w:type="dxa"/>
              <w:left w:w="108" w:type="dxa"/>
              <w:bottom w:w="0" w:type="dxa"/>
              <w:right w:w="108" w:type="dxa"/>
            </w:tcMar>
            <w:vAlign w:val="center"/>
          </w:tcPr>
          <w:p w14:paraId="5D963569">
            <w:pPr>
              <w:pStyle w:val="71"/>
              <w:spacing w:before="24" w:after="24"/>
              <w:rPr>
                <w:rFonts w:cs="Times New Roman"/>
              </w:rPr>
            </w:pPr>
            <w:r>
              <w:rPr>
                <w:rFonts w:cs="Times New Roman"/>
              </w:rPr>
              <w:t>序号</w:t>
            </w:r>
          </w:p>
        </w:tc>
        <w:tc>
          <w:tcPr>
            <w:tcW w:w="2763" w:type="dxa"/>
            <w:tcBorders>
              <w:tl2br w:val="nil"/>
              <w:tr2bl w:val="nil"/>
            </w:tcBorders>
            <w:tcMar>
              <w:top w:w="0" w:type="dxa"/>
              <w:left w:w="108" w:type="dxa"/>
              <w:bottom w:w="0" w:type="dxa"/>
              <w:right w:w="108" w:type="dxa"/>
            </w:tcMar>
            <w:vAlign w:val="center"/>
          </w:tcPr>
          <w:p w14:paraId="668BE777">
            <w:pPr>
              <w:pStyle w:val="71"/>
              <w:spacing w:before="24" w:after="24"/>
              <w:rPr>
                <w:rFonts w:cs="Times New Roman"/>
              </w:rPr>
            </w:pPr>
            <w:r>
              <w:rPr>
                <w:rFonts w:cs="Times New Roman"/>
              </w:rPr>
              <w:t>项目名称</w:t>
            </w:r>
          </w:p>
        </w:tc>
        <w:tc>
          <w:tcPr>
            <w:tcW w:w="1887" w:type="dxa"/>
            <w:tcBorders>
              <w:tl2br w:val="nil"/>
              <w:tr2bl w:val="nil"/>
            </w:tcBorders>
            <w:tcMar>
              <w:top w:w="0" w:type="dxa"/>
              <w:left w:w="108" w:type="dxa"/>
              <w:bottom w:w="0" w:type="dxa"/>
              <w:right w:w="108" w:type="dxa"/>
            </w:tcMar>
            <w:vAlign w:val="center"/>
          </w:tcPr>
          <w:p w14:paraId="203BB6C5">
            <w:pPr>
              <w:pStyle w:val="71"/>
              <w:spacing w:before="24" w:after="24"/>
              <w:rPr>
                <w:rFonts w:cs="Times New Roman"/>
              </w:rPr>
            </w:pPr>
            <w:r>
              <w:rPr>
                <w:rFonts w:cs="Times New Roman"/>
              </w:rPr>
              <w:t>子项名称</w:t>
            </w:r>
          </w:p>
        </w:tc>
        <w:tc>
          <w:tcPr>
            <w:tcW w:w="823" w:type="dxa"/>
            <w:tcBorders>
              <w:tl2br w:val="nil"/>
              <w:tr2bl w:val="nil"/>
            </w:tcBorders>
            <w:tcMar>
              <w:top w:w="0" w:type="dxa"/>
              <w:left w:w="108" w:type="dxa"/>
              <w:bottom w:w="0" w:type="dxa"/>
              <w:right w:w="108" w:type="dxa"/>
            </w:tcMar>
            <w:vAlign w:val="center"/>
          </w:tcPr>
          <w:p w14:paraId="2DDF64AE">
            <w:pPr>
              <w:pStyle w:val="71"/>
              <w:spacing w:before="24" w:after="24"/>
              <w:rPr>
                <w:rFonts w:cs="Times New Roman"/>
              </w:rPr>
            </w:pPr>
            <w:r>
              <w:rPr>
                <w:rFonts w:cs="Times New Roman"/>
              </w:rPr>
              <w:t>建筑层数</w:t>
            </w:r>
          </w:p>
        </w:tc>
        <w:tc>
          <w:tcPr>
            <w:tcW w:w="1000" w:type="dxa"/>
            <w:tcBorders>
              <w:tl2br w:val="nil"/>
              <w:tr2bl w:val="nil"/>
            </w:tcBorders>
            <w:tcMar>
              <w:top w:w="0" w:type="dxa"/>
              <w:left w:w="108" w:type="dxa"/>
              <w:bottom w:w="0" w:type="dxa"/>
              <w:right w:w="108" w:type="dxa"/>
            </w:tcMar>
            <w:vAlign w:val="center"/>
          </w:tcPr>
          <w:p w14:paraId="6E263B21">
            <w:pPr>
              <w:pStyle w:val="71"/>
              <w:spacing w:before="24" w:after="24"/>
              <w:rPr>
                <w:rFonts w:cs="Times New Roman"/>
              </w:rPr>
            </w:pPr>
            <w:r>
              <w:rPr>
                <w:rFonts w:cs="Times New Roman"/>
              </w:rPr>
              <w:t>抗震设</w:t>
            </w:r>
          </w:p>
          <w:p w14:paraId="4BB74B9C">
            <w:pPr>
              <w:pStyle w:val="71"/>
              <w:spacing w:before="24" w:after="24"/>
              <w:rPr>
                <w:rFonts w:cs="Times New Roman"/>
              </w:rPr>
            </w:pPr>
            <w:r>
              <w:rPr>
                <w:rFonts w:cs="Times New Roman"/>
              </w:rPr>
              <w:t>防类别</w:t>
            </w:r>
          </w:p>
        </w:tc>
        <w:tc>
          <w:tcPr>
            <w:tcW w:w="1022" w:type="dxa"/>
            <w:tcBorders>
              <w:tl2br w:val="nil"/>
              <w:tr2bl w:val="nil"/>
            </w:tcBorders>
            <w:tcMar>
              <w:top w:w="0" w:type="dxa"/>
              <w:left w:w="108" w:type="dxa"/>
              <w:bottom w:w="0" w:type="dxa"/>
              <w:right w:w="108" w:type="dxa"/>
            </w:tcMar>
            <w:vAlign w:val="center"/>
          </w:tcPr>
          <w:p w14:paraId="51DC8BCB">
            <w:pPr>
              <w:pStyle w:val="71"/>
              <w:spacing w:before="24" w:after="24"/>
              <w:rPr>
                <w:rFonts w:cs="Times New Roman"/>
              </w:rPr>
            </w:pPr>
            <w:r>
              <w:rPr>
                <w:rFonts w:cs="Times New Roman"/>
              </w:rPr>
              <w:t>结构形式</w:t>
            </w:r>
          </w:p>
        </w:tc>
        <w:tc>
          <w:tcPr>
            <w:tcW w:w="1438" w:type="dxa"/>
            <w:tcBorders>
              <w:tl2br w:val="nil"/>
              <w:tr2bl w:val="nil"/>
            </w:tcBorders>
            <w:tcMar>
              <w:top w:w="0" w:type="dxa"/>
              <w:left w:w="108" w:type="dxa"/>
              <w:bottom w:w="0" w:type="dxa"/>
              <w:right w:w="108" w:type="dxa"/>
            </w:tcMar>
            <w:vAlign w:val="center"/>
          </w:tcPr>
          <w:p w14:paraId="14EBC8B6">
            <w:pPr>
              <w:pStyle w:val="71"/>
              <w:spacing w:before="24" w:after="24"/>
              <w:rPr>
                <w:rFonts w:cs="Times New Roman"/>
              </w:rPr>
            </w:pPr>
            <w:r>
              <w:rPr>
                <w:rFonts w:cs="Times New Roman"/>
              </w:rPr>
              <w:t>基础形式</w:t>
            </w:r>
          </w:p>
        </w:tc>
      </w:tr>
      <w:tr w14:paraId="626DA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restart"/>
            <w:tcBorders>
              <w:tl2br w:val="nil"/>
              <w:tr2bl w:val="nil"/>
            </w:tcBorders>
            <w:tcMar>
              <w:top w:w="0" w:type="dxa"/>
              <w:left w:w="108" w:type="dxa"/>
              <w:bottom w:w="0" w:type="dxa"/>
              <w:right w:w="108" w:type="dxa"/>
            </w:tcMar>
            <w:vAlign w:val="center"/>
          </w:tcPr>
          <w:p w14:paraId="1E1F64A3">
            <w:pPr>
              <w:pStyle w:val="71"/>
              <w:numPr>
                <w:ilvl w:val="0"/>
                <w:numId w:val="1"/>
              </w:numPr>
              <w:spacing w:before="24" w:after="24"/>
              <w:rPr>
                <w:rFonts w:cs="Times New Roman"/>
              </w:rPr>
            </w:pPr>
          </w:p>
        </w:tc>
        <w:tc>
          <w:tcPr>
            <w:tcW w:w="2763" w:type="dxa"/>
            <w:vMerge w:val="restart"/>
            <w:tcBorders>
              <w:tl2br w:val="nil"/>
              <w:tr2bl w:val="nil"/>
            </w:tcBorders>
            <w:tcMar>
              <w:top w:w="0" w:type="dxa"/>
              <w:left w:w="108" w:type="dxa"/>
              <w:bottom w:w="0" w:type="dxa"/>
              <w:right w:w="108" w:type="dxa"/>
            </w:tcMar>
            <w:vAlign w:val="center"/>
          </w:tcPr>
          <w:p w14:paraId="35647DAF">
            <w:pPr>
              <w:pStyle w:val="71"/>
              <w:spacing w:before="24" w:after="24"/>
              <w:jc w:val="both"/>
              <w:rPr>
                <w:rFonts w:cs="Times New Roman"/>
              </w:rPr>
            </w:pPr>
            <w:r>
              <w:rPr>
                <w:rFonts w:cs="Times New Roman"/>
              </w:rPr>
              <w:t>德钦新县城中学建设项目（二期）</w:t>
            </w:r>
          </w:p>
        </w:tc>
        <w:tc>
          <w:tcPr>
            <w:tcW w:w="1887" w:type="dxa"/>
            <w:tcBorders>
              <w:tl2br w:val="nil"/>
              <w:tr2bl w:val="nil"/>
            </w:tcBorders>
            <w:tcMar>
              <w:top w:w="0" w:type="dxa"/>
              <w:left w:w="108" w:type="dxa"/>
              <w:bottom w:w="0" w:type="dxa"/>
              <w:right w:w="108" w:type="dxa"/>
            </w:tcMar>
            <w:vAlign w:val="center"/>
          </w:tcPr>
          <w:p w14:paraId="6B366C74">
            <w:pPr>
              <w:pStyle w:val="71"/>
              <w:spacing w:before="24" w:after="24"/>
              <w:rPr>
                <w:rFonts w:cs="Times New Roman"/>
              </w:rPr>
            </w:pPr>
            <w:r>
              <w:rPr>
                <w:rFonts w:cs="Times New Roman"/>
              </w:rPr>
              <w:t>高中教学楼</w:t>
            </w:r>
          </w:p>
        </w:tc>
        <w:tc>
          <w:tcPr>
            <w:tcW w:w="823" w:type="dxa"/>
            <w:tcBorders>
              <w:tl2br w:val="nil"/>
              <w:tr2bl w:val="nil"/>
            </w:tcBorders>
            <w:tcMar>
              <w:top w:w="0" w:type="dxa"/>
              <w:left w:w="108" w:type="dxa"/>
              <w:bottom w:w="0" w:type="dxa"/>
              <w:right w:w="108" w:type="dxa"/>
            </w:tcMar>
            <w:vAlign w:val="center"/>
          </w:tcPr>
          <w:p w14:paraId="21EB7BBA">
            <w:pPr>
              <w:pStyle w:val="71"/>
              <w:spacing w:before="24" w:after="24"/>
              <w:rPr>
                <w:rFonts w:cs="Times New Roman"/>
              </w:rPr>
            </w:pPr>
            <w:r>
              <w:rPr>
                <w:rFonts w:cs="Times New Roman"/>
              </w:rPr>
              <w:t>5</w:t>
            </w:r>
          </w:p>
        </w:tc>
        <w:tc>
          <w:tcPr>
            <w:tcW w:w="1000" w:type="dxa"/>
            <w:tcBorders>
              <w:tl2br w:val="nil"/>
              <w:tr2bl w:val="nil"/>
            </w:tcBorders>
            <w:tcMar>
              <w:top w:w="0" w:type="dxa"/>
              <w:left w:w="108" w:type="dxa"/>
              <w:bottom w:w="0" w:type="dxa"/>
              <w:right w:w="108" w:type="dxa"/>
            </w:tcMar>
            <w:vAlign w:val="center"/>
          </w:tcPr>
          <w:p w14:paraId="61F66376">
            <w:pPr>
              <w:pStyle w:val="71"/>
              <w:spacing w:before="24" w:after="24"/>
              <w:rPr>
                <w:rFonts w:cs="Times New Roman"/>
              </w:rPr>
            </w:pPr>
            <w:r>
              <w:rPr>
                <w:rFonts w:cs="Times New Roman"/>
              </w:rPr>
              <w:t>乙类</w:t>
            </w:r>
          </w:p>
        </w:tc>
        <w:tc>
          <w:tcPr>
            <w:tcW w:w="1022" w:type="dxa"/>
            <w:tcBorders>
              <w:tl2br w:val="nil"/>
              <w:tr2bl w:val="nil"/>
            </w:tcBorders>
            <w:tcMar>
              <w:top w:w="0" w:type="dxa"/>
              <w:left w:w="108" w:type="dxa"/>
              <w:bottom w:w="0" w:type="dxa"/>
              <w:right w:w="108" w:type="dxa"/>
            </w:tcMar>
            <w:vAlign w:val="center"/>
          </w:tcPr>
          <w:p w14:paraId="44529E5A">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3091BF88">
            <w:pPr>
              <w:pStyle w:val="71"/>
              <w:spacing w:before="24" w:after="24"/>
              <w:rPr>
                <w:rFonts w:cs="Times New Roman"/>
              </w:rPr>
            </w:pPr>
            <w:r>
              <w:rPr>
                <w:rFonts w:cs="Times New Roman"/>
              </w:rPr>
              <w:t>浅基、桩基</w:t>
            </w:r>
          </w:p>
        </w:tc>
      </w:tr>
      <w:tr w14:paraId="0FD48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490" w:type="dxa"/>
            <w:vMerge w:val="continue"/>
            <w:tcBorders>
              <w:tl2br w:val="nil"/>
              <w:tr2bl w:val="nil"/>
            </w:tcBorders>
            <w:tcMar>
              <w:top w:w="0" w:type="dxa"/>
              <w:left w:w="108" w:type="dxa"/>
              <w:bottom w:w="0" w:type="dxa"/>
              <w:right w:w="108" w:type="dxa"/>
            </w:tcMar>
            <w:vAlign w:val="center"/>
          </w:tcPr>
          <w:p w14:paraId="22AA4512">
            <w:pPr>
              <w:pStyle w:val="71"/>
              <w:spacing w:before="24" w:after="24"/>
              <w:rPr>
                <w:rFonts w:cs="Times New Roman"/>
              </w:rPr>
            </w:pPr>
          </w:p>
        </w:tc>
        <w:tc>
          <w:tcPr>
            <w:tcW w:w="2763" w:type="dxa"/>
            <w:vMerge w:val="continue"/>
            <w:tcBorders>
              <w:tl2br w:val="nil"/>
              <w:tr2bl w:val="nil"/>
            </w:tcBorders>
            <w:tcMar>
              <w:top w:w="0" w:type="dxa"/>
              <w:left w:w="108" w:type="dxa"/>
              <w:bottom w:w="0" w:type="dxa"/>
              <w:right w:w="108" w:type="dxa"/>
            </w:tcMar>
            <w:vAlign w:val="center"/>
          </w:tcPr>
          <w:p w14:paraId="79287A62">
            <w:pPr>
              <w:pStyle w:val="71"/>
              <w:spacing w:before="24" w:after="24"/>
              <w:jc w:val="both"/>
              <w:rPr>
                <w:rFonts w:cs="Times New Roman"/>
              </w:rPr>
            </w:pPr>
          </w:p>
        </w:tc>
        <w:tc>
          <w:tcPr>
            <w:tcW w:w="1887" w:type="dxa"/>
            <w:tcBorders>
              <w:tl2br w:val="nil"/>
              <w:tr2bl w:val="nil"/>
            </w:tcBorders>
            <w:tcMar>
              <w:top w:w="0" w:type="dxa"/>
              <w:left w:w="108" w:type="dxa"/>
              <w:bottom w:w="0" w:type="dxa"/>
              <w:right w:w="108" w:type="dxa"/>
            </w:tcMar>
            <w:vAlign w:val="center"/>
          </w:tcPr>
          <w:p w14:paraId="20EC004F">
            <w:pPr>
              <w:pStyle w:val="71"/>
              <w:spacing w:before="24" w:after="24"/>
              <w:rPr>
                <w:rFonts w:cs="Times New Roman"/>
              </w:rPr>
            </w:pPr>
            <w:r>
              <w:rPr>
                <w:rFonts w:cs="Times New Roman"/>
              </w:rPr>
              <w:t>高中宿舍楼</w:t>
            </w:r>
          </w:p>
        </w:tc>
        <w:tc>
          <w:tcPr>
            <w:tcW w:w="823" w:type="dxa"/>
            <w:tcBorders>
              <w:tl2br w:val="nil"/>
              <w:tr2bl w:val="nil"/>
            </w:tcBorders>
            <w:tcMar>
              <w:top w:w="0" w:type="dxa"/>
              <w:left w:w="108" w:type="dxa"/>
              <w:bottom w:w="0" w:type="dxa"/>
              <w:right w:w="108" w:type="dxa"/>
            </w:tcMar>
            <w:vAlign w:val="center"/>
          </w:tcPr>
          <w:p w14:paraId="18D4902C">
            <w:pPr>
              <w:pStyle w:val="71"/>
              <w:spacing w:before="24" w:after="24"/>
              <w:rPr>
                <w:rFonts w:cs="Times New Roman"/>
              </w:rPr>
            </w:pPr>
            <w:r>
              <w:rPr>
                <w:rFonts w:cs="Times New Roman"/>
              </w:rPr>
              <w:t>3</w:t>
            </w:r>
          </w:p>
        </w:tc>
        <w:tc>
          <w:tcPr>
            <w:tcW w:w="1000" w:type="dxa"/>
            <w:tcBorders>
              <w:tl2br w:val="nil"/>
              <w:tr2bl w:val="nil"/>
            </w:tcBorders>
            <w:tcMar>
              <w:top w:w="0" w:type="dxa"/>
              <w:left w:w="108" w:type="dxa"/>
              <w:bottom w:w="0" w:type="dxa"/>
              <w:right w:w="108" w:type="dxa"/>
            </w:tcMar>
            <w:vAlign w:val="center"/>
          </w:tcPr>
          <w:p w14:paraId="2DABA7AD">
            <w:pPr>
              <w:pStyle w:val="71"/>
              <w:spacing w:before="24" w:after="24"/>
              <w:rPr>
                <w:rFonts w:cs="Times New Roman"/>
              </w:rPr>
            </w:pPr>
            <w:r>
              <w:rPr>
                <w:rFonts w:cs="Times New Roman"/>
              </w:rPr>
              <w:t>乙类</w:t>
            </w:r>
          </w:p>
        </w:tc>
        <w:tc>
          <w:tcPr>
            <w:tcW w:w="1022" w:type="dxa"/>
            <w:tcBorders>
              <w:tl2br w:val="nil"/>
              <w:tr2bl w:val="nil"/>
            </w:tcBorders>
            <w:tcMar>
              <w:top w:w="0" w:type="dxa"/>
              <w:left w:w="108" w:type="dxa"/>
              <w:bottom w:w="0" w:type="dxa"/>
              <w:right w:w="108" w:type="dxa"/>
            </w:tcMar>
            <w:vAlign w:val="center"/>
          </w:tcPr>
          <w:p w14:paraId="2D4C5A76">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653726B3">
            <w:pPr>
              <w:pStyle w:val="71"/>
              <w:spacing w:before="24" w:after="24"/>
              <w:rPr>
                <w:rFonts w:cs="Times New Roman"/>
              </w:rPr>
            </w:pPr>
            <w:r>
              <w:rPr>
                <w:rFonts w:cs="Times New Roman"/>
              </w:rPr>
              <w:t>浅基、桩基</w:t>
            </w:r>
          </w:p>
        </w:tc>
      </w:tr>
      <w:tr w14:paraId="35C707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490" w:type="dxa"/>
            <w:vMerge w:val="continue"/>
            <w:tcBorders>
              <w:tl2br w:val="nil"/>
              <w:tr2bl w:val="nil"/>
            </w:tcBorders>
            <w:tcMar>
              <w:top w:w="0" w:type="dxa"/>
              <w:left w:w="108" w:type="dxa"/>
              <w:bottom w:w="0" w:type="dxa"/>
              <w:right w:w="108" w:type="dxa"/>
            </w:tcMar>
            <w:vAlign w:val="center"/>
          </w:tcPr>
          <w:p w14:paraId="6723D52E">
            <w:pPr>
              <w:pStyle w:val="71"/>
              <w:spacing w:before="24" w:after="24"/>
              <w:rPr>
                <w:rFonts w:cs="Times New Roman"/>
              </w:rPr>
            </w:pPr>
          </w:p>
        </w:tc>
        <w:tc>
          <w:tcPr>
            <w:tcW w:w="2763" w:type="dxa"/>
            <w:vMerge w:val="continue"/>
            <w:tcBorders>
              <w:tl2br w:val="nil"/>
              <w:tr2bl w:val="nil"/>
            </w:tcBorders>
            <w:tcMar>
              <w:top w:w="0" w:type="dxa"/>
              <w:left w:w="108" w:type="dxa"/>
              <w:bottom w:w="0" w:type="dxa"/>
              <w:right w:w="108" w:type="dxa"/>
            </w:tcMar>
            <w:vAlign w:val="center"/>
          </w:tcPr>
          <w:p w14:paraId="64B622FF">
            <w:pPr>
              <w:pStyle w:val="71"/>
              <w:spacing w:before="24" w:after="24"/>
              <w:jc w:val="both"/>
              <w:rPr>
                <w:rFonts w:cs="Times New Roman"/>
              </w:rPr>
            </w:pPr>
          </w:p>
        </w:tc>
        <w:tc>
          <w:tcPr>
            <w:tcW w:w="1887" w:type="dxa"/>
            <w:tcBorders>
              <w:tl2br w:val="nil"/>
              <w:tr2bl w:val="nil"/>
            </w:tcBorders>
            <w:tcMar>
              <w:top w:w="0" w:type="dxa"/>
              <w:left w:w="108" w:type="dxa"/>
              <w:bottom w:w="0" w:type="dxa"/>
              <w:right w:w="108" w:type="dxa"/>
            </w:tcMar>
            <w:vAlign w:val="center"/>
          </w:tcPr>
          <w:p w14:paraId="3A696FF2">
            <w:pPr>
              <w:pStyle w:val="71"/>
              <w:spacing w:before="24" w:after="24"/>
              <w:rPr>
                <w:rFonts w:cs="Times New Roman"/>
              </w:rPr>
            </w:pPr>
            <w:r>
              <w:rPr>
                <w:rFonts w:cs="Times New Roman"/>
              </w:rPr>
              <w:t>风雨换场和合班教室及人防</w:t>
            </w:r>
          </w:p>
        </w:tc>
        <w:tc>
          <w:tcPr>
            <w:tcW w:w="823" w:type="dxa"/>
            <w:tcBorders>
              <w:tl2br w:val="nil"/>
              <w:tr2bl w:val="nil"/>
            </w:tcBorders>
            <w:tcMar>
              <w:top w:w="0" w:type="dxa"/>
              <w:left w:w="108" w:type="dxa"/>
              <w:bottom w:w="0" w:type="dxa"/>
              <w:right w:w="108" w:type="dxa"/>
            </w:tcMar>
            <w:vAlign w:val="center"/>
          </w:tcPr>
          <w:p w14:paraId="79F8728C">
            <w:pPr>
              <w:pStyle w:val="71"/>
              <w:spacing w:before="24" w:after="24"/>
              <w:rPr>
                <w:rFonts w:cs="Times New Roman"/>
              </w:rPr>
            </w:pPr>
            <w:r>
              <w:rPr>
                <w:rFonts w:cs="Times New Roman"/>
              </w:rPr>
              <w:t>2/1D</w:t>
            </w:r>
          </w:p>
        </w:tc>
        <w:tc>
          <w:tcPr>
            <w:tcW w:w="1000" w:type="dxa"/>
            <w:tcBorders>
              <w:tl2br w:val="nil"/>
              <w:tr2bl w:val="nil"/>
            </w:tcBorders>
            <w:tcMar>
              <w:top w:w="0" w:type="dxa"/>
              <w:left w:w="108" w:type="dxa"/>
              <w:bottom w:w="0" w:type="dxa"/>
              <w:right w:w="108" w:type="dxa"/>
            </w:tcMar>
            <w:vAlign w:val="center"/>
          </w:tcPr>
          <w:p w14:paraId="4B4F6AAE">
            <w:pPr>
              <w:pStyle w:val="71"/>
              <w:spacing w:before="24" w:after="24"/>
              <w:rPr>
                <w:rFonts w:cs="Times New Roman"/>
              </w:rPr>
            </w:pPr>
            <w:r>
              <w:rPr>
                <w:rFonts w:cs="Times New Roman"/>
              </w:rPr>
              <w:t>乙类</w:t>
            </w:r>
          </w:p>
        </w:tc>
        <w:tc>
          <w:tcPr>
            <w:tcW w:w="1022" w:type="dxa"/>
            <w:tcBorders>
              <w:tl2br w:val="nil"/>
              <w:tr2bl w:val="nil"/>
            </w:tcBorders>
            <w:tcMar>
              <w:top w:w="0" w:type="dxa"/>
              <w:left w:w="108" w:type="dxa"/>
              <w:bottom w:w="0" w:type="dxa"/>
              <w:right w:w="108" w:type="dxa"/>
            </w:tcMar>
            <w:vAlign w:val="center"/>
          </w:tcPr>
          <w:p w14:paraId="40BC7EEF">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1A5E7BFB">
            <w:pPr>
              <w:pStyle w:val="71"/>
              <w:spacing w:before="24" w:after="24"/>
              <w:rPr>
                <w:rFonts w:cs="Times New Roman"/>
              </w:rPr>
            </w:pPr>
            <w:r>
              <w:rPr>
                <w:rFonts w:cs="Times New Roman"/>
              </w:rPr>
              <w:t>独基、筏板、桩基</w:t>
            </w:r>
          </w:p>
        </w:tc>
      </w:tr>
      <w:tr w14:paraId="7893E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490" w:type="dxa"/>
            <w:vMerge w:val="continue"/>
            <w:tcBorders>
              <w:tl2br w:val="nil"/>
              <w:tr2bl w:val="nil"/>
            </w:tcBorders>
            <w:tcMar>
              <w:top w:w="0" w:type="dxa"/>
              <w:left w:w="108" w:type="dxa"/>
              <w:bottom w:w="0" w:type="dxa"/>
              <w:right w:w="108" w:type="dxa"/>
            </w:tcMar>
            <w:vAlign w:val="center"/>
          </w:tcPr>
          <w:p w14:paraId="2F86F9D8">
            <w:pPr>
              <w:pStyle w:val="71"/>
              <w:spacing w:before="24" w:after="24"/>
              <w:rPr>
                <w:rFonts w:cs="Times New Roman"/>
              </w:rPr>
            </w:pPr>
          </w:p>
        </w:tc>
        <w:tc>
          <w:tcPr>
            <w:tcW w:w="2763" w:type="dxa"/>
            <w:vMerge w:val="continue"/>
            <w:tcBorders>
              <w:tl2br w:val="nil"/>
              <w:tr2bl w:val="nil"/>
            </w:tcBorders>
            <w:tcMar>
              <w:top w:w="0" w:type="dxa"/>
              <w:left w:w="108" w:type="dxa"/>
              <w:bottom w:w="0" w:type="dxa"/>
              <w:right w:w="108" w:type="dxa"/>
            </w:tcMar>
            <w:vAlign w:val="center"/>
          </w:tcPr>
          <w:p w14:paraId="682B8D89">
            <w:pPr>
              <w:pStyle w:val="71"/>
              <w:spacing w:before="24" w:after="24"/>
              <w:jc w:val="both"/>
              <w:rPr>
                <w:rFonts w:cs="Times New Roman"/>
              </w:rPr>
            </w:pPr>
          </w:p>
        </w:tc>
        <w:tc>
          <w:tcPr>
            <w:tcW w:w="1887" w:type="dxa"/>
            <w:tcBorders>
              <w:tl2br w:val="nil"/>
              <w:tr2bl w:val="nil"/>
            </w:tcBorders>
            <w:tcMar>
              <w:top w:w="0" w:type="dxa"/>
              <w:left w:w="108" w:type="dxa"/>
              <w:bottom w:w="0" w:type="dxa"/>
              <w:right w:w="108" w:type="dxa"/>
            </w:tcMar>
            <w:vAlign w:val="center"/>
          </w:tcPr>
          <w:p w14:paraId="69E1B834">
            <w:pPr>
              <w:pStyle w:val="71"/>
              <w:spacing w:before="24" w:after="24"/>
              <w:rPr>
                <w:rFonts w:cs="Times New Roman"/>
              </w:rPr>
            </w:pPr>
            <w:r>
              <w:rPr>
                <w:rFonts w:cs="Times New Roman"/>
              </w:rPr>
              <w:t>地下车库</w:t>
            </w:r>
          </w:p>
        </w:tc>
        <w:tc>
          <w:tcPr>
            <w:tcW w:w="823" w:type="dxa"/>
            <w:tcBorders>
              <w:tl2br w:val="nil"/>
              <w:tr2bl w:val="nil"/>
            </w:tcBorders>
            <w:tcMar>
              <w:top w:w="0" w:type="dxa"/>
              <w:left w:w="108" w:type="dxa"/>
              <w:bottom w:w="0" w:type="dxa"/>
              <w:right w:w="108" w:type="dxa"/>
            </w:tcMar>
            <w:vAlign w:val="center"/>
          </w:tcPr>
          <w:p w14:paraId="13649143">
            <w:pPr>
              <w:pStyle w:val="71"/>
              <w:spacing w:before="24" w:after="24"/>
              <w:rPr>
                <w:rFonts w:cs="Times New Roman"/>
              </w:rPr>
            </w:pPr>
            <w:r>
              <w:rPr>
                <w:rFonts w:cs="Times New Roman"/>
              </w:rPr>
              <w:t>1D</w:t>
            </w:r>
          </w:p>
        </w:tc>
        <w:tc>
          <w:tcPr>
            <w:tcW w:w="1000" w:type="dxa"/>
            <w:tcBorders>
              <w:tl2br w:val="nil"/>
              <w:tr2bl w:val="nil"/>
            </w:tcBorders>
            <w:tcMar>
              <w:top w:w="0" w:type="dxa"/>
              <w:left w:w="108" w:type="dxa"/>
              <w:bottom w:w="0" w:type="dxa"/>
              <w:right w:w="108" w:type="dxa"/>
            </w:tcMar>
            <w:vAlign w:val="center"/>
          </w:tcPr>
          <w:p w14:paraId="1425802C">
            <w:pPr>
              <w:pStyle w:val="71"/>
              <w:spacing w:before="24" w:after="24"/>
              <w:rPr>
                <w:rFonts w:cs="Times New Roman"/>
              </w:rPr>
            </w:pPr>
            <w:r>
              <w:rPr>
                <w:rFonts w:cs="Times New Roman"/>
              </w:rPr>
              <w:t>乙类</w:t>
            </w:r>
          </w:p>
        </w:tc>
        <w:tc>
          <w:tcPr>
            <w:tcW w:w="1022" w:type="dxa"/>
            <w:tcBorders>
              <w:tl2br w:val="nil"/>
              <w:tr2bl w:val="nil"/>
            </w:tcBorders>
            <w:tcMar>
              <w:top w:w="0" w:type="dxa"/>
              <w:left w:w="108" w:type="dxa"/>
              <w:bottom w:w="0" w:type="dxa"/>
              <w:right w:w="108" w:type="dxa"/>
            </w:tcMar>
            <w:vAlign w:val="center"/>
          </w:tcPr>
          <w:p w14:paraId="7DB2E0BC">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52649ACF">
            <w:pPr>
              <w:pStyle w:val="71"/>
              <w:spacing w:before="24" w:after="24"/>
              <w:rPr>
                <w:rFonts w:cs="Times New Roman"/>
              </w:rPr>
            </w:pPr>
            <w:r>
              <w:rPr>
                <w:rFonts w:cs="Times New Roman"/>
              </w:rPr>
              <w:t>浅基、桩基</w:t>
            </w:r>
          </w:p>
        </w:tc>
      </w:tr>
      <w:tr w14:paraId="6E03C9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continue"/>
            <w:tcBorders>
              <w:tl2br w:val="nil"/>
              <w:tr2bl w:val="nil"/>
            </w:tcBorders>
            <w:tcMar>
              <w:top w:w="0" w:type="dxa"/>
              <w:left w:w="108" w:type="dxa"/>
              <w:bottom w:w="0" w:type="dxa"/>
              <w:right w:w="108" w:type="dxa"/>
            </w:tcMar>
            <w:vAlign w:val="center"/>
          </w:tcPr>
          <w:p w14:paraId="5C901E3B">
            <w:pPr>
              <w:pStyle w:val="71"/>
              <w:spacing w:before="24" w:after="24"/>
              <w:rPr>
                <w:rFonts w:cs="Times New Roman"/>
              </w:rPr>
            </w:pPr>
          </w:p>
        </w:tc>
        <w:tc>
          <w:tcPr>
            <w:tcW w:w="2763" w:type="dxa"/>
            <w:vMerge w:val="continue"/>
            <w:tcBorders>
              <w:tl2br w:val="nil"/>
              <w:tr2bl w:val="nil"/>
            </w:tcBorders>
            <w:tcMar>
              <w:top w:w="0" w:type="dxa"/>
              <w:left w:w="108" w:type="dxa"/>
              <w:bottom w:w="0" w:type="dxa"/>
              <w:right w:w="108" w:type="dxa"/>
            </w:tcMar>
            <w:vAlign w:val="center"/>
          </w:tcPr>
          <w:p w14:paraId="1FE4A4C3">
            <w:pPr>
              <w:pStyle w:val="71"/>
              <w:spacing w:before="24" w:after="24"/>
              <w:jc w:val="both"/>
              <w:rPr>
                <w:rFonts w:cs="Times New Roman"/>
              </w:rPr>
            </w:pPr>
          </w:p>
        </w:tc>
        <w:tc>
          <w:tcPr>
            <w:tcW w:w="1887" w:type="dxa"/>
            <w:tcBorders>
              <w:tl2br w:val="nil"/>
              <w:tr2bl w:val="nil"/>
            </w:tcBorders>
            <w:tcMar>
              <w:top w:w="0" w:type="dxa"/>
              <w:left w:w="108" w:type="dxa"/>
              <w:bottom w:w="0" w:type="dxa"/>
              <w:right w:w="108" w:type="dxa"/>
            </w:tcMar>
            <w:vAlign w:val="center"/>
          </w:tcPr>
          <w:p w14:paraId="219192D3">
            <w:pPr>
              <w:pStyle w:val="71"/>
              <w:spacing w:before="24" w:after="24"/>
              <w:rPr>
                <w:rFonts w:cs="Times New Roman"/>
              </w:rPr>
            </w:pPr>
            <w:r>
              <w:rPr>
                <w:rFonts w:cs="Times New Roman"/>
              </w:rPr>
              <w:t>卫生间</w:t>
            </w:r>
          </w:p>
        </w:tc>
        <w:tc>
          <w:tcPr>
            <w:tcW w:w="823" w:type="dxa"/>
            <w:tcBorders>
              <w:tl2br w:val="nil"/>
              <w:tr2bl w:val="nil"/>
            </w:tcBorders>
            <w:tcMar>
              <w:top w:w="0" w:type="dxa"/>
              <w:left w:w="108" w:type="dxa"/>
              <w:bottom w:w="0" w:type="dxa"/>
              <w:right w:w="108" w:type="dxa"/>
            </w:tcMar>
            <w:vAlign w:val="center"/>
          </w:tcPr>
          <w:p w14:paraId="68BA7527">
            <w:pPr>
              <w:pStyle w:val="71"/>
              <w:spacing w:before="24" w:after="24"/>
              <w:rPr>
                <w:rFonts w:cs="Times New Roman"/>
              </w:rPr>
            </w:pPr>
            <w:r>
              <w:rPr>
                <w:rFonts w:cs="Times New Roman"/>
              </w:rPr>
              <w:t>1</w:t>
            </w:r>
          </w:p>
        </w:tc>
        <w:tc>
          <w:tcPr>
            <w:tcW w:w="1000" w:type="dxa"/>
            <w:tcBorders>
              <w:tl2br w:val="nil"/>
              <w:tr2bl w:val="nil"/>
            </w:tcBorders>
            <w:tcMar>
              <w:top w:w="0" w:type="dxa"/>
              <w:left w:w="108" w:type="dxa"/>
              <w:bottom w:w="0" w:type="dxa"/>
              <w:right w:w="108" w:type="dxa"/>
            </w:tcMar>
            <w:vAlign w:val="center"/>
          </w:tcPr>
          <w:p w14:paraId="542D4477">
            <w:pPr>
              <w:pStyle w:val="71"/>
              <w:spacing w:before="24" w:after="24"/>
              <w:rPr>
                <w:rFonts w:cs="Times New Roman"/>
              </w:rPr>
            </w:pPr>
            <w:r>
              <w:rPr>
                <w:rFonts w:cs="Times New Roman"/>
              </w:rPr>
              <w:t>乙类</w:t>
            </w:r>
          </w:p>
        </w:tc>
        <w:tc>
          <w:tcPr>
            <w:tcW w:w="1022" w:type="dxa"/>
            <w:tcBorders>
              <w:tl2br w:val="nil"/>
              <w:tr2bl w:val="nil"/>
            </w:tcBorders>
            <w:tcMar>
              <w:top w:w="0" w:type="dxa"/>
              <w:left w:w="108" w:type="dxa"/>
              <w:bottom w:w="0" w:type="dxa"/>
              <w:right w:w="108" w:type="dxa"/>
            </w:tcMar>
            <w:vAlign w:val="center"/>
          </w:tcPr>
          <w:p w14:paraId="67A86743">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428E73F8">
            <w:pPr>
              <w:pStyle w:val="71"/>
              <w:spacing w:before="24" w:after="24"/>
              <w:rPr>
                <w:rFonts w:cs="Times New Roman"/>
              </w:rPr>
            </w:pPr>
            <w:r>
              <w:rPr>
                <w:rFonts w:cs="Times New Roman"/>
              </w:rPr>
              <w:t>浅基、桩基</w:t>
            </w:r>
          </w:p>
        </w:tc>
      </w:tr>
      <w:tr w14:paraId="7AA97B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continue"/>
            <w:tcBorders>
              <w:tl2br w:val="nil"/>
              <w:tr2bl w:val="nil"/>
            </w:tcBorders>
            <w:tcMar>
              <w:top w:w="0" w:type="dxa"/>
              <w:left w:w="108" w:type="dxa"/>
              <w:bottom w:w="0" w:type="dxa"/>
              <w:right w:w="108" w:type="dxa"/>
            </w:tcMar>
            <w:vAlign w:val="center"/>
          </w:tcPr>
          <w:p w14:paraId="2264C64F">
            <w:pPr>
              <w:pStyle w:val="71"/>
              <w:spacing w:before="24" w:after="24"/>
              <w:rPr>
                <w:rFonts w:cs="Times New Roman"/>
              </w:rPr>
            </w:pPr>
          </w:p>
        </w:tc>
        <w:tc>
          <w:tcPr>
            <w:tcW w:w="2763" w:type="dxa"/>
            <w:vMerge w:val="continue"/>
            <w:tcBorders>
              <w:tl2br w:val="nil"/>
              <w:tr2bl w:val="nil"/>
            </w:tcBorders>
            <w:tcMar>
              <w:top w:w="0" w:type="dxa"/>
              <w:left w:w="108" w:type="dxa"/>
              <w:bottom w:w="0" w:type="dxa"/>
              <w:right w:w="108" w:type="dxa"/>
            </w:tcMar>
            <w:vAlign w:val="center"/>
          </w:tcPr>
          <w:p w14:paraId="0F188B0F">
            <w:pPr>
              <w:pStyle w:val="71"/>
              <w:spacing w:before="24" w:after="24"/>
              <w:jc w:val="both"/>
              <w:rPr>
                <w:rFonts w:cs="Times New Roman"/>
              </w:rPr>
            </w:pPr>
          </w:p>
        </w:tc>
        <w:tc>
          <w:tcPr>
            <w:tcW w:w="1887" w:type="dxa"/>
            <w:tcBorders>
              <w:tl2br w:val="nil"/>
              <w:tr2bl w:val="nil"/>
            </w:tcBorders>
            <w:tcMar>
              <w:top w:w="0" w:type="dxa"/>
              <w:left w:w="108" w:type="dxa"/>
              <w:bottom w:w="0" w:type="dxa"/>
              <w:right w:w="108" w:type="dxa"/>
            </w:tcMar>
            <w:vAlign w:val="center"/>
          </w:tcPr>
          <w:p w14:paraId="3B9B876E">
            <w:pPr>
              <w:pStyle w:val="71"/>
              <w:spacing w:before="24" w:after="24"/>
              <w:rPr>
                <w:rFonts w:cs="Times New Roman"/>
              </w:rPr>
            </w:pPr>
            <w:r>
              <w:rPr>
                <w:rFonts w:cs="Times New Roman"/>
              </w:rPr>
              <w:t>辅助用房</w:t>
            </w:r>
          </w:p>
        </w:tc>
        <w:tc>
          <w:tcPr>
            <w:tcW w:w="823" w:type="dxa"/>
            <w:tcBorders>
              <w:tl2br w:val="nil"/>
              <w:tr2bl w:val="nil"/>
            </w:tcBorders>
            <w:tcMar>
              <w:top w:w="0" w:type="dxa"/>
              <w:left w:w="108" w:type="dxa"/>
              <w:bottom w:w="0" w:type="dxa"/>
              <w:right w:w="108" w:type="dxa"/>
            </w:tcMar>
            <w:vAlign w:val="center"/>
          </w:tcPr>
          <w:p w14:paraId="58A75DA7">
            <w:pPr>
              <w:pStyle w:val="71"/>
              <w:spacing w:before="24" w:after="24"/>
              <w:rPr>
                <w:rFonts w:cs="Times New Roman"/>
              </w:rPr>
            </w:pPr>
            <w:r>
              <w:rPr>
                <w:rFonts w:cs="Times New Roman"/>
              </w:rPr>
              <w:t>1</w:t>
            </w:r>
          </w:p>
        </w:tc>
        <w:tc>
          <w:tcPr>
            <w:tcW w:w="1000" w:type="dxa"/>
            <w:tcBorders>
              <w:tl2br w:val="nil"/>
              <w:tr2bl w:val="nil"/>
            </w:tcBorders>
            <w:tcMar>
              <w:top w:w="0" w:type="dxa"/>
              <w:left w:w="108" w:type="dxa"/>
              <w:bottom w:w="0" w:type="dxa"/>
              <w:right w:w="108" w:type="dxa"/>
            </w:tcMar>
            <w:vAlign w:val="center"/>
          </w:tcPr>
          <w:p w14:paraId="27C0AF94">
            <w:pPr>
              <w:pStyle w:val="71"/>
              <w:spacing w:before="24" w:after="24"/>
              <w:rPr>
                <w:rFonts w:cs="Times New Roman"/>
              </w:rPr>
            </w:pPr>
            <w:r>
              <w:rPr>
                <w:rFonts w:cs="Times New Roman"/>
              </w:rPr>
              <w:t>乙类</w:t>
            </w:r>
          </w:p>
        </w:tc>
        <w:tc>
          <w:tcPr>
            <w:tcW w:w="1022" w:type="dxa"/>
            <w:tcBorders>
              <w:tl2br w:val="nil"/>
              <w:tr2bl w:val="nil"/>
            </w:tcBorders>
            <w:tcMar>
              <w:top w:w="0" w:type="dxa"/>
              <w:left w:w="108" w:type="dxa"/>
              <w:bottom w:w="0" w:type="dxa"/>
              <w:right w:w="108" w:type="dxa"/>
            </w:tcMar>
            <w:vAlign w:val="center"/>
          </w:tcPr>
          <w:p w14:paraId="261C876D">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2F841F17">
            <w:pPr>
              <w:pStyle w:val="71"/>
              <w:spacing w:before="24" w:after="24"/>
              <w:rPr>
                <w:rFonts w:cs="Times New Roman"/>
              </w:rPr>
            </w:pPr>
            <w:r>
              <w:rPr>
                <w:rFonts w:cs="Times New Roman"/>
              </w:rPr>
              <w:t>浅基、桩基</w:t>
            </w:r>
          </w:p>
        </w:tc>
      </w:tr>
      <w:tr w14:paraId="0ACED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restart"/>
            <w:tcBorders>
              <w:tl2br w:val="nil"/>
              <w:tr2bl w:val="nil"/>
            </w:tcBorders>
            <w:tcMar>
              <w:top w:w="0" w:type="dxa"/>
              <w:left w:w="108" w:type="dxa"/>
              <w:bottom w:w="0" w:type="dxa"/>
              <w:right w:w="108" w:type="dxa"/>
            </w:tcMar>
            <w:vAlign w:val="center"/>
          </w:tcPr>
          <w:p w14:paraId="52F624B8">
            <w:pPr>
              <w:pStyle w:val="71"/>
              <w:numPr>
                <w:ilvl w:val="0"/>
                <w:numId w:val="1"/>
              </w:numPr>
              <w:spacing w:before="24" w:after="24"/>
              <w:rPr>
                <w:rFonts w:cs="Times New Roman"/>
              </w:rPr>
            </w:pPr>
          </w:p>
        </w:tc>
        <w:tc>
          <w:tcPr>
            <w:tcW w:w="2763" w:type="dxa"/>
            <w:vMerge w:val="restart"/>
            <w:tcBorders>
              <w:tl2br w:val="nil"/>
              <w:tr2bl w:val="nil"/>
            </w:tcBorders>
            <w:tcMar>
              <w:top w:w="0" w:type="dxa"/>
              <w:left w:w="108" w:type="dxa"/>
              <w:bottom w:w="0" w:type="dxa"/>
              <w:right w:w="108" w:type="dxa"/>
            </w:tcMar>
            <w:vAlign w:val="center"/>
          </w:tcPr>
          <w:p w14:paraId="47EB85C7">
            <w:pPr>
              <w:pStyle w:val="71"/>
              <w:spacing w:before="24" w:after="24"/>
              <w:jc w:val="both"/>
              <w:rPr>
                <w:rFonts w:cs="Times New Roman"/>
              </w:rPr>
            </w:pPr>
            <w:r>
              <w:rPr>
                <w:rFonts w:cs="Times New Roman"/>
              </w:rPr>
              <w:t>德钦新县城叶枝15分钟综合服务中心建设项目</w:t>
            </w:r>
          </w:p>
        </w:tc>
        <w:tc>
          <w:tcPr>
            <w:tcW w:w="1887" w:type="dxa"/>
            <w:tcBorders>
              <w:tl2br w:val="nil"/>
              <w:tr2bl w:val="nil"/>
            </w:tcBorders>
            <w:tcMar>
              <w:top w:w="0" w:type="dxa"/>
              <w:left w:w="108" w:type="dxa"/>
              <w:bottom w:w="0" w:type="dxa"/>
              <w:right w:w="108" w:type="dxa"/>
            </w:tcMar>
            <w:vAlign w:val="center"/>
          </w:tcPr>
          <w:p w14:paraId="31780274">
            <w:pPr>
              <w:pStyle w:val="71"/>
              <w:spacing w:before="24" w:after="24"/>
              <w:rPr>
                <w:rFonts w:cs="Times New Roman"/>
              </w:rPr>
            </w:pPr>
            <w:r>
              <w:rPr>
                <w:rFonts w:cs="Times New Roman"/>
              </w:rPr>
              <w:t>1#楼</w:t>
            </w:r>
          </w:p>
        </w:tc>
        <w:tc>
          <w:tcPr>
            <w:tcW w:w="823" w:type="dxa"/>
            <w:tcBorders>
              <w:tl2br w:val="nil"/>
              <w:tr2bl w:val="nil"/>
            </w:tcBorders>
            <w:tcMar>
              <w:top w:w="0" w:type="dxa"/>
              <w:left w:w="108" w:type="dxa"/>
              <w:bottom w:w="0" w:type="dxa"/>
              <w:right w:w="108" w:type="dxa"/>
            </w:tcMar>
            <w:vAlign w:val="center"/>
          </w:tcPr>
          <w:p w14:paraId="6402E9D7">
            <w:pPr>
              <w:pStyle w:val="71"/>
              <w:spacing w:before="24" w:after="24"/>
              <w:rPr>
                <w:rFonts w:cs="Times New Roman"/>
              </w:rPr>
            </w:pPr>
            <w:r>
              <w:rPr>
                <w:rFonts w:cs="Times New Roman"/>
              </w:rPr>
              <w:t>4</w:t>
            </w:r>
          </w:p>
        </w:tc>
        <w:tc>
          <w:tcPr>
            <w:tcW w:w="1000" w:type="dxa"/>
            <w:tcBorders>
              <w:tl2br w:val="nil"/>
              <w:tr2bl w:val="nil"/>
            </w:tcBorders>
            <w:tcMar>
              <w:top w:w="0" w:type="dxa"/>
              <w:left w:w="108" w:type="dxa"/>
              <w:bottom w:w="0" w:type="dxa"/>
              <w:right w:w="108" w:type="dxa"/>
            </w:tcMar>
            <w:vAlign w:val="center"/>
          </w:tcPr>
          <w:p w14:paraId="5ED1C4CE">
            <w:pPr>
              <w:pStyle w:val="71"/>
              <w:spacing w:before="24" w:after="24"/>
              <w:rPr>
                <w:rFonts w:cs="Times New Roman"/>
              </w:rPr>
            </w:pPr>
            <w:r>
              <w:rPr>
                <w:rFonts w:cs="Times New Roman"/>
              </w:rPr>
              <w:t>丙类</w:t>
            </w:r>
          </w:p>
        </w:tc>
        <w:tc>
          <w:tcPr>
            <w:tcW w:w="1022" w:type="dxa"/>
            <w:tcBorders>
              <w:tl2br w:val="nil"/>
              <w:tr2bl w:val="nil"/>
            </w:tcBorders>
            <w:tcMar>
              <w:top w:w="0" w:type="dxa"/>
              <w:left w:w="108" w:type="dxa"/>
              <w:bottom w:w="0" w:type="dxa"/>
              <w:right w:w="108" w:type="dxa"/>
            </w:tcMar>
            <w:vAlign w:val="center"/>
          </w:tcPr>
          <w:p w14:paraId="3077FBA9">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05FE60A8">
            <w:pPr>
              <w:pStyle w:val="71"/>
              <w:spacing w:before="24" w:after="24"/>
              <w:rPr>
                <w:rFonts w:cs="Times New Roman"/>
              </w:rPr>
            </w:pPr>
            <w:r>
              <w:rPr>
                <w:rFonts w:cs="Times New Roman"/>
              </w:rPr>
              <w:t>浅基、桩基</w:t>
            </w:r>
          </w:p>
        </w:tc>
      </w:tr>
      <w:tr w14:paraId="65511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continue"/>
            <w:tcBorders>
              <w:tl2br w:val="nil"/>
              <w:tr2bl w:val="nil"/>
            </w:tcBorders>
            <w:tcMar>
              <w:top w:w="0" w:type="dxa"/>
              <w:left w:w="108" w:type="dxa"/>
              <w:bottom w:w="0" w:type="dxa"/>
              <w:right w:w="108" w:type="dxa"/>
            </w:tcMar>
            <w:vAlign w:val="center"/>
          </w:tcPr>
          <w:p w14:paraId="3BA1AB88">
            <w:pPr>
              <w:pStyle w:val="71"/>
              <w:numPr>
                <w:ilvl w:val="0"/>
                <w:numId w:val="1"/>
              </w:numPr>
              <w:spacing w:before="24" w:after="24"/>
              <w:rPr>
                <w:rFonts w:cs="Times New Roman"/>
              </w:rPr>
            </w:pPr>
          </w:p>
        </w:tc>
        <w:tc>
          <w:tcPr>
            <w:tcW w:w="2763" w:type="dxa"/>
            <w:vMerge w:val="continue"/>
            <w:tcBorders>
              <w:tl2br w:val="nil"/>
              <w:tr2bl w:val="nil"/>
            </w:tcBorders>
            <w:tcMar>
              <w:top w:w="0" w:type="dxa"/>
              <w:left w:w="108" w:type="dxa"/>
              <w:bottom w:w="0" w:type="dxa"/>
              <w:right w:w="108" w:type="dxa"/>
            </w:tcMar>
            <w:vAlign w:val="center"/>
          </w:tcPr>
          <w:p w14:paraId="443E64BC">
            <w:pPr>
              <w:pStyle w:val="71"/>
              <w:spacing w:before="24" w:after="24"/>
              <w:jc w:val="both"/>
              <w:rPr>
                <w:rFonts w:cs="Times New Roman"/>
              </w:rPr>
            </w:pPr>
          </w:p>
        </w:tc>
        <w:tc>
          <w:tcPr>
            <w:tcW w:w="1887" w:type="dxa"/>
            <w:tcBorders>
              <w:tl2br w:val="nil"/>
              <w:tr2bl w:val="nil"/>
            </w:tcBorders>
            <w:tcMar>
              <w:top w:w="0" w:type="dxa"/>
              <w:left w:w="108" w:type="dxa"/>
              <w:bottom w:w="0" w:type="dxa"/>
              <w:right w:w="108" w:type="dxa"/>
            </w:tcMar>
            <w:vAlign w:val="center"/>
          </w:tcPr>
          <w:p w14:paraId="28AB6274">
            <w:pPr>
              <w:pStyle w:val="71"/>
              <w:spacing w:before="24" w:after="24"/>
              <w:rPr>
                <w:rFonts w:cs="Times New Roman"/>
              </w:rPr>
            </w:pPr>
            <w:r>
              <w:rPr>
                <w:rFonts w:cs="Times New Roman"/>
              </w:rPr>
              <w:t>2#楼</w:t>
            </w:r>
          </w:p>
        </w:tc>
        <w:tc>
          <w:tcPr>
            <w:tcW w:w="823" w:type="dxa"/>
            <w:tcBorders>
              <w:tl2br w:val="nil"/>
              <w:tr2bl w:val="nil"/>
            </w:tcBorders>
            <w:tcMar>
              <w:top w:w="0" w:type="dxa"/>
              <w:left w:w="108" w:type="dxa"/>
              <w:bottom w:w="0" w:type="dxa"/>
              <w:right w:w="108" w:type="dxa"/>
            </w:tcMar>
            <w:vAlign w:val="center"/>
          </w:tcPr>
          <w:p w14:paraId="51ECD408">
            <w:pPr>
              <w:pStyle w:val="71"/>
              <w:spacing w:before="24" w:after="24"/>
              <w:rPr>
                <w:rFonts w:cs="Times New Roman"/>
              </w:rPr>
            </w:pPr>
            <w:r>
              <w:rPr>
                <w:rFonts w:cs="Times New Roman"/>
              </w:rPr>
              <w:t>3</w:t>
            </w:r>
          </w:p>
        </w:tc>
        <w:tc>
          <w:tcPr>
            <w:tcW w:w="1000" w:type="dxa"/>
            <w:tcBorders>
              <w:tl2br w:val="nil"/>
              <w:tr2bl w:val="nil"/>
            </w:tcBorders>
            <w:tcMar>
              <w:top w:w="0" w:type="dxa"/>
              <w:left w:w="108" w:type="dxa"/>
              <w:bottom w:w="0" w:type="dxa"/>
              <w:right w:w="108" w:type="dxa"/>
            </w:tcMar>
            <w:vAlign w:val="center"/>
          </w:tcPr>
          <w:p w14:paraId="058F1339">
            <w:pPr>
              <w:pStyle w:val="71"/>
              <w:spacing w:before="24" w:after="24"/>
              <w:rPr>
                <w:rFonts w:cs="Times New Roman"/>
              </w:rPr>
            </w:pPr>
            <w:r>
              <w:rPr>
                <w:rFonts w:cs="Times New Roman"/>
              </w:rPr>
              <w:t>丙类</w:t>
            </w:r>
          </w:p>
        </w:tc>
        <w:tc>
          <w:tcPr>
            <w:tcW w:w="1022" w:type="dxa"/>
            <w:tcBorders>
              <w:tl2br w:val="nil"/>
              <w:tr2bl w:val="nil"/>
            </w:tcBorders>
            <w:tcMar>
              <w:top w:w="0" w:type="dxa"/>
              <w:left w:w="108" w:type="dxa"/>
              <w:bottom w:w="0" w:type="dxa"/>
              <w:right w:w="108" w:type="dxa"/>
            </w:tcMar>
            <w:vAlign w:val="center"/>
          </w:tcPr>
          <w:p w14:paraId="5CE11CCA">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431A5C3B">
            <w:pPr>
              <w:pStyle w:val="71"/>
              <w:spacing w:before="24" w:after="24"/>
              <w:rPr>
                <w:rFonts w:cs="Times New Roman"/>
              </w:rPr>
            </w:pPr>
            <w:r>
              <w:rPr>
                <w:rFonts w:cs="Times New Roman"/>
              </w:rPr>
              <w:t>浅基、桩基</w:t>
            </w:r>
          </w:p>
        </w:tc>
      </w:tr>
      <w:tr w14:paraId="7A1E7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restart"/>
            <w:tcBorders>
              <w:tl2br w:val="nil"/>
              <w:tr2bl w:val="nil"/>
            </w:tcBorders>
            <w:tcMar>
              <w:top w:w="0" w:type="dxa"/>
              <w:left w:w="108" w:type="dxa"/>
              <w:bottom w:w="0" w:type="dxa"/>
              <w:right w:w="108" w:type="dxa"/>
            </w:tcMar>
            <w:vAlign w:val="center"/>
          </w:tcPr>
          <w:p w14:paraId="73F996CE">
            <w:pPr>
              <w:pStyle w:val="71"/>
              <w:numPr>
                <w:ilvl w:val="0"/>
                <w:numId w:val="1"/>
              </w:numPr>
              <w:spacing w:before="24" w:after="24"/>
              <w:rPr>
                <w:rFonts w:cs="Times New Roman"/>
              </w:rPr>
            </w:pPr>
          </w:p>
        </w:tc>
        <w:tc>
          <w:tcPr>
            <w:tcW w:w="2763" w:type="dxa"/>
            <w:vMerge w:val="restart"/>
            <w:tcBorders>
              <w:tl2br w:val="nil"/>
              <w:tr2bl w:val="nil"/>
            </w:tcBorders>
            <w:tcMar>
              <w:top w:w="0" w:type="dxa"/>
              <w:left w:w="108" w:type="dxa"/>
              <w:bottom w:w="0" w:type="dxa"/>
              <w:right w:w="108" w:type="dxa"/>
            </w:tcMar>
            <w:vAlign w:val="center"/>
          </w:tcPr>
          <w:p w14:paraId="491B59BE">
            <w:pPr>
              <w:pStyle w:val="71"/>
              <w:spacing w:before="24" w:after="24"/>
              <w:jc w:val="both"/>
              <w:rPr>
                <w:rFonts w:cs="Times New Roman"/>
              </w:rPr>
            </w:pPr>
            <w:r>
              <w:rPr>
                <w:rFonts w:cs="Times New Roman"/>
              </w:rPr>
              <w:t>德钦新县城养老院建设项目（一期）</w:t>
            </w:r>
          </w:p>
        </w:tc>
        <w:tc>
          <w:tcPr>
            <w:tcW w:w="1887" w:type="dxa"/>
            <w:tcBorders>
              <w:tl2br w:val="nil"/>
              <w:tr2bl w:val="nil"/>
            </w:tcBorders>
            <w:tcMar>
              <w:top w:w="0" w:type="dxa"/>
              <w:left w:w="108" w:type="dxa"/>
              <w:bottom w:w="0" w:type="dxa"/>
              <w:right w:w="108" w:type="dxa"/>
            </w:tcMar>
            <w:vAlign w:val="center"/>
          </w:tcPr>
          <w:p w14:paraId="394EA012">
            <w:pPr>
              <w:pStyle w:val="71"/>
              <w:spacing w:before="24" w:after="24"/>
              <w:rPr>
                <w:rFonts w:cs="Times New Roman"/>
              </w:rPr>
            </w:pPr>
            <w:r>
              <w:rPr>
                <w:rFonts w:cs="Times New Roman"/>
              </w:rPr>
              <w:t>养老院</w:t>
            </w:r>
          </w:p>
        </w:tc>
        <w:tc>
          <w:tcPr>
            <w:tcW w:w="823" w:type="dxa"/>
            <w:tcBorders>
              <w:tl2br w:val="nil"/>
              <w:tr2bl w:val="nil"/>
            </w:tcBorders>
            <w:tcMar>
              <w:top w:w="0" w:type="dxa"/>
              <w:left w:w="108" w:type="dxa"/>
              <w:bottom w:w="0" w:type="dxa"/>
              <w:right w:w="108" w:type="dxa"/>
            </w:tcMar>
            <w:vAlign w:val="center"/>
          </w:tcPr>
          <w:p w14:paraId="185FA869">
            <w:pPr>
              <w:pStyle w:val="71"/>
              <w:spacing w:before="24" w:after="24"/>
              <w:rPr>
                <w:rFonts w:cs="Times New Roman"/>
              </w:rPr>
            </w:pPr>
            <w:r>
              <w:rPr>
                <w:rFonts w:cs="Times New Roman"/>
              </w:rPr>
              <w:t>4</w:t>
            </w:r>
          </w:p>
        </w:tc>
        <w:tc>
          <w:tcPr>
            <w:tcW w:w="1000" w:type="dxa"/>
            <w:tcBorders>
              <w:tl2br w:val="nil"/>
              <w:tr2bl w:val="nil"/>
            </w:tcBorders>
            <w:tcMar>
              <w:top w:w="0" w:type="dxa"/>
              <w:left w:w="108" w:type="dxa"/>
              <w:bottom w:w="0" w:type="dxa"/>
              <w:right w:w="108" w:type="dxa"/>
            </w:tcMar>
            <w:vAlign w:val="center"/>
          </w:tcPr>
          <w:p w14:paraId="28CC7DC4">
            <w:pPr>
              <w:pStyle w:val="71"/>
              <w:spacing w:before="24" w:after="24"/>
              <w:rPr>
                <w:rFonts w:cs="Times New Roman"/>
              </w:rPr>
            </w:pPr>
            <w:r>
              <w:rPr>
                <w:rFonts w:cs="Times New Roman"/>
              </w:rPr>
              <w:t>乙类</w:t>
            </w:r>
          </w:p>
        </w:tc>
        <w:tc>
          <w:tcPr>
            <w:tcW w:w="1022" w:type="dxa"/>
            <w:tcBorders>
              <w:tl2br w:val="nil"/>
              <w:tr2bl w:val="nil"/>
            </w:tcBorders>
            <w:tcMar>
              <w:top w:w="0" w:type="dxa"/>
              <w:left w:w="108" w:type="dxa"/>
              <w:bottom w:w="0" w:type="dxa"/>
              <w:right w:w="108" w:type="dxa"/>
            </w:tcMar>
            <w:vAlign w:val="center"/>
          </w:tcPr>
          <w:p w14:paraId="480195D4">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7FDDC6BF">
            <w:pPr>
              <w:pStyle w:val="71"/>
              <w:spacing w:before="24" w:after="24"/>
              <w:rPr>
                <w:rFonts w:cs="Times New Roman"/>
              </w:rPr>
            </w:pPr>
            <w:r>
              <w:rPr>
                <w:rFonts w:cs="Times New Roman"/>
              </w:rPr>
              <w:t>浅基、桩基</w:t>
            </w:r>
          </w:p>
        </w:tc>
      </w:tr>
      <w:tr w14:paraId="702883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continue"/>
            <w:tcBorders>
              <w:tl2br w:val="nil"/>
              <w:tr2bl w:val="nil"/>
            </w:tcBorders>
            <w:tcMar>
              <w:top w:w="0" w:type="dxa"/>
              <w:left w:w="108" w:type="dxa"/>
              <w:bottom w:w="0" w:type="dxa"/>
              <w:right w:w="108" w:type="dxa"/>
            </w:tcMar>
            <w:vAlign w:val="center"/>
          </w:tcPr>
          <w:p w14:paraId="7E47ECE9">
            <w:pPr>
              <w:pStyle w:val="71"/>
              <w:numPr>
                <w:ilvl w:val="0"/>
                <w:numId w:val="1"/>
              </w:numPr>
              <w:spacing w:before="24" w:after="24"/>
              <w:rPr>
                <w:rFonts w:cs="Times New Roman"/>
              </w:rPr>
            </w:pPr>
          </w:p>
        </w:tc>
        <w:tc>
          <w:tcPr>
            <w:tcW w:w="2763" w:type="dxa"/>
            <w:vMerge w:val="continue"/>
            <w:tcBorders>
              <w:tl2br w:val="nil"/>
              <w:tr2bl w:val="nil"/>
            </w:tcBorders>
            <w:tcMar>
              <w:top w:w="0" w:type="dxa"/>
              <w:left w:w="108" w:type="dxa"/>
              <w:bottom w:w="0" w:type="dxa"/>
              <w:right w:w="108" w:type="dxa"/>
            </w:tcMar>
            <w:vAlign w:val="center"/>
          </w:tcPr>
          <w:p w14:paraId="2858A55A">
            <w:pPr>
              <w:pStyle w:val="71"/>
              <w:spacing w:before="24" w:after="24"/>
              <w:jc w:val="both"/>
              <w:rPr>
                <w:rFonts w:cs="Times New Roman"/>
              </w:rPr>
            </w:pPr>
          </w:p>
        </w:tc>
        <w:tc>
          <w:tcPr>
            <w:tcW w:w="1887" w:type="dxa"/>
            <w:tcBorders>
              <w:tl2br w:val="nil"/>
              <w:tr2bl w:val="nil"/>
            </w:tcBorders>
            <w:tcMar>
              <w:top w:w="0" w:type="dxa"/>
              <w:left w:w="108" w:type="dxa"/>
              <w:bottom w:w="0" w:type="dxa"/>
              <w:right w:w="108" w:type="dxa"/>
            </w:tcMar>
            <w:vAlign w:val="center"/>
          </w:tcPr>
          <w:p w14:paraId="6BCC272A">
            <w:pPr>
              <w:pStyle w:val="71"/>
              <w:spacing w:before="24" w:after="24"/>
              <w:rPr>
                <w:rFonts w:cs="Times New Roman"/>
              </w:rPr>
            </w:pPr>
            <w:r>
              <w:rPr>
                <w:rFonts w:cs="Times New Roman"/>
              </w:rPr>
              <w:t>附属用房</w:t>
            </w:r>
          </w:p>
        </w:tc>
        <w:tc>
          <w:tcPr>
            <w:tcW w:w="823" w:type="dxa"/>
            <w:tcBorders>
              <w:tl2br w:val="nil"/>
              <w:tr2bl w:val="nil"/>
            </w:tcBorders>
            <w:tcMar>
              <w:top w:w="0" w:type="dxa"/>
              <w:left w:w="108" w:type="dxa"/>
              <w:bottom w:w="0" w:type="dxa"/>
              <w:right w:w="108" w:type="dxa"/>
            </w:tcMar>
            <w:vAlign w:val="center"/>
          </w:tcPr>
          <w:p w14:paraId="12075C50">
            <w:pPr>
              <w:pStyle w:val="71"/>
              <w:spacing w:before="24" w:after="24"/>
              <w:rPr>
                <w:rFonts w:cs="Times New Roman"/>
              </w:rPr>
            </w:pPr>
            <w:r>
              <w:rPr>
                <w:rFonts w:cs="Times New Roman"/>
              </w:rPr>
              <w:t>1/1D</w:t>
            </w:r>
          </w:p>
        </w:tc>
        <w:tc>
          <w:tcPr>
            <w:tcW w:w="1000" w:type="dxa"/>
            <w:tcBorders>
              <w:tl2br w:val="nil"/>
              <w:tr2bl w:val="nil"/>
            </w:tcBorders>
            <w:tcMar>
              <w:top w:w="0" w:type="dxa"/>
              <w:left w:w="108" w:type="dxa"/>
              <w:bottom w:w="0" w:type="dxa"/>
              <w:right w:w="108" w:type="dxa"/>
            </w:tcMar>
            <w:vAlign w:val="center"/>
          </w:tcPr>
          <w:p w14:paraId="3F6D2BD3">
            <w:pPr>
              <w:pStyle w:val="71"/>
              <w:spacing w:before="24" w:after="24"/>
              <w:rPr>
                <w:rFonts w:cs="Times New Roman"/>
              </w:rPr>
            </w:pPr>
            <w:r>
              <w:rPr>
                <w:rFonts w:cs="Times New Roman"/>
              </w:rPr>
              <w:t>乙类</w:t>
            </w:r>
          </w:p>
        </w:tc>
        <w:tc>
          <w:tcPr>
            <w:tcW w:w="1022" w:type="dxa"/>
            <w:tcBorders>
              <w:tl2br w:val="nil"/>
              <w:tr2bl w:val="nil"/>
            </w:tcBorders>
            <w:tcMar>
              <w:top w:w="0" w:type="dxa"/>
              <w:left w:w="108" w:type="dxa"/>
              <w:bottom w:w="0" w:type="dxa"/>
              <w:right w:w="108" w:type="dxa"/>
            </w:tcMar>
            <w:vAlign w:val="center"/>
          </w:tcPr>
          <w:p w14:paraId="5A37116C">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0DA438ED">
            <w:pPr>
              <w:pStyle w:val="71"/>
              <w:spacing w:before="24" w:after="24"/>
              <w:rPr>
                <w:rFonts w:cs="Times New Roman"/>
              </w:rPr>
            </w:pPr>
            <w:r>
              <w:rPr>
                <w:rFonts w:cs="Times New Roman"/>
              </w:rPr>
              <w:t>浅基、桩基</w:t>
            </w:r>
          </w:p>
        </w:tc>
      </w:tr>
      <w:tr w14:paraId="4130F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restart"/>
            <w:tcBorders>
              <w:tl2br w:val="nil"/>
              <w:tr2bl w:val="nil"/>
            </w:tcBorders>
            <w:tcMar>
              <w:top w:w="0" w:type="dxa"/>
              <w:left w:w="108" w:type="dxa"/>
              <w:bottom w:w="0" w:type="dxa"/>
              <w:right w:w="108" w:type="dxa"/>
            </w:tcMar>
            <w:vAlign w:val="center"/>
          </w:tcPr>
          <w:p w14:paraId="5D4FC0A3">
            <w:pPr>
              <w:pStyle w:val="71"/>
              <w:numPr>
                <w:ilvl w:val="0"/>
                <w:numId w:val="1"/>
              </w:numPr>
              <w:spacing w:before="24" w:after="24"/>
              <w:rPr>
                <w:rFonts w:cs="Times New Roman"/>
              </w:rPr>
            </w:pPr>
          </w:p>
        </w:tc>
        <w:tc>
          <w:tcPr>
            <w:tcW w:w="2763" w:type="dxa"/>
            <w:vMerge w:val="restart"/>
            <w:tcBorders>
              <w:tl2br w:val="nil"/>
              <w:tr2bl w:val="nil"/>
            </w:tcBorders>
            <w:tcMar>
              <w:top w:w="0" w:type="dxa"/>
              <w:left w:w="108" w:type="dxa"/>
              <w:bottom w:w="0" w:type="dxa"/>
              <w:right w:w="108" w:type="dxa"/>
            </w:tcMar>
            <w:vAlign w:val="center"/>
          </w:tcPr>
          <w:p w14:paraId="579E09C0">
            <w:pPr>
              <w:pStyle w:val="71"/>
              <w:spacing w:before="24" w:after="24"/>
              <w:jc w:val="both"/>
              <w:rPr>
                <w:rFonts w:cs="Times New Roman"/>
              </w:rPr>
            </w:pPr>
            <w:r>
              <w:rPr>
                <w:rFonts w:cs="Times New Roman"/>
              </w:rPr>
              <w:t>德钦新县城垃圾焚烧处理厂建设项目</w:t>
            </w:r>
          </w:p>
        </w:tc>
        <w:tc>
          <w:tcPr>
            <w:tcW w:w="1887" w:type="dxa"/>
            <w:tcBorders>
              <w:tl2br w:val="nil"/>
              <w:tr2bl w:val="nil"/>
            </w:tcBorders>
            <w:tcMar>
              <w:top w:w="0" w:type="dxa"/>
              <w:left w:w="108" w:type="dxa"/>
              <w:bottom w:w="0" w:type="dxa"/>
              <w:right w:w="108" w:type="dxa"/>
            </w:tcMar>
            <w:vAlign w:val="center"/>
          </w:tcPr>
          <w:p w14:paraId="64E8F11A">
            <w:pPr>
              <w:pStyle w:val="71"/>
              <w:spacing w:before="24" w:after="24"/>
              <w:rPr>
                <w:rFonts w:cs="Times New Roman"/>
              </w:rPr>
            </w:pPr>
            <w:r>
              <w:rPr>
                <w:rFonts w:cs="Times New Roman"/>
              </w:rPr>
              <w:t>综合主厂房</w:t>
            </w:r>
          </w:p>
        </w:tc>
        <w:tc>
          <w:tcPr>
            <w:tcW w:w="823" w:type="dxa"/>
            <w:tcBorders>
              <w:tl2br w:val="nil"/>
              <w:tr2bl w:val="nil"/>
            </w:tcBorders>
            <w:tcMar>
              <w:top w:w="0" w:type="dxa"/>
              <w:left w:w="108" w:type="dxa"/>
              <w:bottom w:w="0" w:type="dxa"/>
              <w:right w:w="108" w:type="dxa"/>
            </w:tcMar>
            <w:vAlign w:val="center"/>
          </w:tcPr>
          <w:p w14:paraId="577650EE">
            <w:pPr>
              <w:pStyle w:val="71"/>
              <w:spacing w:before="24" w:after="24"/>
              <w:rPr>
                <w:rFonts w:cs="Times New Roman"/>
              </w:rPr>
            </w:pPr>
            <w:r>
              <w:rPr>
                <w:rFonts w:cs="Times New Roman"/>
              </w:rPr>
              <w:t>5</w:t>
            </w:r>
          </w:p>
        </w:tc>
        <w:tc>
          <w:tcPr>
            <w:tcW w:w="1000" w:type="dxa"/>
            <w:tcBorders>
              <w:tl2br w:val="nil"/>
              <w:tr2bl w:val="nil"/>
            </w:tcBorders>
            <w:tcMar>
              <w:top w:w="0" w:type="dxa"/>
              <w:left w:w="108" w:type="dxa"/>
              <w:bottom w:w="0" w:type="dxa"/>
              <w:right w:w="108" w:type="dxa"/>
            </w:tcMar>
            <w:vAlign w:val="center"/>
          </w:tcPr>
          <w:p w14:paraId="710B962C">
            <w:pPr>
              <w:pStyle w:val="71"/>
              <w:spacing w:before="24" w:after="24"/>
              <w:rPr>
                <w:rFonts w:cs="Times New Roman"/>
              </w:rPr>
            </w:pPr>
            <w:r>
              <w:rPr>
                <w:rFonts w:cs="Times New Roman"/>
              </w:rPr>
              <w:t>丙类</w:t>
            </w:r>
          </w:p>
        </w:tc>
        <w:tc>
          <w:tcPr>
            <w:tcW w:w="1022" w:type="dxa"/>
            <w:tcBorders>
              <w:tl2br w:val="nil"/>
              <w:tr2bl w:val="nil"/>
            </w:tcBorders>
            <w:tcMar>
              <w:top w:w="0" w:type="dxa"/>
              <w:left w:w="108" w:type="dxa"/>
              <w:bottom w:w="0" w:type="dxa"/>
              <w:right w:w="108" w:type="dxa"/>
            </w:tcMar>
            <w:vAlign w:val="center"/>
          </w:tcPr>
          <w:p w14:paraId="648CFC69">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0FBC2DAD">
            <w:pPr>
              <w:pStyle w:val="71"/>
              <w:spacing w:before="24" w:after="24"/>
              <w:rPr>
                <w:rFonts w:cs="Times New Roman"/>
              </w:rPr>
            </w:pPr>
            <w:r>
              <w:rPr>
                <w:rFonts w:cs="Times New Roman"/>
              </w:rPr>
              <w:t>浅基、桩基</w:t>
            </w:r>
          </w:p>
        </w:tc>
      </w:tr>
      <w:tr w14:paraId="008DF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continue"/>
            <w:tcBorders>
              <w:tl2br w:val="nil"/>
              <w:tr2bl w:val="nil"/>
            </w:tcBorders>
            <w:tcMar>
              <w:top w:w="0" w:type="dxa"/>
              <w:left w:w="108" w:type="dxa"/>
              <w:bottom w:w="0" w:type="dxa"/>
              <w:right w:w="108" w:type="dxa"/>
            </w:tcMar>
            <w:vAlign w:val="center"/>
          </w:tcPr>
          <w:p w14:paraId="0F8ECEAE">
            <w:pPr>
              <w:pStyle w:val="71"/>
              <w:numPr>
                <w:ilvl w:val="0"/>
                <w:numId w:val="1"/>
              </w:numPr>
              <w:spacing w:before="24" w:after="24"/>
              <w:rPr>
                <w:rFonts w:cs="Times New Roman"/>
              </w:rPr>
            </w:pPr>
          </w:p>
        </w:tc>
        <w:tc>
          <w:tcPr>
            <w:tcW w:w="2763" w:type="dxa"/>
            <w:vMerge w:val="continue"/>
            <w:tcBorders>
              <w:tl2br w:val="nil"/>
              <w:tr2bl w:val="nil"/>
            </w:tcBorders>
            <w:tcMar>
              <w:top w:w="0" w:type="dxa"/>
              <w:left w:w="108" w:type="dxa"/>
              <w:bottom w:w="0" w:type="dxa"/>
              <w:right w:w="108" w:type="dxa"/>
            </w:tcMar>
            <w:vAlign w:val="center"/>
          </w:tcPr>
          <w:p w14:paraId="749BA527">
            <w:pPr>
              <w:pStyle w:val="71"/>
              <w:spacing w:before="24" w:after="24"/>
              <w:jc w:val="both"/>
              <w:rPr>
                <w:rFonts w:cs="Times New Roman"/>
              </w:rPr>
            </w:pPr>
          </w:p>
        </w:tc>
        <w:tc>
          <w:tcPr>
            <w:tcW w:w="1887" w:type="dxa"/>
            <w:tcBorders>
              <w:tl2br w:val="nil"/>
              <w:tr2bl w:val="nil"/>
            </w:tcBorders>
            <w:tcMar>
              <w:top w:w="0" w:type="dxa"/>
              <w:left w:w="108" w:type="dxa"/>
              <w:bottom w:w="0" w:type="dxa"/>
              <w:right w:w="108" w:type="dxa"/>
            </w:tcMar>
            <w:vAlign w:val="center"/>
          </w:tcPr>
          <w:p w14:paraId="121BAF00">
            <w:pPr>
              <w:pStyle w:val="71"/>
              <w:spacing w:before="24" w:after="24"/>
              <w:rPr>
                <w:rFonts w:cs="Times New Roman"/>
              </w:rPr>
            </w:pPr>
            <w:r>
              <w:rPr>
                <w:rFonts w:cs="Times New Roman"/>
              </w:rPr>
              <w:t>地磅房</w:t>
            </w:r>
          </w:p>
        </w:tc>
        <w:tc>
          <w:tcPr>
            <w:tcW w:w="823" w:type="dxa"/>
            <w:tcBorders>
              <w:tl2br w:val="nil"/>
              <w:tr2bl w:val="nil"/>
            </w:tcBorders>
            <w:tcMar>
              <w:top w:w="0" w:type="dxa"/>
              <w:left w:w="108" w:type="dxa"/>
              <w:bottom w:w="0" w:type="dxa"/>
              <w:right w:w="108" w:type="dxa"/>
            </w:tcMar>
            <w:vAlign w:val="center"/>
          </w:tcPr>
          <w:p w14:paraId="4B1540C8">
            <w:pPr>
              <w:pStyle w:val="71"/>
              <w:spacing w:before="24" w:after="24"/>
              <w:rPr>
                <w:rFonts w:cs="Times New Roman"/>
              </w:rPr>
            </w:pPr>
            <w:r>
              <w:rPr>
                <w:rFonts w:cs="Times New Roman"/>
              </w:rPr>
              <w:t>1</w:t>
            </w:r>
          </w:p>
        </w:tc>
        <w:tc>
          <w:tcPr>
            <w:tcW w:w="1000" w:type="dxa"/>
            <w:tcBorders>
              <w:tl2br w:val="nil"/>
              <w:tr2bl w:val="nil"/>
            </w:tcBorders>
            <w:tcMar>
              <w:top w:w="0" w:type="dxa"/>
              <w:left w:w="108" w:type="dxa"/>
              <w:bottom w:w="0" w:type="dxa"/>
              <w:right w:w="108" w:type="dxa"/>
            </w:tcMar>
            <w:vAlign w:val="center"/>
          </w:tcPr>
          <w:p w14:paraId="096311D3">
            <w:pPr>
              <w:pStyle w:val="71"/>
              <w:spacing w:before="24" w:after="24"/>
              <w:rPr>
                <w:rFonts w:cs="Times New Roman"/>
              </w:rPr>
            </w:pPr>
            <w:r>
              <w:rPr>
                <w:rFonts w:cs="Times New Roman"/>
              </w:rPr>
              <w:t>丙类</w:t>
            </w:r>
          </w:p>
        </w:tc>
        <w:tc>
          <w:tcPr>
            <w:tcW w:w="1022" w:type="dxa"/>
            <w:tcBorders>
              <w:tl2br w:val="nil"/>
              <w:tr2bl w:val="nil"/>
            </w:tcBorders>
            <w:tcMar>
              <w:top w:w="0" w:type="dxa"/>
              <w:left w:w="108" w:type="dxa"/>
              <w:bottom w:w="0" w:type="dxa"/>
              <w:right w:w="108" w:type="dxa"/>
            </w:tcMar>
            <w:vAlign w:val="center"/>
          </w:tcPr>
          <w:p w14:paraId="38AF84F9">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408D1C93">
            <w:pPr>
              <w:pStyle w:val="71"/>
              <w:spacing w:before="24" w:after="24"/>
              <w:rPr>
                <w:rFonts w:cs="Times New Roman"/>
              </w:rPr>
            </w:pPr>
            <w:r>
              <w:rPr>
                <w:rFonts w:cs="Times New Roman"/>
              </w:rPr>
              <w:t>浅基、桩基</w:t>
            </w:r>
          </w:p>
        </w:tc>
      </w:tr>
      <w:tr w14:paraId="7BA5DD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continue"/>
            <w:tcBorders>
              <w:tl2br w:val="nil"/>
              <w:tr2bl w:val="nil"/>
            </w:tcBorders>
            <w:tcMar>
              <w:top w:w="0" w:type="dxa"/>
              <w:left w:w="108" w:type="dxa"/>
              <w:bottom w:w="0" w:type="dxa"/>
              <w:right w:w="108" w:type="dxa"/>
            </w:tcMar>
            <w:vAlign w:val="center"/>
          </w:tcPr>
          <w:p w14:paraId="625FEF0F">
            <w:pPr>
              <w:pStyle w:val="71"/>
              <w:numPr>
                <w:ilvl w:val="0"/>
                <w:numId w:val="1"/>
              </w:numPr>
              <w:spacing w:before="24" w:after="24"/>
              <w:rPr>
                <w:rFonts w:cs="Times New Roman"/>
              </w:rPr>
            </w:pPr>
          </w:p>
        </w:tc>
        <w:tc>
          <w:tcPr>
            <w:tcW w:w="2763" w:type="dxa"/>
            <w:vMerge w:val="continue"/>
            <w:tcBorders>
              <w:tl2br w:val="nil"/>
              <w:tr2bl w:val="nil"/>
            </w:tcBorders>
            <w:tcMar>
              <w:top w:w="0" w:type="dxa"/>
              <w:left w:w="108" w:type="dxa"/>
              <w:bottom w:w="0" w:type="dxa"/>
              <w:right w:w="108" w:type="dxa"/>
            </w:tcMar>
            <w:vAlign w:val="center"/>
          </w:tcPr>
          <w:p w14:paraId="1562FE6D">
            <w:pPr>
              <w:pStyle w:val="71"/>
              <w:spacing w:before="24" w:after="24"/>
              <w:jc w:val="both"/>
              <w:rPr>
                <w:rFonts w:cs="Times New Roman"/>
              </w:rPr>
            </w:pPr>
          </w:p>
        </w:tc>
        <w:tc>
          <w:tcPr>
            <w:tcW w:w="1887" w:type="dxa"/>
            <w:tcBorders>
              <w:tl2br w:val="nil"/>
              <w:tr2bl w:val="nil"/>
            </w:tcBorders>
            <w:tcMar>
              <w:top w:w="0" w:type="dxa"/>
              <w:left w:w="108" w:type="dxa"/>
              <w:bottom w:w="0" w:type="dxa"/>
              <w:right w:w="108" w:type="dxa"/>
            </w:tcMar>
            <w:vAlign w:val="center"/>
          </w:tcPr>
          <w:p w14:paraId="11C750BA">
            <w:pPr>
              <w:pStyle w:val="71"/>
              <w:spacing w:before="24" w:after="24"/>
              <w:rPr>
                <w:rFonts w:cs="Times New Roman"/>
              </w:rPr>
            </w:pPr>
            <w:r>
              <w:rPr>
                <w:rFonts w:cs="Times New Roman"/>
              </w:rPr>
              <w:t>综合楼</w:t>
            </w:r>
          </w:p>
        </w:tc>
        <w:tc>
          <w:tcPr>
            <w:tcW w:w="823" w:type="dxa"/>
            <w:tcBorders>
              <w:tl2br w:val="nil"/>
              <w:tr2bl w:val="nil"/>
            </w:tcBorders>
            <w:tcMar>
              <w:top w:w="0" w:type="dxa"/>
              <w:left w:w="108" w:type="dxa"/>
              <w:bottom w:w="0" w:type="dxa"/>
              <w:right w:w="108" w:type="dxa"/>
            </w:tcMar>
            <w:vAlign w:val="center"/>
          </w:tcPr>
          <w:p w14:paraId="26709ABB">
            <w:pPr>
              <w:pStyle w:val="71"/>
              <w:spacing w:before="24" w:after="24"/>
              <w:rPr>
                <w:rFonts w:cs="Times New Roman"/>
              </w:rPr>
            </w:pPr>
            <w:r>
              <w:rPr>
                <w:rFonts w:cs="Times New Roman"/>
              </w:rPr>
              <w:t>3</w:t>
            </w:r>
          </w:p>
        </w:tc>
        <w:tc>
          <w:tcPr>
            <w:tcW w:w="1000" w:type="dxa"/>
            <w:tcBorders>
              <w:tl2br w:val="nil"/>
              <w:tr2bl w:val="nil"/>
            </w:tcBorders>
            <w:tcMar>
              <w:top w:w="0" w:type="dxa"/>
              <w:left w:w="108" w:type="dxa"/>
              <w:bottom w:w="0" w:type="dxa"/>
              <w:right w:w="108" w:type="dxa"/>
            </w:tcMar>
            <w:vAlign w:val="center"/>
          </w:tcPr>
          <w:p w14:paraId="48ECC363">
            <w:pPr>
              <w:pStyle w:val="71"/>
              <w:spacing w:before="24" w:after="24"/>
              <w:rPr>
                <w:rFonts w:cs="Times New Roman"/>
              </w:rPr>
            </w:pPr>
            <w:r>
              <w:rPr>
                <w:rFonts w:cs="Times New Roman"/>
              </w:rPr>
              <w:t>丙类</w:t>
            </w:r>
          </w:p>
        </w:tc>
        <w:tc>
          <w:tcPr>
            <w:tcW w:w="1022" w:type="dxa"/>
            <w:tcBorders>
              <w:tl2br w:val="nil"/>
              <w:tr2bl w:val="nil"/>
            </w:tcBorders>
            <w:tcMar>
              <w:top w:w="0" w:type="dxa"/>
              <w:left w:w="108" w:type="dxa"/>
              <w:bottom w:w="0" w:type="dxa"/>
              <w:right w:w="108" w:type="dxa"/>
            </w:tcMar>
            <w:vAlign w:val="center"/>
          </w:tcPr>
          <w:p w14:paraId="3E10836F">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1A8F0454">
            <w:pPr>
              <w:pStyle w:val="71"/>
              <w:spacing w:before="24" w:after="24"/>
              <w:rPr>
                <w:rFonts w:cs="Times New Roman"/>
              </w:rPr>
            </w:pPr>
            <w:r>
              <w:rPr>
                <w:rFonts w:cs="Times New Roman"/>
              </w:rPr>
              <w:t>浅基、桩基</w:t>
            </w:r>
          </w:p>
        </w:tc>
      </w:tr>
      <w:tr w14:paraId="64BE3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continue"/>
            <w:tcBorders>
              <w:tl2br w:val="nil"/>
              <w:tr2bl w:val="nil"/>
            </w:tcBorders>
            <w:tcMar>
              <w:top w:w="0" w:type="dxa"/>
              <w:left w:w="108" w:type="dxa"/>
              <w:bottom w:w="0" w:type="dxa"/>
              <w:right w:w="108" w:type="dxa"/>
            </w:tcMar>
            <w:vAlign w:val="center"/>
          </w:tcPr>
          <w:p w14:paraId="2530B480">
            <w:pPr>
              <w:pStyle w:val="71"/>
              <w:numPr>
                <w:ilvl w:val="0"/>
                <w:numId w:val="1"/>
              </w:numPr>
              <w:spacing w:before="24" w:after="24"/>
              <w:rPr>
                <w:rFonts w:cs="Times New Roman"/>
              </w:rPr>
            </w:pPr>
          </w:p>
        </w:tc>
        <w:tc>
          <w:tcPr>
            <w:tcW w:w="2763" w:type="dxa"/>
            <w:vMerge w:val="continue"/>
            <w:tcBorders>
              <w:tl2br w:val="nil"/>
              <w:tr2bl w:val="nil"/>
            </w:tcBorders>
            <w:tcMar>
              <w:top w:w="0" w:type="dxa"/>
              <w:left w:w="108" w:type="dxa"/>
              <w:bottom w:w="0" w:type="dxa"/>
              <w:right w:w="108" w:type="dxa"/>
            </w:tcMar>
            <w:vAlign w:val="center"/>
          </w:tcPr>
          <w:p w14:paraId="58896359">
            <w:pPr>
              <w:pStyle w:val="71"/>
              <w:spacing w:before="24" w:after="24"/>
              <w:jc w:val="both"/>
              <w:rPr>
                <w:rFonts w:cs="Times New Roman"/>
              </w:rPr>
            </w:pPr>
          </w:p>
        </w:tc>
        <w:tc>
          <w:tcPr>
            <w:tcW w:w="1887" w:type="dxa"/>
            <w:tcBorders>
              <w:tl2br w:val="nil"/>
              <w:tr2bl w:val="nil"/>
            </w:tcBorders>
            <w:tcMar>
              <w:top w:w="0" w:type="dxa"/>
              <w:left w:w="108" w:type="dxa"/>
              <w:bottom w:w="0" w:type="dxa"/>
              <w:right w:w="108" w:type="dxa"/>
            </w:tcMar>
            <w:vAlign w:val="center"/>
          </w:tcPr>
          <w:p w14:paraId="29B526CC">
            <w:pPr>
              <w:pStyle w:val="71"/>
              <w:spacing w:before="24" w:after="24"/>
              <w:rPr>
                <w:rFonts w:cs="Times New Roman"/>
              </w:rPr>
            </w:pPr>
            <w:r>
              <w:rPr>
                <w:rFonts w:cs="Times New Roman"/>
              </w:rPr>
              <w:t>综合水泵房/工业及消防水池/冷却塔</w:t>
            </w:r>
          </w:p>
        </w:tc>
        <w:tc>
          <w:tcPr>
            <w:tcW w:w="823" w:type="dxa"/>
            <w:tcBorders>
              <w:tl2br w:val="nil"/>
              <w:tr2bl w:val="nil"/>
            </w:tcBorders>
            <w:tcMar>
              <w:top w:w="0" w:type="dxa"/>
              <w:left w:w="108" w:type="dxa"/>
              <w:bottom w:w="0" w:type="dxa"/>
              <w:right w:w="108" w:type="dxa"/>
            </w:tcMar>
            <w:vAlign w:val="center"/>
          </w:tcPr>
          <w:p w14:paraId="259E354E">
            <w:pPr>
              <w:pStyle w:val="71"/>
              <w:spacing w:before="24" w:after="24"/>
              <w:rPr>
                <w:rFonts w:cs="Times New Roman"/>
              </w:rPr>
            </w:pPr>
            <w:r>
              <w:rPr>
                <w:rFonts w:cs="Times New Roman"/>
              </w:rPr>
              <w:t>1/1D</w:t>
            </w:r>
          </w:p>
        </w:tc>
        <w:tc>
          <w:tcPr>
            <w:tcW w:w="1000" w:type="dxa"/>
            <w:tcBorders>
              <w:tl2br w:val="nil"/>
              <w:tr2bl w:val="nil"/>
            </w:tcBorders>
            <w:tcMar>
              <w:top w:w="0" w:type="dxa"/>
              <w:left w:w="108" w:type="dxa"/>
              <w:bottom w:w="0" w:type="dxa"/>
              <w:right w:w="108" w:type="dxa"/>
            </w:tcMar>
            <w:vAlign w:val="center"/>
          </w:tcPr>
          <w:p w14:paraId="416FB8F8">
            <w:pPr>
              <w:pStyle w:val="71"/>
              <w:spacing w:before="24" w:after="24"/>
              <w:rPr>
                <w:rFonts w:cs="Times New Roman"/>
              </w:rPr>
            </w:pPr>
            <w:r>
              <w:rPr>
                <w:rFonts w:cs="Times New Roman"/>
              </w:rPr>
              <w:t>丙类</w:t>
            </w:r>
          </w:p>
        </w:tc>
        <w:tc>
          <w:tcPr>
            <w:tcW w:w="1022" w:type="dxa"/>
            <w:tcBorders>
              <w:tl2br w:val="nil"/>
              <w:tr2bl w:val="nil"/>
            </w:tcBorders>
            <w:tcMar>
              <w:top w:w="0" w:type="dxa"/>
              <w:left w:w="108" w:type="dxa"/>
              <w:bottom w:w="0" w:type="dxa"/>
              <w:right w:w="108" w:type="dxa"/>
            </w:tcMar>
            <w:vAlign w:val="center"/>
          </w:tcPr>
          <w:p w14:paraId="7617CE71">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0A57C8C7">
            <w:pPr>
              <w:pStyle w:val="71"/>
              <w:spacing w:before="24" w:after="24"/>
              <w:rPr>
                <w:rFonts w:cs="Times New Roman"/>
              </w:rPr>
            </w:pPr>
            <w:r>
              <w:rPr>
                <w:rFonts w:cs="Times New Roman"/>
              </w:rPr>
              <w:t>浅基、筏板、桩基</w:t>
            </w:r>
          </w:p>
        </w:tc>
      </w:tr>
      <w:tr w14:paraId="32331F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continue"/>
            <w:tcBorders>
              <w:tl2br w:val="nil"/>
              <w:tr2bl w:val="nil"/>
            </w:tcBorders>
            <w:tcMar>
              <w:top w:w="0" w:type="dxa"/>
              <w:left w:w="108" w:type="dxa"/>
              <w:bottom w:w="0" w:type="dxa"/>
              <w:right w:w="108" w:type="dxa"/>
            </w:tcMar>
            <w:vAlign w:val="center"/>
          </w:tcPr>
          <w:p w14:paraId="70D19A82">
            <w:pPr>
              <w:pStyle w:val="71"/>
              <w:numPr>
                <w:ilvl w:val="0"/>
                <w:numId w:val="1"/>
              </w:numPr>
              <w:spacing w:before="24" w:after="24"/>
              <w:rPr>
                <w:rFonts w:cs="Times New Roman"/>
              </w:rPr>
            </w:pPr>
          </w:p>
        </w:tc>
        <w:tc>
          <w:tcPr>
            <w:tcW w:w="2763" w:type="dxa"/>
            <w:vMerge w:val="continue"/>
            <w:tcBorders>
              <w:tl2br w:val="nil"/>
              <w:tr2bl w:val="nil"/>
            </w:tcBorders>
            <w:tcMar>
              <w:top w:w="0" w:type="dxa"/>
              <w:left w:w="108" w:type="dxa"/>
              <w:bottom w:w="0" w:type="dxa"/>
              <w:right w:w="108" w:type="dxa"/>
            </w:tcMar>
            <w:vAlign w:val="center"/>
          </w:tcPr>
          <w:p w14:paraId="34216B2F">
            <w:pPr>
              <w:pStyle w:val="71"/>
              <w:spacing w:before="24" w:after="24"/>
              <w:jc w:val="both"/>
              <w:rPr>
                <w:rFonts w:cs="Times New Roman"/>
              </w:rPr>
            </w:pPr>
          </w:p>
        </w:tc>
        <w:tc>
          <w:tcPr>
            <w:tcW w:w="1887" w:type="dxa"/>
            <w:tcBorders>
              <w:tl2br w:val="nil"/>
              <w:tr2bl w:val="nil"/>
            </w:tcBorders>
            <w:tcMar>
              <w:top w:w="0" w:type="dxa"/>
              <w:left w:w="108" w:type="dxa"/>
              <w:bottom w:w="0" w:type="dxa"/>
              <w:right w:w="108" w:type="dxa"/>
            </w:tcMar>
            <w:vAlign w:val="center"/>
          </w:tcPr>
          <w:p w14:paraId="0119AA97">
            <w:pPr>
              <w:pStyle w:val="71"/>
              <w:spacing w:before="24" w:after="24"/>
              <w:rPr>
                <w:rFonts w:cs="Times New Roman"/>
              </w:rPr>
            </w:pPr>
            <w:r>
              <w:rPr>
                <w:rFonts w:cs="Times New Roman"/>
              </w:rPr>
              <w:t>油库油泵房</w:t>
            </w:r>
          </w:p>
        </w:tc>
        <w:tc>
          <w:tcPr>
            <w:tcW w:w="823" w:type="dxa"/>
            <w:tcBorders>
              <w:tl2br w:val="nil"/>
              <w:tr2bl w:val="nil"/>
            </w:tcBorders>
            <w:tcMar>
              <w:top w:w="0" w:type="dxa"/>
              <w:left w:w="108" w:type="dxa"/>
              <w:bottom w:w="0" w:type="dxa"/>
              <w:right w:w="108" w:type="dxa"/>
            </w:tcMar>
            <w:vAlign w:val="center"/>
          </w:tcPr>
          <w:p w14:paraId="50B22564">
            <w:pPr>
              <w:pStyle w:val="71"/>
              <w:spacing w:before="24" w:after="24"/>
              <w:rPr>
                <w:rFonts w:cs="Times New Roman"/>
              </w:rPr>
            </w:pPr>
            <w:r>
              <w:rPr>
                <w:rFonts w:cs="Times New Roman"/>
              </w:rPr>
              <w:t>1</w:t>
            </w:r>
          </w:p>
        </w:tc>
        <w:tc>
          <w:tcPr>
            <w:tcW w:w="1000" w:type="dxa"/>
            <w:tcBorders>
              <w:tl2br w:val="nil"/>
              <w:tr2bl w:val="nil"/>
            </w:tcBorders>
            <w:tcMar>
              <w:top w:w="0" w:type="dxa"/>
              <w:left w:w="108" w:type="dxa"/>
              <w:bottom w:w="0" w:type="dxa"/>
              <w:right w:w="108" w:type="dxa"/>
            </w:tcMar>
            <w:vAlign w:val="center"/>
          </w:tcPr>
          <w:p w14:paraId="5D51528E">
            <w:pPr>
              <w:pStyle w:val="71"/>
              <w:spacing w:before="24" w:after="24"/>
              <w:rPr>
                <w:rFonts w:cs="Times New Roman"/>
              </w:rPr>
            </w:pPr>
            <w:r>
              <w:rPr>
                <w:rFonts w:cs="Times New Roman"/>
              </w:rPr>
              <w:t>丙类</w:t>
            </w:r>
          </w:p>
        </w:tc>
        <w:tc>
          <w:tcPr>
            <w:tcW w:w="1022" w:type="dxa"/>
            <w:tcBorders>
              <w:tl2br w:val="nil"/>
              <w:tr2bl w:val="nil"/>
            </w:tcBorders>
            <w:tcMar>
              <w:top w:w="0" w:type="dxa"/>
              <w:left w:w="108" w:type="dxa"/>
              <w:bottom w:w="0" w:type="dxa"/>
              <w:right w:w="108" w:type="dxa"/>
            </w:tcMar>
            <w:vAlign w:val="center"/>
          </w:tcPr>
          <w:p w14:paraId="13D9061A">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07CBD83C">
            <w:pPr>
              <w:pStyle w:val="71"/>
              <w:spacing w:before="24" w:after="24"/>
              <w:rPr>
                <w:rFonts w:cs="Times New Roman"/>
              </w:rPr>
            </w:pPr>
            <w:r>
              <w:rPr>
                <w:rFonts w:cs="Times New Roman"/>
              </w:rPr>
              <w:t>浅基、桩基</w:t>
            </w:r>
          </w:p>
        </w:tc>
      </w:tr>
      <w:tr w14:paraId="679A5A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continue"/>
            <w:tcBorders>
              <w:tl2br w:val="nil"/>
              <w:tr2bl w:val="nil"/>
            </w:tcBorders>
            <w:tcMar>
              <w:top w:w="0" w:type="dxa"/>
              <w:left w:w="108" w:type="dxa"/>
              <w:bottom w:w="0" w:type="dxa"/>
              <w:right w:w="108" w:type="dxa"/>
            </w:tcMar>
            <w:vAlign w:val="center"/>
          </w:tcPr>
          <w:p w14:paraId="6E4D84E9">
            <w:pPr>
              <w:pStyle w:val="71"/>
              <w:numPr>
                <w:ilvl w:val="0"/>
                <w:numId w:val="1"/>
              </w:numPr>
              <w:spacing w:before="24" w:after="24"/>
              <w:rPr>
                <w:rFonts w:cs="Times New Roman"/>
              </w:rPr>
            </w:pPr>
          </w:p>
        </w:tc>
        <w:tc>
          <w:tcPr>
            <w:tcW w:w="2763" w:type="dxa"/>
            <w:vMerge w:val="continue"/>
            <w:tcBorders>
              <w:tl2br w:val="nil"/>
              <w:tr2bl w:val="nil"/>
            </w:tcBorders>
            <w:tcMar>
              <w:top w:w="0" w:type="dxa"/>
              <w:left w:w="108" w:type="dxa"/>
              <w:bottom w:w="0" w:type="dxa"/>
              <w:right w:w="108" w:type="dxa"/>
            </w:tcMar>
            <w:vAlign w:val="center"/>
          </w:tcPr>
          <w:p w14:paraId="2EF0DD0D">
            <w:pPr>
              <w:pStyle w:val="71"/>
              <w:spacing w:before="24" w:after="24"/>
              <w:jc w:val="both"/>
              <w:rPr>
                <w:rFonts w:cs="Times New Roman"/>
              </w:rPr>
            </w:pPr>
          </w:p>
        </w:tc>
        <w:tc>
          <w:tcPr>
            <w:tcW w:w="1887" w:type="dxa"/>
            <w:tcBorders>
              <w:tl2br w:val="nil"/>
              <w:tr2bl w:val="nil"/>
            </w:tcBorders>
            <w:tcMar>
              <w:top w:w="0" w:type="dxa"/>
              <w:left w:w="108" w:type="dxa"/>
              <w:bottom w:w="0" w:type="dxa"/>
              <w:right w:w="108" w:type="dxa"/>
            </w:tcMar>
            <w:vAlign w:val="center"/>
          </w:tcPr>
          <w:p w14:paraId="695CFFAE">
            <w:pPr>
              <w:pStyle w:val="71"/>
              <w:spacing w:before="24" w:after="24"/>
              <w:rPr>
                <w:rFonts w:cs="Times New Roman"/>
              </w:rPr>
            </w:pPr>
            <w:r>
              <w:rPr>
                <w:rFonts w:cs="Times New Roman"/>
              </w:rPr>
              <w:t>飞灰及危废暂存间</w:t>
            </w:r>
          </w:p>
        </w:tc>
        <w:tc>
          <w:tcPr>
            <w:tcW w:w="823" w:type="dxa"/>
            <w:tcBorders>
              <w:tl2br w:val="nil"/>
              <w:tr2bl w:val="nil"/>
            </w:tcBorders>
            <w:tcMar>
              <w:top w:w="0" w:type="dxa"/>
              <w:left w:w="108" w:type="dxa"/>
              <w:bottom w:w="0" w:type="dxa"/>
              <w:right w:w="108" w:type="dxa"/>
            </w:tcMar>
            <w:vAlign w:val="center"/>
          </w:tcPr>
          <w:p w14:paraId="2FC9ACC0">
            <w:pPr>
              <w:pStyle w:val="71"/>
              <w:spacing w:before="24" w:after="24"/>
              <w:rPr>
                <w:rFonts w:cs="Times New Roman"/>
              </w:rPr>
            </w:pPr>
            <w:r>
              <w:rPr>
                <w:rFonts w:cs="Times New Roman"/>
              </w:rPr>
              <w:t>1</w:t>
            </w:r>
          </w:p>
        </w:tc>
        <w:tc>
          <w:tcPr>
            <w:tcW w:w="1000" w:type="dxa"/>
            <w:tcBorders>
              <w:tl2br w:val="nil"/>
              <w:tr2bl w:val="nil"/>
            </w:tcBorders>
            <w:tcMar>
              <w:top w:w="0" w:type="dxa"/>
              <w:left w:w="108" w:type="dxa"/>
              <w:bottom w:w="0" w:type="dxa"/>
              <w:right w:w="108" w:type="dxa"/>
            </w:tcMar>
            <w:vAlign w:val="center"/>
          </w:tcPr>
          <w:p w14:paraId="66F502DC">
            <w:pPr>
              <w:pStyle w:val="71"/>
              <w:spacing w:before="24" w:after="24"/>
              <w:rPr>
                <w:rFonts w:cs="Times New Roman"/>
              </w:rPr>
            </w:pPr>
            <w:r>
              <w:rPr>
                <w:rFonts w:cs="Times New Roman"/>
              </w:rPr>
              <w:t>丙类</w:t>
            </w:r>
          </w:p>
        </w:tc>
        <w:tc>
          <w:tcPr>
            <w:tcW w:w="1022" w:type="dxa"/>
            <w:tcBorders>
              <w:tl2br w:val="nil"/>
              <w:tr2bl w:val="nil"/>
            </w:tcBorders>
            <w:tcMar>
              <w:top w:w="0" w:type="dxa"/>
              <w:left w:w="108" w:type="dxa"/>
              <w:bottom w:w="0" w:type="dxa"/>
              <w:right w:w="108" w:type="dxa"/>
            </w:tcMar>
            <w:vAlign w:val="center"/>
          </w:tcPr>
          <w:p w14:paraId="607BAC34">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038A3185">
            <w:pPr>
              <w:pStyle w:val="71"/>
              <w:spacing w:before="24" w:after="24"/>
              <w:rPr>
                <w:rFonts w:cs="Times New Roman"/>
              </w:rPr>
            </w:pPr>
            <w:r>
              <w:rPr>
                <w:rFonts w:cs="Times New Roman"/>
              </w:rPr>
              <w:t>浅基、桩基</w:t>
            </w:r>
          </w:p>
        </w:tc>
      </w:tr>
      <w:tr w14:paraId="6A3EF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continue"/>
            <w:tcBorders>
              <w:tl2br w:val="nil"/>
              <w:tr2bl w:val="nil"/>
            </w:tcBorders>
            <w:tcMar>
              <w:top w:w="0" w:type="dxa"/>
              <w:left w:w="108" w:type="dxa"/>
              <w:bottom w:w="0" w:type="dxa"/>
              <w:right w:w="108" w:type="dxa"/>
            </w:tcMar>
            <w:vAlign w:val="center"/>
          </w:tcPr>
          <w:p w14:paraId="2793F635">
            <w:pPr>
              <w:pStyle w:val="71"/>
              <w:numPr>
                <w:ilvl w:val="0"/>
                <w:numId w:val="1"/>
              </w:numPr>
              <w:spacing w:before="24" w:after="24"/>
              <w:rPr>
                <w:rFonts w:cs="Times New Roman"/>
              </w:rPr>
            </w:pPr>
          </w:p>
        </w:tc>
        <w:tc>
          <w:tcPr>
            <w:tcW w:w="2763" w:type="dxa"/>
            <w:vMerge w:val="continue"/>
            <w:tcBorders>
              <w:tl2br w:val="nil"/>
              <w:tr2bl w:val="nil"/>
            </w:tcBorders>
            <w:tcMar>
              <w:top w:w="0" w:type="dxa"/>
              <w:left w:w="108" w:type="dxa"/>
              <w:bottom w:w="0" w:type="dxa"/>
              <w:right w:w="108" w:type="dxa"/>
            </w:tcMar>
            <w:vAlign w:val="center"/>
          </w:tcPr>
          <w:p w14:paraId="725924AB">
            <w:pPr>
              <w:pStyle w:val="71"/>
              <w:spacing w:before="24" w:after="24"/>
              <w:jc w:val="both"/>
              <w:rPr>
                <w:rFonts w:cs="Times New Roman"/>
              </w:rPr>
            </w:pPr>
          </w:p>
        </w:tc>
        <w:tc>
          <w:tcPr>
            <w:tcW w:w="1887" w:type="dxa"/>
            <w:tcBorders>
              <w:tl2br w:val="nil"/>
              <w:tr2bl w:val="nil"/>
            </w:tcBorders>
            <w:tcMar>
              <w:top w:w="0" w:type="dxa"/>
              <w:left w:w="108" w:type="dxa"/>
              <w:bottom w:w="0" w:type="dxa"/>
              <w:right w:w="108" w:type="dxa"/>
            </w:tcMar>
            <w:vAlign w:val="center"/>
          </w:tcPr>
          <w:p w14:paraId="60E0B705">
            <w:pPr>
              <w:pStyle w:val="71"/>
              <w:spacing w:before="24" w:after="24"/>
              <w:rPr>
                <w:rFonts w:cs="Times New Roman"/>
              </w:rPr>
            </w:pPr>
            <w:r>
              <w:rPr>
                <w:rFonts w:cs="Times New Roman"/>
              </w:rPr>
              <w:t>初期雨水池</w:t>
            </w:r>
          </w:p>
        </w:tc>
        <w:tc>
          <w:tcPr>
            <w:tcW w:w="823" w:type="dxa"/>
            <w:tcBorders>
              <w:tl2br w:val="nil"/>
              <w:tr2bl w:val="nil"/>
            </w:tcBorders>
            <w:tcMar>
              <w:top w:w="0" w:type="dxa"/>
              <w:left w:w="108" w:type="dxa"/>
              <w:bottom w:w="0" w:type="dxa"/>
              <w:right w:w="108" w:type="dxa"/>
            </w:tcMar>
            <w:vAlign w:val="center"/>
          </w:tcPr>
          <w:p w14:paraId="27DA213F">
            <w:pPr>
              <w:pStyle w:val="71"/>
              <w:spacing w:before="24" w:after="24"/>
              <w:rPr>
                <w:rFonts w:cs="Times New Roman"/>
              </w:rPr>
            </w:pPr>
            <w:r>
              <w:rPr>
                <w:rFonts w:cs="Times New Roman"/>
              </w:rPr>
              <w:t>1D</w:t>
            </w:r>
          </w:p>
        </w:tc>
        <w:tc>
          <w:tcPr>
            <w:tcW w:w="1000" w:type="dxa"/>
            <w:tcBorders>
              <w:tl2br w:val="nil"/>
              <w:tr2bl w:val="nil"/>
            </w:tcBorders>
            <w:tcMar>
              <w:top w:w="0" w:type="dxa"/>
              <w:left w:w="108" w:type="dxa"/>
              <w:bottom w:w="0" w:type="dxa"/>
              <w:right w:w="108" w:type="dxa"/>
            </w:tcMar>
            <w:vAlign w:val="center"/>
          </w:tcPr>
          <w:p w14:paraId="763A2CF9">
            <w:pPr>
              <w:pStyle w:val="71"/>
              <w:spacing w:before="24" w:after="24"/>
              <w:rPr>
                <w:rFonts w:cs="Times New Roman"/>
              </w:rPr>
            </w:pPr>
            <w:r>
              <w:rPr>
                <w:rFonts w:cs="Times New Roman"/>
              </w:rPr>
              <w:t>丙类</w:t>
            </w:r>
          </w:p>
        </w:tc>
        <w:tc>
          <w:tcPr>
            <w:tcW w:w="1022" w:type="dxa"/>
            <w:tcBorders>
              <w:tl2br w:val="nil"/>
              <w:tr2bl w:val="nil"/>
            </w:tcBorders>
            <w:tcMar>
              <w:top w:w="0" w:type="dxa"/>
              <w:left w:w="108" w:type="dxa"/>
              <w:bottom w:w="0" w:type="dxa"/>
              <w:right w:w="108" w:type="dxa"/>
            </w:tcMar>
            <w:vAlign w:val="center"/>
          </w:tcPr>
          <w:p w14:paraId="30DC4A6A">
            <w:pPr>
              <w:pStyle w:val="71"/>
              <w:spacing w:before="24" w:after="24"/>
              <w:rPr>
                <w:rFonts w:cs="Times New Roman"/>
              </w:rPr>
            </w:pPr>
            <w:r>
              <w:rPr>
                <w:rFonts w:cs="Times New Roman"/>
              </w:rPr>
              <w:t>钢筋砼</w:t>
            </w:r>
          </w:p>
        </w:tc>
        <w:tc>
          <w:tcPr>
            <w:tcW w:w="1438" w:type="dxa"/>
            <w:tcBorders>
              <w:tl2br w:val="nil"/>
              <w:tr2bl w:val="nil"/>
            </w:tcBorders>
            <w:tcMar>
              <w:top w:w="0" w:type="dxa"/>
              <w:left w:w="108" w:type="dxa"/>
              <w:bottom w:w="0" w:type="dxa"/>
              <w:right w:w="108" w:type="dxa"/>
            </w:tcMar>
            <w:vAlign w:val="center"/>
          </w:tcPr>
          <w:p w14:paraId="0E1F8506">
            <w:pPr>
              <w:pStyle w:val="71"/>
              <w:spacing w:before="24" w:after="24"/>
              <w:rPr>
                <w:rFonts w:cs="Times New Roman"/>
              </w:rPr>
            </w:pPr>
            <w:r>
              <w:rPr>
                <w:rFonts w:cs="Times New Roman"/>
              </w:rPr>
              <w:t>筏板</w:t>
            </w:r>
          </w:p>
        </w:tc>
      </w:tr>
      <w:tr w14:paraId="62F84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continue"/>
            <w:tcBorders>
              <w:tl2br w:val="nil"/>
              <w:tr2bl w:val="nil"/>
            </w:tcBorders>
            <w:tcMar>
              <w:top w:w="0" w:type="dxa"/>
              <w:left w:w="108" w:type="dxa"/>
              <w:bottom w:w="0" w:type="dxa"/>
              <w:right w:w="108" w:type="dxa"/>
            </w:tcMar>
            <w:vAlign w:val="center"/>
          </w:tcPr>
          <w:p w14:paraId="0CFEC6B6">
            <w:pPr>
              <w:pStyle w:val="71"/>
              <w:numPr>
                <w:ilvl w:val="0"/>
                <w:numId w:val="1"/>
              </w:numPr>
              <w:spacing w:before="24" w:after="24"/>
              <w:rPr>
                <w:rFonts w:cs="Times New Roman"/>
              </w:rPr>
            </w:pPr>
          </w:p>
        </w:tc>
        <w:tc>
          <w:tcPr>
            <w:tcW w:w="2763" w:type="dxa"/>
            <w:vMerge w:val="continue"/>
            <w:tcBorders>
              <w:tl2br w:val="nil"/>
              <w:tr2bl w:val="nil"/>
            </w:tcBorders>
            <w:tcMar>
              <w:top w:w="0" w:type="dxa"/>
              <w:left w:w="108" w:type="dxa"/>
              <w:bottom w:w="0" w:type="dxa"/>
              <w:right w:w="108" w:type="dxa"/>
            </w:tcMar>
            <w:vAlign w:val="center"/>
          </w:tcPr>
          <w:p w14:paraId="2519F6CE">
            <w:pPr>
              <w:pStyle w:val="71"/>
              <w:spacing w:before="24" w:after="24"/>
              <w:jc w:val="both"/>
              <w:rPr>
                <w:rFonts w:cs="Times New Roman"/>
              </w:rPr>
            </w:pPr>
          </w:p>
        </w:tc>
        <w:tc>
          <w:tcPr>
            <w:tcW w:w="1887" w:type="dxa"/>
            <w:tcBorders>
              <w:tl2br w:val="nil"/>
              <w:tr2bl w:val="nil"/>
            </w:tcBorders>
            <w:tcMar>
              <w:top w:w="0" w:type="dxa"/>
              <w:left w:w="108" w:type="dxa"/>
              <w:bottom w:w="0" w:type="dxa"/>
              <w:right w:w="108" w:type="dxa"/>
            </w:tcMar>
            <w:vAlign w:val="center"/>
          </w:tcPr>
          <w:p w14:paraId="701E09A3">
            <w:pPr>
              <w:pStyle w:val="71"/>
              <w:spacing w:before="24" w:after="24"/>
              <w:rPr>
                <w:rFonts w:cs="Times New Roman"/>
              </w:rPr>
            </w:pPr>
            <w:r>
              <w:rPr>
                <w:rFonts w:cs="Times New Roman"/>
              </w:rPr>
              <w:t>事故水池</w:t>
            </w:r>
          </w:p>
        </w:tc>
        <w:tc>
          <w:tcPr>
            <w:tcW w:w="823" w:type="dxa"/>
            <w:tcBorders>
              <w:tl2br w:val="nil"/>
              <w:tr2bl w:val="nil"/>
            </w:tcBorders>
            <w:tcMar>
              <w:top w:w="0" w:type="dxa"/>
              <w:left w:w="108" w:type="dxa"/>
              <w:bottom w:w="0" w:type="dxa"/>
              <w:right w:w="108" w:type="dxa"/>
            </w:tcMar>
            <w:vAlign w:val="center"/>
          </w:tcPr>
          <w:p w14:paraId="4B649306">
            <w:pPr>
              <w:pStyle w:val="71"/>
              <w:spacing w:before="24" w:after="24"/>
              <w:rPr>
                <w:rFonts w:cs="Times New Roman"/>
              </w:rPr>
            </w:pPr>
            <w:r>
              <w:rPr>
                <w:rFonts w:cs="Times New Roman"/>
              </w:rPr>
              <w:t>1D</w:t>
            </w:r>
          </w:p>
        </w:tc>
        <w:tc>
          <w:tcPr>
            <w:tcW w:w="1000" w:type="dxa"/>
            <w:tcBorders>
              <w:tl2br w:val="nil"/>
              <w:tr2bl w:val="nil"/>
            </w:tcBorders>
            <w:tcMar>
              <w:top w:w="0" w:type="dxa"/>
              <w:left w:w="108" w:type="dxa"/>
              <w:bottom w:w="0" w:type="dxa"/>
              <w:right w:w="108" w:type="dxa"/>
            </w:tcMar>
            <w:vAlign w:val="center"/>
          </w:tcPr>
          <w:p w14:paraId="6C691ABA">
            <w:pPr>
              <w:pStyle w:val="71"/>
              <w:spacing w:before="24" w:after="24"/>
              <w:rPr>
                <w:rFonts w:cs="Times New Roman"/>
              </w:rPr>
            </w:pPr>
            <w:r>
              <w:rPr>
                <w:rFonts w:cs="Times New Roman"/>
              </w:rPr>
              <w:t>丙类</w:t>
            </w:r>
          </w:p>
        </w:tc>
        <w:tc>
          <w:tcPr>
            <w:tcW w:w="1022" w:type="dxa"/>
            <w:tcBorders>
              <w:tl2br w:val="nil"/>
              <w:tr2bl w:val="nil"/>
            </w:tcBorders>
            <w:tcMar>
              <w:top w:w="0" w:type="dxa"/>
              <w:left w:w="108" w:type="dxa"/>
              <w:bottom w:w="0" w:type="dxa"/>
              <w:right w:w="108" w:type="dxa"/>
            </w:tcMar>
            <w:vAlign w:val="center"/>
          </w:tcPr>
          <w:p w14:paraId="173351B3">
            <w:pPr>
              <w:pStyle w:val="71"/>
              <w:spacing w:before="24" w:after="24"/>
              <w:rPr>
                <w:rFonts w:cs="Times New Roman"/>
              </w:rPr>
            </w:pPr>
            <w:r>
              <w:rPr>
                <w:rFonts w:cs="Times New Roman"/>
              </w:rPr>
              <w:t>钢筋砼</w:t>
            </w:r>
          </w:p>
        </w:tc>
        <w:tc>
          <w:tcPr>
            <w:tcW w:w="1438" w:type="dxa"/>
            <w:tcBorders>
              <w:tl2br w:val="nil"/>
              <w:tr2bl w:val="nil"/>
            </w:tcBorders>
            <w:tcMar>
              <w:top w:w="0" w:type="dxa"/>
              <w:left w:w="108" w:type="dxa"/>
              <w:bottom w:w="0" w:type="dxa"/>
              <w:right w:w="108" w:type="dxa"/>
            </w:tcMar>
            <w:vAlign w:val="center"/>
          </w:tcPr>
          <w:p w14:paraId="26D20AE2">
            <w:pPr>
              <w:pStyle w:val="71"/>
              <w:spacing w:before="24" w:after="24"/>
              <w:rPr>
                <w:rFonts w:cs="Times New Roman"/>
              </w:rPr>
            </w:pPr>
            <w:r>
              <w:rPr>
                <w:rFonts w:cs="Times New Roman"/>
              </w:rPr>
              <w:t>筏板</w:t>
            </w:r>
          </w:p>
        </w:tc>
      </w:tr>
      <w:tr w14:paraId="3DA97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restart"/>
            <w:tcBorders>
              <w:tl2br w:val="nil"/>
              <w:tr2bl w:val="nil"/>
            </w:tcBorders>
            <w:tcMar>
              <w:top w:w="0" w:type="dxa"/>
              <w:left w:w="108" w:type="dxa"/>
              <w:bottom w:w="0" w:type="dxa"/>
              <w:right w:w="108" w:type="dxa"/>
            </w:tcMar>
            <w:vAlign w:val="center"/>
          </w:tcPr>
          <w:p w14:paraId="6983080B">
            <w:pPr>
              <w:pStyle w:val="71"/>
              <w:numPr>
                <w:ilvl w:val="0"/>
                <w:numId w:val="1"/>
              </w:numPr>
              <w:spacing w:before="24" w:after="24"/>
              <w:rPr>
                <w:rFonts w:cs="Times New Roman"/>
              </w:rPr>
            </w:pPr>
          </w:p>
        </w:tc>
        <w:tc>
          <w:tcPr>
            <w:tcW w:w="2763" w:type="dxa"/>
            <w:vMerge w:val="restart"/>
            <w:tcBorders>
              <w:tl2br w:val="nil"/>
              <w:tr2bl w:val="nil"/>
            </w:tcBorders>
            <w:tcMar>
              <w:top w:w="0" w:type="dxa"/>
              <w:left w:w="108" w:type="dxa"/>
              <w:bottom w:w="0" w:type="dxa"/>
              <w:right w:w="108" w:type="dxa"/>
            </w:tcMar>
            <w:vAlign w:val="center"/>
          </w:tcPr>
          <w:p w14:paraId="62D88462">
            <w:pPr>
              <w:pStyle w:val="71"/>
              <w:spacing w:before="24" w:after="24"/>
              <w:jc w:val="both"/>
              <w:rPr>
                <w:rFonts w:cs="Times New Roman"/>
              </w:rPr>
            </w:pPr>
            <w:r>
              <w:rPr>
                <w:rFonts w:cs="Times New Roman"/>
              </w:rPr>
              <w:t>德钦新县城同乐垃圾转运站、岩瓦垃圾转运站建设项目</w:t>
            </w:r>
          </w:p>
        </w:tc>
        <w:tc>
          <w:tcPr>
            <w:tcW w:w="1887" w:type="dxa"/>
            <w:tcBorders>
              <w:tl2br w:val="nil"/>
              <w:tr2bl w:val="nil"/>
            </w:tcBorders>
            <w:tcMar>
              <w:top w:w="0" w:type="dxa"/>
              <w:left w:w="108" w:type="dxa"/>
              <w:bottom w:w="0" w:type="dxa"/>
              <w:right w:w="108" w:type="dxa"/>
            </w:tcMar>
            <w:vAlign w:val="center"/>
          </w:tcPr>
          <w:p w14:paraId="275B7D25">
            <w:pPr>
              <w:pStyle w:val="71"/>
              <w:spacing w:before="24" w:after="24"/>
              <w:rPr>
                <w:rFonts w:cs="Times New Roman"/>
              </w:rPr>
            </w:pPr>
            <w:r>
              <w:rPr>
                <w:rFonts w:cs="Times New Roman"/>
              </w:rPr>
              <w:t>同乐垃圾转运站</w:t>
            </w:r>
          </w:p>
        </w:tc>
        <w:tc>
          <w:tcPr>
            <w:tcW w:w="823" w:type="dxa"/>
            <w:tcBorders>
              <w:tl2br w:val="nil"/>
              <w:tr2bl w:val="nil"/>
            </w:tcBorders>
            <w:tcMar>
              <w:top w:w="0" w:type="dxa"/>
              <w:left w:w="108" w:type="dxa"/>
              <w:bottom w:w="0" w:type="dxa"/>
              <w:right w:w="108" w:type="dxa"/>
            </w:tcMar>
            <w:vAlign w:val="center"/>
          </w:tcPr>
          <w:p w14:paraId="7BDCAA3D">
            <w:pPr>
              <w:pStyle w:val="71"/>
              <w:spacing w:before="24" w:after="24"/>
              <w:rPr>
                <w:rFonts w:cs="Times New Roman"/>
              </w:rPr>
            </w:pPr>
            <w:r>
              <w:rPr>
                <w:rFonts w:cs="Times New Roman"/>
              </w:rPr>
              <w:t>2</w:t>
            </w:r>
          </w:p>
        </w:tc>
        <w:tc>
          <w:tcPr>
            <w:tcW w:w="1000" w:type="dxa"/>
            <w:tcBorders>
              <w:tl2br w:val="nil"/>
              <w:tr2bl w:val="nil"/>
            </w:tcBorders>
            <w:tcMar>
              <w:top w:w="0" w:type="dxa"/>
              <w:left w:w="108" w:type="dxa"/>
              <w:bottom w:w="0" w:type="dxa"/>
              <w:right w:w="108" w:type="dxa"/>
            </w:tcMar>
            <w:vAlign w:val="center"/>
          </w:tcPr>
          <w:p w14:paraId="5B7BD008">
            <w:pPr>
              <w:pStyle w:val="71"/>
              <w:spacing w:before="24" w:after="24"/>
              <w:rPr>
                <w:rFonts w:cs="Times New Roman"/>
              </w:rPr>
            </w:pPr>
            <w:r>
              <w:rPr>
                <w:rFonts w:cs="Times New Roman"/>
              </w:rPr>
              <w:t>丙类</w:t>
            </w:r>
          </w:p>
        </w:tc>
        <w:tc>
          <w:tcPr>
            <w:tcW w:w="1022" w:type="dxa"/>
            <w:tcBorders>
              <w:tl2br w:val="nil"/>
              <w:tr2bl w:val="nil"/>
            </w:tcBorders>
            <w:tcMar>
              <w:top w:w="0" w:type="dxa"/>
              <w:left w:w="108" w:type="dxa"/>
              <w:bottom w:w="0" w:type="dxa"/>
              <w:right w:w="108" w:type="dxa"/>
            </w:tcMar>
            <w:vAlign w:val="center"/>
          </w:tcPr>
          <w:p w14:paraId="37E8B612">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759DB158">
            <w:pPr>
              <w:pStyle w:val="71"/>
              <w:spacing w:before="24" w:after="24"/>
              <w:rPr>
                <w:rFonts w:cs="Times New Roman"/>
              </w:rPr>
            </w:pPr>
            <w:r>
              <w:rPr>
                <w:rFonts w:cs="Times New Roman"/>
              </w:rPr>
              <w:t>浅基、桩基</w:t>
            </w:r>
          </w:p>
        </w:tc>
      </w:tr>
      <w:tr w14:paraId="2DCE3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continue"/>
            <w:tcBorders>
              <w:tl2br w:val="nil"/>
              <w:tr2bl w:val="nil"/>
            </w:tcBorders>
            <w:tcMar>
              <w:top w:w="0" w:type="dxa"/>
              <w:left w:w="108" w:type="dxa"/>
              <w:bottom w:w="0" w:type="dxa"/>
              <w:right w:w="108" w:type="dxa"/>
            </w:tcMar>
            <w:vAlign w:val="center"/>
          </w:tcPr>
          <w:p w14:paraId="285C67F1">
            <w:pPr>
              <w:pStyle w:val="71"/>
              <w:numPr>
                <w:ilvl w:val="0"/>
                <w:numId w:val="1"/>
              </w:numPr>
              <w:spacing w:before="24" w:after="24"/>
              <w:rPr>
                <w:rFonts w:cs="Times New Roman"/>
              </w:rPr>
            </w:pPr>
          </w:p>
        </w:tc>
        <w:tc>
          <w:tcPr>
            <w:tcW w:w="2763" w:type="dxa"/>
            <w:vMerge w:val="continue"/>
            <w:tcBorders>
              <w:tl2br w:val="nil"/>
              <w:tr2bl w:val="nil"/>
            </w:tcBorders>
            <w:tcMar>
              <w:top w:w="0" w:type="dxa"/>
              <w:left w:w="108" w:type="dxa"/>
              <w:bottom w:w="0" w:type="dxa"/>
              <w:right w:w="108" w:type="dxa"/>
            </w:tcMar>
            <w:vAlign w:val="center"/>
          </w:tcPr>
          <w:p w14:paraId="7C0C5A38">
            <w:pPr>
              <w:pStyle w:val="71"/>
              <w:spacing w:before="24" w:after="24"/>
              <w:jc w:val="both"/>
              <w:rPr>
                <w:rFonts w:cs="Times New Roman"/>
              </w:rPr>
            </w:pPr>
          </w:p>
        </w:tc>
        <w:tc>
          <w:tcPr>
            <w:tcW w:w="1887" w:type="dxa"/>
            <w:tcBorders>
              <w:tl2br w:val="nil"/>
              <w:tr2bl w:val="nil"/>
            </w:tcBorders>
            <w:tcMar>
              <w:top w:w="0" w:type="dxa"/>
              <w:left w:w="108" w:type="dxa"/>
              <w:bottom w:w="0" w:type="dxa"/>
              <w:right w:w="108" w:type="dxa"/>
            </w:tcMar>
            <w:vAlign w:val="center"/>
          </w:tcPr>
          <w:p w14:paraId="00EE161A">
            <w:pPr>
              <w:pStyle w:val="71"/>
              <w:spacing w:before="24" w:after="24"/>
              <w:rPr>
                <w:rFonts w:cs="Times New Roman"/>
              </w:rPr>
            </w:pPr>
            <w:r>
              <w:rPr>
                <w:rFonts w:cs="Times New Roman"/>
              </w:rPr>
              <w:t>岩瓦垃圾转运站</w:t>
            </w:r>
          </w:p>
        </w:tc>
        <w:tc>
          <w:tcPr>
            <w:tcW w:w="823" w:type="dxa"/>
            <w:tcBorders>
              <w:tl2br w:val="nil"/>
              <w:tr2bl w:val="nil"/>
            </w:tcBorders>
            <w:tcMar>
              <w:top w:w="0" w:type="dxa"/>
              <w:left w:w="108" w:type="dxa"/>
              <w:bottom w:w="0" w:type="dxa"/>
              <w:right w:w="108" w:type="dxa"/>
            </w:tcMar>
            <w:vAlign w:val="center"/>
          </w:tcPr>
          <w:p w14:paraId="48D28B62">
            <w:pPr>
              <w:pStyle w:val="71"/>
              <w:spacing w:before="24" w:after="24"/>
              <w:rPr>
                <w:rFonts w:cs="Times New Roman"/>
              </w:rPr>
            </w:pPr>
            <w:r>
              <w:rPr>
                <w:rFonts w:cs="Times New Roman"/>
              </w:rPr>
              <w:t>1</w:t>
            </w:r>
          </w:p>
        </w:tc>
        <w:tc>
          <w:tcPr>
            <w:tcW w:w="1000" w:type="dxa"/>
            <w:tcBorders>
              <w:tl2br w:val="nil"/>
              <w:tr2bl w:val="nil"/>
            </w:tcBorders>
            <w:tcMar>
              <w:top w:w="0" w:type="dxa"/>
              <w:left w:w="108" w:type="dxa"/>
              <w:bottom w:w="0" w:type="dxa"/>
              <w:right w:w="108" w:type="dxa"/>
            </w:tcMar>
            <w:vAlign w:val="center"/>
          </w:tcPr>
          <w:p w14:paraId="503A0153">
            <w:pPr>
              <w:pStyle w:val="71"/>
              <w:spacing w:before="24" w:after="24"/>
              <w:rPr>
                <w:rFonts w:cs="Times New Roman"/>
              </w:rPr>
            </w:pPr>
            <w:r>
              <w:rPr>
                <w:rFonts w:cs="Times New Roman"/>
              </w:rPr>
              <w:t>丙类</w:t>
            </w:r>
          </w:p>
        </w:tc>
        <w:tc>
          <w:tcPr>
            <w:tcW w:w="1022" w:type="dxa"/>
            <w:tcBorders>
              <w:tl2br w:val="nil"/>
              <w:tr2bl w:val="nil"/>
            </w:tcBorders>
            <w:tcMar>
              <w:top w:w="0" w:type="dxa"/>
              <w:left w:w="108" w:type="dxa"/>
              <w:bottom w:w="0" w:type="dxa"/>
              <w:right w:w="108" w:type="dxa"/>
            </w:tcMar>
            <w:vAlign w:val="center"/>
          </w:tcPr>
          <w:p w14:paraId="5C51A079">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42861B32">
            <w:pPr>
              <w:pStyle w:val="71"/>
              <w:spacing w:before="24" w:after="24"/>
              <w:rPr>
                <w:rFonts w:cs="Times New Roman"/>
              </w:rPr>
            </w:pPr>
            <w:r>
              <w:rPr>
                <w:rFonts w:cs="Times New Roman"/>
              </w:rPr>
              <w:t>浅基、桩基</w:t>
            </w:r>
          </w:p>
        </w:tc>
      </w:tr>
      <w:tr w14:paraId="2200A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 w:hRule="atLeast"/>
        </w:trPr>
        <w:tc>
          <w:tcPr>
            <w:tcW w:w="490" w:type="dxa"/>
            <w:vMerge w:val="restart"/>
            <w:tcBorders>
              <w:tl2br w:val="nil"/>
              <w:tr2bl w:val="nil"/>
            </w:tcBorders>
            <w:tcMar>
              <w:top w:w="0" w:type="dxa"/>
              <w:left w:w="108" w:type="dxa"/>
              <w:bottom w:w="0" w:type="dxa"/>
              <w:right w:w="108" w:type="dxa"/>
            </w:tcMar>
            <w:vAlign w:val="center"/>
          </w:tcPr>
          <w:p w14:paraId="5AA6ACEB">
            <w:pPr>
              <w:pStyle w:val="71"/>
              <w:numPr>
                <w:ilvl w:val="0"/>
                <w:numId w:val="1"/>
              </w:numPr>
              <w:spacing w:before="24" w:after="24"/>
              <w:rPr>
                <w:rFonts w:cs="Times New Roman"/>
              </w:rPr>
            </w:pPr>
          </w:p>
        </w:tc>
        <w:tc>
          <w:tcPr>
            <w:tcW w:w="2763" w:type="dxa"/>
            <w:vMerge w:val="restart"/>
            <w:tcBorders>
              <w:tl2br w:val="nil"/>
              <w:tr2bl w:val="nil"/>
            </w:tcBorders>
            <w:tcMar>
              <w:top w:w="0" w:type="dxa"/>
              <w:left w:w="108" w:type="dxa"/>
              <w:bottom w:w="0" w:type="dxa"/>
              <w:right w:w="108" w:type="dxa"/>
            </w:tcMar>
            <w:vAlign w:val="center"/>
          </w:tcPr>
          <w:p w14:paraId="4744A4F6">
            <w:pPr>
              <w:pStyle w:val="71"/>
              <w:spacing w:before="24" w:after="24"/>
              <w:jc w:val="both"/>
              <w:rPr>
                <w:rFonts w:cs="Times New Roman"/>
              </w:rPr>
            </w:pPr>
            <w:r>
              <w:rPr>
                <w:rFonts w:cs="Times New Roman"/>
              </w:rPr>
              <w:t>德钦新县城工人文化宫暨群团服务中心建设项目</w:t>
            </w:r>
          </w:p>
        </w:tc>
        <w:tc>
          <w:tcPr>
            <w:tcW w:w="1887" w:type="dxa"/>
            <w:tcBorders>
              <w:tl2br w:val="nil"/>
              <w:tr2bl w:val="nil"/>
            </w:tcBorders>
            <w:tcMar>
              <w:top w:w="0" w:type="dxa"/>
              <w:left w:w="108" w:type="dxa"/>
              <w:bottom w:w="0" w:type="dxa"/>
              <w:right w:w="108" w:type="dxa"/>
            </w:tcMar>
            <w:vAlign w:val="center"/>
          </w:tcPr>
          <w:p w14:paraId="2F79594B">
            <w:pPr>
              <w:pStyle w:val="71"/>
              <w:spacing w:before="24" w:after="24"/>
              <w:rPr>
                <w:rFonts w:cs="Times New Roman"/>
              </w:rPr>
            </w:pPr>
            <w:r>
              <w:rPr>
                <w:rFonts w:cs="Times New Roman"/>
              </w:rPr>
              <w:t>工人文化宫</w:t>
            </w:r>
          </w:p>
        </w:tc>
        <w:tc>
          <w:tcPr>
            <w:tcW w:w="823" w:type="dxa"/>
            <w:tcBorders>
              <w:tl2br w:val="nil"/>
              <w:tr2bl w:val="nil"/>
            </w:tcBorders>
            <w:tcMar>
              <w:top w:w="0" w:type="dxa"/>
              <w:left w:w="108" w:type="dxa"/>
              <w:bottom w:w="0" w:type="dxa"/>
              <w:right w:w="108" w:type="dxa"/>
            </w:tcMar>
            <w:vAlign w:val="center"/>
          </w:tcPr>
          <w:p w14:paraId="5D63699C">
            <w:pPr>
              <w:pStyle w:val="71"/>
              <w:spacing w:before="24" w:after="24"/>
              <w:rPr>
                <w:rFonts w:cs="Times New Roman"/>
              </w:rPr>
            </w:pPr>
            <w:r>
              <w:rPr>
                <w:rFonts w:cs="Times New Roman"/>
              </w:rPr>
              <w:t>4</w:t>
            </w:r>
          </w:p>
        </w:tc>
        <w:tc>
          <w:tcPr>
            <w:tcW w:w="1000" w:type="dxa"/>
            <w:tcBorders>
              <w:tl2br w:val="nil"/>
              <w:tr2bl w:val="nil"/>
            </w:tcBorders>
            <w:tcMar>
              <w:top w:w="0" w:type="dxa"/>
              <w:left w:w="108" w:type="dxa"/>
              <w:bottom w:w="0" w:type="dxa"/>
              <w:right w:w="108" w:type="dxa"/>
            </w:tcMar>
            <w:vAlign w:val="center"/>
          </w:tcPr>
          <w:p w14:paraId="49D77DEE">
            <w:pPr>
              <w:pStyle w:val="71"/>
              <w:spacing w:before="24" w:after="24"/>
              <w:rPr>
                <w:rFonts w:cs="Times New Roman"/>
              </w:rPr>
            </w:pPr>
            <w:r>
              <w:rPr>
                <w:rFonts w:cs="Times New Roman"/>
              </w:rPr>
              <w:t>丙类</w:t>
            </w:r>
          </w:p>
        </w:tc>
        <w:tc>
          <w:tcPr>
            <w:tcW w:w="1022" w:type="dxa"/>
            <w:tcBorders>
              <w:tl2br w:val="nil"/>
              <w:tr2bl w:val="nil"/>
            </w:tcBorders>
            <w:tcMar>
              <w:top w:w="0" w:type="dxa"/>
              <w:left w:w="108" w:type="dxa"/>
              <w:bottom w:w="0" w:type="dxa"/>
              <w:right w:w="108" w:type="dxa"/>
            </w:tcMar>
            <w:vAlign w:val="center"/>
          </w:tcPr>
          <w:p w14:paraId="6B0701C1">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06DB3158">
            <w:pPr>
              <w:pStyle w:val="71"/>
              <w:spacing w:before="24" w:after="24"/>
              <w:rPr>
                <w:rFonts w:cs="Times New Roman"/>
              </w:rPr>
            </w:pPr>
            <w:r>
              <w:rPr>
                <w:rFonts w:cs="Times New Roman"/>
              </w:rPr>
              <w:t>浅基、桩基</w:t>
            </w:r>
          </w:p>
        </w:tc>
      </w:tr>
      <w:tr w14:paraId="2C918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continue"/>
            <w:tcBorders>
              <w:tl2br w:val="nil"/>
              <w:tr2bl w:val="nil"/>
            </w:tcBorders>
            <w:tcMar>
              <w:top w:w="0" w:type="dxa"/>
              <w:left w:w="108" w:type="dxa"/>
              <w:bottom w:w="0" w:type="dxa"/>
              <w:right w:w="108" w:type="dxa"/>
            </w:tcMar>
            <w:vAlign w:val="center"/>
          </w:tcPr>
          <w:p w14:paraId="0D8F6D55">
            <w:pPr>
              <w:pStyle w:val="71"/>
              <w:numPr>
                <w:ilvl w:val="0"/>
                <w:numId w:val="1"/>
              </w:numPr>
              <w:spacing w:before="24" w:after="24"/>
              <w:rPr>
                <w:rFonts w:cs="Times New Roman"/>
              </w:rPr>
            </w:pPr>
          </w:p>
        </w:tc>
        <w:tc>
          <w:tcPr>
            <w:tcW w:w="2763" w:type="dxa"/>
            <w:vMerge w:val="continue"/>
            <w:tcBorders>
              <w:tl2br w:val="nil"/>
              <w:tr2bl w:val="nil"/>
            </w:tcBorders>
            <w:tcMar>
              <w:top w:w="0" w:type="dxa"/>
              <w:left w:w="108" w:type="dxa"/>
              <w:bottom w:w="0" w:type="dxa"/>
              <w:right w:w="108" w:type="dxa"/>
            </w:tcMar>
            <w:vAlign w:val="center"/>
          </w:tcPr>
          <w:p w14:paraId="52621B30">
            <w:pPr>
              <w:pStyle w:val="71"/>
              <w:spacing w:before="24" w:after="24"/>
              <w:jc w:val="both"/>
              <w:rPr>
                <w:rFonts w:cs="Times New Roman"/>
              </w:rPr>
            </w:pPr>
          </w:p>
        </w:tc>
        <w:tc>
          <w:tcPr>
            <w:tcW w:w="1887" w:type="dxa"/>
            <w:tcBorders>
              <w:tl2br w:val="nil"/>
              <w:tr2bl w:val="nil"/>
            </w:tcBorders>
            <w:tcMar>
              <w:top w:w="0" w:type="dxa"/>
              <w:left w:w="108" w:type="dxa"/>
              <w:bottom w:w="0" w:type="dxa"/>
              <w:right w:w="108" w:type="dxa"/>
            </w:tcMar>
            <w:vAlign w:val="center"/>
          </w:tcPr>
          <w:p w14:paraId="18B9DAF4">
            <w:pPr>
              <w:pStyle w:val="71"/>
              <w:spacing w:before="24" w:after="24"/>
              <w:rPr>
                <w:rFonts w:cs="Times New Roman"/>
              </w:rPr>
            </w:pPr>
            <w:r>
              <w:rPr>
                <w:rFonts w:cs="Times New Roman"/>
              </w:rPr>
              <w:t>群团服务中心</w:t>
            </w:r>
          </w:p>
        </w:tc>
        <w:tc>
          <w:tcPr>
            <w:tcW w:w="823" w:type="dxa"/>
            <w:tcBorders>
              <w:tl2br w:val="nil"/>
              <w:tr2bl w:val="nil"/>
            </w:tcBorders>
            <w:tcMar>
              <w:top w:w="0" w:type="dxa"/>
              <w:left w:w="108" w:type="dxa"/>
              <w:bottom w:w="0" w:type="dxa"/>
              <w:right w:w="108" w:type="dxa"/>
            </w:tcMar>
            <w:vAlign w:val="center"/>
          </w:tcPr>
          <w:p w14:paraId="2D11864D">
            <w:pPr>
              <w:pStyle w:val="71"/>
              <w:spacing w:before="24" w:after="24"/>
              <w:rPr>
                <w:rFonts w:cs="Times New Roman"/>
              </w:rPr>
            </w:pPr>
            <w:r>
              <w:rPr>
                <w:rFonts w:cs="Times New Roman"/>
              </w:rPr>
              <w:t>2</w:t>
            </w:r>
          </w:p>
        </w:tc>
        <w:tc>
          <w:tcPr>
            <w:tcW w:w="1000" w:type="dxa"/>
            <w:tcBorders>
              <w:tl2br w:val="nil"/>
              <w:tr2bl w:val="nil"/>
            </w:tcBorders>
            <w:tcMar>
              <w:top w:w="0" w:type="dxa"/>
              <w:left w:w="108" w:type="dxa"/>
              <w:bottom w:w="0" w:type="dxa"/>
              <w:right w:w="108" w:type="dxa"/>
            </w:tcMar>
            <w:vAlign w:val="center"/>
          </w:tcPr>
          <w:p w14:paraId="145A12A4">
            <w:pPr>
              <w:pStyle w:val="71"/>
              <w:spacing w:before="24" w:after="24"/>
              <w:rPr>
                <w:rFonts w:cs="Times New Roman"/>
              </w:rPr>
            </w:pPr>
            <w:r>
              <w:rPr>
                <w:rFonts w:cs="Times New Roman"/>
              </w:rPr>
              <w:t>丙类</w:t>
            </w:r>
          </w:p>
        </w:tc>
        <w:tc>
          <w:tcPr>
            <w:tcW w:w="1022" w:type="dxa"/>
            <w:tcBorders>
              <w:tl2br w:val="nil"/>
              <w:tr2bl w:val="nil"/>
            </w:tcBorders>
            <w:tcMar>
              <w:top w:w="0" w:type="dxa"/>
              <w:left w:w="108" w:type="dxa"/>
              <w:bottom w:w="0" w:type="dxa"/>
              <w:right w:w="108" w:type="dxa"/>
            </w:tcMar>
            <w:vAlign w:val="center"/>
          </w:tcPr>
          <w:p w14:paraId="5E89C8CF">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66E9A5FB">
            <w:pPr>
              <w:pStyle w:val="71"/>
              <w:spacing w:before="24" w:after="24"/>
              <w:rPr>
                <w:rFonts w:cs="Times New Roman"/>
              </w:rPr>
            </w:pPr>
            <w:r>
              <w:rPr>
                <w:rFonts w:cs="Times New Roman"/>
              </w:rPr>
              <w:t>浅基、桩基</w:t>
            </w:r>
          </w:p>
        </w:tc>
      </w:tr>
      <w:tr w14:paraId="3EDA1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tcBorders>
              <w:tl2br w:val="nil"/>
              <w:tr2bl w:val="nil"/>
            </w:tcBorders>
            <w:tcMar>
              <w:top w:w="0" w:type="dxa"/>
              <w:left w:w="108" w:type="dxa"/>
              <w:bottom w:w="0" w:type="dxa"/>
              <w:right w:w="108" w:type="dxa"/>
            </w:tcMar>
            <w:vAlign w:val="center"/>
          </w:tcPr>
          <w:p w14:paraId="65F0CA91">
            <w:pPr>
              <w:pStyle w:val="71"/>
              <w:numPr>
                <w:ilvl w:val="0"/>
                <w:numId w:val="1"/>
              </w:numPr>
              <w:spacing w:before="24" w:after="24"/>
              <w:rPr>
                <w:rFonts w:cs="Times New Roman"/>
              </w:rPr>
            </w:pPr>
          </w:p>
        </w:tc>
        <w:tc>
          <w:tcPr>
            <w:tcW w:w="2763" w:type="dxa"/>
            <w:tcBorders>
              <w:tl2br w:val="nil"/>
              <w:tr2bl w:val="nil"/>
            </w:tcBorders>
            <w:tcMar>
              <w:top w:w="0" w:type="dxa"/>
              <w:left w:w="108" w:type="dxa"/>
              <w:bottom w:w="0" w:type="dxa"/>
              <w:right w:w="108" w:type="dxa"/>
            </w:tcMar>
            <w:vAlign w:val="center"/>
          </w:tcPr>
          <w:p w14:paraId="61981289">
            <w:pPr>
              <w:pStyle w:val="71"/>
              <w:spacing w:before="24" w:after="24"/>
              <w:jc w:val="both"/>
              <w:rPr>
                <w:rFonts w:cs="Times New Roman"/>
              </w:rPr>
            </w:pPr>
            <w:r>
              <w:rPr>
                <w:rFonts w:cs="Times New Roman"/>
              </w:rPr>
              <w:t>德钦新县城文物管理所建设项目</w:t>
            </w:r>
          </w:p>
        </w:tc>
        <w:tc>
          <w:tcPr>
            <w:tcW w:w="1887" w:type="dxa"/>
            <w:tcBorders>
              <w:tl2br w:val="nil"/>
              <w:tr2bl w:val="nil"/>
            </w:tcBorders>
            <w:tcMar>
              <w:top w:w="0" w:type="dxa"/>
              <w:left w:w="108" w:type="dxa"/>
              <w:bottom w:w="0" w:type="dxa"/>
              <w:right w:w="108" w:type="dxa"/>
            </w:tcMar>
            <w:vAlign w:val="center"/>
          </w:tcPr>
          <w:p w14:paraId="220C0742">
            <w:pPr>
              <w:pStyle w:val="71"/>
              <w:spacing w:before="24" w:after="24"/>
              <w:rPr>
                <w:rFonts w:cs="Times New Roman"/>
              </w:rPr>
            </w:pPr>
          </w:p>
        </w:tc>
        <w:tc>
          <w:tcPr>
            <w:tcW w:w="823" w:type="dxa"/>
            <w:tcBorders>
              <w:tl2br w:val="nil"/>
              <w:tr2bl w:val="nil"/>
            </w:tcBorders>
            <w:tcMar>
              <w:top w:w="0" w:type="dxa"/>
              <w:left w:w="108" w:type="dxa"/>
              <w:bottom w:w="0" w:type="dxa"/>
              <w:right w:w="108" w:type="dxa"/>
            </w:tcMar>
            <w:vAlign w:val="center"/>
          </w:tcPr>
          <w:p w14:paraId="427F419F">
            <w:pPr>
              <w:pStyle w:val="71"/>
              <w:spacing w:before="24" w:after="24"/>
              <w:rPr>
                <w:rFonts w:cs="Times New Roman"/>
              </w:rPr>
            </w:pPr>
            <w:r>
              <w:rPr>
                <w:rFonts w:cs="Times New Roman"/>
              </w:rPr>
              <w:t>3</w:t>
            </w:r>
          </w:p>
        </w:tc>
        <w:tc>
          <w:tcPr>
            <w:tcW w:w="1000" w:type="dxa"/>
            <w:tcBorders>
              <w:tl2br w:val="nil"/>
              <w:tr2bl w:val="nil"/>
            </w:tcBorders>
            <w:tcMar>
              <w:top w:w="0" w:type="dxa"/>
              <w:left w:w="108" w:type="dxa"/>
              <w:bottom w:w="0" w:type="dxa"/>
              <w:right w:w="108" w:type="dxa"/>
            </w:tcMar>
            <w:vAlign w:val="center"/>
          </w:tcPr>
          <w:p w14:paraId="27055804">
            <w:pPr>
              <w:pStyle w:val="71"/>
              <w:spacing w:before="24" w:after="24"/>
              <w:rPr>
                <w:rFonts w:cs="Times New Roman"/>
              </w:rPr>
            </w:pPr>
            <w:r>
              <w:rPr>
                <w:rFonts w:cs="Times New Roman"/>
              </w:rPr>
              <w:t>丙类</w:t>
            </w:r>
          </w:p>
        </w:tc>
        <w:tc>
          <w:tcPr>
            <w:tcW w:w="1022" w:type="dxa"/>
            <w:tcBorders>
              <w:tl2br w:val="nil"/>
              <w:tr2bl w:val="nil"/>
            </w:tcBorders>
            <w:tcMar>
              <w:top w:w="0" w:type="dxa"/>
              <w:left w:w="108" w:type="dxa"/>
              <w:bottom w:w="0" w:type="dxa"/>
              <w:right w:w="108" w:type="dxa"/>
            </w:tcMar>
            <w:vAlign w:val="center"/>
          </w:tcPr>
          <w:p w14:paraId="130E5079">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2731DC38">
            <w:pPr>
              <w:pStyle w:val="71"/>
              <w:spacing w:before="24" w:after="24"/>
              <w:rPr>
                <w:rFonts w:cs="Times New Roman"/>
              </w:rPr>
            </w:pPr>
            <w:r>
              <w:rPr>
                <w:rFonts w:cs="Times New Roman"/>
              </w:rPr>
              <w:t>浅基、桩基</w:t>
            </w:r>
          </w:p>
        </w:tc>
      </w:tr>
      <w:tr w14:paraId="5D1F0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tcBorders>
              <w:tl2br w:val="nil"/>
              <w:tr2bl w:val="nil"/>
            </w:tcBorders>
            <w:tcMar>
              <w:top w:w="0" w:type="dxa"/>
              <w:left w:w="108" w:type="dxa"/>
              <w:bottom w:w="0" w:type="dxa"/>
              <w:right w:w="108" w:type="dxa"/>
            </w:tcMar>
            <w:vAlign w:val="center"/>
          </w:tcPr>
          <w:p w14:paraId="4F60C379">
            <w:pPr>
              <w:pStyle w:val="71"/>
              <w:numPr>
                <w:ilvl w:val="0"/>
                <w:numId w:val="1"/>
              </w:numPr>
              <w:spacing w:before="24" w:after="24"/>
              <w:rPr>
                <w:rFonts w:cs="Times New Roman"/>
              </w:rPr>
            </w:pPr>
          </w:p>
        </w:tc>
        <w:tc>
          <w:tcPr>
            <w:tcW w:w="2763" w:type="dxa"/>
            <w:tcBorders>
              <w:tl2br w:val="nil"/>
              <w:tr2bl w:val="nil"/>
            </w:tcBorders>
            <w:tcMar>
              <w:top w:w="0" w:type="dxa"/>
              <w:left w:w="108" w:type="dxa"/>
              <w:bottom w:w="0" w:type="dxa"/>
              <w:right w:w="108" w:type="dxa"/>
            </w:tcMar>
            <w:vAlign w:val="center"/>
          </w:tcPr>
          <w:p w14:paraId="4E37E5D4">
            <w:pPr>
              <w:pStyle w:val="71"/>
              <w:spacing w:before="24" w:after="24"/>
              <w:jc w:val="both"/>
              <w:rPr>
                <w:rFonts w:cs="Times New Roman"/>
              </w:rPr>
            </w:pPr>
            <w:r>
              <w:rPr>
                <w:rFonts w:cs="Times New Roman"/>
              </w:rPr>
              <w:t>德钦新县城档案馆建设项目</w:t>
            </w:r>
          </w:p>
        </w:tc>
        <w:tc>
          <w:tcPr>
            <w:tcW w:w="1887" w:type="dxa"/>
            <w:tcBorders>
              <w:tl2br w:val="nil"/>
              <w:tr2bl w:val="nil"/>
            </w:tcBorders>
            <w:tcMar>
              <w:top w:w="0" w:type="dxa"/>
              <w:left w:w="108" w:type="dxa"/>
              <w:bottom w:w="0" w:type="dxa"/>
              <w:right w:w="108" w:type="dxa"/>
            </w:tcMar>
            <w:vAlign w:val="center"/>
          </w:tcPr>
          <w:p w14:paraId="5178CCEF">
            <w:pPr>
              <w:pStyle w:val="71"/>
              <w:spacing w:before="24" w:after="24"/>
              <w:rPr>
                <w:rFonts w:cs="Times New Roman"/>
              </w:rPr>
            </w:pPr>
          </w:p>
        </w:tc>
        <w:tc>
          <w:tcPr>
            <w:tcW w:w="823" w:type="dxa"/>
            <w:tcBorders>
              <w:tl2br w:val="nil"/>
              <w:tr2bl w:val="nil"/>
            </w:tcBorders>
            <w:tcMar>
              <w:top w:w="0" w:type="dxa"/>
              <w:left w:w="108" w:type="dxa"/>
              <w:bottom w:w="0" w:type="dxa"/>
              <w:right w:w="108" w:type="dxa"/>
            </w:tcMar>
            <w:vAlign w:val="center"/>
          </w:tcPr>
          <w:p w14:paraId="225ABB47">
            <w:pPr>
              <w:pStyle w:val="71"/>
              <w:spacing w:before="24" w:after="24"/>
              <w:rPr>
                <w:rFonts w:cs="Times New Roman"/>
              </w:rPr>
            </w:pPr>
            <w:r>
              <w:rPr>
                <w:rFonts w:cs="Times New Roman"/>
              </w:rPr>
              <w:t>4</w:t>
            </w:r>
          </w:p>
        </w:tc>
        <w:tc>
          <w:tcPr>
            <w:tcW w:w="1000" w:type="dxa"/>
            <w:tcBorders>
              <w:tl2br w:val="nil"/>
              <w:tr2bl w:val="nil"/>
            </w:tcBorders>
            <w:tcMar>
              <w:top w:w="0" w:type="dxa"/>
              <w:left w:w="108" w:type="dxa"/>
              <w:bottom w:w="0" w:type="dxa"/>
              <w:right w:w="108" w:type="dxa"/>
            </w:tcMar>
            <w:vAlign w:val="center"/>
          </w:tcPr>
          <w:p w14:paraId="0DCF4D17">
            <w:pPr>
              <w:pStyle w:val="71"/>
              <w:spacing w:before="24" w:after="24"/>
              <w:rPr>
                <w:rFonts w:cs="Times New Roman"/>
              </w:rPr>
            </w:pPr>
            <w:r>
              <w:rPr>
                <w:rFonts w:cs="Times New Roman"/>
              </w:rPr>
              <w:t>丙类</w:t>
            </w:r>
          </w:p>
        </w:tc>
        <w:tc>
          <w:tcPr>
            <w:tcW w:w="1022" w:type="dxa"/>
            <w:tcBorders>
              <w:tl2br w:val="nil"/>
              <w:tr2bl w:val="nil"/>
            </w:tcBorders>
            <w:tcMar>
              <w:top w:w="0" w:type="dxa"/>
              <w:left w:w="108" w:type="dxa"/>
              <w:bottom w:w="0" w:type="dxa"/>
              <w:right w:w="108" w:type="dxa"/>
            </w:tcMar>
            <w:vAlign w:val="center"/>
          </w:tcPr>
          <w:p w14:paraId="64CD2AF8">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2DF64E1A">
            <w:pPr>
              <w:pStyle w:val="71"/>
              <w:spacing w:before="24" w:after="24"/>
              <w:rPr>
                <w:rFonts w:cs="Times New Roman"/>
              </w:rPr>
            </w:pPr>
            <w:r>
              <w:rPr>
                <w:rFonts w:cs="Times New Roman"/>
              </w:rPr>
              <w:t>浅基、桩基</w:t>
            </w:r>
          </w:p>
        </w:tc>
      </w:tr>
      <w:tr w14:paraId="490252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tcBorders>
              <w:tl2br w:val="nil"/>
              <w:tr2bl w:val="nil"/>
            </w:tcBorders>
            <w:tcMar>
              <w:top w:w="0" w:type="dxa"/>
              <w:left w:w="108" w:type="dxa"/>
              <w:bottom w:w="0" w:type="dxa"/>
              <w:right w:w="108" w:type="dxa"/>
            </w:tcMar>
            <w:vAlign w:val="center"/>
          </w:tcPr>
          <w:p w14:paraId="0A1EFE9D">
            <w:pPr>
              <w:pStyle w:val="71"/>
              <w:numPr>
                <w:ilvl w:val="0"/>
                <w:numId w:val="1"/>
              </w:numPr>
              <w:spacing w:before="24" w:after="24"/>
              <w:rPr>
                <w:rFonts w:cs="Times New Roman"/>
              </w:rPr>
            </w:pPr>
          </w:p>
        </w:tc>
        <w:tc>
          <w:tcPr>
            <w:tcW w:w="2763" w:type="dxa"/>
            <w:tcBorders>
              <w:tl2br w:val="nil"/>
              <w:tr2bl w:val="nil"/>
            </w:tcBorders>
            <w:tcMar>
              <w:top w:w="0" w:type="dxa"/>
              <w:left w:w="108" w:type="dxa"/>
              <w:bottom w:w="0" w:type="dxa"/>
              <w:right w:w="108" w:type="dxa"/>
            </w:tcMar>
            <w:vAlign w:val="center"/>
          </w:tcPr>
          <w:p w14:paraId="621A775E">
            <w:pPr>
              <w:pStyle w:val="71"/>
              <w:spacing w:before="24" w:after="24"/>
              <w:jc w:val="both"/>
              <w:rPr>
                <w:rFonts w:cs="Times New Roman"/>
              </w:rPr>
            </w:pPr>
            <w:r>
              <w:rPr>
                <w:rFonts w:cs="Times New Roman"/>
              </w:rPr>
              <w:t>德钦新县城战略和应急物资储备库建设项目</w:t>
            </w:r>
          </w:p>
        </w:tc>
        <w:tc>
          <w:tcPr>
            <w:tcW w:w="1887" w:type="dxa"/>
            <w:tcBorders>
              <w:tl2br w:val="nil"/>
              <w:tr2bl w:val="nil"/>
            </w:tcBorders>
            <w:tcMar>
              <w:top w:w="0" w:type="dxa"/>
              <w:left w:w="108" w:type="dxa"/>
              <w:bottom w:w="0" w:type="dxa"/>
              <w:right w:w="108" w:type="dxa"/>
            </w:tcMar>
            <w:vAlign w:val="center"/>
          </w:tcPr>
          <w:p w14:paraId="2C62430A">
            <w:pPr>
              <w:pStyle w:val="71"/>
              <w:spacing w:before="24" w:after="24"/>
              <w:rPr>
                <w:rFonts w:cs="Times New Roman"/>
              </w:rPr>
            </w:pPr>
          </w:p>
        </w:tc>
        <w:tc>
          <w:tcPr>
            <w:tcW w:w="823" w:type="dxa"/>
            <w:tcBorders>
              <w:tl2br w:val="nil"/>
              <w:tr2bl w:val="nil"/>
            </w:tcBorders>
            <w:tcMar>
              <w:top w:w="0" w:type="dxa"/>
              <w:left w:w="108" w:type="dxa"/>
              <w:bottom w:w="0" w:type="dxa"/>
              <w:right w:w="108" w:type="dxa"/>
            </w:tcMar>
            <w:vAlign w:val="center"/>
          </w:tcPr>
          <w:p w14:paraId="50B2B411">
            <w:pPr>
              <w:pStyle w:val="71"/>
              <w:spacing w:before="24" w:after="24"/>
              <w:rPr>
                <w:rFonts w:cs="Times New Roman"/>
              </w:rPr>
            </w:pPr>
            <w:r>
              <w:rPr>
                <w:rFonts w:cs="Times New Roman"/>
              </w:rPr>
              <w:t>1</w:t>
            </w:r>
          </w:p>
        </w:tc>
        <w:tc>
          <w:tcPr>
            <w:tcW w:w="1000" w:type="dxa"/>
            <w:tcBorders>
              <w:tl2br w:val="nil"/>
              <w:tr2bl w:val="nil"/>
            </w:tcBorders>
            <w:tcMar>
              <w:top w:w="0" w:type="dxa"/>
              <w:left w:w="108" w:type="dxa"/>
              <w:bottom w:w="0" w:type="dxa"/>
              <w:right w:w="108" w:type="dxa"/>
            </w:tcMar>
            <w:vAlign w:val="center"/>
          </w:tcPr>
          <w:p w14:paraId="72B2DD6B">
            <w:pPr>
              <w:pStyle w:val="71"/>
              <w:spacing w:before="24" w:after="24"/>
              <w:rPr>
                <w:rFonts w:cs="Times New Roman"/>
              </w:rPr>
            </w:pPr>
            <w:r>
              <w:rPr>
                <w:rFonts w:cs="Times New Roman"/>
              </w:rPr>
              <w:t>乙类</w:t>
            </w:r>
          </w:p>
        </w:tc>
        <w:tc>
          <w:tcPr>
            <w:tcW w:w="1022" w:type="dxa"/>
            <w:tcBorders>
              <w:tl2br w:val="nil"/>
              <w:tr2bl w:val="nil"/>
            </w:tcBorders>
            <w:tcMar>
              <w:top w:w="0" w:type="dxa"/>
              <w:left w:w="108" w:type="dxa"/>
              <w:bottom w:w="0" w:type="dxa"/>
              <w:right w:w="108" w:type="dxa"/>
            </w:tcMar>
            <w:vAlign w:val="center"/>
          </w:tcPr>
          <w:p w14:paraId="52E54BA1">
            <w:pPr>
              <w:pStyle w:val="71"/>
              <w:spacing w:before="24" w:after="24"/>
              <w:rPr>
                <w:rFonts w:cs="Times New Roman"/>
              </w:rPr>
            </w:pPr>
            <w:r>
              <w:rPr>
                <w:rFonts w:cs="Times New Roman"/>
              </w:rPr>
              <w:t>门式刚架轻型钢结构</w:t>
            </w:r>
          </w:p>
        </w:tc>
        <w:tc>
          <w:tcPr>
            <w:tcW w:w="1438" w:type="dxa"/>
            <w:tcBorders>
              <w:tl2br w:val="nil"/>
              <w:tr2bl w:val="nil"/>
            </w:tcBorders>
            <w:tcMar>
              <w:top w:w="0" w:type="dxa"/>
              <w:left w:w="108" w:type="dxa"/>
              <w:bottom w:w="0" w:type="dxa"/>
              <w:right w:w="108" w:type="dxa"/>
            </w:tcMar>
            <w:vAlign w:val="center"/>
          </w:tcPr>
          <w:p w14:paraId="41933FC5">
            <w:pPr>
              <w:pStyle w:val="71"/>
              <w:spacing w:before="24" w:after="24"/>
              <w:rPr>
                <w:rFonts w:cs="Times New Roman"/>
              </w:rPr>
            </w:pPr>
            <w:r>
              <w:rPr>
                <w:rFonts w:cs="Times New Roman"/>
              </w:rPr>
              <w:t>浅基、桩基</w:t>
            </w:r>
          </w:p>
        </w:tc>
      </w:tr>
      <w:tr w14:paraId="69EB40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tcBorders>
              <w:tl2br w:val="nil"/>
              <w:tr2bl w:val="nil"/>
            </w:tcBorders>
            <w:tcMar>
              <w:top w:w="0" w:type="dxa"/>
              <w:left w:w="108" w:type="dxa"/>
              <w:bottom w:w="0" w:type="dxa"/>
              <w:right w:w="108" w:type="dxa"/>
            </w:tcMar>
            <w:vAlign w:val="center"/>
          </w:tcPr>
          <w:p w14:paraId="7913266C">
            <w:pPr>
              <w:pStyle w:val="71"/>
              <w:numPr>
                <w:ilvl w:val="0"/>
                <w:numId w:val="1"/>
              </w:numPr>
              <w:spacing w:before="24" w:after="24"/>
              <w:rPr>
                <w:rFonts w:cs="Times New Roman"/>
              </w:rPr>
            </w:pPr>
          </w:p>
        </w:tc>
        <w:tc>
          <w:tcPr>
            <w:tcW w:w="2763" w:type="dxa"/>
            <w:tcBorders>
              <w:tl2br w:val="nil"/>
              <w:tr2bl w:val="nil"/>
            </w:tcBorders>
            <w:tcMar>
              <w:top w:w="0" w:type="dxa"/>
              <w:left w:w="108" w:type="dxa"/>
              <w:bottom w:w="0" w:type="dxa"/>
              <w:right w:w="108" w:type="dxa"/>
            </w:tcMar>
            <w:vAlign w:val="center"/>
          </w:tcPr>
          <w:p w14:paraId="6EB5EBAD">
            <w:pPr>
              <w:pStyle w:val="71"/>
              <w:spacing w:before="24" w:after="24"/>
              <w:jc w:val="both"/>
              <w:rPr>
                <w:rFonts w:cs="Times New Roman"/>
              </w:rPr>
            </w:pPr>
            <w:r>
              <w:rPr>
                <w:rFonts w:cs="Times New Roman"/>
              </w:rPr>
              <w:t>德钦新县城应急成品粮油储备库建设项目</w:t>
            </w:r>
          </w:p>
        </w:tc>
        <w:tc>
          <w:tcPr>
            <w:tcW w:w="1887" w:type="dxa"/>
            <w:tcBorders>
              <w:tl2br w:val="nil"/>
              <w:tr2bl w:val="nil"/>
            </w:tcBorders>
            <w:tcMar>
              <w:top w:w="0" w:type="dxa"/>
              <w:left w:w="108" w:type="dxa"/>
              <w:bottom w:w="0" w:type="dxa"/>
              <w:right w:w="108" w:type="dxa"/>
            </w:tcMar>
            <w:vAlign w:val="center"/>
          </w:tcPr>
          <w:p w14:paraId="541F4229">
            <w:pPr>
              <w:pStyle w:val="71"/>
              <w:spacing w:before="24" w:after="24"/>
              <w:rPr>
                <w:rFonts w:cs="Times New Roman"/>
              </w:rPr>
            </w:pPr>
          </w:p>
        </w:tc>
        <w:tc>
          <w:tcPr>
            <w:tcW w:w="823" w:type="dxa"/>
            <w:tcBorders>
              <w:tl2br w:val="nil"/>
              <w:tr2bl w:val="nil"/>
            </w:tcBorders>
            <w:tcMar>
              <w:top w:w="0" w:type="dxa"/>
              <w:left w:w="108" w:type="dxa"/>
              <w:bottom w:w="0" w:type="dxa"/>
              <w:right w:w="108" w:type="dxa"/>
            </w:tcMar>
            <w:vAlign w:val="center"/>
          </w:tcPr>
          <w:p w14:paraId="4E39F18A">
            <w:pPr>
              <w:pStyle w:val="71"/>
              <w:spacing w:before="24" w:after="24"/>
              <w:rPr>
                <w:rFonts w:cs="Times New Roman"/>
              </w:rPr>
            </w:pPr>
            <w:r>
              <w:rPr>
                <w:rFonts w:cs="Times New Roman"/>
              </w:rPr>
              <w:t>2</w:t>
            </w:r>
          </w:p>
        </w:tc>
        <w:tc>
          <w:tcPr>
            <w:tcW w:w="1000" w:type="dxa"/>
            <w:tcBorders>
              <w:tl2br w:val="nil"/>
              <w:tr2bl w:val="nil"/>
            </w:tcBorders>
            <w:tcMar>
              <w:top w:w="0" w:type="dxa"/>
              <w:left w:w="108" w:type="dxa"/>
              <w:bottom w:w="0" w:type="dxa"/>
              <w:right w:w="108" w:type="dxa"/>
            </w:tcMar>
            <w:vAlign w:val="center"/>
          </w:tcPr>
          <w:p w14:paraId="1FF42263">
            <w:pPr>
              <w:pStyle w:val="71"/>
              <w:spacing w:before="24" w:after="24"/>
              <w:rPr>
                <w:rFonts w:cs="Times New Roman"/>
              </w:rPr>
            </w:pPr>
            <w:r>
              <w:rPr>
                <w:rFonts w:cs="Times New Roman"/>
              </w:rPr>
              <w:t>乙类</w:t>
            </w:r>
          </w:p>
        </w:tc>
        <w:tc>
          <w:tcPr>
            <w:tcW w:w="1022" w:type="dxa"/>
            <w:tcBorders>
              <w:tl2br w:val="nil"/>
              <w:tr2bl w:val="nil"/>
            </w:tcBorders>
            <w:tcMar>
              <w:top w:w="0" w:type="dxa"/>
              <w:left w:w="108" w:type="dxa"/>
              <w:bottom w:w="0" w:type="dxa"/>
              <w:right w:w="108" w:type="dxa"/>
            </w:tcMar>
            <w:vAlign w:val="center"/>
          </w:tcPr>
          <w:p w14:paraId="73D7EEFA">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3DF7E3CF">
            <w:pPr>
              <w:pStyle w:val="71"/>
              <w:spacing w:before="24" w:after="24"/>
              <w:rPr>
                <w:rFonts w:cs="Times New Roman"/>
              </w:rPr>
            </w:pPr>
            <w:r>
              <w:rPr>
                <w:rFonts w:cs="Times New Roman"/>
              </w:rPr>
              <w:t>浅基、桩基</w:t>
            </w:r>
          </w:p>
        </w:tc>
      </w:tr>
      <w:tr w14:paraId="2A35D9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restart"/>
            <w:tcBorders>
              <w:tl2br w:val="nil"/>
              <w:tr2bl w:val="nil"/>
            </w:tcBorders>
            <w:tcMar>
              <w:top w:w="0" w:type="dxa"/>
              <w:left w:w="108" w:type="dxa"/>
              <w:bottom w:w="0" w:type="dxa"/>
              <w:right w:w="108" w:type="dxa"/>
            </w:tcMar>
            <w:vAlign w:val="center"/>
          </w:tcPr>
          <w:p w14:paraId="0120340A">
            <w:pPr>
              <w:pStyle w:val="71"/>
              <w:numPr>
                <w:ilvl w:val="0"/>
                <w:numId w:val="1"/>
              </w:numPr>
              <w:spacing w:before="24" w:after="24"/>
              <w:rPr>
                <w:rFonts w:cs="Times New Roman"/>
              </w:rPr>
            </w:pPr>
          </w:p>
        </w:tc>
        <w:tc>
          <w:tcPr>
            <w:tcW w:w="2763" w:type="dxa"/>
            <w:vMerge w:val="restart"/>
            <w:tcBorders>
              <w:tl2br w:val="nil"/>
              <w:tr2bl w:val="nil"/>
            </w:tcBorders>
            <w:tcMar>
              <w:top w:w="0" w:type="dxa"/>
              <w:left w:w="108" w:type="dxa"/>
              <w:bottom w:w="0" w:type="dxa"/>
              <w:right w:w="108" w:type="dxa"/>
            </w:tcMar>
            <w:vAlign w:val="center"/>
          </w:tcPr>
          <w:p w14:paraId="4B7903C7">
            <w:pPr>
              <w:pStyle w:val="71"/>
              <w:spacing w:before="24" w:after="24"/>
              <w:jc w:val="both"/>
              <w:rPr>
                <w:rFonts w:cs="Times New Roman"/>
              </w:rPr>
            </w:pPr>
            <w:r>
              <w:rPr>
                <w:rFonts w:cs="Times New Roman"/>
              </w:rPr>
              <w:t>德钦新县城消防救援大队营房建设项目</w:t>
            </w:r>
          </w:p>
        </w:tc>
        <w:tc>
          <w:tcPr>
            <w:tcW w:w="1887" w:type="dxa"/>
            <w:tcBorders>
              <w:tl2br w:val="nil"/>
              <w:tr2bl w:val="nil"/>
            </w:tcBorders>
            <w:tcMar>
              <w:top w:w="0" w:type="dxa"/>
              <w:left w:w="108" w:type="dxa"/>
              <w:bottom w:w="0" w:type="dxa"/>
              <w:right w:w="108" w:type="dxa"/>
            </w:tcMar>
            <w:vAlign w:val="center"/>
          </w:tcPr>
          <w:p w14:paraId="7C92C035">
            <w:pPr>
              <w:pStyle w:val="71"/>
              <w:spacing w:before="24" w:after="24"/>
              <w:rPr>
                <w:rFonts w:cs="Times New Roman"/>
              </w:rPr>
            </w:pPr>
            <w:r>
              <w:rPr>
                <w:rFonts w:cs="Times New Roman"/>
              </w:rPr>
              <w:t>消防站</w:t>
            </w:r>
          </w:p>
        </w:tc>
        <w:tc>
          <w:tcPr>
            <w:tcW w:w="823" w:type="dxa"/>
            <w:tcBorders>
              <w:tl2br w:val="nil"/>
              <w:tr2bl w:val="nil"/>
            </w:tcBorders>
            <w:tcMar>
              <w:top w:w="0" w:type="dxa"/>
              <w:left w:w="108" w:type="dxa"/>
              <w:bottom w:w="0" w:type="dxa"/>
              <w:right w:w="108" w:type="dxa"/>
            </w:tcMar>
            <w:vAlign w:val="center"/>
          </w:tcPr>
          <w:p w14:paraId="24E4B188">
            <w:pPr>
              <w:pStyle w:val="71"/>
              <w:spacing w:before="24" w:after="24"/>
              <w:rPr>
                <w:rFonts w:cs="Times New Roman"/>
              </w:rPr>
            </w:pPr>
            <w:r>
              <w:rPr>
                <w:rFonts w:cs="Times New Roman"/>
              </w:rPr>
              <w:t>4/1D</w:t>
            </w:r>
          </w:p>
        </w:tc>
        <w:tc>
          <w:tcPr>
            <w:tcW w:w="1000" w:type="dxa"/>
            <w:tcBorders>
              <w:tl2br w:val="nil"/>
              <w:tr2bl w:val="nil"/>
            </w:tcBorders>
            <w:tcMar>
              <w:top w:w="0" w:type="dxa"/>
              <w:left w:w="108" w:type="dxa"/>
              <w:bottom w:w="0" w:type="dxa"/>
              <w:right w:w="108" w:type="dxa"/>
            </w:tcMar>
            <w:vAlign w:val="center"/>
          </w:tcPr>
          <w:p w14:paraId="747B870B">
            <w:pPr>
              <w:pStyle w:val="71"/>
              <w:spacing w:before="24" w:after="24"/>
              <w:rPr>
                <w:rFonts w:cs="Times New Roman"/>
              </w:rPr>
            </w:pPr>
            <w:r>
              <w:rPr>
                <w:rFonts w:cs="Times New Roman"/>
              </w:rPr>
              <w:t>乙类</w:t>
            </w:r>
          </w:p>
        </w:tc>
        <w:tc>
          <w:tcPr>
            <w:tcW w:w="1022" w:type="dxa"/>
            <w:tcBorders>
              <w:tl2br w:val="nil"/>
              <w:tr2bl w:val="nil"/>
            </w:tcBorders>
            <w:tcMar>
              <w:top w:w="0" w:type="dxa"/>
              <w:left w:w="108" w:type="dxa"/>
              <w:bottom w:w="0" w:type="dxa"/>
              <w:right w:w="108" w:type="dxa"/>
            </w:tcMar>
            <w:vAlign w:val="center"/>
          </w:tcPr>
          <w:p w14:paraId="41F8ACA1">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7C036B3C">
            <w:pPr>
              <w:pStyle w:val="71"/>
              <w:spacing w:before="24" w:after="24"/>
              <w:rPr>
                <w:rFonts w:cs="Times New Roman"/>
              </w:rPr>
            </w:pPr>
            <w:r>
              <w:rPr>
                <w:rFonts w:cs="Times New Roman"/>
              </w:rPr>
              <w:t>浅基、桩基</w:t>
            </w:r>
          </w:p>
        </w:tc>
      </w:tr>
      <w:tr w14:paraId="3E86A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continue"/>
            <w:tcBorders>
              <w:tl2br w:val="nil"/>
              <w:tr2bl w:val="nil"/>
            </w:tcBorders>
            <w:tcMar>
              <w:top w:w="0" w:type="dxa"/>
              <w:left w:w="108" w:type="dxa"/>
              <w:bottom w:w="0" w:type="dxa"/>
              <w:right w:w="108" w:type="dxa"/>
            </w:tcMar>
            <w:vAlign w:val="center"/>
          </w:tcPr>
          <w:p w14:paraId="6EDF4128">
            <w:pPr>
              <w:pStyle w:val="71"/>
              <w:numPr>
                <w:ilvl w:val="0"/>
                <w:numId w:val="1"/>
              </w:numPr>
              <w:spacing w:before="24" w:after="24"/>
              <w:rPr>
                <w:rFonts w:cs="Times New Roman"/>
              </w:rPr>
            </w:pPr>
          </w:p>
        </w:tc>
        <w:tc>
          <w:tcPr>
            <w:tcW w:w="2763" w:type="dxa"/>
            <w:vMerge w:val="continue"/>
            <w:tcBorders>
              <w:tl2br w:val="nil"/>
              <w:tr2bl w:val="nil"/>
            </w:tcBorders>
            <w:tcMar>
              <w:top w:w="0" w:type="dxa"/>
              <w:left w:w="108" w:type="dxa"/>
              <w:bottom w:w="0" w:type="dxa"/>
              <w:right w:w="108" w:type="dxa"/>
            </w:tcMar>
            <w:vAlign w:val="center"/>
          </w:tcPr>
          <w:p w14:paraId="05D38CFA">
            <w:pPr>
              <w:pStyle w:val="71"/>
              <w:spacing w:before="24" w:after="24"/>
              <w:jc w:val="both"/>
              <w:rPr>
                <w:rFonts w:cs="Times New Roman"/>
              </w:rPr>
            </w:pPr>
          </w:p>
        </w:tc>
        <w:tc>
          <w:tcPr>
            <w:tcW w:w="1887" w:type="dxa"/>
            <w:tcBorders>
              <w:tl2br w:val="nil"/>
              <w:tr2bl w:val="nil"/>
            </w:tcBorders>
            <w:tcMar>
              <w:top w:w="0" w:type="dxa"/>
              <w:left w:w="108" w:type="dxa"/>
              <w:bottom w:w="0" w:type="dxa"/>
              <w:right w:w="108" w:type="dxa"/>
            </w:tcMar>
            <w:vAlign w:val="center"/>
          </w:tcPr>
          <w:p w14:paraId="1FD40699">
            <w:pPr>
              <w:pStyle w:val="71"/>
              <w:spacing w:before="24" w:after="24"/>
              <w:rPr>
                <w:rFonts w:cs="Times New Roman"/>
              </w:rPr>
            </w:pPr>
            <w:r>
              <w:rPr>
                <w:rFonts w:cs="Times New Roman"/>
              </w:rPr>
              <w:t>训练塔</w:t>
            </w:r>
          </w:p>
        </w:tc>
        <w:tc>
          <w:tcPr>
            <w:tcW w:w="823" w:type="dxa"/>
            <w:tcBorders>
              <w:tl2br w:val="nil"/>
              <w:tr2bl w:val="nil"/>
            </w:tcBorders>
            <w:tcMar>
              <w:top w:w="0" w:type="dxa"/>
              <w:left w:w="108" w:type="dxa"/>
              <w:bottom w:w="0" w:type="dxa"/>
              <w:right w:w="108" w:type="dxa"/>
            </w:tcMar>
            <w:vAlign w:val="center"/>
          </w:tcPr>
          <w:p w14:paraId="240DE2C4">
            <w:pPr>
              <w:pStyle w:val="71"/>
              <w:spacing w:before="24" w:after="24"/>
              <w:rPr>
                <w:rFonts w:cs="Times New Roman"/>
              </w:rPr>
            </w:pPr>
            <w:r>
              <w:rPr>
                <w:rFonts w:cs="Times New Roman"/>
              </w:rPr>
              <w:t>6</w:t>
            </w:r>
          </w:p>
        </w:tc>
        <w:tc>
          <w:tcPr>
            <w:tcW w:w="1000" w:type="dxa"/>
            <w:tcBorders>
              <w:tl2br w:val="nil"/>
              <w:tr2bl w:val="nil"/>
            </w:tcBorders>
            <w:tcMar>
              <w:top w:w="0" w:type="dxa"/>
              <w:left w:w="108" w:type="dxa"/>
              <w:bottom w:w="0" w:type="dxa"/>
              <w:right w:w="108" w:type="dxa"/>
            </w:tcMar>
            <w:vAlign w:val="center"/>
          </w:tcPr>
          <w:p w14:paraId="43C1421C">
            <w:pPr>
              <w:pStyle w:val="71"/>
              <w:spacing w:before="24" w:after="24"/>
              <w:rPr>
                <w:rFonts w:cs="Times New Roman"/>
              </w:rPr>
            </w:pPr>
            <w:r>
              <w:rPr>
                <w:rFonts w:cs="Times New Roman"/>
              </w:rPr>
              <w:t>乙类</w:t>
            </w:r>
          </w:p>
        </w:tc>
        <w:tc>
          <w:tcPr>
            <w:tcW w:w="1022" w:type="dxa"/>
            <w:tcBorders>
              <w:tl2br w:val="nil"/>
              <w:tr2bl w:val="nil"/>
            </w:tcBorders>
            <w:tcMar>
              <w:top w:w="0" w:type="dxa"/>
              <w:left w:w="108" w:type="dxa"/>
              <w:bottom w:w="0" w:type="dxa"/>
              <w:right w:w="108" w:type="dxa"/>
            </w:tcMar>
            <w:vAlign w:val="center"/>
          </w:tcPr>
          <w:p w14:paraId="6811FBE5">
            <w:pPr>
              <w:pStyle w:val="71"/>
              <w:spacing w:before="24" w:after="24"/>
              <w:rPr>
                <w:rFonts w:cs="Times New Roman"/>
              </w:rPr>
            </w:pPr>
            <w:r>
              <w:rPr>
                <w:rFonts w:cs="Times New Roman"/>
              </w:rPr>
              <w:t>剪力墙</w:t>
            </w:r>
          </w:p>
        </w:tc>
        <w:tc>
          <w:tcPr>
            <w:tcW w:w="1438" w:type="dxa"/>
            <w:tcBorders>
              <w:tl2br w:val="nil"/>
              <w:tr2bl w:val="nil"/>
            </w:tcBorders>
            <w:tcMar>
              <w:top w:w="0" w:type="dxa"/>
              <w:left w:w="108" w:type="dxa"/>
              <w:bottom w:w="0" w:type="dxa"/>
              <w:right w:w="108" w:type="dxa"/>
            </w:tcMar>
            <w:vAlign w:val="center"/>
          </w:tcPr>
          <w:p w14:paraId="14F96439">
            <w:pPr>
              <w:pStyle w:val="71"/>
              <w:spacing w:before="24" w:after="24"/>
              <w:rPr>
                <w:rFonts w:cs="Times New Roman"/>
              </w:rPr>
            </w:pPr>
            <w:r>
              <w:rPr>
                <w:rFonts w:cs="Times New Roman"/>
              </w:rPr>
              <w:t>浅基、桩基</w:t>
            </w:r>
          </w:p>
        </w:tc>
      </w:tr>
      <w:tr w14:paraId="3270A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continue"/>
            <w:tcBorders>
              <w:tl2br w:val="nil"/>
              <w:tr2bl w:val="nil"/>
            </w:tcBorders>
            <w:tcMar>
              <w:top w:w="0" w:type="dxa"/>
              <w:left w:w="108" w:type="dxa"/>
              <w:bottom w:w="0" w:type="dxa"/>
              <w:right w:w="108" w:type="dxa"/>
            </w:tcMar>
            <w:vAlign w:val="center"/>
          </w:tcPr>
          <w:p w14:paraId="4E746649">
            <w:pPr>
              <w:pStyle w:val="71"/>
              <w:numPr>
                <w:ilvl w:val="0"/>
                <w:numId w:val="1"/>
              </w:numPr>
              <w:spacing w:before="24" w:after="24"/>
              <w:rPr>
                <w:rFonts w:cs="Times New Roman"/>
              </w:rPr>
            </w:pPr>
          </w:p>
        </w:tc>
        <w:tc>
          <w:tcPr>
            <w:tcW w:w="2763" w:type="dxa"/>
            <w:vMerge w:val="continue"/>
            <w:tcBorders>
              <w:tl2br w:val="nil"/>
              <w:tr2bl w:val="nil"/>
            </w:tcBorders>
            <w:tcMar>
              <w:top w:w="0" w:type="dxa"/>
              <w:left w:w="108" w:type="dxa"/>
              <w:bottom w:w="0" w:type="dxa"/>
              <w:right w:w="108" w:type="dxa"/>
            </w:tcMar>
            <w:vAlign w:val="center"/>
          </w:tcPr>
          <w:p w14:paraId="6284D955">
            <w:pPr>
              <w:pStyle w:val="71"/>
              <w:spacing w:before="24" w:after="24"/>
              <w:jc w:val="both"/>
              <w:rPr>
                <w:rFonts w:cs="Times New Roman"/>
              </w:rPr>
            </w:pPr>
          </w:p>
        </w:tc>
        <w:tc>
          <w:tcPr>
            <w:tcW w:w="1887" w:type="dxa"/>
            <w:tcBorders>
              <w:tl2br w:val="nil"/>
              <w:tr2bl w:val="nil"/>
            </w:tcBorders>
            <w:tcMar>
              <w:top w:w="0" w:type="dxa"/>
              <w:left w:w="108" w:type="dxa"/>
              <w:bottom w:w="0" w:type="dxa"/>
              <w:right w:w="108" w:type="dxa"/>
            </w:tcMar>
            <w:vAlign w:val="center"/>
          </w:tcPr>
          <w:p w14:paraId="1D92716A">
            <w:pPr>
              <w:pStyle w:val="71"/>
              <w:spacing w:before="24" w:after="24"/>
              <w:rPr>
                <w:rFonts w:cs="Times New Roman"/>
              </w:rPr>
            </w:pPr>
            <w:r>
              <w:rPr>
                <w:rFonts w:cs="Times New Roman"/>
              </w:rPr>
              <w:t>门卫室</w:t>
            </w:r>
          </w:p>
        </w:tc>
        <w:tc>
          <w:tcPr>
            <w:tcW w:w="823" w:type="dxa"/>
            <w:tcBorders>
              <w:tl2br w:val="nil"/>
              <w:tr2bl w:val="nil"/>
            </w:tcBorders>
            <w:tcMar>
              <w:top w:w="0" w:type="dxa"/>
              <w:left w:w="108" w:type="dxa"/>
              <w:bottom w:w="0" w:type="dxa"/>
              <w:right w:w="108" w:type="dxa"/>
            </w:tcMar>
            <w:vAlign w:val="center"/>
          </w:tcPr>
          <w:p w14:paraId="1615B9B1">
            <w:pPr>
              <w:pStyle w:val="71"/>
              <w:spacing w:before="24" w:after="24"/>
              <w:rPr>
                <w:rFonts w:cs="Times New Roman"/>
              </w:rPr>
            </w:pPr>
            <w:r>
              <w:rPr>
                <w:rFonts w:cs="Times New Roman"/>
              </w:rPr>
              <w:t>1</w:t>
            </w:r>
          </w:p>
        </w:tc>
        <w:tc>
          <w:tcPr>
            <w:tcW w:w="1000" w:type="dxa"/>
            <w:tcBorders>
              <w:tl2br w:val="nil"/>
              <w:tr2bl w:val="nil"/>
            </w:tcBorders>
            <w:tcMar>
              <w:top w:w="0" w:type="dxa"/>
              <w:left w:w="108" w:type="dxa"/>
              <w:bottom w:w="0" w:type="dxa"/>
              <w:right w:w="108" w:type="dxa"/>
            </w:tcMar>
            <w:vAlign w:val="center"/>
          </w:tcPr>
          <w:p w14:paraId="5A816808">
            <w:pPr>
              <w:pStyle w:val="71"/>
              <w:spacing w:before="24" w:after="24"/>
              <w:rPr>
                <w:rFonts w:cs="Times New Roman"/>
              </w:rPr>
            </w:pPr>
            <w:r>
              <w:rPr>
                <w:rFonts w:cs="Times New Roman"/>
              </w:rPr>
              <w:t>乙类</w:t>
            </w:r>
          </w:p>
        </w:tc>
        <w:tc>
          <w:tcPr>
            <w:tcW w:w="1022" w:type="dxa"/>
            <w:tcBorders>
              <w:tl2br w:val="nil"/>
              <w:tr2bl w:val="nil"/>
            </w:tcBorders>
            <w:tcMar>
              <w:top w:w="0" w:type="dxa"/>
              <w:left w:w="108" w:type="dxa"/>
              <w:bottom w:w="0" w:type="dxa"/>
              <w:right w:w="108" w:type="dxa"/>
            </w:tcMar>
            <w:vAlign w:val="center"/>
          </w:tcPr>
          <w:p w14:paraId="3180E59B">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38F537F6">
            <w:pPr>
              <w:pStyle w:val="71"/>
              <w:spacing w:before="24" w:after="24"/>
              <w:rPr>
                <w:rFonts w:cs="Times New Roman"/>
              </w:rPr>
            </w:pPr>
            <w:r>
              <w:rPr>
                <w:rFonts w:cs="Times New Roman"/>
              </w:rPr>
              <w:t>浅基、桩基</w:t>
            </w:r>
          </w:p>
        </w:tc>
      </w:tr>
      <w:tr w14:paraId="42F51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restart"/>
            <w:tcBorders>
              <w:tl2br w:val="nil"/>
              <w:tr2bl w:val="nil"/>
            </w:tcBorders>
            <w:tcMar>
              <w:top w:w="0" w:type="dxa"/>
              <w:left w:w="108" w:type="dxa"/>
              <w:bottom w:w="0" w:type="dxa"/>
              <w:right w:w="108" w:type="dxa"/>
            </w:tcMar>
            <w:vAlign w:val="center"/>
          </w:tcPr>
          <w:p w14:paraId="276618F4">
            <w:pPr>
              <w:pStyle w:val="71"/>
              <w:numPr>
                <w:ilvl w:val="0"/>
                <w:numId w:val="1"/>
              </w:numPr>
              <w:spacing w:before="24" w:after="24"/>
              <w:rPr>
                <w:rFonts w:cs="Times New Roman"/>
              </w:rPr>
            </w:pPr>
          </w:p>
        </w:tc>
        <w:tc>
          <w:tcPr>
            <w:tcW w:w="2763" w:type="dxa"/>
            <w:vMerge w:val="restart"/>
            <w:tcBorders>
              <w:tl2br w:val="nil"/>
              <w:tr2bl w:val="nil"/>
            </w:tcBorders>
            <w:tcMar>
              <w:top w:w="0" w:type="dxa"/>
              <w:left w:w="108" w:type="dxa"/>
              <w:bottom w:w="0" w:type="dxa"/>
              <w:right w:w="108" w:type="dxa"/>
            </w:tcMar>
            <w:vAlign w:val="center"/>
          </w:tcPr>
          <w:p w14:paraId="12D821A9">
            <w:pPr>
              <w:pStyle w:val="71"/>
              <w:spacing w:before="24" w:after="24"/>
              <w:jc w:val="both"/>
              <w:rPr>
                <w:rFonts w:cs="Times New Roman"/>
              </w:rPr>
            </w:pPr>
            <w:r>
              <w:rPr>
                <w:rFonts w:cs="Times New Roman"/>
              </w:rPr>
              <w:t>德钦新县城党校建设项目</w:t>
            </w:r>
          </w:p>
        </w:tc>
        <w:tc>
          <w:tcPr>
            <w:tcW w:w="1887" w:type="dxa"/>
            <w:tcBorders>
              <w:tl2br w:val="nil"/>
              <w:tr2bl w:val="nil"/>
            </w:tcBorders>
            <w:tcMar>
              <w:top w:w="0" w:type="dxa"/>
              <w:left w:w="108" w:type="dxa"/>
              <w:bottom w:w="0" w:type="dxa"/>
              <w:right w:w="108" w:type="dxa"/>
            </w:tcMar>
            <w:vAlign w:val="center"/>
          </w:tcPr>
          <w:p w14:paraId="088FFBC8">
            <w:pPr>
              <w:pStyle w:val="71"/>
              <w:spacing w:before="24" w:after="24"/>
              <w:rPr>
                <w:rFonts w:cs="Times New Roman"/>
              </w:rPr>
            </w:pPr>
            <w:r>
              <w:rPr>
                <w:rFonts w:cs="Times New Roman"/>
              </w:rPr>
              <w:t>综合教学楼</w:t>
            </w:r>
          </w:p>
        </w:tc>
        <w:tc>
          <w:tcPr>
            <w:tcW w:w="823" w:type="dxa"/>
            <w:tcBorders>
              <w:tl2br w:val="nil"/>
              <w:tr2bl w:val="nil"/>
            </w:tcBorders>
            <w:tcMar>
              <w:top w:w="0" w:type="dxa"/>
              <w:left w:w="108" w:type="dxa"/>
              <w:bottom w:w="0" w:type="dxa"/>
              <w:right w:w="108" w:type="dxa"/>
            </w:tcMar>
            <w:vAlign w:val="center"/>
          </w:tcPr>
          <w:p w14:paraId="16BAE1A7">
            <w:pPr>
              <w:pStyle w:val="71"/>
              <w:spacing w:before="24" w:after="24"/>
              <w:rPr>
                <w:rFonts w:cs="Times New Roman"/>
              </w:rPr>
            </w:pPr>
            <w:r>
              <w:rPr>
                <w:rFonts w:cs="Times New Roman"/>
              </w:rPr>
              <w:t>3</w:t>
            </w:r>
          </w:p>
        </w:tc>
        <w:tc>
          <w:tcPr>
            <w:tcW w:w="1000" w:type="dxa"/>
            <w:tcBorders>
              <w:tl2br w:val="nil"/>
              <w:tr2bl w:val="nil"/>
            </w:tcBorders>
            <w:tcMar>
              <w:top w:w="0" w:type="dxa"/>
              <w:left w:w="108" w:type="dxa"/>
              <w:bottom w:w="0" w:type="dxa"/>
              <w:right w:w="108" w:type="dxa"/>
            </w:tcMar>
            <w:vAlign w:val="center"/>
          </w:tcPr>
          <w:p w14:paraId="1A6F8DC6">
            <w:pPr>
              <w:pStyle w:val="71"/>
              <w:spacing w:before="24" w:after="24"/>
              <w:rPr>
                <w:rFonts w:cs="Times New Roman"/>
              </w:rPr>
            </w:pPr>
            <w:r>
              <w:rPr>
                <w:rFonts w:cs="Times New Roman"/>
              </w:rPr>
              <w:t>丙类</w:t>
            </w:r>
          </w:p>
        </w:tc>
        <w:tc>
          <w:tcPr>
            <w:tcW w:w="1022" w:type="dxa"/>
            <w:tcBorders>
              <w:tl2br w:val="nil"/>
              <w:tr2bl w:val="nil"/>
            </w:tcBorders>
            <w:tcMar>
              <w:top w:w="0" w:type="dxa"/>
              <w:left w:w="108" w:type="dxa"/>
              <w:bottom w:w="0" w:type="dxa"/>
              <w:right w:w="108" w:type="dxa"/>
            </w:tcMar>
            <w:vAlign w:val="center"/>
          </w:tcPr>
          <w:p w14:paraId="449EB10F">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16FB54E8">
            <w:pPr>
              <w:pStyle w:val="71"/>
              <w:spacing w:before="24" w:after="24"/>
              <w:rPr>
                <w:rFonts w:cs="Times New Roman"/>
              </w:rPr>
            </w:pPr>
            <w:r>
              <w:rPr>
                <w:rFonts w:cs="Times New Roman"/>
              </w:rPr>
              <w:t>浅基、桩基</w:t>
            </w:r>
          </w:p>
        </w:tc>
      </w:tr>
      <w:tr w14:paraId="26459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continue"/>
            <w:tcBorders>
              <w:tl2br w:val="nil"/>
              <w:tr2bl w:val="nil"/>
            </w:tcBorders>
            <w:tcMar>
              <w:top w:w="0" w:type="dxa"/>
              <w:left w:w="108" w:type="dxa"/>
              <w:bottom w:w="0" w:type="dxa"/>
              <w:right w:w="108" w:type="dxa"/>
            </w:tcMar>
            <w:vAlign w:val="center"/>
          </w:tcPr>
          <w:p w14:paraId="4F228857">
            <w:pPr>
              <w:pStyle w:val="71"/>
              <w:numPr>
                <w:ilvl w:val="0"/>
                <w:numId w:val="1"/>
              </w:numPr>
              <w:spacing w:before="24" w:after="24"/>
              <w:rPr>
                <w:rFonts w:cs="Times New Roman"/>
              </w:rPr>
            </w:pPr>
          </w:p>
        </w:tc>
        <w:tc>
          <w:tcPr>
            <w:tcW w:w="2763" w:type="dxa"/>
            <w:vMerge w:val="continue"/>
            <w:tcBorders>
              <w:tl2br w:val="nil"/>
              <w:tr2bl w:val="nil"/>
            </w:tcBorders>
            <w:tcMar>
              <w:top w:w="0" w:type="dxa"/>
              <w:left w:w="108" w:type="dxa"/>
              <w:bottom w:w="0" w:type="dxa"/>
              <w:right w:w="108" w:type="dxa"/>
            </w:tcMar>
            <w:vAlign w:val="center"/>
          </w:tcPr>
          <w:p w14:paraId="7AD55C00">
            <w:pPr>
              <w:pStyle w:val="71"/>
              <w:spacing w:before="24" w:after="24"/>
              <w:jc w:val="both"/>
              <w:rPr>
                <w:rFonts w:cs="Times New Roman"/>
              </w:rPr>
            </w:pPr>
          </w:p>
        </w:tc>
        <w:tc>
          <w:tcPr>
            <w:tcW w:w="1887" w:type="dxa"/>
            <w:tcBorders>
              <w:tl2br w:val="nil"/>
              <w:tr2bl w:val="nil"/>
            </w:tcBorders>
            <w:tcMar>
              <w:top w:w="0" w:type="dxa"/>
              <w:left w:w="108" w:type="dxa"/>
              <w:bottom w:w="0" w:type="dxa"/>
              <w:right w:w="108" w:type="dxa"/>
            </w:tcMar>
            <w:vAlign w:val="center"/>
          </w:tcPr>
          <w:p w14:paraId="66376981">
            <w:pPr>
              <w:pStyle w:val="71"/>
              <w:spacing w:before="24" w:after="24"/>
              <w:rPr>
                <w:rFonts w:cs="Times New Roman"/>
              </w:rPr>
            </w:pPr>
            <w:r>
              <w:rPr>
                <w:rFonts w:cs="Times New Roman"/>
              </w:rPr>
              <w:t>学员公寓</w:t>
            </w:r>
          </w:p>
        </w:tc>
        <w:tc>
          <w:tcPr>
            <w:tcW w:w="823" w:type="dxa"/>
            <w:tcBorders>
              <w:tl2br w:val="nil"/>
              <w:tr2bl w:val="nil"/>
            </w:tcBorders>
            <w:tcMar>
              <w:top w:w="0" w:type="dxa"/>
              <w:left w:w="108" w:type="dxa"/>
              <w:bottom w:w="0" w:type="dxa"/>
              <w:right w:w="108" w:type="dxa"/>
            </w:tcMar>
            <w:vAlign w:val="center"/>
          </w:tcPr>
          <w:p w14:paraId="76D75D4A">
            <w:pPr>
              <w:pStyle w:val="71"/>
              <w:spacing w:before="24" w:after="24"/>
              <w:rPr>
                <w:rFonts w:cs="Times New Roman"/>
              </w:rPr>
            </w:pPr>
            <w:r>
              <w:rPr>
                <w:rFonts w:cs="Times New Roman"/>
              </w:rPr>
              <w:t>4</w:t>
            </w:r>
          </w:p>
        </w:tc>
        <w:tc>
          <w:tcPr>
            <w:tcW w:w="1000" w:type="dxa"/>
            <w:tcBorders>
              <w:tl2br w:val="nil"/>
              <w:tr2bl w:val="nil"/>
            </w:tcBorders>
            <w:tcMar>
              <w:top w:w="0" w:type="dxa"/>
              <w:left w:w="108" w:type="dxa"/>
              <w:bottom w:w="0" w:type="dxa"/>
              <w:right w:w="108" w:type="dxa"/>
            </w:tcMar>
            <w:vAlign w:val="center"/>
          </w:tcPr>
          <w:p w14:paraId="3F22E182">
            <w:pPr>
              <w:pStyle w:val="71"/>
              <w:spacing w:before="24" w:after="24"/>
              <w:rPr>
                <w:rFonts w:cs="Times New Roman"/>
              </w:rPr>
            </w:pPr>
            <w:r>
              <w:rPr>
                <w:rFonts w:cs="Times New Roman"/>
              </w:rPr>
              <w:t>丙类</w:t>
            </w:r>
          </w:p>
        </w:tc>
        <w:tc>
          <w:tcPr>
            <w:tcW w:w="1022" w:type="dxa"/>
            <w:tcBorders>
              <w:tl2br w:val="nil"/>
              <w:tr2bl w:val="nil"/>
            </w:tcBorders>
            <w:tcMar>
              <w:top w:w="0" w:type="dxa"/>
              <w:left w:w="108" w:type="dxa"/>
              <w:bottom w:w="0" w:type="dxa"/>
              <w:right w:w="108" w:type="dxa"/>
            </w:tcMar>
            <w:vAlign w:val="center"/>
          </w:tcPr>
          <w:p w14:paraId="38321B5C">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755057CF">
            <w:pPr>
              <w:pStyle w:val="71"/>
              <w:spacing w:before="24" w:after="24"/>
              <w:rPr>
                <w:rFonts w:cs="Times New Roman"/>
              </w:rPr>
            </w:pPr>
            <w:r>
              <w:rPr>
                <w:rFonts w:cs="Times New Roman"/>
              </w:rPr>
              <w:t>浅基、筏板、桩基</w:t>
            </w:r>
          </w:p>
        </w:tc>
      </w:tr>
      <w:tr w14:paraId="1959A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continue"/>
            <w:tcBorders>
              <w:tl2br w:val="nil"/>
              <w:tr2bl w:val="nil"/>
            </w:tcBorders>
            <w:tcMar>
              <w:top w:w="0" w:type="dxa"/>
              <w:left w:w="108" w:type="dxa"/>
              <w:bottom w:w="0" w:type="dxa"/>
              <w:right w:w="108" w:type="dxa"/>
            </w:tcMar>
            <w:vAlign w:val="center"/>
          </w:tcPr>
          <w:p w14:paraId="563EB726">
            <w:pPr>
              <w:pStyle w:val="71"/>
              <w:numPr>
                <w:ilvl w:val="0"/>
                <w:numId w:val="1"/>
              </w:numPr>
              <w:spacing w:before="24" w:after="24"/>
              <w:rPr>
                <w:rFonts w:cs="Times New Roman"/>
              </w:rPr>
            </w:pPr>
          </w:p>
        </w:tc>
        <w:tc>
          <w:tcPr>
            <w:tcW w:w="2763" w:type="dxa"/>
            <w:vMerge w:val="continue"/>
            <w:tcBorders>
              <w:tl2br w:val="nil"/>
              <w:tr2bl w:val="nil"/>
            </w:tcBorders>
            <w:tcMar>
              <w:top w:w="0" w:type="dxa"/>
              <w:left w:w="108" w:type="dxa"/>
              <w:bottom w:w="0" w:type="dxa"/>
              <w:right w:w="108" w:type="dxa"/>
            </w:tcMar>
            <w:vAlign w:val="center"/>
          </w:tcPr>
          <w:p w14:paraId="3F051734">
            <w:pPr>
              <w:pStyle w:val="71"/>
              <w:spacing w:before="24" w:after="24"/>
              <w:jc w:val="both"/>
              <w:rPr>
                <w:rFonts w:cs="Times New Roman"/>
              </w:rPr>
            </w:pPr>
          </w:p>
        </w:tc>
        <w:tc>
          <w:tcPr>
            <w:tcW w:w="1887" w:type="dxa"/>
            <w:tcBorders>
              <w:tl2br w:val="nil"/>
              <w:tr2bl w:val="nil"/>
            </w:tcBorders>
            <w:tcMar>
              <w:top w:w="0" w:type="dxa"/>
              <w:left w:w="108" w:type="dxa"/>
              <w:bottom w:w="0" w:type="dxa"/>
              <w:right w:w="108" w:type="dxa"/>
            </w:tcMar>
            <w:vAlign w:val="center"/>
          </w:tcPr>
          <w:p w14:paraId="4157FD08">
            <w:pPr>
              <w:pStyle w:val="71"/>
              <w:spacing w:before="24" w:after="24"/>
              <w:rPr>
                <w:rFonts w:cs="Times New Roman"/>
              </w:rPr>
            </w:pPr>
            <w:bookmarkStart w:id="11" w:name="OLE_LINK53"/>
            <w:bookmarkStart w:id="12" w:name="OLE_LINK54"/>
            <w:bookmarkStart w:id="13" w:name="OLE_LINK65"/>
            <w:bookmarkStart w:id="14" w:name="OLE_LINK57"/>
            <w:r>
              <w:rPr>
                <w:rFonts w:cs="Times New Roman"/>
              </w:rPr>
              <w:t>学员食堂</w:t>
            </w:r>
            <w:bookmarkEnd w:id="11"/>
            <w:bookmarkEnd w:id="12"/>
            <w:bookmarkEnd w:id="13"/>
            <w:bookmarkEnd w:id="14"/>
          </w:p>
        </w:tc>
        <w:tc>
          <w:tcPr>
            <w:tcW w:w="823" w:type="dxa"/>
            <w:tcBorders>
              <w:tl2br w:val="nil"/>
              <w:tr2bl w:val="nil"/>
            </w:tcBorders>
            <w:tcMar>
              <w:top w:w="0" w:type="dxa"/>
              <w:left w:w="108" w:type="dxa"/>
              <w:bottom w:w="0" w:type="dxa"/>
              <w:right w:w="108" w:type="dxa"/>
            </w:tcMar>
            <w:vAlign w:val="center"/>
          </w:tcPr>
          <w:p w14:paraId="6792FF42">
            <w:pPr>
              <w:pStyle w:val="71"/>
              <w:spacing w:before="24" w:after="24"/>
              <w:rPr>
                <w:rFonts w:cs="Times New Roman"/>
              </w:rPr>
            </w:pPr>
            <w:r>
              <w:rPr>
                <w:rFonts w:cs="Times New Roman"/>
              </w:rPr>
              <w:t>3/1D</w:t>
            </w:r>
          </w:p>
        </w:tc>
        <w:tc>
          <w:tcPr>
            <w:tcW w:w="1000" w:type="dxa"/>
            <w:tcBorders>
              <w:tl2br w:val="nil"/>
              <w:tr2bl w:val="nil"/>
            </w:tcBorders>
            <w:tcMar>
              <w:top w:w="0" w:type="dxa"/>
              <w:left w:w="108" w:type="dxa"/>
              <w:bottom w:w="0" w:type="dxa"/>
              <w:right w:w="108" w:type="dxa"/>
            </w:tcMar>
            <w:vAlign w:val="center"/>
          </w:tcPr>
          <w:p w14:paraId="0D5781A3">
            <w:pPr>
              <w:pStyle w:val="71"/>
              <w:spacing w:before="24" w:after="24"/>
              <w:rPr>
                <w:rFonts w:cs="Times New Roman"/>
              </w:rPr>
            </w:pPr>
            <w:r>
              <w:rPr>
                <w:rFonts w:cs="Times New Roman"/>
              </w:rPr>
              <w:t>丙类</w:t>
            </w:r>
          </w:p>
        </w:tc>
        <w:tc>
          <w:tcPr>
            <w:tcW w:w="1022" w:type="dxa"/>
            <w:tcBorders>
              <w:tl2br w:val="nil"/>
              <w:tr2bl w:val="nil"/>
            </w:tcBorders>
            <w:tcMar>
              <w:top w:w="0" w:type="dxa"/>
              <w:left w:w="108" w:type="dxa"/>
              <w:bottom w:w="0" w:type="dxa"/>
              <w:right w:w="108" w:type="dxa"/>
            </w:tcMar>
            <w:vAlign w:val="center"/>
          </w:tcPr>
          <w:p w14:paraId="71150AF3">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4F520A15">
            <w:pPr>
              <w:pStyle w:val="71"/>
              <w:spacing w:before="24" w:after="24"/>
              <w:rPr>
                <w:rFonts w:cs="Times New Roman"/>
              </w:rPr>
            </w:pPr>
            <w:r>
              <w:rPr>
                <w:rFonts w:cs="Times New Roman"/>
              </w:rPr>
              <w:t>浅基、筏板、桩基</w:t>
            </w:r>
          </w:p>
        </w:tc>
      </w:tr>
      <w:tr w14:paraId="0606A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continue"/>
            <w:tcBorders>
              <w:tl2br w:val="nil"/>
              <w:tr2bl w:val="nil"/>
            </w:tcBorders>
            <w:tcMar>
              <w:top w:w="0" w:type="dxa"/>
              <w:left w:w="108" w:type="dxa"/>
              <w:bottom w:w="0" w:type="dxa"/>
              <w:right w:w="108" w:type="dxa"/>
            </w:tcMar>
            <w:vAlign w:val="center"/>
          </w:tcPr>
          <w:p w14:paraId="1E71CBD2">
            <w:pPr>
              <w:pStyle w:val="71"/>
              <w:numPr>
                <w:ilvl w:val="0"/>
                <w:numId w:val="1"/>
              </w:numPr>
              <w:spacing w:before="24" w:after="24"/>
              <w:rPr>
                <w:rFonts w:cs="Times New Roman"/>
              </w:rPr>
            </w:pPr>
          </w:p>
        </w:tc>
        <w:tc>
          <w:tcPr>
            <w:tcW w:w="2763" w:type="dxa"/>
            <w:vMerge w:val="continue"/>
            <w:tcBorders>
              <w:tl2br w:val="nil"/>
              <w:tr2bl w:val="nil"/>
            </w:tcBorders>
            <w:tcMar>
              <w:top w:w="0" w:type="dxa"/>
              <w:left w:w="108" w:type="dxa"/>
              <w:bottom w:w="0" w:type="dxa"/>
              <w:right w:w="108" w:type="dxa"/>
            </w:tcMar>
            <w:vAlign w:val="center"/>
          </w:tcPr>
          <w:p w14:paraId="0EA4F568">
            <w:pPr>
              <w:pStyle w:val="71"/>
              <w:spacing w:before="24" w:after="24"/>
              <w:jc w:val="both"/>
              <w:rPr>
                <w:rFonts w:cs="Times New Roman"/>
              </w:rPr>
            </w:pPr>
          </w:p>
        </w:tc>
        <w:tc>
          <w:tcPr>
            <w:tcW w:w="1887" w:type="dxa"/>
            <w:tcBorders>
              <w:tl2br w:val="nil"/>
              <w:tr2bl w:val="nil"/>
            </w:tcBorders>
            <w:tcMar>
              <w:top w:w="0" w:type="dxa"/>
              <w:left w:w="108" w:type="dxa"/>
              <w:bottom w:w="0" w:type="dxa"/>
              <w:right w:w="108" w:type="dxa"/>
            </w:tcMar>
            <w:vAlign w:val="center"/>
          </w:tcPr>
          <w:p w14:paraId="69676082">
            <w:pPr>
              <w:pStyle w:val="71"/>
              <w:spacing w:before="24" w:after="24"/>
              <w:rPr>
                <w:rFonts w:cs="Times New Roman"/>
              </w:rPr>
            </w:pPr>
            <w:bookmarkStart w:id="15" w:name="OLE_LINK56"/>
            <w:bookmarkStart w:id="16" w:name="OLE_LINK55"/>
            <w:r>
              <w:rPr>
                <w:rFonts w:cs="Times New Roman"/>
              </w:rPr>
              <w:t>活动中心</w:t>
            </w:r>
            <w:bookmarkEnd w:id="15"/>
            <w:bookmarkEnd w:id="16"/>
          </w:p>
        </w:tc>
        <w:tc>
          <w:tcPr>
            <w:tcW w:w="823" w:type="dxa"/>
            <w:tcBorders>
              <w:tl2br w:val="nil"/>
              <w:tr2bl w:val="nil"/>
            </w:tcBorders>
            <w:tcMar>
              <w:top w:w="0" w:type="dxa"/>
              <w:left w:w="108" w:type="dxa"/>
              <w:bottom w:w="0" w:type="dxa"/>
              <w:right w:w="108" w:type="dxa"/>
            </w:tcMar>
            <w:vAlign w:val="center"/>
          </w:tcPr>
          <w:p w14:paraId="3DEE513D">
            <w:pPr>
              <w:pStyle w:val="71"/>
              <w:spacing w:before="24" w:after="24"/>
              <w:rPr>
                <w:rFonts w:cs="Times New Roman"/>
              </w:rPr>
            </w:pPr>
            <w:r>
              <w:rPr>
                <w:rFonts w:cs="Times New Roman"/>
              </w:rPr>
              <w:t>1/1D</w:t>
            </w:r>
          </w:p>
        </w:tc>
        <w:tc>
          <w:tcPr>
            <w:tcW w:w="1000" w:type="dxa"/>
            <w:tcBorders>
              <w:tl2br w:val="nil"/>
              <w:tr2bl w:val="nil"/>
            </w:tcBorders>
            <w:tcMar>
              <w:top w:w="0" w:type="dxa"/>
              <w:left w:w="108" w:type="dxa"/>
              <w:bottom w:w="0" w:type="dxa"/>
              <w:right w:w="108" w:type="dxa"/>
            </w:tcMar>
            <w:vAlign w:val="center"/>
          </w:tcPr>
          <w:p w14:paraId="7AAF6E38">
            <w:pPr>
              <w:pStyle w:val="71"/>
              <w:spacing w:before="24" w:after="24"/>
              <w:rPr>
                <w:rFonts w:cs="Times New Roman"/>
              </w:rPr>
            </w:pPr>
            <w:r>
              <w:rPr>
                <w:rFonts w:cs="Times New Roman"/>
              </w:rPr>
              <w:t>丙类</w:t>
            </w:r>
          </w:p>
        </w:tc>
        <w:tc>
          <w:tcPr>
            <w:tcW w:w="1022" w:type="dxa"/>
            <w:tcBorders>
              <w:tl2br w:val="nil"/>
              <w:tr2bl w:val="nil"/>
            </w:tcBorders>
            <w:tcMar>
              <w:top w:w="0" w:type="dxa"/>
              <w:left w:w="108" w:type="dxa"/>
              <w:bottom w:w="0" w:type="dxa"/>
              <w:right w:w="108" w:type="dxa"/>
            </w:tcMar>
            <w:vAlign w:val="center"/>
          </w:tcPr>
          <w:p w14:paraId="37244B1D">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06625940">
            <w:pPr>
              <w:pStyle w:val="71"/>
              <w:spacing w:before="24" w:after="24"/>
              <w:rPr>
                <w:rFonts w:cs="Times New Roman"/>
              </w:rPr>
            </w:pPr>
            <w:r>
              <w:rPr>
                <w:rFonts w:cs="Times New Roman"/>
              </w:rPr>
              <w:t>浅基、筏板、桩基</w:t>
            </w:r>
          </w:p>
        </w:tc>
      </w:tr>
      <w:tr w14:paraId="5A6FE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continue"/>
            <w:tcBorders>
              <w:tl2br w:val="nil"/>
              <w:tr2bl w:val="nil"/>
            </w:tcBorders>
            <w:tcMar>
              <w:top w:w="0" w:type="dxa"/>
              <w:left w:w="108" w:type="dxa"/>
              <w:bottom w:w="0" w:type="dxa"/>
              <w:right w:w="108" w:type="dxa"/>
            </w:tcMar>
            <w:vAlign w:val="center"/>
          </w:tcPr>
          <w:p w14:paraId="48E24074">
            <w:pPr>
              <w:pStyle w:val="71"/>
              <w:numPr>
                <w:ilvl w:val="0"/>
                <w:numId w:val="1"/>
              </w:numPr>
              <w:spacing w:before="24" w:after="24"/>
              <w:rPr>
                <w:rFonts w:cs="Times New Roman"/>
              </w:rPr>
            </w:pPr>
          </w:p>
        </w:tc>
        <w:tc>
          <w:tcPr>
            <w:tcW w:w="2763" w:type="dxa"/>
            <w:vMerge w:val="continue"/>
            <w:tcBorders>
              <w:tl2br w:val="nil"/>
              <w:tr2bl w:val="nil"/>
            </w:tcBorders>
            <w:tcMar>
              <w:top w:w="0" w:type="dxa"/>
              <w:left w:w="108" w:type="dxa"/>
              <w:bottom w:w="0" w:type="dxa"/>
              <w:right w:w="108" w:type="dxa"/>
            </w:tcMar>
            <w:vAlign w:val="center"/>
          </w:tcPr>
          <w:p w14:paraId="2ACF9130">
            <w:pPr>
              <w:pStyle w:val="71"/>
              <w:spacing w:before="24" w:after="24"/>
              <w:jc w:val="both"/>
              <w:rPr>
                <w:rFonts w:cs="Times New Roman"/>
              </w:rPr>
            </w:pPr>
          </w:p>
        </w:tc>
        <w:tc>
          <w:tcPr>
            <w:tcW w:w="1887" w:type="dxa"/>
            <w:tcBorders>
              <w:tl2br w:val="nil"/>
              <w:tr2bl w:val="nil"/>
            </w:tcBorders>
            <w:tcMar>
              <w:top w:w="0" w:type="dxa"/>
              <w:left w:w="108" w:type="dxa"/>
              <w:bottom w:w="0" w:type="dxa"/>
              <w:right w:w="108" w:type="dxa"/>
            </w:tcMar>
            <w:vAlign w:val="center"/>
          </w:tcPr>
          <w:p w14:paraId="78019941">
            <w:pPr>
              <w:pStyle w:val="71"/>
              <w:spacing w:before="24" w:after="24"/>
              <w:rPr>
                <w:rFonts w:cs="Times New Roman"/>
              </w:rPr>
            </w:pPr>
            <w:bookmarkStart w:id="17" w:name="OLE_LINK63"/>
            <w:r>
              <w:rPr>
                <w:rFonts w:cs="Times New Roman"/>
              </w:rPr>
              <w:t>门卫</w:t>
            </w:r>
            <w:bookmarkEnd w:id="17"/>
          </w:p>
        </w:tc>
        <w:tc>
          <w:tcPr>
            <w:tcW w:w="823" w:type="dxa"/>
            <w:tcBorders>
              <w:tl2br w:val="nil"/>
              <w:tr2bl w:val="nil"/>
            </w:tcBorders>
            <w:tcMar>
              <w:top w:w="0" w:type="dxa"/>
              <w:left w:w="108" w:type="dxa"/>
              <w:bottom w:w="0" w:type="dxa"/>
              <w:right w:w="108" w:type="dxa"/>
            </w:tcMar>
            <w:vAlign w:val="center"/>
          </w:tcPr>
          <w:p w14:paraId="70614301">
            <w:pPr>
              <w:pStyle w:val="71"/>
              <w:spacing w:before="24" w:after="24"/>
              <w:rPr>
                <w:rFonts w:cs="Times New Roman"/>
              </w:rPr>
            </w:pPr>
            <w:r>
              <w:rPr>
                <w:rFonts w:cs="Times New Roman"/>
              </w:rPr>
              <w:t>1</w:t>
            </w:r>
          </w:p>
        </w:tc>
        <w:tc>
          <w:tcPr>
            <w:tcW w:w="1000" w:type="dxa"/>
            <w:tcBorders>
              <w:tl2br w:val="nil"/>
              <w:tr2bl w:val="nil"/>
            </w:tcBorders>
            <w:tcMar>
              <w:top w:w="0" w:type="dxa"/>
              <w:left w:w="108" w:type="dxa"/>
              <w:bottom w:w="0" w:type="dxa"/>
              <w:right w:w="108" w:type="dxa"/>
            </w:tcMar>
            <w:vAlign w:val="center"/>
          </w:tcPr>
          <w:p w14:paraId="5E5468E2">
            <w:pPr>
              <w:pStyle w:val="71"/>
              <w:spacing w:before="24" w:after="24"/>
              <w:rPr>
                <w:rFonts w:cs="Times New Roman"/>
              </w:rPr>
            </w:pPr>
            <w:r>
              <w:rPr>
                <w:rFonts w:cs="Times New Roman"/>
              </w:rPr>
              <w:t>丙类</w:t>
            </w:r>
          </w:p>
        </w:tc>
        <w:tc>
          <w:tcPr>
            <w:tcW w:w="1022" w:type="dxa"/>
            <w:tcBorders>
              <w:tl2br w:val="nil"/>
              <w:tr2bl w:val="nil"/>
            </w:tcBorders>
            <w:tcMar>
              <w:top w:w="0" w:type="dxa"/>
              <w:left w:w="108" w:type="dxa"/>
              <w:bottom w:w="0" w:type="dxa"/>
              <w:right w:w="108" w:type="dxa"/>
            </w:tcMar>
            <w:vAlign w:val="center"/>
          </w:tcPr>
          <w:p w14:paraId="6748991D">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6726E6C4">
            <w:pPr>
              <w:pStyle w:val="71"/>
              <w:spacing w:before="24" w:after="24"/>
              <w:rPr>
                <w:rFonts w:cs="Times New Roman"/>
              </w:rPr>
            </w:pPr>
            <w:r>
              <w:rPr>
                <w:rFonts w:cs="Times New Roman"/>
              </w:rPr>
              <w:t>浅基</w:t>
            </w:r>
          </w:p>
        </w:tc>
      </w:tr>
      <w:tr w14:paraId="3C4E5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continue"/>
            <w:tcBorders>
              <w:tl2br w:val="nil"/>
              <w:tr2bl w:val="nil"/>
            </w:tcBorders>
            <w:tcMar>
              <w:top w:w="0" w:type="dxa"/>
              <w:left w:w="108" w:type="dxa"/>
              <w:bottom w:w="0" w:type="dxa"/>
              <w:right w:w="108" w:type="dxa"/>
            </w:tcMar>
            <w:vAlign w:val="center"/>
          </w:tcPr>
          <w:p w14:paraId="12584771">
            <w:pPr>
              <w:pStyle w:val="71"/>
              <w:numPr>
                <w:ilvl w:val="0"/>
                <w:numId w:val="1"/>
              </w:numPr>
              <w:spacing w:before="24" w:after="24"/>
              <w:rPr>
                <w:rFonts w:cs="Times New Roman"/>
              </w:rPr>
            </w:pPr>
          </w:p>
        </w:tc>
        <w:tc>
          <w:tcPr>
            <w:tcW w:w="2763" w:type="dxa"/>
            <w:vMerge w:val="continue"/>
            <w:tcBorders>
              <w:tl2br w:val="nil"/>
              <w:tr2bl w:val="nil"/>
            </w:tcBorders>
            <w:tcMar>
              <w:top w:w="0" w:type="dxa"/>
              <w:left w:w="108" w:type="dxa"/>
              <w:bottom w:w="0" w:type="dxa"/>
              <w:right w:w="108" w:type="dxa"/>
            </w:tcMar>
            <w:vAlign w:val="center"/>
          </w:tcPr>
          <w:p w14:paraId="5FB9656F">
            <w:pPr>
              <w:pStyle w:val="71"/>
              <w:spacing w:before="24" w:after="24"/>
              <w:jc w:val="both"/>
              <w:rPr>
                <w:rFonts w:cs="Times New Roman"/>
              </w:rPr>
            </w:pPr>
          </w:p>
        </w:tc>
        <w:tc>
          <w:tcPr>
            <w:tcW w:w="1887" w:type="dxa"/>
            <w:tcBorders>
              <w:tl2br w:val="nil"/>
              <w:tr2bl w:val="nil"/>
            </w:tcBorders>
            <w:tcMar>
              <w:top w:w="0" w:type="dxa"/>
              <w:left w:w="108" w:type="dxa"/>
              <w:bottom w:w="0" w:type="dxa"/>
              <w:right w:w="108" w:type="dxa"/>
            </w:tcMar>
            <w:vAlign w:val="center"/>
          </w:tcPr>
          <w:p w14:paraId="667533AE">
            <w:pPr>
              <w:pStyle w:val="71"/>
              <w:spacing w:before="24" w:after="24"/>
              <w:rPr>
                <w:rFonts w:cs="Times New Roman"/>
              </w:rPr>
            </w:pPr>
            <w:r>
              <w:rPr>
                <w:rFonts w:cs="Times New Roman"/>
              </w:rPr>
              <w:t>车库</w:t>
            </w:r>
          </w:p>
        </w:tc>
        <w:tc>
          <w:tcPr>
            <w:tcW w:w="823" w:type="dxa"/>
            <w:tcBorders>
              <w:tl2br w:val="nil"/>
              <w:tr2bl w:val="nil"/>
            </w:tcBorders>
            <w:tcMar>
              <w:top w:w="0" w:type="dxa"/>
              <w:left w:w="108" w:type="dxa"/>
              <w:bottom w:w="0" w:type="dxa"/>
              <w:right w:w="108" w:type="dxa"/>
            </w:tcMar>
            <w:vAlign w:val="center"/>
          </w:tcPr>
          <w:p w14:paraId="394C8AAE">
            <w:pPr>
              <w:pStyle w:val="71"/>
              <w:spacing w:before="24" w:after="24"/>
              <w:rPr>
                <w:rFonts w:cs="Times New Roman"/>
              </w:rPr>
            </w:pPr>
            <w:r>
              <w:rPr>
                <w:rFonts w:cs="Times New Roman"/>
              </w:rPr>
              <w:t>1D</w:t>
            </w:r>
          </w:p>
        </w:tc>
        <w:tc>
          <w:tcPr>
            <w:tcW w:w="1000" w:type="dxa"/>
            <w:tcBorders>
              <w:tl2br w:val="nil"/>
              <w:tr2bl w:val="nil"/>
            </w:tcBorders>
            <w:tcMar>
              <w:top w:w="0" w:type="dxa"/>
              <w:left w:w="108" w:type="dxa"/>
              <w:bottom w:w="0" w:type="dxa"/>
              <w:right w:w="108" w:type="dxa"/>
            </w:tcMar>
            <w:vAlign w:val="center"/>
          </w:tcPr>
          <w:p w14:paraId="48710157">
            <w:pPr>
              <w:pStyle w:val="71"/>
              <w:spacing w:before="24" w:after="24"/>
              <w:rPr>
                <w:rFonts w:cs="Times New Roman"/>
              </w:rPr>
            </w:pPr>
            <w:r>
              <w:rPr>
                <w:rFonts w:cs="Times New Roman"/>
              </w:rPr>
              <w:t>丙类</w:t>
            </w:r>
          </w:p>
        </w:tc>
        <w:tc>
          <w:tcPr>
            <w:tcW w:w="1022" w:type="dxa"/>
            <w:tcBorders>
              <w:tl2br w:val="nil"/>
              <w:tr2bl w:val="nil"/>
            </w:tcBorders>
            <w:tcMar>
              <w:top w:w="0" w:type="dxa"/>
              <w:left w:w="108" w:type="dxa"/>
              <w:bottom w:w="0" w:type="dxa"/>
              <w:right w:w="108" w:type="dxa"/>
            </w:tcMar>
            <w:vAlign w:val="center"/>
          </w:tcPr>
          <w:p w14:paraId="324D2F10">
            <w:pPr>
              <w:pStyle w:val="71"/>
              <w:spacing w:before="24" w:after="24"/>
              <w:rPr>
                <w:rFonts w:cs="Times New Roman"/>
              </w:rPr>
            </w:pPr>
            <w:r>
              <w:rPr>
                <w:rFonts w:cs="Times New Roman"/>
              </w:rPr>
              <w:t>框剪</w:t>
            </w:r>
          </w:p>
        </w:tc>
        <w:tc>
          <w:tcPr>
            <w:tcW w:w="1438" w:type="dxa"/>
            <w:tcBorders>
              <w:tl2br w:val="nil"/>
              <w:tr2bl w:val="nil"/>
            </w:tcBorders>
            <w:tcMar>
              <w:top w:w="0" w:type="dxa"/>
              <w:left w:w="108" w:type="dxa"/>
              <w:bottom w:w="0" w:type="dxa"/>
              <w:right w:w="108" w:type="dxa"/>
            </w:tcMar>
            <w:vAlign w:val="center"/>
          </w:tcPr>
          <w:p w14:paraId="56134517">
            <w:pPr>
              <w:pStyle w:val="71"/>
              <w:spacing w:before="24" w:after="24"/>
              <w:rPr>
                <w:rFonts w:cs="Times New Roman"/>
              </w:rPr>
            </w:pPr>
            <w:r>
              <w:rPr>
                <w:rFonts w:cs="Times New Roman"/>
              </w:rPr>
              <w:t>浅基、筏板</w:t>
            </w:r>
          </w:p>
        </w:tc>
      </w:tr>
      <w:tr w14:paraId="0DA64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tcBorders>
              <w:tl2br w:val="nil"/>
              <w:tr2bl w:val="nil"/>
            </w:tcBorders>
            <w:tcMar>
              <w:top w:w="0" w:type="dxa"/>
              <w:left w:w="108" w:type="dxa"/>
              <w:bottom w:w="0" w:type="dxa"/>
              <w:right w:w="108" w:type="dxa"/>
            </w:tcMar>
            <w:vAlign w:val="center"/>
          </w:tcPr>
          <w:p w14:paraId="24D5DEC9">
            <w:pPr>
              <w:pStyle w:val="71"/>
              <w:numPr>
                <w:ilvl w:val="0"/>
                <w:numId w:val="1"/>
              </w:numPr>
              <w:spacing w:before="24" w:after="24"/>
              <w:rPr>
                <w:rFonts w:cs="Times New Roman"/>
              </w:rPr>
            </w:pPr>
          </w:p>
        </w:tc>
        <w:tc>
          <w:tcPr>
            <w:tcW w:w="2763" w:type="dxa"/>
            <w:tcBorders>
              <w:tl2br w:val="nil"/>
              <w:tr2bl w:val="nil"/>
            </w:tcBorders>
            <w:tcMar>
              <w:top w:w="0" w:type="dxa"/>
              <w:left w:w="108" w:type="dxa"/>
              <w:bottom w:w="0" w:type="dxa"/>
              <w:right w:w="108" w:type="dxa"/>
            </w:tcMar>
            <w:vAlign w:val="center"/>
          </w:tcPr>
          <w:p w14:paraId="3BD09C29">
            <w:pPr>
              <w:pStyle w:val="71"/>
              <w:spacing w:before="24" w:after="24"/>
              <w:jc w:val="both"/>
              <w:rPr>
                <w:rFonts w:cs="Times New Roman"/>
              </w:rPr>
            </w:pPr>
            <w:r>
              <w:rPr>
                <w:rFonts w:cs="Times New Roman"/>
              </w:rPr>
              <w:t>德钦新县城政务服务中心建设项目</w:t>
            </w:r>
          </w:p>
        </w:tc>
        <w:tc>
          <w:tcPr>
            <w:tcW w:w="1887" w:type="dxa"/>
            <w:tcBorders>
              <w:tl2br w:val="nil"/>
              <w:tr2bl w:val="nil"/>
            </w:tcBorders>
            <w:tcMar>
              <w:top w:w="0" w:type="dxa"/>
              <w:left w:w="108" w:type="dxa"/>
              <w:bottom w:w="0" w:type="dxa"/>
              <w:right w:w="108" w:type="dxa"/>
            </w:tcMar>
            <w:vAlign w:val="center"/>
          </w:tcPr>
          <w:p w14:paraId="4D03B440">
            <w:pPr>
              <w:pStyle w:val="71"/>
              <w:spacing w:before="24" w:after="24"/>
              <w:rPr>
                <w:rFonts w:cs="Times New Roman"/>
              </w:rPr>
            </w:pPr>
            <w:r>
              <w:rPr>
                <w:rFonts w:cs="Times New Roman"/>
              </w:rPr>
              <w:t>政务服务中心</w:t>
            </w:r>
          </w:p>
        </w:tc>
        <w:tc>
          <w:tcPr>
            <w:tcW w:w="823" w:type="dxa"/>
            <w:tcBorders>
              <w:tl2br w:val="nil"/>
              <w:tr2bl w:val="nil"/>
            </w:tcBorders>
            <w:tcMar>
              <w:top w:w="0" w:type="dxa"/>
              <w:left w:w="108" w:type="dxa"/>
              <w:bottom w:w="0" w:type="dxa"/>
              <w:right w:w="108" w:type="dxa"/>
            </w:tcMar>
            <w:vAlign w:val="center"/>
          </w:tcPr>
          <w:p w14:paraId="2226CF8C">
            <w:pPr>
              <w:pStyle w:val="71"/>
              <w:spacing w:before="24" w:after="24"/>
              <w:rPr>
                <w:rFonts w:cs="Times New Roman"/>
              </w:rPr>
            </w:pPr>
            <w:r>
              <w:rPr>
                <w:rFonts w:cs="Times New Roman"/>
              </w:rPr>
              <w:t>4</w:t>
            </w:r>
          </w:p>
        </w:tc>
        <w:tc>
          <w:tcPr>
            <w:tcW w:w="1000" w:type="dxa"/>
            <w:tcBorders>
              <w:tl2br w:val="nil"/>
              <w:tr2bl w:val="nil"/>
            </w:tcBorders>
            <w:tcMar>
              <w:top w:w="0" w:type="dxa"/>
              <w:left w:w="108" w:type="dxa"/>
              <w:bottom w:w="0" w:type="dxa"/>
              <w:right w:w="108" w:type="dxa"/>
            </w:tcMar>
            <w:vAlign w:val="center"/>
          </w:tcPr>
          <w:p w14:paraId="45F4EE99">
            <w:pPr>
              <w:pStyle w:val="71"/>
              <w:spacing w:before="24" w:after="24"/>
              <w:rPr>
                <w:rFonts w:cs="Times New Roman"/>
              </w:rPr>
            </w:pPr>
            <w:r>
              <w:rPr>
                <w:rFonts w:cs="Times New Roman"/>
              </w:rPr>
              <w:t>丙类</w:t>
            </w:r>
          </w:p>
        </w:tc>
        <w:tc>
          <w:tcPr>
            <w:tcW w:w="1022" w:type="dxa"/>
            <w:tcBorders>
              <w:tl2br w:val="nil"/>
              <w:tr2bl w:val="nil"/>
            </w:tcBorders>
            <w:tcMar>
              <w:top w:w="0" w:type="dxa"/>
              <w:left w:w="108" w:type="dxa"/>
              <w:bottom w:w="0" w:type="dxa"/>
              <w:right w:w="108" w:type="dxa"/>
            </w:tcMar>
            <w:vAlign w:val="center"/>
          </w:tcPr>
          <w:p w14:paraId="60723B06">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194F2E0C">
            <w:pPr>
              <w:pStyle w:val="71"/>
              <w:spacing w:before="24" w:after="24"/>
              <w:rPr>
                <w:rFonts w:cs="Times New Roman"/>
              </w:rPr>
            </w:pPr>
            <w:r>
              <w:rPr>
                <w:rFonts w:cs="Times New Roman"/>
              </w:rPr>
              <w:t>浅基、桩基</w:t>
            </w:r>
          </w:p>
        </w:tc>
      </w:tr>
      <w:tr w14:paraId="2180D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tcBorders>
              <w:tl2br w:val="nil"/>
              <w:tr2bl w:val="nil"/>
            </w:tcBorders>
            <w:tcMar>
              <w:top w:w="0" w:type="dxa"/>
              <w:left w:w="108" w:type="dxa"/>
              <w:bottom w:w="0" w:type="dxa"/>
              <w:right w:w="108" w:type="dxa"/>
            </w:tcMar>
            <w:vAlign w:val="center"/>
          </w:tcPr>
          <w:p w14:paraId="3EDEC839">
            <w:pPr>
              <w:pStyle w:val="71"/>
              <w:numPr>
                <w:ilvl w:val="0"/>
                <w:numId w:val="1"/>
              </w:numPr>
              <w:spacing w:before="24" w:after="24"/>
              <w:rPr>
                <w:rFonts w:cs="Times New Roman"/>
              </w:rPr>
            </w:pPr>
          </w:p>
        </w:tc>
        <w:tc>
          <w:tcPr>
            <w:tcW w:w="2763" w:type="dxa"/>
            <w:tcBorders>
              <w:tl2br w:val="nil"/>
              <w:tr2bl w:val="nil"/>
            </w:tcBorders>
            <w:tcMar>
              <w:top w:w="0" w:type="dxa"/>
              <w:left w:w="108" w:type="dxa"/>
              <w:bottom w:w="0" w:type="dxa"/>
              <w:right w:w="108" w:type="dxa"/>
            </w:tcMar>
            <w:vAlign w:val="center"/>
          </w:tcPr>
          <w:p w14:paraId="03B3FC11">
            <w:pPr>
              <w:pStyle w:val="71"/>
              <w:spacing w:before="24" w:after="24"/>
              <w:jc w:val="both"/>
              <w:rPr>
                <w:rFonts w:cs="Times New Roman"/>
              </w:rPr>
            </w:pPr>
            <w:r>
              <w:rPr>
                <w:rFonts w:cs="Times New Roman"/>
              </w:rPr>
              <w:t>德钦新县城人民法院办公及审判综合大楼建设项目</w:t>
            </w:r>
          </w:p>
        </w:tc>
        <w:tc>
          <w:tcPr>
            <w:tcW w:w="1887" w:type="dxa"/>
            <w:tcBorders>
              <w:tl2br w:val="nil"/>
              <w:tr2bl w:val="nil"/>
            </w:tcBorders>
            <w:tcMar>
              <w:top w:w="0" w:type="dxa"/>
              <w:left w:w="108" w:type="dxa"/>
              <w:bottom w:w="0" w:type="dxa"/>
              <w:right w:w="108" w:type="dxa"/>
            </w:tcMar>
            <w:vAlign w:val="center"/>
          </w:tcPr>
          <w:p w14:paraId="2AD9C4FC">
            <w:pPr>
              <w:pStyle w:val="71"/>
              <w:spacing w:before="24" w:after="24"/>
              <w:rPr>
                <w:rFonts w:cs="Times New Roman"/>
              </w:rPr>
            </w:pPr>
          </w:p>
        </w:tc>
        <w:tc>
          <w:tcPr>
            <w:tcW w:w="823" w:type="dxa"/>
            <w:tcBorders>
              <w:tl2br w:val="nil"/>
              <w:tr2bl w:val="nil"/>
            </w:tcBorders>
            <w:tcMar>
              <w:top w:w="0" w:type="dxa"/>
              <w:left w:w="108" w:type="dxa"/>
              <w:bottom w:w="0" w:type="dxa"/>
              <w:right w:w="108" w:type="dxa"/>
            </w:tcMar>
            <w:vAlign w:val="center"/>
          </w:tcPr>
          <w:p w14:paraId="7F66C2D9">
            <w:pPr>
              <w:pStyle w:val="71"/>
              <w:spacing w:before="24" w:after="24"/>
              <w:rPr>
                <w:rFonts w:cs="Times New Roman"/>
              </w:rPr>
            </w:pPr>
            <w:r>
              <w:rPr>
                <w:rFonts w:cs="Times New Roman"/>
              </w:rPr>
              <w:t>4</w:t>
            </w:r>
          </w:p>
        </w:tc>
        <w:tc>
          <w:tcPr>
            <w:tcW w:w="1000" w:type="dxa"/>
            <w:tcBorders>
              <w:tl2br w:val="nil"/>
              <w:tr2bl w:val="nil"/>
            </w:tcBorders>
            <w:tcMar>
              <w:top w:w="0" w:type="dxa"/>
              <w:left w:w="108" w:type="dxa"/>
              <w:bottom w:w="0" w:type="dxa"/>
              <w:right w:w="108" w:type="dxa"/>
            </w:tcMar>
            <w:vAlign w:val="center"/>
          </w:tcPr>
          <w:p w14:paraId="244DEDBA">
            <w:pPr>
              <w:pStyle w:val="71"/>
              <w:spacing w:before="24" w:after="24"/>
              <w:rPr>
                <w:rFonts w:cs="Times New Roman"/>
              </w:rPr>
            </w:pPr>
            <w:r>
              <w:rPr>
                <w:rFonts w:cs="Times New Roman"/>
              </w:rPr>
              <w:t>丙类</w:t>
            </w:r>
          </w:p>
        </w:tc>
        <w:tc>
          <w:tcPr>
            <w:tcW w:w="1022" w:type="dxa"/>
            <w:tcBorders>
              <w:tl2br w:val="nil"/>
              <w:tr2bl w:val="nil"/>
            </w:tcBorders>
            <w:tcMar>
              <w:top w:w="0" w:type="dxa"/>
              <w:left w:w="108" w:type="dxa"/>
              <w:bottom w:w="0" w:type="dxa"/>
              <w:right w:w="108" w:type="dxa"/>
            </w:tcMar>
            <w:vAlign w:val="center"/>
          </w:tcPr>
          <w:p w14:paraId="5CA5CBD0">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5F88E332">
            <w:pPr>
              <w:pStyle w:val="71"/>
              <w:spacing w:before="24" w:after="24"/>
              <w:rPr>
                <w:rFonts w:cs="Times New Roman"/>
              </w:rPr>
            </w:pPr>
            <w:r>
              <w:rPr>
                <w:rFonts w:cs="Times New Roman"/>
              </w:rPr>
              <w:t>浅基、桩基</w:t>
            </w:r>
          </w:p>
        </w:tc>
      </w:tr>
      <w:tr w14:paraId="4711A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8" w:hRule="atLeast"/>
        </w:trPr>
        <w:tc>
          <w:tcPr>
            <w:tcW w:w="490" w:type="dxa"/>
            <w:vMerge w:val="restart"/>
            <w:tcBorders>
              <w:tl2br w:val="nil"/>
              <w:tr2bl w:val="nil"/>
            </w:tcBorders>
            <w:tcMar>
              <w:top w:w="0" w:type="dxa"/>
              <w:left w:w="108" w:type="dxa"/>
              <w:bottom w:w="0" w:type="dxa"/>
              <w:right w:w="108" w:type="dxa"/>
            </w:tcMar>
            <w:vAlign w:val="center"/>
          </w:tcPr>
          <w:p w14:paraId="681BCDCE">
            <w:pPr>
              <w:pStyle w:val="71"/>
              <w:numPr>
                <w:ilvl w:val="0"/>
                <w:numId w:val="1"/>
              </w:numPr>
              <w:spacing w:before="24" w:after="24"/>
              <w:rPr>
                <w:rFonts w:cs="Times New Roman"/>
              </w:rPr>
            </w:pPr>
          </w:p>
        </w:tc>
        <w:tc>
          <w:tcPr>
            <w:tcW w:w="2763" w:type="dxa"/>
            <w:vMerge w:val="restart"/>
            <w:tcBorders>
              <w:tl2br w:val="nil"/>
              <w:tr2bl w:val="nil"/>
            </w:tcBorders>
            <w:tcMar>
              <w:top w:w="0" w:type="dxa"/>
              <w:left w:w="108" w:type="dxa"/>
              <w:bottom w:w="0" w:type="dxa"/>
              <w:right w:w="108" w:type="dxa"/>
            </w:tcMar>
            <w:vAlign w:val="center"/>
          </w:tcPr>
          <w:p w14:paraId="0DB34CF4">
            <w:pPr>
              <w:pStyle w:val="71"/>
              <w:spacing w:before="24" w:after="24"/>
              <w:jc w:val="both"/>
              <w:rPr>
                <w:rFonts w:cs="Times New Roman"/>
              </w:rPr>
            </w:pPr>
            <w:r>
              <w:rPr>
                <w:rFonts w:cs="Times New Roman"/>
              </w:rPr>
              <w:t>德钦新县城人民检察院办公、办案和专业技术用房建设项目</w:t>
            </w:r>
          </w:p>
        </w:tc>
        <w:tc>
          <w:tcPr>
            <w:tcW w:w="1887" w:type="dxa"/>
            <w:tcBorders>
              <w:tl2br w:val="nil"/>
              <w:tr2bl w:val="nil"/>
            </w:tcBorders>
            <w:tcMar>
              <w:top w:w="0" w:type="dxa"/>
              <w:left w:w="108" w:type="dxa"/>
              <w:bottom w:w="0" w:type="dxa"/>
              <w:right w:w="108" w:type="dxa"/>
            </w:tcMar>
            <w:vAlign w:val="center"/>
          </w:tcPr>
          <w:p w14:paraId="329BDC72">
            <w:pPr>
              <w:pStyle w:val="71"/>
              <w:spacing w:before="24" w:after="24"/>
              <w:rPr>
                <w:rFonts w:cs="Times New Roman"/>
              </w:rPr>
            </w:pPr>
            <w:r>
              <w:rPr>
                <w:rFonts w:cs="Times New Roman"/>
              </w:rPr>
              <w:t>检察院主楼</w:t>
            </w:r>
          </w:p>
        </w:tc>
        <w:tc>
          <w:tcPr>
            <w:tcW w:w="823" w:type="dxa"/>
            <w:tcBorders>
              <w:tl2br w:val="nil"/>
              <w:tr2bl w:val="nil"/>
            </w:tcBorders>
            <w:tcMar>
              <w:top w:w="0" w:type="dxa"/>
              <w:left w:w="108" w:type="dxa"/>
              <w:bottom w:w="0" w:type="dxa"/>
              <w:right w:w="108" w:type="dxa"/>
            </w:tcMar>
            <w:vAlign w:val="center"/>
          </w:tcPr>
          <w:p w14:paraId="2064D6E9">
            <w:pPr>
              <w:pStyle w:val="71"/>
              <w:spacing w:before="24" w:after="24"/>
              <w:rPr>
                <w:rFonts w:cs="Times New Roman"/>
              </w:rPr>
            </w:pPr>
            <w:r>
              <w:rPr>
                <w:rFonts w:cs="Times New Roman"/>
              </w:rPr>
              <w:t>5</w:t>
            </w:r>
          </w:p>
        </w:tc>
        <w:tc>
          <w:tcPr>
            <w:tcW w:w="1000" w:type="dxa"/>
            <w:tcBorders>
              <w:tl2br w:val="nil"/>
              <w:tr2bl w:val="nil"/>
            </w:tcBorders>
            <w:tcMar>
              <w:top w:w="0" w:type="dxa"/>
              <w:left w:w="108" w:type="dxa"/>
              <w:bottom w:w="0" w:type="dxa"/>
              <w:right w:w="108" w:type="dxa"/>
            </w:tcMar>
            <w:vAlign w:val="center"/>
          </w:tcPr>
          <w:p w14:paraId="579565C9">
            <w:pPr>
              <w:pStyle w:val="71"/>
              <w:spacing w:before="24" w:after="24"/>
              <w:rPr>
                <w:rFonts w:cs="Times New Roman"/>
              </w:rPr>
            </w:pPr>
            <w:r>
              <w:rPr>
                <w:rFonts w:cs="Times New Roman"/>
              </w:rPr>
              <w:t>丙类</w:t>
            </w:r>
          </w:p>
        </w:tc>
        <w:tc>
          <w:tcPr>
            <w:tcW w:w="1022" w:type="dxa"/>
            <w:tcBorders>
              <w:tl2br w:val="nil"/>
              <w:tr2bl w:val="nil"/>
            </w:tcBorders>
            <w:tcMar>
              <w:top w:w="0" w:type="dxa"/>
              <w:left w:w="108" w:type="dxa"/>
              <w:bottom w:w="0" w:type="dxa"/>
              <w:right w:w="108" w:type="dxa"/>
            </w:tcMar>
            <w:vAlign w:val="center"/>
          </w:tcPr>
          <w:p w14:paraId="196EB241">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46B9201C">
            <w:pPr>
              <w:pStyle w:val="71"/>
              <w:spacing w:before="24" w:after="24"/>
              <w:rPr>
                <w:rFonts w:cs="Times New Roman"/>
              </w:rPr>
            </w:pPr>
            <w:r>
              <w:rPr>
                <w:rFonts w:cs="Times New Roman"/>
              </w:rPr>
              <w:t>浅基、桩基</w:t>
            </w:r>
          </w:p>
        </w:tc>
      </w:tr>
      <w:tr w14:paraId="1B59BA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continue"/>
            <w:tcBorders>
              <w:tl2br w:val="nil"/>
              <w:tr2bl w:val="nil"/>
            </w:tcBorders>
            <w:tcMar>
              <w:top w:w="0" w:type="dxa"/>
              <w:left w:w="108" w:type="dxa"/>
              <w:bottom w:w="0" w:type="dxa"/>
              <w:right w:w="108" w:type="dxa"/>
            </w:tcMar>
            <w:vAlign w:val="center"/>
          </w:tcPr>
          <w:p w14:paraId="0BC1839C">
            <w:pPr>
              <w:pStyle w:val="71"/>
              <w:numPr>
                <w:ilvl w:val="0"/>
                <w:numId w:val="1"/>
              </w:numPr>
              <w:spacing w:before="24" w:after="24"/>
              <w:rPr>
                <w:rFonts w:cs="Times New Roman"/>
              </w:rPr>
            </w:pPr>
          </w:p>
        </w:tc>
        <w:tc>
          <w:tcPr>
            <w:tcW w:w="2763" w:type="dxa"/>
            <w:vMerge w:val="continue"/>
            <w:tcBorders>
              <w:tl2br w:val="nil"/>
              <w:tr2bl w:val="nil"/>
            </w:tcBorders>
            <w:tcMar>
              <w:top w:w="0" w:type="dxa"/>
              <w:left w:w="108" w:type="dxa"/>
              <w:bottom w:w="0" w:type="dxa"/>
              <w:right w:w="108" w:type="dxa"/>
            </w:tcMar>
            <w:vAlign w:val="center"/>
          </w:tcPr>
          <w:p w14:paraId="19E2B8A3">
            <w:pPr>
              <w:pStyle w:val="71"/>
              <w:spacing w:before="24" w:after="24"/>
              <w:jc w:val="both"/>
              <w:rPr>
                <w:rFonts w:cs="Times New Roman"/>
              </w:rPr>
            </w:pPr>
          </w:p>
        </w:tc>
        <w:tc>
          <w:tcPr>
            <w:tcW w:w="1887" w:type="dxa"/>
            <w:tcBorders>
              <w:tl2br w:val="nil"/>
              <w:tr2bl w:val="nil"/>
            </w:tcBorders>
            <w:tcMar>
              <w:top w:w="0" w:type="dxa"/>
              <w:left w:w="108" w:type="dxa"/>
              <w:bottom w:w="0" w:type="dxa"/>
              <w:right w:w="108" w:type="dxa"/>
            </w:tcMar>
            <w:vAlign w:val="center"/>
          </w:tcPr>
          <w:p w14:paraId="29D20B33">
            <w:pPr>
              <w:pStyle w:val="71"/>
              <w:spacing w:before="24" w:after="24"/>
              <w:rPr>
                <w:rFonts w:cs="Times New Roman"/>
              </w:rPr>
            </w:pPr>
            <w:r>
              <w:rPr>
                <w:rFonts w:cs="Times New Roman"/>
              </w:rPr>
              <w:t>设备房</w:t>
            </w:r>
          </w:p>
        </w:tc>
        <w:tc>
          <w:tcPr>
            <w:tcW w:w="823" w:type="dxa"/>
            <w:tcBorders>
              <w:tl2br w:val="nil"/>
              <w:tr2bl w:val="nil"/>
            </w:tcBorders>
            <w:tcMar>
              <w:top w:w="0" w:type="dxa"/>
              <w:left w:w="108" w:type="dxa"/>
              <w:bottom w:w="0" w:type="dxa"/>
              <w:right w:w="108" w:type="dxa"/>
            </w:tcMar>
            <w:vAlign w:val="center"/>
          </w:tcPr>
          <w:p w14:paraId="7A047007">
            <w:pPr>
              <w:pStyle w:val="71"/>
              <w:spacing w:before="24" w:after="24"/>
              <w:rPr>
                <w:rFonts w:cs="Times New Roman"/>
              </w:rPr>
            </w:pPr>
            <w:r>
              <w:rPr>
                <w:rFonts w:cs="Times New Roman"/>
              </w:rPr>
              <w:t>1</w:t>
            </w:r>
          </w:p>
        </w:tc>
        <w:tc>
          <w:tcPr>
            <w:tcW w:w="1000" w:type="dxa"/>
            <w:tcBorders>
              <w:tl2br w:val="nil"/>
              <w:tr2bl w:val="nil"/>
            </w:tcBorders>
            <w:tcMar>
              <w:top w:w="0" w:type="dxa"/>
              <w:left w:w="108" w:type="dxa"/>
              <w:bottom w:w="0" w:type="dxa"/>
              <w:right w:w="108" w:type="dxa"/>
            </w:tcMar>
            <w:vAlign w:val="center"/>
          </w:tcPr>
          <w:p w14:paraId="174AA7D8">
            <w:pPr>
              <w:pStyle w:val="71"/>
              <w:spacing w:before="24" w:after="24"/>
              <w:rPr>
                <w:rFonts w:cs="Times New Roman"/>
              </w:rPr>
            </w:pPr>
            <w:r>
              <w:rPr>
                <w:rFonts w:cs="Times New Roman"/>
              </w:rPr>
              <w:t>丙类</w:t>
            </w:r>
          </w:p>
        </w:tc>
        <w:tc>
          <w:tcPr>
            <w:tcW w:w="1022" w:type="dxa"/>
            <w:tcBorders>
              <w:tl2br w:val="nil"/>
              <w:tr2bl w:val="nil"/>
            </w:tcBorders>
            <w:tcMar>
              <w:top w:w="0" w:type="dxa"/>
              <w:left w:w="108" w:type="dxa"/>
              <w:bottom w:w="0" w:type="dxa"/>
              <w:right w:w="108" w:type="dxa"/>
            </w:tcMar>
            <w:vAlign w:val="center"/>
          </w:tcPr>
          <w:p w14:paraId="2615C124">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2B9F5A58">
            <w:pPr>
              <w:pStyle w:val="71"/>
              <w:spacing w:before="24" w:after="24"/>
              <w:rPr>
                <w:rFonts w:cs="Times New Roman"/>
              </w:rPr>
            </w:pPr>
            <w:r>
              <w:rPr>
                <w:rFonts w:cs="Times New Roman"/>
              </w:rPr>
              <w:t>浅基、桩基</w:t>
            </w:r>
          </w:p>
        </w:tc>
      </w:tr>
      <w:tr w14:paraId="5ED2F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tcBorders>
              <w:tl2br w:val="nil"/>
              <w:tr2bl w:val="nil"/>
            </w:tcBorders>
            <w:tcMar>
              <w:top w:w="0" w:type="dxa"/>
              <w:left w:w="108" w:type="dxa"/>
              <w:bottom w:w="0" w:type="dxa"/>
              <w:right w:w="108" w:type="dxa"/>
            </w:tcMar>
            <w:vAlign w:val="center"/>
          </w:tcPr>
          <w:p w14:paraId="5C5E87AE">
            <w:pPr>
              <w:pStyle w:val="71"/>
              <w:numPr>
                <w:ilvl w:val="0"/>
                <w:numId w:val="1"/>
              </w:numPr>
              <w:spacing w:before="24" w:after="24"/>
              <w:rPr>
                <w:rFonts w:cs="Times New Roman"/>
              </w:rPr>
            </w:pPr>
          </w:p>
        </w:tc>
        <w:tc>
          <w:tcPr>
            <w:tcW w:w="2763" w:type="dxa"/>
            <w:tcBorders>
              <w:tl2br w:val="nil"/>
              <w:tr2bl w:val="nil"/>
            </w:tcBorders>
            <w:tcMar>
              <w:top w:w="0" w:type="dxa"/>
              <w:left w:w="108" w:type="dxa"/>
              <w:bottom w:w="0" w:type="dxa"/>
              <w:right w:w="108" w:type="dxa"/>
            </w:tcMar>
            <w:vAlign w:val="center"/>
          </w:tcPr>
          <w:p w14:paraId="31880AEF">
            <w:pPr>
              <w:pStyle w:val="71"/>
              <w:spacing w:before="24" w:after="24"/>
              <w:jc w:val="both"/>
              <w:rPr>
                <w:rFonts w:cs="Times New Roman"/>
              </w:rPr>
            </w:pPr>
            <w:r>
              <w:rPr>
                <w:rFonts w:cs="Times New Roman"/>
              </w:rPr>
              <w:t>德钦新县城司法局业务办公房建设项目</w:t>
            </w:r>
          </w:p>
        </w:tc>
        <w:tc>
          <w:tcPr>
            <w:tcW w:w="1887" w:type="dxa"/>
            <w:tcBorders>
              <w:tl2br w:val="nil"/>
              <w:tr2bl w:val="nil"/>
            </w:tcBorders>
            <w:tcMar>
              <w:top w:w="0" w:type="dxa"/>
              <w:left w:w="108" w:type="dxa"/>
              <w:bottom w:w="0" w:type="dxa"/>
              <w:right w:w="108" w:type="dxa"/>
            </w:tcMar>
            <w:vAlign w:val="center"/>
          </w:tcPr>
          <w:p w14:paraId="4B183BCE">
            <w:pPr>
              <w:pStyle w:val="71"/>
              <w:spacing w:before="24" w:after="24"/>
              <w:rPr>
                <w:rFonts w:cs="Times New Roman"/>
              </w:rPr>
            </w:pPr>
          </w:p>
        </w:tc>
        <w:tc>
          <w:tcPr>
            <w:tcW w:w="823" w:type="dxa"/>
            <w:tcBorders>
              <w:tl2br w:val="nil"/>
              <w:tr2bl w:val="nil"/>
            </w:tcBorders>
            <w:tcMar>
              <w:top w:w="0" w:type="dxa"/>
              <w:left w:w="108" w:type="dxa"/>
              <w:bottom w:w="0" w:type="dxa"/>
              <w:right w:w="108" w:type="dxa"/>
            </w:tcMar>
            <w:vAlign w:val="center"/>
          </w:tcPr>
          <w:p w14:paraId="7BBB2486">
            <w:pPr>
              <w:pStyle w:val="71"/>
              <w:spacing w:before="24" w:after="24"/>
              <w:rPr>
                <w:rFonts w:cs="Times New Roman"/>
              </w:rPr>
            </w:pPr>
            <w:r>
              <w:rPr>
                <w:rFonts w:cs="Times New Roman"/>
              </w:rPr>
              <w:t>3</w:t>
            </w:r>
          </w:p>
        </w:tc>
        <w:tc>
          <w:tcPr>
            <w:tcW w:w="1000" w:type="dxa"/>
            <w:tcBorders>
              <w:tl2br w:val="nil"/>
              <w:tr2bl w:val="nil"/>
            </w:tcBorders>
            <w:tcMar>
              <w:top w:w="0" w:type="dxa"/>
              <w:left w:w="108" w:type="dxa"/>
              <w:bottom w:w="0" w:type="dxa"/>
              <w:right w:w="108" w:type="dxa"/>
            </w:tcMar>
            <w:vAlign w:val="center"/>
          </w:tcPr>
          <w:p w14:paraId="55752EF3">
            <w:pPr>
              <w:pStyle w:val="71"/>
              <w:spacing w:before="24" w:after="24"/>
              <w:rPr>
                <w:rFonts w:cs="Times New Roman"/>
              </w:rPr>
            </w:pPr>
            <w:r>
              <w:rPr>
                <w:rFonts w:cs="Times New Roman"/>
              </w:rPr>
              <w:t>丙类</w:t>
            </w:r>
          </w:p>
        </w:tc>
        <w:tc>
          <w:tcPr>
            <w:tcW w:w="1022" w:type="dxa"/>
            <w:tcBorders>
              <w:tl2br w:val="nil"/>
              <w:tr2bl w:val="nil"/>
            </w:tcBorders>
            <w:tcMar>
              <w:top w:w="0" w:type="dxa"/>
              <w:left w:w="108" w:type="dxa"/>
              <w:bottom w:w="0" w:type="dxa"/>
              <w:right w:w="108" w:type="dxa"/>
            </w:tcMar>
            <w:vAlign w:val="center"/>
          </w:tcPr>
          <w:p w14:paraId="0B970D4D">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3CE60177">
            <w:pPr>
              <w:pStyle w:val="71"/>
              <w:spacing w:before="24" w:after="24"/>
              <w:rPr>
                <w:rFonts w:cs="Times New Roman"/>
              </w:rPr>
            </w:pPr>
            <w:r>
              <w:rPr>
                <w:rFonts w:cs="Times New Roman"/>
              </w:rPr>
              <w:t>浅基、桩基</w:t>
            </w:r>
          </w:p>
        </w:tc>
      </w:tr>
      <w:tr w14:paraId="176FA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restart"/>
            <w:tcBorders>
              <w:tl2br w:val="nil"/>
              <w:tr2bl w:val="nil"/>
            </w:tcBorders>
            <w:tcMar>
              <w:top w:w="0" w:type="dxa"/>
              <w:left w:w="108" w:type="dxa"/>
              <w:bottom w:w="0" w:type="dxa"/>
              <w:right w:w="108" w:type="dxa"/>
            </w:tcMar>
            <w:vAlign w:val="center"/>
          </w:tcPr>
          <w:p w14:paraId="5E91C218">
            <w:pPr>
              <w:pStyle w:val="71"/>
              <w:numPr>
                <w:ilvl w:val="0"/>
                <w:numId w:val="1"/>
              </w:numPr>
              <w:spacing w:before="24" w:after="24"/>
              <w:rPr>
                <w:rFonts w:cs="Times New Roman"/>
              </w:rPr>
            </w:pPr>
          </w:p>
        </w:tc>
        <w:tc>
          <w:tcPr>
            <w:tcW w:w="2763" w:type="dxa"/>
            <w:vMerge w:val="restart"/>
            <w:tcBorders>
              <w:tl2br w:val="nil"/>
              <w:tr2bl w:val="nil"/>
            </w:tcBorders>
            <w:tcMar>
              <w:top w:w="0" w:type="dxa"/>
              <w:left w:w="108" w:type="dxa"/>
              <w:bottom w:w="0" w:type="dxa"/>
              <w:right w:w="108" w:type="dxa"/>
            </w:tcMar>
            <w:vAlign w:val="center"/>
          </w:tcPr>
          <w:p w14:paraId="18CFF1A8">
            <w:pPr>
              <w:pStyle w:val="71"/>
              <w:spacing w:before="24" w:after="24"/>
              <w:jc w:val="both"/>
              <w:rPr>
                <w:rFonts w:cs="Times New Roman"/>
              </w:rPr>
            </w:pPr>
            <w:r>
              <w:rPr>
                <w:rFonts w:cs="Times New Roman"/>
              </w:rPr>
              <w:t>德钦新县城人民武装部建设项目</w:t>
            </w:r>
          </w:p>
        </w:tc>
        <w:tc>
          <w:tcPr>
            <w:tcW w:w="1887" w:type="dxa"/>
            <w:tcBorders>
              <w:tl2br w:val="nil"/>
              <w:tr2bl w:val="nil"/>
            </w:tcBorders>
            <w:tcMar>
              <w:top w:w="0" w:type="dxa"/>
              <w:left w:w="108" w:type="dxa"/>
              <w:bottom w:w="0" w:type="dxa"/>
              <w:right w:w="108" w:type="dxa"/>
            </w:tcMar>
            <w:vAlign w:val="center"/>
          </w:tcPr>
          <w:p w14:paraId="7C7672D3">
            <w:pPr>
              <w:pStyle w:val="71"/>
              <w:spacing w:before="24" w:after="24"/>
              <w:rPr>
                <w:rFonts w:cs="Times New Roman"/>
              </w:rPr>
            </w:pPr>
            <w:r>
              <w:rPr>
                <w:rFonts w:cs="Times New Roman"/>
              </w:rPr>
              <w:t>办公楼</w:t>
            </w:r>
          </w:p>
        </w:tc>
        <w:tc>
          <w:tcPr>
            <w:tcW w:w="823" w:type="dxa"/>
            <w:tcBorders>
              <w:tl2br w:val="nil"/>
              <w:tr2bl w:val="nil"/>
            </w:tcBorders>
            <w:tcMar>
              <w:top w:w="0" w:type="dxa"/>
              <w:left w:w="108" w:type="dxa"/>
              <w:bottom w:w="0" w:type="dxa"/>
              <w:right w:w="108" w:type="dxa"/>
            </w:tcMar>
            <w:vAlign w:val="center"/>
          </w:tcPr>
          <w:p w14:paraId="671FFCB7">
            <w:pPr>
              <w:pStyle w:val="71"/>
              <w:spacing w:before="24" w:after="24"/>
              <w:rPr>
                <w:rFonts w:cs="Times New Roman"/>
              </w:rPr>
            </w:pPr>
            <w:r>
              <w:rPr>
                <w:rFonts w:cs="Times New Roman"/>
              </w:rPr>
              <w:t>4</w:t>
            </w:r>
          </w:p>
        </w:tc>
        <w:tc>
          <w:tcPr>
            <w:tcW w:w="1000" w:type="dxa"/>
            <w:tcBorders>
              <w:tl2br w:val="nil"/>
              <w:tr2bl w:val="nil"/>
            </w:tcBorders>
            <w:tcMar>
              <w:top w:w="0" w:type="dxa"/>
              <w:left w:w="108" w:type="dxa"/>
              <w:bottom w:w="0" w:type="dxa"/>
              <w:right w:w="108" w:type="dxa"/>
            </w:tcMar>
            <w:vAlign w:val="center"/>
          </w:tcPr>
          <w:p w14:paraId="512EE041">
            <w:pPr>
              <w:pStyle w:val="71"/>
              <w:spacing w:before="24" w:after="24"/>
              <w:rPr>
                <w:rFonts w:cs="Times New Roman"/>
              </w:rPr>
            </w:pPr>
            <w:r>
              <w:rPr>
                <w:rFonts w:cs="Times New Roman"/>
              </w:rPr>
              <w:t>丙类</w:t>
            </w:r>
          </w:p>
        </w:tc>
        <w:tc>
          <w:tcPr>
            <w:tcW w:w="1022" w:type="dxa"/>
            <w:tcBorders>
              <w:tl2br w:val="nil"/>
              <w:tr2bl w:val="nil"/>
            </w:tcBorders>
            <w:tcMar>
              <w:top w:w="0" w:type="dxa"/>
              <w:left w:w="108" w:type="dxa"/>
              <w:bottom w:w="0" w:type="dxa"/>
              <w:right w:w="108" w:type="dxa"/>
            </w:tcMar>
            <w:vAlign w:val="center"/>
          </w:tcPr>
          <w:p w14:paraId="0E5E0D69">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493528EB">
            <w:pPr>
              <w:pStyle w:val="71"/>
              <w:spacing w:before="24" w:after="24"/>
              <w:rPr>
                <w:rFonts w:cs="Times New Roman"/>
              </w:rPr>
            </w:pPr>
            <w:r>
              <w:rPr>
                <w:rFonts w:cs="Times New Roman"/>
              </w:rPr>
              <w:t>浅基、桩基</w:t>
            </w:r>
          </w:p>
        </w:tc>
      </w:tr>
      <w:tr w14:paraId="29B5C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continue"/>
            <w:tcBorders>
              <w:tl2br w:val="nil"/>
              <w:tr2bl w:val="nil"/>
            </w:tcBorders>
            <w:tcMar>
              <w:top w:w="0" w:type="dxa"/>
              <w:left w:w="108" w:type="dxa"/>
              <w:bottom w:w="0" w:type="dxa"/>
              <w:right w:w="108" w:type="dxa"/>
            </w:tcMar>
            <w:vAlign w:val="center"/>
          </w:tcPr>
          <w:p w14:paraId="32497C47">
            <w:pPr>
              <w:pStyle w:val="71"/>
              <w:numPr>
                <w:ilvl w:val="0"/>
                <w:numId w:val="1"/>
              </w:numPr>
              <w:spacing w:before="24" w:after="24"/>
              <w:rPr>
                <w:rFonts w:cs="Times New Roman"/>
              </w:rPr>
            </w:pPr>
          </w:p>
        </w:tc>
        <w:tc>
          <w:tcPr>
            <w:tcW w:w="2763" w:type="dxa"/>
            <w:vMerge w:val="continue"/>
            <w:tcBorders>
              <w:tl2br w:val="nil"/>
              <w:tr2bl w:val="nil"/>
            </w:tcBorders>
            <w:tcMar>
              <w:top w:w="0" w:type="dxa"/>
              <w:left w:w="108" w:type="dxa"/>
              <w:bottom w:w="0" w:type="dxa"/>
              <w:right w:w="108" w:type="dxa"/>
            </w:tcMar>
            <w:vAlign w:val="center"/>
          </w:tcPr>
          <w:p w14:paraId="48317F84">
            <w:pPr>
              <w:pStyle w:val="71"/>
              <w:spacing w:before="24" w:after="24"/>
              <w:jc w:val="both"/>
              <w:rPr>
                <w:rFonts w:cs="Times New Roman"/>
              </w:rPr>
            </w:pPr>
          </w:p>
        </w:tc>
        <w:tc>
          <w:tcPr>
            <w:tcW w:w="1887" w:type="dxa"/>
            <w:tcBorders>
              <w:tl2br w:val="nil"/>
              <w:tr2bl w:val="nil"/>
            </w:tcBorders>
            <w:tcMar>
              <w:top w:w="0" w:type="dxa"/>
              <w:left w:w="108" w:type="dxa"/>
              <w:bottom w:w="0" w:type="dxa"/>
              <w:right w:w="108" w:type="dxa"/>
            </w:tcMar>
            <w:vAlign w:val="center"/>
          </w:tcPr>
          <w:p w14:paraId="2DF5CEFC">
            <w:pPr>
              <w:pStyle w:val="71"/>
              <w:spacing w:before="24" w:after="24"/>
              <w:rPr>
                <w:rFonts w:cs="Times New Roman"/>
              </w:rPr>
            </w:pPr>
            <w:r>
              <w:rPr>
                <w:rFonts w:cs="Times New Roman"/>
              </w:rPr>
              <w:t>干部职工周转房</w:t>
            </w:r>
          </w:p>
        </w:tc>
        <w:tc>
          <w:tcPr>
            <w:tcW w:w="823" w:type="dxa"/>
            <w:tcBorders>
              <w:tl2br w:val="nil"/>
              <w:tr2bl w:val="nil"/>
            </w:tcBorders>
            <w:tcMar>
              <w:top w:w="0" w:type="dxa"/>
              <w:left w:w="108" w:type="dxa"/>
              <w:bottom w:w="0" w:type="dxa"/>
              <w:right w:w="108" w:type="dxa"/>
            </w:tcMar>
            <w:vAlign w:val="center"/>
          </w:tcPr>
          <w:p w14:paraId="4A125FD4">
            <w:pPr>
              <w:pStyle w:val="71"/>
              <w:spacing w:before="24" w:after="24"/>
              <w:rPr>
                <w:rFonts w:cs="Times New Roman"/>
              </w:rPr>
            </w:pPr>
            <w:r>
              <w:rPr>
                <w:rFonts w:cs="Times New Roman"/>
              </w:rPr>
              <w:t>5</w:t>
            </w:r>
          </w:p>
        </w:tc>
        <w:tc>
          <w:tcPr>
            <w:tcW w:w="1000" w:type="dxa"/>
            <w:tcBorders>
              <w:tl2br w:val="nil"/>
              <w:tr2bl w:val="nil"/>
            </w:tcBorders>
            <w:tcMar>
              <w:top w:w="0" w:type="dxa"/>
              <w:left w:w="108" w:type="dxa"/>
              <w:bottom w:w="0" w:type="dxa"/>
              <w:right w:w="108" w:type="dxa"/>
            </w:tcMar>
            <w:vAlign w:val="center"/>
          </w:tcPr>
          <w:p w14:paraId="3DF33064">
            <w:pPr>
              <w:pStyle w:val="71"/>
              <w:spacing w:before="24" w:after="24"/>
              <w:rPr>
                <w:rFonts w:cs="Times New Roman"/>
              </w:rPr>
            </w:pPr>
            <w:r>
              <w:rPr>
                <w:rFonts w:cs="Times New Roman"/>
              </w:rPr>
              <w:t>丙类</w:t>
            </w:r>
          </w:p>
        </w:tc>
        <w:tc>
          <w:tcPr>
            <w:tcW w:w="1022" w:type="dxa"/>
            <w:tcBorders>
              <w:tl2br w:val="nil"/>
              <w:tr2bl w:val="nil"/>
            </w:tcBorders>
            <w:tcMar>
              <w:top w:w="0" w:type="dxa"/>
              <w:left w:w="108" w:type="dxa"/>
              <w:bottom w:w="0" w:type="dxa"/>
              <w:right w:w="108" w:type="dxa"/>
            </w:tcMar>
            <w:vAlign w:val="center"/>
          </w:tcPr>
          <w:p w14:paraId="35944724">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147A0F9D">
            <w:pPr>
              <w:pStyle w:val="71"/>
              <w:spacing w:before="24" w:after="24"/>
              <w:rPr>
                <w:rFonts w:cs="Times New Roman"/>
              </w:rPr>
            </w:pPr>
            <w:r>
              <w:rPr>
                <w:rFonts w:cs="Times New Roman"/>
              </w:rPr>
              <w:t>浅基、桩基</w:t>
            </w:r>
          </w:p>
        </w:tc>
      </w:tr>
      <w:tr w14:paraId="79326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continue"/>
            <w:tcBorders>
              <w:tl2br w:val="nil"/>
              <w:tr2bl w:val="nil"/>
            </w:tcBorders>
            <w:tcMar>
              <w:top w:w="0" w:type="dxa"/>
              <w:left w:w="108" w:type="dxa"/>
              <w:bottom w:w="0" w:type="dxa"/>
              <w:right w:w="108" w:type="dxa"/>
            </w:tcMar>
            <w:vAlign w:val="center"/>
          </w:tcPr>
          <w:p w14:paraId="3D354514">
            <w:pPr>
              <w:pStyle w:val="71"/>
              <w:numPr>
                <w:ilvl w:val="0"/>
                <w:numId w:val="1"/>
              </w:numPr>
              <w:spacing w:before="24" w:after="24"/>
              <w:rPr>
                <w:rFonts w:cs="Times New Roman"/>
              </w:rPr>
            </w:pPr>
          </w:p>
        </w:tc>
        <w:tc>
          <w:tcPr>
            <w:tcW w:w="2763" w:type="dxa"/>
            <w:vMerge w:val="continue"/>
            <w:tcBorders>
              <w:tl2br w:val="nil"/>
              <w:tr2bl w:val="nil"/>
            </w:tcBorders>
            <w:tcMar>
              <w:top w:w="0" w:type="dxa"/>
              <w:left w:w="108" w:type="dxa"/>
              <w:bottom w:w="0" w:type="dxa"/>
              <w:right w:w="108" w:type="dxa"/>
            </w:tcMar>
            <w:vAlign w:val="center"/>
          </w:tcPr>
          <w:p w14:paraId="3FA7D49A">
            <w:pPr>
              <w:pStyle w:val="71"/>
              <w:spacing w:before="24" w:after="24"/>
              <w:jc w:val="both"/>
              <w:rPr>
                <w:rFonts w:cs="Times New Roman"/>
              </w:rPr>
            </w:pPr>
          </w:p>
        </w:tc>
        <w:tc>
          <w:tcPr>
            <w:tcW w:w="1887" w:type="dxa"/>
            <w:tcBorders>
              <w:tl2br w:val="nil"/>
              <w:tr2bl w:val="nil"/>
            </w:tcBorders>
            <w:tcMar>
              <w:top w:w="0" w:type="dxa"/>
              <w:left w:w="108" w:type="dxa"/>
              <w:bottom w:w="0" w:type="dxa"/>
              <w:right w:w="108" w:type="dxa"/>
            </w:tcMar>
            <w:vAlign w:val="center"/>
          </w:tcPr>
          <w:p w14:paraId="2493E499">
            <w:pPr>
              <w:pStyle w:val="71"/>
              <w:spacing w:before="24" w:after="24"/>
              <w:rPr>
                <w:rFonts w:cs="Times New Roman"/>
              </w:rPr>
            </w:pPr>
            <w:r>
              <w:rPr>
                <w:rFonts w:cs="Times New Roman"/>
              </w:rPr>
              <w:t>门卫室</w:t>
            </w:r>
          </w:p>
        </w:tc>
        <w:tc>
          <w:tcPr>
            <w:tcW w:w="823" w:type="dxa"/>
            <w:tcBorders>
              <w:tl2br w:val="nil"/>
              <w:tr2bl w:val="nil"/>
            </w:tcBorders>
            <w:tcMar>
              <w:top w:w="0" w:type="dxa"/>
              <w:left w:w="108" w:type="dxa"/>
              <w:bottom w:w="0" w:type="dxa"/>
              <w:right w:w="108" w:type="dxa"/>
            </w:tcMar>
            <w:vAlign w:val="center"/>
          </w:tcPr>
          <w:p w14:paraId="58B59474">
            <w:pPr>
              <w:pStyle w:val="71"/>
              <w:spacing w:before="24" w:after="24"/>
              <w:rPr>
                <w:rFonts w:cs="Times New Roman"/>
              </w:rPr>
            </w:pPr>
            <w:r>
              <w:rPr>
                <w:rFonts w:cs="Times New Roman"/>
              </w:rPr>
              <w:t>1</w:t>
            </w:r>
          </w:p>
        </w:tc>
        <w:tc>
          <w:tcPr>
            <w:tcW w:w="1000" w:type="dxa"/>
            <w:tcBorders>
              <w:tl2br w:val="nil"/>
              <w:tr2bl w:val="nil"/>
            </w:tcBorders>
            <w:tcMar>
              <w:top w:w="0" w:type="dxa"/>
              <w:left w:w="108" w:type="dxa"/>
              <w:bottom w:w="0" w:type="dxa"/>
              <w:right w:w="108" w:type="dxa"/>
            </w:tcMar>
            <w:vAlign w:val="center"/>
          </w:tcPr>
          <w:p w14:paraId="490CFBEF">
            <w:pPr>
              <w:pStyle w:val="71"/>
              <w:spacing w:before="24" w:after="24"/>
              <w:rPr>
                <w:rFonts w:cs="Times New Roman"/>
              </w:rPr>
            </w:pPr>
            <w:r>
              <w:rPr>
                <w:rFonts w:cs="Times New Roman"/>
              </w:rPr>
              <w:t>丙类</w:t>
            </w:r>
          </w:p>
        </w:tc>
        <w:tc>
          <w:tcPr>
            <w:tcW w:w="1022" w:type="dxa"/>
            <w:tcBorders>
              <w:tl2br w:val="nil"/>
              <w:tr2bl w:val="nil"/>
            </w:tcBorders>
            <w:tcMar>
              <w:top w:w="0" w:type="dxa"/>
              <w:left w:w="108" w:type="dxa"/>
              <w:bottom w:w="0" w:type="dxa"/>
              <w:right w:w="108" w:type="dxa"/>
            </w:tcMar>
            <w:vAlign w:val="center"/>
          </w:tcPr>
          <w:p w14:paraId="1229D8D8">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6A7081DA">
            <w:pPr>
              <w:pStyle w:val="71"/>
              <w:spacing w:before="24" w:after="24"/>
              <w:rPr>
                <w:rFonts w:cs="Times New Roman"/>
              </w:rPr>
            </w:pPr>
            <w:r>
              <w:rPr>
                <w:rFonts w:cs="Times New Roman"/>
              </w:rPr>
              <w:t>浅基、桩基</w:t>
            </w:r>
          </w:p>
        </w:tc>
      </w:tr>
      <w:tr w14:paraId="1839D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restart"/>
            <w:tcBorders>
              <w:tl2br w:val="nil"/>
              <w:tr2bl w:val="nil"/>
            </w:tcBorders>
            <w:tcMar>
              <w:top w:w="0" w:type="dxa"/>
              <w:left w:w="108" w:type="dxa"/>
              <w:bottom w:w="0" w:type="dxa"/>
              <w:right w:w="108" w:type="dxa"/>
            </w:tcMar>
            <w:vAlign w:val="center"/>
          </w:tcPr>
          <w:p w14:paraId="1DE1D9B1">
            <w:pPr>
              <w:pStyle w:val="71"/>
              <w:numPr>
                <w:ilvl w:val="0"/>
                <w:numId w:val="1"/>
              </w:numPr>
              <w:spacing w:before="24" w:after="24"/>
              <w:rPr>
                <w:rFonts w:cs="Times New Roman"/>
              </w:rPr>
            </w:pPr>
          </w:p>
        </w:tc>
        <w:tc>
          <w:tcPr>
            <w:tcW w:w="2763" w:type="dxa"/>
            <w:vMerge w:val="restart"/>
            <w:tcBorders>
              <w:tl2br w:val="nil"/>
              <w:tr2bl w:val="nil"/>
            </w:tcBorders>
            <w:shd w:val="clear" w:color="auto" w:fill="FFFFFF" w:themeFill="background1"/>
            <w:tcMar>
              <w:top w:w="0" w:type="dxa"/>
              <w:left w:w="108" w:type="dxa"/>
              <w:bottom w:w="0" w:type="dxa"/>
              <w:right w:w="108" w:type="dxa"/>
            </w:tcMar>
            <w:vAlign w:val="center"/>
          </w:tcPr>
          <w:p w14:paraId="7C692780">
            <w:pPr>
              <w:pStyle w:val="71"/>
              <w:spacing w:before="24" w:after="24"/>
              <w:jc w:val="both"/>
              <w:rPr>
                <w:rFonts w:cs="Times New Roman"/>
              </w:rPr>
            </w:pPr>
            <w:r>
              <w:rPr>
                <w:rFonts w:cs="Times New Roman"/>
              </w:rPr>
              <w:t>德钦新县城监管场所、武警德钦县中队驻训基地建设项目</w:t>
            </w:r>
          </w:p>
        </w:tc>
        <w:tc>
          <w:tcPr>
            <w:tcW w:w="1887" w:type="dxa"/>
            <w:tcBorders>
              <w:tl2br w:val="nil"/>
              <w:tr2bl w:val="nil"/>
            </w:tcBorders>
            <w:shd w:val="clear" w:color="auto" w:fill="FFFFFF" w:themeFill="background1"/>
            <w:tcMar>
              <w:top w:w="0" w:type="dxa"/>
              <w:left w:w="108" w:type="dxa"/>
              <w:bottom w:w="0" w:type="dxa"/>
              <w:right w:w="108" w:type="dxa"/>
            </w:tcMar>
            <w:vAlign w:val="center"/>
          </w:tcPr>
          <w:p w14:paraId="691D4F49">
            <w:pPr>
              <w:pStyle w:val="71"/>
              <w:spacing w:before="24" w:after="24"/>
              <w:rPr>
                <w:rFonts w:cs="Times New Roman"/>
              </w:rPr>
            </w:pPr>
            <w:r>
              <w:rPr>
                <w:rFonts w:hint="eastAsia" w:cs="Times New Roman"/>
              </w:rPr>
              <w:t>看守所</w:t>
            </w:r>
          </w:p>
        </w:tc>
        <w:tc>
          <w:tcPr>
            <w:tcW w:w="823" w:type="dxa"/>
            <w:tcBorders>
              <w:tl2br w:val="nil"/>
              <w:tr2bl w:val="nil"/>
            </w:tcBorders>
            <w:shd w:val="clear" w:color="auto" w:fill="FFFFFF" w:themeFill="background1"/>
            <w:tcMar>
              <w:top w:w="0" w:type="dxa"/>
              <w:left w:w="108" w:type="dxa"/>
              <w:bottom w:w="0" w:type="dxa"/>
              <w:right w:w="108" w:type="dxa"/>
            </w:tcMar>
            <w:vAlign w:val="center"/>
          </w:tcPr>
          <w:p w14:paraId="2477920A">
            <w:pPr>
              <w:pStyle w:val="71"/>
              <w:spacing w:before="24" w:after="24"/>
              <w:rPr>
                <w:rFonts w:cs="Times New Roman"/>
              </w:rPr>
            </w:pPr>
            <w:r>
              <w:rPr>
                <w:rFonts w:hint="eastAsia" w:cs="Times New Roman"/>
              </w:rPr>
              <w:t>3</w:t>
            </w:r>
          </w:p>
        </w:tc>
        <w:tc>
          <w:tcPr>
            <w:tcW w:w="1000" w:type="dxa"/>
            <w:tcBorders>
              <w:tl2br w:val="nil"/>
              <w:tr2bl w:val="nil"/>
            </w:tcBorders>
            <w:shd w:val="clear" w:color="auto" w:fill="FFFFFF" w:themeFill="background1"/>
            <w:tcMar>
              <w:top w:w="0" w:type="dxa"/>
              <w:left w:w="108" w:type="dxa"/>
              <w:bottom w:w="0" w:type="dxa"/>
              <w:right w:w="108" w:type="dxa"/>
            </w:tcMar>
            <w:vAlign w:val="center"/>
          </w:tcPr>
          <w:p w14:paraId="1A2A6067">
            <w:pPr>
              <w:pStyle w:val="71"/>
              <w:spacing w:before="24" w:after="24"/>
              <w:rPr>
                <w:rFonts w:cs="Times New Roman"/>
              </w:rPr>
            </w:pPr>
            <w:r>
              <w:rPr>
                <w:rFonts w:cs="Times New Roman"/>
              </w:rPr>
              <w:t>丙类</w:t>
            </w:r>
          </w:p>
        </w:tc>
        <w:tc>
          <w:tcPr>
            <w:tcW w:w="1022" w:type="dxa"/>
            <w:tcBorders>
              <w:tl2br w:val="nil"/>
              <w:tr2bl w:val="nil"/>
            </w:tcBorders>
            <w:shd w:val="clear" w:color="auto" w:fill="FFFFFF" w:themeFill="background1"/>
            <w:tcMar>
              <w:top w:w="0" w:type="dxa"/>
              <w:left w:w="108" w:type="dxa"/>
              <w:bottom w:w="0" w:type="dxa"/>
              <w:right w:w="108" w:type="dxa"/>
            </w:tcMar>
            <w:vAlign w:val="center"/>
          </w:tcPr>
          <w:p w14:paraId="66C10FEE">
            <w:pPr>
              <w:pStyle w:val="71"/>
              <w:spacing w:before="24" w:after="24"/>
              <w:rPr>
                <w:rFonts w:cs="Times New Roman"/>
              </w:rPr>
            </w:pPr>
            <w:r>
              <w:rPr>
                <w:rFonts w:cs="Times New Roman"/>
              </w:rPr>
              <w:t>框架</w:t>
            </w:r>
          </w:p>
        </w:tc>
        <w:tc>
          <w:tcPr>
            <w:tcW w:w="1438" w:type="dxa"/>
            <w:tcBorders>
              <w:tl2br w:val="nil"/>
              <w:tr2bl w:val="nil"/>
            </w:tcBorders>
            <w:shd w:val="clear" w:color="auto" w:fill="FFFFFF" w:themeFill="background1"/>
            <w:tcMar>
              <w:top w:w="0" w:type="dxa"/>
              <w:left w:w="108" w:type="dxa"/>
              <w:bottom w:w="0" w:type="dxa"/>
              <w:right w:w="108" w:type="dxa"/>
            </w:tcMar>
            <w:vAlign w:val="center"/>
          </w:tcPr>
          <w:p w14:paraId="178D065D">
            <w:pPr>
              <w:pStyle w:val="71"/>
              <w:spacing w:before="24" w:after="24"/>
              <w:rPr>
                <w:rFonts w:cs="Times New Roman"/>
              </w:rPr>
            </w:pPr>
            <w:r>
              <w:rPr>
                <w:rFonts w:cs="Times New Roman"/>
              </w:rPr>
              <w:t>浅基、桩基</w:t>
            </w:r>
          </w:p>
        </w:tc>
      </w:tr>
      <w:tr w14:paraId="16727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continue"/>
            <w:tcBorders>
              <w:tl2br w:val="nil"/>
              <w:tr2bl w:val="nil"/>
            </w:tcBorders>
            <w:tcMar>
              <w:top w:w="0" w:type="dxa"/>
              <w:left w:w="108" w:type="dxa"/>
              <w:bottom w:w="0" w:type="dxa"/>
              <w:right w:w="108" w:type="dxa"/>
            </w:tcMar>
            <w:vAlign w:val="center"/>
          </w:tcPr>
          <w:p w14:paraId="7ED2B55A">
            <w:pPr>
              <w:pStyle w:val="71"/>
              <w:numPr>
                <w:ilvl w:val="0"/>
                <w:numId w:val="1"/>
              </w:numPr>
              <w:spacing w:before="24" w:after="24"/>
              <w:rPr>
                <w:rFonts w:cs="Times New Roman"/>
              </w:rPr>
            </w:pPr>
          </w:p>
        </w:tc>
        <w:tc>
          <w:tcPr>
            <w:tcW w:w="2763" w:type="dxa"/>
            <w:vMerge w:val="continue"/>
            <w:tcBorders>
              <w:tl2br w:val="nil"/>
              <w:tr2bl w:val="nil"/>
            </w:tcBorders>
            <w:shd w:val="clear" w:color="auto" w:fill="FFFFFF" w:themeFill="background1"/>
            <w:tcMar>
              <w:top w:w="0" w:type="dxa"/>
              <w:left w:w="108" w:type="dxa"/>
              <w:bottom w:w="0" w:type="dxa"/>
              <w:right w:w="108" w:type="dxa"/>
            </w:tcMar>
            <w:vAlign w:val="center"/>
          </w:tcPr>
          <w:p w14:paraId="748430DB">
            <w:pPr>
              <w:pStyle w:val="71"/>
              <w:spacing w:before="24" w:after="24"/>
              <w:jc w:val="both"/>
              <w:rPr>
                <w:rFonts w:cs="Times New Roman"/>
              </w:rPr>
            </w:pPr>
          </w:p>
        </w:tc>
        <w:tc>
          <w:tcPr>
            <w:tcW w:w="1887" w:type="dxa"/>
            <w:tcBorders>
              <w:tl2br w:val="nil"/>
              <w:tr2bl w:val="nil"/>
            </w:tcBorders>
            <w:shd w:val="clear" w:color="auto" w:fill="FFFFFF" w:themeFill="background1"/>
            <w:tcMar>
              <w:top w:w="0" w:type="dxa"/>
              <w:left w:w="108" w:type="dxa"/>
              <w:bottom w:w="0" w:type="dxa"/>
              <w:right w:w="108" w:type="dxa"/>
            </w:tcMar>
            <w:vAlign w:val="center"/>
          </w:tcPr>
          <w:p w14:paraId="0E5348CF">
            <w:pPr>
              <w:pStyle w:val="71"/>
              <w:spacing w:before="24" w:after="24"/>
              <w:rPr>
                <w:rFonts w:cs="Times New Roman"/>
              </w:rPr>
            </w:pPr>
            <w:r>
              <w:rPr>
                <w:rFonts w:hint="eastAsia" w:cs="Times New Roman"/>
              </w:rPr>
              <w:t>拘留所</w:t>
            </w:r>
          </w:p>
        </w:tc>
        <w:tc>
          <w:tcPr>
            <w:tcW w:w="823" w:type="dxa"/>
            <w:tcBorders>
              <w:tl2br w:val="nil"/>
              <w:tr2bl w:val="nil"/>
            </w:tcBorders>
            <w:shd w:val="clear" w:color="auto" w:fill="FFFFFF" w:themeFill="background1"/>
            <w:tcMar>
              <w:top w:w="0" w:type="dxa"/>
              <w:left w:w="108" w:type="dxa"/>
              <w:bottom w:w="0" w:type="dxa"/>
              <w:right w:w="108" w:type="dxa"/>
            </w:tcMar>
            <w:vAlign w:val="center"/>
          </w:tcPr>
          <w:p w14:paraId="2C1CDB6E">
            <w:pPr>
              <w:pStyle w:val="71"/>
              <w:spacing w:before="24" w:after="24"/>
              <w:rPr>
                <w:rFonts w:cs="Times New Roman"/>
              </w:rPr>
            </w:pPr>
            <w:r>
              <w:rPr>
                <w:rFonts w:hint="eastAsia" w:cs="Times New Roman"/>
              </w:rPr>
              <w:t>1</w:t>
            </w:r>
          </w:p>
        </w:tc>
        <w:tc>
          <w:tcPr>
            <w:tcW w:w="1000" w:type="dxa"/>
            <w:tcBorders>
              <w:tl2br w:val="nil"/>
              <w:tr2bl w:val="nil"/>
            </w:tcBorders>
            <w:shd w:val="clear" w:color="auto" w:fill="FFFFFF" w:themeFill="background1"/>
            <w:tcMar>
              <w:top w:w="0" w:type="dxa"/>
              <w:left w:w="108" w:type="dxa"/>
              <w:bottom w:w="0" w:type="dxa"/>
              <w:right w:w="108" w:type="dxa"/>
            </w:tcMar>
            <w:vAlign w:val="center"/>
          </w:tcPr>
          <w:p w14:paraId="6A1AE792">
            <w:pPr>
              <w:pStyle w:val="71"/>
              <w:spacing w:before="24" w:after="24"/>
              <w:rPr>
                <w:rFonts w:cs="Times New Roman"/>
              </w:rPr>
            </w:pPr>
            <w:r>
              <w:rPr>
                <w:rFonts w:cs="Times New Roman"/>
              </w:rPr>
              <w:t>丙类</w:t>
            </w:r>
          </w:p>
        </w:tc>
        <w:tc>
          <w:tcPr>
            <w:tcW w:w="1022" w:type="dxa"/>
            <w:tcBorders>
              <w:tl2br w:val="nil"/>
              <w:tr2bl w:val="nil"/>
            </w:tcBorders>
            <w:shd w:val="clear" w:color="auto" w:fill="FFFFFF" w:themeFill="background1"/>
            <w:tcMar>
              <w:top w:w="0" w:type="dxa"/>
              <w:left w:w="108" w:type="dxa"/>
              <w:bottom w:w="0" w:type="dxa"/>
              <w:right w:w="108" w:type="dxa"/>
            </w:tcMar>
            <w:vAlign w:val="center"/>
          </w:tcPr>
          <w:p w14:paraId="2532B95D">
            <w:pPr>
              <w:pStyle w:val="71"/>
              <w:spacing w:before="24" w:after="24"/>
              <w:rPr>
                <w:rFonts w:cs="Times New Roman"/>
              </w:rPr>
            </w:pPr>
            <w:r>
              <w:rPr>
                <w:rFonts w:cs="Times New Roman"/>
              </w:rPr>
              <w:t>框架</w:t>
            </w:r>
          </w:p>
        </w:tc>
        <w:tc>
          <w:tcPr>
            <w:tcW w:w="1438" w:type="dxa"/>
            <w:tcBorders>
              <w:tl2br w:val="nil"/>
              <w:tr2bl w:val="nil"/>
            </w:tcBorders>
            <w:shd w:val="clear" w:color="auto" w:fill="FFFFFF" w:themeFill="background1"/>
            <w:tcMar>
              <w:top w:w="0" w:type="dxa"/>
              <w:left w:w="108" w:type="dxa"/>
              <w:bottom w:w="0" w:type="dxa"/>
              <w:right w:w="108" w:type="dxa"/>
            </w:tcMar>
            <w:vAlign w:val="center"/>
          </w:tcPr>
          <w:p w14:paraId="25FDD8CA">
            <w:pPr>
              <w:pStyle w:val="71"/>
              <w:spacing w:before="24" w:after="24"/>
              <w:rPr>
                <w:rFonts w:cs="Times New Roman"/>
              </w:rPr>
            </w:pPr>
            <w:r>
              <w:rPr>
                <w:rFonts w:cs="Times New Roman"/>
              </w:rPr>
              <w:t>浅基、桩基</w:t>
            </w:r>
          </w:p>
        </w:tc>
      </w:tr>
      <w:tr w14:paraId="569C4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vMerge w:val="continue"/>
            <w:tcBorders>
              <w:tl2br w:val="nil"/>
              <w:tr2bl w:val="nil"/>
            </w:tcBorders>
            <w:tcMar>
              <w:top w:w="0" w:type="dxa"/>
              <w:left w:w="108" w:type="dxa"/>
              <w:bottom w:w="0" w:type="dxa"/>
              <w:right w:w="108" w:type="dxa"/>
            </w:tcMar>
            <w:vAlign w:val="center"/>
          </w:tcPr>
          <w:p w14:paraId="3FB6B5B7">
            <w:pPr>
              <w:pStyle w:val="71"/>
              <w:numPr>
                <w:ilvl w:val="0"/>
                <w:numId w:val="1"/>
              </w:numPr>
              <w:spacing w:before="24" w:after="24"/>
              <w:rPr>
                <w:rFonts w:cs="Times New Roman"/>
              </w:rPr>
            </w:pPr>
          </w:p>
        </w:tc>
        <w:tc>
          <w:tcPr>
            <w:tcW w:w="2763" w:type="dxa"/>
            <w:vMerge w:val="continue"/>
            <w:tcBorders>
              <w:tl2br w:val="nil"/>
              <w:tr2bl w:val="nil"/>
            </w:tcBorders>
            <w:shd w:val="clear" w:color="auto" w:fill="FFFFFF" w:themeFill="background1"/>
            <w:tcMar>
              <w:top w:w="0" w:type="dxa"/>
              <w:left w:w="108" w:type="dxa"/>
              <w:bottom w:w="0" w:type="dxa"/>
              <w:right w:w="108" w:type="dxa"/>
            </w:tcMar>
            <w:vAlign w:val="center"/>
          </w:tcPr>
          <w:p w14:paraId="5F65FE54">
            <w:pPr>
              <w:pStyle w:val="71"/>
              <w:spacing w:before="24" w:after="24"/>
              <w:jc w:val="both"/>
              <w:rPr>
                <w:rFonts w:cs="Times New Roman"/>
              </w:rPr>
            </w:pPr>
          </w:p>
        </w:tc>
        <w:tc>
          <w:tcPr>
            <w:tcW w:w="1887" w:type="dxa"/>
            <w:tcBorders>
              <w:tl2br w:val="nil"/>
              <w:tr2bl w:val="nil"/>
            </w:tcBorders>
            <w:shd w:val="clear" w:color="auto" w:fill="FFFFFF" w:themeFill="background1"/>
            <w:tcMar>
              <w:top w:w="0" w:type="dxa"/>
              <w:left w:w="108" w:type="dxa"/>
              <w:bottom w:w="0" w:type="dxa"/>
              <w:right w:w="108" w:type="dxa"/>
            </w:tcMar>
            <w:vAlign w:val="center"/>
          </w:tcPr>
          <w:p w14:paraId="66DAB5FA">
            <w:pPr>
              <w:pStyle w:val="71"/>
              <w:spacing w:before="24" w:after="24"/>
              <w:rPr>
                <w:rFonts w:cs="Times New Roman"/>
              </w:rPr>
            </w:pPr>
            <w:r>
              <w:rPr>
                <w:rFonts w:hint="eastAsia" w:cs="Times New Roman"/>
              </w:rPr>
              <w:t>武警营</w:t>
            </w:r>
          </w:p>
        </w:tc>
        <w:tc>
          <w:tcPr>
            <w:tcW w:w="823" w:type="dxa"/>
            <w:tcBorders>
              <w:tl2br w:val="nil"/>
              <w:tr2bl w:val="nil"/>
            </w:tcBorders>
            <w:shd w:val="clear" w:color="auto" w:fill="FFFFFF" w:themeFill="background1"/>
            <w:tcMar>
              <w:top w:w="0" w:type="dxa"/>
              <w:left w:w="108" w:type="dxa"/>
              <w:bottom w:w="0" w:type="dxa"/>
              <w:right w:w="108" w:type="dxa"/>
            </w:tcMar>
            <w:vAlign w:val="center"/>
          </w:tcPr>
          <w:p w14:paraId="6F843360">
            <w:pPr>
              <w:pStyle w:val="71"/>
              <w:spacing w:before="24" w:after="24"/>
              <w:rPr>
                <w:rFonts w:cs="Times New Roman"/>
              </w:rPr>
            </w:pPr>
            <w:r>
              <w:rPr>
                <w:rFonts w:hint="eastAsia" w:cs="Times New Roman"/>
              </w:rPr>
              <w:t>1</w:t>
            </w:r>
          </w:p>
        </w:tc>
        <w:tc>
          <w:tcPr>
            <w:tcW w:w="1000" w:type="dxa"/>
            <w:tcBorders>
              <w:tl2br w:val="nil"/>
              <w:tr2bl w:val="nil"/>
            </w:tcBorders>
            <w:shd w:val="clear" w:color="auto" w:fill="FFFFFF" w:themeFill="background1"/>
            <w:tcMar>
              <w:top w:w="0" w:type="dxa"/>
              <w:left w:w="108" w:type="dxa"/>
              <w:bottom w:w="0" w:type="dxa"/>
              <w:right w:w="108" w:type="dxa"/>
            </w:tcMar>
            <w:vAlign w:val="center"/>
          </w:tcPr>
          <w:p w14:paraId="3DB3D7DF">
            <w:pPr>
              <w:pStyle w:val="71"/>
              <w:spacing w:before="24" w:after="24"/>
              <w:rPr>
                <w:rFonts w:cs="Times New Roman"/>
              </w:rPr>
            </w:pPr>
            <w:r>
              <w:rPr>
                <w:rFonts w:cs="Times New Roman"/>
              </w:rPr>
              <w:t>丙类</w:t>
            </w:r>
          </w:p>
        </w:tc>
        <w:tc>
          <w:tcPr>
            <w:tcW w:w="1022" w:type="dxa"/>
            <w:tcBorders>
              <w:tl2br w:val="nil"/>
              <w:tr2bl w:val="nil"/>
            </w:tcBorders>
            <w:shd w:val="clear" w:color="auto" w:fill="FFFFFF" w:themeFill="background1"/>
            <w:tcMar>
              <w:top w:w="0" w:type="dxa"/>
              <w:left w:w="108" w:type="dxa"/>
              <w:bottom w:w="0" w:type="dxa"/>
              <w:right w:w="108" w:type="dxa"/>
            </w:tcMar>
            <w:vAlign w:val="center"/>
          </w:tcPr>
          <w:p w14:paraId="376D525D">
            <w:pPr>
              <w:pStyle w:val="71"/>
              <w:spacing w:before="24" w:after="24"/>
              <w:rPr>
                <w:rFonts w:cs="Times New Roman"/>
              </w:rPr>
            </w:pPr>
            <w:r>
              <w:rPr>
                <w:rFonts w:cs="Times New Roman"/>
              </w:rPr>
              <w:t>框架</w:t>
            </w:r>
          </w:p>
        </w:tc>
        <w:tc>
          <w:tcPr>
            <w:tcW w:w="1438" w:type="dxa"/>
            <w:tcBorders>
              <w:tl2br w:val="nil"/>
              <w:tr2bl w:val="nil"/>
            </w:tcBorders>
            <w:shd w:val="clear" w:color="auto" w:fill="FFFFFF" w:themeFill="background1"/>
            <w:tcMar>
              <w:top w:w="0" w:type="dxa"/>
              <w:left w:w="108" w:type="dxa"/>
              <w:bottom w:w="0" w:type="dxa"/>
              <w:right w:w="108" w:type="dxa"/>
            </w:tcMar>
            <w:vAlign w:val="center"/>
          </w:tcPr>
          <w:p w14:paraId="77FD9725">
            <w:pPr>
              <w:pStyle w:val="71"/>
              <w:spacing w:before="24" w:after="24"/>
              <w:rPr>
                <w:rFonts w:cs="Times New Roman"/>
              </w:rPr>
            </w:pPr>
            <w:r>
              <w:rPr>
                <w:rFonts w:cs="Times New Roman"/>
              </w:rPr>
              <w:t>浅基、桩基</w:t>
            </w:r>
          </w:p>
        </w:tc>
      </w:tr>
      <w:tr w14:paraId="53270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490" w:type="dxa"/>
            <w:tcBorders>
              <w:tl2br w:val="nil"/>
              <w:tr2bl w:val="nil"/>
            </w:tcBorders>
            <w:tcMar>
              <w:top w:w="0" w:type="dxa"/>
              <w:left w:w="108" w:type="dxa"/>
              <w:bottom w:w="0" w:type="dxa"/>
              <w:right w:w="108" w:type="dxa"/>
            </w:tcMar>
            <w:vAlign w:val="center"/>
          </w:tcPr>
          <w:p w14:paraId="4538066F">
            <w:pPr>
              <w:pStyle w:val="71"/>
              <w:numPr>
                <w:ilvl w:val="0"/>
                <w:numId w:val="1"/>
              </w:numPr>
              <w:spacing w:before="24" w:after="24"/>
              <w:rPr>
                <w:rFonts w:cs="Times New Roman"/>
              </w:rPr>
            </w:pPr>
          </w:p>
        </w:tc>
        <w:tc>
          <w:tcPr>
            <w:tcW w:w="2763" w:type="dxa"/>
            <w:tcBorders>
              <w:tl2br w:val="nil"/>
              <w:tr2bl w:val="nil"/>
            </w:tcBorders>
            <w:tcMar>
              <w:top w:w="0" w:type="dxa"/>
              <w:left w:w="108" w:type="dxa"/>
              <w:bottom w:w="0" w:type="dxa"/>
              <w:right w:w="108" w:type="dxa"/>
            </w:tcMar>
            <w:vAlign w:val="center"/>
          </w:tcPr>
          <w:p w14:paraId="115BB721">
            <w:pPr>
              <w:pStyle w:val="71"/>
              <w:spacing w:before="24" w:after="24"/>
              <w:jc w:val="both"/>
              <w:rPr>
                <w:rFonts w:cs="Times New Roman"/>
              </w:rPr>
            </w:pPr>
            <w:r>
              <w:rPr>
                <w:rFonts w:cs="Times New Roman"/>
              </w:rPr>
              <w:t>德钦新县城生态环境监测业务用房建设项目</w:t>
            </w:r>
          </w:p>
        </w:tc>
        <w:tc>
          <w:tcPr>
            <w:tcW w:w="1887" w:type="dxa"/>
            <w:tcBorders>
              <w:tl2br w:val="nil"/>
              <w:tr2bl w:val="nil"/>
            </w:tcBorders>
            <w:tcMar>
              <w:top w:w="0" w:type="dxa"/>
              <w:left w:w="108" w:type="dxa"/>
              <w:bottom w:w="0" w:type="dxa"/>
              <w:right w:w="108" w:type="dxa"/>
            </w:tcMar>
            <w:vAlign w:val="center"/>
          </w:tcPr>
          <w:p w14:paraId="068D288F">
            <w:pPr>
              <w:pStyle w:val="71"/>
              <w:spacing w:before="24" w:after="24"/>
              <w:rPr>
                <w:rFonts w:cs="Times New Roman"/>
              </w:rPr>
            </w:pPr>
          </w:p>
        </w:tc>
        <w:tc>
          <w:tcPr>
            <w:tcW w:w="823" w:type="dxa"/>
            <w:tcBorders>
              <w:tl2br w:val="nil"/>
              <w:tr2bl w:val="nil"/>
            </w:tcBorders>
            <w:tcMar>
              <w:top w:w="0" w:type="dxa"/>
              <w:left w:w="108" w:type="dxa"/>
              <w:bottom w:w="0" w:type="dxa"/>
              <w:right w:w="108" w:type="dxa"/>
            </w:tcMar>
            <w:vAlign w:val="center"/>
          </w:tcPr>
          <w:p w14:paraId="7059B8EF">
            <w:pPr>
              <w:pStyle w:val="71"/>
              <w:spacing w:before="24" w:after="24"/>
              <w:rPr>
                <w:rFonts w:cs="Times New Roman"/>
              </w:rPr>
            </w:pPr>
            <w:r>
              <w:rPr>
                <w:rFonts w:cs="Times New Roman"/>
              </w:rPr>
              <w:t>4</w:t>
            </w:r>
          </w:p>
        </w:tc>
        <w:tc>
          <w:tcPr>
            <w:tcW w:w="1000" w:type="dxa"/>
            <w:tcBorders>
              <w:tl2br w:val="nil"/>
              <w:tr2bl w:val="nil"/>
            </w:tcBorders>
            <w:tcMar>
              <w:top w:w="0" w:type="dxa"/>
              <w:left w:w="108" w:type="dxa"/>
              <w:bottom w:w="0" w:type="dxa"/>
              <w:right w:w="108" w:type="dxa"/>
            </w:tcMar>
            <w:vAlign w:val="center"/>
          </w:tcPr>
          <w:p w14:paraId="3D189180">
            <w:pPr>
              <w:pStyle w:val="71"/>
              <w:spacing w:before="24" w:after="24"/>
              <w:rPr>
                <w:rFonts w:cs="Times New Roman"/>
              </w:rPr>
            </w:pPr>
            <w:r>
              <w:rPr>
                <w:rFonts w:cs="Times New Roman"/>
              </w:rPr>
              <w:t>丙类</w:t>
            </w:r>
          </w:p>
        </w:tc>
        <w:tc>
          <w:tcPr>
            <w:tcW w:w="1022" w:type="dxa"/>
            <w:tcBorders>
              <w:tl2br w:val="nil"/>
              <w:tr2bl w:val="nil"/>
            </w:tcBorders>
            <w:tcMar>
              <w:top w:w="0" w:type="dxa"/>
              <w:left w:w="108" w:type="dxa"/>
              <w:bottom w:w="0" w:type="dxa"/>
              <w:right w:w="108" w:type="dxa"/>
            </w:tcMar>
            <w:vAlign w:val="center"/>
          </w:tcPr>
          <w:p w14:paraId="7292ABE5">
            <w:pPr>
              <w:pStyle w:val="71"/>
              <w:spacing w:before="24" w:after="24"/>
              <w:rPr>
                <w:rFonts w:cs="Times New Roman"/>
              </w:rPr>
            </w:pPr>
            <w:r>
              <w:rPr>
                <w:rFonts w:cs="Times New Roman"/>
              </w:rPr>
              <w:t>框架</w:t>
            </w:r>
          </w:p>
        </w:tc>
        <w:tc>
          <w:tcPr>
            <w:tcW w:w="1438" w:type="dxa"/>
            <w:tcBorders>
              <w:tl2br w:val="nil"/>
              <w:tr2bl w:val="nil"/>
            </w:tcBorders>
            <w:tcMar>
              <w:top w:w="0" w:type="dxa"/>
              <w:left w:w="108" w:type="dxa"/>
              <w:bottom w:w="0" w:type="dxa"/>
              <w:right w:w="108" w:type="dxa"/>
            </w:tcMar>
            <w:vAlign w:val="center"/>
          </w:tcPr>
          <w:p w14:paraId="7FD96C92">
            <w:pPr>
              <w:pStyle w:val="71"/>
              <w:spacing w:before="24" w:after="24"/>
              <w:rPr>
                <w:rFonts w:cs="Times New Roman"/>
              </w:rPr>
            </w:pPr>
            <w:r>
              <w:rPr>
                <w:rFonts w:cs="Times New Roman"/>
              </w:rPr>
              <w:t>浅基、桩基</w:t>
            </w:r>
          </w:p>
        </w:tc>
      </w:tr>
    </w:tbl>
    <w:p w14:paraId="1BDC44D4">
      <w:pPr>
        <w:pStyle w:val="54"/>
        <w:spacing w:before="24" w:after="24"/>
        <w:rPr>
          <w:color w:val="000000"/>
        </w:rPr>
      </w:pPr>
      <w:r>
        <w:t>注：上述数据是根据现有地形、设计条件初步选择，最终数据需根据最终实施方案和场地勘察等资料以及发包人具体需求综合确定。</w:t>
      </w:r>
    </w:p>
    <w:p w14:paraId="6C493B1A">
      <w:pPr>
        <w:pStyle w:val="64"/>
        <w:spacing w:before="24" w:after="24"/>
        <w:rPr>
          <w:rFonts w:cs="Times New Roman"/>
        </w:rPr>
      </w:pPr>
      <w:bookmarkStart w:id="18" w:name="_Toc221894063"/>
      <w:r>
        <w:rPr>
          <w:rFonts w:cs="Times New Roman"/>
        </w:rPr>
        <w:t>4、给水排水指标</w:t>
      </w:r>
      <w:bookmarkEnd w:id="18"/>
    </w:p>
    <w:p w14:paraId="506D363A">
      <w:pPr>
        <w:spacing w:before="24" w:after="24"/>
        <w:ind w:firstLine="560" w:firstLineChars="200"/>
        <w:rPr>
          <w:rFonts w:ascii="Times New Roman" w:hAnsi="Times New Roman" w:cs="Times New Roman"/>
        </w:rPr>
      </w:pPr>
      <w:r>
        <w:rPr>
          <w:rFonts w:ascii="Times New Roman" w:hAnsi="Times New Roman" w:cs="Times New Roman"/>
        </w:rPr>
        <w:t>4.1生活给水定额：</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73"/>
        <w:gridCol w:w="1814"/>
        <w:gridCol w:w="2004"/>
        <w:gridCol w:w="1065"/>
        <w:gridCol w:w="1309"/>
      </w:tblGrid>
      <w:tr w14:paraId="7F908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tblHeader/>
          <w:jc w:val="center"/>
        </w:trPr>
        <w:tc>
          <w:tcPr>
            <w:tcW w:w="287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8C62A90">
            <w:pPr>
              <w:pStyle w:val="71"/>
              <w:spacing w:before="24" w:after="24"/>
              <w:rPr>
                <w:rFonts w:cs="Times New Roman"/>
              </w:rPr>
            </w:pPr>
            <w:r>
              <w:rPr>
                <w:rFonts w:cs="Times New Roman"/>
              </w:rPr>
              <w:t>建筑类型</w:t>
            </w:r>
          </w:p>
        </w:tc>
        <w:tc>
          <w:tcPr>
            <w:tcW w:w="181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55B8179">
            <w:pPr>
              <w:pStyle w:val="71"/>
              <w:spacing w:before="24" w:after="24"/>
              <w:rPr>
                <w:rFonts w:cs="Times New Roman"/>
              </w:rPr>
            </w:pPr>
            <w:r>
              <w:rPr>
                <w:rFonts w:cs="Times New Roman"/>
              </w:rPr>
              <w:t>最高日用</w:t>
            </w:r>
          </w:p>
          <w:p w14:paraId="1282CA6A">
            <w:pPr>
              <w:pStyle w:val="71"/>
              <w:spacing w:before="24" w:after="24"/>
              <w:rPr>
                <w:rFonts w:cs="Times New Roman"/>
              </w:rPr>
            </w:pPr>
            <w:r>
              <w:rPr>
                <w:rFonts w:cs="Times New Roman"/>
              </w:rPr>
              <w:t>水量标准</w:t>
            </w:r>
          </w:p>
        </w:tc>
        <w:tc>
          <w:tcPr>
            <w:tcW w:w="200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E9BF49D">
            <w:pPr>
              <w:pStyle w:val="71"/>
              <w:spacing w:before="24" w:after="24"/>
              <w:rPr>
                <w:rFonts w:cs="Times New Roman"/>
              </w:rPr>
            </w:pPr>
            <w:r>
              <w:rPr>
                <w:rFonts w:cs="Times New Roman"/>
              </w:rPr>
              <w:t>平均日用</w:t>
            </w:r>
          </w:p>
          <w:p w14:paraId="0003F60B">
            <w:pPr>
              <w:pStyle w:val="71"/>
              <w:spacing w:before="24" w:after="24"/>
              <w:rPr>
                <w:rFonts w:cs="Times New Roman"/>
              </w:rPr>
            </w:pPr>
            <w:r>
              <w:rPr>
                <w:rFonts w:cs="Times New Roman"/>
              </w:rPr>
              <w:t>水量标准</w:t>
            </w:r>
          </w:p>
        </w:tc>
        <w:tc>
          <w:tcPr>
            <w:tcW w:w="106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302B0A8">
            <w:pPr>
              <w:pStyle w:val="71"/>
              <w:spacing w:before="24" w:after="24"/>
              <w:rPr>
                <w:rFonts w:cs="Times New Roman"/>
              </w:rPr>
            </w:pPr>
            <w:r>
              <w:rPr>
                <w:rFonts w:cs="Times New Roman"/>
              </w:rPr>
              <w:t>变化</w:t>
            </w:r>
          </w:p>
          <w:p w14:paraId="093FDA67">
            <w:pPr>
              <w:pStyle w:val="71"/>
              <w:spacing w:before="24" w:after="24"/>
              <w:rPr>
                <w:rFonts w:cs="Times New Roman"/>
              </w:rPr>
            </w:pPr>
            <w:r>
              <w:rPr>
                <w:rFonts w:cs="Times New Roman"/>
              </w:rPr>
              <w:t>系数</w:t>
            </w:r>
          </w:p>
        </w:tc>
        <w:tc>
          <w:tcPr>
            <w:tcW w:w="130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1AA59A6">
            <w:pPr>
              <w:pStyle w:val="71"/>
              <w:spacing w:before="24" w:after="24"/>
              <w:rPr>
                <w:rFonts w:cs="Times New Roman"/>
              </w:rPr>
            </w:pPr>
            <w:r>
              <w:rPr>
                <w:rFonts w:cs="Times New Roman"/>
              </w:rPr>
              <w:t>用水</w:t>
            </w:r>
          </w:p>
          <w:p w14:paraId="2F3E2EA7">
            <w:pPr>
              <w:pStyle w:val="71"/>
              <w:spacing w:before="24" w:after="24"/>
              <w:rPr>
                <w:rFonts w:cs="Times New Roman"/>
              </w:rPr>
            </w:pPr>
            <w:r>
              <w:rPr>
                <w:rFonts w:cs="Times New Roman"/>
              </w:rPr>
              <w:t>时间</w:t>
            </w:r>
          </w:p>
        </w:tc>
      </w:tr>
      <w:tr w14:paraId="28FDC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287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70220E2">
            <w:pPr>
              <w:pStyle w:val="71"/>
              <w:spacing w:before="24" w:after="24"/>
              <w:rPr>
                <w:rFonts w:cs="Times New Roman"/>
              </w:rPr>
            </w:pPr>
            <w:r>
              <w:rPr>
                <w:rFonts w:cs="Times New Roman"/>
              </w:rPr>
              <w:t>商业</w:t>
            </w:r>
          </w:p>
        </w:tc>
        <w:tc>
          <w:tcPr>
            <w:tcW w:w="181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7B46188">
            <w:pPr>
              <w:pStyle w:val="71"/>
              <w:spacing w:before="24" w:after="24"/>
              <w:rPr>
                <w:rFonts w:cs="Times New Roman"/>
              </w:rPr>
            </w:pPr>
            <w:r>
              <w:rPr>
                <w:rFonts w:cs="Times New Roman"/>
              </w:rPr>
              <w:t>8L/（人.㎡）</w:t>
            </w:r>
          </w:p>
        </w:tc>
        <w:tc>
          <w:tcPr>
            <w:tcW w:w="200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E0E79AB">
            <w:pPr>
              <w:pStyle w:val="71"/>
              <w:spacing w:before="24" w:after="24"/>
              <w:rPr>
                <w:rFonts w:cs="Times New Roman"/>
              </w:rPr>
            </w:pPr>
            <w:r>
              <w:rPr>
                <w:rFonts w:cs="Times New Roman"/>
              </w:rPr>
              <w:t>6L/（人.㎡）</w:t>
            </w:r>
          </w:p>
        </w:tc>
        <w:tc>
          <w:tcPr>
            <w:tcW w:w="106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C5E781A">
            <w:pPr>
              <w:pStyle w:val="71"/>
              <w:spacing w:before="24" w:after="24"/>
              <w:rPr>
                <w:rFonts w:cs="Times New Roman"/>
              </w:rPr>
            </w:pPr>
            <w:r>
              <w:rPr>
                <w:rFonts w:cs="Times New Roman"/>
              </w:rPr>
              <w:t>1.2</w:t>
            </w:r>
          </w:p>
        </w:tc>
        <w:tc>
          <w:tcPr>
            <w:tcW w:w="130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F325542">
            <w:pPr>
              <w:pStyle w:val="71"/>
              <w:spacing w:before="24" w:after="24"/>
              <w:rPr>
                <w:rFonts w:cs="Times New Roman"/>
              </w:rPr>
            </w:pPr>
            <w:r>
              <w:rPr>
                <w:rFonts w:cs="Times New Roman"/>
              </w:rPr>
              <w:t>12h</w:t>
            </w:r>
          </w:p>
        </w:tc>
      </w:tr>
      <w:tr w14:paraId="1CD9A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287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9D5CF25">
            <w:pPr>
              <w:pStyle w:val="71"/>
              <w:spacing w:before="24" w:after="24"/>
              <w:rPr>
                <w:rFonts w:cs="Times New Roman"/>
              </w:rPr>
            </w:pPr>
            <w:r>
              <w:rPr>
                <w:rFonts w:cs="Times New Roman"/>
              </w:rPr>
              <w:t>宿舍</w:t>
            </w:r>
          </w:p>
        </w:tc>
        <w:tc>
          <w:tcPr>
            <w:tcW w:w="181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A78828E">
            <w:pPr>
              <w:pStyle w:val="71"/>
              <w:spacing w:before="24" w:after="24"/>
              <w:rPr>
                <w:rFonts w:cs="Times New Roman"/>
              </w:rPr>
            </w:pPr>
            <w:r>
              <w:rPr>
                <w:rFonts w:cs="Times New Roman"/>
              </w:rPr>
              <w:t>150L/（人.日）</w:t>
            </w:r>
          </w:p>
        </w:tc>
        <w:tc>
          <w:tcPr>
            <w:tcW w:w="200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C353955">
            <w:pPr>
              <w:pStyle w:val="71"/>
              <w:spacing w:before="24" w:after="24"/>
              <w:rPr>
                <w:rFonts w:cs="Times New Roman"/>
              </w:rPr>
            </w:pPr>
            <w:r>
              <w:rPr>
                <w:rFonts w:cs="Times New Roman"/>
              </w:rPr>
              <w:t>130L/（人.日）</w:t>
            </w:r>
          </w:p>
        </w:tc>
        <w:tc>
          <w:tcPr>
            <w:tcW w:w="106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0E5511D">
            <w:pPr>
              <w:pStyle w:val="71"/>
              <w:spacing w:before="24" w:after="24"/>
              <w:rPr>
                <w:rFonts w:cs="Times New Roman"/>
              </w:rPr>
            </w:pPr>
            <w:r>
              <w:rPr>
                <w:rFonts w:cs="Times New Roman"/>
              </w:rPr>
              <w:t>3.0</w:t>
            </w:r>
          </w:p>
        </w:tc>
        <w:tc>
          <w:tcPr>
            <w:tcW w:w="130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8659A34">
            <w:pPr>
              <w:pStyle w:val="71"/>
              <w:spacing w:before="24" w:after="24"/>
              <w:rPr>
                <w:rFonts w:cs="Times New Roman"/>
              </w:rPr>
            </w:pPr>
            <w:r>
              <w:rPr>
                <w:rFonts w:cs="Times New Roman"/>
              </w:rPr>
              <w:t>24h</w:t>
            </w:r>
          </w:p>
        </w:tc>
      </w:tr>
      <w:tr w14:paraId="1B3B44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287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3EE04CB">
            <w:pPr>
              <w:pStyle w:val="71"/>
              <w:spacing w:before="24" w:after="24"/>
              <w:rPr>
                <w:rFonts w:cs="Times New Roman"/>
              </w:rPr>
            </w:pPr>
            <w:r>
              <w:rPr>
                <w:rFonts w:cs="Times New Roman"/>
              </w:rPr>
              <w:t>养老院</w:t>
            </w:r>
          </w:p>
        </w:tc>
        <w:tc>
          <w:tcPr>
            <w:tcW w:w="181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D3ABA7C">
            <w:pPr>
              <w:pStyle w:val="71"/>
              <w:spacing w:before="24" w:after="24"/>
              <w:rPr>
                <w:rFonts w:cs="Times New Roman"/>
              </w:rPr>
            </w:pPr>
            <w:r>
              <w:rPr>
                <w:rFonts w:cs="Times New Roman"/>
              </w:rPr>
              <w:t>100L/（床.日）</w:t>
            </w:r>
          </w:p>
        </w:tc>
        <w:tc>
          <w:tcPr>
            <w:tcW w:w="200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110FF9E">
            <w:pPr>
              <w:pStyle w:val="71"/>
              <w:spacing w:before="24" w:after="24"/>
              <w:rPr>
                <w:rFonts w:cs="Times New Roman"/>
              </w:rPr>
            </w:pPr>
            <w:r>
              <w:rPr>
                <w:rFonts w:cs="Times New Roman"/>
              </w:rPr>
              <w:t>90L/（床.日）</w:t>
            </w:r>
          </w:p>
        </w:tc>
        <w:tc>
          <w:tcPr>
            <w:tcW w:w="106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42AF856">
            <w:pPr>
              <w:pStyle w:val="71"/>
              <w:spacing w:before="24" w:after="24"/>
              <w:rPr>
                <w:rFonts w:cs="Times New Roman"/>
              </w:rPr>
            </w:pPr>
            <w:r>
              <w:rPr>
                <w:rFonts w:cs="Times New Roman"/>
              </w:rPr>
              <w:t>2.5</w:t>
            </w:r>
          </w:p>
        </w:tc>
        <w:tc>
          <w:tcPr>
            <w:tcW w:w="130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F85CDF7">
            <w:pPr>
              <w:pStyle w:val="71"/>
              <w:spacing w:before="24" w:after="24"/>
              <w:rPr>
                <w:rFonts w:cs="Times New Roman"/>
              </w:rPr>
            </w:pPr>
            <w:r>
              <w:rPr>
                <w:rFonts w:cs="Times New Roman"/>
              </w:rPr>
              <w:t>24h</w:t>
            </w:r>
          </w:p>
        </w:tc>
      </w:tr>
      <w:tr w14:paraId="795AF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87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BC30FC0">
            <w:pPr>
              <w:pStyle w:val="71"/>
              <w:spacing w:before="24" w:after="24"/>
              <w:rPr>
                <w:rFonts w:cs="Times New Roman"/>
              </w:rPr>
            </w:pPr>
            <w:r>
              <w:rPr>
                <w:rFonts w:cs="Times New Roman"/>
              </w:rPr>
              <w:t>食堂</w:t>
            </w:r>
          </w:p>
        </w:tc>
        <w:tc>
          <w:tcPr>
            <w:tcW w:w="181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54009C0">
            <w:pPr>
              <w:pStyle w:val="71"/>
              <w:spacing w:before="24" w:after="24"/>
              <w:rPr>
                <w:rFonts w:cs="Times New Roman"/>
              </w:rPr>
            </w:pPr>
            <w:r>
              <w:rPr>
                <w:rFonts w:cs="Times New Roman"/>
              </w:rPr>
              <w:t>20L/（人.次）</w:t>
            </w:r>
          </w:p>
        </w:tc>
        <w:tc>
          <w:tcPr>
            <w:tcW w:w="200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4C2CBC9">
            <w:pPr>
              <w:pStyle w:val="71"/>
              <w:spacing w:before="24" w:after="24"/>
              <w:rPr>
                <w:rFonts w:cs="Times New Roman"/>
              </w:rPr>
            </w:pPr>
            <w:r>
              <w:rPr>
                <w:rFonts w:cs="Times New Roman"/>
              </w:rPr>
              <w:t>15L/（人.次）</w:t>
            </w:r>
          </w:p>
        </w:tc>
        <w:tc>
          <w:tcPr>
            <w:tcW w:w="106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010D155">
            <w:pPr>
              <w:pStyle w:val="71"/>
              <w:spacing w:before="24" w:after="24"/>
              <w:rPr>
                <w:rFonts w:cs="Times New Roman"/>
              </w:rPr>
            </w:pPr>
            <w:r>
              <w:rPr>
                <w:rFonts w:cs="Times New Roman"/>
              </w:rPr>
              <w:t>1.5</w:t>
            </w:r>
          </w:p>
        </w:tc>
        <w:tc>
          <w:tcPr>
            <w:tcW w:w="130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03B98A0">
            <w:pPr>
              <w:pStyle w:val="71"/>
              <w:spacing w:before="24" w:after="24"/>
              <w:rPr>
                <w:rFonts w:cs="Times New Roman"/>
              </w:rPr>
            </w:pPr>
            <w:r>
              <w:rPr>
                <w:rFonts w:cs="Times New Roman"/>
              </w:rPr>
              <w:t>12h</w:t>
            </w:r>
          </w:p>
        </w:tc>
      </w:tr>
      <w:tr w14:paraId="4E8D3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287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1D337D7">
            <w:pPr>
              <w:pStyle w:val="71"/>
              <w:spacing w:before="24" w:after="24"/>
              <w:rPr>
                <w:rFonts w:cs="Times New Roman"/>
              </w:rPr>
            </w:pPr>
            <w:r>
              <w:rPr>
                <w:rFonts w:cs="Times New Roman"/>
              </w:rPr>
              <w:t>办公</w:t>
            </w:r>
          </w:p>
        </w:tc>
        <w:tc>
          <w:tcPr>
            <w:tcW w:w="181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F11F6C5">
            <w:pPr>
              <w:pStyle w:val="71"/>
              <w:spacing w:before="24" w:after="24"/>
              <w:rPr>
                <w:rFonts w:cs="Times New Roman"/>
              </w:rPr>
            </w:pPr>
            <w:r>
              <w:rPr>
                <w:rFonts w:cs="Times New Roman"/>
              </w:rPr>
              <w:t>30L/（人.班）</w:t>
            </w:r>
          </w:p>
        </w:tc>
        <w:tc>
          <w:tcPr>
            <w:tcW w:w="200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F3497DE">
            <w:pPr>
              <w:pStyle w:val="71"/>
              <w:spacing w:before="24" w:after="24"/>
              <w:rPr>
                <w:rFonts w:cs="Times New Roman"/>
              </w:rPr>
            </w:pPr>
            <w:r>
              <w:rPr>
                <w:rFonts w:cs="Times New Roman"/>
              </w:rPr>
              <w:t>25L/（人.班）</w:t>
            </w:r>
          </w:p>
        </w:tc>
        <w:tc>
          <w:tcPr>
            <w:tcW w:w="106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FB2F13E">
            <w:pPr>
              <w:pStyle w:val="71"/>
              <w:spacing w:before="24" w:after="24"/>
              <w:rPr>
                <w:rFonts w:cs="Times New Roman"/>
              </w:rPr>
            </w:pPr>
            <w:r>
              <w:rPr>
                <w:rFonts w:cs="Times New Roman"/>
              </w:rPr>
              <w:t>1.5</w:t>
            </w:r>
          </w:p>
        </w:tc>
        <w:tc>
          <w:tcPr>
            <w:tcW w:w="130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EDDD04E">
            <w:pPr>
              <w:pStyle w:val="71"/>
              <w:spacing w:before="24" w:after="24"/>
              <w:rPr>
                <w:rFonts w:cs="Times New Roman"/>
              </w:rPr>
            </w:pPr>
            <w:r>
              <w:rPr>
                <w:rFonts w:cs="Times New Roman"/>
              </w:rPr>
              <w:t>8h</w:t>
            </w:r>
          </w:p>
        </w:tc>
      </w:tr>
      <w:tr w14:paraId="500BA9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287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AD24CD1">
            <w:pPr>
              <w:pStyle w:val="71"/>
              <w:spacing w:before="24" w:after="24"/>
              <w:rPr>
                <w:rFonts w:cs="Times New Roman"/>
              </w:rPr>
            </w:pPr>
            <w:r>
              <w:rPr>
                <w:rFonts w:cs="Times New Roman"/>
              </w:rPr>
              <w:t>教学楼</w:t>
            </w:r>
          </w:p>
        </w:tc>
        <w:tc>
          <w:tcPr>
            <w:tcW w:w="181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0D99E08">
            <w:pPr>
              <w:pStyle w:val="71"/>
              <w:spacing w:before="24" w:after="24"/>
              <w:rPr>
                <w:rFonts w:cs="Times New Roman"/>
              </w:rPr>
            </w:pPr>
            <w:r>
              <w:rPr>
                <w:rFonts w:cs="Times New Roman"/>
              </w:rPr>
              <w:t>40L/（学生.日）</w:t>
            </w:r>
          </w:p>
        </w:tc>
        <w:tc>
          <w:tcPr>
            <w:tcW w:w="200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79063EA">
            <w:pPr>
              <w:pStyle w:val="71"/>
              <w:spacing w:before="24" w:after="24"/>
              <w:rPr>
                <w:rFonts w:cs="Times New Roman"/>
              </w:rPr>
            </w:pPr>
            <w:r>
              <w:rPr>
                <w:rFonts w:cs="Times New Roman"/>
              </w:rPr>
              <w:t>35L/（学生.日）</w:t>
            </w:r>
          </w:p>
        </w:tc>
        <w:tc>
          <w:tcPr>
            <w:tcW w:w="106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955B4AA">
            <w:pPr>
              <w:pStyle w:val="71"/>
              <w:spacing w:before="24" w:after="24"/>
              <w:rPr>
                <w:rFonts w:cs="Times New Roman"/>
              </w:rPr>
            </w:pPr>
            <w:r>
              <w:rPr>
                <w:rFonts w:cs="Times New Roman"/>
              </w:rPr>
              <w:t>1.5</w:t>
            </w:r>
          </w:p>
        </w:tc>
        <w:tc>
          <w:tcPr>
            <w:tcW w:w="130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800C17C">
            <w:pPr>
              <w:pStyle w:val="71"/>
              <w:spacing w:before="24" w:after="24"/>
              <w:rPr>
                <w:rFonts w:cs="Times New Roman"/>
              </w:rPr>
            </w:pPr>
            <w:r>
              <w:rPr>
                <w:rFonts w:cs="Times New Roman"/>
              </w:rPr>
              <w:t>8h</w:t>
            </w:r>
          </w:p>
        </w:tc>
      </w:tr>
    </w:tbl>
    <w:p w14:paraId="6A6642B8">
      <w:pPr>
        <w:spacing w:before="24" w:after="24"/>
        <w:ind w:firstLine="560" w:firstLineChars="200"/>
        <w:rPr>
          <w:rFonts w:ascii="Times New Roman" w:hAnsi="Times New Roman" w:cs="Times New Roman"/>
        </w:rPr>
      </w:pPr>
      <w:r>
        <w:rPr>
          <w:rFonts w:ascii="Times New Roman" w:hAnsi="Times New Roman" w:cs="Times New Roman"/>
        </w:rPr>
        <w:t>4.2再生水定额</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29"/>
        <w:gridCol w:w="2441"/>
        <w:gridCol w:w="2441"/>
        <w:gridCol w:w="1194"/>
        <w:gridCol w:w="1340"/>
      </w:tblGrid>
      <w:tr w14:paraId="62EA2A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62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01A7418">
            <w:pPr>
              <w:spacing w:before="24" w:after="24" w:line="288" w:lineRule="auto"/>
              <w:jc w:val="center"/>
              <w:rPr>
                <w:rFonts w:ascii="Times New Roman" w:hAnsi="Times New Roman" w:cs="Times New Roman"/>
                <w:sz w:val="24"/>
              </w:rPr>
            </w:pPr>
            <w:r>
              <w:rPr>
                <w:rFonts w:ascii="Times New Roman" w:hAnsi="Times New Roman" w:cs="Times New Roman"/>
                <w:sz w:val="24"/>
              </w:rPr>
              <w:t>建筑</w:t>
            </w:r>
          </w:p>
          <w:p w14:paraId="41E4A219">
            <w:pPr>
              <w:spacing w:before="24" w:after="24" w:line="288" w:lineRule="auto"/>
              <w:jc w:val="center"/>
              <w:rPr>
                <w:rFonts w:ascii="Times New Roman" w:hAnsi="Times New Roman" w:cs="Times New Roman"/>
                <w:sz w:val="24"/>
              </w:rPr>
            </w:pPr>
            <w:r>
              <w:rPr>
                <w:rFonts w:ascii="Times New Roman" w:hAnsi="Times New Roman" w:cs="Times New Roman"/>
                <w:sz w:val="24"/>
              </w:rPr>
              <w:t>类型</w:t>
            </w:r>
          </w:p>
        </w:tc>
        <w:tc>
          <w:tcPr>
            <w:tcW w:w="244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B2B69C7">
            <w:pPr>
              <w:spacing w:before="24" w:after="24" w:line="288" w:lineRule="auto"/>
              <w:jc w:val="center"/>
              <w:rPr>
                <w:rFonts w:ascii="Times New Roman" w:hAnsi="Times New Roman" w:cs="Times New Roman"/>
                <w:sz w:val="24"/>
              </w:rPr>
            </w:pPr>
            <w:r>
              <w:rPr>
                <w:rFonts w:ascii="Times New Roman" w:hAnsi="Times New Roman" w:cs="Times New Roman"/>
                <w:sz w:val="24"/>
              </w:rPr>
              <w:t>最高日中</w:t>
            </w:r>
          </w:p>
          <w:p w14:paraId="4B85E92F">
            <w:pPr>
              <w:spacing w:before="24" w:after="24" w:line="288" w:lineRule="auto"/>
              <w:jc w:val="center"/>
              <w:rPr>
                <w:rFonts w:ascii="Times New Roman" w:hAnsi="Times New Roman" w:cs="Times New Roman"/>
                <w:sz w:val="24"/>
              </w:rPr>
            </w:pPr>
            <w:r>
              <w:rPr>
                <w:rFonts w:ascii="Times New Roman" w:hAnsi="Times New Roman" w:cs="Times New Roman"/>
                <w:sz w:val="24"/>
              </w:rPr>
              <w:t>水量标准</w:t>
            </w:r>
          </w:p>
        </w:tc>
        <w:tc>
          <w:tcPr>
            <w:tcW w:w="244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B4F8D82">
            <w:pPr>
              <w:spacing w:before="24" w:after="24" w:line="288" w:lineRule="auto"/>
              <w:jc w:val="center"/>
              <w:rPr>
                <w:rFonts w:ascii="Times New Roman" w:hAnsi="Times New Roman" w:cs="Times New Roman"/>
                <w:sz w:val="24"/>
              </w:rPr>
            </w:pPr>
            <w:r>
              <w:rPr>
                <w:rFonts w:ascii="Times New Roman" w:hAnsi="Times New Roman" w:cs="Times New Roman"/>
                <w:sz w:val="24"/>
              </w:rPr>
              <w:t>平均日中</w:t>
            </w:r>
          </w:p>
          <w:p w14:paraId="65F4A178">
            <w:pPr>
              <w:spacing w:before="24" w:after="24" w:line="288" w:lineRule="auto"/>
              <w:jc w:val="center"/>
              <w:rPr>
                <w:rFonts w:ascii="Times New Roman" w:hAnsi="Times New Roman" w:cs="Times New Roman"/>
                <w:sz w:val="24"/>
              </w:rPr>
            </w:pPr>
            <w:r>
              <w:rPr>
                <w:rFonts w:ascii="Times New Roman" w:hAnsi="Times New Roman" w:cs="Times New Roman"/>
                <w:sz w:val="24"/>
              </w:rPr>
              <w:t>水量标准</w:t>
            </w:r>
          </w:p>
        </w:tc>
        <w:tc>
          <w:tcPr>
            <w:tcW w:w="119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4E37280">
            <w:pPr>
              <w:spacing w:before="24" w:after="24" w:line="288" w:lineRule="auto"/>
              <w:jc w:val="center"/>
              <w:rPr>
                <w:rFonts w:ascii="Times New Roman" w:hAnsi="Times New Roman" w:cs="Times New Roman"/>
                <w:sz w:val="24"/>
              </w:rPr>
            </w:pPr>
            <w:r>
              <w:rPr>
                <w:rFonts w:ascii="Times New Roman" w:hAnsi="Times New Roman" w:cs="Times New Roman"/>
                <w:sz w:val="24"/>
              </w:rPr>
              <w:t>变化</w:t>
            </w:r>
          </w:p>
          <w:p w14:paraId="54AC86A5">
            <w:pPr>
              <w:spacing w:before="24" w:after="24" w:line="288" w:lineRule="auto"/>
              <w:jc w:val="center"/>
              <w:rPr>
                <w:rFonts w:ascii="Times New Roman" w:hAnsi="Times New Roman" w:cs="Times New Roman"/>
                <w:sz w:val="24"/>
              </w:rPr>
            </w:pPr>
            <w:r>
              <w:rPr>
                <w:rFonts w:ascii="Times New Roman" w:hAnsi="Times New Roman" w:cs="Times New Roman"/>
                <w:sz w:val="24"/>
              </w:rPr>
              <w:t>系数</w:t>
            </w:r>
          </w:p>
        </w:tc>
        <w:tc>
          <w:tcPr>
            <w:tcW w:w="1340"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9B64260">
            <w:pPr>
              <w:spacing w:before="24" w:after="24" w:line="288" w:lineRule="auto"/>
              <w:jc w:val="center"/>
              <w:rPr>
                <w:rFonts w:ascii="Times New Roman" w:hAnsi="Times New Roman" w:cs="Times New Roman"/>
                <w:sz w:val="24"/>
              </w:rPr>
            </w:pPr>
            <w:r>
              <w:rPr>
                <w:rFonts w:ascii="Times New Roman" w:hAnsi="Times New Roman" w:cs="Times New Roman"/>
                <w:sz w:val="24"/>
              </w:rPr>
              <w:t>用水</w:t>
            </w:r>
          </w:p>
          <w:p w14:paraId="601D664B">
            <w:pPr>
              <w:spacing w:before="24" w:after="24" w:line="288" w:lineRule="auto"/>
              <w:jc w:val="center"/>
              <w:rPr>
                <w:rFonts w:ascii="Times New Roman" w:hAnsi="Times New Roman" w:cs="Times New Roman"/>
                <w:sz w:val="24"/>
              </w:rPr>
            </w:pPr>
            <w:r>
              <w:rPr>
                <w:rFonts w:ascii="Times New Roman" w:hAnsi="Times New Roman" w:cs="Times New Roman"/>
                <w:sz w:val="24"/>
              </w:rPr>
              <w:t>时间</w:t>
            </w:r>
          </w:p>
        </w:tc>
      </w:tr>
      <w:tr w14:paraId="10C39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jc w:val="center"/>
        </w:trPr>
        <w:tc>
          <w:tcPr>
            <w:tcW w:w="162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C6105DF">
            <w:pPr>
              <w:spacing w:before="24" w:after="24" w:line="288" w:lineRule="auto"/>
              <w:jc w:val="center"/>
              <w:rPr>
                <w:rFonts w:ascii="Times New Roman" w:hAnsi="Times New Roman" w:cs="Times New Roman"/>
                <w:sz w:val="24"/>
              </w:rPr>
            </w:pPr>
            <w:r>
              <w:rPr>
                <w:rFonts w:ascii="Times New Roman" w:hAnsi="Times New Roman" w:cs="Times New Roman"/>
                <w:sz w:val="24"/>
              </w:rPr>
              <w:t>道路浇洒</w:t>
            </w:r>
          </w:p>
        </w:tc>
        <w:tc>
          <w:tcPr>
            <w:tcW w:w="244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12B09B6">
            <w:pPr>
              <w:spacing w:before="24" w:after="24" w:line="288" w:lineRule="auto"/>
              <w:jc w:val="center"/>
              <w:rPr>
                <w:rFonts w:ascii="Times New Roman" w:hAnsi="Times New Roman" w:cs="Times New Roman"/>
                <w:sz w:val="24"/>
              </w:rPr>
            </w:pPr>
            <w:r>
              <w:rPr>
                <w:rFonts w:ascii="Times New Roman" w:hAnsi="Times New Roman" w:cs="Times New Roman"/>
                <w:sz w:val="24"/>
              </w:rPr>
              <w:t>1L/（㎡·d）</w:t>
            </w:r>
          </w:p>
        </w:tc>
        <w:tc>
          <w:tcPr>
            <w:tcW w:w="244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B2072D2">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119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6E1A4C1">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c>
          <w:tcPr>
            <w:tcW w:w="1340"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97A3802">
            <w:pPr>
              <w:spacing w:before="24" w:after="24" w:line="288" w:lineRule="auto"/>
              <w:jc w:val="center"/>
              <w:rPr>
                <w:rFonts w:ascii="Times New Roman" w:hAnsi="Times New Roman" w:cs="Times New Roman"/>
                <w:sz w:val="24"/>
              </w:rPr>
            </w:pPr>
            <w:r>
              <w:rPr>
                <w:rFonts w:ascii="Times New Roman" w:hAnsi="Times New Roman" w:cs="Times New Roman"/>
                <w:sz w:val="24"/>
              </w:rPr>
              <w:t>6h</w:t>
            </w:r>
          </w:p>
        </w:tc>
      </w:tr>
      <w:tr w14:paraId="7DFEDC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jc w:val="center"/>
        </w:trPr>
        <w:tc>
          <w:tcPr>
            <w:tcW w:w="162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9C0F0FB">
            <w:pPr>
              <w:spacing w:before="24" w:after="24" w:line="288" w:lineRule="auto"/>
              <w:jc w:val="center"/>
              <w:rPr>
                <w:rFonts w:ascii="Times New Roman" w:hAnsi="Times New Roman" w:cs="Times New Roman"/>
                <w:sz w:val="24"/>
              </w:rPr>
            </w:pPr>
            <w:r>
              <w:rPr>
                <w:rFonts w:ascii="Times New Roman" w:hAnsi="Times New Roman" w:cs="Times New Roman"/>
                <w:sz w:val="24"/>
              </w:rPr>
              <w:t>绿化用水</w:t>
            </w:r>
          </w:p>
        </w:tc>
        <w:tc>
          <w:tcPr>
            <w:tcW w:w="244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9E9B183">
            <w:pPr>
              <w:spacing w:before="24" w:after="24" w:line="288" w:lineRule="auto"/>
              <w:jc w:val="center"/>
              <w:rPr>
                <w:rFonts w:ascii="Times New Roman" w:hAnsi="Times New Roman" w:cs="Times New Roman"/>
                <w:sz w:val="24"/>
              </w:rPr>
            </w:pPr>
            <w:r>
              <w:rPr>
                <w:rFonts w:ascii="Times New Roman" w:hAnsi="Times New Roman" w:cs="Times New Roman"/>
                <w:sz w:val="24"/>
              </w:rPr>
              <w:t>3L/（㎡·d）</w:t>
            </w:r>
          </w:p>
        </w:tc>
        <w:tc>
          <w:tcPr>
            <w:tcW w:w="244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54BD0BF">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119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8940747">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c>
          <w:tcPr>
            <w:tcW w:w="1340"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1E80B1B">
            <w:pPr>
              <w:spacing w:before="24" w:after="24" w:line="288" w:lineRule="auto"/>
              <w:jc w:val="center"/>
              <w:rPr>
                <w:rFonts w:ascii="Times New Roman" w:hAnsi="Times New Roman" w:cs="Times New Roman"/>
                <w:sz w:val="24"/>
              </w:rPr>
            </w:pPr>
            <w:r>
              <w:rPr>
                <w:rFonts w:ascii="Times New Roman" w:hAnsi="Times New Roman" w:cs="Times New Roman"/>
                <w:sz w:val="24"/>
              </w:rPr>
              <w:t>6h</w:t>
            </w:r>
          </w:p>
        </w:tc>
      </w:tr>
      <w:tr w14:paraId="59E9D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jc w:val="center"/>
        </w:trPr>
        <w:tc>
          <w:tcPr>
            <w:tcW w:w="162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5549476">
            <w:pPr>
              <w:spacing w:before="24" w:after="24" w:line="288" w:lineRule="auto"/>
              <w:jc w:val="center"/>
              <w:rPr>
                <w:rFonts w:ascii="Times New Roman" w:hAnsi="Times New Roman" w:cs="Times New Roman"/>
                <w:sz w:val="24"/>
              </w:rPr>
            </w:pPr>
            <w:r>
              <w:rPr>
                <w:rFonts w:ascii="Times New Roman" w:hAnsi="Times New Roman" w:cs="Times New Roman"/>
                <w:sz w:val="24"/>
              </w:rPr>
              <w:t>车库用水</w:t>
            </w:r>
          </w:p>
        </w:tc>
        <w:tc>
          <w:tcPr>
            <w:tcW w:w="244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8D04D9C">
            <w:pPr>
              <w:spacing w:before="24" w:after="24" w:line="288" w:lineRule="auto"/>
              <w:jc w:val="center"/>
              <w:rPr>
                <w:rFonts w:ascii="Times New Roman" w:hAnsi="Times New Roman" w:cs="Times New Roman"/>
                <w:sz w:val="24"/>
              </w:rPr>
            </w:pPr>
            <w:r>
              <w:rPr>
                <w:rFonts w:ascii="Times New Roman" w:hAnsi="Times New Roman" w:cs="Times New Roman"/>
                <w:sz w:val="24"/>
              </w:rPr>
              <w:t>2L/（㎡·次）</w:t>
            </w:r>
          </w:p>
        </w:tc>
        <w:tc>
          <w:tcPr>
            <w:tcW w:w="244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A3E0BE0">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119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95A5EAC">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c>
          <w:tcPr>
            <w:tcW w:w="1340"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AEEE592">
            <w:pPr>
              <w:spacing w:before="24" w:after="24" w:line="288" w:lineRule="auto"/>
              <w:jc w:val="center"/>
              <w:rPr>
                <w:rFonts w:ascii="Times New Roman" w:hAnsi="Times New Roman" w:cs="Times New Roman"/>
                <w:sz w:val="24"/>
              </w:rPr>
            </w:pPr>
            <w:r>
              <w:rPr>
                <w:rFonts w:ascii="Times New Roman" w:hAnsi="Times New Roman" w:cs="Times New Roman"/>
                <w:sz w:val="24"/>
              </w:rPr>
              <w:t>6h</w:t>
            </w:r>
          </w:p>
        </w:tc>
      </w:tr>
      <w:tr w14:paraId="7B0F0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jc w:val="center"/>
        </w:trPr>
        <w:tc>
          <w:tcPr>
            <w:tcW w:w="162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B590772">
            <w:pPr>
              <w:spacing w:before="24" w:after="24" w:line="288" w:lineRule="auto"/>
              <w:jc w:val="center"/>
              <w:rPr>
                <w:rFonts w:ascii="Times New Roman" w:hAnsi="Times New Roman" w:cs="Times New Roman"/>
                <w:sz w:val="24"/>
              </w:rPr>
            </w:pPr>
            <w:r>
              <w:rPr>
                <w:rFonts w:ascii="Times New Roman" w:hAnsi="Times New Roman" w:cs="Times New Roman"/>
                <w:sz w:val="24"/>
              </w:rPr>
              <w:t>冲厕用水</w:t>
            </w:r>
          </w:p>
        </w:tc>
        <w:tc>
          <w:tcPr>
            <w:tcW w:w="244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17F97C7">
            <w:pPr>
              <w:spacing w:before="24" w:after="24" w:line="288" w:lineRule="auto"/>
              <w:jc w:val="center"/>
              <w:rPr>
                <w:rFonts w:ascii="Times New Roman" w:hAnsi="Times New Roman" w:cs="Times New Roman"/>
                <w:sz w:val="24"/>
              </w:rPr>
            </w:pPr>
            <w:r>
              <w:rPr>
                <w:rFonts w:ascii="Times New Roman" w:hAnsi="Times New Roman" w:cs="Times New Roman"/>
                <w:sz w:val="24"/>
              </w:rPr>
              <w:t>7L/（人·次）</w:t>
            </w:r>
          </w:p>
        </w:tc>
        <w:tc>
          <w:tcPr>
            <w:tcW w:w="244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6EE6E68">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119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40E5FB3">
            <w:pPr>
              <w:spacing w:before="24" w:after="24" w:line="288" w:lineRule="auto"/>
              <w:jc w:val="center"/>
              <w:rPr>
                <w:rFonts w:ascii="Times New Roman" w:hAnsi="Times New Roman" w:cs="Times New Roman"/>
                <w:sz w:val="24"/>
              </w:rPr>
            </w:pPr>
            <w:r>
              <w:rPr>
                <w:rFonts w:ascii="Times New Roman" w:hAnsi="Times New Roman" w:cs="Times New Roman"/>
                <w:sz w:val="24"/>
              </w:rPr>
              <w:t>1.8</w:t>
            </w:r>
          </w:p>
        </w:tc>
        <w:tc>
          <w:tcPr>
            <w:tcW w:w="1340"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67A40A6">
            <w:pPr>
              <w:spacing w:before="24" w:after="24" w:line="288" w:lineRule="auto"/>
              <w:jc w:val="center"/>
              <w:rPr>
                <w:rFonts w:ascii="Times New Roman" w:hAnsi="Times New Roman" w:cs="Times New Roman"/>
                <w:sz w:val="24"/>
              </w:rPr>
            </w:pPr>
            <w:r>
              <w:rPr>
                <w:rFonts w:ascii="Times New Roman" w:hAnsi="Times New Roman" w:cs="Times New Roman"/>
                <w:sz w:val="24"/>
              </w:rPr>
              <w:t>8h</w:t>
            </w:r>
          </w:p>
        </w:tc>
      </w:tr>
    </w:tbl>
    <w:p w14:paraId="0B5C8F90">
      <w:pPr>
        <w:spacing w:before="24" w:after="24"/>
        <w:ind w:firstLine="560" w:firstLineChars="200"/>
        <w:rPr>
          <w:rFonts w:ascii="Times New Roman" w:hAnsi="Times New Roman" w:cs="Times New Roman"/>
        </w:rPr>
      </w:pPr>
      <w:r>
        <w:rPr>
          <w:rFonts w:ascii="Times New Roman" w:hAnsi="Times New Roman" w:cs="Times New Roman"/>
        </w:rPr>
        <w:t>4.3生活热水定额</w:t>
      </w:r>
    </w:p>
    <w:tbl>
      <w:tblPr>
        <w:tblStyle w:val="31"/>
        <w:tblW w:w="91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63"/>
        <w:gridCol w:w="1814"/>
        <w:gridCol w:w="2004"/>
        <w:gridCol w:w="1065"/>
        <w:gridCol w:w="1309"/>
      </w:tblGrid>
      <w:tr w14:paraId="0B27A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tblHeader/>
          <w:jc w:val="center"/>
        </w:trPr>
        <w:tc>
          <w:tcPr>
            <w:tcW w:w="296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8FC3265">
            <w:pPr>
              <w:spacing w:before="24" w:after="24" w:line="288" w:lineRule="auto"/>
              <w:jc w:val="center"/>
              <w:rPr>
                <w:rFonts w:ascii="Times New Roman" w:hAnsi="Times New Roman" w:cs="Times New Roman"/>
                <w:sz w:val="24"/>
              </w:rPr>
            </w:pPr>
            <w:r>
              <w:rPr>
                <w:rFonts w:ascii="Times New Roman" w:hAnsi="Times New Roman" w:cs="Times New Roman"/>
                <w:sz w:val="24"/>
              </w:rPr>
              <w:t>建筑</w:t>
            </w:r>
          </w:p>
          <w:p w14:paraId="7E263789">
            <w:pPr>
              <w:spacing w:before="24" w:after="24" w:line="288" w:lineRule="auto"/>
              <w:jc w:val="center"/>
              <w:rPr>
                <w:rFonts w:ascii="Times New Roman" w:hAnsi="Times New Roman" w:cs="Times New Roman"/>
                <w:sz w:val="24"/>
              </w:rPr>
            </w:pPr>
            <w:r>
              <w:rPr>
                <w:rFonts w:ascii="Times New Roman" w:hAnsi="Times New Roman" w:cs="Times New Roman"/>
                <w:sz w:val="24"/>
              </w:rPr>
              <w:t>类型</w:t>
            </w:r>
          </w:p>
        </w:tc>
        <w:tc>
          <w:tcPr>
            <w:tcW w:w="181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B2D83E0">
            <w:pPr>
              <w:spacing w:before="24" w:after="24" w:line="288" w:lineRule="auto"/>
              <w:jc w:val="center"/>
              <w:rPr>
                <w:rFonts w:ascii="Times New Roman" w:hAnsi="Times New Roman" w:cs="Times New Roman"/>
                <w:sz w:val="24"/>
              </w:rPr>
            </w:pPr>
            <w:r>
              <w:rPr>
                <w:rFonts w:ascii="Times New Roman" w:hAnsi="Times New Roman" w:cs="Times New Roman"/>
                <w:sz w:val="24"/>
              </w:rPr>
              <w:t>最高日热</w:t>
            </w:r>
          </w:p>
          <w:p w14:paraId="3C28DAA7">
            <w:pPr>
              <w:spacing w:before="24" w:after="24" w:line="288" w:lineRule="auto"/>
              <w:jc w:val="center"/>
              <w:rPr>
                <w:rFonts w:ascii="Times New Roman" w:hAnsi="Times New Roman" w:cs="Times New Roman"/>
                <w:sz w:val="24"/>
              </w:rPr>
            </w:pPr>
            <w:r>
              <w:rPr>
                <w:rFonts w:ascii="Times New Roman" w:hAnsi="Times New Roman" w:cs="Times New Roman"/>
                <w:sz w:val="24"/>
              </w:rPr>
              <w:t>水量标准</w:t>
            </w:r>
          </w:p>
        </w:tc>
        <w:tc>
          <w:tcPr>
            <w:tcW w:w="200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6590DF1">
            <w:pPr>
              <w:spacing w:before="24" w:after="24" w:line="288" w:lineRule="auto"/>
              <w:jc w:val="center"/>
              <w:rPr>
                <w:rFonts w:ascii="Times New Roman" w:hAnsi="Times New Roman" w:cs="Times New Roman"/>
                <w:sz w:val="24"/>
              </w:rPr>
            </w:pPr>
            <w:r>
              <w:rPr>
                <w:rFonts w:ascii="Times New Roman" w:hAnsi="Times New Roman" w:cs="Times New Roman"/>
                <w:sz w:val="24"/>
              </w:rPr>
              <w:t>平均日热</w:t>
            </w:r>
          </w:p>
          <w:p w14:paraId="21787ECA">
            <w:pPr>
              <w:spacing w:before="24" w:after="24" w:line="288" w:lineRule="auto"/>
              <w:jc w:val="center"/>
              <w:rPr>
                <w:rFonts w:ascii="Times New Roman" w:hAnsi="Times New Roman" w:cs="Times New Roman"/>
                <w:sz w:val="24"/>
              </w:rPr>
            </w:pPr>
            <w:r>
              <w:rPr>
                <w:rFonts w:ascii="Times New Roman" w:hAnsi="Times New Roman" w:cs="Times New Roman"/>
                <w:sz w:val="24"/>
              </w:rPr>
              <w:t>水量标准</w:t>
            </w:r>
          </w:p>
        </w:tc>
        <w:tc>
          <w:tcPr>
            <w:tcW w:w="106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6A4D39E">
            <w:pPr>
              <w:spacing w:before="24" w:after="24" w:line="288" w:lineRule="auto"/>
              <w:jc w:val="center"/>
              <w:rPr>
                <w:rFonts w:ascii="Times New Roman" w:hAnsi="Times New Roman" w:cs="Times New Roman"/>
                <w:sz w:val="24"/>
              </w:rPr>
            </w:pPr>
            <w:r>
              <w:rPr>
                <w:rFonts w:ascii="Times New Roman" w:hAnsi="Times New Roman" w:cs="Times New Roman"/>
                <w:sz w:val="24"/>
              </w:rPr>
              <w:t>变化</w:t>
            </w:r>
          </w:p>
          <w:p w14:paraId="1C570BC6">
            <w:pPr>
              <w:spacing w:before="24" w:after="24" w:line="288" w:lineRule="auto"/>
              <w:jc w:val="center"/>
              <w:rPr>
                <w:rFonts w:ascii="Times New Roman" w:hAnsi="Times New Roman" w:cs="Times New Roman"/>
                <w:sz w:val="24"/>
              </w:rPr>
            </w:pPr>
            <w:r>
              <w:rPr>
                <w:rFonts w:ascii="Times New Roman" w:hAnsi="Times New Roman" w:cs="Times New Roman"/>
                <w:sz w:val="24"/>
              </w:rPr>
              <w:t>系数</w:t>
            </w:r>
          </w:p>
        </w:tc>
        <w:tc>
          <w:tcPr>
            <w:tcW w:w="130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26B6752">
            <w:pPr>
              <w:spacing w:before="24" w:after="24" w:line="288" w:lineRule="auto"/>
              <w:jc w:val="center"/>
              <w:rPr>
                <w:rFonts w:ascii="Times New Roman" w:hAnsi="Times New Roman" w:cs="Times New Roman"/>
                <w:sz w:val="24"/>
              </w:rPr>
            </w:pPr>
            <w:r>
              <w:rPr>
                <w:rFonts w:ascii="Times New Roman" w:hAnsi="Times New Roman" w:cs="Times New Roman"/>
                <w:sz w:val="24"/>
              </w:rPr>
              <w:t>用水</w:t>
            </w:r>
          </w:p>
          <w:p w14:paraId="7D679E0F">
            <w:pPr>
              <w:spacing w:before="24" w:after="24" w:line="288" w:lineRule="auto"/>
              <w:jc w:val="center"/>
              <w:rPr>
                <w:rFonts w:ascii="Times New Roman" w:hAnsi="Times New Roman" w:cs="Times New Roman"/>
                <w:sz w:val="24"/>
              </w:rPr>
            </w:pPr>
            <w:r>
              <w:rPr>
                <w:rFonts w:ascii="Times New Roman" w:hAnsi="Times New Roman" w:cs="Times New Roman"/>
                <w:sz w:val="24"/>
              </w:rPr>
              <w:t>时间</w:t>
            </w:r>
          </w:p>
        </w:tc>
      </w:tr>
      <w:tr w14:paraId="06D61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296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C389BC4">
            <w:pPr>
              <w:spacing w:before="24" w:after="24" w:line="288" w:lineRule="auto"/>
              <w:jc w:val="center"/>
              <w:rPr>
                <w:rFonts w:ascii="Times New Roman" w:hAnsi="Times New Roman" w:cs="Times New Roman"/>
                <w:sz w:val="24"/>
              </w:rPr>
            </w:pPr>
            <w:r>
              <w:rPr>
                <w:rFonts w:ascii="Times New Roman" w:hAnsi="Times New Roman" w:cs="Times New Roman"/>
                <w:sz w:val="24"/>
              </w:rPr>
              <w:t>宿舍</w:t>
            </w:r>
          </w:p>
        </w:tc>
        <w:tc>
          <w:tcPr>
            <w:tcW w:w="181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2BC5683">
            <w:pPr>
              <w:spacing w:before="24" w:after="24" w:line="288" w:lineRule="auto"/>
              <w:jc w:val="center"/>
              <w:rPr>
                <w:rFonts w:ascii="Times New Roman" w:hAnsi="Times New Roman" w:cs="Times New Roman"/>
                <w:sz w:val="24"/>
              </w:rPr>
            </w:pPr>
            <w:r>
              <w:rPr>
                <w:rFonts w:ascii="Times New Roman" w:hAnsi="Times New Roman" w:cs="Times New Roman"/>
                <w:sz w:val="24"/>
              </w:rPr>
              <w:t>70L/（人.日）</w:t>
            </w:r>
          </w:p>
        </w:tc>
        <w:tc>
          <w:tcPr>
            <w:tcW w:w="200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E4FD527">
            <w:pPr>
              <w:spacing w:before="24" w:after="24" w:line="288" w:lineRule="auto"/>
              <w:jc w:val="center"/>
              <w:rPr>
                <w:rFonts w:ascii="Times New Roman" w:hAnsi="Times New Roman" w:cs="Times New Roman"/>
                <w:sz w:val="24"/>
              </w:rPr>
            </w:pPr>
            <w:r>
              <w:rPr>
                <w:rFonts w:ascii="Times New Roman" w:hAnsi="Times New Roman" w:cs="Times New Roman"/>
                <w:sz w:val="24"/>
              </w:rPr>
              <w:t>40L/（人.日）</w:t>
            </w:r>
          </w:p>
        </w:tc>
        <w:tc>
          <w:tcPr>
            <w:tcW w:w="106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7B112DC">
            <w:pPr>
              <w:spacing w:before="24" w:after="24" w:line="288" w:lineRule="auto"/>
              <w:jc w:val="center"/>
              <w:rPr>
                <w:rFonts w:ascii="Times New Roman" w:hAnsi="Times New Roman" w:cs="Times New Roman"/>
                <w:sz w:val="24"/>
              </w:rPr>
            </w:pPr>
            <w:r>
              <w:rPr>
                <w:rFonts w:ascii="Times New Roman" w:hAnsi="Times New Roman" w:cs="Times New Roman"/>
                <w:sz w:val="24"/>
              </w:rPr>
              <w:t>3.0</w:t>
            </w:r>
          </w:p>
        </w:tc>
        <w:tc>
          <w:tcPr>
            <w:tcW w:w="130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F2D45A7">
            <w:pPr>
              <w:spacing w:before="24" w:after="24" w:line="288" w:lineRule="auto"/>
              <w:jc w:val="center"/>
              <w:rPr>
                <w:rFonts w:ascii="Times New Roman" w:hAnsi="Times New Roman" w:cs="Times New Roman"/>
                <w:sz w:val="24"/>
              </w:rPr>
            </w:pPr>
            <w:r>
              <w:rPr>
                <w:rFonts w:ascii="Times New Roman" w:hAnsi="Times New Roman" w:cs="Times New Roman"/>
                <w:sz w:val="24"/>
              </w:rPr>
              <w:t>24h</w:t>
            </w:r>
          </w:p>
        </w:tc>
      </w:tr>
      <w:tr w14:paraId="2DCFD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296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F898A4F">
            <w:pPr>
              <w:spacing w:before="24" w:after="24" w:line="288" w:lineRule="auto"/>
              <w:jc w:val="center"/>
              <w:rPr>
                <w:rFonts w:ascii="Times New Roman" w:hAnsi="Times New Roman" w:cs="Times New Roman"/>
                <w:sz w:val="24"/>
              </w:rPr>
            </w:pPr>
            <w:r>
              <w:rPr>
                <w:rFonts w:ascii="Times New Roman" w:hAnsi="Times New Roman" w:cs="Times New Roman"/>
                <w:sz w:val="24"/>
              </w:rPr>
              <w:t>养老院</w:t>
            </w:r>
          </w:p>
        </w:tc>
        <w:tc>
          <w:tcPr>
            <w:tcW w:w="181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A8BD277">
            <w:pPr>
              <w:spacing w:before="24" w:after="24" w:line="288" w:lineRule="auto"/>
              <w:jc w:val="center"/>
              <w:rPr>
                <w:rFonts w:ascii="Times New Roman" w:hAnsi="Times New Roman" w:cs="Times New Roman"/>
                <w:sz w:val="24"/>
              </w:rPr>
            </w:pPr>
            <w:r>
              <w:rPr>
                <w:rFonts w:ascii="Times New Roman" w:hAnsi="Times New Roman" w:cs="Times New Roman"/>
                <w:sz w:val="24"/>
              </w:rPr>
              <w:t>50L/（床.日）</w:t>
            </w:r>
          </w:p>
        </w:tc>
        <w:tc>
          <w:tcPr>
            <w:tcW w:w="200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115E9F0">
            <w:pPr>
              <w:spacing w:before="24" w:after="24" w:line="288" w:lineRule="auto"/>
              <w:jc w:val="center"/>
              <w:rPr>
                <w:rFonts w:ascii="Times New Roman" w:hAnsi="Times New Roman" w:cs="Times New Roman"/>
                <w:sz w:val="24"/>
              </w:rPr>
            </w:pPr>
            <w:r>
              <w:rPr>
                <w:rFonts w:ascii="Times New Roman" w:hAnsi="Times New Roman" w:cs="Times New Roman"/>
                <w:sz w:val="24"/>
              </w:rPr>
              <w:t>45L/（床.日）</w:t>
            </w:r>
          </w:p>
        </w:tc>
        <w:tc>
          <w:tcPr>
            <w:tcW w:w="106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0BC5355">
            <w:pPr>
              <w:spacing w:before="24" w:after="24" w:line="288" w:lineRule="auto"/>
              <w:jc w:val="center"/>
              <w:rPr>
                <w:rFonts w:ascii="Times New Roman" w:hAnsi="Times New Roman" w:cs="Times New Roman"/>
                <w:sz w:val="24"/>
              </w:rPr>
            </w:pPr>
            <w:r>
              <w:rPr>
                <w:rFonts w:ascii="Times New Roman" w:hAnsi="Times New Roman" w:cs="Times New Roman"/>
                <w:sz w:val="24"/>
              </w:rPr>
              <w:t>3.2</w:t>
            </w:r>
          </w:p>
        </w:tc>
        <w:tc>
          <w:tcPr>
            <w:tcW w:w="130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3D5D818">
            <w:pPr>
              <w:spacing w:before="24" w:after="24" w:line="288" w:lineRule="auto"/>
              <w:jc w:val="center"/>
              <w:rPr>
                <w:rFonts w:ascii="Times New Roman" w:hAnsi="Times New Roman" w:cs="Times New Roman"/>
                <w:sz w:val="24"/>
              </w:rPr>
            </w:pPr>
            <w:r>
              <w:rPr>
                <w:rFonts w:ascii="Times New Roman" w:hAnsi="Times New Roman" w:cs="Times New Roman"/>
                <w:sz w:val="24"/>
              </w:rPr>
              <w:t>24h</w:t>
            </w:r>
          </w:p>
        </w:tc>
      </w:tr>
      <w:tr w14:paraId="19924A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296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AD0F3DC">
            <w:pPr>
              <w:spacing w:before="24" w:after="24" w:line="288" w:lineRule="auto"/>
              <w:jc w:val="center"/>
              <w:rPr>
                <w:rFonts w:ascii="Times New Roman" w:hAnsi="Times New Roman" w:cs="Times New Roman"/>
                <w:sz w:val="24"/>
              </w:rPr>
            </w:pPr>
            <w:r>
              <w:rPr>
                <w:rFonts w:ascii="Times New Roman" w:hAnsi="Times New Roman" w:cs="Times New Roman"/>
                <w:sz w:val="24"/>
              </w:rPr>
              <w:t>食堂</w:t>
            </w:r>
          </w:p>
        </w:tc>
        <w:tc>
          <w:tcPr>
            <w:tcW w:w="181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D27F791">
            <w:pPr>
              <w:spacing w:before="24" w:after="24" w:line="288" w:lineRule="auto"/>
              <w:jc w:val="center"/>
              <w:rPr>
                <w:rFonts w:ascii="Times New Roman" w:hAnsi="Times New Roman" w:cs="Times New Roman"/>
                <w:sz w:val="24"/>
              </w:rPr>
            </w:pPr>
            <w:r>
              <w:rPr>
                <w:rFonts w:ascii="Times New Roman" w:hAnsi="Times New Roman" w:cs="Times New Roman"/>
                <w:sz w:val="24"/>
              </w:rPr>
              <w:t>10L/（人.次）</w:t>
            </w:r>
          </w:p>
        </w:tc>
        <w:tc>
          <w:tcPr>
            <w:tcW w:w="200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1515BCD">
            <w:pPr>
              <w:spacing w:before="24" w:after="24" w:line="288" w:lineRule="auto"/>
              <w:jc w:val="center"/>
              <w:rPr>
                <w:rFonts w:ascii="Times New Roman" w:hAnsi="Times New Roman" w:cs="Times New Roman"/>
                <w:sz w:val="24"/>
              </w:rPr>
            </w:pPr>
            <w:r>
              <w:rPr>
                <w:rFonts w:ascii="Times New Roman" w:hAnsi="Times New Roman" w:cs="Times New Roman"/>
                <w:sz w:val="24"/>
              </w:rPr>
              <w:t>7L/（人.次）</w:t>
            </w:r>
          </w:p>
        </w:tc>
        <w:tc>
          <w:tcPr>
            <w:tcW w:w="106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93BB76B">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c>
          <w:tcPr>
            <w:tcW w:w="130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2F84595">
            <w:pPr>
              <w:spacing w:before="24" w:after="24" w:line="288" w:lineRule="auto"/>
              <w:jc w:val="center"/>
              <w:rPr>
                <w:rFonts w:ascii="Times New Roman" w:hAnsi="Times New Roman" w:cs="Times New Roman"/>
                <w:sz w:val="24"/>
              </w:rPr>
            </w:pPr>
            <w:r>
              <w:rPr>
                <w:rFonts w:ascii="Times New Roman" w:hAnsi="Times New Roman" w:cs="Times New Roman"/>
                <w:sz w:val="24"/>
              </w:rPr>
              <w:t>12h</w:t>
            </w:r>
          </w:p>
        </w:tc>
      </w:tr>
      <w:tr w14:paraId="64838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296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C3E4DFB">
            <w:pPr>
              <w:spacing w:before="24" w:after="24" w:line="288" w:lineRule="auto"/>
              <w:jc w:val="center"/>
              <w:rPr>
                <w:rFonts w:ascii="Times New Roman" w:hAnsi="Times New Roman" w:cs="Times New Roman"/>
                <w:sz w:val="24"/>
              </w:rPr>
            </w:pPr>
            <w:r>
              <w:rPr>
                <w:rFonts w:ascii="Times New Roman" w:hAnsi="Times New Roman" w:cs="Times New Roman"/>
                <w:sz w:val="24"/>
              </w:rPr>
              <w:t>办公</w:t>
            </w:r>
          </w:p>
        </w:tc>
        <w:tc>
          <w:tcPr>
            <w:tcW w:w="181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D425EDE">
            <w:pPr>
              <w:spacing w:before="24" w:after="24" w:line="288" w:lineRule="auto"/>
              <w:jc w:val="center"/>
              <w:rPr>
                <w:rFonts w:ascii="Times New Roman" w:hAnsi="Times New Roman" w:cs="Times New Roman"/>
                <w:sz w:val="24"/>
              </w:rPr>
            </w:pPr>
            <w:r>
              <w:rPr>
                <w:rFonts w:ascii="Times New Roman" w:hAnsi="Times New Roman" w:cs="Times New Roman"/>
                <w:sz w:val="24"/>
              </w:rPr>
              <w:t>5L/（人.班）</w:t>
            </w:r>
          </w:p>
        </w:tc>
        <w:tc>
          <w:tcPr>
            <w:tcW w:w="200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63E2578">
            <w:pPr>
              <w:spacing w:before="24" w:after="24" w:line="288" w:lineRule="auto"/>
              <w:jc w:val="center"/>
              <w:rPr>
                <w:rFonts w:ascii="Times New Roman" w:hAnsi="Times New Roman" w:cs="Times New Roman"/>
                <w:sz w:val="24"/>
              </w:rPr>
            </w:pPr>
            <w:r>
              <w:rPr>
                <w:rFonts w:ascii="Times New Roman" w:hAnsi="Times New Roman" w:cs="Times New Roman"/>
                <w:sz w:val="24"/>
              </w:rPr>
              <w:t>4L/（人.班）</w:t>
            </w:r>
          </w:p>
        </w:tc>
        <w:tc>
          <w:tcPr>
            <w:tcW w:w="106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930369F">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c>
          <w:tcPr>
            <w:tcW w:w="130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9AC5D48">
            <w:pPr>
              <w:spacing w:before="24" w:after="24" w:line="288" w:lineRule="auto"/>
              <w:jc w:val="center"/>
              <w:rPr>
                <w:rFonts w:ascii="Times New Roman" w:hAnsi="Times New Roman" w:cs="Times New Roman"/>
                <w:sz w:val="24"/>
              </w:rPr>
            </w:pPr>
            <w:r>
              <w:rPr>
                <w:rFonts w:ascii="Times New Roman" w:hAnsi="Times New Roman" w:cs="Times New Roman"/>
                <w:sz w:val="24"/>
              </w:rPr>
              <w:t>8h</w:t>
            </w:r>
          </w:p>
        </w:tc>
      </w:tr>
    </w:tbl>
    <w:p w14:paraId="24BC3923">
      <w:pPr>
        <w:spacing w:before="24" w:after="24"/>
        <w:ind w:firstLine="560" w:firstLineChars="200"/>
        <w:rPr>
          <w:rFonts w:ascii="Times New Roman" w:hAnsi="Times New Roman" w:cs="Times New Roman"/>
        </w:rPr>
      </w:pPr>
      <w:r>
        <w:rPr>
          <w:rFonts w:ascii="Times New Roman" w:hAnsi="Times New Roman" w:cs="Times New Roman"/>
        </w:rPr>
        <w:t>4.4生活污废水定额</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73"/>
        <w:gridCol w:w="1814"/>
        <w:gridCol w:w="2004"/>
        <w:gridCol w:w="1065"/>
        <w:gridCol w:w="1309"/>
      </w:tblGrid>
      <w:tr w14:paraId="48666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tblHeader/>
          <w:jc w:val="center"/>
        </w:trPr>
        <w:tc>
          <w:tcPr>
            <w:tcW w:w="287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3E8B533">
            <w:pPr>
              <w:spacing w:before="24" w:after="24" w:line="288" w:lineRule="auto"/>
              <w:jc w:val="center"/>
              <w:rPr>
                <w:rFonts w:ascii="Times New Roman" w:hAnsi="Times New Roman" w:cs="Times New Roman"/>
                <w:sz w:val="24"/>
              </w:rPr>
            </w:pPr>
            <w:r>
              <w:rPr>
                <w:rFonts w:ascii="Times New Roman" w:hAnsi="Times New Roman" w:cs="Times New Roman"/>
                <w:sz w:val="24"/>
              </w:rPr>
              <w:t>建筑类型</w:t>
            </w:r>
          </w:p>
        </w:tc>
        <w:tc>
          <w:tcPr>
            <w:tcW w:w="181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17C5C49">
            <w:pPr>
              <w:spacing w:before="24" w:after="24" w:line="288" w:lineRule="auto"/>
              <w:jc w:val="center"/>
              <w:rPr>
                <w:rFonts w:ascii="Times New Roman" w:hAnsi="Times New Roman" w:cs="Times New Roman"/>
                <w:sz w:val="24"/>
              </w:rPr>
            </w:pPr>
            <w:r>
              <w:rPr>
                <w:rFonts w:ascii="Times New Roman" w:hAnsi="Times New Roman" w:cs="Times New Roman"/>
                <w:sz w:val="24"/>
              </w:rPr>
              <w:t>最高日污废</w:t>
            </w:r>
          </w:p>
          <w:p w14:paraId="4AED58E6">
            <w:pPr>
              <w:spacing w:before="24" w:after="24" w:line="288" w:lineRule="auto"/>
              <w:jc w:val="center"/>
              <w:rPr>
                <w:rFonts w:ascii="Times New Roman" w:hAnsi="Times New Roman" w:cs="Times New Roman"/>
                <w:sz w:val="24"/>
              </w:rPr>
            </w:pPr>
            <w:r>
              <w:rPr>
                <w:rFonts w:ascii="Times New Roman" w:hAnsi="Times New Roman" w:cs="Times New Roman"/>
                <w:sz w:val="24"/>
              </w:rPr>
              <w:t>水量标准</w:t>
            </w:r>
          </w:p>
        </w:tc>
        <w:tc>
          <w:tcPr>
            <w:tcW w:w="200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E785D7A">
            <w:pPr>
              <w:spacing w:before="24" w:after="24" w:line="288" w:lineRule="auto"/>
              <w:jc w:val="center"/>
              <w:rPr>
                <w:rFonts w:ascii="Times New Roman" w:hAnsi="Times New Roman" w:cs="Times New Roman"/>
                <w:sz w:val="24"/>
              </w:rPr>
            </w:pPr>
            <w:r>
              <w:rPr>
                <w:rFonts w:ascii="Times New Roman" w:hAnsi="Times New Roman" w:cs="Times New Roman"/>
                <w:sz w:val="24"/>
              </w:rPr>
              <w:t>平均日污废</w:t>
            </w:r>
          </w:p>
          <w:p w14:paraId="3AA6D6B4">
            <w:pPr>
              <w:spacing w:before="24" w:after="24" w:line="288" w:lineRule="auto"/>
              <w:jc w:val="center"/>
              <w:rPr>
                <w:rFonts w:ascii="Times New Roman" w:hAnsi="Times New Roman" w:cs="Times New Roman"/>
                <w:sz w:val="24"/>
              </w:rPr>
            </w:pPr>
            <w:r>
              <w:rPr>
                <w:rFonts w:ascii="Times New Roman" w:hAnsi="Times New Roman" w:cs="Times New Roman"/>
                <w:sz w:val="24"/>
              </w:rPr>
              <w:t>水量标准</w:t>
            </w:r>
          </w:p>
        </w:tc>
        <w:tc>
          <w:tcPr>
            <w:tcW w:w="106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D8798E0">
            <w:pPr>
              <w:spacing w:before="24" w:after="24" w:line="288" w:lineRule="auto"/>
              <w:jc w:val="center"/>
              <w:rPr>
                <w:rFonts w:ascii="Times New Roman" w:hAnsi="Times New Roman" w:cs="Times New Roman"/>
                <w:sz w:val="24"/>
              </w:rPr>
            </w:pPr>
            <w:r>
              <w:rPr>
                <w:rFonts w:ascii="Times New Roman" w:hAnsi="Times New Roman" w:cs="Times New Roman"/>
                <w:sz w:val="24"/>
              </w:rPr>
              <w:t>变化</w:t>
            </w:r>
          </w:p>
          <w:p w14:paraId="460088EA">
            <w:pPr>
              <w:spacing w:before="24" w:after="24" w:line="288" w:lineRule="auto"/>
              <w:jc w:val="center"/>
              <w:rPr>
                <w:rFonts w:ascii="Times New Roman" w:hAnsi="Times New Roman" w:cs="Times New Roman"/>
                <w:sz w:val="24"/>
              </w:rPr>
            </w:pPr>
            <w:r>
              <w:rPr>
                <w:rFonts w:ascii="Times New Roman" w:hAnsi="Times New Roman" w:cs="Times New Roman"/>
                <w:sz w:val="24"/>
              </w:rPr>
              <w:t>系数</w:t>
            </w:r>
          </w:p>
        </w:tc>
        <w:tc>
          <w:tcPr>
            <w:tcW w:w="130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D91540C">
            <w:pPr>
              <w:spacing w:before="24" w:after="24" w:line="288" w:lineRule="auto"/>
              <w:jc w:val="center"/>
              <w:rPr>
                <w:rFonts w:ascii="Times New Roman" w:hAnsi="Times New Roman" w:cs="Times New Roman"/>
                <w:sz w:val="24"/>
              </w:rPr>
            </w:pPr>
            <w:r>
              <w:rPr>
                <w:rFonts w:ascii="Times New Roman" w:hAnsi="Times New Roman" w:cs="Times New Roman"/>
                <w:sz w:val="24"/>
              </w:rPr>
              <w:t>用水</w:t>
            </w:r>
          </w:p>
          <w:p w14:paraId="6B521E6F">
            <w:pPr>
              <w:spacing w:before="24" w:after="24" w:line="288" w:lineRule="auto"/>
              <w:jc w:val="center"/>
              <w:rPr>
                <w:rFonts w:ascii="Times New Roman" w:hAnsi="Times New Roman" w:cs="Times New Roman"/>
                <w:sz w:val="24"/>
              </w:rPr>
            </w:pPr>
            <w:r>
              <w:rPr>
                <w:rFonts w:ascii="Times New Roman" w:hAnsi="Times New Roman" w:cs="Times New Roman"/>
                <w:sz w:val="24"/>
              </w:rPr>
              <w:t>时间</w:t>
            </w:r>
          </w:p>
        </w:tc>
      </w:tr>
      <w:tr w14:paraId="06FC9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287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C5D6529">
            <w:pPr>
              <w:spacing w:before="24" w:after="24" w:line="288" w:lineRule="auto"/>
              <w:jc w:val="center"/>
              <w:rPr>
                <w:rFonts w:ascii="Times New Roman" w:hAnsi="Times New Roman" w:cs="Times New Roman"/>
                <w:sz w:val="24"/>
              </w:rPr>
            </w:pPr>
            <w:r>
              <w:rPr>
                <w:rFonts w:ascii="Times New Roman" w:hAnsi="Times New Roman" w:cs="Times New Roman"/>
                <w:sz w:val="24"/>
              </w:rPr>
              <w:t>商业</w:t>
            </w:r>
          </w:p>
        </w:tc>
        <w:tc>
          <w:tcPr>
            <w:tcW w:w="181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5FE96A2">
            <w:pPr>
              <w:spacing w:before="24" w:after="24" w:line="288" w:lineRule="auto"/>
              <w:jc w:val="center"/>
              <w:rPr>
                <w:rFonts w:ascii="Times New Roman" w:hAnsi="Times New Roman" w:cs="Times New Roman"/>
                <w:sz w:val="24"/>
              </w:rPr>
            </w:pPr>
            <w:r>
              <w:rPr>
                <w:rFonts w:ascii="Times New Roman" w:hAnsi="Times New Roman" w:cs="Times New Roman"/>
                <w:sz w:val="24"/>
              </w:rPr>
              <w:t>8L/（人.㎡）</w:t>
            </w:r>
          </w:p>
        </w:tc>
        <w:tc>
          <w:tcPr>
            <w:tcW w:w="200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2E59C4B">
            <w:pPr>
              <w:spacing w:before="24" w:after="24" w:line="288" w:lineRule="auto"/>
              <w:jc w:val="center"/>
              <w:rPr>
                <w:rFonts w:ascii="Times New Roman" w:hAnsi="Times New Roman" w:cs="Times New Roman"/>
                <w:sz w:val="24"/>
              </w:rPr>
            </w:pPr>
            <w:r>
              <w:rPr>
                <w:rFonts w:ascii="Times New Roman" w:hAnsi="Times New Roman" w:cs="Times New Roman"/>
                <w:sz w:val="24"/>
              </w:rPr>
              <w:t>6L/（人.㎡）</w:t>
            </w:r>
          </w:p>
        </w:tc>
        <w:tc>
          <w:tcPr>
            <w:tcW w:w="106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DA9C21C">
            <w:pPr>
              <w:spacing w:before="24" w:after="24" w:line="288" w:lineRule="auto"/>
              <w:jc w:val="center"/>
              <w:rPr>
                <w:rFonts w:ascii="Times New Roman" w:hAnsi="Times New Roman" w:cs="Times New Roman"/>
                <w:sz w:val="24"/>
              </w:rPr>
            </w:pPr>
            <w:r>
              <w:rPr>
                <w:rFonts w:ascii="Times New Roman" w:hAnsi="Times New Roman" w:cs="Times New Roman"/>
                <w:sz w:val="24"/>
              </w:rPr>
              <w:t>1.2</w:t>
            </w:r>
          </w:p>
        </w:tc>
        <w:tc>
          <w:tcPr>
            <w:tcW w:w="130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4889659">
            <w:pPr>
              <w:spacing w:before="24" w:after="24" w:line="288" w:lineRule="auto"/>
              <w:jc w:val="center"/>
              <w:rPr>
                <w:rFonts w:ascii="Times New Roman" w:hAnsi="Times New Roman" w:cs="Times New Roman"/>
                <w:sz w:val="24"/>
              </w:rPr>
            </w:pPr>
            <w:r>
              <w:rPr>
                <w:rFonts w:ascii="Times New Roman" w:hAnsi="Times New Roman" w:cs="Times New Roman"/>
                <w:sz w:val="24"/>
              </w:rPr>
              <w:t>12h</w:t>
            </w:r>
          </w:p>
        </w:tc>
      </w:tr>
      <w:tr w14:paraId="30A0A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287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3292865">
            <w:pPr>
              <w:spacing w:before="24" w:after="24" w:line="288" w:lineRule="auto"/>
              <w:jc w:val="center"/>
              <w:rPr>
                <w:rFonts w:ascii="Times New Roman" w:hAnsi="Times New Roman" w:cs="Times New Roman"/>
                <w:sz w:val="24"/>
              </w:rPr>
            </w:pPr>
            <w:r>
              <w:rPr>
                <w:rFonts w:ascii="Times New Roman" w:hAnsi="Times New Roman" w:cs="Times New Roman"/>
                <w:sz w:val="24"/>
              </w:rPr>
              <w:t>宿舍</w:t>
            </w:r>
          </w:p>
        </w:tc>
        <w:tc>
          <w:tcPr>
            <w:tcW w:w="181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CFF7DDC">
            <w:pPr>
              <w:spacing w:before="24" w:after="24" w:line="288" w:lineRule="auto"/>
              <w:jc w:val="center"/>
              <w:rPr>
                <w:rFonts w:ascii="Times New Roman" w:hAnsi="Times New Roman" w:cs="Times New Roman"/>
                <w:sz w:val="24"/>
              </w:rPr>
            </w:pPr>
            <w:r>
              <w:rPr>
                <w:rFonts w:ascii="Times New Roman" w:hAnsi="Times New Roman" w:cs="Times New Roman"/>
                <w:sz w:val="24"/>
              </w:rPr>
              <w:t>150L/（人.日）</w:t>
            </w:r>
          </w:p>
        </w:tc>
        <w:tc>
          <w:tcPr>
            <w:tcW w:w="200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08C5296">
            <w:pPr>
              <w:spacing w:before="24" w:after="24" w:line="288" w:lineRule="auto"/>
              <w:jc w:val="center"/>
              <w:rPr>
                <w:rFonts w:ascii="Times New Roman" w:hAnsi="Times New Roman" w:cs="Times New Roman"/>
                <w:sz w:val="24"/>
              </w:rPr>
            </w:pPr>
            <w:r>
              <w:rPr>
                <w:rFonts w:ascii="Times New Roman" w:hAnsi="Times New Roman" w:cs="Times New Roman"/>
                <w:sz w:val="24"/>
              </w:rPr>
              <w:t>130L/（人.日）</w:t>
            </w:r>
          </w:p>
        </w:tc>
        <w:tc>
          <w:tcPr>
            <w:tcW w:w="106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2493376">
            <w:pPr>
              <w:spacing w:before="24" w:after="24" w:line="288" w:lineRule="auto"/>
              <w:jc w:val="center"/>
              <w:rPr>
                <w:rFonts w:ascii="Times New Roman" w:hAnsi="Times New Roman" w:cs="Times New Roman"/>
                <w:sz w:val="24"/>
              </w:rPr>
            </w:pPr>
            <w:r>
              <w:rPr>
                <w:rFonts w:ascii="Times New Roman" w:hAnsi="Times New Roman" w:cs="Times New Roman"/>
                <w:sz w:val="24"/>
              </w:rPr>
              <w:t>3.0</w:t>
            </w:r>
          </w:p>
        </w:tc>
        <w:tc>
          <w:tcPr>
            <w:tcW w:w="130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D481028">
            <w:pPr>
              <w:spacing w:before="24" w:after="24" w:line="288" w:lineRule="auto"/>
              <w:jc w:val="center"/>
              <w:rPr>
                <w:rFonts w:ascii="Times New Roman" w:hAnsi="Times New Roman" w:cs="Times New Roman"/>
                <w:sz w:val="24"/>
              </w:rPr>
            </w:pPr>
            <w:r>
              <w:rPr>
                <w:rFonts w:ascii="Times New Roman" w:hAnsi="Times New Roman" w:cs="Times New Roman"/>
                <w:sz w:val="24"/>
              </w:rPr>
              <w:t>24h</w:t>
            </w:r>
          </w:p>
        </w:tc>
      </w:tr>
      <w:tr w14:paraId="45D6C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9" w:hRule="atLeast"/>
          <w:jc w:val="center"/>
        </w:trPr>
        <w:tc>
          <w:tcPr>
            <w:tcW w:w="287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DB2FE55">
            <w:pPr>
              <w:spacing w:before="24" w:after="24" w:line="288" w:lineRule="auto"/>
              <w:jc w:val="center"/>
              <w:rPr>
                <w:rFonts w:ascii="Times New Roman" w:hAnsi="Times New Roman" w:cs="Times New Roman"/>
                <w:sz w:val="24"/>
              </w:rPr>
            </w:pPr>
            <w:r>
              <w:rPr>
                <w:rFonts w:ascii="Times New Roman" w:hAnsi="Times New Roman" w:cs="Times New Roman"/>
                <w:sz w:val="24"/>
              </w:rPr>
              <w:t>疗养院</w:t>
            </w:r>
          </w:p>
        </w:tc>
        <w:tc>
          <w:tcPr>
            <w:tcW w:w="181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6D3D359">
            <w:pPr>
              <w:spacing w:before="24" w:after="24" w:line="288" w:lineRule="auto"/>
              <w:jc w:val="center"/>
              <w:rPr>
                <w:rFonts w:ascii="Times New Roman" w:hAnsi="Times New Roman" w:cs="Times New Roman"/>
                <w:sz w:val="24"/>
              </w:rPr>
            </w:pPr>
            <w:r>
              <w:rPr>
                <w:rFonts w:ascii="Times New Roman" w:hAnsi="Times New Roman" w:cs="Times New Roman"/>
                <w:sz w:val="24"/>
              </w:rPr>
              <w:t>200L/（床.日）</w:t>
            </w:r>
          </w:p>
        </w:tc>
        <w:tc>
          <w:tcPr>
            <w:tcW w:w="200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76000AF">
            <w:pPr>
              <w:spacing w:before="24" w:after="24" w:line="288" w:lineRule="auto"/>
              <w:jc w:val="center"/>
              <w:rPr>
                <w:rFonts w:ascii="Times New Roman" w:hAnsi="Times New Roman" w:cs="Times New Roman"/>
                <w:sz w:val="24"/>
              </w:rPr>
            </w:pPr>
            <w:r>
              <w:rPr>
                <w:rFonts w:ascii="Times New Roman" w:hAnsi="Times New Roman" w:cs="Times New Roman"/>
                <w:sz w:val="24"/>
              </w:rPr>
              <w:t>180L/（床.日）</w:t>
            </w:r>
          </w:p>
        </w:tc>
        <w:tc>
          <w:tcPr>
            <w:tcW w:w="106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906FD15">
            <w:pPr>
              <w:spacing w:before="24" w:after="24" w:line="288" w:lineRule="auto"/>
              <w:jc w:val="center"/>
              <w:rPr>
                <w:rFonts w:ascii="Times New Roman" w:hAnsi="Times New Roman" w:cs="Times New Roman"/>
                <w:sz w:val="24"/>
              </w:rPr>
            </w:pPr>
            <w:r>
              <w:rPr>
                <w:rFonts w:ascii="Times New Roman" w:hAnsi="Times New Roman" w:cs="Times New Roman"/>
                <w:sz w:val="24"/>
              </w:rPr>
              <w:t>2.0</w:t>
            </w:r>
          </w:p>
        </w:tc>
        <w:tc>
          <w:tcPr>
            <w:tcW w:w="130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C2801B9">
            <w:pPr>
              <w:spacing w:before="24" w:after="24" w:line="288" w:lineRule="auto"/>
              <w:jc w:val="center"/>
              <w:rPr>
                <w:rFonts w:ascii="Times New Roman" w:hAnsi="Times New Roman" w:cs="Times New Roman"/>
                <w:sz w:val="24"/>
              </w:rPr>
            </w:pPr>
            <w:r>
              <w:rPr>
                <w:rFonts w:ascii="Times New Roman" w:hAnsi="Times New Roman" w:cs="Times New Roman"/>
                <w:sz w:val="24"/>
              </w:rPr>
              <w:t>24h</w:t>
            </w:r>
          </w:p>
        </w:tc>
      </w:tr>
      <w:tr w14:paraId="3D98CA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287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C04103F">
            <w:pPr>
              <w:spacing w:before="24" w:after="24" w:line="288" w:lineRule="auto"/>
              <w:jc w:val="center"/>
              <w:rPr>
                <w:rFonts w:ascii="Times New Roman" w:hAnsi="Times New Roman" w:cs="Times New Roman"/>
                <w:sz w:val="24"/>
              </w:rPr>
            </w:pPr>
            <w:r>
              <w:rPr>
                <w:rFonts w:ascii="Times New Roman" w:hAnsi="Times New Roman" w:cs="Times New Roman"/>
                <w:sz w:val="24"/>
              </w:rPr>
              <w:t>食堂</w:t>
            </w:r>
          </w:p>
        </w:tc>
        <w:tc>
          <w:tcPr>
            <w:tcW w:w="181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2F01A47">
            <w:pPr>
              <w:spacing w:before="24" w:after="24" w:line="288" w:lineRule="auto"/>
              <w:jc w:val="center"/>
              <w:rPr>
                <w:rFonts w:ascii="Times New Roman" w:hAnsi="Times New Roman" w:cs="Times New Roman"/>
                <w:sz w:val="24"/>
              </w:rPr>
            </w:pPr>
            <w:r>
              <w:rPr>
                <w:rFonts w:ascii="Times New Roman" w:hAnsi="Times New Roman" w:cs="Times New Roman"/>
                <w:sz w:val="24"/>
              </w:rPr>
              <w:t>20L/（人.次）</w:t>
            </w:r>
          </w:p>
        </w:tc>
        <w:tc>
          <w:tcPr>
            <w:tcW w:w="200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02CE404">
            <w:pPr>
              <w:spacing w:before="24" w:after="24" w:line="288" w:lineRule="auto"/>
              <w:jc w:val="center"/>
              <w:rPr>
                <w:rFonts w:ascii="Times New Roman" w:hAnsi="Times New Roman" w:cs="Times New Roman"/>
                <w:sz w:val="24"/>
              </w:rPr>
            </w:pPr>
            <w:r>
              <w:rPr>
                <w:rFonts w:ascii="Times New Roman" w:hAnsi="Times New Roman" w:cs="Times New Roman"/>
                <w:sz w:val="24"/>
              </w:rPr>
              <w:t>15L/（人.次）</w:t>
            </w:r>
          </w:p>
        </w:tc>
        <w:tc>
          <w:tcPr>
            <w:tcW w:w="106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5345F93">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c>
          <w:tcPr>
            <w:tcW w:w="130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5433017">
            <w:pPr>
              <w:spacing w:before="24" w:after="24" w:line="288" w:lineRule="auto"/>
              <w:jc w:val="center"/>
              <w:rPr>
                <w:rFonts w:ascii="Times New Roman" w:hAnsi="Times New Roman" w:cs="Times New Roman"/>
                <w:sz w:val="24"/>
              </w:rPr>
            </w:pPr>
            <w:r>
              <w:rPr>
                <w:rFonts w:ascii="Times New Roman" w:hAnsi="Times New Roman" w:cs="Times New Roman"/>
                <w:sz w:val="24"/>
              </w:rPr>
              <w:t>12h</w:t>
            </w:r>
          </w:p>
        </w:tc>
      </w:tr>
      <w:tr w14:paraId="4EC86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287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99223A7">
            <w:pPr>
              <w:spacing w:before="24" w:after="24" w:line="288" w:lineRule="auto"/>
              <w:jc w:val="center"/>
              <w:rPr>
                <w:rFonts w:ascii="Times New Roman" w:hAnsi="Times New Roman" w:cs="Times New Roman"/>
                <w:sz w:val="24"/>
              </w:rPr>
            </w:pPr>
            <w:r>
              <w:rPr>
                <w:rFonts w:ascii="Times New Roman" w:hAnsi="Times New Roman" w:cs="Times New Roman"/>
                <w:sz w:val="24"/>
              </w:rPr>
              <w:t>办公</w:t>
            </w:r>
          </w:p>
        </w:tc>
        <w:tc>
          <w:tcPr>
            <w:tcW w:w="181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66E93AF">
            <w:pPr>
              <w:spacing w:before="24" w:after="24" w:line="288" w:lineRule="auto"/>
              <w:jc w:val="center"/>
              <w:rPr>
                <w:rFonts w:ascii="Times New Roman" w:hAnsi="Times New Roman" w:cs="Times New Roman"/>
                <w:sz w:val="24"/>
              </w:rPr>
            </w:pPr>
            <w:r>
              <w:rPr>
                <w:rFonts w:ascii="Times New Roman" w:hAnsi="Times New Roman" w:cs="Times New Roman"/>
                <w:sz w:val="24"/>
              </w:rPr>
              <w:t>30L/（人.班）</w:t>
            </w:r>
          </w:p>
        </w:tc>
        <w:tc>
          <w:tcPr>
            <w:tcW w:w="200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B248E7F">
            <w:pPr>
              <w:spacing w:before="24" w:after="24" w:line="288" w:lineRule="auto"/>
              <w:jc w:val="center"/>
              <w:rPr>
                <w:rFonts w:ascii="Times New Roman" w:hAnsi="Times New Roman" w:cs="Times New Roman"/>
                <w:sz w:val="24"/>
              </w:rPr>
            </w:pPr>
            <w:r>
              <w:rPr>
                <w:rFonts w:ascii="Times New Roman" w:hAnsi="Times New Roman" w:cs="Times New Roman"/>
                <w:sz w:val="24"/>
              </w:rPr>
              <w:t>25L/（人.班）</w:t>
            </w:r>
          </w:p>
        </w:tc>
        <w:tc>
          <w:tcPr>
            <w:tcW w:w="106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47B6386">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c>
          <w:tcPr>
            <w:tcW w:w="130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CA5C6CD">
            <w:pPr>
              <w:spacing w:before="24" w:after="24" w:line="288" w:lineRule="auto"/>
              <w:jc w:val="center"/>
              <w:rPr>
                <w:rFonts w:ascii="Times New Roman" w:hAnsi="Times New Roman" w:cs="Times New Roman"/>
                <w:sz w:val="24"/>
              </w:rPr>
            </w:pPr>
            <w:r>
              <w:rPr>
                <w:rFonts w:ascii="Times New Roman" w:hAnsi="Times New Roman" w:cs="Times New Roman"/>
                <w:sz w:val="24"/>
              </w:rPr>
              <w:t>8h</w:t>
            </w:r>
          </w:p>
        </w:tc>
      </w:tr>
      <w:tr w14:paraId="745DC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287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8FE5C20">
            <w:pPr>
              <w:spacing w:before="24" w:after="24" w:line="288" w:lineRule="auto"/>
              <w:jc w:val="center"/>
              <w:rPr>
                <w:rFonts w:ascii="Times New Roman" w:hAnsi="Times New Roman" w:cs="Times New Roman"/>
                <w:sz w:val="24"/>
              </w:rPr>
            </w:pPr>
            <w:r>
              <w:rPr>
                <w:rFonts w:ascii="Times New Roman" w:hAnsi="Times New Roman" w:cs="Times New Roman"/>
                <w:sz w:val="24"/>
              </w:rPr>
              <w:t>教学楼</w:t>
            </w:r>
          </w:p>
        </w:tc>
        <w:tc>
          <w:tcPr>
            <w:tcW w:w="181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1212C10">
            <w:pPr>
              <w:spacing w:before="24" w:after="24" w:line="288" w:lineRule="auto"/>
              <w:jc w:val="center"/>
              <w:rPr>
                <w:rFonts w:ascii="Times New Roman" w:hAnsi="Times New Roman" w:cs="Times New Roman"/>
                <w:sz w:val="24"/>
              </w:rPr>
            </w:pPr>
            <w:r>
              <w:rPr>
                <w:rFonts w:ascii="Times New Roman" w:hAnsi="Times New Roman" w:cs="Times New Roman"/>
                <w:sz w:val="24"/>
              </w:rPr>
              <w:t>40L/（学生.日）</w:t>
            </w:r>
          </w:p>
        </w:tc>
        <w:tc>
          <w:tcPr>
            <w:tcW w:w="200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0A44625">
            <w:pPr>
              <w:spacing w:before="24" w:after="24" w:line="288" w:lineRule="auto"/>
              <w:jc w:val="center"/>
              <w:rPr>
                <w:rFonts w:ascii="Times New Roman" w:hAnsi="Times New Roman" w:cs="Times New Roman"/>
                <w:sz w:val="24"/>
              </w:rPr>
            </w:pPr>
            <w:r>
              <w:rPr>
                <w:rFonts w:ascii="Times New Roman" w:hAnsi="Times New Roman" w:cs="Times New Roman"/>
                <w:sz w:val="24"/>
              </w:rPr>
              <w:t>35L/（学生.日）</w:t>
            </w:r>
          </w:p>
        </w:tc>
        <w:tc>
          <w:tcPr>
            <w:tcW w:w="106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923B53C">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c>
          <w:tcPr>
            <w:tcW w:w="130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9EC96B1">
            <w:pPr>
              <w:spacing w:before="24" w:after="24" w:line="288" w:lineRule="auto"/>
              <w:jc w:val="center"/>
              <w:rPr>
                <w:rFonts w:ascii="Times New Roman" w:hAnsi="Times New Roman" w:cs="Times New Roman"/>
                <w:sz w:val="24"/>
              </w:rPr>
            </w:pPr>
            <w:r>
              <w:rPr>
                <w:rFonts w:ascii="Times New Roman" w:hAnsi="Times New Roman" w:cs="Times New Roman"/>
                <w:sz w:val="24"/>
              </w:rPr>
              <w:t>8h</w:t>
            </w:r>
          </w:p>
        </w:tc>
      </w:tr>
    </w:tbl>
    <w:p w14:paraId="4C76C6E9">
      <w:pPr>
        <w:spacing w:before="24" w:after="24"/>
        <w:ind w:firstLine="560" w:firstLineChars="200"/>
        <w:rPr>
          <w:rFonts w:ascii="Times New Roman" w:hAnsi="Times New Roman" w:cs="Times New Roman"/>
        </w:rPr>
      </w:pPr>
      <w:r>
        <w:rPr>
          <w:rFonts w:ascii="Times New Roman" w:hAnsi="Times New Roman" w:cs="Times New Roman"/>
        </w:rPr>
        <w:t>4.5当地暴雨强度公式及设计参数</w:t>
      </w:r>
    </w:p>
    <w:p w14:paraId="03B9B2CA">
      <w:pPr>
        <w:spacing w:before="24" w:after="24"/>
        <w:ind w:firstLine="560" w:firstLineChars="200"/>
        <w:rPr>
          <w:rFonts w:ascii="Times New Roman" w:hAnsi="Times New Roman" w:cs="Times New Roman"/>
        </w:rPr>
      </w:pPr>
      <w:r>
        <w:rPr>
          <w:rFonts w:ascii="Times New Roman" w:hAnsi="Times New Roman" w:cs="Times New Roman"/>
        </w:rPr>
        <w:t>采用德钦县暴雨强度公式i=（24.751+28.0719lgT）÷（t+24.803）</w:t>
      </w:r>
      <w:r>
        <w:rPr>
          <w:rFonts w:ascii="Times New Roman" w:hAnsi="Times New Roman" w:cs="Times New Roman"/>
          <w:vertAlign w:val="superscript"/>
        </w:rPr>
        <w:t>1.1671</w:t>
      </w:r>
      <w:r>
        <w:rPr>
          <w:rFonts w:ascii="Times New Roman" w:hAnsi="Times New Roman" w:cs="Times New Roman"/>
        </w:rPr>
        <w:t>（mm/min），式中：</w:t>
      </w:r>
    </w:p>
    <w:p w14:paraId="060C9035">
      <w:pPr>
        <w:spacing w:before="24" w:after="24"/>
        <w:ind w:firstLine="560" w:firstLineChars="200"/>
        <w:rPr>
          <w:rFonts w:ascii="Times New Roman" w:hAnsi="Times New Roman" w:cs="Times New Roman"/>
        </w:rPr>
      </w:pPr>
      <w:r>
        <w:rPr>
          <w:rFonts w:ascii="Times New Roman" w:hAnsi="Times New Roman" w:cs="Times New Roman"/>
        </w:rPr>
        <w:t>4.5.1屋面雨水：重现期T=5年，集水时间t=5min；</w:t>
      </w:r>
    </w:p>
    <w:p w14:paraId="2B04E3CC">
      <w:pPr>
        <w:spacing w:before="24" w:after="24"/>
        <w:ind w:firstLine="560" w:firstLineChars="200"/>
        <w:rPr>
          <w:rFonts w:ascii="Times New Roman" w:hAnsi="Times New Roman" w:cs="Times New Roman"/>
        </w:rPr>
      </w:pPr>
      <w:r>
        <w:rPr>
          <w:rFonts w:ascii="Times New Roman" w:hAnsi="Times New Roman" w:cs="Times New Roman"/>
        </w:rPr>
        <w:t>4.5.2屋面溢流设施：重现期T=50年，集水时间t=5min；</w:t>
      </w:r>
    </w:p>
    <w:p w14:paraId="75A3D8D5">
      <w:pPr>
        <w:spacing w:before="24" w:after="24"/>
        <w:ind w:firstLine="560" w:firstLineChars="200"/>
        <w:rPr>
          <w:rFonts w:ascii="Times New Roman" w:hAnsi="Times New Roman" w:cs="Times New Roman"/>
        </w:rPr>
      </w:pPr>
      <w:r>
        <w:rPr>
          <w:rFonts w:ascii="Times New Roman" w:hAnsi="Times New Roman" w:cs="Times New Roman"/>
        </w:rPr>
        <w:t>4.5.3场地雨水：重现期T=3年，集水时间t=t</w:t>
      </w:r>
      <w:r>
        <w:rPr>
          <w:rFonts w:ascii="Times New Roman" w:hAnsi="Times New Roman" w:cs="Times New Roman"/>
          <w:vertAlign w:val="subscript"/>
        </w:rPr>
        <w:t>1</w:t>
      </w:r>
      <w:r>
        <w:rPr>
          <w:rFonts w:ascii="Times New Roman" w:hAnsi="Times New Roman" w:cs="Times New Roman"/>
        </w:rPr>
        <w:t>+t</w:t>
      </w:r>
      <w:r>
        <w:rPr>
          <w:rFonts w:ascii="Times New Roman" w:hAnsi="Times New Roman" w:cs="Times New Roman"/>
          <w:vertAlign w:val="subscript"/>
        </w:rPr>
        <w:t>2</w:t>
      </w:r>
      <w:r>
        <w:rPr>
          <w:rFonts w:ascii="Times New Roman" w:hAnsi="Times New Roman" w:cs="Times New Roman"/>
        </w:rPr>
        <w:t>，地面集水时间t</w:t>
      </w:r>
      <w:r>
        <w:rPr>
          <w:rFonts w:ascii="Times New Roman" w:hAnsi="Times New Roman" w:cs="Times New Roman"/>
          <w:vertAlign w:val="subscript"/>
        </w:rPr>
        <w:t>1</w:t>
      </w:r>
      <w:r>
        <w:rPr>
          <w:rFonts w:ascii="Times New Roman" w:hAnsi="Times New Roman" w:cs="Times New Roman"/>
        </w:rPr>
        <w:t>=10min，管内雨水流行时间为t</w:t>
      </w:r>
      <w:r>
        <w:rPr>
          <w:rFonts w:ascii="Times New Roman" w:hAnsi="Times New Roman" w:cs="Times New Roman"/>
          <w:vertAlign w:val="subscript"/>
        </w:rPr>
        <w:t>2</w:t>
      </w:r>
      <w:r>
        <w:rPr>
          <w:rFonts w:ascii="Times New Roman" w:hAnsi="Times New Roman" w:cs="Times New Roman"/>
        </w:rPr>
        <w:t>。</w:t>
      </w:r>
    </w:p>
    <w:p w14:paraId="29C24769">
      <w:pPr>
        <w:spacing w:before="24" w:after="24"/>
        <w:ind w:firstLine="560" w:firstLineChars="200"/>
        <w:rPr>
          <w:rFonts w:ascii="Times New Roman" w:hAnsi="Times New Roman" w:cs="Times New Roman"/>
        </w:rPr>
      </w:pPr>
      <w:r>
        <w:rPr>
          <w:rFonts w:ascii="Times New Roman" w:hAnsi="Times New Roman" w:cs="Times New Roman"/>
        </w:rPr>
        <w:t>4.5.4下沉式广场、地下车库坡道出入口雨水：重现期T=20年，集水时间t=t</w:t>
      </w:r>
      <w:r>
        <w:rPr>
          <w:rFonts w:ascii="Times New Roman" w:hAnsi="Times New Roman" w:cs="Times New Roman"/>
          <w:vertAlign w:val="subscript"/>
        </w:rPr>
        <w:t>1</w:t>
      </w:r>
      <w:r>
        <w:rPr>
          <w:rFonts w:ascii="Times New Roman" w:hAnsi="Times New Roman" w:cs="Times New Roman"/>
        </w:rPr>
        <w:t>+t</w:t>
      </w:r>
      <w:r>
        <w:rPr>
          <w:rFonts w:ascii="Times New Roman" w:hAnsi="Times New Roman" w:cs="Times New Roman"/>
          <w:vertAlign w:val="subscript"/>
        </w:rPr>
        <w:t>2</w:t>
      </w:r>
      <w:r>
        <w:rPr>
          <w:rFonts w:ascii="Times New Roman" w:hAnsi="Times New Roman" w:cs="Times New Roman"/>
        </w:rPr>
        <w:t>，地面集水时间t</w:t>
      </w:r>
      <w:r>
        <w:rPr>
          <w:rFonts w:ascii="Times New Roman" w:hAnsi="Times New Roman" w:cs="Times New Roman"/>
          <w:vertAlign w:val="subscript"/>
        </w:rPr>
        <w:t>1</w:t>
      </w:r>
      <w:r>
        <w:rPr>
          <w:rFonts w:ascii="Times New Roman" w:hAnsi="Times New Roman" w:cs="Times New Roman"/>
        </w:rPr>
        <w:t>=10min，管内雨水流行时间为t</w:t>
      </w:r>
      <w:r>
        <w:rPr>
          <w:rFonts w:ascii="Times New Roman" w:hAnsi="Times New Roman" w:cs="Times New Roman"/>
          <w:vertAlign w:val="subscript"/>
        </w:rPr>
        <w:t>2</w:t>
      </w:r>
      <w:r>
        <w:rPr>
          <w:rFonts w:ascii="Times New Roman" w:hAnsi="Times New Roman" w:cs="Times New Roman"/>
        </w:rPr>
        <w:t>。</w:t>
      </w:r>
    </w:p>
    <w:p w14:paraId="1D3A4D81">
      <w:pPr>
        <w:spacing w:before="24" w:after="24"/>
        <w:ind w:firstLine="560" w:firstLineChars="200"/>
        <w:rPr>
          <w:rFonts w:ascii="Times New Roman" w:hAnsi="Times New Roman" w:cs="Times New Roman"/>
        </w:rPr>
      </w:pPr>
      <w:r>
        <w:rPr>
          <w:rFonts w:ascii="Times New Roman" w:hAnsi="Times New Roman" w:cs="Times New Roman"/>
        </w:rPr>
        <w:t>4.6海绵城市要求参照《迪庆藏族自治州人民政府办公室关于印发加快推进海绵城市建设实施意见的通知》（迪政办发[2016]58号）。</w:t>
      </w:r>
    </w:p>
    <w:p w14:paraId="60BC16D7">
      <w:pPr>
        <w:spacing w:before="24" w:after="24"/>
        <w:ind w:firstLine="560" w:firstLineChars="200"/>
        <w:rPr>
          <w:rFonts w:ascii="Times New Roman" w:hAnsi="Times New Roman" w:cs="Times New Roman"/>
        </w:rPr>
      </w:pPr>
      <w:r>
        <w:rPr>
          <w:rFonts w:ascii="Times New Roman" w:hAnsi="Times New Roman" w:cs="Times New Roman"/>
        </w:rPr>
        <w:t>4.7消防设防标准</w:t>
      </w:r>
    </w:p>
    <w:p w14:paraId="2AC5332A">
      <w:pPr>
        <w:spacing w:before="24" w:after="24"/>
        <w:ind w:firstLine="560" w:firstLineChars="200"/>
        <w:rPr>
          <w:rFonts w:ascii="Times New Roman" w:hAnsi="Times New Roman" w:cs="Times New Roman"/>
        </w:rPr>
      </w:pPr>
      <w:r>
        <w:rPr>
          <w:rFonts w:ascii="Times New Roman" w:hAnsi="Times New Roman" w:cs="Times New Roman"/>
        </w:rPr>
        <w:t>4.7.1室外消火栓设计流量标准</w:t>
      </w:r>
    </w:p>
    <w:p w14:paraId="6A488BCD">
      <w:pPr>
        <w:spacing w:before="24" w:after="24"/>
        <w:ind w:firstLine="560" w:firstLineChars="200"/>
        <w:rPr>
          <w:rFonts w:ascii="Times New Roman" w:hAnsi="Times New Roman" w:cs="Times New Roman"/>
        </w:rPr>
      </w:pPr>
      <w:r>
        <w:rPr>
          <w:rFonts w:ascii="Times New Roman" w:hAnsi="Times New Roman" w:cs="Times New Roman"/>
        </w:rPr>
        <w:t>1.建筑</w:t>
      </w:r>
    </w:p>
    <w:tbl>
      <w:tblPr>
        <w:tblStyle w:val="31"/>
        <w:tblW w:w="0" w:type="auto"/>
        <w:tblInd w:w="1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0"/>
        <w:gridCol w:w="612"/>
        <w:gridCol w:w="674"/>
        <w:gridCol w:w="977"/>
        <w:gridCol w:w="1002"/>
        <w:gridCol w:w="1002"/>
        <w:gridCol w:w="1002"/>
        <w:gridCol w:w="1122"/>
        <w:gridCol w:w="1122"/>
        <w:gridCol w:w="863"/>
      </w:tblGrid>
      <w:tr w14:paraId="3C664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785" w:type="dxa"/>
            <w:vMerge w:val="restart"/>
            <w:vAlign w:val="center"/>
          </w:tcPr>
          <w:p w14:paraId="7C28247D">
            <w:pPr>
              <w:spacing w:before="24" w:after="24" w:line="288" w:lineRule="auto"/>
              <w:jc w:val="center"/>
              <w:rPr>
                <w:rFonts w:ascii="Times New Roman" w:hAnsi="Times New Roman" w:cs="Times New Roman"/>
                <w:sz w:val="24"/>
              </w:rPr>
            </w:pPr>
            <w:r>
              <w:rPr>
                <w:rFonts w:ascii="Times New Roman" w:hAnsi="Times New Roman" w:cs="Times New Roman"/>
                <w:sz w:val="24"/>
              </w:rPr>
              <w:t>耐火</w:t>
            </w:r>
          </w:p>
          <w:p w14:paraId="2B0CDAA1">
            <w:pPr>
              <w:spacing w:before="24" w:after="24" w:line="288" w:lineRule="auto"/>
              <w:jc w:val="center"/>
              <w:rPr>
                <w:rFonts w:ascii="Times New Roman" w:hAnsi="Times New Roman" w:cs="Times New Roman"/>
                <w:sz w:val="24"/>
              </w:rPr>
            </w:pPr>
            <w:r>
              <w:rPr>
                <w:rFonts w:ascii="Times New Roman" w:hAnsi="Times New Roman" w:cs="Times New Roman"/>
                <w:sz w:val="24"/>
              </w:rPr>
              <w:t>等级</w:t>
            </w:r>
          </w:p>
        </w:tc>
        <w:tc>
          <w:tcPr>
            <w:tcW w:w="3288" w:type="dxa"/>
            <w:gridSpan w:val="3"/>
            <w:vMerge w:val="restart"/>
            <w:vAlign w:val="center"/>
          </w:tcPr>
          <w:p w14:paraId="272C18D9">
            <w:pPr>
              <w:spacing w:before="24" w:after="24" w:line="288" w:lineRule="auto"/>
              <w:jc w:val="center"/>
              <w:rPr>
                <w:rFonts w:ascii="Times New Roman" w:hAnsi="Times New Roman" w:cs="Times New Roman"/>
                <w:sz w:val="24"/>
              </w:rPr>
            </w:pPr>
            <w:r>
              <w:rPr>
                <w:rFonts w:ascii="Times New Roman" w:hAnsi="Times New Roman" w:cs="Times New Roman"/>
                <w:sz w:val="24"/>
              </w:rPr>
              <w:t>建筑</w:t>
            </w:r>
          </w:p>
          <w:p w14:paraId="61C205CF">
            <w:pPr>
              <w:spacing w:before="24" w:after="24" w:line="288" w:lineRule="auto"/>
              <w:jc w:val="center"/>
              <w:rPr>
                <w:rFonts w:ascii="Times New Roman" w:hAnsi="Times New Roman" w:cs="Times New Roman"/>
                <w:sz w:val="24"/>
              </w:rPr>
            </w:pPr>
            <w:r>
              <w:rPr>
                <w:rFonts w:ascii="Times New Roman" w:hAnsi="Times New Roman" w:cs="Times New Roman"/>
                <w:sz w:val="24"/>
              </w:rPr>
              <w:t>类别</w:t>
            </w:r>
          </w:p>
        </w:tc>
        <w:tc>
          <w:tcPr>
            <w:tcW w:w="0" w:type="auto"/>
            <w:gridSpan w:val="6"/>
            <w:vAlign w:val="center"/>
          </w:tcPr>
          <w:p w14:paraId="6B65D341">
            <w:pPr>
              <w:spacing w:before="24" w:after="24" w:line="288" w:lineRule="auto"/>
              <w:jc w:val="center"/>
              <w:rPr>
                <w:rFonts w:ascii="Times New Roman" w:hAnsi="Times New Roman" w:cs="Times New Roman"/>
                <w:sz w:val="24"/>
              </w:rPr>
            </w:pPr>
            <w:r>
              <w:rPr>
                <w:rFonts w:ascii="Times New Roman" w:hAnsi="Times New Roman" w:cs="Times New Roman"/>
                <w:sz w:val="24"/>
              </w:rPr>
              <w:t>建筑体积（m³）</w:t>
            </w:r>
          </w:p>
        </w:tc>
      </w:tr>
      <w:tr w14:paraId="5C0DA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7" w:hRule="atLeast"/>
        </w:trPr>
        <w:tc>
          <w:tcPr>
            <w:tcW w:w="785" w:type="dxa"/>
            <w:vMerge w:val="continue"/>
            <w:vAlign w:val="center"/>
          </w:tcPr>
          <w:p w14:paraId="3A5F8F56">
            <w:pPr>
              <w:spacing w:before="24" w:after="24" w:line="288" w:lineRule="auto"/>
              <w:jc w:val="center"/>
              <w:rPr>
                <w:rFonts w:ascii="Times New Roman" w:hAnsi="Times New Roman" w:cs="Times New Roman"/>
                <w:sz w:val="24"/>
              </w:rPr>
            </w:pPr>
          </w:p>
        </w:tc>
        <w:tc>
          <w:tcPr>
            <w:tcW w:w="3288" w:type="dxa"/>
            <w:gridSpan w:val="3"/>
            <w:vMerge w:val="continue"/>
            <w:vAlign w:val="center"/>
          </w:tcPr>
          <w:p w14:paraId="7F0ABB18">
            <w:pPr>
              <w:spacing w:before="24" w:after="24" w:line="288" w:lineRule="auto"/>
              <w:jc w:val="center"/>
              <w:rPr>
                <w:rFonts w:ascii="Times New Roman" w:hAnsi="Times New Roman" w:cs="Times New Roman"/>
                <w:sz w:val="24"/>
              </w:rPr>
            </w:pPr>
          </w:p>
        </w:tc>
        <w:tc>
          <w:tcPr>
            <w:tcW w:w="0" w:type="auto"/>
            <w:vAlign w:val="center"/>
          </w:tcPr>
          <w:p w14:paraId="59B8744A">
            <w:pPr>
              <w:spacing w:before="24" w:after="24" w:line="288" w:lineRule="auto"/>
              <w:jc w:val="center"/>
              <w:rPr>
                <w:rFonts w:ascii="Times New Roman" w:hAnsi="Times New Roman" w:cs="Times New Roman"/>
                <w:sz w:val="24"/>
              </w:rPr>
            </w:pPr>
            <w:r>
              <w:rPr>
                <w:rFonts w:ascii="Times New Roman" w:hAnsi="Times New Roman" w:cs="Times New Roman"/>
                <w:sz w:val="24"/>
              </w:rPr>
              <w:t>V≤1500</w:t>
            </w:r>
          </w:p>
        </w:tc>
        <w:tc>
          <w:tcPr>
            <w:tcW w:w="0" w:type="auto"/>
            <w:vAlign w:val="center"/>
          </w:tcPr>
          <w:p w14:paraId="14521C5E">
            <w:pPr>
              <w:spacing w:before="24" w:after="24" w:line="288" w:lineRule="auto"/>
              <w:jc w:val="center"/>
              <w:rPr>
                <w:rFonts w:ascii="Times New Roman" w:hAnsi="Times New Roman" w:cs="Times New Roman"/>
                <w:sz w:val="24"/>
              </w:rPr>
            </w:pPr>
            <w:r>
              <w:rPr>
                <w:rFonts w:ascii="Times New Roman" w:hAnsi="Times New Roman" w:cs="Times New Roman"/>
                <w:sz w:val="24"/>
              </w:rPr>
              <w:t>1500＜V≤3000</w:t>
            </w:r>
          </w:p>
        </w:tc>
        <w:tc>
          <w:tcPr>
            <w:tcW w:w="0" w:type="auto"/>
            <w:vAlign w:val="center"/>
          </w:tcPr>
          <w:p w14:paraId="2D1701B0">
            <w:pPr>
              <w:spacing w:before="24" w:after="24" w:line="288" w:lineRule="auto"/>
              <w:jc w:val="center"/>
              <w:rPr>
                <w:rFonts w:ascii="Times New Roman" w:hAnsi="Times New Roman" w:cs="Times New Roman"/>
                <w:sz w:val="24"/>
              </w:rPr>
            </w:pPr>
            <w:r>
              <w:rPr>
                <w:rFonts w:ascii="Times New Roman" w:hAnsi="Times New Roman" w:cs="Times New Roman"/>
                <w:sz w:val="24"/>
              </w:rPr>
              <w:t>3000＜V≤5000</w:t>
            </w:r>
          </w:p>
        </w:tc>
        <w:tc>
          <w:tcPr>
            <w:tcW w:w="0" w:type="auto"/>
            <w:vAlign w:val="center"/>
          </w:tcPr>
          <w:p w14:paraId="66A897F9">
            <w:pPr>
              <w:spacing w:before="24" w:after="24" w:line="288" w:lineRule="auto"/>
              <w:jc w:val="center"/>
              <w:rPr>
                <w:rFonts w:ascii="Times New Roman" w:hAnsi="Times New Roman" w:cs="Times New Roman"/>
                <w:sz w:val="24"/>
              </w:rPr>
            </w:pPr>
            <w:r>
              <w:rPr>
                <w:rFonts w:ascii="Times New Roman" w:hAnsi="Times New Roman" w:cs="Times New Roman"/>
                <w:sz w:val="24"/>
              </w:rPr>
              <w:t>5000＜V≤20000</w:t>
            </w:r>
          </w:p>
        </w:tc>
        <w:tc>
          <w:tcPr>
            <w:tcW w:w="0" w:type="auto"/>
            <w:vAlign w:val="center"/>
          </w:tcPr>
          <w:p w14:paraId="6CDB1FE5">
            <w:pPr>
              <w:spacing w:before="24" w:after="24" w:line="288" w:lineRule="auto"/>
              <w:jc w:val="center"/>
              <w:rPr>
                <w:rFonts w:ascii="Times New Roman" w:hAnsi="Times New Roman" w:cs="Times New Roman"/>
                <w:sz w:val="24"/>
              </w:rPr>
            </w:pPr>
            <w:r>
              <w:rPr>
                <w:rFonts w:ascii="Times New Roman" w:hAnsi="Times New Roman" w:cs="Times New Roman"/>
                <w:sz w:val="24"/>
              </w:rPr>
              <w:t>20000＜V≤50000</w:t>
            </w:r>
          </w:p>
        </w:tc>
        <w:tc>
          <w:tcPr>
            <w:tcW w:w="0" w:type="auto"/>
            <w:vAlign w:val="center"/>
          </w:tcPr>
          <w:p w14:paraId="2D63785F">
            <w:pPr>
              <w:spacing w:before="24" w:after="24" w:line="288" w:lineRule="auto"/>
              <w:jc w:val="center"/>
              <w:rPr>
                <w:rFonts w:ascii="Times New Roman" w:hAnsi="Times New Roman" w:cs="Times New Roman"/>
                <w:sz w:val="24"/>
              </w:rPr>
            </w:pPr>
            <w:r>
              <w:rPr>
                <w:rFonts w:ascii="Times New Roman" w:hAnsi="Times New Roman" w:cs="Times New Roman"/>
                <w:sz w:val="24"/>
              </w:rPr>
              <w:t>V＞50000</w:t>
            </w:r>
          </w:p>
        </w:tc>
      </w:tr>
      <w:tr w14:paraId="0FAD1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785" w:type="dxa"/>
            <w:vMerge w:val="restart"/>
            <w:vAlign w:val="center"/>
          </w:tcPr>
          <w:p w14:paraId="1311CDF1">
            <w:pPr>
              <w:spacing w:before="24" w:after="24" w:line="288" w:lineRule="auto"/>
              <w:jc w:val="center"/>
              <w:rPr>
                <w:rFonts w:ascii="Times New Roman" w:hAnsi="Times New Roman" w:cs="Times New Roman"/>
                <w:sz w:val="24"/>
              </w:rPr>
            </w:pPr>
            <w:r>
              <w:rPr>
                <w:rFonts w:ascii="Times New Roman" w:hAnsi="Times New Roman" w:cs="Times New Roman"/>
                <w:sz w:val="24"/>
              </w:rPr>
              <w:t>一级、二级</w:t>
            </w:r>
          </w:p>
        </w:tc>
        <w:tc>
          <w:tcPr>
            <w:tcW w:w="857" w:type="dxa"/>
            <w:vMerge w:val="restart"/>
            <w:vAlign w:val="center"/>
          </w:tcPr>
          <w:p w14:paraId="2D1647A1">
            <w:pPr>
              <w:spacing w:before="24" w:after="24" w:line="288" w:lineRule="auto"/>
              <w:jc w:val="center"/>
              <w:rPr>
                <w:rFonts w:ascii="Times New Roman" w:hAnsi="Times New Roman" w:cs="Times New Roman"/>
                <w:sz w:val="24"/>
              </w:rPr>
            </w:pPr>
            <w:r>
              <w:rPr>
                <w:rFonts w:ascii="Times New Roman" w:hAnsi="Times New Roman" w:cs="Times New Roman"/>
                <w:sz w:val="24"/>
              </w:rPr>
              <w:t>民用建筑</w:t>
            </w:r>
          </w:p>
        </w:tc>
        <w:tc>
          <w:tcPr>
            <w:tcW w:w="2431" w:type="dxa"/>
            <w:gridSpan w:val="2"/>
            <w:vAlign w:val="center"/>
          </w:tcPr>
          <w:p w14:paraId="4AC6C45A">
            <w:pPr>
              <w:spacing w:before="24" w:after="24" w:line="288" w:lineRule="auto"/>
              <w:jc w:val="center"/>
              <w:rPr>
                <w:rFonts w:ascii="Times New Roman" w:hAnsi="Times New Roman" w:cs="Times New Roman"/>
                <w:sz w:val="24"/>
              </w:rPr>
            </w:pPr>
            <w:r>
              <w:rPr>
                <w:rFonts w:ascii="Times New Roman" w:hAnsi="Times New Roman" w:cs="Times New Roman"/>
                <w:sz w:val="24"/>
              </w:rPr>
              <w:t>住宅</w:t>
            </w:r>
          </w:p>
        </w:tc>
        <w:tc>
          <w:tcPr>
            <w:tcW w:w="0" w:type="auto"/>
            <w:gridSpan w:val="6"/>
            <w:vAlign w:val="center"/>
          </w:tcPr>
          <w:p w14:paraId="46679ADE">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r>
      <w:tr w14:paraId="0DD67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785" w:type="dxa"/>
            <w:vMerge w:val="continue"/>
            <w:vAlign w:val="center"/>
          </w:tcPr>
          <w:p w14:paraId="7F94A39A">
            <w:pPr>
              <w:spacing w:before="24" w:after="24" w:line="288" w:lineRule="auto"/>
              <w:jc w:val="center"/>
              <w:rPr>
                <w:rFonts w:ascii="Times New Roman" w:hAnsi="Times New Roman" w:cs="Times New Roman"/>
                <w:sz w:val="24"/>
              </w:rPr>
            </w:pPr>
          </w:p>
        </w:tc>
        <w:tc>
          <w:tcPr>
            <w:tcW w:w="857" w:type="dxa"/>
            <w:vMerge w:val="continue"/>
            <w:vAlign w:val="center"/>
          </w:tcPr>
          <w:p w14:paraId="0455447C">
            <w:pPr>
              <w:spacing w:before="24" w:after="24" w:line="288" w:lineRule="auto"/>
              <w:jc w:val="center"/>
              <w:rPr>
                <w:rFonts w:ascii="Times New Roman" w:hAnsi="Times New Roman" w:cs="Times New Roman"/>
                <w:sz w:val="24"/>
              </w:rPr>
            </w:pPr>
          </w:p>
        </w:tc>
        <w:tc>
          <w:tcPr>
            <w:tcW w:w="1015" w:type="dxa"/>
            <w:vMerge w:val="restart"/>
            <w:vAlign w:val="center"/>
          </w:tcPr>
          <w:p w14:paraId="5630EE23">
            <w:pPr>
              <w:spacing w:before="24" w:after="24" w:line="288" w:lineRule="auto"/>
              <w:jc w:val="center"/>
              <w:rPr>
                <w:rFonts w:ascii="Times New Roman" w:hAnsi="Times New Roman" w:cs="Times New Roman"/>
                <w:sz w:val="24"/>
              </w:rPr>
            </w:pPr>
            <w:r>
              <w:rPr>
                <w:rFonts w:ascii="Times New Roman" w:hAnsi="Times New Roman" w:cs="Times New Roman"/>
                <w:sz w:val="24"/>
              </w:rPr>
              <w:t>公共建筑</w:t>
            </w:r>
          </w:p>
        </w:tc>
        <w:tc>
          <w:tcPr>
            <w:tcW w:w="1416" w:type="dxa"/>
            <w:vAlign w:val="center"/>
          </w:tcPr>
          <w:p w14:paraId="2E2C8B2F">
            <w:pPr>
              <w:spacing w:before="24" w:after="24" w:line="288" w:lineRule="auto"/>
              <w:jc w:val="center"/>
              <w:rPr>
                <w:rFonts w:ascii="Times New Roman" w:hAnsi="Times New Roman" w:cs="Times New Roman"/>
                <w:sz w:val="24"/>
              </w:rPr>
            </w:pPr>
            <w:r>
              <w:rPr>
                <w:rFonts w:ascii="Times New Roman" w:hAnsi="Times New Roman" w:cs="Times New Roman"/>
                <w:sz w:val="24"/>
              </w:rPr>
              <w:t>单层及多层</w:t>
            </w:r>
          </w:p>
        </w:tc>
        <w:tc>
          <w:tcPr>
            <w:tcW w:w="2270" w:type="dxa"/>
            <w:gridSpan w:val="3"/>
            <w:vAlign w:val="center"/>
          </w:tcPr>
          <w:p w14:paraId="7DE45513">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c>
          <w:tcPr>
            <w:tcW w:w="0" w:type="auto"/>
            <w:vAlign w:val="center"/>
          </w:tcPr>
          <w:p w14:paraId="3BA0B349">
            <w:pPr>
              <w:spacing w:before="24" w:after="24" w:line="288" w:lineRule="auto"/>
              <w:jc w:val="center"/>
              <w:rPr>
                <w:rFonts w:ascii="Times New Roman" w:hAnsi="Times New Roman" w:cs="Times New Roman"/>
                <w:sz w:val="24"/>
              </w:rPr>
            </w:pPr>
            <w:r>
              <w:rPr>
                <w:rFonts w:ascii="Times New Roman" w:hAnsi="Times New Roman" w:cs="Times New Roman"/>
                <w:sz w:val="24"/>
              </w:rPr>
              <w:t>25</w:t>
            </w:r>
          </w:p>
        </w:tc>
        <w:tc>
          <w:tcPr>
            <w:tcW w:w="934" w:type="dxa"/>
            <w:vAlign w:val="center"/>
          </w:tcPr>
          <w:p w14:paraId="1F0ADB40">
            <w:pPr>
              <w:spacing w:before="24" w:after="24" w:line="288" w:lineRule="auto"/>
              <w:jc w:val="center"/>
              <w:rPr>
                <w:rFonts w:ascii="Times New Roman" w:hAnsi="Times New Roman" w:cs="Times New Roman"/>
                <w:sz w:val="24"/>
              </w:rPr>
            </w:pPr>
            <w:r>
              <w:rPr>
                <w:rFonts w:ascii="Times New Roman" w:hAnsi="Times New Roman" w:cs="Times New Roman"/>
                <w:sz w:val="24"/>
              </w:rPr>
              <w:t>30</w:t>
            </w:r>
          </w:p>
        </w:tc>
        <w:tc>
          <w:tcPr>
            <w:tcW w:w="936" w:type="dxa"/>
            <w:vAlign w:val="center"/>
          </w:tcPr>
          <w:p w14:paraId="7E89F705">
            <w:pPr>
              <w:spacing w:before="24" w:after="24" w:line="288" w:lineRule="auto"/>
              <w:jc w:val="center"/>
              <w:rPr>
                <w:rFonts w:ascii="Times New Roman" w:hAnsi="Times New Roman" w:cs="Times New Roman"/>
                <w:sz w:val="24"/>
              </w:rPr>
            </w:pPr>
            <w:r>
              <w:rPr>
                <w:rFonts w:ascii="Times New Roman" w:hAnsi="Times New Roman" w:cs="Times New Roman"/>
                <w:sz w:val="24"/>
              </w:rPr>
              <w:t>40</w:t>
            </w:r>
          </w:p>
        </w:tc>
      </w:tr>
      <w:tr w14:paraId="5E54A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785" w:type="dxa"/>
            <w:vMerge w:val="continue"/>
            <w:vAlign w:val="center"/>
          </w:tcPr>
          <w:p w14:paraId="77208D3C">
            <w:pPr>
              <w:spacing w:before="24" w:after="24" w:line="288" w:lineRule="auto"/>
              <w:jc w:val="center"/>
              <w:rPr>
                <w:rFonts w:ascii="Times New Roman" w:hAnsi="Times New Roman" w:cs="Times New Roman"/>
                <w:sz w:val="24"/>
              </w:rPr>
            </w:pPr>
          </w:p>
        </w:tc>
        <w:tc>
          <w:tcPr>
            <w:tcW w:w="857" w:type="dxa"/>
            <w:vMerge w:val="continue"/>
            <w:vAlign w:val="center"/>
          </w:tcPr>
          <w:p w14:paraId="36D72B63">
            <w:pPr>
              <w:spacing w:before="24" w:after="24" w:line="288" w:lineRule="auto"/>
              <w:jc w:val="center"/>
              <w:rPr>
                <w:rFonts w:ascii="Times New Roman" w:hAnsi="Times New Roman" w:cs="Times New Roman"/>
                <w:sz w:val="24"/>
              </w:rPr>
            </w:pPr>
          </w:p>
        </w:tc>
        <w:tc>
          <w:tcPr>
            <w:tcW w:w="1015" w:type="dxa"/>
            <w:vMerge w:val="continue"/>
            <w:vAlign w:val="center"/>
          </w:tcPr>
          <w:p w14:paraId="77A840B7">
            <w:pPr>
              <w:spacing w:before="24" w:after="24" w:line="288" w:lineRule="auto"/>
              <w:jc w:val="center"/>
              <w:rPr>
                <w:rFonts w:ascii="Times New Roman" w:hAnsi="Times New Roman" w:cs="Times New Roman"/>
                <w:sz w:val="24"/>
              </w:rPr>
            </w:pPr>
          </w:p>
        </w:tc>
        <w:tc>
          <w:tcPr>
            <w:tcW w:w="1416" w:type="dxa"/>
            <w:vAlign w:val="center"/>
          </w:tcPr>
          <w:p w14:paraId="0CC79ED3">
            <w:pPr>
              <w:spacing w:before="24" w:after="24" w:line="288" w:lineRule="auto"/>
              <w:jc w:val="center"/>
              <w:rPr>
                <w:rFonts w:ascii="Times New Roman" w:hAnsi="Times New Roman" w:cs="Times New Roman"/>
                <w:sz w:val="24"/>
              </w:rPr>
            </w:pPr>
            <w:r>
              <w:rPr>
                <w:rFonts w:ascii="Times New Roman" w:hAnsi="Times New Roman" w:cs="Times New Roman"/>
                <w:sz w:val="24"/>
              </w:rPr>
              <w:t>高层</w:t>
            </w:r>
          </w:p>
        </w:tc>
        <w:tc>
          <w:tcPr>
            <w:tcW w:w="2270" w:type="dxa"/>
            <w:gridSpan w:val="3"/>
            <w:vAlign w:val="center"/>
          </w:tcPr>
          <w:p w14:paraId="6124BF52">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0" w:type="auto"/>
            <w:vAlign w:val="center"/>
          </w:tcPr>
          <w:p w14:paraId="59CC8F3E">
            <w:pPr>
              <w:spacing w:before="24" w:after="24" w:line="288" w:lineRule="auto"/>
              <w:jc w:val="center"/>
              <w:rPr>
                <w:rFonts w:ascii="Times New Roman" w:hAnsi="Times New Roman" w:cs="Times New Roman"/>
                <w:sz w:val="24"/>
              </w:rPr>
            </w:pPr>
            <w:r>
              <w:rPr>
                <w:rFonts w:ascii="Times New Roman" w:hAnsi="Times New Roman" w:cs="Times New Roman"/>
                <w:sz w:val="24"/>
              </w:rPr>
              <w:t>25</w:t>
            </w:r>
          </w:p>
        </w:tc>
        <w:tc>
          <w:tcPr>
            <w:tcW w:w="934" w:type="dxa"/>
            <w:vAlign w:val="center"/>
          </w:tcPr>
          <w:p w14:paraId="17A0314A">
            <w:pPr>
              <w:spacing w:before="24" w:after="24" w:line="288" w:lineRule="auto"/>
              <w:jc w:val="center"/>
              <w:rPr>
                <w:rFonts w:ascii="Times New Roman" w:hAnsi="Times New Roman" w:cs="Times New Roman"/>
                <w:sz w:val="24"/>
              </w:rPr>
            </w:pPr>
            <w:r>
              <w:rPr>
                <w:rFonts w:ascii="Times New Roman" w:hAnsi="Times New Roman" w:cs="Times New Roman"/>
                <w:sz w:val="24"/>
              </w:rPr>
              <w:t>30</w:t>
            </w:r>
          </w:p>
        </w:tc>
        <w:tc>
          <w:tcPr>
            <w:tcW w:w="936" w:type="dxa"/>
            <w:vAlign w:val="center"/>
          </w:tcPr>
          <w:p w14:paraId="778FAFB5">
            <w:pPr>
              <w:spacing w:before="24" w:after="24" w:line="288" w:lineRule="auto"/>
              <w:jc w:val="center"/>
              <w:rPr>
                <w:rFonts w:ascii="Times New Roman" w:hAnsi="Times New Roman" w:cs="Times New Roman"/>
                <w:sz w:val="24"/>
              </w:rPr>
            </w:pPr>
            <w:r>
              <w:rPr>
                <w:rFonts w:ascii="Times New Roman" w:hAnsi="Times New Roman" w:cs="Times New Roman"/>
                <w:sz w:val="24"/>
              </w:rPr>
              <w:t>40</w:t>
            </w:r>
          </w:p>
        </w:tc>
      </w:tr>
      <w:tr w14:paraId="6984E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785" w:type="dxa"/>
            <w:vMerge w:val="continue"/>
            <w:vAlign w:val="center"/>
          </w:tcPr>
          <w:p w14:paraId="7159BEA5">
            <w:pPr>
              <w:spacing w:before="24" w:after="24" w:line="288" w:lineRule="auto"/>
              <w:jc w:val="center"/>
              <w:rPr>
                <w:rFonts w:ascii="Times New Roman" w:hAnsi="Times New Roman" w:cs="Times New Roman"/>
                <w:sz w:val="24"/>
              </w:rPr>
            </w:pPr>
          </w:p>
        </w:tc>
        <w:tc>
          <w:tcPr>
            <w:tcW w:w="857" w:type="dxa"/>
            <w:vMerge w:val="restart"/>
            <w:vAlign w:val="center"/>
          </w:tcPr>
          <w:p w14:paraId="1AF3C22B">
            <w:pPr>
              <w:spacing w:before="24" w:after="24" w:line="288" w:lineRule="auto"/>
              <w:jc w:val="center"/>
              <w:rPr>
                <w:rFonts w:ascii="Times New Roman" w:hAnsi="Times New Roman" w:cs="Times New Roman"/>
                <w:sz w:val="24"/>
              </w:rPr>
            </w:pPr>
            <w:r>
              <w:rPr>
                <w:rFonts w:ascii="Times New Roman" w:hAnsi="Times New Roman" w:cs="Times New Roman"/>
                <w:sz w:val="24"/>
              </w:rPr>
              <w:t>工业建筑</w:t>
            </w:r>
          </w:p>
        </w:tc>
        <w:tc>
          <w:tcPr>
            <w:tcW w:w="1015" w:type="dxa"/>
            <w:vMerge w:val="restart"/>
            <w:vAlign w:val="center"/>
          </w:tcPr>
          <w:p w14:paraId="146CB9C6">
            <w:pPr>
              <w:spacing w:before="24" w:after="24" w:line="288" w:lineRule="auto"/>
              <w:jc w:val="center"/>
              <w:rPr>
                <w:rFonts w:ascii="Times New Roman" w:hAnsi="Times New Roman" w:cs="Times New Roman"/>
                <w:sz w:val="24"/>
              </w:rPr>
            </w:pPr>
            <w:r>
              <w:rPr>
                <w:rFonts w:ascii="Times New Roman" w:hAnsi="Times New Roman" w:cs="Times New Roman"/>
                <w:sz w:val="24"/>
              </w:rPr>
              <w:t>厂房</w:t>
            </w:r>
          </w:p>
        </w:tc>
        <w:tc>
          <w:tcPr>
            <w:tcW w:w="1416" w:type="dxa"/>
            <w:vAlign w:val="center"/>
          </w:tcPr>
          <w:p w14:paraId="2A1FA5B7">
            <w:pPr>
              <w:spacing w:before="24" w:after="24" w:line="288" w:lineRule="auto"/>
              <w:jc w:val="center"/>
              <w:rPr>
                <w:rFonts w:ascii="Times New Roman" w:hAnsi="Times New Roman" w:cs="Times New Roman"/>
                <w:sz w:val="24"/>
              </w:rPr>
            </w:pPr>
            <w:r>
              <w:rPr>
                <w:rFonts w:ascii="Times New Roman" w:hAnsi="Times New Roman" w:cs="Times New Roman"/>
                <w:sz w:val="24"/>
              </w:rPr>
              <w:t>甲、乙</w:t>
            </w:r>
          </w:p>
        </w:tc>
        <w:tc>
          <w:tcPr>
            <w:tcW w:w="0" w:type="auto"/>
            <w:gridSpan w:val="2"/>
            <w:vAlign w:val="center"/>
          </w:tcPr>
          <w:p w14:paraId="1B252D95">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c>
          <w:tcPr>
            <w:tcW w:w="0" w:type="auto"/>
            <w:vAlign w:val="center"/>
          </w:tcPr>
          <w:p w14:paraId="7C526745">
            <w:pPr>
              <w:spacing w:before="24" w:after="24" w:line="288" w:lineRule="auto"/>
              <w:jc w:val="center"/>
              <w:rPr>
                <w:rFonts w:ascii="Times New Roman" w:hAnsi="Times New Roman" w:cs="Times New Roman"/>
                <w:sz w:val="24"/>
              </w:rPr>
            </w:pPr>
            <w:r>
              <w:rPr>
                <w:rFonts w:ascii="Times New Roman" w:hAnsi="Times New Roman" w:cs="Times New Roman"/>
                <w:sz w:val="24"/>
              </w:rPr>
              <w:t>20</w:t>
            </w:r>
          </w:p>
        </w:tc>
        <w:tc>
          <w:tcPr>
            <w:tcW w:w="0" w:type="auto"/>
            <w:vAlign w:val="center"/>
          </w:tcPr>
          <w:p w14:paraId="0050C07A">
            <w:pPr>
              <w:spacing w:before="24" w:after="24" w:line="288" w:lineRule="auto"/>
              <w:jc w:val="center"/>
              <w:rPr>
                <w:rFonts w:ascii="Times New Roman" w:hAnsi="Times New Roman" w:cs="Times New Roman"/>
                <w:sz w:val="24"/>
              </w:rPr>
            </w:pPr>
            <w:r>
              <w:rPr>
                <w:rFonts w:ascii="Times New Roman" w:hAnsi="Times New Roman" w:cs="Times New Roman"/>
                <w:sz w:val="24"/>
              </w:rPr>
              <w:t>25</w:t>
            </w:r>
          </w:p>
        </w:tc>
        <w:tc>
          <w:tcPr>
            <w:tcW w:w="934" w:type="dxa"/>
            <w:vAlign w:val="center"/>
          </w:tcPr>
          <w:p w14:paraId="34F4A5EB">
            <w:pPr>
              <w:spacing w:before="24" w:after="24" w:line="288" w:lineRule="auto"/>
              <w:jc w:val="center"/>
              <w:rPr>
                <w:rFonts w:ascii="Times New Roman" w:hAnsi="Times New Roman" w:cs="Times New Roman"/>
                <w:sz w:val="24"/>
              </w:rPr>
            </w:pPr>
            <w:r>
              <w:rPr>
                <w:rFonts w:ascii="Times New Roman" w:hAnsi="Times New Roman" w:cs="Times New Roman"/>
                <w:sz w:val="24"/>
              </w:rPr>
              <w:t>30</w:t>
            </w:r>
          </w:p>
        </w:tc>
        <w:tc>
          <w:tcPr>
            <w:tcW w:w="936" w:type="dxa"/>
            <w:vAlign w:val="center"/>
          </w:tcPr>
          <w:p w14:paraId="288DF88C">
            <w:pPr>
              <w:spacing w:before="24" w:after="24" w:line="288" w:lineRule="auto"/>
              <w:jc w:val="center"/>
              <w:rPr>
                <w:rFonts w:ascii="Times New Roman" w:hAnsi="Times New Roman" w:cs="Times New Roman"/>
                <w:sz w:val="24"/>
              </w:rPr>
            </w:pPr>
            <w:r>
              <w:rPr>
                <w:rFonts w:ascii="Times New Roman" w:hAnsi="Times New Roman" w:cs="Times New Roman"/>
                <w:sz w:val="24"/>
              </w:rPr>
              <w:t>35</w:t>
            </w:r>
          </w:p>
        </w:tc>
      </w:tr>
      <w:tr w14:paraId="7398B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785" w:type="dxa"/>
            <w:vMerge w:val="continue"/>
            <w:vAlign w:val="center"/>
          </w:tcPr>
          <w:p w14:paraId="29ECB28C">
            <w:pPr>
              <w:spacing w:before="24" w:after="24" w:line="288" w:lineRule="auto"/>
              <w:jc w:val="center"/>
              <w:rPr>
                <w:rFonts w:ascii="Times New Roman" w:hAnsi="Times New Roman" w:cs="Times New Roman"/>
                <w:sz w:val="24"/>
              </w:rPr>
            </w:pPr>
          </w:p>
        </w:tc>
        <w:tc>
          <w:tcPr>
            <w:tcW w:w="857" w:type="dxa"/>
            <w:vMerge w:val="continue"/>
            <w:vAlign w:val="center"/>
          </w:tcPr>
          <w:p w14:paraId="788A7781">
            <w:pPr>
              <w:spacing w:before="24" w:after="24" w:line="288" w:lineRule="auto"/>
              <w:jc w:val="center"/>
              <w:rPr>
                <w:rFonts w:ascii="Times New Roman" w:hAnsi="Times New Roman" w:cs="Times New Roman"/>
                <w:sz w:val="24"/>
              </w:rPr>
            </w:pPr>
          </w:p>
        </w:tc>
        <w:tc>
          <w:tcPr>
            <w:tcW w:w="1015" w:type="dxa"/>
            <w:vMerge w:val="continue"/>
            <w:vAlign w:val="center"/>
          </w:tcPr>
          <w:p w14:paraId="7317771D">
            <w:pPr>
              <w:spacing w:before="24" w:after="24" w:line="288" w:lineRule="auto"/>
              <w:jc w:val="center"/>
              <w:rPr>
                <w:rFonts w:ascii="Times New Roman" w:hAnsi="Times New Roman" w:cs="Times New Roman"/>
                <w:sz w:val="24"/>
              </w:rPr>
            </w:pPr>
          </w:p>
        </w:tc>
        <w:tc>
          <w:tcPr>
            <w:tcW w:w="1416" w:type="dxa"/>
            <w:vAlign w:val="center"/>
          </w:tcPr>
          <w:p w14:paraId="66417910">
            <w:pPr>
              <w:spacing w:before="24" w:after="24" w:line="288" w:lineRule="auto"/>
              <w:jc w:val="center"/>
              <w:rPr>
                <w:rFonts w:ascii="Times New Roman" w:hAnsi="Times New Roman" w:cs="Times New Roman"/>
                <w:sz w:val="24"/>
              </w:rPr>
            </w:pPr>
            <w:r>
              <w:rPr>
                <w:rFonts w:ascii="Times New Roman" w:hAnsi="Times New Roman" w:cs="Times New Roman"/>
                <w:sz w:val="24"/>
              </w:rPr>
              <w:t>丙</w:t>
            </w:r>
          </w:p>
        </w:tc>
        <w:tc>
          <w:tcPr>
            <w:tcW w:w="0" w:type="auto"/>
            <w:gridSpan w:val="2"/>
            <w:vAlign w:val="center"/>
          </w:tcPr>
          <w:p w14:paraId="78CE3972">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c>
          <w:tcPr>
            <w:tcW w:w="0" w:type="auto"/>
            <w:vAlign w:val="center"/>
          </w:tcPr>
          <w:p w14:paraId="1A7EB411">
            <w:pPr>
              <w:spacing w:before="24" w:after="24" w:line="288" w:lineRule="auto"/>
              <w:jc w:val="center"/>
              <w:rPr>
                <w:rFonts w:ascii="Times New Roman" w:hAnsi="Times New Roman" w:cs="Times New Roman"/>
                <w:sz w:val="24"/>
              </w:rPr>
            </w:pPr>
            <w:r>
              <w:rPr>
                <w:rFonts w:ascii="Times New Roman" w:hAnsi="Times New Roman" w:cs="Times New Roman"/>
                <w:sz w:val="24"/>
              </w:rPr>
              <w:t>20</w:t>
            </w:r>
          </w:p>
        </w:tc>
        <w:tc>
          <w:tcPr>
            <w:tcW w:w="0" w:type="auto"/>
            <w:vAlign w:val="center"/>
          </w:tcPr>
          <w:p w14:paraId="09CEA827">
            <w:pPr>
              <w:spacing w:before="24" w:after="24" w:line="288" w:lineRule="auto"/>
              <w:jc w:val="center"/>
              <w:rPr>
                <w:rFonts w:ascii="Times New Roman" w:hAnsi="Times New Roman" w:cs="Times New Roman"/>
                <w:sz w:val="24"/>
              </w:rPr>
            </w:pPr>
            <w:r>
              <w:rPr>
                <w:rFonts w:ascii="Times New Roman" w:hAnsi="Times New Roman" w:cs="Times New Roman"/>
                <w:sz w:val="24"/>
              </w:rPr>
              <w:t>25</w:t>
            </w:r>
          </w:p>
        </w:tc>
        <w:tc>
          <w:tcPr>
            <w:tcW w:w="934" w:type="dxa"/>
            <w:vAlign w:val="center"/>
          </w:tcPr>
          <w:p w14:paraId="58158794">
            <w:pPr>
              <w:spacing w:before="24" w:after="24" w:line="288" w:lineRule="auto"/>
              <w:jc w:val="center"/>
              <w:rPr>
                <w:rFonts w:ascii="Times New Roman" w:hAnsi="Times New Roman" w:cs="Times New Roman"/>
                <w:sz w:val="24"/>
              </w:rPr>
            </w:pPr>
            <w:r>
              <w:rPr>
                <w:rFonts w:ascii="Times New Roman" w:hAnsi="Times New Roman" w:cs="Times New Roman"/>
                <w:sz w:val="24"/>
              </w:rPr>
              <w:t>30</w:t>
            </w:r>
          </w:p>
        </w:tc>
        <w:tc>
          <w:tcPr>
            <w:tcW w:w="936" w:type="dxa"/>
            <w:vAlign w:val="center"/>
          </w:tcPr>
          <w:p w14:paraId="4CFF276F">
            <w:pPr>
              <w:spacing w:before="24" w:after="24" w:line="288" w:lineRule="auto"/>
              <w:jc w:val="center"/>
              <w:rPr>
                <w:rFonts w:ascii="Times New Roman" w:hAnsi="Times New Roman" w:cs="Times New Roman"/>
                <w:sz w:val="24"/>
              </w:rPr>
            </w:pPr>
            <w:r>
              <w:rPr>
                <w:rFonts w:ascii="Times New Roman" w:hAnsi="Times New Roman" w:cs="Times New Roman"/>
                <w:sz w:val="24"/>
              </w:rPr>
              <w:t>40</w:t>
            </w:r>
          </w:p>
        </w:tc>
      </w:tr>
      <w:tr w14:paraId="7A997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785" w:type="dxa"/>
            <w:vMerge w:val="continue"/>
            <w:vAlign w:val="center"/>
          </w:tcPr>
          <w:p w14:paraId="43F2952D">
            <w:pPr>
              <w:spacing w:before="24" w:after="24" w:line="288" w:lineRule="auto"/>
              <w:jc w:val="center"/>
              <w:rPr>
                <w:rFonts w:ascii="Times New Roman" w:hAnsi="Times New Roman" w:cs="Times New Roman"/>
                <w:sz w:val="24"/>
              </w:rPr>
            </w:pPr>
          </w:p>
        </w:tc>
        <w:tc>
          <w:tcPr>
            <w:tcW w:w="857" w:type="dxa"/>
            <w:vMerge w:val="continue"/>
            <w:vAlign w:val="center"/>
          </w:tcPr>
          <w:p w14:paraId="4C51C912">
            <w:pPr>
              <w:spacing w:before="24" w:after="24" w:line="288" w:lineRule="auto"/>
              <w:jc w:val="center"/>
              <w:rPr>
                <w:rFonts w:ascii="Times New Roman" w:hAnsi="Times New Roman" w:cs="Times New Roman"/>
                <w:sz w:val="24"/>
              </w:rPr>
            </w:pPr>
          </w:p>
        </w:tc>
        <w:tc>
          <w:tcPr>
            <w:tcW w:w="1015" w:type="dxa"/>
            <w:vMerge w:val="continue"/>
            <w:vAlign w:val="center"/>
          </w:tcPr>
          <w:p w14:paraId="789B9CB0">
            <w:pPr>
              <w:spacing w:before="24" w:after="24" w:line="288" w:lineRule="auto"/>
              <w:jc w:val="center"/>
              <w:rPr>
                <w:rFonts w:ascii="Times New Roman" w:hAnsi="Times New Roman" w:cs="Times New Roman"/>
                <w:sz w:val="24"/>
              </w:rPr>
            </w:pPr>
          </w:p>
        </w:tc>
        <w:tc>
          <w:tcPr>
            <w:tcW w:w="1416" w:type="dxa"/>
            <w:vAlign w:val="center"/>
          </w:tcPr>
          <w:p w14:paraId="04D71463">
            <w:pPr>
              <w:spacing w:before="24" w:after="24" w:line="288" w:lineRule="auto"/>
              <w:jc w:val="center"/>
              <w:rPr>
                <w:rFonts w:ascii="Times New Roman" w:hAnsi="Times New Roman" w:cs="Times New Roman"/>
                <w:sz w:val="24"/>
              </w:rPr>
            </w:pPr>
            <w:r>
              <w:rPr>
                <w:rFonts w:ascii="Times New Roman" w:hAnsi="Times New Roman" w:cs="Times New Roman"/>
                <w:sz w:val="24"/>
              </w:rPr>
              <w:t>丁、戊</w:t>
            </w:r>
          </w:p>
        </w:tc>
        <w:tc>
          <w:tcPr>
            <w:tcW w:w="4097" w:type="dxa"/>
            <w:gridSpan w:val="5"/>
            <w:vAlign w:val="center"/>
          </w:tcPr>
          <w:p w14:paraId="4A35C499">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c>
          <w:tcPr>
            <w:tcW w:w="936" w:type="dxa"/>
            <w:vAlign w:val="center"/>
          </w:tcPr>
          <w:p w14:paraId="0BC408FD">
            <w:pPr>
              <w:spacing w:before="24" w:after="24" w:line="288" w:lineRule="auto"/>
              <w:jc w:val="center"/>
              <w:rPr>
                <w:rFonts w:ascii="Times New Roman" w:hAnsi="Times New Roman" w:cs="Times New Roman"/>
                <w:sz w:val="24"/>
              </w:rPr>
            </w:pPr>
            <w:r>
              <w:rPr>
                <w:rFonts w:ascii="Times New Roman" w:hAnsi="Times New Roman" w:cs="Times New Roman"/>
                <w:sz w:val="24"/>
              </w:rPr>
              <w:t>20</w:t>
            </w:r>
          </w:p>
        </w:tc>
      </w:tr>
      <w:tr w14:paraId="4DB38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0" w:hRule="atLeast"/>
        </w:trPr>
        <w:tc>
          <w:tcPr>
            <w:tcW w:w="785" w:type="dxa"/>
            <w:vMerge w:val="continue"/>
            <w:vAlign w:val="center"/>
          </w:tcPr>
          <w:p w14:paraId="6CB08EE1">
            <w:pPr>
              <w:spacing w:before="24" w:after="24" w:line="288" w:lineRule="auto"/>
              <w:jc w:val="center"/>
              <w:rPr>
                <w:rFonts w:ascii="Times New Roman" w:hAnsi="Times New Roman" w:cs="Times New Roman"/>
                <w:sz w:val="24"/>
              </w:rPr>
            </w:pPr>
          </w:p>
        </w:tc>
        <w:tc>
          <w:tcPr>
            <w:tcW w:w="857" w:type="dxa"/>
            <w:vMerge w:val="continue"/>
            <w:vAlign w:val="center"/>
          </w:tcPr>
          <w:p w14:paraId="4C66398F">
            <w:pPr>
              <w:spacing w:before="24" w:after="24" w:line="288" w:lineRule="auto"/>
              <w:jc w:val="center"/>
              <w:rPr>
                <w:rFonts w:ascii="Times New Roman" w:hAnsi="Times New Roman" w:cs="Times New Roman"/>
                <w:sz w:val="24"/>
              </w:rPr>
            </w:pPr>
          </w:p>
        </w:tc>
        <w:tc>
          <w:tcPr>
            <w:tcW w:w="1015" w:type="dxa"/>
            <w:vMerge w:val="restart"/>
            <w:vAlign w:val="center"/>
          </w:tcPr>
          <w:p w14:paraId="08BB0B7A">
            <w:pPr>
              <w:spacing w:before="24" w:after="24" w:line="288" w:lineRule="auto"/>
              <w:jc w:val="center"/>
              <w:rPr>
                <w:rFonts w:ascii="Times New Roman" w:hAnsi="Times New Roman" w:cs="Times New Roman"/>
                <w:sz w:val="24"/>
              </w:rPr>
            </w:pPr>
            <w:r>
              <w:rPr>
                <w:rFonts w:ascii="Times New Roman" w:hAnsi="Times New Roman" w:cs="Times New Roman"/>
                <w:sz w:val="24"/>
              </w:rPr>
              <w:t>仓库</w:t>
            </w:r>
          </w:p>
        </w:tc>
        <w:tc>
          <w:tcPr>
            <w:tcW w:w="1416" w:type="dxa"/>
            <w:vAlign w:val="center"/>
          </w:tcPr>
          <w:p w14:paraId="0AB409B6">
            <w:pPr>
              <w:spacing w:before="24" w:after="24" w:line="288" w:lineRule="auto"/>
              <w:jc w:val="center"/>
              <w:rPr>
                <w:rFonts w:ascii="Times New Roman" w:hAnsi="Times New Roman" w:cs="Times New Roman"/>
                <w:sz w:val="24"/>
              </w:rPr>
            </w:pPr>
            <w:r>
              <w:rPr>
                <w:rFonts w:ascii="Times New Roman" w:hAnsi="Times New Roman" w:cs="Times New Roman"/>
                <w:sz w:val="24"/>
              </w:rPr>
              <w:t>甲、乙</w:t>
            </w:r>
          </w:p>
        </w:tc>
        <w:tc>
          <w:tcPr>
            <w:tcW w:w="0" w:type="auto"/>
            <w:gridSpan w:val="2"/>
            <w:vAlign w:val="center"/>
          </w:tcPr>
          <w:p w14:paraId="37E53C0C">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c>
          <w:tcPr>
            <w:tcW w:w="1666" w:type="dxa"/>
            <w:gridSpan w:val="2"/>
            <w:vAlign w:val="center"/>
          </w:tcPr>
          <w:p w14:paraId="703D6349">
            <w:pPr>
              <w:spacing w:before="24" w:after="24" w:line="288" w:lineRule="auto"/>
              <w:jc w:val="center"/>
              <w:rPr>
                <w:rFonts w:ascii="Times New Roman" w:hAnsi="Times New Roman" w:cs="Times New Roman"/>
                <w:sz w:val="24"/>
              </w:rPr>
            </w:pPr>
            <w:r>
              <w:rPr>
                <w:rFonts w:ascii="Times New Roman" w:hAnsi="Times New Roman" w:cs="Times New Roman"/>
                <w:sz w:val="24"/>
              </w:rPr>
              <w:t>25</w:t>
            </w:r>
          </w:p>
        </w:tc>
        <w:tc>
          <w:tcPr>
            <w:tcW w:w="1870" w:type="dxa"/>
            <w:gridSpan w:val="2"/>
            <w:vAlign w:val="center"/>
          </w:tcPr>
          <w:p w14:paraId="7E16D9EE">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r>
      <w:tr w14:paraId="2C4F2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785" w:type="dxa"/>
            <w:vMerge w:val="continue"/>
            <w:vAlign w:val="center"/>
          </w:tcPr>
          <w:p w14:paraId="7C51D630">
            <w:pPr>
              <w:spacing w:before="24" w:after="24" w:line="288" w:lineRule="auto"/>
              <w:jc w:val="center"/>
              <w:rPr>
                <w:rFonts w:ascii="Times New Roman" w:hAnsi="Times New Roman" w:cs="Times New Roman"/>
                <w:sz w:val="24"/>
              </w:rPr>
            </w:pPr>
          </w:p>
        </w:tc>
        <w:tc>
          <w:tcPr>
            <w:tcW w:w="857" w:type="dxa"/>
            <w:vMerge w:val="continue"/>
            <w:vAlign w:val="center"/>
          </w:tcPr>
          <w:p w14:paraId="6A92EEAA">
            <w:pPr>
              <w:spacing w:before="24" w:after="24" w:line="288" w:lineRule="auto"/>
              <w:jc w:val="center"/>
              <w:rPr>
                <w:rFonts w:ascii="Times New Roman" w:hAnsi="Times New Roman" w:cs="Times New Roman"/>
                <w:sz w:val="24"/>
              </w:rPr>
            </w:pPr>
          </w:p>
        </w:tc>
        <w:tc>
          <w:tcPr>
            <w:tcW w:w="1015" w:type="dxa"/>
            <w:vMerge w:val="continue"/>
            <w:vAlign w:val="center"/>
          </w:tcPr>
          <w:p w14:paraId="21DADA15">
            <w:pPr>
              <w:spacing w:before="24" w:after="24" w:line="288" w:lineRule="auto"/>
              <w:jc w:val="center"/>
              <w:rPr>
                <w:rFonts w:ascii="Times New Roman" w:hAnsi="Times New Roman" w:cs="Times New Roman"/>
                <w:sz w:val="24"/>
              </w:rPr>
            </w:pPr>
          </w:p>
        </w:tc>
        <w:tc>
          <w:tcPr>
            <w:tcW w:w="1416" w:type="dxa"/>
            <w:vAlign w:val="center"/>
          </w:tcPr>
          <w:p w14:paraId="63ED27CD">
            <w:pPr>
              <w:spacing w:before="24" w:after="24" w:line="288" w:lineRule="auto"/>
              <w:jc w:val="center"/>
              <w:rPr>
                <w:rFonts w:ascii="Times New Roman" w:hAnsi="Times New Roman" w:cs="Times New Roman"/>
                <w:sz w:val="24"/>
              </w:rPr>
            </w:pPr>
            <w:r>
              <w:rPr>
                <w:rFonts w:ascii="Times New Roman" w:hAnsi="Times New Roman" w:cs="Times New Roman"/>
                <w:sz w:val="24"/>
              </w:rPr>
              <w:t>丙</w:t>
            </w:r>
          </w:p>
        </w:tc>
        <w:tc>
          <w:tcPr>
            <w:tcW w:w="0" w:type="auto"/>
            <w:gridSpan w:val="2"/>
            <w:vAlign w:val="center"/>
          </w:tcPr>
          <w:p w14:paraId="1C1CCAF3">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c>
          <w:tcPr>
            <w:tcW w:w="1666" w:type="dxa"/>
            <w:gridSpan w:val="2"/>
            <w:vAlign w:val="center"/>
          </w:tcPr>
          <w:p w14:paraId="17A2A033">
            <w:pPr>
              <w:spacing w:before="24" w:after="24" w:line="288" w:lineRule="auto"/>
              <w:jc w:val="center"/>
              <w:rPr>
                <w:rFonts w:ascii="Times New Roman" w:hAnsi="Times New Roman" w:cs="Times New Roman"/>
                <w:sz w:val="24"/>
              </w:rPr>
            </w:pPr>
            <w:r>
              <w:rPr>
                <w:rFonts w:ascii="Times New Roman" w:hAnsi="Times New Roman" w:cs="Times New Roman"/>
                <w:sz w:val="24"/>
              </w:rPr>
              <w:t>25</w:t>
            </w:r>
          </w:p>
        </w:tc>
        <w:tc>
          <w:tcPr>
            <w:tcW w:w="934" w:type="dxa"/>
            <w:vAlign w:val="center"/>
          </w:tcPr>
          <w:p w14:paraId="54E888C9">
            <w:pPr>
              <w:spacing w:before="24" w:after="24" w:line="288" w:lineRule="auto"/>
              <w:jc w:val="center"/>
              <w:rPr>
                <w:rFonts w:ascii="Times New Roman" w:hAnsi="Times New Roman" w:cs="Times New Roman"/>
                <w:sz w:val="24"/>
              </w:rPr>
            </w:pPr>
            <w:r>
              <w:rPr>
                <w:rFonts w:ascii="Times New Roman" w:hAnsi="Times New Roman" w:cs="Times New Roman"/>
                <w:sz w:val="24"/>
              </w:rPr>
              <w:t>35</w:t>
            </w:r>
          </w:p>
        </w:tc>
        <w:tc>
          <w:tcPr>
            <w:tcW w:w="936" w:type="dxa"/>
            <w:vAlign w:val="center"/>
          </w:tcPr>
          <w:p w14:paraId="77D47310">
            <w:pPr>
              <w:spacing w:before="24" w:after="24" w:line="288" w:lineRule="auto"/>
              <w:jc w:val="center"/>
              <w:rPr>
                <w:rFonts w:ascii="Times New Roman" w:hAnsi="Times New Roman" w:cs="Times New Roman"/>
                <w:sz w:val="24"/>
              </w:rPr>
            </w:pPr>
            <w:r>
              <w:rPr>
                <w:rFonts w:ascii="Times New Roman" w:hAnsi="Times New Roman" w:cs="Times New Roman"/>
                <w:sz w:val="24"/>
              </w:rPr>
              <w:t>45</w:t>
            </w:r>
          </w:p>
        </w:tc>
      </w:tr>
      <w:tr w14:paraId="68142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785" w:type="dxa"/>
            <w:vMerge w:val="continue"/>
            <w:vAlign w:val="center"/>
          </w:tcPr>
          <w:p w14:paraId="7411891D">
            <w:pPr>
              <w:spacing w:before="24" w:after="24" w:line="288" w:lineRule="auto"/>
              <w:jc w:val="center"/>
              <w:rPr>
                <w:rFonts w:ascii="Times New Roman" w:hAnsi="Times New Roman" w:cs="Times New Roman"/>
                <w:sz w:val="24"/>
              </w:rPr>
            </w:pPr>
          </w:p>
        </w:tc>
        <w:tc>
          <w:tcPr>
            <w:tcW w:w="857" w:type="dxa"/>
            <w:vMerge w:val="continue"/>
            <w:vAlign w:val="center"/>
          </w:tcPr>
          <w:p w14:paraId="5FC6010A">
            <w:pPr>
              <w:spacing w:before="24" w:after="24" w:line="288" w:lineRule="auto"/>
              <w:jc w:val="center"/>
              <w:rPr>
                <w:rFonts w:ascii="Times New Roman" w:hAnsi="Times New Roman" w:cs="Times New Roman"/>
                <w:sz w:val="24"/>
              </w:rPr>
            </w:pPr>
          </w:p>
        </w:tc>
        <w:tc>
          <w:tcPr>
            <w:tcW w:w="1015" w:type="dxa"/>
            <w:vMerge w:val="continue"/>
            <w:vAlign w:val="center"/>
          </w:tcPr>
          <w:p w14:paraId="4A22BEDD">
            <w:pPr>
              <w:spacing w:before="24" w:after="24" w:line="288" w:lineRule="auto"/>
              <w:jc w:val="center"/>
              <w:rPr>
                <w:rFonts w:ascii="Times New Roman" w:hAnsi="Times New Roman" w:cs="Times New Roman"/>
                <w:sz w:val="24"/>
              </w:rPr>
            </w:pPr>
          </w:p>
        </w:tc>
        <w:tc>
          <w:tcPr>
            <w:tcW w:w="1416" w:type="dxa"/>
            <w:vAlign w:val="center"/>
          </w:tcPr>
          <w:p w14:paraId="32010325">
            <w:pPr>
              <w:spacing w:before="24" w:after="24" w:line="288" w:lineRule="auto"/>
              <w:jc w:val="center"/>
              <w:rPr>
                <w:rFonts w:ascii="Times New Roman" w:hAnsi="Times New Roman" w:cs="Times New Roman"/>
                <w:sz w:val="24"/>
              </w:rPr>
            </w:pPr>
            <w:r>
              <w:rPr>
                <w:rFonts w:ascii="Times New Roman" w:hAnsi="Times New Roman" w:cs="Times New Roman"/>
                <w:sz w:val="24"/>
              </w:rPr>
              <w:t>丁、戊</w:t>
            </w:r>
          </w:p>
        </w:tc>
        <w:tc>
          <w:tcPr>
            <w:tcW w:w="4097" w:type="dxa"/>
            <w:gridSpan w:val="5"/>
            <w:vAlign w:val="center"/>
          </w:tcPr>
          <w:p w14:paraId="6BE27AA1">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c>
          <w:tcPr>
            <w:tcW w:w="936" w:type="dxa"/>
            <w:vAlign w:val="center"/>
          </w:tcPr>
          <w:p w14:paraId="6A876AAC">
            <w:pPr>
              <w:spacing w:before="24" w:after="24" w:line="288" w:lineRule="auto"/>
              <w:jc w:val="center"/>
              <w:rPr>
                <w:rFonts w:ascii="Times New Roman" w:hAnsi="Times New Roman" w:cs="Times New Roman"/>
                <w:sz w:val="24"/>
              </w:rPr>
            </w:pPr>
            <w:r>
              <w:rPr>
                <w:rFonts w:ascii="Times New Roman" w:hAnsi="Times New Roman" w:cs="Times New Roman"/>
                <w:sz w:val="24"/>
              </w:rPr>
              <w:t>20</w:t>
            </w:r>
          </w:p>
        </w:tc>
      </w:tr>
    </w:tbl>
    <w:p w14:paraId="697B048B">
      <w:pPr>
        <w:spacing w:before="24" w:after="24"/>
        <w:ind w:firstLine="560" w:firstLineChars="200"/>
        <w:rPr>
          <w:rFonts w:ascii="Times New Roman" w:hAnsi="Times New Roman" w:cs="Times New Roman"/>
        </w:rPr>
      </w:pPr>
      <w:r>
        <w:rPr>
          <w:rFonts w:ascii="Times New Roman" w:hAnsi="Times New Roman" w:cs="Times New Roman"/>
        </w:rPr>
        <w:t>2.汽车库</w:t>
      </w:r>
    </w:p>
    <w:tbl>
      <w:tblPr>
        <w:tblStyle w:val="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355"/>
        <w:gridCol w:w="2765"/>
        <w:gridCol w:w="3300"/>
      </w:tblGrid>
      <w:tr w14:paraId="5085B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355" w:type="dxa"/>
            <w:tcBorders>
              <w:top w:val="single" w:color="000000" w:sz="4" w:space="0"/>
              <w:left w:val="single" w:color="000000" w:sz="4" w:space="0"/>
              <w:bottom w:val="single" w:color="000000" w:sz="4" w:space="0"/>
              <w:right w:val="single" w:color="000000" w:sz="4" w:space="0"/>
            </w:tcBorders>
            <w:vAlign w:val="center"/>
          </w:tcPr>
          <w:p w14:paraId="2F6A3B5D">
            <w:pPr>
              <w:spacing w:before="24" w:after="24" w:line="288" w:lineRule="auto"/>
              <w:jc w:val="center"/>
              <w:rPr>
                <w:rFonts w:ascii="Times New Roman" w:hAnsi="Times New Roman" w:cs="Times New Roman"/>
                <w:sz w:val="24"/>
              </w:rPr>
            </w:pPr>
            <w:r>
              <w:rPr>
                <w:rFonts w:ascii="Times New Roman" w:hAnsi="Times New Roman" w:cs="Times New Roman"/>
                <w:sz w:val="24"/>
              </w:rPr>
              <w:t>汽车库类别</w:t>
            </w:r>
          </w:p>
        </w:tc>
        <w:tc>
          <w:tcPr>
            <w:tcW w:w="2765" w:type="dxa"/>
            <w:tcBorders>
              <w:top w:val="single" w:color="000000" w:sz="4" w:space="0"/>
              <w:left w:val="single" w:color="000000" w:sz="4" w:space="0"/>
              <w:bottom w:val="single" w:color="000000" w:sz="4" w:space="0"/>
              <w:right w:val="single" w:color="000000" w:sz="4" w:space="0"/>
            </w:tcBorders>
            <w:vAlign w:val="center"/>
          </w:tcPr>
          <w:p w14:paraId="197423B9">
            <w:pPr>
              <w:spacing w:before="24" w:after="24" w:line="288" w:lineRule="auto"/>
              <w:jc w:val="center"/>
              <w:rPr>
                <w:rFonts w:ascii="Times New Roman" w:hAnsi="Times New Roman" w:cs="Times New Roman"/>
                <w:sz w:val="24"/>
              </w:rPr>
            </w:pPr>
            <w:r>
              <w:rPr>
                <w:rFonts w:ascii="Times New Roman" w:hAnsi="Times New Roman" w:cs="Times New Roman"/>
                <w:sz w:val="24"/>
              </w:rPr>
              <w:t>停车数量（辆）</w:t>
            </w:r>
          </w:p>
        </w:tc>
        <w:tc>
          <w:tcPr>
            <w:tcW w:w="3300" w:type="dxa"/>
            <w:tcBorders>
              <w:top w:val="single" w:color="000000" w:sz="4" w:space="0"/>
              <w:left w:val="single" w:color="000000" w:sz="4" w:space="0"/>
              <w:bottom w:val="single" w:color="000000" w:sz="4" w:space="0"/>
              <w:right w:val="single" w:color="000000" w:sz="4" w:space="0"/>
            </w:tcBorders>
            <w:vAlign w:val="center"/>
          </w:tcPr>
          <w:p w14:paraId="178B27E2">
            <w:pPr>
              <w:spacing w:before="24" w:after="24" w:line="288" w:lineRule="auto"/>
              <w:jc w:val="center"/>
              <w:rPr>
                <w:rFonts w:ascii="Times New Roman" w:hAnsi="Times New Roman" w:cs="Times New Roman"/>
                <w:sz w:val="24"/>
              </w:rPr>
            </w:pPr>
            <w:r>
              <w:rPr>
                <w:rFonts w:ascii="Times New Roman" w:hAnsi="Times New Roman" w:cs="Times New Roman"/>
                <w:sz w:val="24"/>
              </w:rPr>
              <w:t>设计流量（L/s）</w:t>
            </w:r>
          </w:p>
        </w:tc>
      </w:tr>
      <w:tr w14:paraId="5DB12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3355" w:type="dxa"/>
            <w:tcBorders>
              <w:top w:val="single" w:color="000000" w:sz="4" w:space="0"/>
              <w:left w:val="single" w:color="000000" w:sz="4" w:space="0"/>
              <w:bottom w:val="single" w:color="000000" w:sz="4" w:space="0"/>
              <w:right w:val="single" w:color="000000" w:sz="4" w:space="0"/>
            </w:tcBorders>
            <w:vAlign w:val="center"/>
          </w:tcPr>
          <w:p w14:paraId="3563EE27">
            <w:pPr>
              <w:spacing w:before="24" w:after="24" w:line="288" w:lineRule="auto"/>
              <w:jc w:val="center"/>
              <w:rPr>
                <w:rFonts w:ascii="Times New Roman" w:hAnsi="Times New Roman" w:cs="Times New Roman"/>
                <w:sz w:val="24"/>
              </w:rPr>
            </w:pPr>
            <w:r>
              <w:rPr>
                <w:rFonts w:ascii="Times New Roman" w:hAnsi="Times New Roman" w:cs="Times New Roman"/>
                <w:sz w:val="24"/>
              </w:rPr>
              <w:t>Ⅰ、Ⅱ类汽车库</w:t>
            </w:r>
          </w:p>
        </w:tc>
        <w:tc>
          <w:tcPr>
            <w:tcW w:w="2765" w:type="dxa"/>
            <w:tcBorders>
              <w:top w:val="single" w:color="000000" w:sz="4" w:space="0"/>
              <w:left w:val="single" w:color="000000" w:sz="4" w:space="0"/>
              <w:bottom w:val="single" w:color="000000" w:sz="4" w:space="0"/>
              <w:right w:val="single" w:color="000000" w:sz="4" w:space="0"/>
            </w:tcBorders>
            <w:vAlign w:val="center"/>
          </w:tcPr>
          <w:p w14:paraId="55B4315F">
            <w:pPr>
              <w:spacing w:before="24" w:after="24" w:line="288" w:lineRule="auto"/>
              <w:jc w:val="center"/>
              <w:rPr>
                <w:rFonts w:ascii="Times New Roman" w:hAnsi="Times New Roman" w:cs="Times New Roman"/>
                <w:sz w:val="24"/>
              </w:rPr>
            </w:pPr>
            <w:r>
              <w:rPr>
                <w:rFonts w:ascii="Times New Roman" w:hAnsi="Times New Roman" w:cs="Times New Roman"/>
                <w:sz w:val="24"/>
              </w:rPr>
              <w:t>≥151</w:t>
            </w:r>
          </w:p>
        </w:tc>
        <w:tc>
          <w:tcPr>
            <w:tcW w:w="3300" w:type="dxa"/>
            <w:tcBorders>
              <w:top w:val="single" w:color="000000" w:sz="4" w:space="0"/>
              <w:left w:val="single" w:color="000000" w:sz="4" w:space="0"/>
              <w:bottom w:val="single" w:color="000000" w:sz="4" w:space="0"/>
              <w:right w:val="single" w:color="000000" w:sz="4" w:space="0"/>
            </w:tcBorders>
            <w:vAlign w:val="center"/>
          </w:tcPr>
          <w:p w14:paraId="7CD6F63B">
            <w:pPr>
              <w:spacing w:before="24" w:after="24" w:line="288" w:lineRule="auto"/>
              <w:jc w:val="center"/>
              <w:rPr>
                <w:rFonts w:ascii="Times New Roman" w:hAnsi="Times New Roman" w:cs="Times New Roman"/>
                <w:sz w:val="24"/>
              </w:rPr>
            </w:pPr>
            <w:r>
              <w:rPr>
                <w:rFonts w:ascii="Times New Roman" w:hAnsi="Times New Roman" w:cs="Times New Roman"/>
                <w:sz w:val="24"/>
              </w:rPr>
              <w:t>20</w:t>
            </w:r>
          </w:p>
        </w:tc>
      </w:tr>
      <w:tr w14:paraId="6BB6C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3355" w:type="dxa"/>
            <w:tcBorders>
              <w:top w:val="single" w:color="000000" w:sz="4" w:space="0"/>
              <w:left w:val="single" w:color="000000" w:sz="4" w:space="0"/>
              <w:bottom w:val="single" w:color="000000" w:sz="4" w:space="0"/>
              <w:right w:val="single" w:color="000000" w:sz="4" w:space="0"/>
            </w:tcBorders>
            <w:vAlign w:val="center"/>
          </w:tcPr>
          <w:p w14:paraId="6FDCBD22">
            <w:pPr>
              <w:spacing w:before="24" w:after="24" w:line="288" w:lineRule="auto"/>
              <w:jc w:val="center"/>
              <w:rPr>
                <w:rFonts w:ascii="Times New Roman" w:hAnsi="Times New Roman" w:cs="Times New Roman"/>
                <w:sz w:val="24"/>
              </w:rPr>
            </w:pPr>
            <w:r>
              <w:rPr>
                <w:rFonts w:ascii="Times New Roman" w:hAnsi="Times New Roman" w:cs="Times New Roman"/>
                <w:sz w:val="24"/>
              </w:rPr>
              <w:t>Ⅲ类汽车库</w:t>
            </w:r>
          </w:p>
        </w:tc>
        <w:tc>
          <w:tcPr>
            <w:tcW w:w="2765" w:type="dxa"/>
            <w:tcBorders>
              <w:top w:val="single" w:color="000000" w:sz="4" w:space="0"/>
              <w:left w:val="single" w:color="000000" w:sz="4" w:space="0"/>
              <w:bottom w:val="single" w:color="000000" w:sz="4" w:space="0"/>
              <w:right w:val="single" w:color="000000" w:sz="4" w:space="0"/>
            </w:tcBorders>
            <w:vAlign w:val="center"/>
          </w:tcPr>
          <w:p w14:paraId="0250AF33">
            <w:pPr>
              <w:spacing w:before="24" w:after="24" w:line="288" w:lineRule="auto"/>
              <w:jc w:val="center"/>
              <w:rPr>
                <w:rFonts w:ascii="Times New Roman" w:hAnsi="Times New Roman" w:cs="Times New Roman"/>
                <w:sz w:val="24"/>
              </w:rPr>
            </w:pPr>
            <w:r>
              <w:rPr>
                <w:rFonts w:ascii="Times New Roman" w:hAnsi="Times New Roman" w:cs="Times New Roman"/>
                <w:sz w:val="24"/>
              </w:rPr>
              <w:t>51～150</w:t>
            </w:r>
          </w:p>
        </w:tc>
        <w:tc>
          <w:tcPr>
            <w:tcW w:w="3300" w:type="dxa"/>
            <w:tcBorders>
              <w:top w:val="single" w:color="000000" w:sz="4" w:space="0"/>
              <w:left w:val="single" w:color="000000" w:sz="4" w:space="0"/>
              <w:bottom w:val="single" w:color="000000" w:sz="4" w:space="0"/>
              <w:right w:val="single" w:color="000000" w:sz="4" w:space="0"/>
            </w:tcBorders>
            <w:vAlign w:val="center"/>
          </w:tcPr>
          <w:p w14:paraId="6C5DF617">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r>
      <w:tr w14:paraId="65C6D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3355" w:type="dxa"/>
            <w:tcBorders>
              <w:top w:val="single" w:color="000000" w:sz="4" w:space="0"/>
              <w:left w:val="single" w:color="000000" w:sz="4" w:space="0"/>
              <w:bottom w:val="single" w:color="000000" w:sz="4" w:space="0"/>
              <w:right w:val="single" w:color="000000" w:sz="4" w:space="0"/>
            </w:tcBorders>
            <w:vAlign w:val="center"/>
          </w:tcPr>
          <w:p w14:paraId="5D861C8E">
            <w:pPr>
              <w:spacing w:before="24" w:after="24" w:line="288" w:lineRule="auto"/>
              <w:jc w:val="center"/>
              <w:rPr>
                <w:rFonts w:ascii="Times New Roman" w:hAnsi="Times New Roman" w:cs="Times New Roman"/>
                <w:sz w:val="24"/>
              </w:rPr>
            </w:pPr>
            <w:r>
              <w:rPr>
                <w:rFonts w:ascii="Times New Roman" w:hAnsi="Times New Roman" w:cs="Times New Roman"/>
                <w:sz w:val="24"/>
              </w:rPr>
              <w:t>Ⅳ类汽车库</w:t>
            </w:r>
          </w:p>
        </w:tc>
        <w:tc>
          <w:tcPr>
            <w:tcW w:w="2765" w:type="dxa"/>
            <w:tcBorders>
              <w:top w:val="single" w:color="000000" w:sz="4" w:space="0"/>
              <w:left w:val="single" w:color="000000" w:sz="4" w:space="0"/>
              <w:bottom w:val="single" w:color="000000" w:sz="4" w:space="0"/>
              <w:right w:val="single" w:color="000000" w:sz="4" w:space="0"/>
            </w:tcBorders>
            <w:vAlign w:val="center"/>
          </w:tcPr>
          <w:p w14:paraId="7D0250DE">
            <w:pPr>
              <w:spacing w:before="24" w:after="24" w:line="288" w:lineRule="auto"/>
              <w:jc w:val="center"/>
              <w:rPr>
                <w:rFonts w:ascii="Times New Roman" w:hAnsi="Times New Roman" w:cs="Times New Roman"/>
                <w:sz w:val="24"/>
              </w:rPr>
            </w:pPr>
            <w:r>
              <w:rPr>
                <w:rFonts w:ascii="Times New Roman" w:hAnsi="Times New Roman" w:cs="Times New Roman"/>
                <w:sz w:val="24"/>
              </w:rPr>
              <w:t>≤50</w:t>
            </w:r>
          </w:p>
        </w:tc>
        <w:tc>
          <w:tcPr>
            <w:tcW w:w="3300" w:type="dxa"/>
            <w:tcBorders>
              <w:top w:val="single" w:color="000000" w:sz="4" w:space="0"/>
              <w:left w:val="single" w:color="000000" w:sz="4" w:space="0"/>
              <w:bottom w:val="single" w:color="000000" w:sz="4" w:space="0"/>
              <w:right w:val="single" w:color="000000" w:sz="4" w:space="0"/>
            </w:tcBorders>
            <w:vAlign w:val="center"/>
          </w:tcPr>
          <w:p w14:paraId="5CE55A52">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bl>
    <w:p w14:paraId="1843500F">
      <w:pPr>
        <w:spacing w:before="24" w:after="24"/>
        <w:ind w:firstLine="560" w:firstLineChars="200"/>
        <w:rPr>
          <w:rFonts w:ascii="Times New Roman" w:hAnsi="Times New Roman" w:cs="Times New Roman"/>
        </w:rPr>
      </w:pPr>
      <w:r>
        <w:rPr>
          <w:rFonts w:ascii="Times New Roman" w:hAnsi="Times New Roman" w:cs="Times New Roman"/>
        </w:rPr>
        <w:t>4.7.2室内消火栓设计流量标准</w:t>
      </w:r>
    </w:p>
    <w:p w14:paraId="696312A8">
      <w:pPr>
        <w:spacing w:before="24" w:after="24"/>
        <w:ind w:firstLine="560" w:firstLineChars="200"/>
        <w:rPr>
          <w:rFonts w:ascii="Times New Roman" w:hAnsi="Times New Roman" w:cs="Times New Roman"/>
        </w:rPr>
      </w:pPr>
      <w:r>
        <w:rPr>
          <w:rFonts w:ascii="Times New Roman" w:hAnsi="Times New Roman" w:cs="Times New Roman"/>
        </w:rPr>
        <w:t>1.工业建筑</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86"/>
        <w:gridCol w:w="570"/>
        <w:gridCol w:w="1222"/>
        <w:gridCol w:w="726"/>
        <w:gridCol w:w="1690"/>
        <w:gridCol w:w="1484"/>
        <w:gridCol w:w="1555"/>
        <w:gridCol w:w="1553"/>
      </w:tblGrid>
      <w:tr w14:paraId="1D953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0" w:type="auto"/>
            <w:gridSpan w:val="2"/>
            <w:tcMar>
              <w:left w:w="108" w:type="dxa"/>
              <w:right w:w="108" w:type="dxa"/>
            </w:tcMar>
            <w:vAlign w:val="center"/>
          </w:tcPr>
          <w:p w14:paraId="18CFB49D">
            <w:pPr>
              <w:spacing w:before="24" w:after="24" w:line="288" w:lineRule="auto"/>
              <w:jc w:val="center"/>
              <w:rPr>
                <w:rFonts w:ascii="Times New Roman" w:hAnsi="Times New Roman" w:cs="Times New Roman"/>
                <w:sz w:val="24"/>
              </w:rPr>
            </w:pPr>
            <w:r>
              <w:rPr>
                <w:rFonts w:ascii="Times New Roman" w:hAnsi="Times New Roman" w:cs="Times New Roman"/>
                <w:sz w:val="24"/>
              </w:rPr>
              <w:t>建筑物名称</w:t>
            </w:r>
          </w:p>
        </w:tc>
        <w:tc>
          <w:tcPr>
            <w:tcW w:w="0" w:type="auto"/>
            <w:gridSpan w:val="3"/>
            <w:tcMar>
              <w:left w:w="108" w:type="dxa"/>
              <w:right w:w="108" w:type="dxa"/>
            </w:tcMar>
            <w:vAlign w:val="center"/>
          </w:tcPr>
          <w:p w14:paraId="7350AEFE">
            <w:pPr>
              <w:spacing w:before="24" w:after="24" w:line="288" w:lineRule="auto"/>
              <w:jc w:val="center"/>
              <w:rPr>
                <w:rFonts w:ascii="Times New Roman" w:hAnsi="Times New Roman" w:cs="Times New Roman"/>
                <w:sz w:val="24"/>
              </w:rPr>
            </w:pPr>
            <w:r>
              <w:rPr>
                <w:rFonts w:ascii="Times New Roman" w:hAnsi="Times New Roman" w:cs="Times New Roman"/>
                <w:sz w:val="24"/>
              </w:rPr>
              <w:t>高度h（m）、层数、体积V（m3）、座位数n（个）、火灾危险性</w:t>
            </w:r>
          </w:p>
        </w:tc>
        <w:tc>
          <w:tcPr>
            <w:tcW w:w="0" w:type="auto"/>
            <w:tcMar>
              <w:left w:w="108" w:type="dxa"/>
              <w:right w:w="108" w:type="dxa"/>
            </w:tcMar>
            <w:vAlign w:val="center"/>
          </w:tcPr>
          <w:p w14:paraId="79563CCF">
            <w:pPr>
              <w:spacing w:before="24" w:after="24" w:line="288" w:lineRule="auto"/>
              <w:jc w:val="center"/>
              <w:rPr>
                <w:rFonts w:ascii="Times New Roman" w:hAnsi="Times New Roman" w:cs="Times New Roman"/>
                <w:sz w:val="24"/>
              </w:rPr>
            </w:pPr>
            <w:r>
              <w:rPr>
                <w:rFonts w:ascii="Times New Roman" w:hAnsi="Times New Roman" w:cs="Times New Roman"/>
                <w:sz w:val="24"/>
              </w:rPr>
              <w:t>消火栓设计流量（L/s）</w:t>
            </w:r>
          </w:p>
        </w:tc>
        <w:tc>
          <w:tcPr>
            <w:tcW w:w="0" w:type="auto"/>
            <w:tcMar>
              <w:left w:w="108" w:type="dxa"/>
              <w:right w:w="108" w:type="dxa"/>
            </w:tcMar>
            <w:vAlign w:val="center"/>
          </w:tcPr>
          <w:p w14:paraId="7C67B8D2">
            <w:pPr>
              <w:spacing w:before="24" w:after="24" w:line="288" w:lineRule="auto"/>
              <w:jc w:val="center"/>
              <w:rPr>
                <w:rFonts w:ascii="Times New Roman" w:hAnsi="Times New Roman" w:cs="Times New Roman"/>
                <w:sz w:val="24"/>
              </w:rPr>
            </w:pPr>
            <w:r>
              <w:rPr>
                <w:rFonts w:ascii="Times New Roman" w:hAnsi="Times New Roman" w:cs="Times New Roman"/>
                <w:sz w:val="24"/>
              </w:rPr>
              <w:t>同时使用消防水枪数（支）</w:t>
            </w:r>
          </w:p>
        </w:tc>
        <w:tc>
          <w:tcPr>
            <w:tcW w:w="0" w:type="auto"/>
            <w:tcMar>
              <w:left w:w="108" w:type="dxa"/>
              <w:right w:w="108" w:type="dxa"/>
            </w:tcMar>
            <w:vAlign w:val="center"/>
          </w:tcPr>
          <w:p w14:paraId="322A5896">
            <w:pPr>
              <w:spacing w:before="24" w:after="24" w:line="288" w:lineRule="auto"/>
              <w:jc w:val="center"/>
              <w:rPr>
                <w:rFonts w:ascii="Times New Roman" w:hAnsi="Times New Roman" w:cs="Times New Roman"/>
                <w:sz w:val="24"/>
              </w:rPr>
            </w:pPr>
            <w:r>
              <w:rPr>
                <w:rFonts w:ascii="Times New Roman" w:hAnsi="Times New Roman" w:cs="Times New Roman"/>
                <w:sz w:val="24"/>
              </w:rPr>
              <w:t>每根竖管最小流量（L/s）</w:t>
            </w:r>
          </w:p>
        </w:tc>
      </w:tr>
      <w:tr w14:paraId="60352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0" w:hRule="atLeast"/>
          <w:jc w:val="center"/>
        </w:trPr>
        <w:tc>
          <w:tcPr>
            <w:tcW w:w="0" w:type="auto"/>
            <w:vMerge w:val="restart"/>
            <w:tcMar>
              <w:left w:w="108" w:type="dxa"/>
              <w:right w:w="108" w:type="dxa"/>
            </w:tcMar>
            <w:vAlign w:val="center"/>
          </w:tcPr>
          <w:p w14:paraId="003451DF">
            <w:pPr>
              <w:spacing w:before="24" w:after="24" w:line="288" w:lineRule="auto"/>
              <w:jc w:val="center"/>
              <w:rPr>
                <w:rFonts w:ascii="Times New Roman" w:hAnsi="Times New Roman" w:cs="Times New Roman"/>
                <w:sz w:val="24"/>
              </w:rPr>
            </w:pPr>
            <w:r>
              <w:rPr>
                <w:rFonts w:ascii="Times New Roman" w:hAnsi="Times New Roman" w:cs="Times New Roman"/>
                <w:sz w:val="24"/>
              </w:rPr>
              <w:t>工</w:t>
            </w:r>
            <w:r>
              <w:rPr>
                <w:rFonts w:ascii="Times New Roman" w:hAnsi="Times New Roman" w:cs="Times New Roman"/>
                <w:sz w:val="24"/>
              </w:rPr>
              <w:br w:type="textWrapping"/>
            </w:r>
            <w:r>
              <w:rPr>
                <w:rFonts w:ascii="Times New Roman" w:hAnsi="Times New Roman" w:cs="Times New Roman"/>
                <w:sz w:val="24"/>
              </w:rPr>
              <w:t>业</w:t>
            </w:r>
            <w:r>
              <w:rPr>
                <w:rFonts w:ascii="Times New Roman" w:hAnsi="Times New Roman" w:cs="Times New Roman"/>
                <w:sz w:val="24"/>
              </w:rPr>
              <w:br w:type="textWrapping"/>
            </w:r>
            <w:r>
              <w:rPr>
                <w:rFonts w:ascii="Times New Roman" w:hAnsi="Times New Roman" w:cs="Times New Roman"/>
                <w:sz w:val="24"/>
              </w:rPr>
              <w:t>建</w:t>
            </w:r>
            <w:r>
              <w:rPr>
                <w:rFonts w:ascii="Times New Roman" w:hAnsi="Times New Roman" w:cs="Times New Roman"/>
                <w:sz w:val="24"/>
              </w:rPr>
              <w:br w:type="textWrapping"/>
            </w:r>
            <w:r>
              <w:rPr>
                <w:rFonts w:ascii="Times New Roman" w:hAnsi="Times New Roman" w:cs="Times New Roman"/>
                <w:sz w:val="24"/>
              </w:rPr>
              <w:t>筑</w:t>
            </w:r>
          </w:p>
        </w:tc>
        <w:tc>
          <w:tcPr>
            <w:tcW w:w="0" w:type="auto"/>
            <w:vMerge w:val="restart"/>
            <w:tcMar>
              <w:left w:w="108" w:type="dxa"/>
              <w:right w:w="108" w:type="dxa"/>
            </w:tcMar>
            <w:vAlign w:val="center"/>
          </w:tcPr>
          <w:p w14:paraId="72357DD9">
            <w:pPr>
              <w:spacing w:before="24" w:after="24" w:line="288" w:lineRule="auto"/>
              <w:jc w:val="center"/>
              <w:rPr>
                <w:rFonts w:ascii="Times New Roman" w:hAnsi="Times New Roman" w:cs="Times New Roman"/>
                <w:sz w:val="24"/>
              </w:rPr>
            </w:pPr>
            <w:r>
              <w:rPr>
                <w:rFonts w:ascii="Times New Roman" w:hAnsi="Times New Roman" w:cs="Times New Roman"/>
                <w:sz w:val="24"/>
              </w:rPr>
              <w:t>厂房</w:t>
            </w:r>
          </w:p>
        </w:tc>
        <w:tc>
          <w:tcPr>
            <w:tcW w:w="0" w:type="auto"/>
            <w:vMerge w:val="restart"/>
            <w:tcMar>
              <w:left w:w="108" w:type="dxa"/>
              <w:right w:w="108" w:type="dxa"/>
            </w:tcMar>
            <w:vAlign w:val="center"/>
          </w:tcPr>
          <w:p w14:paraId="0929E3A0">
            <w:pPr>
              <w:spacing w:before="24" w:after="24" w:line="288" w:lineRule="auto"/>
              <w:jc w:val="center"/>
              <w:rPr>
                <w:rFonts w:ascii="Times New Roman" w:hAnsi="Times New Roman" w:cs="Times New Roman"/>
                <w:sz w:val="24"/>
              </w:rPr>
            </w:pPr>
            <w:r>
              <w:rPr>
                <w:rFonts w:ascii="Times New Roman" w:hAnsi="Times New Roman" w:cs="Times New Roman"/>
                <w:sz w:val="24"/>
              </w:rPr>
              <w:t>h≤24</w:t>
            </w:r>
          </w:p>
        </w:tc>
        <w:tc>
          <w:tcPr>
            <w:tcW w:w="0" w:type="auto"/>
            <w:gridSpan w:val="2"/>
            <w:tcMar>
              <w:left w:w="108" w:type="dxa"/>
              <w:right w:w="108" w:type="dxa"/>
            </w:tcMar>
            <w:vAlign w:val="center"/>
          </w:tcPr>
          <w:p w14:paraId="270E214E">
            <w:pPr>
              <w:spacing w:before="24" w:after="24" w:line="288" w:lineRule="auto"/>
              <w:jc w:val="center"/>
              <w:rPr>
                <w:rFonts w:ascii="Times New Roman" w:hAnsi="Times New Roman" w:cs="Times New Roman"/>
                <w:sz w:val="24"/>
              </w:rPr>
            </w:pPr>
            <w:r>
              <w:rPr>
                <w:rFonts w:ascii="Times New Roman" w:hAnsi="Times New Roman" w:cs="Times New Roman"/>
                <w:sz w:val="24"/>
              </w:rPr>
              <w:t>甲、乙、丁、戊</w:t>
            </w:r>
          </w:p>
        </w:tc>
        <w:tc>
          <w:tcPr>
            <w:tcW w:w="0" w:type="auto"/>
            <w:tcMar>
              <w:left w:w="108" w:type="dxa"/>
              <w:right w:w="108" w:type="dxa"/>
            </w:tcMar>
            <w:vAlign w:val="center"/>
          </w:tcPr>
          <w:p w14:paraId="64207F4E">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c>
          <w:tcPr>
            <w:tcW w:w="0" w:type="auto"/>
            <w:tcMar>
              <w:left w:w="108" w:type="dxa"/>
              <w:right w:w="108" w:type="dxa"/>
            </w:tcMar>
            <w:vAlign w:val="center"/>
          </w:tcPr>
          <w:p w14:paraId="4DC0C899">
            <w:pPr>
              <w:spacing w:before="24" w:after="24" w:line="288" w:lineRule="auto"/>
              <w:jc w:val="center"/>
              <w:rPr>
                <w:rFonts w:ascii="Times New Roman" w:hAnsi="Times New Roman" w:cs="Times New Roman"/>
                <w:sz w:val="24"/>
              </w:rPr>
            </w:pPr>
            <w:r>
              <w:rPr>
                <w:rFonts w:ascii="Times New Roman" w:hAnsi="Times New Roman" w:cs="Times New Roman"/>
                <w:sz w:val="24"/>
              </w:rPr>
              <w:t>2</w:t>
            </w:r>
          </w:p>
        </w:tc>
        <w:tc>
          <w:tcPr>
            <w:tcW w:w="0" w:type="auto"/>
            <w:tcMar>
              <w:left w:w="108" w:type="dxa"/>
              <w:right w:w="108" w:type="dxa"/>
            </w:tcMar>
            <w:vAlign w:val="center"/>
          </w:tcPr>
          <w:p w14:paraId="77DC79AF">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28F18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4" w:hRule="atLeast"/>
          <w:jc w:val="center"/>
        </w:trPr>
        <w:tc>
          <w:tcPr>
            <w:tcW w:w="0" w:type="auto"/>
            <w:vMerge w:val="continue"/>
            <w:tcMar>
              <w:left w:w="108" w:type="dxa"/>
              <w:right w:w="108" w:type="dxa"/>
            </w:tcMar>
            <w:vAlign w:val="center"/>
          </w:tcPr>
          <w:p w14:paraId="716D6FC4">
            <w:pPr>
              <w:spacing w:before="24" w:after="24" w:line="288" w:lineRule="auto"/>
              <w:jc w:val="center"/>
              <w:rPr>
                <w:rFonts w:ascii="Times New Roman" w:hAnsi="Times New Roman" w:cs="Times New Roman"/>
                <w:sz w:val="24"/>
              </w:rPr>
            </w:pPr>
          </w:p>
        </w:tc>
        <w:tc>
          <w:tcPr>
            <w:tcW w:w="0" w:type="auto"/>
            <w:vMerge w:val="continue"/>
            <w:tcMar>
              <w:left w:w="108" w:type="dxa"/>
              <w:right w:w="108" w:type="dxa"/>
            </w:tcMar>
            <w:vAlign w:val="center"/>
          </w:tcPr>
          <w:p w14:paraId="0E65945D">
            <w:pPr>
              <w:spacing w:before="24" w:after="24" w:line="288" w:lineRule="auto"/>
              <w:jc w:val="center"/>
              <w:rPr>
                <w:rFonts w:ascii="Times New Roman" w:hAnsi="Times New Roman" w:cs="Times New Roman"/>
                <w:sz w:val="24"/>
              </w:rPr>
            </w:pPr>
          </w:p>
        </w:tc>
        <w:tc>
          <w:tcPr>
            <w:tcW w:w="0" w:type="auto"/>
            <w:vMerge w:val="continue"/>
            <w:tcMar>
              <w:left w:w="108" w:type="dxa"/>
              <w:right w:w="108" w:type="dxa"/>
            </w:tcMar>
            <w:vAlign w:val="center"/>
          </w:tcPr>
          <w:p w14:paraId="69F96576">
            <w:pPr>
              <w:spacing w:before="24" w:after="24" w:line="288" w:lineRule="auto"/>
              <w:jc w:val="center"/>
              <w:rPr>
                <w:rFonts w:ascii="Times New Roman" w:hAnsi="Times New Roman" w:cs="Times New Roman"/>
                <w:sz w:val="24"/>
              </w:rPr>
            </w:pPr>
          </w:p>
        </w:tc>
        <w:tc>
          <w:tcPr>
            <w:tcW w:w="0" w:type="auto"/>
            <w:vMerge w:val="restart"/>
            <w:tcMar>
              <w:left w:w="108" w:type="dxa"/>
              <w:right w:w="108" w:type="dxa"/>
            </w:tcMar>
            <w:vAlign w:val="center"/>
          </w:tcPr>
          <w:p w14:paraId="1FB64A1E">
            <w:pPr>
              <w:spacing w:before="24" w:after="24" w:line="288" w:lineRule="auto"/>
              <w:jc w:val="center"/>
              <w:rPr>
                <w:rFonts w:ascii="Times New Roman" w:hAnsi="Times New Roman" w:cs="Times New Roman"/>
                <w:sz w:val="24"/>
              </w:rPr>
            </w:pPr>
            <w:r>
              <w:rPr>
                <w:rFonts w:ascii="Times New Roman" w:hAnsi="Times New Roman" w:cs="Times New Roman"/>
                <w:sz w:val="24"/>
              </w:rPr>
              <w:t>丙</w:t>
            </w:r>
          </w:p>
        </w:tc>
        <w:tc>
          <w:tcPr>
            <w:tcW w:w="0" w:type="auto"/>
            <w:tcMar>
              <w:left w:w="108" w:type="dxa"/>
              <w:right w:w="108" w:type="dxa"/>
            </w:tcMar>
            <w:vAlign w:val="center"/>
          </w:tcPr>
          <w:p w14:paraId="2F462A1B">
            <w:pPr>
              <w:spacing w:before="24" w:after="24" w:line="288" w:lineRule="auto"/>
              <w:jc w:val="center"/>
              <w:rPr>
                <w:rFonts w:ascii="Times New Roman" w:hAnsi="Times New Roman" w:cs="Times New Roman"/>
                <w:sz w:val="24"/>
              </w:rPr>
            </w:pPr>
            <w:r>
              <w:rPr>
                <w:rFonts w:ascii="Times New Roman" w:hAnsi="Times New Roman" w:cs="Times New Roman"/>
                <w:sz w:val="24"/>
              </w:rPr>
              <w:t>V≤5000</w:t>
            </w:r>
          </w:p>
        </w:tc>
        <w:tc>
          <w:tcPr>
            <w:tcW w:w="0" w:type="auto"/>
            <w:tcMar>
              <w:left w:w="108" w:type="dxa"/>
              <w:right w:w="108" w:type="dxa"/>
            </w:tcMar>
            <w:vAlign w:val="center"/>
          </w:tcPr>
          <w:p w14:paraId="31CA130B">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c>
          <w:tcPr>
            <w:tcW w:w="0" w:type="auto"/>
            <w:tcMar>
              <w:left w:w="108" w:type="dxa"/>
              <w:right w:w="108" w:type="dxa"/>
            </w:tcMar>
            <w:vAlign w:val="center"/>
          </w:tcPr>
          <w:p w14:paraId="3049608B">
            <w:pPr>
              <w:spacing w:before="24" w:after="24" w:line="288" w:lineRule="auto"/>
              <w:jc w:val="center"/>
              <w:rPr>
                <w:rFonts w:ascii="Times New Roman" w:hAnsi="Times New Roman" w:cs="Times New Roman"/>
                <w:sz w:val="24"/>
              </w:rPr>
            </w:pPr>
            <w:r>
              <w:rPr>
                <w:rFonts w:ascii="Times New Roman" w:hAnsi="Times New Roman" w:cs="Times New Roman"/>
                <w:sz w:val="24"/>
              </w:rPr>
              <w:t>2</w:t>
            </w:r>
          </w:p>
        </w:tc>
        <w:tc>
          <w:tcPr>
            <w:tcW w:w="0" w:type="auto"/>
            <w:tcMar>
              <w:left w:w="108" w:type="dxa"/>
              <w:right w:w="108" w:type="dxa"/>
            </w:tcMar>
            <w:vAlign w:val="center"/>
          </w:tcPr>
          <w:p w14:paraId="0A097C48">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29045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3" w:hRule="atLeast"/>
          <w:jc w:val="center"/>
        </w:trPr>
        <w:tc>
          <w:tcPr>
            <w:tcW w:w="0" w:type="auto"/>
            <w:vMerge w:val="continue"/>
            <w:tcMar>
              <w:left w:w="108" w:type="dxa"/>
              <w:right w:w="108" w:type="dxa"/>
            </w:tcMar>
            <w:vAlign w:val="center"/>
          </w:tcPr>
          <w:p w14:paraId="554B1CBF">
            <w:pPr>
              <w:spacing w:before="24" w:after="24" w:line="288" w:lineRule="auto"/>
              <w:jc w:val="center"/>
              <w:rPr>
                <w:rFonts w:ascii="Times New Roman" w:hAnsi="Times New Roman" w:cs="Times New Roman"/>
                <w:sz w:val="24"/>
              </w:rPr>
            </w:pPr>
          </w:p>
        </w:tc>
        <w:tc>
          <w:tcPr>
            <w:tcW w:w="0" w:type="auto"/>
            <w:vMerge w:val="continue"/>
            <w:tcMar>
              <w:left w:w="108" w:type="dxa"/>
              <w:right w:w="108" w:type="dxa"/>
            </w:tcMar>
            <w:vAlign w:val="center"/>
          </w:tcPr>
          <w:p w14:paraId="3D9AB26A">
            <w:pPr>
              <w:spacing w:before="24" w:after="24" w:line="288" w:lineRule="auto"/>
              <w:jc w:val="center"/>
              <w:rPr>
                <w:rFonts w:ascii="Times New Roman" w:hAnsi="Times New Roman" w:cs="Times New Roman"/>
                <w:sz w:val="24"/>
              </w:rPr>
            </w:pPr>
          </w:p>
        </w:tc>
        <w:tc>
          <w:tcPr>
            <w:tcW w:w="0" w:type="auto"/>
            <w:vMerge w:val="continue"/>
            <w:tcMar>
              <w:left w:w="108" w:type="dxa"/>
              <w:right w:w="108" w:type="dxa"/>
            </w:tcMar>
            <w:vAlign w:val="center"/>
          </w:tcPr>
          <w:p w14:paraId="72BB5CFA">
            <w:pPr>
              <w:spacing w:before="24" w:after="24" w:line="288" w:lineRule="auto"/>
              <w:jc w:val="center"/>
              <w:rPr>
                <w:rFonts w:ascii="Times New Roman" w:hAnsi="Times New Roman" w:cs="Times New Roman"/>
                <w:sz w:val="24"/>
              </w:rPr>
            </w:pPr>
          </w:p>
        </w:tc>
        <w:tc>
          <w:tcPr>
            <w:tcW w:w="0" w:type="auto"/>
            <w:vMerge w:val="continue"/>
            <w:tcMar>
              <w:left w:w="108" w:type="dxa"/>
              <w:right w:w="108" w:type="dxa"/>
            </w:tcMar>
            <w:vAlign w:val="center"/>
          </w:tcPr>
          <w:p w14:paraId="18EAE62C">
            <w:pPr>
              <w:spacing w:before="24" w:after="24" w:line="288" w:lineRule="auto"/>
              <w:jc w:val="center"/>
              <w:rPr>
                <w:rFonts w:ascii="Times New Roman" w:hAnsi="Times New Roman" w:cs="Times New Roman"/>
                <w:sz w:val="24"/>
              </w:rPr>
            </w:pPr>
          </w:p>
        </w:tc>
        <w:tc>
          <w:tcPr>
            <w:tcW w:w="0" w:type="auto"/>
            <w:tcMar>
              <w:left w:w="108" w:type="dxa"/>
              <w:right w:w="108" w:type="dxa"/>
            </w:tcMar>
            <w:vAlign w:val="center"/>
          </w:tcPr>
          <w:p w14:paraId="068CE980">
            <w:pPr>
              <w:spacing w:before="24" w:after="24" w:line="288" w:lineRule="auto"/>
              <w:jc w:val="center"/>
              <w:rPr>
                <w:rFonts w:ascii="Times New Roman" w:hAnsi="Times New Roman" w:cs="Times New Roman"/>
                <w:sz w:val="24"/>
              </w:rPr>
            </w:pPr>
            <w:r>
              <w:rPr>
                <w:rFonts w:ascii="Times New Roman" w:hAnsi="Times New Roman" w:cs="Times New Roman"/>
                <w:sz w:val="24"/>
              </w:rPr>
              <w:t>V＞5000</w:t>
            </w:r>
          </w:p>
        </w:tc>
        <w:tc>
          <w:tcPr>
            <w:tcW w:w="0" w:type="auto"/>
            <w:tcMar>
              <w:left w:w="108" w:type="dxa"/>
              <w:right w:w="108" w:type="dxa"/>
            </w:tcMar>
            <w:vAlign w:val="center"/>
          </w:tcPr>
          <w:p w14:paraId="66E679DC">
            <w:pPr>
              <w:spacing w:before="24" w:after="24" w:line="288" w:lineRule="auto"/>
              <w:jc w:val="center"/>
              <w:rPr>
                <w:rFonts w:ascii="Times New Roman" w:hAnsi="Times New Roman" w:cs="Times New Roman"/>
                <w:sz w:val="24"/>
              </w:rPr>
            </w:pPr>
            <w:r>
              <w:rPr>
                <w:rFonts w:ascii="Times New Roman" w:hAnsi="Times New Roman" w:cs="Times New Roman"/>
                <w:sz w:val="24"/>
              </w:rPr>
              <w:t>20</w:t>
            </w:r>
          </w:p>
        </w:tc>
        <w:tc>
          <w:tcPr>
            <w:tcW w:w="0" w:type="auto"/>
            <w:tcMar>
              <w:left w:w="108" w:type="dxa"/>
              <w:right w:w="108" w:type="dxa"/>
            </w:tcMar>
            <w:vAlign w:val="center"/>
          </w:tcPr>
          <w:p w14:paraId="32DDED20">
            <w:pPr>
              <w:spacing w:before="24" w:after="24" w:line="288" w:lineRule="auto"/>
              <w:jc w:val="center"/>
              <w:rPr>
                <w:rFonts w:ascii="Times New Roman" w:hAnsi="Times New Roman" w:cs="Times New Roman"/>
                <w:sz w:val="24"/>
              </w:rPr>
            </w:pPr>
            <w:r>
              <w:rPr>
                <w:rFonts w:ascii="Times New Roman" w:hAnsi="Times New Roman" w:cs="Times New Roman"/>
                <w:sz w:val="24"/>
              </w:rPr>
              <w:t>4</w:t>
            </w:r>
          </w:p>
        </w:tc>
        <w:tc>
          <w:tcPr>
            <w:tcW w:w="0" w:type="auto"/>
            <w:tcMar>
              <w:left w:w="108" w:type="dxa"/>
              <w:right w:w="108" w:type="dxa"/>
            </w:tcMar>
            <w:vAlign w:val="center"/>
          </w:tcPr>
          <w:p w14:paraId="06DEB64D">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r>
      <w:tr w14:paraId="139B3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5" w:hRule="atLeast"/>
          <w:jc w:val="center"/>
        </w:trPr>
        <w:tc>
          <w:tcPr>
            <w:tcW w:w="0" w:type="auto"/>
            <w:vMerge w:val="continue"/>
            <w:tcMar>
              <w:left w:w="108" w:type="dxa"/>
              <w:right w:w="108" w:type="dxa"/>
            </w:tcMar>
            <w:vAlign w:val="center"/>
          </w:tcPr>
          <w:p w14:paraId="2723DD3A">
            <w:pPr>
              <w:spacing w:before="24" w:after="24" w:line="288" w:lineRule="auto"/>
              <w:jc w:val="center"/>
              <w:rPr>
                <w:rFonts w:ascii="Times New Roman" w:hAnsi="Times New Roman" w:cs="Times New Roman"/>
                <w:sz w:val="24"/>
              </w:rPr>
            </w:pPr>
          </w:p>
        </w:tc>
        <w:tc>
          <w:tcPr>
            <w:tcW w:w="0" w:type="auto"/>
            <w:vMerge w:val="continue"/>
            <w:tcMar>
              <w:left w:w="108" w:type="dxa"/>
              <w:right w:w="108" w:type="dxa"/>
            </w:tcMar>
            <w:vAlign w:val="center"/>
          </w:tcPr>
          <w:p w14:paraId="25EAC5D3">
            <w:pPr>
              <w:spacing w:before="24" w:after="24" w:line="288" w:lineRule="auto"/>
              <w:jc w:val="center"/>
              <w:rPr>
                <w:rFonts w:ascii="Times New Roman" w:hAnsi="Times New Roman" w:cs="Times New Roman"/>
                <w:sz w:val="24"/>
              </w:rPr>
            </w:pPr>
          </w:p>
        </w:tc>
        <w:tc>
          <w:tcPr>
            <w:tcW w:w="0" w:type="auto"/>
            <w:vMerge w:val="restart"/>
            <w:tcMar>
              <w:left w:w="108" w:type="dxa"/>
              <w:right w:w="108" w:type="dxa"/>
            </w:tcMar>
            <w:vAlign w:val="center"/>
          </w:tcPr>
          <w:p w14:paraId="3AB3FBA1">
            <w:pPr>
              <w:spacing w:before="24" w:after="24" w:line="288" w:lineRule="auto"/>
              <w:jc w:val="center"/>
              <w:rPr>
                <w:rFonts w:ascii="Times New Roman" w:hAnsi="Times New Roman" w:cs="Times New Roman"/>
                <w:sz w:val="24"/>
              </w:rPr>
            </w:pPr>
            <w:r>
              <w:rPr>
                <w:rFonts w:ascii="Times New Roman" w:hAnsi="Times New Roman" w:cs="Times New Roman"/>
                <w:sz w:val="24"/>
              </w:rPr>
              <w:t>24＜h</w:t>
            </w:r>
          </w:p>
          <w:p w14:paraId="25C9305F">
            <w:pPr>
              <w:spacing w:before="24" w:after="24" w:line="288" w:lineRule="auto"/>
              <w:jc w:val="center"/>
              <w:rPr>
                <w:rFonts w:ascii="Times New Roman" w:hAnsi="Times New Roman" w:cs="Times New Roman"/>
                <w:sz w:val="24"/>
              </w:rPr>
            </w:pPr>
            <w:r>
              <w:rPr>
                <w:rFonts w:ascii="Times New Roman" w:hAnsi="Times New Roman" w:cs="Times New Roman"/>
                <w:sz w:val="24"/>
              </w:rPr>
              <w:t>≤50</w:t>
            </w:r>
          </w:p>
        </w:tc>
        <w:tc>
          <w:tcPr>
            <w:tcW w:w="0" w:type="auto"/>
            <w:gridSpan w:val="2"/>
            <w:tcMar>
              <w:left w:w="108" w:type="dxa"/>
              <w:right w:w="108" w:type="dxa"/>
            </w:tcMar>
            <w:vAlign w:val="center"/>
          </w:tcPr>
          <w:p w14:paraId="32518108">
            <w:pPr>
              <w:spacing w:before="24" w:after="24" w:line="288" w:lineRule="auto"/>
              <w:jc w:val="center"/>
              <w:rPr>
                <w:rFonts w:ascii="Times New Roman" w:hAnsi="Times New Roman" w:cs="Times New Roman"/>
                <w:sz w:val="24"/>
              </w:rPr>
            </w:pPr>
            <w:r>
              <w:rPr>
                <w:rFonts w:ascii="Times New Roman" w:hAnsi="Times New Roman" w:cs="Times New Roman"/>
                <w:sz w:val="24"/>
              </w:rPr>
              <w:t>乙、丁、戊</w:t>
            </w:r>
          </w:p>
        </w:tc>
        <w:tc>
          <w:tcPr>
            <w:tcW w:w="0" w:type="auto"/>
            <w:tcMar>
              <w:left w:w="108" w:type="dxa"/>
              <w:right w:w="108" w:type="dxa"/>
            </w:tcMar>
            <w:vAlign w:val="center"/>
          </w:tcPr>
          <w:p w14:paraId="7BCFE58C">
            <w:pPr>
              <w:spacing w:before="24" w:after="24" w:line="288" w:lineRule="auto"/>
              <w:jc w:val="center"/>
              <w:rPr>
                <w:rFonts w:ascii="Times New Roman" w:hAnsi="Times New Roman" w:cs="Times New Roman"/>
                <w:sz w:val="24"/>
              </w:rPr>
            </w:pPr>
            <w:r>
              <w:rPr>
                <w:rFonts w:ascii="Times New Roman" w:hAnsi="Times New Roman" w:cs="Times New Roman"/>
                <w:sz w:val="24"/>
              </w:rPr>
              <w:t>25</w:t>
            </w:r>
          </w:p>
        </w:tc>
        <w:tc>
          <w:tcPr>
            <w:tcW w:w="0" w:type="auto"/>
            <w:tcMar>
              <w:left w:w="108" w:type="dxa"/>
              <w:right w:w="108" w:type="dxa"/>
            </w:tcMar>
            <w:vAlign w:val="center"/>
          </w:tcPr>
          <w:p w14:paraId="71A61D4C">
            <w:pPr>
              <w:spacing w:before="24" w:after="24" w:line="288" w:lineRule="auto"/>
              <w:jc w:val="center"/>
              <w:rPr>
                <w:rFonts w:ascii="Times New Roman" w:hAnsi="Times New Roman" w:cs="Times New Roman"/>
                <w:sz w:val="24"/>
              </w:rPr>
            </w:pPr>
            <w:r>
              <w:rPr>
                <w:rFonts w:ascii="Times New Roman" w:hAnsi="Times New Roman" w:cs="Times New Roman"/>
                <w:sz w:val="24"/>
              </w:rPr>
              <w:t>5</w:t>
            </w:r>
          </w:p>
        </w:tc>
        <w:tc>
          <w:tcPr>
            <w:tcW w:w="0" w:type="auto"/>
            <w:tcMar>
              <w:left w:w="108" w:type="dxa"/>
              <w:right w:w="108" w:type="dxa"/>
            </w:tcMar>
            <w:vAlign w:val="center"/>
          </w:tcPr>
          <w:p w14:paraId="0CBEED1D">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r>
      <w:tr w14:paraId="07FBD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7" w:hRule="atLeast"/>
          <w:jc w:val="center"/>
        </w:trPr>
        <w:tc>
          <w:tcPr>
            <w:tcW w:w="0" w:type="auto"/>
            <w:vMerge w:val="continue"/>
            <w:tcMar>
              <w:left w:w="108" w:type="dxa"/>
              <w:right w:w="108" w:type="dxa"/>
            </w:tcMar>
            <w:vAlign w:val="center"/>
          </w:tcPr>
          <w:p w14:paraId="44DE939F">
            <w:pPr>
              <w:spacing w:before="24" w:after="24" w:line="288" w:lineRule="auto"/>
              <w:jc w:val="center"/>
              <w:rPr>
                <w:rFonts w:ascii="Times New Roman" w:hAnsi="Times New Roman" w:cs="Times New Roman"/>
                <w:sz w:val="24"/>
              </w:rPr>
            </w:pPr>
          </w:p>
        </w:tc>
        <w:tc>
          <w:tcPr>
            <w:tcW w:w="0" w:type="auto"/>
            <w:vMerge w:val="continue"/>
            <w:tcMar>
              <w:left w:w="108" w:type="dxa"/>
              <w:right w:w="108" w:type="dxa"/>
            </w:tcMar>
            <w:vAlign w:val="center"/>
          </w:tcPr>
          <w:p w14:paraId="29D2065E">
            <w:pPr>
              <w:spacing w:before="24" w:after="24" w:line="288" w:lineRule="auto"/>
              <w:jc w:val="center"/>
              <w:rPr>
                <w:rFonts w:ascii="Times New Roman" w:hAnsi="Times New Roman" w:cs="Times New Roman"/>
                <w:sz w:val="24"/>
              </w:rPr>
            </w:pPr>
          </w:p>
        </w:tc>
        <w:tc>
          <w:tcPr>
            <w:tcW w:w="0" w:type="auto"/>
            <w:vMerge w:val="continue"/>
            <w:tcMar>
              <w:left w:w="108" w:type="dxa"/>
              <w:right w:w="108" w:type="dxa"/>
            </w:tcMar>
            <w:vAlign w:val="center"/>
          </w:tcPr>
          <w:p w14:paraId="794B0230">
            <w:pPr>
              <w:spacing w:before="24" w:after="24" w:line="288" w:lineRule="auto"/>
              <w:jc w:val="center"/>
              <w:rPr>
                <w:rFonts w:ascii="Times New Roman" w:hAnsi="Times New Roman" w:cs="Times New Roman"/>
                <w:sz w:val="24"/>
              </w:rPr>
            </w:pPr>
          </w:p>
        </w:tc>
        <w:tc>
          <w:tcPr>
            <w:tcW w:w="0" w:type="auto"/>
            <w:gridSpan w:val="2"/>
            <w:tcMar>
              <w:left w:w="108" w:type="dxa"/>
              <w:right w:w="108" w:type="dxa"/>
            </w:tcMar>
            <w:vAlign w:val="center"/>
          </w:tcPr>
          <w:p w14:paraId="4D9FD490">
            <w:pPr>
              <w:spacing w:before="24" w:after="24" w:line="288" w:lineRule="auto"/>
              <w:jc w:val="center"/>
              <w:rPr>
                <w:rFonts w:ascii="Times New Roman" w:hAnsi="Times New Roman" w:cs="Times New Roman"/>
                <w:sz w:val="24"/>
              </w:rPr>
            </w:pPr>
            <w:r>
              <w:rPr>
                <w:rFonts w:ascii="Times New Roman" w:hAnsi="Times New Roman" w:cs="Times New Roman"/>
                <w:sz w:val="24"/>
              </w:rPr>
              <w:t>丙</w:t>
            </w:r>
          </w:p>
        </w:tc>
        <w:tc>
          <w:tcPr>
            <w:tcW w:w="0" w:type="auto"/>
            <w:tcMar>
              <w:left w:w="108" w:type="dxa"/>
              <w:right w:w="108" w:type="dxa"/>
            </w:tcMar>
            <w:vAlign w:val="center"/>
          </w:tcPr>
          <w:p w14:paraId="07AA6C29">
            <w:pPr>
              <w:spacing w:before="24" w:after="24" w:line="288" w:lineRule="auto"/>
              <w:jc w:val="center"/>
              <w:rPr>
                <w:rFonts w:ascii="Times New Roman" w:hAnsi="Times New Roman" w:cs="Times New Roman"/>
                <w:sz w:val="24"/>
              </w:rPr>
            </w:pPr>
            <w:r>
              <w:rPr>
                <w:rFonts w:ascii="Times New Roman" w:hAnsi="Times New Roman" w:cs="Times New Roman"/>
                <w:sz w:val="24"/>
              </w:rPr>
              <w:t>30</w:t>
            </w:r>
          </w:p>
        </w:tc>
        <w:tc>
          <w:tcPr>
            <w:tcW w:w="0" w:type="auto"/>
            <w:tcMar>
              <w:left w:w="108" w:type="dxa"/>
              <w:right w:w="108" w:type="dxa"/>
            </w:tcMar>
            <w:vAlign w:val="center"/>
          </w:tcPr>
          <w:p w14:paraId="30041E30">
            <w:pPr>
              <w:spacing w:before="24" w:after="24" w:line="288" w:lineRule="auto"/>
              <w:jc w:val="center"/>
              <w:rPr>
                <w:rFonts w:ascii="Times New Roman" w:hAnsi="Times New Roman" w:cs="Times New Roman"/>
                <w:sz w:val="24"/>
              </w:rPr>
            </w:pPr>
            <w:r>
              <w:rPr>
                <w:rFonts w:ascii="Times New Roman" w:hAnsi="Times New Roman" w:cs="Times New Roman"/>
                <w:sz w:val="24"/>
              </w:rPr>
              <w:t>6</w:t>
            </w:r>
          </w:p>
        </w:tc>
        <w:tc>
          <w:tcPr>
            <w:tcW w:w="0" w:type="auto"/>
            <w:tcMar>
              <w:left w:w="108" w:type="dxa"/>
              <w:right w:w="108" w:type="dxa"/>
            </w:tcMar>
            <w:vAlign w:val="center"/>
          </w:tcPr>
          <w:p w14:paraId="2906E13E">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r>
      <w:tr w14:paraId="04F53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0" w:type="auto"/>
            <w:vMerge w:val="continue"/>
            <w:tcMar>
              <w:left w:w="108" w:type="dxa"/>
              <w:right w:w="108" w:type="dxa"/>
            </w:tcMar>
            <w:vAlign w:val="center"/>
          </w:tcPr>
          <w:p w14:paraId="6485E404">
            <w:pPr>
              <w:spacing w:before="24" w:after="24" w:line="288" w:lineRule="auto"/>
              <w:jc w:val="center"/>
              <w:rPr>
                <w:rFonts w:ascii="Times New Roman" w:hAnsi="Times New Roman" w:cs="Times New Roman"/>
                <w:sz w:val="24"/>
              </w:rPr>
            </w:pPr>
          </w:p>
        </w:tc>
        <w:tc>
          <w:tcPr>
            <w:tcW w:w="0" w:type="auto"/>
            <w:vMerge w:val="continue"/>
            <w:tcMar>
              <w:left w:w="108" w:type="dxa"/>
              <w:right w:w="108" w:type="dxa"/>
            </w:tcMar>
            <w:vAlign w:val="center"/>
          </w:tcPr>
          <w:p w14:paraId="7F895E97">
            <w:pPr>
              <w:spacing w:before="24" w:after="24" w:line="288" w:lineRule="auto"/>
              <w:jc w:val="center"/>
              <w:rPr>
                <w:rFonts w:ascii="Times New Roman" w:hAnsi="Times New Roman" w:cs="Times New Roman"/>
                <w:sz w:val="24"/>
              </w:rPr>
            </w:pPr>
          </w:p>
        </w:tc>
        <w:tc>
          <w:tcPr>
            <w:tcW w:w="0" w:type="auto"/>
            <w:vMerge w:val="restart"/>
            <w:tcMar>
              <w:left w:w="108" w:type="dxa"/>
              <w:right w:w="108" w:type="dxa"/>
            </w:tcMar>
            <w:vAlign w:val="center"/>
          </w:tcPr>
          <w:p w14:paraId="53FED1B2">
            <w:pPr>
              <w:spacing w:before="24" w:after="24" w:line="288" w:lineRule="auto"/>
              <w:jc w:val="center"/>
              <w:rPr>
                <w:rFonts w:ascii="Times New Roman" w:hAnsi="Times New Roman" w:cs="Times New Roman"/>
                <w:sz w:val="24"/>
              </w:rPr>
            </w:pPr>
            <w:r>
              <w:rPr>
                <w:rFonts w:ascii="Times New Roman" w:hAnsi="Times New Roman" w:cs="Times New Roman"/>
                <w:sz w:val="24"/>
              </w:rPr>
              <w:t>h＞50</w:t>
            </w:r>
          </w:p>
        </w:tc>
        <w:tc>
          <w:tcPr>
            <w:tcW w:w="0" w:type="auto"/>
            <w:gridSpan w:val="2"/>
            <w:tcMar>
              <w:left w:w="108" w:type="dxa"/>
              <w:right w:w="108" w:type="dxa"/>
            </w:tcMar>
            <w:vAlign w:val="center"/>
          </w:tcPr>
          <w:p w14:paraId="71BF89D4">
            <w:pPr>
              <w:spacing w:before="24" w:after="24" w:line="288" w:lineRule="auto"/>
              <w:jc w:val="center"/>
              <w:rPr>
                <w:rFonts w:ascii="Times New Roman" w:hAnsi="Times New Roman" w:cs="Times New Roman"/>
                <w:sz w:val="24"/>
              </w:rPr>
            </w:pPr>
            <w:r>
              <w:rPr>
                <w:rFonts w:ascii="Times New Roman" w:hAnsi="Times New Roman" w:cs="Times New Roman"/>
                <w:sz w:val="24"/>
              </w:rPr>
              <w:t>乙、丁、戊</w:t>
            </w:r>
          </w:p>
        </w:tc>
        <w:tc>
          <w:tcPr>
            <w:tcW w:w="0" w:type="auto"/>
            <w:tcMar>
              <w:left w:w="108" w:type="dxa"/>
              <w:right w:w="108" w:type="dxa"/>
            </w:tcMar>
            <w:vAlign w:val="center"/>
          </w:tcPr>
          <w:p w14:paraId="5C1786FF">
            <w:pPr>
              <w:spacing w:before="24" w:after="24" w:line="288" w:lineRule="auto"/>
              <w:jc w:val="center"/>
              <w:rPr>
                <w:rFonts w:ascii="Times New Roman" w:hAnsi="Times New Roman" w:cs="Times New Roman"/>
                <w:sz w:val="24"/>
              </w:rPr>
            </w:pPr>
            <w:r>
              <w:rPr>
                <w:rFonts w:ascii="Times New Roman" w:hAnsi="Times New Roman" w:cs="Times New Roman"/>
                <w:sz w:val="24"/>
              </w:rPr>
              <w:t>30</w:t>
            </w:r>
          </w:p>
        </w:tc>
        <w:tc>
          <w:tcPr>
            <w:tcW w:w="0" w:type="auto"/>
            <w:tcMar>
              <w:left w:w="108" w:type="dxa"/>
              <w:right w:w="108" w:type="dxa"/>
            </w:tcMar>
            <w:vAlign w:val="center"/>
          </w:tcPr>
          <w:p w14:paraId="0DA2BD94">
            <w:pPr>
              <w:spacing w:before="24" w:after="24" w:line="288" w:lineRule="auto"/>
              <w:jc w:val="center"/>
              <w:rPr>
                <w:rFonts w:ascii="Times New Roman" w:hAnsi="Times New Roman" w:cs="Times New Roman"/>
                <w:sz w:val="24"/>
              </w:rPr>
            </w:pPr>
            <w:r>
              <w:rPr>
                <w:rFonts w:ascii="Times New Roman" w:hAnsi="Times New Roman" w:cs="Times New Roman"/>
                <w:sz w:val="24"/>
              </w:rPr>
              <w:t>6</w:t>
            </w:r>
          </w:p>
        </w:tc>
        <w:tc>
          <w:tcPr>
            <w:tcW w:w="0" w:type="auto"/>
            <w:tcMar>
              <w:left w:w="108" w:type="dxa"/>
              <w:right w:w="108" w:type="dxa"/>
            </w:tcMar>
            <w:vAlign w:val="center"/>
          </w:tcPr>
          <w:p w14:paraId="374FA18B">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r>
      <w:tr w14:paraId="673BE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0" w:type="auto"/>
            <w:vMerge w:val="continue"/>
            <w:tcMar>
              <w:left w:w="108" w:type="dxa"/>
              <w:right w:w="108" w:type="dxa"/>
            </w:tcMar>
            <w:vAlign w:val="center"/>
          </w:tcPr>
          <w:p w14:paraId="4E24818D">
            <w:pPr>
              <w:spacing w:before="24" w:after="24" w:line="288" w:lineRule="auto"/>
              <w:jc w:val="center"/>
              <w:rPr>
                <w:rFonts w:ascii="Times New Roman" w:hAnsi="Times New Roman" w:cs="Times New Roman"/>
                <w:sz w:val="24"/>
              </w:rPr>
            </w:pPr>
          </w:p>
        </w:tc>
        <w:tc>
          <w:tcPr>
            <w:tcW w:w="0" w:type="auto"/>
            <w:vMerge w:val="continue"/>
            <w:tcMar>
              <w:left w:w="108" w:type="dxa"/>
              <w:right w:w="108" w:type="dxa"/>
            </w:tcMar>
            <w:vAlign w:val="center"/>
          </w:tcPr>
          <w:p w14:paraId="698ACDDF">
            <w:pPr>
              <w:spacing w:before="24" w:after="24" w:line="288" w:lineRule="auto"/>
              <w:jc w:val="center"/>
              <w:rPr>
                <w:rFonts w:ascii="Times New Roman" w:hAnsi="Times New Roman" w:cs="Times New Roman"/>
                <w:sz w:val="24"/>
              </w:rPr>
            </w:pPr>
          </w:p>
        </w:tc>
        <w:tc>
          <w:tcPr>
            <w:tcW w:w="0" w:type="auto"/>
            <w:vMerge w:val="continue"/>
            <w:tcMar>
              <w:left w:w="108" w:type="dxa"/>
              <w:right w:w="108" w:type="dxa"/>
            </w:tcMar>
            <w:vAlign w:val="center"/>
          </w:tcPr>
          <w:p w14:paraId="0D08C113">
            <w:pPr>
              <w:spacing w:before="24" w:after="24" w:line="288" w:lineRule="auto"/>
              <w:jc w:val="center"/>
              <w:rPr>
                <w:rFonts w:ascii="Times New Roman" w:hAnsi="Times New Roman" w:cs="Times New Roman"/>
                <w:sz w:val="24"/>
              </w:rPr>
            </w:pPr>
          </w:p>
        </w:tc>
        <w:tc>
          <w:tcPr>
            <w:tcW w:w="0" w:type="auto"/>
            <w:gridSpan w:val="2"/>
            <w:tcMar>
              <w:left w:w="108" w:type="dxa"/>
              <w:right w:w="108" w:type="dxa"/>
            </w:tcMar>
            <w:vAlign w:val="center"/>
          </w:tcPr>
          <w:p w14:paraId="23E3C04F">
            <w:pPr>
              <w:spacing w:before="24" w:after="24" w:line="288" w:lineRule="auto"/>
              <w:jc w:val="center"/>
              <w:rPr>
                <w:rFonts w:ascii="Times New Roman" w:hAnsi="Times New Roman" w:cs="Times New Roman"/>
                <w:sz w:val="24"/>
              </w:rPr>
            </w:pPr>
            <w:r>
              <w:rPr>
                <w:rFonts w:ascii="Times New Roman" w:hAnsi="Times New Roman" w:cs="Times New Roman"/>
                <w:sz w:val="24"/>
              </w:rPr>
              <w:t>丙</w:t>
            </w:r>
          </w:p>
        </w:tc>
        <w:tc>
          <w:tcPr>
            <w:tcW w:w="0" w:type="auto"/>
            <w:tcMar>
              <w:left w:w="108" w:type="dxa"/>
              <w:right w:w="108" w:type="dxa"/>
            </w:tcMar>
            <w:vAlign w:val="center"/>
          </w:tcPr>
          <w:p w14:paraId="73555855">
            <w:pPr>
              <w:spacing w:before="24" w:after="24" w:line="288" w:lineRule="auto"/>
              <w:jc w:val="center"/>
              <w:rPr>
                <w:rFonts w:ascii="Times New Roman" w:hAnsi="Times New Roman" w:cs="Times New Roman"/>
                <w:sz w:val="24"/>
              </w:rPr>
            </w:pPr>
            <w:r>
              <w:rPr>
                <w:rFonts w:ascii="Times New Roman" w:hAnsi="Times New Roman" w:cs="Times New Roman"/>
                <w:sz w:val="24"/>
              </w:rPr>
              <w:t>40</w:t>
            </w:r>
          </w:p>
        </w:tc>
        <w:tc>
          <w:tcPr>
            <w:tcW w:w="0" w:type="auto"/>
            <w:tcMar>
              <w:left w:w="108" w:type="dxa"/>
              <w:right w:w="108" w:type="dxa"/>
            </w:tcMar>
            <w:vAlign w:val="center"/>
          </w:tcPr>
          <w:p w14:paraId="2C2AB994">
            <w:pPr>
              <w:spacing w:before="24" w:after="24" w:line="288" w:lineRule="auto"/>
              <w:jc w:val="center"/>
              <w:rPr>
                <w:rFonts w:ascii="Times New Roman" w:hAnsi="Times New Roman" w:cs="Times New Roman"/>
                <w:sz w:val="24"/>
              </w:rPr>
            </w:pPr>
            <w:r>
              <w:rPr>
                <w:rFonts w:ascii="Times New Roman" w:hAnsi="Times New Roman" w:cs="Times New Roman"/>
                <w:sz w:val="24"/>
              </w:rPr>
              <w:t>8</w:t>
            </w:r>
          </w:p>
        </w:tc>
        <w:tc>
          <w:tcPr>
            <w:tcW w:w="0" w:type="auto"/>
            <w:tcMar>
              <w:left w:w="108" w:type="dxa"/>
              <w:right w:w="108" w:type="dxa"/>
            </w:tcMar>
            <w:vAlign w:val="center"/>
          </w:tcPr>
          <w:p w14:paraId="7E1E309D">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r>
      <w:tr w14:paraId="2D517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0" w:type="auto"/>
            <w:vMerge w:val="continue"/>
            <w:tcMar>
              <w:left w:w="108" w:type="dxa"/>
              <w:right w:w="108" w:type="dxa"/>
            </w:tcMar>
            <w:vAlign w:val="center"/>
          </w:tcPr>
          <w:p w14:paraId="00F36339">
            <w:pPr>
              <w:spacing w:before="24" w:after="24" w:line="288" w:lineRule="auto"/>
              <w:jc w:val="center"/>
              <w:rPr>
                <w:rFonts w:ascii="Times New Roman" w:hAnsi="Times New Roman" w:cs="Times New Roman"/>
                <w:sz w:val="24"/>
              </w:rPr>
            </w:pPr>
          </w:p>
        </w:tc>
        <w:tc>
          <w:tcPr>
            <w:tcW w:w="0" w:type="auto"/>
            <w:vMerge w:val="restart"/>
            <w:tcMar>
              <w:left w:w="108" w:type="dxa"/>
              <w:right w:w="108" w:type="dxa"/>
            </w:tcMar>
            <w:vAlign w:val="center"/>
          </w:tcPr>
          <w:p w14:paraId="143221EE">
            <w:pPr>
              <w:spacing w:before="24" w:after="24" w:line="288" w:lineRule="auto"/>
              <w:jc w:val="center"/>
              <w:rPr>
                <w:rFonts w:ascii="Times New Roman" w:hAnsi="Times New Roman" w:cs="Times New Roman"/>
                <w:sz w:val="24"/>
              </w:rPr>
            </w:pPr>
            <w:r>
              <w:rPr>
                <w:rFonts w:ascii="Times New Roman" w:hAnsi="Times New Roman" w:cs="Times New Roman"/>
                <w:sz w:val="24"/>
              </w:rPr>
              <w:t>仓库</w:t>
            </w:r>
          </w:p>
        </w:tc>
        <w:tc>
          <w:tcPr>
            <w:tcW w:w="0" w:type="auto"/>
            <w:vMerge w:val="restart"/>
            <w:tcMar>
              <w:left w:w="108" w:type="dxa"/>
              <w:right w:w="108" w:type="dxa"/>
            </w:tcMar>
            <w:vAlign w:val="center"/>
          </w:tcPr>
          <w:p w14:paraId="624C5EFB">
            <w:pPr>
              <w:spacing w:before="24" w:after="24" w:line="288" w:lineRule="auto"/>
              <w:jc w:val="center"/>
              <w:rPr>
                <w:rFonts w:ascii="Times New Roman" w:hAnsi="Times New Roman" w:cs="Times New Roman"/>
                <w:sz w:val="24"/>
              </w:rPr>
            </w:pPr>
            <w:r>
              <w:rPr>
                <w:rFonts w:ascii="Times New Roman" w:hAnsi="Times New Roman" w:cs="Times New Roman"/>
                <w:sz w:val="24"/>
              </w:rPr>
              <w:t>h≤24</w:t>
            </w:r>
          </w:p>
        </w:tc>
        <w:tc>
          <w:tcPr>
            <w:tcW w:w="0" w:type="auto"/>
            <w:gridSpan w:val="2"/>
            <w:tcMar>
              <w:left w:w="108" w:type="dxa"/>
              <w:right w:w="108" w:type="dxa"/>
            </w:tcMar>
            <w:vAlign w:val="center"/>
          </w:tcPr>
          <w:p w14:paraId="26E4BF61">
            <w:pPr>
              <w:spacing w:before="24" w:after="24" w:line="288" w:lineRule="auto"/>
              <w:jc w:val="center"/>
              <w:rPr>
                <w:rFonts w:ascii="Times New Roman" w:hAnsi="Times New Roman" w:cs="Times New Roman"/>
                <w:sz w:val="24"/>
              </w:rPr>
            </w:pPr>
            <w:r>
              <w:rPr>
                <w:rFonts w:ascii="Times New Roman" w:hAnsi="Times New Roman" w:cs="Times New Roman"/>
                <w:sz w:val="24"/>
              </w:rPr>
              <w:t>甲、乙、丁、戊</w:t>
            </w:r>
          </w:p>
        </w:tc>
        <w:tc>
          <w:tcPr>
            <w:tcW w:w="0" w:type="auto"/>
            <w:tcMar>
              <w:left w:w="108" w:type="dxa"/>
              <w:right w:w="108" w:type="dxa"/>
            </w:tcMar>
            <w:vAlign w:val="center"/>
          </w:tcPr>
          <w:p w14:paraId="308EB585">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c>
          <w:tcPr>
            <w:tcW w:w="0" w:type="auto"/>
            <w:tcMar>
              <w:left w:w="108" w:type="dxa"/>
              <w:right w:w="108" w:type="dxa"/>
            </w:tcMar>
            <w:vAlign w:val="center"/>
          </w:tcPr>
          <w:p w14:paraId="6DD67B84">
            <w:pPr>
              <w:spacing w:before="24" w:after="24" w:line="288" w:lineRule="auto"/>
              <w:jc w:val="center"/>
              <w:rPr>
                <w:rFonts w:ascii="Times New Roman" w:hAnsi="Times New Roman" w:cs="Times New Roman"/>
                <w:sz w:val="24"/>
              </w:rPr>
            </w:pPr>
            <w:r>
              <w:rPr>
                <w:rFonts w:ascii="Times New Roman" w:hAnsi="Times New Roman" w:cs="Times New Roman"/>
                <w:sz w:val="24"/>
              </w:rPr>
              <w:t>2</w:t>
            </w:r>
          </w:p>
        </w:tc>
        <w:tc>
          <w:tcPr>
            <w:tcW w:w="0" w:type="auto"/>
            <w:tcMar>
              <w:left w:w="108" w:type="dxa"/>
              <w:right w:w="108" w:type="dxa"/>
            </w:tcMar>
            <w:vAlign w:val="center"/>
          </w:tcPr>
          <w:p w14:paraId="584D6CBD">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1FE6F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0" w:type="auto"/>
            <w:vMerge w:val="continue"/>
            <w:tcMar>
              <w:left w:w="108" w:type="dxa"/>
              <w:right w:w="108" w:type="dxa"/>
            </w:tcMar>
            <w:vAlign w:val="center"/>
          </w:tcPr>
          <w:p w14:paraId="2A3C247B">
            <w:pPr>
              <w:spacing w:before="24" w:after="24" w:line="288" w:lineRule="auto"/>
              <w:jc w:val="center"/>
              <w:rPr>
                <w:rFonts w:ascii="Times New Roman" w:hAnsi="Times New Roman" w:cs="Times New Roman"/>
                <w:sz w:val="24"/>
              </w:rPr>
            </w:pPr>
          </w:p>
        </w:tc>
        <w:tc>
          <w:tcPr>
            <w:tcW w:w="0" w:type="auto"/>
            <w:vMerge w:val="continue"/>
            <w:tcMar>
              <w:left w:w="108" w:type="dxa"/>
              <w:right w:w="108" w:type="dxa"/>
            </w:tcMar>
            <w:vAlign w:val="center"/>
          </w:tcPr>
          <w:p w14:paraId="60504332">
            <w:pPr>
              <w:spacing w:before="24" w:after="24" w:line="288" w:lineRule="auto"/>
              <w:jc w:val="center"/>
              <w:rPr>
                <w:rFonts w:ascii="Times New Roman" w:hAnsi="Times New Roman" w:cs="Times New Roman"/>
                <w:sz w:val="24"/>
              </w:rPr>
            </w:pPr>
          </w:p>
        </w:tc>
        <w:tc>
          <w:tcPr>
            <w:tcW w:w="0" w:type="auto"/>
            <w:vMerge w:val="continue"/>
            <w:tcMar>
              <w:left w:w="108" w:type="dxa"/>
              <w:right w:w="108" w:type="dxa"/>
            </w:tcMar>
            <w:vAlign w:val="center"/>
          </w:tcPr>
          <w:p w14:paraId="022EBE11">
            <w:pPr>
              <w:spacing w:before="24" w:after="24" w:line="288" w:lineRule="auto"/>
              <w:jc w:val="center"/>
              <w:rPr>
                <w:rFonts w:ascii="Times New Roman" w:hAnsi="Times New Roman" w:cs="Times New Roman"/>
                <w:sz w:val="24"/>
              </w:rPr>
            </w:pPr>
          </w:p>
        </w:tc>
        <w:tc>
          <w:tcPr>
            <w:tcW w:w="0" w:type="auto"/>
            <w:vMerge w:val="restart"/>
            <w:tcMar>
              <w:left w:w="108" w:type="dxa"/>
              <w:right w:w="108" w:type="dxa"/>
            </w:tcMar>
            <w:vAlign w:val="center"/>
          </w:tcPr>
          <w:p w14:paraId="563E510A">
            <w:pPr>
              <w:spacing w:before="24" w:after="24" w:line="288" w:lineRule="auto"/>
              <w:jc w:val="center"/>
              <w:rPr>
                <w:rFonts w:ascii="Times New Roman" w:hAnsi="Times New Roman" w:cs="Times New Roman"/>
                <w:sz w:val="24"/>
              </w:rPr>
            </w:pPr>
            <w:r>
              <w:rPr>
                <w:rFonts w:ascii="Times New Roman" w:hAnsi="Times New Roman" w:cs="Times New Roman"/>
                <w:sz w:val="24"/>
              </w:rPr>
              <w:t>丙</w:t>
            </w:r>
          </w:p>
        </w:tc>
        <w:tc>
          <w:tcPr>
            <w:tcW w:w="0" w:type="auto"/>
            <w:tcMar>
              <w:left w:w="108" w:type="dxa"/>
              <w:right w:w="108" w:type="dxa"/>
            </w:tcMar>
            <w:vAlign w:val="center"/>
          </w:tcPr>
          <w:p w14:paraId="2FB7D5B0">
            <w:pPr>
              <w:spacing w:before="24" w:after="24" w:line="288" w:lineRule="auto"/>
              <w:jc w:val="center"/>
              <w:rPr>
                <w:rFonts w:ascii="Times New Roman" w:hAnsi="Times New Roman" w:cs="Times New Roman"/>
                <w:sz w:val="24"/>
              </w:rPr>
            </w:pPr>
            <w:r>
              <w:rPr>
                <w:rFonts w:ascii="Times New Roman" w:hAnsi="Times New Roman" w:cs="Times New Roman"/>
                <w:sz w:val="24"/>
              </w:rPr>
              <w:t>V≤5000</w:t>
            </w:r>
          </w:p>
        </w:tc>
        <w:tc>
          <w:tcPr>
            <w:tcW w:w="0" w:type="auto"/>
            <w:tcMar>
              <w:left w:w="108" w:type="dxa"/>
              <w:right w:w="108" w:type="dxa"/>
            </w:tcMar>
            <w:vAlign w:val="center"/>
          </w:tcPr>
          <w:p w14:paraId="3A8D7E61">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c>
          <w:tcPr>
            <w:tcW w:w="0" w:type="auto"/>
            <w:tcMar>
              <w:left w:w="108" w:type="dxa"/>
              <w:right w:w="108" w:type="dxa"/>
            </w:tcMar>
            <w:vAlign w:val="center"/>
          </w:tcPr>
          <w:p w14:paraId="613626FA">
            <w:pPr>
              <w:spacing w:before="24" w:after="24" w:line="288" w:lineRule="auto"/>
              <w:jc w:val="center"/>
              <w:rPr>
                <w:rFonts w:ascii="Times New Roman" w:hAnsi="Times New Roman" w:cs="Times New Roman"/>
                <w:sz w:val="24"/>
              </w:rPr>
            </w:pPr>
            <w:r>
              <w:rPr>
                <w:rFonts w:ascii="Times New Roman" w:hAnsi="Times New Roman" w:cs="Times New Roman"/>
                <w:sz w:val="24"/>
              </w:rPr>
              <w:t>3</w:t>
            </w:r>
          </w:p>
        </w:tc>
        <w:tc>
          <w:tcPr>
            <w:tcW w:w="0" w:type="auto"/>
            <w:tcMar>
              <w:left w:w="108" w:type="dxa"/>
              <w:right w:w="108" w:type="dxa"/>
            </w:tcMar>
            <w:vAlign w:val="center"/>
          </w:tcPr>
          <w:p w14:paraId="7582398E">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r>
      <w:tr w14:paraId="2A1F5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0" w:type="auto"/>
            <w:vMerge w:val="continue"/>
            <w:tcMar>
              <w:left w:w="108" w:type="dxa"/>
              <w:right w:w="108" w:type="dxa"/>
            </w:tcMar>
            <w:vAlign w:val="center"/>
          </w:tcPr>
          <w:p w14:paraId="7B76E363">
            <w:pPr>
              <w:spacing w:before="24" w:after="24" w:line="288" w:lineRule="auto"/>
              <w:jc w:val="center"/>
              <w:rPr>
                <w:rFonts w:ascii="Times New Roman" w:hAnsi="Times New Roman" w:cs="Times New Roman"/>
                <w:sz w:val="24"/>
              </w:rPr>
            </w:pPr>
          </w:p>
        </w:tc>
        <w:tc>
          <w:tcPr>
            <w:tcW w:w="0" w:type="auto"/>
            <w:vMerge w:val="continue"/>
            <w:tcMar>
              <w:left w:w="108" w:type="dxa"/>
              <w:right w:w="108" w:type="dxa"/>
            </w:tcMar>
            <w:vAlign w:val="center"/>
          </w:tcPr>
          <w:p w14:paraId="1AFE3591">
            <w:pPr>
              <w:spacing w:before="24" w:after="24" w:line="288" w:lineRule="auto"/>
              <w:jc w:val="center"/>
              <w:rPr>
                <w:rFonts w:ascii="Times New Roman" w:hAnsi="Times New Roman" w:cs="Times New Roman"/>
                <w:sz w:val="24"/>
              </w:rPr>
            </w:pPr>
          </w:p>
        </w:tc>
        <w:tc>
          <w:tcPr>
            <w:tcW w:w="0" w:type="auto"/>
            <w:vMerge w:val="continue"/>
            <w:tcMar>
              <w:left w:w="108" w:type="dxa"/>
              <w:right w:w="108" w:type="dxa"/>
            </w:tcMar>
            <w:vAlign w:val="center"/>
          </w:tcPr>
          <w:p w14:paraId="2559C508">
            <w:pPr>
              <w:spacing w:before="24" w:after="24" w:line="288" w:lineRule="auto"/>
              <w:jc w:val="center"/>
              <w:rPr>
                <w:rFonts w:ascii="Times New Roman" w:hAnsi="Times New Roman" w:cs="Times New Roman"/>
                <w:sz w:val="24"/>
              </w:rPr>
            </w:pPr>
          </w:p>
        </w:tc>
        <w:tc>
          <w:tcPr>
            <w:tcW w:w="0" w:type="auto"/>
            <w:vMerge w:val="continue"/>
            <w:tcMar>
              <w:left w:w="108" w:type="dxa"/>
              <w:right w:w="108" w:type="dxa"/>
            </w:tcMar>
            <w:vAlign w:val="center"/>
          </w:tcPr>
          <w:p w14:paraId="7FE89713">
            <w:pPr>
              <w:spacing w:before="24" w:after="24" w:line="288" w:lineRule="auto"/>
              <w:jc w:val="center"/>
              <w:rPr>
                <w:rFonts w:ascii="Times New Roman" w:hAnsi="Times New Roman" w:cs="Times New Roman"/>
                <w:sz w:val="24"/>
              </w:rPr>
            </w:pPr>
          </w:p>
        </w:tc>
        <w:tc>
          <w:tcPr>
            <w:tcW w:w="0" w:type="auto"/>
            <w:tcMar>
              <w:left w:w="108" w:type="dxa"/>
              <w:right w:w="108" w:type="dxa"/>
            </w:tcMar>
            <w:vAlign w:val="center"/>
          </w:tcPr>
          <w:p w14:paraId="18F8A592">
            <w:pPr>
              <w:spacing w:before="24" w:after="24" w:line="288" w:lineRule="auto"/>
              <w:jc w:val="center"/>
              <w:rPr>
                <w:rFonts w:ascii="Times New Roman" w:hAnsi="Times New Roman" w:cs="Times New Roman"/>
                <w:sz w:val="24"/>
              </w:rPr>
            </w:pPr>
            <w:r>
              <w:rPr>
                <w:rFonts w:ascii="Times New Roman" w:hAnsi="Times New Roman" w:cs="Times New Roman"/>
                <w:sz w:val="24"/>
              </w:rPr>
              <w:t>V＞5000</w:t>
            </w:r>
          </w:p>
        </w:tc>
        <w:tc>
          <w:tcPr>
            <w:tcW w:w="0" w:type="auto"/>
            <w:tcMar>
              <w:left w:w="108" w:type="dxa"/>
              <w:right w:w="108" w:type="dxa"/>
            </w:tcMar>
            <w:vAlign w:val="center"/>
          </w:tcPr>
          <w:p w14:paraId="15F49AA6">
            <w:pPr>
              <w:spacing w:before="24" w:after="24" w:line="288" w:lineRule="auto"/>
              <w:jc w:val="center"/>
              <w:rPr>
                <w:rFonts w:ascii="Times New Roman" w:hAnsi="Times New Roman" w:cs="Times New Roman"/>
                <w:sz w:val="24"/>
              </w:rPr>
            </w:pPr>
            <w:r>
              <w:rPr>
                <w:rFonts w:ascii="Times New Roman" w:hAnsi="Times New Roman" w:cs="Times New Roman"/>
                <w:sz w:val="24"/>
              </w:rPr>
              <w:t>25</w:t>
            </w:r>
          </w:p>
        </w:tc>
        <w:tc>
          <w:tcPr>
            <w:tcW w:w="0" w:type="auto"/>
            <w:tcMar>
              <w:left w:w="108" w:type="dxa"/>
              <w:right w:w="108" w:type="dxa"/>
            </w:tcMar>
            <w:vAlign w:val="center"/>
          </w:tcPr>
          <w:p w14:paraId="63DD8627">
            <w:pPr>
              <w:spacing w:before="24" w:after="24" w:line="288" w:lineRule="auto"/>
              <w:jc w:val="center"/>
              <w:rPr>
                <w:rFonts w:ascii="Times New Roman" w:hAnsi="Times New Roman" w:cs="Times New Roman"/>
                <w:sz w:val="24"/>
              </w:rPr>
            </w:pPr>
            <w:r>
              <w:rPr>
                <w:rFonts w:ascii="Times New Roman" w:hAnsi="Times New Roman" w:cs="Times New Roman"/>
                <w:sz w:val="24"/>
              </w:rPr>
              <w:t>5</w:t>
            </w:r>
          </w:p>
        </w:tc>
        <w:tc>
          <w:tcPr>
            <w:tcW w:w="0" w:type="auto"/>
            <w:tcMar>
              <w:left w:w="108" w:type="dxa"/>
              <w:right w:w="108" w:type="dxa"/>
            </w:tcMar>
            <w:vAlign w:val="center"/>
          </w:tcPr>
          <w:p w14:paraId="44707AAE">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r>
      <w:tr w14:paraId="433CB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0" w:type="auto"/>
            <w:vMerge w:val="continue"/>
            <w:tcMar>
              <w:left w:w="108" w:type="dxa"/>
              <w:right w:w="108" w:type="dxa"/>
            </w:tcMar>
            <w:vAlign w:val="center"/>
          </w:tcPr>
          <w:p w14:paraId="0E5AA986">
            <w:pPr>
              <w:spacing w:before="24" w:after="24" w:line="288" w:lineRule="auto"/>
              <w:jc w:val="center"/>
              <w:rPr>
                <w:rFonts w:ascii="Times New Roman" w:hAnsi="Times New Roman" w:cs="Times New Roman"/>
                <w:sz w:val="24"/>
              </w:rPr>
            </w:pPr>
          </w:p>
        </w:tc>
        <w:tc>
          <w:tcPr>
            <w:tcW w:w="0" w:type="auto"/>
            <w:vMerge w:val="continue"/>
            <w:tcMar>
              <w:left w:w="108" w:type="dxa"/>
              <w:right w:w="108" w:type="dxa"/>
            </w:tcMar>
            <w:vAlign w:val="center"/>
          </w:tcPr>
          <w:p w14:paraId="472633D3">
            <w:pPr>
              <w:spacing w:before="24" w:after="24" w:line="288" w:lineRule="auto"/>
              <w:jc w:val="center"/>
              <w:rPr>
                <w:rFonts w:ascii="Times New Roman" w:hAnsi="Times New Roman" w:cs="Times New Roman"/>
                <w:sz w:val="24"/>
              </w:rPr>
            </w:pPr>
          </w:p>
        </w:tc>
        <w:tc>
          <w:tcPr>
            <w:tcW w:w="0" w:type="auto"/>
            <w:vMerge w:val="restart"/>
            <w:tcMar>
              <w:left w:w="108" w:type="dxa"/>
              <w:right w:w="108" w:type="dxa"/>
            </w:tcMar>
            <w:vAlign w:val="center"/>
          </w:tcPr>
          <w:p w14:paraId="1F9EFDB2">
            <w:pPr>
              <w:spacing w:before="24" w:after="24" w:line="288" w:lineRule="auto"/>
              <w:jc w:val="center"/>
              <w:rPr>
                <w:rFonts w:ascii="Times New Roman" w:hAnsi="Times New Roman" w:cs="Times New Roman"/>
                <w:sz w:val="24"/>
              </w:rPr>
            </w:pPr>
            <w:r>
              <w:rPr>
                <w:rFonts w:ascii="Times New Roman" w:hAnsi="Times New Roman" w:cs="Times New Roman"/>
                <w:sz w:val="24"/>
              </w:rPr>
              <w:t>h＞24</w:t>
            </w:r>
          </w:p>
        </w:tc>
        <w:tc>
          <w:tcPr>
            <w:tcW w:w="0" w:type="auto"/>
            <w:gridSpan w:val="2"/>
            <w:tcMar>
              <w:left w:w="108" w:type="dxa"/>
              <w:right w:w="108" w:type="dxa"/>
            </w:tcMar>
            <w:vAlign w:val="center"/>
          </w:tcPr>
          <w:p w14:paraId="3177598D">
            <w:pPr>
              <w:spacing w:before="24" w:after="24" w:line="288" w:lineRule="auto"/>
              <w:jc w:val="center"/>
              <w:rPr>
                <w:rFonts w:ascii="Times New Roman" w:hAnsi="Times New Roman" w:cs="Times New Roman"/>
                <w:sz w:val="24"/>
              </w:rPr>
            </w:pPr>
            <w:r>
              <w:rPr>
                <w:rFonts w:ascii="Times New Roman" w:hAnsi="Times New Roman" w:cs="Times New Roman"/>
                <w:sz w:val="24"/>
              </w:rPr>
              <w:t>丁、戊</w:t>
            </w:r>
          </w:p>
        </w:tc>
        <w:tc>
          <w:tcPr>
            <w:tcW w:w="0" w:type="auto"/>
            <w:tcMar>
              <w:left w:w="108" w:type="dxa"/>
              <w:right w:w="108" w:type="dxa"/>
            </w:tcMar>
            <w:vAlign w:val="center"/>
          </w:tcPr>
          <w:p w14:paraId="4AB33F6D">
            <w:pPr>
              <w:spacing w:before="24" w:after="24" w:line="288" w:lineRule="auto"/>
              <w:jc w:val="center"/>
              <w:rPr>
                <w:rFonts w:ascii="Times New Roman" w:hAnsi="Times New Roman" w:cs="Times New Roman"/>
                <w:sz w:val="24"/>
              </w:rPr>
            </w:pPr>
            <w:r>
              <w:rPr>
                <w:rFonts w:ascii="Times New Roman" w:hAnsi="Times New Roman" w:cs="Times New Roman"/>
                <w:sz w:val="24"/>
              </w:rPr>
              <w:t>30</w:t>
            </w:r>
          </w:p>
        </w:tc>
        <w:tc>
          <w:tcPr>
            <w:tcW w:w="0" w:type="auto"/>
            <w:tcMar>
              <w:left w:w="108" w:type="dxa"/>
              <w:right w:w="108" w:type="dxa"/>
            </w:tcMar>
            <w:vAlign w:val="center"/>
          </w:tcPr>
          <w:p w14:paraId="59952432">
            <w:pPr>
              <w:spacing w:before="24" w:after="24" w:line="288" w:lineRule="auto"/>
              <w:jc w:val="center"/>
              <w:rPr>
                <w:rFonts w:ascii="Times New Roman" w:hAnsi="Times New Roman" w:cs="Times New Roman"/>
                <w:sz w:val="24"/>
              </w:rPr>
            </w:pPr>
            <w:r>
              <w:rPr>
                <w:rFonts w:ascii="Times New Roman" w:hAnsi="Times New Roman" w:cs="Times New Roman"/>
                <w:sz w:val="24"/>
              </w:rPr>
              <w:t>6</w:t>
            </w:r>
          </w:p>
        </w:tc>
        <w:tc>
          <w:tcPr>
            <w:tcW w:w="0" w:type="auto"/>
            <w:tcMar>
              <w:left w:w="108" w:type="dxa"/>
              <w:right w:w="108" w:type="dxa"/>
            </w:tcMar>
            <w:vAlign w:val="center"/>
          </w:tcPr>
          <w:p w14:paraId="499A65B5">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r>
      <w:tr w14:paraId="68519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0" w:type="auto"/>
            <w:vMerge w:val="continue"/>
            <w:tcMar>
              <w:left w:w="108" w:type="dxa"/>
              <w:right w:w="108" w:type="dxa"/>
            </w:tcMar>
            <w:vAlign w:val="center"/>
          </w:tcPr>
          <w:p w14:paraId="0C7457D9">
            <w:pPr>
              <w:spacing w:before="24" w:after="24" w:line="288" w:lineRule="auto"/>
              <w:jc w:val="center"/>
              <w:rPr>
                <w:rFonts w:ascii="Times New Roman" w:hAnsi="Times New Roman" w:cs="Times New Roman"/>
                <w:sz w:val="24"/>
              </w:rPr>
            </w:pPr>
          </w:p>
        </w:tc>
        <w:tc>
          <w:tcPr>
            <w:tcW w:w="0" w:type="auto"/>
            <w:vMerge w:val="continue"/>
            <w:tcMar>
              <w:left w:w="108" w:type="dxa"/>
              <w:right w:w="108" w:type="dxa"/>
            </w:tcMar>
            <w:vAlign w:val="center"/>
          </w:tcPr>
          <w:p w14:paraId="665ACE96">
            <w:pPr>
              <w:spacing w:before="24" w:after="24" w:line="288" w:lineRule="auto"/>
              <w:jc w:val="center"/>
              <w:rPr>
                <w:rFonts w:ascii="Times New Roman" w:hAnsi="Times New Roman" w:cs="Times New Roman"/>
                <w:sz w:val="24"/>
              </w:rPr>
            </w:pPr>
          </w:p>
        </w:tc>
        <w:tc>
          <w:tcPr>
            <w:tcW w:w="0" w:type="auto"/>
            <w:vMerge w:val="continue"/>
            <w:tcMar>
              <w:left w:w="108" w:type="dxa"/>
              <w:right w:w="108" w:type="dxa"/>
            </w:tcMar>
            <w:vAlign w:val="center"/>
          </w:tcPr>
          <w:p w14:paraId="44B43785">
            <w:pPr>
              <w:spacing w:before="24" w:after="24" w:line="288" w:lineRule="auto"/>
              <w:jc w:val="center"/>
              <w:rPr>
                <w:rFonts w:ascii="Times New Roman" w:hAnsi="Times New Roman" w:cs="Times New Roman"/>
                <w:sz w:val="24"/>
              </w:rPr>
            </w:pPr>
          </w:p>
        </w:tc>
        <w:tc>
          <w:tcPr>
            <w:tcW w:w="0" w:type="auto"/>
            <w:gridSpan w:val="2"/>
            <w:tcMar>
              <w:left w:w="108" w:type="dxa"/>
              <w:right w:w="108" w:type="dxa"/>
            </w:tcMar>
            <w:vAlign w:val="center"/>
          </w:tcPr>
          <w:p w14:paraId="50C2B9CA">
            <w:pPr>
              <w:spacing w:before="24" w:after="24" w:line="288" w:lineRule="auto"/>
              <w:jc w:val="center"/>
              <w:rPr>
                <w:rFonts w:ascii="Times New Roman" w:hAnsi="Times New Roman" w:cs="Times New Roman"/>
                <w:sz w:val="24"/>
              </w:rPr>
            </w:pPr>
            <w:r>
              <w:rPr>
                <w:rFonts w:ascii="Times New Roman" w:hAnsi="Times New Roman" w:cs="Times New Roman"/>
                <w:sz w:val="24"/>
              </w:rPr>
              <w:t>丙</w:t>
            </w:r>
          </w:p>
        </w:tc>
        <w:tc>
          <w:tcPr>
            <w:tcW w:w="0" w:type="auto"/>
            <w:tcMar>
              <w:left w:w="108" w:type="dxa"/>
              <w:right w:w="108" w:type="dxa"/>
            </w:tcMar>
            <w:vAlign w:val="center"/>
          </w:tcPr>
          <w:p w14:paraId="595E575E">
            <w:pPr>
              <w:spacing w:before="24" w:after="24" w:line="288" w:lineRule="auto"/>
              <w:jc w:val="center"/>
              <w:rPr>
                <w:rFonts w:ascii="Times New Roman" w:hAnsi="Times New Roman" w:cs="Times New Roman"/>
                <w:sz w:val="24"/>
              </w:rPr>
            </w:pPr>
            <w:r>
              <w:rPr>
                <w:rFonts w:ascii="Times New Roman" w:hAnsi="Times New Roman" w:cs="Times New Roman"/>
                <w:sz w:val="24"/>
              </w:rPr>
              <w:t>40</w:t>
            </w:r>
          </w:p>
        </w:tc>
        <w:tc>
          <w:tcPr>
            <w:tcW w:w="0" w:type="auto"/>
            <w:tcMar>
              <w:left w:w="108" w:type="dxa"/>
              <w:right w:w="108" w:type="dxa"/>
            </w:tcMar>
            <w:vAlign w:val="center"/>
          </w:tcPr>
          <w:p w14:paraId="134A9AF3">
            <w:pPr>
              <w:spacing w:before="24" w:after="24" w:line="288" w:lineRule="auto"/>
              <w:jc w:val="center"/>
              <w:rPr>
                <w:rFonts w:ascii="Times New Roman" w:hAnsi="Times New Roman" w:cs="Times New Roman"/>
                <w:sz w:val="24"/>
              </w:rPr>
            </w:pPr>
            <w:r>
              <w:rPr>
                <w:rFonts w:ascii="Times New Roman" w:hAnsi="Times New Roman" w:cs="Times New Roman"/>
                <w:sz w:val="24"/>
              </w:rPr>
              <w:t>8</w:t>
            </w:r>
          </w:p>
        </w:tc>
        <w:tc>
          <w:tcPr>
            <w:tcW w:w="0" w:type="auto"/>
            <w:tcMar>
              <w:left w:w="108" w:type="dxa"/>
              <w:right w:w="108" w:type="dxa"/>
            </w:tcMar>
            <w:vAlign w:val="center"/>
          </w:tcPr>
          <w:p w14:paraId="30272209">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r>
    </w:tbl>
    <w:p w14:paraId="1C3D55BC">
      <w:pPr>
        <w:spacing w:before="24" w:after="24"/>
        <w:ind w:firstLine="560" w:firstLineChars="200"/>
        <w:rPr>
          <w:rFonts w:ascii="Times New Roman" w:hAnsi="Times New Roman" w:cs="Times New Roman"/>
        </w:rPr>
      </w:pPr>
      <w:r>
        <w:rPr>
          <w:rFonts w:ascii="Times New Roman" w:hAnsi="Times New Roman" w:cs="Times New Roman"/>
        </w:rPr>
        <w:t>2.民用建筑</w:t>
      </w:r>
    </w:p>
    <w:tbl>
      <w:tblPr>
        <w:tblStyle w:val="30"/>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7"/>
        <w:gridCol w:w="678"/>
        <w:gridCol w:w="2079"/>
        <w:gridCol w:w="2330"/>
        <w:gridCol w:w="1264"/>
        <w:gridCol w:w="1212"/>
        <w:gridCol w:w="1310"/>
      </w:tblGrid>
      <w:tr w14:paraId="40D6D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jc w:val="center"/>
        </w:trPr>
        <w:tc>
          <w:tcPr>
            <w:tcW w:w="3454" w:type="dxa"/>
            <w:gridSpan w:val="3"/>
            <w:tcMar>
              <w:left w:w="108" w:type="dxa"/>
              <w:right w:w="108" w:type="dxa"/>
            </w:tcMar>
            <w:vAlign w:val="center"/>
          </w:tcPr>
          <w:p w14:paraId="780EC3D7">
            <w:pPr>
              <w:spacing w:before="24" w:after="24" w:line="288" w:lineRule="auto"/>
              <w:jc w:val="center"/>
              <w:rPr>
                <w:rFonts w:ascii="Times New Roman" w:hAnsi="Times New Roman" w:cs="Times New Roman"/>
                <w:sz w:val="24"/>
              </w:rPr>
            </w:pPr>
            <w:r>
              <w:rPr>
                <w:rFonts w:ascii="Times New Roman" w:hAnsi="Times New Roman" w:cs="Times New Roman"/>
                <w:sz w:val="24"/>
              </w:rPr>
              <w:t>建筑物名称</w:t>
            </w:r>
          </w:p>
        </w:tc>
        <w:tc>
          <w:tcPr>
            <w:tcW w:w="2330" w:type="dxa"/>
            <w:tcMar>
              <w:left w:w="108" w:type="dxa"/>
              <w:right w:w="108" w:type="dxa"/>
            </w:tcMar>
            <w:vAlign w:val="center"/>
          </w:tcPr>
          <w:p w14:paraId="697C184C">
            <w:pPr>
              <w:spacing w:before="24" w:after="24" w:line="288" w:lineRule="auto"/>
              <w:jc w:val="center"/>
              <w:rPr>
                <w:rFonts w:ascii="Times New Roman" w:hAnsi="Times New Roman" w:cs="Times New Roman"/>
                <w:sz w:val="24"/>
              </w:rPr>
            </w:pPr>
            <w:r>
              <w:rPr>
                <w:rFonts w:ascii="Times New Roman" w:hAnsi="Times New Roman" w:cs="Times New Roman"/>
                <w:sz w:val="24"/>
              </w:rPr>
              <w:t>高度h（m）、层数、体积V（m3）、座位数n（个）、火灾危险性</w:t>
            </w:r>
          </w:p>
        </w:tc>
        <w:tc>
          <w:tcPr>
            <w:tcW w:w="1264" w:type="dxa"/>
            <w:tcMar>
              <w:left w:w="108" w:type="dxa"/>
              <w:right w:w="108" w:type="dxa"/>
            </w:tcMar>
            <w:vAlign w:val="center"/>
          </w:tcPr>
          <w:p w14:paraId="58BD0BED">
            <w:pPr>
              <w:spacing w:before="24" w:after="24" w:line="288" w:lineRule="auto"/>
              <w:jc w:val="center"/>
              <w:rPr>
                <w:rFonts w:ascii="Times New Roman" w:hAnsi="Times New Roman" w:cs="Times New Roman"/>
                <w:sz w:val="24"/>
              </w:rPr>
            </w:pPr>
            <w:r>
              <w:rPr>
                <w:rFonts w:ascii="Times New Roman" w:hAnsi="Times New Roman" w:cs="Times New Roman"/>
                <w:sz w:val="24"/>
              </w:rPr>
              <w:t>消火栓设计流量 （L/s）</w:t>
            </w:r>
          </w:p>
        </w:tc>
        <w:tc>
          <w:tcPr>
            <w:tcW w:w="1212" w:type="dxa"/>
            <w:tcMar>
              <w:left w:w="108" w:type="dxa"/>
              <w:right w:w="108" w:type="dxa"/>
            </w:tcMar>
            <w:vAlign w:val="center"/>
          </w:tcPr>
          <w:p w14:paraId="677F67A6">
            <w:pPr>
              <w:spacing w:before="24" w:after="24" w:line="288" w:lineRule="auto"/>
              <w:jc w:val="center"/>
              <w:rPr>
                <w:rFonts w:ascii="Times New Roman" w:hAnsi="Times New Roman" w:cs="Times New Roman"/>
                <w:sz w:val="24"/>
              </w:rPr>
            </w:pPr>
            <w:r>
              <w:rPr>
                <w:rFonts w:ascii="Times New Roman" w:hAnsi="Times New Roman" w:cs="Times New Roman"/>
                <w:sz w:val="24"/>
              </w:rPr>
              <w:t>同时使用消防水枪数 （支）</w:t>
            </w:r>
          </w:p>
        </w:tc>
        <w:tc>
          <w:tcPr>
            <w:tcW w:w="1310" w:type="dxa"/>
            <w:tcMar>
              <w:left w:w="108" w:type="dxa"/>
              <w:right w:w="108" w:type="dxa"/>
            </w:tcMar>
            <w:vAlign w:val="center"/>
          </w:tcPr>
          <w:p w14:paraId="1DB8425E">
            <w:pPr>
              <w:spacing w:before="24" w:after="24" w:line="288" w:lineRule="auto"/>
              <w:jc w:val="center"/>
              <w:rPr>
                <w:rFonts w:ascii="Times New Roman" w:hAnsi="Times New Roman" w:cs="Times New Roman"/>
                <w:sz w:val="24"/>
              </w:rPr>
            </w:pPr>
            <w:r>
              <w:rPr>
                <w:rFonts w:ascii="Times New Roman" w:hAnsi="Times New Roman" w:cs="Times New Roman"/>
                <w:sz w:val="24"/>
              </w:rPr>
              <w:t>每根竖管最小流量 （L/s）</w:t>
            </w:r>
          </w:p>
        </w:tc>
      </w:tr>
      <w:tr w14:paraId="594CB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7" w:type="dxa"/>
            <w:vMerge w:val="restart"/>
            <w:tcMar>
              <w:left w:w="108" w:type="dxa"/>
              <w:right w:w="108" w:type="dxa"/>
            </w:tcMar>
            <w:vAlign w:val="center"/>
          </w:tcPr>
          <w:p w14:paraId="0DB65949">
            <w:pPr>
              <w:spacing w:before="24" w:after="24" w:line="288" w:lineRule="auto"/>
              <w:jc w:val="center"/>
              <w:rPr>
                <w:rFonts w:ascii="Times New Roman" w:hAnsi="Times New Roman" w:cs="Times New Roman"/>
                <w:sz w:val="24"/>
              </w:rPr>
            </w:pPr>
            <w:r>
              <w:rPr>
                <w:rFonts w:ascii="Times New Roman" w:hAnsi="Times New Roman" w:cs="Times New Roman"/>
                <w:sz w:val="24"/>
              </w:rPr>
              <w:t>民用建筑</w:t>
            </w:r>
          </w:p>
        </w:tc>
        <w:tc>
          <w:tcPr>
            <w:tcW w:w="678" w:type="dxa"/>
            <w:vMerge w:val="restart"/>
            <w:tcMar>
              <w:left w:w="108" w:type="dxa"/>
              <w:right w:w="108" w:type="dxa"/>
            </w:tcMar>
            <w:vAlign w:val="center"/>
          </w:tcPr>
          <w:p w14:paraId="278C0C67">
            <w:pPr>
              <w:spacing w:before="24" w:after="24" w:line="288" w:lineRule="auto"/>
              <w:jc w:val="center"/>
              <w:rPr>
                <w:rFonts w:ascii="Times New Roman" w:hAnsi="Times New Roman" w:cs="Times New Roman"/>
                <w:sz w:val="24"/>
              </w:rPr>
            </w:pPr>
            <w:r>
              <w:rPr>
                <w:rFonts w:ascii="Times New Roman" w:hAnsi="Times New Roman" w:cs="Times New Roman"/>
                <w:sz w:val="24"/>
              </w:rPr>
              <w:t>单层及多层</w:t>
            </w:r>
          </w:p>
        </w:tc>
        <w:tc>
          <w:tcPr>
            <w:tcW w:w="2079" w:type="dxa"/>
            <w:vMerge w:val="restart"/>
            <w:tcMar>
              <w:left w:w="108" w:type="dxa"/>
              <w:right w:w="108" w:type="dxa"/>
            </w:tcMar>
            <w:vAlign w:val="center"/>
          </w:tcPr>
          <w:p w14:paraId="42C49ED0">
            <w:pPr>
              <w:spacing w:before="24" w:after="24" w:line="288" w:lineRule="auto"/>
              <w:jc w:val="center"/>
              <w:rPr>
                <w:rFonts w:ascii="Times New Roman" w:hAnsi="Times New Roman" w:cs="Times New Roman"/>
                <w:sz w:val="24"/>
              </w:rPr>
            </w:pPr>
            <w:r>
              <w:rPr>
                <w:rFonts w:ascii="Times New Roman" w:hAnsi="Times New Roman" w:cs="Times New Roman"/>
                <w:sz w:val="24"/>
              </w:rPr>
              <w:t>科研楼、试验楼</w:t>
            </w:r>
          </w:p>
        </w:tc>
        <w:tc>
          <w:tcPr>
            <w:tcW w:w="2330" w:type="dxa"/>
            <w:tcMar>
              <w:left w:w="108" w:type="dxa"/>
              <w:right w:w="108" w:type="dxa"/>
            </w:tcMar>
            <w:vAlign w:val="center"/>
          </w:tcPr>
          <w:p w14:paraId="0C0D71C6">
            <w:pPr>
              <w:spacing w:before="24" w:after="24" w:line="288" w:lineRule="auto"/>
              <w:jc w:val="center"/>
              <w:rPr>
                <w:rFonts w:ascii="Times New Roman" w:hAnsi="Times New Roman" w:cs="Times New Roman"/>
                <w:sz w:val="24"/>
              </w:rPr>
            </w:pPr>
            <w:r>
              <w:rPr>
                <w:rFonts w:ascii="Times New Roman" w:hAnsi="Times New Roman" w:cs="Times New Roman"/>
                <w:sz w:val="24"/>
              </w:rPr>
              <w:t>V≤10000</w:t>
            </w:r>
          </w:p>
        </w:tc>
        <w:tc>
          <w:tcPr>
            <w:tcW w:w="1264" w:type="dxa"/>
            <w:tcMar>
              <w:left w:w="108" w:type="dxa"/>
              <w:right w:w="108" w:type="dxa"/>
            </w:tcMar>
            <w:vAlign w:val="center"/>
          </w:tcPr>
          <w:p w14:paraId="7AD27518">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c>
          <w:tcPr>
            <w:tcW w:w="1212" w:type="dxa"/>
            <w:tcMar>
              <w:left w:w="108" w:type="dxa"/>
              <w:right w:w="108" w:type="dxa"/>
            </w:tcMar>
            <w:vAlign w:val="center"/>
          </w:tcPr>
          <w:p w14:paraId="76E31473">
            <w:pPr>
              <w:spacing w:before="24" w:after="24" w:line="288" w:lineRule="auto"/>
              <w:jc w:val="center"/>
              <w:rPr>
                <w:rFonts w:ascii="Times New Roman" w:hAnsi="Times New Roman" w:cs="Times New Roman"/>
                <w:sz w:val="24"/>
              </w:rPr>
            </w:pPr>
            <w:r>
              <w:rPr>
                <w:rFonts w:ascii="Times New Roman" w:hAnsi="Times New Roman" w:cs="Times New Roman"/>
                <w:sz w:val="24"/>
              </w:rPr>
              <w:t>2</w:t>
            </w:r>
          </w:p>
        </w:tc>
        <w:tc>
          <w:tcPr>
            <w:tcW w:w="1310" w:type="dxa"/>
            <w:tcMar>
              <w:left w:w="108" w:type="dxa"/>
              <w:right w:w="108" w:type="dxa"/>
            </w:tcMar>
            <w:vAlign w:val="center"/>
          </w:tcPr>
          <w:p w14:paraId="00946E00">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22C84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7" w:type="dxa"/>
            <w:vMerge w:val="continue"/>
            <w:tcMar>
              <w:left w:w="108" w:type="dxa"/>
              <w:right w:w="108" w:type="dxa"/>
            </w:tcMar>
            <w:vAlign w:val="center"/>
          </w:tcPr>
          <w:p w14:paraId="6E2DF20F">
            <w:pPr>
              <w:spacing w:before="24" w:after="24" w:line="288" w:lineRule="auto"/>
              <w:jc w:val="center"/>
              <w:rPr>
                <w:rFonts w:ascii="Times New Roman" w:hAnsi="Times New Roman" w:cs="Times New Roman"/>
                <w:sz w:val="24"/>
              </w:rPr>
            </w:pPr>
          </w:p>
        </w:tc>
        <w:tc>
          <w:tcPr>
            <w:tcW w:w="678" w:type="dxa"/>
            <w:vMerge w:val="continue"/>
            <w:tcMar>
              <w:left w:w="108" w:type="dxa"/>
              <w:right w:w="108" w:type="dxa"/>
            </w:tcMar>
            <w:vAlign w:val="center"/>
          </w:tcPr>
          <w:p w14:paraId="73AC1831">
            <w:pPr>
              <w:spacing w:before="24" w:after="24" w:line="288" w:lineRule="auto"/>
              <w:jc w:val="center"/>
              <w:rPr>
                <w:rFonts w:ascii="Times New Roman" w:hAnsi="Times New Roman" w:cs="Times New Roman"/>
                <w:sz w:val="24"/>
              </w:rPr>
            </w:pPr>
          </w:p>
        </w:tc>
        <w:tc>
          <w:tcPr>
            <w:tcW w:w="2079" w:type="dxa"/>
            <w:vMerge w:val="continue"/>
            <w:tcMar>
              <w:left w:w="108" w:type="dxa"/>
              <w:right w:w="108" w:type="dxa"/>
            </w:tcMar>
            <w:vAlign w:val="center"/>
          </w:tcPr>
          <w:p w14:paraId="2C28FBA0">
            <w:pPr>
              <w:spacing w:before="24" w:after="24" w:line="288" w:lineRule="auto"/>
              <w:jc w:val="center"/>
              <w:rPr>
                <w:rFonts w:ascii="Times New Roman" w:hAnsi="Times New Roman" w:cs="Times New Roman"/>
                <w:sz w:val="24"/>
              </w:rPr>
            </w:pPr>
          </w:p>
        </w:tc>
        <w:tc>
          <w:tcPr>
            <w:tcW w:w="2330" w:type="dxa"/>
            <w:tcMar>
              <w:left w:w="108" w:type="dxa"/>
              <w:right w:w="108" w:type="dxa"/>
            </w:tcMar>
            <w:vAlign w:val="center"/>
          </w:tcPr>
          <w:p w14:paraId="3B49EB4A">
            <w:pPr>
              <w:spacing w:before="24" w:after="24" w:line="288" w:lineRule="auto"/>
              <w:jc w:val="center"/>
              <w:rPr>
                <w:rFonts w:ascii="Times New Roman" w:hAnsi="Times New Roman" w:cs="Times New Roman"/>
                <w:sz w:val="24"/>
              </w:rPr>
            </w:pPr>
            <w:r>
              <w:rPr>
                <w:rFonts w:ascii="Times New Roman" w:hAnsi="Times New Roman" w:cs="Times New Roman"/>
                <w:sz w:val="24"/>
              </w:rPr>
              <w:t>V＞10000</w:t>
            </w:r>
          </w:p>
        </w:tc>
        <w:tc>
          <w:tcPr>
            <w:tcW w:w="1264" w:type="dxa"/>
            <w:tcMar>
              <w:left w:w="108" w:type="dxa"/>
              <w:right w:w="108" w:type="dxa"/>
            </w:tcMar>
            <w:vAlign w:val="center"/>
          </w:tcPr>
          <w:p w14:paraId="1DD43846">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c>
          <w:tcPr>
            <w:tcW w:w="1212" w:type="dxa"/>
            <w:tcMar>
              <w:left w:w="108" w:type="dxa"/>
              <w:right w:w="108" w:type="dxa"/>
            </w:tcMar>
            <w:vAlign w:val="center"/>
          </w:tcPr>
          <w:p w14:paraId="717F865B">
            <w:pPr>
              <w:spacing w:before="24" w:after="24" w:line="288" w:lineRule="auto"/>
              <w:jc w:val="center"/>
              <w:rPr>
                <w:rFonts w:ascii="Times New Roman" w:hAnsi="Times New Roman" w:cs="Times New Roman"/>
                <w:sz w:val="24"/>
              </w:rPr>
            </w:pPr>
            <w:r>
              <w:rPr>
                <w:rFonts w:ascii="Times New Roman" w:hAnsi="Times New Roman" w:cs="Times New Roman"/>
                <w:sz w:val="24"/>
              </w:rPr>
              <w:t>3</w:t>
            </w:r>
          </w:p>
        </w:tc>
        <w:tc>
          <w:tcPr>
            <w:tcW w:w="1310" w:type="dxa"/>
            <w:tcMar>
              <w:left w:w="108" w:type="dxa"/>
              <w:right w:w="108" w:type="dxa"/>
            </w:tcMar>
            <w:vAlign w:val="center"/>
          </w:tcPr>
          <w:p w14:paraId="4452425A">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2E3B1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7" w:type="dxa"/>
            <w:vMerge w:val="continue"/>
            <w:tcMar>
              <w:left w:w="108" w:type="dxa"/>
              <w:right w:w="108" w:type="dxa"/>
            </w:tcMar>
            <w:vAlign w:val="center"/>
          </w:tcPr>
          <w:p w14:paraId="77B5813C">
            <w:pPr>
              <w:spacing w:before="24" w:after="24" w:line="288" w:lineRule="auto"/>
              <w:jc w:val="center"/>
              <w:rPr>
                <w:rFonts w:ascii="Times New Roman" w:hAnsi="Times New Roman" w:cs="Times New Roman"/>
                <w:sz w:val="24"/>
              </w:rPr>
            </w:pPr>
          </w:p>
        </w:tc>
        <w:tc>
          <w:tcPr>
            <w:tcW w:w="678" w:type="dxa"/>
            <w:vMerge w:val="continue"/>
            <w:tcMar>
              <w:left w:w="108" w:type="dxa"/>
              <w:right w:w="108" w:type="dxa"/>
            </w:tcMar>
            <w:vAlign w:val="center"/>
          </w:tcPr>
          <w:p w14:paraId="092BD190">
            <w:pPr>
              <w:spacing w:before="24" w:after="24" w:line="288" w:lineRule="auto"/>
              <w:jc w:val="center"/>
              <w:rPr>
                <w:rFonts w:ascii="Times New Roman" w:hAnsi="Times New Roman" w:cs="Times New Roman"/>
                <w:sz w:val="24"/>
              </w:rPr>
            </w:pPr>
          </w:p>
        </w:tc>
        <w:tc>
          <w:tcPr>
            <w:tcW w:w="2079" w:type="dxa"/>
            <w:vMerge w:val="restart"/>
            <w:tcMar>
              <w:left w:w="108" w:type="dxa"/>
              <w:right w:w="108" w:type="dxa"/>
            </w:tcMar>
            <w:vAlign w:val="center"/>
          </w:tcPr>
          <w:p w14:paraId="7113310A">
            <w:pPr>
              <w:spacing w:before="24" w:after="24" w:line="288" w:lineRule="auto"/>
              <w:jc w:val="center"/>
              <w:rPr>
                <w:rFonts w:ascii="Times New Roman" w:hAnsi="Times New Roman" w:cs="Times New Roman"/>
                <w:sz w:val="24"/>
              </w:rPr>
            </w:pPr>
            <w:r>
              <w:rPr>
                <w:rFonts w:ascii="Times New Roman" w:hAnsi="Times New Roman" w:cs="Times New Roman"/>
                <w:sz w:val="24"/>
              </w:rPr>
              <w:t>车站、码头、机场的候车（船、机）楼和展览建筑（包括博物馆）等</w:t>
            </w:r>
          </w:p>
        </w:tc>
        <w:tc>
          <w:tcPr>
            <w:tcW w:w="2330" w:type="dxa"/>
            <w:tcMar>
              <w:left w:w="108" w:type="dxa"/>
              <w:right w:w="108" w:type="dxa"/>
            </w:tcMar>
            <w:vAlign w:val="center"/>
          </w:tcPr>
          <w:p w14:paraId="084D4186">
            <w:pPr>
              <w:spacing w:before="24" w:after="24" w:line="288" w:lineRule="auto"/>
              <w:jc w:val="center"/>
              <w:rPr>
                <w:rFonts w:ascii="Times New Roman" w:hAnsi="Times New Roman" w:cs="Times New Roman"/>
                <w:sz w:val="24"/>
              </w:rPr>
            </w:pPr>
            <w:r>
              <w:rPr>
                <w:rFonts w:ascii="Times New Roman" w:hAnsi="Times New Roman" w:cs="Times New Roman"/>
                <w:sz w:val="24"/>
              </w:rPr>
              <w:t>5000＜V≤25000</w:t>
            </w:r>
          </w:p>
        </w:tc>
        <w:tc>
          <w:tcPr>
            <w:tcW w:w="1264" w:type="dxa"/>
            <w:tcMar>
              <w:left w:w="108" w:type="dxa"/>
              <w:right w:w="108" w:type="dxa"/>
            </w:tcMar>
            <w:vAlign w:val="center"/>
          </w:tcPr>
          <w:p w14:paraId="16D772F2">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c>
          <w:tcPr>
            <w:tcW w:w="1212" w:type="dxa"/>
            <w:tcMar>
              <w:left w:w="108" w:type="dxa"/>
              <w:right w:w="108" w:type="dxa"/>
            </w:tcMar>
            <w:vAlign w:val="center"/>
          </w:tcPr>
          <w:p w14:paraId="62616968">
            <w:pPr>
              <w:spacing w:before="24" w:after="24" w:line="288" w:lineRule="auto"/>
              <w:jc w:val="center"/>
              <w:rPr>
                <w:rFonts w:ascii="Times New Roman" w:hAnsi="Times New Roman" w:cs="Times New Roman"/>
                <w:sz w:val="24"/>
              </w:rPr>
            </w:pPr>
            <w:r>
              <w:rPr>
                <w:rFonts w:ascii="Times New Roman" w:hAnsi="Times New Roman" w:cs="Times New Roman"/>
                <w:sz w:val="24"/>
              </w:rPr>
              <w:t>2</w:t>
            </w:r>
          </w:p>
        </w:tc>
        <w:tc>
          <w:tcPr>
            <w:tcW w:w="1310" w:type="dxa"/>
            <w:tcMar>
              <w:left w:w="108" w:type="dxa"/>
              <w:right w:w="108" w:type="dxa"/>
            </w:tcMar>
            <w:vAlign w:val="center"/>
          </w:tcPr>
          <w:p w14:paraId="4E159D29">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57DC5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7" w:type="dxa"/>
            <w:vMerge w:val="continue"/>
            <w:tcMar>
              <w:left w:w="108" w:type="dxa"/>
              <w:right w:w="108" w:type="dxa"/>
            </w:tcMar>
            <w:vAlign w:val="center"/>
          </w:tcPr>
          <w:p w14:paraId="2C7BC840">
            <w:pPr>
              <w:spacing w:before="24" w:after="24" w:line="288" w:lineRule="auto"/>
              <w:jc w:val="center"/>
              <w:rPr>
                <w:rFonts w:ascii="Times New Roman" w:hAnsi="Times New Roman" w:cs="Times New Roman"/>
                <w:sz w:val="24"/>
              </w:rPr>
            </w:pPr>
          </w:p>
        </w:tc>
        <w:tc>
          <w:tcPr>
            <w:tcW w:w="678" w:type="dxa"/>
            <w:vMerge w:val="continue"/>
            <w:tcMar>
              <w:left w:w="108" w:type="dxa"/>
              <w:right w:w="108" w:type="dxa"/>
            </w:tcMar>
            <w:vAlign w:val="center"/>
          </w:tcPr>
          <w:p w14:paraId="23BE11D3">
            <w:pPr>
              <w:spacing w:before="24" w:after="24" w:line="288" w:lineRule="auto"/>
              <w:jc w:val="center"/>
              <w:rPr>
                <w:rFonts w:ascii="Times New Roman" w:hAnsi="Times New Roman" w:cs="Times New Roman"/>
                <w:sz w:val="24"/>
              </w:rPr>
            </w:pPr>
          </w:p>
        </w:tc>
        <w:tc>
          <w:tcPr>
            <w:tcW w:w="2079" w:type="dxa"/>
            <w:vMerge w:val="continue"/>
            <w:tcMar>
              <w:left w:w="108" w:type="dxa"/>
              <w:right w:w="108" w:type="dxa"/>
            </w:tcMar>
            <w:vAlign w:val="center"/>
          </w:tcPr>
          <w:p w14:paraId="4DBE8592">
            <w:pPr>
              <w:spacing w:before="24" w:after="24" w:line="288" w:lineRule="auto"/>
              <w:jc w:val="center"/>
              <w:rPr>
                <w:rFonts w:ascii="Times New Roman" w:hAnsi="Times New Roman" w:cs="Times New Roman"/>
                <w:sz w:val="24"/>
              </w:rPr>
            </w:pPr>
          </w:p>
        </w:tc>
        <w:tc>
          <w:tcPr>
            <w:tcW w:w="2330" w:type="dxa"/>
            <w:tcMar>
              <w:left w:w="108" w:type="dxa"/>
              <w:right w:w="108" w:type="dxa"/>
            </w:tcMar>
            <w:vAlign w:val="center"/>
          </w:tcPr>
          <w:p w14:paraId="21171B8A">
            <w:pPr>
              <w:spacing w:before="24" w:after="24" w:line="288" w:lineRule="auto"/>
              <w:jc w:val="center"/>
              <w:rPr>
                <w:rFonts w:ascii="Times New Roman" w:hAnsi="Times New Roman" w:cs="Times New Roman"/>
                <w:sz w:val="24"/>
              </w:rPr>
            </w:pPr>
            <w:r>
              <w:rPr>
                <w:rFonts w:ascii="Times New Roman" w:hAnsi="Times New Roman" w:cs="Times New Roman"/>
                <w:sz w:val="24"/>
              </w:rPr>
              <w:t>25000＜V≤50000</w:t>
            </w:r>
          </w:p>
        </w:tc>
        <w:tc>
          <w:tcPr>
            <w:tcW w:w="1264" w:type="dxa"/>
            <w:tcMar>
              <w:left w:w="108" w:type="dxa"/>
              <w:right w:w="108" w:type="dxa"/>
            </w:tcMar>
            <w:vAlign w:val="center"/>
          </w:tcPr>
          <w:p w14:paraId="0E884D62">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c>
          <w:tcPr>
            <w:tcW w:w="1212" w:type="dxa"/>
            <w:tcMar>
              <w:left w:w="108" w:type="dxa"/>
              <w:right w:w="108" w:type="dxa"/>
            </w:tcMar>
            <w:vAlign w:val="center"/>
          </w:tcPr>
          <w:p w14:paraId="1E0D70AF">
            <w:pPr>
              <w:spacing w:before="24" w:after="24" w:line="288" w:lineRule="auto"/>
              <w:jc w:val="center"/>
              <w:rPr>
                <w:rFonts w:ascii="Times New Roman" w:hAnsi="Times New Roman" w:cs="Times New Roman"/>
                <w:sz w:val="24"/>
              </w:rPr>
            </w:pPr>
            <w:r>
              <w:rPr>
                <w:rFonts w:ascii="Times New Roman" w:hAnsi="Times New Roman" w:cs="Times New Roman"/>
                <w:sz w:val="24"/>
              </w:rPr>
              <w:t>3</w:t>
            </w:r>
          </w:p>
        </w:tc>
        <w:tc>
          <w:tcPr>
            <w:tcW w:w="1310" w:type="dxa"/>
            <w:tcMar>
              <w:left w:w="108" w:type="dxa"/>
              <w:right w:w="108" w:type="dxa"/>
            </w:tcMar>
            <w:vAlign w:val="center"/>
          </w:tcPr>
          <w:p w14:paraId="04A8B960">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60D41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7" w:type="dxa"/>
            <w:vMerge w:val="continue"/>
            <w:tcMar>
              <w:left w:w="108" w:type="dxa"/>
              <w:right w:w="108" w:type="dxa"/>
            </w:tcMar>
            <w:vAlign w:val="center"/>
          </w:tcPr>
          <w:p w14:paraId="3BD5CFC1">
            <w:pPr>
              <w:spacing w:before="24" w:after="24" w:line="288" w:lineRule="auto"/>
              <w:jc w:val="center"/>
              <w:rPr>
                <w:rFonts w:ascii="Times New Roman" w:hAnsi="Times New Roman" w:cs="Times New Roman"/>
                <w:sz w:val="24"/>
              </w:rPr>
            </w:pPr>
          </w:p>
        </w:tc>
        <w:tc>
          <w:tcPr>
            <w:tcW w:w="678" w:type="dxa"/>
            <w:vMerge w:val="continue"/>
            <w:tcMar>
              <w:left w:w="108" w:type="dxa"/>
              <w:right w:w="108" w:type="dxa"/>
            </w:tcMar>
            <w:vAlign w:val="center"/>
          </w:tcPr>
          <w:p w14:paraId="148FE181">
            <w:pPr>
              <w:spacing w:before="24" w:after="24" w:line="288" w:lineRule="auto"/>
              <w:jc w:val="center"/>
              <w:rPr>
                <w:rFonts w:ascii="Times New Roman" w:hAnsi="Times New Roman" w:cs="Times New Roman"/>
                <w:sz w:val="24"/>
              </w:rPr>
            </w:pPr>
          </w:p>
        </w:tc>
        <w:tc>
          <w:tcPr>
            <w:tcW w:w="2079" w:type="dxa"/>
            <w:vMerge w:val="continue"/>
            <w:tcMar>
              <w:left w:w="108" w:type="dxa"/>
              <w:right w:w="108" w:type="dxa"/>
            </w:tcMar>
            <w:vAlign w:val="center"/>
          </w:tcPr>
          <w:p w14:paraId="6ECAC2CA">
            <w:pPr>
              <w:spacing w:before="24" w:after="24" w:line="288" w:lineRule="auto"/>
              <w:jc w:val="center"/>
              <w:rPr>
                <w:rFonts w:ascii="Times New Roman" w:hAnsi="Times New Roman" w:cs="Times New Roman"/>
                <w:sz w:val="24"/>
              </w:rPr>
            </w:pPr>
          </w:p>
        </w:tc>
        <w:tc>
          <w:tcPr>
            <w:tcW w:w="2330" w:type="dxa"/>
            <w:tcMar>
              <w:left w:w="108" w:type="dxa"/>
              <w:right w:w="108" w:type="dxa"/>
            </w:tcMar>
            <w:vAlign w:val="center"/>
          </w:tcPr>
          <w:p w14:paraId="739FB0AC">
            <w:pPr>
              <w:spacing w:before="24" w:after="24" w:line="288" w:lineRule="auto"/>
              <w:jc w:val="center"/>
              <w:rPr>
                <w:rFonts w:ascii="Times New Roman" w:hAnsi="Times New Roman" w:cs="Times New Roman"/>
                <w:sz w:val="24"/>
              </w:rPr>
            </w:pPr>
            <w:r>
              <w:rPr>
                <w:rFonts w:ascii="Times New Roman" w:hAnsi="Times New Roman" w:cs="Times New Roman"/>
                <w:sz w:val="24"/>
              </w:rPr>
              <w:t>V＞50000</w:t>
            </w:r>
          </w:p>
        </w:tc>
        <w:tc>
          <w:tcPr>
            <w:tcW w:w="1264" w:type="dxa"/>
            <w:tcMar>
              <w:left w:w="108" w:type="dxa"/>
              <w:right w:w="108" w:type="dxa"/>
            </w:tcMar>
            <w:vAlign w:val="center"/>
          </w:tcPr>
          <w:p w14:paraId="5049A8E6">
            <w:pPr>
              <w:spacing w:before="24" w:after="24" w:line="288" w:lineRule="auto"/>
              <w:jc w:val="center"/>
              <w:rPr>
                <w:rFonts w:ascii="Times New Roman" w:hAnsi="Times New Roman" w:cs="Times New Roman"/>
                <w:sz w:val="24"/>
              </w:rPr>
            </w:pPr>
            <w:r>
              <w:rPr>
                <w:rFonts w:ascii="Times New Roman" w:hAnsi="Times New Roman" w:cs="Times New Roman"/>
                <w:sz w:val="24"/>
              </w:rPr>
              <w:t>20</w:t>
            </w:r>
          </w:p>
        </w:tc>
        <w:tc>
          <w:tcPr>
            <w:tcW w:w="1212" w:type="dxa"/>
            <w:tcMar>
              <w:left w:w="108" w:type="dxa"/>
              <w:right w:w="108" w:type="dxa"/>
            </w:tcMar>
            <w:vAlign w:val="center"/>
          </w:tcPr>
          <w:p w14:paraId="34E1677B">
            <w:pPr>
              <w:spacing w:before="24" w:after="24" w:line="288" w:lineRule="auto"/>
              <w:jc w:val="center"/>
              <w:rPr>
                <w:rFonts w:ascii="Times New Roman" w:hAnsi="Times New Roman" w:cs="Times New Roman"/>
                <w:sz w:val="24"/>
              </w:rPr>
            </w:pPr>
            <w:r>
              <w:rPr>
                <w:rFonts w:ascii="Times New Roman" w:hAnsi="Times New Roman" w:cs="Times New Roman"/>
                <w:sz w:val="24"/>
              </w:rPr>
              <w:t>4</w:t>
            </w:r>
          </w:p>
        </w:tc>
        <w:tc>
          <w:tcPr>
            <w:tcW w:w="1310" w:type="dxa"/>
            <w:tcMar>
              <w:left w:w="108" w:type="dxa"/>
              <w:right w:w="108" w:type="dxa"/>
            </w:tcMar>
            <w:vAlign w:val="center"/>
          </w:tcPr>
          <w:p w14:paraId="464BB10D">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r>
      <w:tr w14:paraId="05993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7" w:type="dxa"/>
            <w:vMerge w:val="continue"/>
            <w:tcMar>
              <w:left w:w="108" w:type="dxa"/>
              <w:right w:w="108" w:type="dxa"/>
            </w:tcMar>
            <w:vAlign w:val="center"/>
          </w:tcPr>
          <w:p w14:paraId="42B4C8B1">
            <w:pPr>
              <w:spacing w:before="24" w:after="24" w:line="288" w:lineRule="auto"/>
              <w:jc w:val="center"/>
              <w:rPr>
                <w:rFonts w:ascii="Times New Roman" w:hAnsi="Times New Roman" w:cs="Times New Roman"/>
                <w:sz w:val="24"/>
              </w:rPr>
            </w:pPr>
          </w:p>
        </w:tc>
        <w:tc>
          <w:tcPr>
            <w:tcW w:w="678" w:type="dxa"/>
            <w:vMerge w:val="continue"/>
            <w:tcMar>
              <w:left w:w="108" w:type="dxa"/>
              <w:right w:w="108" w:type="dxa"/>
            </w:tcMar>
            <w:vAlign w:val="center"/>
          </w:tcPr>
          <w:p w14:paraId="2C841687">
            <w:pPr>
              <w:spacing w:before="24" w:after="24" w:line="288" w:lineRule="auto"/>
              <w:jc w:val="center"/>
              <w:rPr>
                <w:rFonts w:ascii="Times New Roman" w:hAnsi="Times New Roman" w:cs="Times New Roman"/>
                <w:sz w:val="24"/>
              </w:rPr>
            </w:pPr>
          </w:p>
        </w:tc>
        <w:tc>
          <w:tcPr>
            <w:tcW w:w="2079" w:type="dxa"/>
            <w:vMerge w:val="restart"/>
            <w:tcMar>
              <w:left w:w="108" w:type="dxa"/>
              <w:right w:w="108" w:type="dxa"/>
            </w:tcMar>
            <w:vAlign w:val="center"/>
          </w:tcPr>
          <w:p w14:paraId="626105EB">
            <w:pPr>
              <w:spacing w:before="24" w:after="24" w:line="288" w:lineRule="auto"/>
              <w:jc w:val="center"/>
              <w:rPr>
                <w:rFonts w:ascii="Times New Roman" w:hAnsi="Times New Roman" w:cs="Times New Roman"/>
                <w:sz w:val="24"/>
              </w:rPr>
            </w:pPr>
            <w:r>
              <w:rPr>
                <w:rFonts w:ascii="Times New Roman" w:hAnsi="Times New Roman" w:cs="Times New Roman"/>
                <w:sz w:val="24"/>
              </w:rPr>
              <w:t>剧场、电影院、会堂、礼堂、体育馆等</w:t>
            </w:r>
          </w:p>
        </w:tc>
        <w:tc>
          <w:tcPr>
            <w:tcW w:w="2330" w:type="dxa"/>
            <w:tcMar>
              <w:left w:w="108" w:type="dxa"/>
              <w:right w:w="108" w:type="dxa"/>
            </w:tcMar>
            <w:vAlign w:val="center"/>
          </w:tcPr>
          <w:p w14:paraId="3F2CF026">
            <w:pPr>
              <w:spacing w:before="24" w:after="24" w:line="288" w:lineRule="auto"/>
              <w:jc w:val="center"/>
              <w:rPr>
                <w:rFonts w:ascii="Times New Roman" w:hAnsi="Times New Roman" w:cs="Times New Roman"/>
                <w:sz w:val="24"/>
              </w:rPr>
            </w:pPr>
            <w:r>
              <w:rPr>
                <w:rFonts w:ascii="Times New Roman" w:hAnsi="Times New Roman" w:cs="Times New Roman"/>
                <w:sz w:val="24"/>
              </w:rPr>
              <w:t>800＜n≤1200</w:t>
            </w:r>
          </w:p>
        </w:tc>
        <w:tc>
          <w:tcPr>
            <w:tcW w:w="1264" w:type="dxa"/>
            <w:tcMar>
              <w:left w:w="108" w:type="dxa"/>
              <w:right w:w="108" w:type="dxa"/>
            </w:tcMar>
            <w:vAlign w:val="center"/>
          </w:tcPr>
          <w:p w14:paraId="3A05AB3C">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c>
          <w:tcPr>
            <w:tcW w:w="1212" w:type="dxa"/>
            <w:tcMar>
              <w:left w:w="108" w:type="dxa"/>
              <w:right w:w="108" w:type="dxa"/>
            </w:tcMar>
            <w:vAlign w:val="center"/>
          </w:tcPr>
          <w:p w14:paraId="0686F6F0">
            <w:pPr>
              <w:spacing w:before="24" w:after="24" w:line="288" w:lineRule="auto"/>
              <w:jc w:val="center"/>
              <w:rPr>
                <w:rFonts w:ascii="Times New Roman" w:hAnsi="Times New Roman" w:cs="Times New Roman"/>
                <w:sz w:val="24"/>
              </w:rPr>
            </w:pPr>
            <w:r>
              <w:rPr>
                <w:rFonts w:ascii="Times New Roman" w:hAnsi="Times New Roman" w:cs="Times New Roman"/>
                <w:sz w:val="24"/>
              </w:rPr>
              <w:t>2</w:t>
            </w:r>
          </w:p>
        </w:tc>
        <w:tc>
          <w:tcPr>
            <w:tcW w:w="1310" w:type="dxa"/>
            <w:tcMar>
              <w:left w:w="108" w:type="dxa"/>
              <w:right w:w="108" w:type="dxa"/>
            </w:tcMar>
            <w:vAlign w:val="center"/>
          </w:tcPr>
          <w:p w14:paraId="02BC1C60">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080A0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97" w:type="dxa"/>
            <w:vMerge w:val="continue"/>
            <w:tcMar>
              <w:left w:w="108" w:type="dxa"/>
              <w:right w:w="108" w:type="dxa"/>
            </w:tcMar>
            <w:vAlign w:val="center"/>
          </w:tcPr>
          <w:p w14:paraId="6109A598">
            <w:pPr>
              <w:spacing w:before="24" w:after="24" w:line="288" w:lineRule="auto"/>
              <w:jc w:val="center"/>
              <w:rPr>
                <w:rFonts w:ascii="Times New Roman" w:hAnsi="Times New Roman" w:cs="Times New Roman"/>
                <w:sz w:val="24"/>
              </w:rPr>
            </w:pPr>
          </w:p>
        </w:tc>
        <w:tc>
          <w:tcPr>
            <w:tcW w:w="678" w:type="dxa"/>
            <w:vMerge w:val="continue"/>
            <w:tcMar>
              <w:left w:w="108" w:type="dxa"/>
              <w:right w:w="108" w:type="dxa"/>
            </w:tcMar>
            <w:vAlign w:val="center"/>
          </w:tcPr>
          <w:p w14:paraId="4A22B33E">
            <w:pPr>
              <w:spacing w:before="24" w:after="24" w:line="288" w:lineRule="auto"/>
              <w:jc w:val="center"/>
              <w:rPr>
                <w:rFonts w:ascii="Times New Roman" w:hAnsi="Times New Roman" w:cs="Times New Roman"/>
                <w:sz w:val="24"/>
              </w:rPr>
            </w:pPr>
          </w:p>
        </w:tc>
        <w:tc>
          <w:tcPr>
            <w:tcW w:w="2079" w:type="dxa"/>
            <w:vMerge w:val="continue"/>
            <w:tcMar>
              <w:left w:w="108" w:type="dxa"/>
              <w:right w:w="108" w:type="dxa"/>
            </w:tcMar>
            <w:vAlign w:val="center"/>
          </w:tcPr>
          <w:p w14:paraId="304325D2">
            <w:pPr>
              <w:spacing w:before="24" w:after="24" w:line="288" w:lineRule="auto"/>
              <w:jc w:val="center"/>
              <w:rPr>
                <w:rFonts w:ascii="Times New Roman" w:hAnsi="Times New Roman" w:cs="Times New Roman"/>
                <w:sz w:val="24"/>
              </w:rPr>
            </w:pPr>
          </w:p>
        </w:tc>
        <w:tc>
          <w:tcPr>
            <w:tcW w:w="2330" w:type="dxa"/>
            <w:tcMar>
              <w:left w:w="108" w:type="dxa"/>
              <w:right w:w="108" w:type="dxa"/>
            </w:tcMar>
            <w:vAlign w:val="center"/>
          </w:tcPr>
          <w:p w14:paraId="1B0EAA08">
            <w:pPr>
              <w:spacing w:before="24" w:after="24" w:line="288" w:lineRule="auto"/>
              <w:jc w:val="center"/>
              <w:rPr>
                <w:rFonts w:ascii="Times New Roman" w:hAnsi="Times New Roman" w:cs="Times New Roman"/>
                <w:sz w:val="24"/>
              </w:rPr>
            </w:pPr>
            <w:r>
              <w:rPr>
                <w:rFonts w:ascii="Times New Roman" w:hAnsi="Times New Roman" w:cs="Times New Roman"/>
                <w:sz w:val="24"/>
              </w:rPr>
              <w:t>1200＜n≤5000</w:t>
            </w:r>
          </w:p>
        </w:tc>
        <w:tc>
          <w:tcPr>
            <w:tcW w:w="1264" w:type="dxa"/>
            <w:tcMar>
              <w:left w:w="108" w:type="dxa"/>
              <w:right w:w="108" w:type="dxa"/>
            </w:tcMar>
            <w:vAlign w:val="center"/>
          </w:tcPr>
          <w:p w14:paraId="1C9DA5FD">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c>
          <w:tcPr>
            <w:tcW w:w="1212" w:type="dxa"/>
            <w:tcMar>
              <w:left w:w="108" w:type="dxa"/>
              <w:right w:w="108" w:type="dxa"/>
            </w:tcMar>
            <w:vAlign w:val="center"/>
          </w:tcPr>
          <w:p w14:paraId="66F58D69">
            <w:pPr>
              <w:spacing w:before="24" w:after="24" w:line="288" w:lineRule="auto"/>
              <w:jc w:val="center"/>
              <w:rPr>
                <w:rFonts w:ascii="Times New Roman" w:hAnsi="Times New Roman" w:cs="Times New Roman"/>
                <w:sz w:val="24"/>
              </w:rPr>
            </w:pPr>
            <w:r>
              <w:rPr>
                <w:rFonts w:ascii="Times New Roman" w:hAnsi="Times New Roman" w:cs="Times New Roman"/>
                <w:sz w:val="24"/>
              </w:rPr>
              <w:t>3</w:t>
            </w:r>
          </w:p>
        </w:tc>
        <w:tc>
          <w:tcPr>
            <w:tcW w:w="1310" w:type="dxa"/>
            <w:tcMar>
              <w:left w:w="108" w:type="dxa"/>
              <w:right w:w="108" w:type="dxa"/>
            </w:tcMar>
            <w:vAlign w:val="center"/>
          </w:tcPr>
          <w:p w14:paraId="753EDF51">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064FF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7" w:type="dxa"/>
            <w:vMerge w:val="continue"/>
            <w:tcMar>
              <w:left w:w="108" w:type="dxa"/>
              <w:right w:w="108" w:type="dxa"/>
            </w:tcMar>
            <w:vAlign w:val="center"/>
          </w:tcPr>
          <w:p w14:paraId="04EF48E7">
            <w:pPr>
              <w:spacing w:before="24" w:after="24" w:line="288" w:lineRule="auto"/>
              <w:jc w:val="center"/>
              <w:rPr>
                <w:rFonts w:ascii="Times New Roman" w:hAnsi="Times New Roman" w:cs="Times New Roman"/>
                <w:sz w:val="24"/>
              </w:rPr>
            </w:pPr>
          </w:p>
        </w:tc>
        <w:tc>
          <w:tcPr>
            <w:tcW w:w="678" w:type="dxa"/>
            <w:vMerge w:val="continue"/>
            <w:tcMar>
              <w:left w:w="108" w:type="dxa"/>
              <w:right w:w="108" w:type="dxa"/>
            </w:tcMar>
            <w:vAlign w:val="center"/>
          </w:tcPr>
          <w:p w14:paraId="6ACC72B9">
            <w:pPr>
              <w:spacing w:before="24" w:after="24" w:line="288" w:lineRule="auto"/>
              <w:jc w:val="center"/>
              <w:rPr>
                <w:rFonts w:ascii="Times New Roman" w:hAnsi="Times New Roman" w:cs="Times New Roman"/>
                <w:sz w:val="24"/>
              </w:rPr>
            </w:pPr>
          </w:p>
        </w:tc>
        <w:tc>
          <w:tcPr>
            <w:tcW w:w="2079" w:type="dxa"/>
            <w:vMerge w:val="continue"/>
            <w:tcMar>
              <w:left w:w="108" w:type="dxa"/>
              <w:right w:w="108" w:type="dxa"/>
            </w:tcMar>
            <w:vAlign w:val="center"/>
          </w:tcPr>
          <w:p w14:paraId="405A14E0">
            <w:pPr>
              <w:spacing w:before="24" w:after="24" w:line="288" w:lineRule="auto"/>
              <w:jc w:val="center"/>
              <w:rPr>
                <w:rFonts w:ascii="Times New Roman" w:hAnsi="Times New Roman" w:cs="Times New Roman"/>
                <w:sz w:val="24"/>
              </w:rPr>
            </w:pPr>
          </w:p>
        </w:tc>
        <w:tc>
          <w:tcPr>
            <w:tcW w:w="2330" w:type="dxa"/>
            <w:tcMar>
              <w:left w:w="108" w:type="dxa"/>
              <w:right w:w="108" w:type="dxa"/>
            </w:tcMar>
            <w:vAlign w:val="center"/>
          </w:tcPr>
          <w:p w14:paraId="5ADF9DFB">
            <w:pPr>
              <w:spacing w:before="24" w:after="24" w:line="288" w:lineRule="auto"/>
              <w:jc w:val="center"/>
              <w:rPr>
                <w:rFonts w:ascii="Times New Roman" w:hAnsi="Times New Roman" w:cs="Times New Roman"/>
                <w:sz w:val="24"/>
              </w:rPr>
            </w:pPr>
            <w:r>
              <w:rPr>
                <w:rFonts w:ascii="Times New Roman" w:hAnsi="Times New Roman" w:cs="Times New Roman"/>
                <w:sz w:val="24"/>
              </w:rPr>
              <w:t>5000＜n≤10000</w:t>
            </w:r>
          </w:p>
        </w:tc>
        <w:tc>
          <w:tcPr>
            <w:tcW w:w="1264" w:type="dxa"/>
            <w:tcMar>
              <w:left w:w="108" w:type="dxa"/>
              <w:right w:w="108" w:type="dxa"/>
            </w:tcMar>
            <w:vAlign w:val="center"/>
          </w:tcPr>
          <w:p w14:paraId="4FBC8066">
            <w:pPr>
              <w:spacing w:before="24" w:after="24" w:line="288" w:lineRule="auto"/>
              <w:jc w:val="center"/>
              <w:rPr>
                <w:rFonts w:ascii="Times New Roman" w:hAnsi="Times New Roman" w:cs="Times New Roman"/>
                <w:sz w:val="24"/>
              </w:rPr>
            </w:pPr>
            <w:r>
              <w:rPr>
                <w:rFonts w:ascii="Times New Roman" w:hAnsi="Times New Roman" w:cs="Times New Roman"/>
                <w:sz w:val="24"/>
              </w:rPr>
              <w:t>20</w:t>
            </w:r>
          </w:p>
        </w:tc>
        <w:tc>
          <w:tcPr>
            <w:tcW w:w="1212" w:type="dxa"/>
            <w:tcMar>
              <w:left w:w="108" w:type="dxa"/>
              <w:right w:w="108" w:type="dxa"/>
            </w:tcMar>
            <w:vAlign w:val="center"/>
          </w:tcPr>
          <w:p w14:paraId="0D969735">
            <w:pPr>
              <w:spacing w:before="24" w:after="24" w:line="288" w:lineRule="auto"/>
              <w:jc w:val="center"/>
              <w:rPr>
                <w:rFonts w:ascii="Times New Roman" w:hAnsi="Times New Roman" w:cs="Times New Roman"/>
                <w:sz w:val="24"/>
              </w:rPr>
            </w:pPr>
            <w:r>
              <w:rPr>
                <w:rFonts w:ascii="Times New Roman" w:hAnsi="Times New Roman" w:cs="Times New Roman"/>
                <w:sz w:val="24"/>
              </w:rPr>
              <w:t>4</w:t>
            </w:r>
          </w:p>
        </w:tc>
        <w:tc>
          <w:tcPr>
            <w:tcW w:w="1310" w:type="dxa"/>
            <w:tcMar>
              <w:left w:w="108" w:type="dxa"/>
              <w:right w:w="108" w:type="dxa"/>
            </w:tcMar>
            <w:vAlign w:val="center"/>
          </w:tcPr>
          <w:p w14:paraId="65339109">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r>
      <w:tr w14:paraId="75E12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7" w:type="dxa"/>
            <w:vMerge w:val="continue"/>
            <w:tcMar>
              <w:left w:w="108" w:type="dxa"/>
              <w:right w:w="108" w:type="dxa"/>
            </w:tcMar>
            <w:vAlign w:val="center"/>
          </w:tcPr>
          <w:p w14:paraId="459F7271">
            <w:pPr>
              <w:spacing w:before="24" w:after="24" w:line="288" w:lineRule="auto"/>
              <w:jc w:val="center"/>
              <w:rPr>
                <w:rFonts w:ascii="Times New Roman" w:hAnsi="Times New Roman" w:cs="Times New Roman"/>
                <w:sz w:val="24"/>
              </w:rPr>
            </w:pPr>
          </w:p>
        </w:tc>
        <w:tc>
          <w:tcPr>
            <w:tcW w:w="678" w:type="dxa"/>
            <w:vMerge w:val="continue"/>
            <w:tcMar>
              <w:left w:w="108" w:type="dxa"/>
              <w:right w:w="108" w:type="dxa"/>
            </w:tcMar>
            <w:vAlign w:val="center"/>
          </w:tcPr>
          <w:p w14:paraId="10F63118">
            <w:pPr>
              <w:spacing w:before="24" w:after="24" w:line="288" w:lineRule="auto"/>
              <w:jc w:val="center"/>
              <w:rPr>
                <w:rFonts w:ascii="Times New Roman" w:hAnsi="Times New Roman" w:cs="Times New Roman"/>
                <w:sz w:val="24"/>
              </w:rPr>
            </w:pPr>
          </w:p>
        </w:tc>
        <w:tc>
          <w:tcPr>
            <w:tcW w:w="2079" w:type="dxa"/>
            <w:vMerge w:val="continue"/>
            <w:tcMar>
              <w:left w:w="108" w:type="dxa"/>
              <w:right w:w="108" w:type="dxa"/>
            </w:tcMar>
            <w:vAlign w:val="center"/>
          </w:tcPr>
          <w:p w14:paraId="4FC6299A">
            <w:pPr>
              <w:spacing w:before="24" w:after="24" w:line="288" w:lineRule="auto"/>
              <w:jc w:val="center"/>
              <w:rPr>
                <w:rFonts w:ascii="Times New Roman" w:hAnsi="Times New Roman" w:cs="Times New Roman"/>
                <w:sz w:val="24"/>
              </w:rPr>
            </w:pPr>
          </w:p>
        </w:tc>
        <w:tc>
          <w:tcPr>
            <w:tcW w:w="2330" w:type="dxa"/>
            <w:tcMar>
              <w:left w:w="108" w:type="dxa"/>
              <w:right w:w="108" w:type="dxa"/>
            </w:tcMar>
            <w:vAlign w:val="center"/>
          </w:tcPr>
          <w:p w14:paraId="0036E885">
            <w:pPr>
              <w:spacing w:before="24" w:after="24" w:line="288" w:lineRule="auto"/>
              <w:jc w:val="center"/>
              <w:rPr>
                <w:rFonts w:ascii="Times New Roman" w:hAnsi="Times New Roman" w:cs="Times New Roman"/>
                <w:sz w:val="24"/>
              </w:rPr>
            </w:pPr>
            <w:r>
              <w:rPr>
                <w:rFonts w:ascii="Times New Roman" w:hAnsi="Times New Roman" w:cs="Times New Roman"/>
                <w:sz w:val="24"/>
              </w:rPr>
              <w:t>n&gt;10000</w:t>
            </w:r>
          </w:p>
        </w:tc>
        <w:tc>
          <w:tcPr>
            <w:tcW w:w="1264" w:type="dxa"/>
            <w:tcMar>
              <w:left w:w="108" w:type="dxa"/>
              <w:right w:w="108" w:type="dxa"/>
            </w:tcMar>
            <w:vAlign w:val="center"/>
          </w:tcPr>
          <w:p w14:paraId="5582D530">
            <w:pPr>
              <w:spacing w:before="24" w:after="24" w:line="288" w:lineRule="auto"/>
              <w:jc w:val="center"/>
              <w:rPr>
                <w:rFonts w:ascii="Times New Roman" w:hAnsi="Times New Roman" w:cs="Times New Roman"/>
                <w:sz w:val="24"/>
              </w:rPr>
            </w:pPr>
            <w:r>
              <w:rPr>
                <w:rFonts w:ascii="Times New Roman" w:hAnsi="Times New Roman" w:cs="Times New Roman"/>
                <w:sz w:val="24"/>
              </w:rPr>
              <w:t>30</w:t>
            </w:r>
          </w:p>
        </w:tc>
        <w:tc>
          <w:tcPr>
            <w:tcW w:w="1212" w:type="dxa"/>
            <w:tcMar>
              <w:left w:w="108" w:type="dxa"/>
              <w:right w:w="108" w:type="dxa"/>
            </w:tcMar>
            <w:vAlign w:val="center"/>
          </w:tcPr>
          <w:p w14:paraId="173965FD">
            <w:pPr>
              <w:spacing w:before="24" w:after="24" w:line="288" w:lineRule="auto"/>
              <w:jc w:val="center"/>
              <w:rPr>
                <w:rFonts w:ascii="Times New Roman" w:hAnsi="Times New Roman" w:cs="Times New Roman"/>
                <w:sz w:val="24"/>
              </w:rPr>
            </w:pPr>
            <w:r>
              <w:rPr>
                <w:rFonts w:ascii="Times New Roman" w:hAnsi="Times New Roman" w:cs="Times New Roman"/>
                <w:sz w:val="24"/>
              </w:rPr>
              <w:t>6</w:t>
            </w:r>
          </w:p>
        </w:tc>
        <w:tc>
          <w:tcPr>
            <w:tcW w:w="1310" w:type="dxa"/>
            <w:tcMar>
              <w:left w:w="108" w:type="dxa"/>
              <w:right w:w="108" w:type="dxa"/>
            </w:tcMar>
            <w:vAlign w:val="center"/>
          </w:tcPr>
          <w:p w14:paraId="100A4AB8">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r>
      <w:tr w14:paraId="78203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97" w:type="dxa"/>
            <w:vMerge w:val="continue"/>
            <w:tcMar>
              <w:left w:w="108" w:type="dxa"/>
              <w:right w:w="108" w:type="dxa"/>
            </w:tcMar>
            <w:vAlign w:val="center"/>
          </w:tcPr>
          <w:p w14:paraId="592DEAF6">
            <w:pPr>
              <w:spacing w:before="24" w:after="24" w:line="288" w:lineRule="auto"/>
              <w:jc w:val="center"/>
              <w:rPr>
                <w:rFonts w:ascii="Times New Roman" w:hAnsi="Times New Roman" w:cs="Times New Roman"/>
                <w:sz w:val="24"/>
              </w:rPr>
            </w:pPr>
          </w:p>
        </w:tc>
        <w:tc>
          <w:tcPr>
            <w:tcW w:w="678" w:type="dxa"/>
            <w:vMerge w:val="continue"/>
            <w:tcMar>
              <w:left w:w="108" w:type="dxa"/>
              <w:right w:w="108" w:type="dxa"/>
            </w:tcMar>
            <w:vAlign w:val="center"/>
          </w:tcPr>
          <w:p w14:paraId="519BC199">
            <w:pPr>
              <w:spacing w:before="24" w:after="24" w:line="288" w:lineRule="auto"/>
              <w:jc w:val="center"/>
              <w:rPr>
                <w:rFonts w:ascii="Times New Roman" w:hAnsi="Times New Roman" w:cs="Times New Roman"/>
                <w:sz w:val="24"/>
              </w:rPr>
            </w:pPr>
          </w:p>
        </w:tc>
        <w:tc>
          <w:tcPr>
            <w:tcW w:w="2079" w:type="dxa"/>
            <w:vMerge w:val="restart"/>
            <w:tcMar>
              <w:left w:w="108" w:type="dxa"/>
              <w:right w:w="108" w:type="dxa"/>
            </w:tcMar>
            <w:vAlign w:val="center"/>
          </w:tcPr>
          <w:p w14:paraId="5F5EE971">
            <w:pPr>
              <w:spacing w:before="24" w:after="24" w:line="288" w:lineRule="auto"/>
              <w:jc w:val="center"/>
              <w:rPr>
                <w:rFonts w:ascii="Times New Roman" w:hAnsi="Times New Roman" w:cs="Times New Roman"/>
                <w:sz w:val="24"/>
              </w:rPr>
            </w:pPr>
            <w:r>
              <w:rPr>
                <w:rFonts w:ascii="Times New Roman" w:hAnsi="Times New Roman" w:cs="Times New Roman"/>
                <w:sz w:val="24"/>
              </w:rPr>
              <w:t>旅馆</w:t>
            </w:r>
          </w:p>
        </w:tc>
        <w:tc>
          <w:tcPr>
            <w:tcW w:w="2330" w:type="dxa"/>
            <w:tcMar>
              <w:left w:w="108" w:type="dxa"/>
              <w:right w:w="108" w:type="dxa"/>
            </w:tcMar>
            <w:vAlign w:val="center"/>
          </w:tcPr>
          <w:p w14:paraId="572E6C3E">
            <w:pPr>
              <w:spacing w:before="24" w:after="24" w:line="288" w:lineRule="auto"/>
              <w:jc w:val="center"/>
              <w:rPr>
                <w:rFonts w:ascii="Times New Roman" w:hAnsi="Times New Roman" w:cs="Times New Roman"/>
                <w:sz w:val="24"/>
              </w:rPr>
            </w:pPr>
            <w:r>
              <w:rPr>
                <w:rFonts w:ascii="Times New Roman" w:hAnsi="Times New Roman" w:cs="Times New Roman"/>
                <w:sz w:val="24"/>
              </w:rPr>
              <w:t>5000＜V≤10000</w:t>
            </w:r>
          </w:p>
        </w:tc>
        <w:tc>
          <w:tcPr>
            <w:tcW w:w="1264" w:type="dxa"/>
            <w:tcMar>
              <w:left w:w="108" w:type="dxa"/>
              <w:right w:w="108" w:type="dxa"/>
            </w:tcMar>
            <w:vAlign w:val="center"/>
          </w:tcPr>
          <w:p w14:paraId="2AFB5859">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c>
          <w:tcPr>
            <w:tcW w:w="1212" w:type="dxa"/>
            <w:tcMar>
              <w:left w:w="108" w:type="dxa"/>
              <w:right w:w="108" w:type="dxa"/>
            </w:tcMar>
            <w:vAlign w:val="center"/>
          </w:tcPr>
          <w:p w14:paraId="07790F4C">
            <w:pPr>
              <w:spacing w:before="24" w:after="24" w:line="288" w:lineRule="auto"/>
              <w:jc w:val="center"/>
              <w:rPr>
                <w:rFonts w:ascii="Times New Roman" w:hAnsi="Times New Roman" w:cs="Times New Roman"/>
                <w:sz w:val="24"/>
              </w:rPr>
            </w:pPr>
            <w:r>
              <w:rPr>
                <w:rFonts w:ascii="Times New Roman" w:hAnsi="Times New Roman" w:cs="Times New Roman"/>
                <w:sz w:val="24"/>
              </w:rPr>
              <w:t>2</w:t>
            </w:r>
          </w:p>
        </w:tc>
        <w:tc>
          <w:tcPr>
            <w:tcW w:w="1310" w:type="dxa"/>
            <w:tcMar>
              <w:left w:w="108" w:type="dxa"/>
              <w:right w:w="108" w:type="dxa"/>
            </w:tcMar>
            <w:vAlign w:val="center"/>
          </w:tcPr>
          <w:p w14:paraId="4A4C9C98">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65FF1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7" w:type="dxa"/>
            <w:vMerge w:val="continue"/>
            <w:tcMar>
              <w:left w:w="108" w:type="dxa"/>
              <w:right w:w="108" w:type="dxa"/>
            </w:tcMar>
            <w:vAlign w:val="center"/>
          </w:tcPr>
          <w:p w14:paraId="08396125">
            <w:pPr>
              <w:spacing w:before="24" w:after="24" w:line="288" w:lineRule="auto"/>
              <w:jc w:val="center"/>
              <w:rPr>
                <w:rFonts w:ascii="Times New Roman" w:hAnsi="Times New Roman" w:cs="Times New Roman"/>
                <w:sz w:val="24"/>
              </w:rPr>
            </w:pPr>
          </w:p>
        </w:tc>
        <w:tc>
          <w:tcPr>
            <w:tcW w:w="678" w:type="dxa"/>
            <w:vMerge w:val="continue"/>
            <w:tcMar>
              <w:left w:w="108" w:type="dxa"/>
              <w:right w:w="108" w:type="dxa"/>
            </w:tcMar>
            <w:vAlign w:val="center"/>
          </w:tcPr>
          <w:p w14:paraId="1C50801E">
            <w:pPr>
              <w:spacing w:before="24" w:after="24" w:line="288" w:lineRule="auto"/>
              <w:jc w:val="center"/>
              <w:rPr>
                <w:rFonts w:ascii="Times New Roman" w:hAnsi="Times New Roman" w:cs="Times New Roman"/>
                <w:sz w:val="24"/>
              </w:rPr>
            </w:pPr>
          </w:p>
        </w:tc>
        <w:tc>
          <w:tcPr>
            <w:tcW w:w="2079" w:type="dxa"/>
            <w:vMerge w:val="continue"/>
            <w:tcMar>
              <w:left w:w="108" w:type="dxa"/>
              <w:right w:w="108" w:type="dxa"/>
            </w:tcMar>
            <w:vAlign w:val="center"/>
          </w:tcPr>
          <w:p w14:paraId="574FB0CD">
            <w:pPr>
              <w:spacing w:before="24" w:after="24" w:line="288" w:lineRule="auto"/>
              <w:jc w:val="center"/>
              <w:rPr>
                <w:rFonts w:ascii="Times New Roman" w:hAnsi="Times New Roman" w:cs="Times New Roman"/>
                <w:sz w:val="24"/>
              </w:rPr>
            </w:pPr>
          </w:p>
        </w:tc>
        <w:tc>
          <w:tcPr>
            <w:tcW w:w="2330" w:type="dxa"/>
            <w:tcMar>
              <w:left w:w="108" w:type="dxa"/>
              <w:right w:w="108" w:type="dxa"/>
            </w:tcMar>
            <w:vAlign w:val="center"/>
          </w:tcPr>
          <w:p w14:paraId="273E8144">
            <w:pPr>
              <w:spacing w:before="24" w:after="24" w:line="288" w:lineRule="auto"/>
              <w:jc w:val="center"/>
              <w:rPr>
                <w:rFonts w:ascii="Times New Roman" w:hAnsi="Times New Roman" w:cs="Times New Roman"/>
                <w:sz w:val="24"/>
              </w:rPr>
            </w:pPr>
            <w:r>
              <w:rPr>
                <w:rFonts w:ascii="Times New Roman" w:hAnsi="Times New Roman" w:cs="Times New Roman"/>
                <w:sz w:val="24"/>
              </w:rPr>
              <w:t>10000＜V≤25000</w:t>
            </w:r>
          </w:p>
        </w:tc>
        <w:tc>
          <w:tcPr>
            <w:tcW w:w="1264" w:type="dxa"/>
            <w:tcMar>
              <w:left w:w="108" w:type="dxa"/>
              <w:right w:w="108" w:type="dxa"/>
            </w:tcMar>
            <w:vAlign w:val="center"/>
          </w:tcPr>
          <w:p w14:paraId="23F1CA8C">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c>
          <w:tcPr>
            <w:tcW w:w="1212" w:type="dxa"/>
            <w:tcMar>
              <w:left w:w="108" w:type="dxa"/>
              <w:right w:w="108" w:type="dxa"/>
            </w:tcMar>
            <w:vAlign w:val="center"/>
          </w:tcPr>
          <w:p w14:paraId="0DF42338">
            <w:pPr>
              <w:spacing w:before="24" w:after="24" w:line="288" w:lineRule="auto"/>
              <w:jc w:val="center"/>
              <w:rPr>
                <w:rFonts w:ascii="Times New Roman" w:hAnsi="Times New Roman" w:cs="Times New Roman"/>
                <w:sz w:val="24"/>
              </w:rPr>
            </w:pPr>
            <w:r>
              <w:rPr>
                <w:rFonts w:ascii="Times New Roman" w:hAnsi="Times New Roman" w:cs="Times New Roman"/>
                <w:sz w:val="24"/>
              </w:rPr>
              <w:t>3</w:t>
            </w:r>
          </w:p>
        </w:tc>
        <w:tc>
          <w:tcPr>
            <w:tcW w:w="1310" w:type="dxa"/>
            <w:tcMar>
              <w:left w:w="108" w:type="dxa"/>
              <w:right w:w="108" w:type="dxa"/>
            </w:tcMar>
            <w:vAlign w:val="center"/>
          </w:tcPr>
          <w:p w14:paraId="69F7E452">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7CD1E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7" w:type="dxa"/>
            <w:vMerge w:val="continue"/>
            <w:tcMar>
              <w:left w:w="108" w:type="dxa"/>
              <w:right w:w="108" w:type="dxa"/>
            </w:tcMar>
            <w:vAlign w:val="center"/>
          </w:tcPr>
          <w:p w14:paraId="06B5B061">
            <w:pPr>
              <w:spacing w:before="24" w:after="24" w:line="288" w:lineRule="auto"/>
              <w:jc w:val="center"/>
              <w:rPr>
                <w:rFonts w:ascii="Times New Roman" w:hAnsi="Times New Roman" w:cs="Times New Roman"/>
                <w:sz w:val="24"/>
              </w:rPr>
            </w:pPr>
          </w:p>
        </w:tc>
        <w:tc>
          <w:tcPr>
            <w:tcW w:w="678" w:type="dxa"/>
            <w:vMerge w:val="continue"/>
            <w:tcMar>
              <w:left w:w="108" w:type="dxa"/>
              <w:right w:w="108" w:type="dxa"/>
            </w:tcMar>
            <w:vAlign w:val="center"/>
          </w:tcPr>
          <w:p w14:paraId="033C3FE6">
            <w:pPr>
              <w:spacing w:before="24" w:after="24" w:line="288" w:lineRule="auto"/>
              <w:jc w:val="center"/>
              <w:rPr>
                <w:rFonts w:ascii="Times New Roman" w:hAnsi="Times New Roman" w:cs="Times New Roman"/>
                <w:sz w:val="24"/>
              </w:rPr>
            </w:pPr>
          </w:p>
        </w:tc>
        <w:tc>
          <w:tcPr>
            <w:tcW w:w="2079" w:type="dxa"/>
            <w:vMerge w:val="continue"/>
            <w:tcMar>
              <w:left w:w="108" w:type="dxa"/>
              <w:right w:w="108" w:type="dxa"/>
            </w:tcMar>
            <w:vAlign w:val="center"/>
          </w:tcPr>
          <w:p w14:paraId="396C190C">
            <w:pPr>
              <w:spacing w:before="24" w:after="24" w:line="288" w:lineRule="auto"/>
              <w:jc w:val="center"/>
              <w:rPr>
                <w:rFonts w:ascii="Times New Roman" w:hAnsi="Times New Roman" w:cs="Times New Roman"/>
                <w:sz w:val="24"/>
              </w:rPr>
            </w:pPr>
          </w:p>
        </w:tc>
        <w:tc>
          <w:tcPr>
            <w:tcW w:w="2330" w:type="dxa"/>
            <w:tcMar>
              <w:left w:w="108" w:type="dxa"/>
              <w:right w:w="108" w:type="dxa"/>
            </w:tcMar>
            <w:vAlign w:val="center"/>
          </w:tcPr>
          <w:p w14:paraId="0309A793">
            <w:pPr>
              <w:spacing w:before="24" w:after="24" w:line="288" w:lineRule="auto"/>
              <w:jc w:val="center"/>
              <w:rPr>
                <w:rFonts w:ascii="Times New Roman" w:hAnsi="Times New Roman" w:cs="Times New Roman"/>
                <w:sz w:val="24"/>
              </w:rPr>
            </w:pPr>
            <w:r>
              <w:rPr>
                <w:rFonts w:ascii="Times New Roman" w:hAnsi="Times New Roman" w:cs="Times New Roman"/>
                <w:sz w:val="24"/>
              </w:rPr>
              <w:t>V&gt;25000</w:t>
            </w:r>
          </w:p>
        </w:tc>
        <w:tc>
          <w:tcPr>
            <w:tcW w:w="1264" w:type="dxa"/>
            <w:tcMar>
              <w:left w:w="108" w:type="dxa"/>
              <w:right w:w="108" w:type="dxa"/>
            </w:tcMar>
            <w:vAlign w:val="center"/>
          </w:tcPr>
          <w:p w14:paraId="246E5E16">
            <w:pPr>
              <w:spacing w:before="24" w:after="24" w:line="288" w:lineRule="auto"/>
              <w:jc w:val="center"/>
              <w:rPr>
                <w:rFonts w:ascii="Times New Roman" w:hAnsi="Times New Roman" w:cs="Times New Roman"/>
                <w:sz w:val="24"/>
              </w:rPr>
            </w:pPr>
            <w:r>
              <w:rPr>
                <w:rFonts w:ascii="Times New Roman" w:hAnsi="Times New Roman" w:cs="Times New Roman"/>
                <w:sz w:val="24"/>
              </w:rPr>
              <w:t>20</w:t>
            </w:r>
          </w:p>
        </w:tc>
        <w:tc>
          <w:tcPr>
            <w:tcW w:w="1212" w:type="dxa"/>
            <w:tcMar>
              <w:left w:w="108" w:type="dxa"/>
              <w:right w:w="108" w:type="dxa"/>
            </w:tcMar>
            <w:vAlign w:val="center"/>
          </w:tcPr>
          <w:p w14:paraId="391C47DD">
            <w:pPr>
              <w:spacing w:before="24" w:after="24" w:line="288" w:lineRule="auto"/>
              <w:jc w:val="center"/>
              <w:rPr>
                <w:rFonts w:ascii="Times New Roman" w:hAnsi="Times New Roman" w:cs="Times New Roman"/>
                <w:sz w:val="24"/>
              </w:rPr>
            </w:pPr>
            <w:r>
              <w:rPr>
                <w:rFonts w:ascii="Times New Roman" w:hAnsi="Times New Roman" w:cs="Times New Roman"/>
                <w:sz w:val="24"/>
              </w:rPr>
              <w:t>4</w:t>
            </w:r>
          </w:p>
        </w:tc>
        <w:tc>
          <w:tcPr>
            <w:tcW w:w="1310" w:type="dxa"/>
            <w:tcMar>
              <w:left w:w="108" w:type="dxa"/>
              <w:right w:w="108" w:type="dxa"/>
            </w:tcMar>
            <w:vAlign w:val="center"/>
          </w:tcPr>
          <w:p w14:paraId="0CFDB9E9">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r>
      <w:tr w14:paraId="47CFD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7" w:type="dxa"/>
            <w:vMerge w:val="continue"/>
            <w:tcMar>
              <w:left w:w="108" w:type="dxa"/>
              <w:right w:w="108" w:type="dxa"/>
            </w:tcMar>
            <w:vAlign w:val="center"/>
          </w:tcPr>
          <w:p w14:paraId="1B2C8073">
            <w:pPr>
              <w:spacing w:before="24" w:after="24" w:line="288" w:lineRule="auto"/>
              <w:jc w:val="center"/>
              <w:rPr>
                <w:rFonts w:ascii="Times New Roman" w:hAnsi="Times New Roman" w:cs="Times New Roman"/>
                <w:sz w:val="24"/>
              </w:rPr>
            </w:pPr>
          </w:p>
        </w:tc>
        <w:tc>
          <w:tcPr>
            <w:tcW w:w="678" w:type="dxa"/>
            <w:vMerge w:val="continue"/>
            <w:tcMar>
              <w:left w:w="108" w:type="dxa"/>
              <w:right w:w="108" w:type="dxa"/>
            </w:tcMar>
            <w:vAlign w:val="center"/>
          </w:tcPr>
          <w:p w14:paraId="15488270">
            <w:pPr>
              <w:spacing w:before="24" w:after="24" w:line="288" w:lineRule="auto"/>
              <w:jc w:val="center"/>
              <w:rPr>
                <w:rFonts w:ascii="Times New Roman" w:hAnsi="Times New Roman" w:cs="Times New Roman"/>
                <w:sz w:val="24"/>
              </w:rPr>
            </w:pPr>
          </w:p>
        </w:tc>
        <w:tc>
          <w:tcPr>
            <w:tcW w:w="2079" w:type="dxa"/>
            <w:vMerge w:val="restart"/>
            <w:tcMar>
              <w:left w:w="108" w:type="dxa"/>
              <w:right w:w="108" w:type="dxa"/>
            </w:tcMar>
            <w:vAlign w:val="center"/>
          </w:tcPr>
          <w:p w14:paraId="19C0C12E">
            <w:pPr>
              <w:spacing w:before="24" w:after="24" w:line="288" w:lineRule="auto"/>
              <w:jc w:val="center"/>
              <w:rPr>
                <w:rFonts w:ascii="Times New Roman" w:hAnsi="Times New Roman" w:cs="Times New Roman"/>
                <w:sz w:val="24"/>
              </w:rPr>
            </w:pPr>
            <w:r>
              <w:rPr>
                <w:rFonts w:ascii="Times New Roman" w:hAnsi="Times New Roman" w:cs="Times New Roman"/>
                <w:sz w:val="24"/>
              </w:rPr>
              <w:t>商店、图书馆、档案馆等</w:t>
            </w:r>
          </w:p>
        </w:tc>
        <w:tc>
          <w:tcPr>
            <w:tcW w:w="2330" w:type="dxa"/>
            <w:tcMar>
              <w:left w:w="108" w:type="dxa"/>
              <w:right w:w="108" w:type="dxa"/>
            </w:tcMar>
            <w:vAlign w:val="center"/>
          </w:tcPr>
          <w:p w14:paraId="12BFC7EC">
            <w:pPr>
              <w:spacing w:before="24" w:after="24" w:line="288" w:lineRule="auto"/>
              <w:jc w:val="center"/>
              <w:rPr>
                <w:rFonts w:ascii="Times New Roman" w:hAnsi="Times New Roman" w:cs="Times New Roman"/>
                <w:sz w:val="24"/>
              </w:rPr>
            </w:pPr>
            <w:r>
              <w:rPr>
                <w:rFonts w:ascii="Times New Roman" w:hAnsi="Times New Roman" w:cs="Times New Roman"/>
                <w:sz w:val="24"/>
              </w:rPr>
              <w:t>5000＜V≤10000</w:t>
            </w:r>
          </w:p>
        </w:tc>
        <w:tc>
          <w:tcPr>
            <w:tcW w:w="1264" w:type="dxa"/>
            <w:tcMar>
              <w:left w:w="108" w:type="dxa"/>
              <w:right w:w="108" w:type="dxa"/>
            </w:tcMar>
            <w:vAlign w:val="center"/>
          </w:tcPr>
          <w:p w14:paraId="626563C7">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c>
          <w:tcPr>
            <w:tcW w:w="1212" w:type="dxa"/>
            <w:tcMar>
              <w:left w:w="108" w:type="dxa"/>
              <w:right w:w="108" w:type="dxa"/>
            </w:tcMar>
            <w:vAlign w:val="center"/>
          </w:tcPr>
          <w:p w14:paraId="66B1A83A">
            <w:pPr>
              <w:spacing w:before="24" w:after="24" w:line="288" w:lineRule="auto"/>
              <w:jc w:val="center"/>
              <w:rPr>
                <w:rFonts w:ascii="Times New Roman" w:hAnsi="Times New Roman" w:cs="Times New Roman"/>
                <w:sz w:val="24"/>
              </w:rPr>
            </w:pPr>
            <w:r>
              <w:rPr>
                <w:rFonts w:ascii="Times New Roman" w:hAnsi="Times New Roman" w:cs="Times New Roman"/>
                <w:sz w:val="24"/>
              </w:rPr>
              <w:t>3</w:t>
            </w:r>
          </w:p>
        </w:tc>
        <w:tc>
          <w:tcPr>
            <w:tcW w:w="1310" w:type="dxa"/>
            <w:tcMar>
              <w:left w:w="108" w:type="dxa"/>
              <w:right w:w="108" w:type="dxa"/>
            </w:tcMar>
            <w:vAlign w:val="center"/>
          </w:tcPr>
          <w:p w14:paraId="488F983B">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2D2C1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7" w:type="dxa"/>
            <w:vMerge w:val="continue"/>
            <w:tcMar>
              <w:left w:w="108" w:type="dxa"/>
              <w:right w:w="108" w:type="dxa"/>
            </w:tcMar>
            <w:vAlign w:val="center"/>
          </w:tcPr>
          <w:p w14:paraId="0C63490E">
            <w:pPr>
              <w:spacing w:before="24" w:after="24" w:line="288" w:lineRule="auto"/>
              <w:jc w:val="center"/>
              <w:rPr>
                <w:rFonts w:ascii="Times New Roman" w:hAnsi="Times New Roman" w:cs="Times New Roman"/>
                <w:sz w:val="24"/>
              </w:rPr>
            </w:pPr>
          </w:p>
        </w:tc>
        <w:tc>
          <w:tcPr>
            <w:tcW w:w="678" w:type="dxa"/>
            <w:vMerge w:val="continue"/>
            <w:tcMar>
              <w:left w:w="108" w:type="dxa"/>
              <w:right w:w="108" w:type="dxa"/>
            </w:tcMar>
            <w:vAlign w:val="center"/>
          </w:tcPr>
          <w:p w14:paraId="57F6608C">
            <w:pPr>
              <w:spacing w:before="24" w:after="24" w:line="288" w:lineRule="auto"/>
              <w:jc w:val="center"/>
              <w:rPr>
                <w:rFonts w:ascii="Times New Roman" w:hAnsi="Times New Roman" w:cs="Times New Roman"/>
                <w:sz w:val="24"/>
              </w:rPr>
            </w:pPr>
          </w:p>
        </w:tc>
        <w:tc>
          <w:tcPr>
            <w:tcW w:w="2079" w:type="dxa"/>
            <w:vMerge w:val="continue"/>
            <w:tcMar>
              <w:left w:w="108" w:type="dxa"/>
              <w:right w:w="108" w:type="dxa"/>
            </w:tcMar>
            <w:vAlign w:val="center"/>
          </w:tcPr>
          <w:p w14:paraId="21E2B91F">
            <w:pPr>
              <w:spacing w:before="24" w:after="24" w:line="288" w:lineRule="auto"/>
              <w:jc w:val="center"/>
              <w:rPr>
                <w:rFonts w:ascii="Times New Roman" w:hAnsi="Times New Roman" w:cs="Times New Roman"/>
                <w:sz w:val="24"/>
              </w:rPr>
            </w:pPr>
          </w:p>
        </w:tc>
        <w:tc>
          <w:tcPr>
            <w:tcW w:w="2330" w:type="dxa"/>
            <w:tcMar>
              <w:left w:w="108" w:type="dxa"/>
              <w:right w:w="108" w:type="dxa"/>
            </w:tcMar>
            <w:vAlign w:val="center"/>
          </w:tcPr>
          <w:p w14:paraId="11E4A112">
            <w:pPr>
              <w:spacing w:before="24" w:after="24" w:line="288" w:lineRule="auto"/>
              <w:jc w:val="center"/>
              <w:rPr>
                <w:rFonts w:ascii="Times New Roman" w:hAnsi="Times New Roman" w:cs="Times New Roman"/>
                <w:sz w:val="24"/>
              </w:rPr>
            </w:pPr>
            <w:r>
              <w:rPr>
                <w:rFonts w:ascii="Times New Roman" w:hAnsi="Times New Roman" w:cs="Times New Roman"/>
                <w:sz w:val="24"/>
              </w:rPr>
              <w:t>10000＜V≤25000</w:t>
            </w:r>
          </w:p>
        </w:tc>
        <w:tc>
          <w:tcPr>
            <w:tcW w:w="1264" w:type="dxa"/>
            <w:tcMar>
              <w:left w:w="108" w:type="dxa"/>
              <w:right w:w="108" w:type="dxa"/>
            </w:tcMar>
            <w:vAlign w:val="center"/>
          </w:tcPr>
          <w:p w14:paraId="0B03FBF8">
            <w:pPr>
              <w:spacing w:before="24" w:after="24" w:line="288" w:lineRule="auto"/>
              <w:jc w:val="center"/>
              <w:rPr>
                <w:rFonts w:ascii="Times New Roman" w:hAnsi="Times New Roman" w:cs="Times New Roman"/>
                <w:sz w:val="24"/>
              </w:rPr>
            </w:pPr>
            <w:r>
              <w:rPr>
                <w:rFonts w:ascii="Times New Roman" w:hAnsi="Times New Roman" w:cs="Times New Roman"/>
                <w:sz w:val="24"/>
              </w:rPr>
              <w:t>25</w:t>
            </w:r>
          </w:p>
        </w:tc>
        <w:tc>
          <w:tcPr>
            <w:tcW w:w="1212" w:type="dxa"/>
            <w:tcMar>
              <w:left w:w="108" w:type="dxa"/>
              <w:right w:w="108" w:type="dxa"/>
            </w:tcMar>
            <w:vAlign w:val="center"/>
          </w:tcPr>
          <w:p w14:paraId="32E61710">
            <w:pPr>
              <w:spacing w:before="24" w:after="24" w:line="288" w:lineRule="auto"/>
              <w:jc w:val="center"/>
              <w:rPr>
                <w:rFonts w:ascii="Times New Roman" w:hAnsi="Times New Roman" w:cs="Times New Roman"/>
                <w:sz w:val="24"/>
              </w:rPr>
            </w:pPr>
            <w:r>
              <w:rPr>
                <w:rFonts w:ascii="Times New Roman" w:hAnsi="Times New Roman" w:cs="Times New Roman"/>
                <w:sz w:val="24"/>
              </w:rPr>
              <w:t>5</w:t>
            </w:r>
          </w:p>
        </w:tc>
        <w:tc>
          <w:tcPr>
            <w:tcW w:w="1310" w:type="dxa"/>
            <w:tcMar>
              <w:left w:w="108" w:type="dxa"/>
              <w:right w:w="108" w:type="dxa"/>
            </w:tcMar>
            <w:vAlign w:val="center"/>
          </w:tcPr>
          <w:p w14:paraId="400F7C9B">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r>
      <w:tr w14:paraId="5FB1B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7" w:type="dxa"/>
            <w:vMerge w:val="continue"/>
            <w:tcMar>
              <w:left w:w="108" w:type="dxa"/>
              <w:right w:w="108" w:type="dxa"/>
            </w:tcMar>
            <w:vAlign w:val="center"/>
          </w:tcPr>
          <w:p w14:paraId="108F66D8">
            <w:pPr>
              <w:spacing w:before="24" w:after="24" w:line="288" w:lineRule="auto"/>
              <w:jc w:val="center"/>
              <w:rPr>
                <w:rFonts w:ascii="Times New Roman" w:hAnsi="Times New Roman" w:cs="Times New Roman"/>
                <w:sz w:val="24"/>
              </w:rPr>
            </w:pPr>
          </w:p>
        </w:tc>
        <w:tc>
          <w:tcPr>
            <w:tcW w:w="678" w:type="dxa"/>
            <w:vMerge w:val="continue"/>
            <w:tcMar>
              <w:left w:w="108" w:type="dxa"/>
              <w:right w:w="108" w:type="dxa"/>
            </w:tcMar>
            <w:vAlign w:val="center"/>
          </w:tcPr>
          <w:p w14:paraId="6869178D">
            <w:pPr>
              <w:spacing w:before="24" w:after="24" w:line="288" w:lineRule="auto"/>
              <w:jc w:val="center"/>
              <w:rPr>
                <w:rFonts w:ascii="Times New Roman" w:hAnsi="Times New Roman" w:cs="Times New Roman"/>
                <w:sz w:val="24"/>
              </w:rPr>
            </w:pPr>
          </w:p>
        </w:tc>
        <w:tc>
          <w:tcPr>
            <w:tcW w:w="2079" w:type="dxa"/>
            <w:vMerge w:val="continue"/>
            <w:tcMar>
              <w:left w:w="108" w:type="dxa"/>
              <w:right w:w="108" w:type="dxa"/>
            </w:tcMar>
            <w:vAlign w:val="center"/>
          </w:tcPr>
          <w:p w14:paraId="22B96713">
            <w:pPr>
              <w:spacing w:before="24" w:after="24" w:line="288" w:lineRule="auto"/>
              <w:jc w:val="center"/>
              <w:rPr>
                <w:rFonts w:ascii="Times New Roman" w:hAnsi="Times New Roman" w:cs="Times New Roman"/>
                <w:sz w:val="24"/>
              </w:rPr>
            </w:pPr>
          </w:p>
        </w:tc>
        <w:tc>
          <w:tcPr>
            <w:tcW w:w="2330" w:type="dxa"/>
            <w:tcMar>
              <w:left w:w="108" w:type="dxa"/>
              <w:right w:w="108" w:type="dxa"/>
            </w:tcMar>
            <w:vAlign w:val="center"/>
          </w:tcPr>
          <w:p w14:paraId="3DB3F821">
            <w:pPr>
              <w:spacing w:before="24" w:after="24" w:line="288" w:lineRule="auto"/>
              <w:jc w:val="center"/>
              <w:rPr>
                <w:rFonts w:ascii="Times New Roman" w:hAnsi="Times New Roman" w:cs="Times New Roman"/>
                <w:sz w:val="24"/>
              </w:rPr>
            </w:pPr>
            <w:r>
              <w:rPr>
                <w:rFonts w:ascii="Times New Roman" w:hAnsi="Times New Roman" w:cs="Times New Roman"/>
                <w:sz w:val="24"/>
              </w:rPr>
              <w:t>V＞25000</w:t>
            </w:r>
          </w:p>
        </w:tc>
        <w:tc>
          <w:tcPr>
            <w:tcW w:w="1264" w:type="dxa"/>
            <w:tcMar>
              <w:left w:w="108" w:type="dxa"/>
              <w:right w:w="108" w:type="dxa"/>
            </w:tcMar>
            <w:vAlign w:val="center"/>
          </w:tcPr>
          <w:p w14:paraId="3C42D49E">
            <w:pPr>
              <w:spacing w:before="24" w:after="24" w:line="288" w:lineRule="auto"/>
              <w:jc w:val="center"/>
              <w:rPr>
                <w:rFonts w:ascii="Times New Roman" w:hAnsi="Times New Roman" w:cs="Times New Roman"/>
                <w:sz w:val="24"/>
              </w:rPr>
            </w:pPr>
            <w:r>
              <w:rPr>
                <w:rFonts w:ascii="Times New Roman" w:hAnsi="Times New Roman" w:cs="Times New Roman"/>
                <w:sz w:val="24"/>
              </w:rPr>
              <w:t>40</w:t>
            </w:r>
          </w:p>
        </w:tc>
        <w:tc>
          <w:tcPr>
            <w:tcW w:w="1212" w:type="dxa"/>
            <w:tcMar>
              <w:left w:w="108" w:type="dxa"/>
              <w:right w:w="108" w:type="dxa"/>
            </w:tcMar>
            <w:vAlign w:val="center"/>
          </w:tcPr>
          <w:p w14:paraId="6AE387F0">
            <w:pPr>
              <w:spacing w:before="24" w:after="24" w:line="288" w:lineRule="auto"/>
              <w:jc w:val="center"/>
              <w:rPr>
                <w:rFonts w:ascii="Times New Roman" w:hAnsi="Times New Roman" w:cs="Times New Roman"/>
                <w:sz w:val="24"/>
              </w:rPr>
            </w:pPr>
            <w:r>
              <w:rPr>
                <w:rFonts w:ascii="Times New Roman" w:hAnsi="Times New Roman" w:cs="Times New Roman"/>
                <w:sz w:val="24"/>
              </w:rPr>
              <w:t>8</w:t>
            </w:r>
          </w:p>
        </w:tc>
        <w:tc>
          <w:tcPr>
            <w:tcW w:w="1310" w:type="dxa"/>
            <w:tcMar>
              <w:left w:w="108" w:type="dxa"/>
              <w:right w:w="108" w:type="dxa"/>
            </w:tcMar>
            <w:vAlign w:val="center"/>
          </w:tcPr>
          <w:p w14:paraId="35E2FA86">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r>
      <w:tr w14:paraId="6C40C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7" w:type="dxa"/>
            <w:vMerge w:val="continue"/>
            <w:tcMar>
              <w:left w:w="108" w:type="dxa"/>
              <w:right w:w="108" w:type="dxa"/>
            </w:tcMar>
            <w:vAlign w:val="center"/>
          </w:tcPr>
          <w:p w14:paraId="3F95929D">
            <w:pPr>
              <w:spacing w:before="24" w:after="24" w:line="288" w:lineRule="auto"/>
              <w:jc w:val="center"/>
              <w:rPr>
                <w:rFonts w:ascii="Times New Roman" w:hAnsi="Times New Roman" w:cs="Times New Roman"/>
                <w:sz w:val="24"/>
              </w:rPr>
            </w:pPr>
          </w:p>
        </w:tc>
        <w:tc>
          <w:tcPr>
            <w:tcW w:w="678" w:type="dxa"/>
            <w:vMerge w:val="continue"/>
            <w:tcMar>
              <w:left w:w="108" w:type="dxa"/>
              <w:right w:w="108" w:type="dxa"/>
            </w:tcMar>
            <w:vAlign w:val="center"/>
          </w:tcPr>
          <w:p w14:paraId="6826560B">
            <w:pPr>
              <w:spacing w:before="24" w:after="24" w:line="288" w:lineRule="auto"/>
              <w:jc w:val="center"/>
              <w:rPr>
                <w:rFonts w:ascii="Times New Roman" w:hAnsi="Times New Roman" w:cs="Times New Roman"/>
                <w:sz w:val="24"/>
              </w:rPr>
            </w:pPr>
          </w:p>
        </w:tc>
        <w:tc>
          <w:tcPr>
            <w:tcW w:w="2079" w:type="dxa"/>
            <w:vMerge w:val="restart"/>
            <w:tcMar>
              <w:left w:w="108" w:type="dxa"/>
              <w:right w:w="108" w:type="dxa"/>
            </w:tcMar>
            <w:vAlign w:val="center"/>
          </w:tcPr>
          <w:p w14:paraId="21BFC900">
            <w:pPr>
              <w:spacing w:before="24" w:after="24" w:line="288" w:lineRule="auto"/>
              <w:jc w:val="center"/>
              <w:rPr>
                <w:rFonts w:ascii="Times New Roman" w:hAnsi="Times New Roman" w:cs="Times New Roman"/>
                <w:sz w:val="24"/>
              </w:rPr>
            </w:pPr>
            <w:r>
              <w:rPr>
                <w:rFonts w:ascii="Times New Roman" w:hAnsi="Times New Roman" w:cs="Times New Roman"/>
                <w:sz w:val="24"/>
              </w:rPr>
              <w:t>病房楼、门诊楼等</w:t>
            </w:r>
          </w:p>
        </w:tc>
        <w:tc>
          <w:tcPr>
            <w:tcW w:w="2330" w:type="dxa"/>
            <w:tcMar>
              <w:left w:w="108" w:type="dxa"/>
              <w:right w:w="108" w:type="dxa"/>
            </w:tcMar>
            <w:vAlign w:val="center"/>
          </w:tcPr>
          <w:p w14:paraId="558ED925">
            <w:pPr>
              <w:spacing w:before="24" w:after="24" w:line="288" w:lineRule="auto"/>
              <w:jc w:val="center"/>
              <w:rPr>
                <w:rFonts w:ascii="Times New Roman" w:hAnsi="Times New Roman" w:cs="Times New Roman"/>
                <w:sz w:val="24"/>
              </w:rPr>
            </w:pPr>
            <w:r>
              <w:rPr>
                <w:rFonts w:ascii="Times New Roman" w:hAnsi="Times New Roman" w:cs="Times New Roman"/>
                <w:sz w:val="24"/>
              </w:rPr>
              <w:t>5000＜V≤25000</w:t>
            </w:r>
          </w:p>
        </w:tc>
        <w:tc>
          <w:tcPr>
            <w:tcW w:w="1264" w:type="dxa"/>
            <w:tcMar>
              <w:left w:w="108" w:type="dxa"/>
              <w:right w:w="108" w:type="dxa"/>
            </w:tcMar>
            <w:vAlign w:val="center"/>
          </w:tcPr>
          <w:p w14:paraId="642D399B">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c>
          <w:tcPr>
            <w:tcW w:w="1212" w:type="dxa"/>
            <w:tcMar>
              <w:left w:w="108" w:type="dxa"/>
              <w:right w:w="108" w:type="dxa"/>
            </w:tcMar>
            <w:vAlign w:val="center"/>
          </w:tcPr>
          <w:p w14:paraId="3607CEFE">
            <w:pPr>
              <w:spacing w:before="24" w:after="24" w:line="288" w:lineRule="auto"/>
              <w:jc w:val="center"/>
              <w:rPr>
                <w:rFonts w:ascii="Times New Roman" w:hAnsi="Times New Roman" w:cs="Times New Roman"/>
                <w:sz w:val="24"/>
              </w:rPr>
            </w:pPr>
            <w:r>
              <w:rPr>
                <w:rFonts w:ascii="Times New Roman" w:hAnsi="Times New Roman" w:cs="Times New Roman"/>
                <w:sz w:val="24"/>
              </w:rPr>
              <w:t>2</w:t>
            </w:r>
          </w:p>
        </w:tc>
        <w:tc>
          <w:tcPr>
            <w:tcW w:w="1310" w:type="dxa"/>
            <w:tcMar>
              <w:left w:w="108" w:type="dxa"/>
              <w:right w:w="108" w:type="dxa"/>
            </w:tcMar>
            <w:vAlign w:val="center"/>
          </w:tcPr>
          <w:p w14:paraId="649CBE63">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6A227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7" w:type="dxa"/>
            <w:vMerge w:val="continue"/>
            <w:tcMar>
              <w:left w:w="108" w:type="dxa"/>
              <w:right w:w="108" w:type="dxa"/>
            </w:tcMar>
            <w:vAlign w:val="center"/>
          </w:tcPr>
          <w:p w14:paraId="0D0C4929">
            <w:pPr>
              <w:spacing w:before="24" w:after="24" w:line="288" w:lineRule="auto"/>
              <w:jc w:val="center"/>
              <w:rPr>
                <w:rFonts w:ascii="Times New Roman" w:hAnsi="Times New Roman" w:cs="Times New Roman"/>
                <w:sz w:val="24"/>
              </w:rPr>
            </w:pPr>
          </w:p>
        </w:tc>
        <w:tc>
          <w:tcPr>
            <w:tcW w:w="678" w:type="dxa"/>
            <w:vMerge w:val="continue"/>
            <w:tcMar>
              <w:left w:w="108" w:type="dxa"/>
              <w:right w:w="108" w:type="dxa"/>
            </w:tcMar>
            <w:vAlign w:val="center"/>
          </w:tcPr>
          <w:p w14:paraId="2B5F6FA8">
            <w:pPr>
              <w:spacing w:before="24" w:after="24" w:line="288" w:lineRule="auto"/>
              <w:jc w:val="center"/>
              <w:rPr>
                <w:rFonts w:ascii="Times New Roman" w:hAnsi="Times New Roman" w:cs="Times New Roman"/>
                <w:sz w:val="24"/>
              </w:rPr>
            </w:pPr>
          </w:p>
        </w:tc>
        <w:tc>
          <w:tcPr>
            <w:tcW w:w="2079" w:type="dxa"/>
            <w:vMerge w:val="continue"/>
            <w:tcMar>
              <w:left w:w="108" w:type="dxa"/>
              <w:right w:w="108" w:type="dxa"/>
            </w:tcMar>
            <w:vAlign w:val="center"/>
          </w:tcPr>
          <w:p w14:paraId="074B37A2">
            <w:pPr>
              <w:spacing w:before="24" w:after="24" w:line="288" w:lineRule="auto"/>
              <w:jc w:val="center"/>
              <w:rPr>
                <w:rFonts w:ascii="Times New Roman" w:hAnsi="Times New Roman" w:cs="Times New Roman"/>
                <w:sz w:val="24"/>
              </w:rPr>
            </w:pPr>
          </w:p>
        </w:tc>
        <w:tc>
          <w:tcPr>
            <w:tcW w:w="2330" w:type="dxa"/>
            <w:tcMar>
              <w:left w:w="108" w:type="dxa"/>
              <w:right w:w="108" w:type="dxa"/>
            </w:tcMar>
            <w:vAlign w:val="center"/>
          </w:tcPr>
          <w:p w14:paraId="6BA1ECC8">
            <w:pPr>
              <w:spacing w:before="24" w:after="24" w:line="288" w:lineRule="auto"/>
              <w:jc w:val="center"/>
              <w:rPr>
                <w:rFonts w:ascii="Times New Roman" w:hAnsi="Times New Roman" w:cs="Times New Roman"/>
                <w:sz w:val="24"/>
              </w:rPr>
            </w:pPr>
            <w:r>
              <w:rPr>
                <w:rFonts w:ascii="Times New Roman" w:hAnsi="Times New Roman" w:cs="Times New Roman"/>
                <w:sz w:val="24"/>
              </w:rPr>
              <w:t>V＞25000</w:t>
            </w:r>
          </w:p>
        </w:tc>
        <w:tc>
          <w:tcPr>
            <w:tcW w:w="1264" w:type="dxa"/>
            <w:tcMar>
              <w:left w:w="108" w:type="dxa"/>
              <w:right w:w="108" w:type="dxa"/>
            </w:tcMar>
            <w:vAlign w:val="center"/>
          </w:tcPr>
          <w:p w14:paraId="3E05B7EE">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c>
          <w:tcPr>
            <w:tcW w:w="1212" w:type="dxa"/>
            <w:tcMar>
              <w:left w:w="108" w:type="dxa"/>
              <w:right w:w="108" w:type="dxa"/>
            </w:tcMar>
            <w:vAlign w:val="center"/>
          </w:tcPr>
          <w:p w14:paraId="7C6E084A">
            <w:pPr>
              <w:spacing w:before="24" w:after="24" w:line="288" w:lineRule="auto"/>
              <w:jc w:val="center"/>
              <w:rPr>
                <w:rFonts w:ascii="Times New Roman" w:hAnsi="Times New Roman" w:cs="Times New Roman"/>
                <w:sz w:val="24"/>
              </w:rPr>
            </w:pPr>
            <w:r>
              <w:rPr>
                <w:rFonts w:ascii="Times New Roman" w:hAnsi="Times New Roman" w:cs="Times New Roman"/>
                <w:sz w:val="24"/>
              </w:rPr>
              <w:t>3</w:t>
            </w:r>
          </w:p>
        </w:tc>
        <w:tc>
          <w:tcPr>
            <w:tcW w:w="1310" w:type="dxa"/>
            <w:tcMar>
              <w:left w:w="108" w:type="dxa"/>
              <w:right w:w="108" w:type="dxa"/>
            </w:tcMar>
            <w:vAlign w:val="center"/>
          </w:tcPr>
          <w:p w14:paraId="2440EF21">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5D277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7" w:type="dxa"/>
            <w:vMerge w:val="continue"/>
            <w:tcMar>
              <w:left w:w="108" w:type="dxa"/>
              <w:right w:w="108" w:type="dxa"/>
            </w:tcMar>
            <w:vAlign w:val="center"/>
          </w:tcPr>
          <w:p w14:paraId="4809B82D">
            <w:pPr>
              <w:spacing w:before="24" w:after="24" w:line="288" w:lineRule="auto"/>
              <w:jc w:val="center"/>
              <w:rPr>
                <w:rFonts w:ascii="Times New Roman" w:hAnsi="Times New Roman" w:cs="Times New Roman"/>
                <w:sz w:val="24"/>
              </w:rPr>
            </w:pPr>
          </w:p>
        </w:tc>
        <w:tc>
          <w:tcPr>
            <w:tcW w:w="678" w:type="dxa"/>
            <w:vMerge w:val="continue"/>
            <w:tcMar>
              <w:left w:w="108" w:type="dxa"/>
              <w:right w:w="108" w:type="dxa"/>
            </w:tcMar>
            <w:vAlign w:val="center"/>
          </w:tcPr>
          <w:p w14:paraId="37EB7F9F">
            <w:pPr>
              <w:spacing w:before="24" w:after="24" w:line="288" w:lineRule="auto"/>
              <w:jc w:val="center"/>
              <w:rPr>
                <w:rFonts w:ascii="Times New Roman" w:hAnsi="Times New Roman" w:cs="Times New Roman"/>
                <w:sz w:val="24"/>
              </w:rPr>
            </w:pPr>
          </w:p>
        </w:tc>
        <w:tc>
          <w:tcPr>
            <w:tcW w:w="2079" w:type="dxa"/>
            <w:tcMar>
              <w:left w:w="108" w:type="dxa"/>
              <w:right w:w="108" w:type="dxa"/>
            </w:tcMar>
            <w:vAlign w:val="center"/>
          </w:tcPr>
          <w:p w14:paraId="608BD877">
            <w:pPr>
              <w:spacing w:before="24" w:after="24" w:line="288" w:lineRule="auto"/>
              <w:jc w:val="center"/>
              <w:rPr>
                <w:rFonts w:ascii="Times New Roman" w:hAnsi="Times New Roman" w:cs="Times New Roman"/>
                <w:sz w:val="24"/>
              </w:rPr>
            </w:pPr>
            <w:r>
              <w:rPr>
                <w:rFonts w:ascii="Times New Roman" w:hAnsi="Times New Roman" w:cs="Times New Roman"/>
                <w:sz w:val="24"/>
              </w:rPr>
              <w:t>办公楼、教学楼、公寓、宿舍等其他建筑</w:t>
            </w:r>
          </w:p>
        </w:tc>
        <w:tc>
          <w:tcPr>
            <w:tcW w:w="2330" w:type="dxa"/>
            <w:tcMar>
              <w:left w:w="108" w:type="dxa"/>
              <w:right w:w="108" w:type="dxa"/>
            </w:tcMar>
            <w:vAlign w:val="center"/>
          </w:tcPr>
          <w:p w14:paraId="6FFC4809">
            <w:pPr>
              <w:spacing w:before="24" w:after="24" w:line="288" w:lineRule="auto"/>
              <w:jc w:val="center"/>
              <w:rPr>
                <w:rFonts w:ascii="Times New Roman" w:hAnsi="Times New Roman" w:cs="Times New Roman"/>
                <w:sz w:val="24"/>
              </w:rPr>
            </w:pPr>
            <w:r>
              <w:rPr>
                <w:rFonts w:ascii="Times New Roman" w:hAnsi="Times New Roman" w:cs="Times New Roman"/>
                <w:sz w:val="24"/>
              </w:rPr>
              <w:t>高度超过15m或V＞10000</w:t>
            </w:r>
          </w:p>
        </w:tc>
        <w:tc>
          <w:tcPr>
            <w:tcW w:w="1264" w:type="dxa"/>
            <w:tcMar>
              <w:left w:w="108" w:type="dxa"/>
              <w:right w:w="108" w:type="dxa"/>
            </w:tcMar>
            <w:vAlign w:val="center"/>
          </w:tcPr>
          <w:p w14:paraId="3C64764F">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c>
          <w:tcPr>
            <w:tcW w:w="1212" w:type="dxa"/>
            <w:tcMar>
              <w:left w:w="108" w:type="dxa"/>
              <w:right w:w="108" w:type="dxa"/>
            </w:tcMar>
            <w:vAlign w:val="center"/>
          </w:tcPr>
          <w:p w14:paraId="751B840C">
            <w:pPr>
              <w:spacing w:before="24" w:after="24" w:line="288" w:lineRule="auto"/>
              <w:jc w:val="center"/>
              <w:rPr>
                <w:rFonts w:ascii="Times New Roman" w:hAnsi="Times New Roman" w:cs="Times New Roman"/>
                <w:sz w:val="24"/>
              </w:rPr>
            </w:pPr>
            <w:r>
              <w:rPr>
                <w:rFonts w:ascii="Times New Roman" w:hAnsi="Times New Roman" w:cs="Times New Roman"/>
                <w:sz w:val="24"/>
              </w:rPr>
              <w:t>3</w:t>
            </w:r>
          </w:p>
        </w:tc>
        <w:tc>
          <w:tcPr>
            <w:tcW w:w="1310" w:type="dxa"/>
            <w:tcMar>
              <w:left w:w="108" w:type="dxa"/>
              <w:right w:w="108" w:type="dxa"/>
            </w:tcMar>
            <w:vAlign w:val="center"/>
          </w:tcPr>
          <w:p w14:paraId="3BA5A7E9">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15D2D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7" w:type="dxa"/>
            <w:vMerge w:val="continue"/>
            <w:tcMar>
              <w:left w:w="108" w:type="dxa"/>
              <w:right w:w="108" w:type="dxa"/>
            </w:tcMar>
            <w:vAlign w:val="center"/>
          </w:tcPr>
          <w:p w14:paraId="4D1AB7A6">
            <w:pPr>
              <w:spacing w:before="24" w:after="24" w:line="288" w:lineRule="auto"/>
              <w:jc w:val="center"/>
              <w:rPr>
                <w:rFonts w:ascii="Times New Roman" w:hAnsi="Times New Roman" w:cs="Times New Roman"/>
                <w:sz w:val="24"/>
              </w:rPr>
            </w:pPr>
          </w:p>
        </w:tc>
        <w:tc>
          <w:tcPr>
            <w:tcW w:w="678" w:type="dxa"/>
            <w:vMerge w:val="continue"/>
            <w:tcMar>
              <w:left w:w="108" w:type="dxa"/>
              <w:right w:w="108" w:type="dxa"/>
            </w:tcMar>
            <w:vAlign w:val="center"/>
          </w:tcPr>
          <w:p w14:paraId="15043F7D">
            <w:pPr>
              <w:spacing w:before="24" w:after="24" w:line="288" w:lineRule="auto"/>
              <w:jc w:val="center"/>
              <w:rPr>
                <w:rFonts w:ascii="Times New Roman" w:hAnsi="Times New Roman" w:cs="Times New Roman"/>
                <w:sz w:val="24"/>
              </w:rPr>
            </w:pPr>
          </w:p>
        </w:tc>
        <w:tc>
          <w:tcPr>
            <w:tcW w:w="2079" w:type="dxa"/>
            <w:tcMar>
              <w:left w:w="108" w:type="dxa"/>
              <w:right w:w="108" w:type="dxa"/>
            </w:tcMar>
            <w:vAlign w:val="center"/>
          </w:tcPr>
          <w:p w14:paraId="5F044C44">
            <w:pPr>
              <w:spacing w:before="24" w:after="24" w:line="288" w:lineRule="auto"/>
              <w:jc w:val="center"/>
              <w:rPr>
                <w:rFonts w:ascii="Times New Roman" w:hAnsi="Times New Roman" w:cs="Times New Roman"/>
                <w:sz w:val="24"/>
              </w:rPr>
            </w:pPr>
            <w:r>
              <w:rPr>
                <w:rFonts w:ascii="Times New Roman" w:hAnsi="Times New Roman" w:cs="Times New Roman"/>
                <w:sz w:val="24"/>
              </w:rPr>
              <w:t>住宅</w:t>
            </w:r>
          </w:p>
        </w:tc>
        <w:tc>
          <w:tcPr>
            <w:tcW w:w="2330" w:type="dxa"/>
            <w:tcMar>
              <w:left w:w="108" w:type="dxa"/>
              <w:right w:w="108" w:type="dxa"/>
            </w:tcMar>
            <w:vAlign w:val="center"/>
          </w:tcPr>
          <w:p w14:paraId="42EEACD6">
            <w:pPr>
              <w:spacing w:before="24" w:after="24" w:line="288" w:lineRule="auto"/>
              <w:jc w:val="center"/>
              <w:rPr>
                <w:rFonts w:ascii="Times New Roman" w:hAnsi="Times New Roman" w:cs="Times New Roman"/>
                <w:sz w:val="24"/>
              </w:rPr>
            </w:pPr>
            <w:r>
              <w:rPr>
                <w:rFonts w:ascii="Times New Roman" w:hAnsi="Times New Roman" w:cs="Times New Roman"/>
                <w:sz w:val="24"/>
              </w:rPr>
              <w:t>21＜h≤27</w:t>
            </w:r>
          </w:p>
        </w:tc>
        <w:tc>
          <w:tcPr>
            <w:tcW w:w="1264" w:type="dxa"/>
            <w:tcMar>
              <w:left w:w="108" w:type="dxa"/>
              <w:right w:w="108" w:type="dxa"/>
            </w:tcMar>
            <w:vAlign w:val="center"/>
          </w:tcPr>
          <w:p w14:paraId="5969694E">
            <w:pPr>
              <w:spacing w:before="24" w:after="24" w:line="288" w:lineRule="auto"/>
              <w:jc w:val="center"/>
              <w:rPr>
                <w:rFonts w:ascii="Times New Roman" w:hAnsi="Times New Roman" w:cs="Times New Roman"/>
                <w:sz w:val="24"/>
              </w:rPr>
            </w:pPr>
            <w:r>
              <w:rPr>
                <w:rFonts w:ascii="Times New Roman" w:hAnsi="Times New Roman" w:cs="Times New Roman"/>
                <w:sz w:val="24"/>
              </w:rPr>
              <w:t>5</w:t>
            </w:r>
          </w:p>
        </w:tc>
        <w:tc>
          <w:tcPr>
            <w:tcW w:w="1212" w:type="dxa"/>
            <w:tcMar>
              <w:left w:w="108" w:type="dxa"/>
              <w:right w:w="108" w:type="dxa"/>
            </w:tcMar>
            <w:vAlign w:val="center"/>
          </w:tcPr>
          <w:p w14:paraId="3BF9ADD4">
            <w:pPr>
              <w:spacing w:before="24" w:after="24" w:line="288" w:lineRule="auto"/>
              <w:jc w:val="center"/>
              <w:rPr>
                <w:rFonts w:ascii="Times New Roman" w:hAnsi="Times New Roman" w:cs="Times New Roman"/>
                <w:sz w:val="24"/>
              </w:rPr>
            </w:pPr>
            <w:r>
              <w:rPr>
                <w:rFonts w:ascii="Times New Roman" w:hAnsi="Times New Roman" w:cs="Times New Roman"/>
                <w:sz w:val="24"/>
              </w:rPr>
              <w:t>2</w:t>
            </w:r>
          </w:p>
        </w:tc>
        <w:tc>
          <w:tcPr>
            <w:tcW w:w="1310" w:type="dxa"/>
            <w:tcMar>
              <w:left w:w="108" w:type="dxa"/>
              <w:right w:w="108" w:type="dxa"/>
            </w:tcMar>
            <w:vAlign w:val="center"/>
          </w:tcPr>
          <w:p w14:paraId="748E6558">
            <w:pPr>
              <w:spacing w:before="24" w:after="24" w:line="288" w:lineRule="auto"/>
              <w:jc w:val="center"/>
              <w:rPr>
                <w:rFonts w:ascii="Times New Roman" w:hAnsi="Times New Roman" w:cs="Times New Roman"/>
                <w:sz w:val="24"/>
              </w:rPr>
            </w:pPr>
            <w:r>
              <w:rPr>
                <w:rFonts w:ascii="Times New Roman" w:hAnsi="Times New Roman" w:cs="Times New Roman"/>
                <w:sz w:val="24"/>
              </w:rPr>
              <w:t>5</w:t>
            </w:r>
          </w:p>
        </w:tc>
      </w:tr>
      <w:tr w14:paraId="2E7F4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97" w:type="dxa"/>
            <w:vMerge w:val="continue"/>
            <w:tcMar>
              <w:left w:w="108" w:type="dxa"/>
              <w:right w:w="108" w:type="dxa"/>
            </w:tcMar>
            <w:vAlign w:val="center"/>
          </w:tcPr>
          <w:p w14:paraId="55A22BE7">
            <w:pPr>
              <w:spacing w:before="24" w:after="24" w:line="288" w:lineRule="auto"/>
              <w:jc w:val="center"/>
              <w:rPr>
                <w:rFonts w:ascii="Times New Roman" w:hAnsi="Times New Roman" w:cs="Times New Roman"/>
                <w:sz w:val="24"/>
              </w:rPr>
            </w:pPr>
          </w:p>
        </w:tc>
        <w:tc>
          <w:tcPr>
            <w:tcW w:w="678" w:type="dxa"/>
            <w:vMerge w:val="restart"/>
            <w:tcMar>
              <w:left w:w="108" w:type="dxa"/>
              <w:right w:w="108" w:type="dxa"/>
            </w:tcMar>
            <w:vAlign w:val="center"/>
          </w:tcPr>
          <w:p w14:paraId="497B28AA">
            <w:pPr>
              <w:spacing w:before="24" w:after="24" w:line="288" w:lineRule="auto"/>
              <w:jc w:val="center"/>
              <w:rPr>
                <w:rFonts w:ascii="Times New Roman" w:hAnsi="Times New Roman" w:cs="Times New Roman"/>
                <w:sz w:val="24"/>
              </w:rPr>
            </w:pPr>
            <w:r>
              <w:rPr>
                <w:rFonts w:ascii="Times New Roman" w:hAnsi="Times New Roman" w:cs="Times New Roman"/>
                <w:sz w:val="24"/>
              </w:rPr>
              <w:t>高层</w:t>
            </w:r>
          </w:p>
        </w:tc>
        <w:tc>
          <w:tcPr>
            <w:tcW w:w="2079" w:type="dxa"/>
            <w:vMerge w:val="restart"/>
            <w:tcMar>
              <w:left w:w="108" w:type="dxa"/>
              <w:right w:w="108" w:type="dxa"/>
            </w:tcMar>
            <w:vAlign w:val="center"/>
          </w:tcPr>
          <w:p w14:paraId="14D3E33E">
            <w:pPr>
              <w:spacing w:before="24" w:after="24" w:line="288" w:lineRule="auto"/>
              <w:jc w:val="center"/>
              <w:rPr>
                <w:rFonts w:ascii="Times New Roman" w:hAnsi="Times New Roman" w:cs="Times New Roman"/>
                <w:sz w:val="24"/>
              </w:rPr>
            </w:pPr>
            <w:r>
              <w:rPr>
                <w:rFonts w:ascii="Times New Roman" w:hAnsi="Times New Roman" w:cs="Times New Roman"/>
                <w:sz w:val="24"/>
              </w:rPr>
              <w:t>住宅</w:t>
            </w:r>
          </w:p>
        </w:tc>
        <w:tc>
          <w:tcPr>
            <w:tcW w:w="2330" w:type="dxa"/>
            <w:tcMar>
              <w:left w:w="108" w:type="dxa"/>
              <w:right w:w="108" w:type="dxa"/>
            </w:tcMar>
            <w:vAlign w:val="center"/>
          </w:tcPr>
          <w:p w14:paraId="1FC18111">
            <w:pPr>
              <w:spacing w:before="24" w:after="24" w:line="288" w:lineRule="auto"/>
              <w:jc w:val="center"/>
              <w:rPr>
                <w:rFonts w:ascii="Times New Roman" w:hAnsi="Times New Roman" w:cs="Times New Roman"/>
                <w:sz w:val="24"/>
              </w:rPr>
            </w:pPr>
            <w:r>
              <w:rPr>
                <w:rFonts w:ascii="Times New Roman" w:hAnsi="Times New Roman" w:cs="Times New Roman"/>
                <w:sz w:val="24"/>
              </w:rPr>
              <w:t>27＜h≤54</w:t>
            </w:r>
          </w:p>
        </w:tc>
        <w:tc>
          <w:tcPr>
            <w:tcW w:w="1264" w:type="dxa"/>
            <w:tcMar>
              <w:left w:w="108" w:type="dxa"/>
              <w:right w:w="108" w:type="dxa"/>
            </w:tcMar>
            <w:vAlign w:val="center"/>
          </w:tcPr>
          <w:p w14:paraId="5D811DD9">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c>
          <w:tcPr>
            <w:tcW w:w="1212" w:type="dxa"/>
            <w:tcMar>
              <w:left w:w="108" w:type="dxa"/>
              <w:right w:w="108" w:type="dxa"/>
            </w:tcMar>
            <w:vAlign w:val="center"/>
          </w:tcPr>
          <w:p w14:paraId="3D630245">
            <w:pPr>
              <w:spacing w:before="24" w:after="24" w:line="288" w:lineRule="auto"/>
              <w:jc w:val="center"/>
              <w:rPr>
                <w:rFonts w:ascii="Times New Roman" w:hAnsi="Times New Roman" w:cs="Times New Roman"/>
                <w:sz w:val="24"/>
              </w:rPr>
            </w:pPr>
            <w:r>
              <w:rPr>
                <w:rFonts w:ascii="Times New Roman" w:hAnsi="Times New Roman" w:cs="Times New Roman"/>
                <w:sz w:val="24"/>
              </w:rPr>
              <w:t>2</w:t>
            </w:r>
          </w:p>
        </w:tc>
        <w:tc>
          <w:tcPr>
            <w:tcW w:w="1310" w:type="dxa"/>
            <w:tcMar>
              <w:left w:w="108" w:type="dxa"/>
              <w:right w:w="108" w:type="dxa"/>
            </w:tcMar>
            <w:vAlign w:val="center"/>
          </w:tcPr>
          <w:p w14:paraId="1A5AF540">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4A710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7" w:type="dxa"/>
            <w:vMerge w:val="continue"/>
            <w:tcMar>
              <w:left w:w="108" w:type="dxa"/>
              <w:right w:w="108" w:type="dxa"/>
            </w:tcMar>
            <w:vAlign w:val="center"/>
          </w:tcPr>
          <w:p w14:paraId="63B159F1">
            <w:pPr>
              <w:spacing w:before="24" w:after="24" w:line="288" w:lineRule="auto"/>
              <w:jc w:val="center"/>
              <w:rPr>
                <w:rFonts w:ascii="Times New Roman" w:hAnsi="Times New Roman" w:cs="Times New Roman"/>
                <w:sz w:val="24"/>
              </w:rPr>
            </w:pPr>
          </w:p>
        </w:tc>
        <w:tc>
          <w:tcPr>
            <w:tcW w:w="678" w:type="dxa"/>
            <w:vMerge w:val="continue"/>
            <w:tcMar>
              <w:left w:w="108" w:type="dxa"/>
              <w:right w:w="108" w:type="dxa"/>
            </w:tcMar>
            <w:vAlign w:val="center"/>
          </w:tcPr>
          <w:p w14:paraId="25D44E1D">
            <w:pPr>
              <w:spacing w:before="24" w:after="24" w:line="288" w:lineRule="auto"/>
              <w:jc w:val="center"/>
              <w:rPr>
                <w:rFonts w:ascii="Times New Roman" w:hAnsi="Times New Roman" w:cs="Times New Roman"/>
                <w:sz w:val="24"/>
              </w:rPr>
            </w:pPr>
          </w:p>
        </w:tc>
        <w:tc>
          <w:tcPr>
            <w:tcW w:w="2079" w:type="dxa"/>
            <w:vMerge w:val="continue"/>
            <w:tcMar>
              <w:left w:w="108" w:type="dxa"/>
              <w:right w:w="108" w:type="dxa"/>
            </w:tcMar>
            <w:vAlign w:val="center"/>
          </w:tcPr>
          <w:p w14:paraId="5CC58706">
            <w:pPr>
              <w:spacing w:before="24" w:after="24" w:line="288" w:lineRule="auto"/>
              <w:jc w:val="center"/>
              <w:rPr>
                <w:rFonts w:ascii="Times New Roman" w:hAnsi="Times New Roman" w:cs="Times New Roman"/>
                <w:sz w:val="24"/>
              </w:rPr>
            </w:pPr>
          </w:p>
        </w:tc>
        <w:tc>
          <w:tcPr>
            <w:tcW w:w="2330" w:type="dxa"/>
            <w:tcMar>
              <w:left w:w="108" w:type="dxa"/>
              <w:right w:w="108" w:type="dxa"/>
            </w:tcMar>
            <w:vAlign w:val="center"/>
          </w:tcPr>
          <w:p w14:paraId="20D9DEE0">
            <w:pPr>
              <w:spacing w:before="24" w:after="24" w:line="288" w:lineRule="auto"/>
              <w:jc w:val="center"/>
              <w:rPr>
                <w:rFonts w:ascii="Times New Roman" w:hAnsi="Times New Roman" w:cs="Times New Roman"/>
                <w:sz w:val="24"/>
              </w:rPr>
            </w:pPr>
            <w:r>
              <w:rPr>
                <w:rFonts w:ascii="Times New Roman" w:hAnsi="Times New Roman" w:cs="Times New Roman"/>
                <w:sz w:val="24"/>
              </w:rPr>
              <w:t>h＞54</w:t>
            </w:r>
          </w:p>
        </w:tc>
        <w:tc>
          <w:tcPr>
            <w:tcW w:w="1264" w:type="dxa"/>
            <w:tcMar>
              <w:left w:w="108" w:type="dxa"/>
              <w:right w:w="108" w:type="dxa"/>
            </w:tcMar>
            <w:vAlign w:val="center"/>
          </w:tcPr>
          <w:p w14:paraId="61480E37">
            <w:pPr>
              <w:spacing w:before="24" w:after="24" w:line="288" w:lineRule="auto"/>
              <w:jc w:val="center"/>
              <w:rPr>
                <w:rFonts w:ascii="Times New Roman" w:hAnsi="Times New Roman" w:cs="Times New Roman"/>
                <w:sz w:val="24"/>
              </w:rPr>
            </w:pPr>
            <w:r>
              <w:rPr>
                <w:rFonts w:ascii="Times New Roman" w:hAnsi="Times New Roman" w:cs="Times New Roman"/>
                <w:sz w:val="24"/>
              </w:rPr>
              <w:t>20</w:t>
            </w:r>
          </w:p>
        </w:tc>
        <w:tc>
          <w:tcPr>
            <w:tcW w:w="1212" w:type="dxa"/>
            <w:tcMar>
              <w:left w:w="108" w:type="dxa"/>
              <w:right w:w="108" w:type="dxa"/>
            </w:tcMar>
            <w:vAlign w:val="center"/>
          </w:tcPr>
          <w:p w14:paraId="245641D4">
            <w:pPr>
              <w:spacing w:before="24" w:after="24" w:line="288" w:lineRule="auto"/>
              <w:jc w:val="center"/>
              <w:rPr>
                <w:rFonts w:ascii="Times New Roman" w:hAnsi="Times New Roman" w:cs="Times New Roman"/>
                <w:sz w:val="24"/>
              </w:rPr>
            </w:pPr>
            <w:r>
              <w:rPr>
                <w:rFonts w:ascii="Times New Roman" w:hAnsi="Times New Roman" w:cs="Times New Roman"/>
                <w:sz w:val="24"/>
              </w:rPr>
              <w:t>4</w:t>
            </w:r>
          </w:p>
        </w:tc>
        <w:tc>
          <w:tcPr>
            <w:tcW w:w="1310" w:type="dxa"/>
            <w:tcMar>
              <w:left w:w="108" w:type="dxa"/>
              <w:right w:w="108" w:type="dxa"/>
            </w:tcMar>
            <w:vAlign w:val="center"/>
          </w:tcPr>
          <w:p w14:paraId="1C28206F">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5784C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7" w:type="dxa"/>
            <w:vMerge w:val="continue"/>
            <w:tcMar>
              <w:left w:w="108" w:type="dxa"/>
              <w:right w:w="108" w:type="dxa"/>
            </w:tcMar>
            <w:vAlign w:val="center"/>
          </w:tcPr>
          <w:p w14:paraId="6C55D6D7">
            <w:pPr>
              <w:spacing w:before="24" w:after="24" w:line="288" w:lineRule="auto"/>
              <w:jc w:val="center"/>
              <w:rPr>
                <w:rFonts w:ascii="Times New Roman" w:hAnsi="Times New Roman" w:cs="Times New Roman"/>
                <w:sz w:val="24"/>
              </w:rPr>
            </w:pPr>
          </w:p>
        </w:tc>
        <w:tc>
          <w:tcPr>
            <w:tcW w:w="678" w:type="dxa"/>
            <w:vMerge w:val="continue"/>
            <w:tcMar>
              <w:left w:w="108" w:type="dxa"/>
              <w:right w:w="108" w:type="dxa"/>
            </w:tcMar>
            <w:vAlign w:val="center"/>
          </w:tcPr>
          <w:p w14:paraId="341FD4AB">
            <w:pPr>
              <w:spacing w:before="24" w:after="24" w:line="288" w:lineRule="auto"/>
              <w:jc w:val="center"/>
              <w:rPr>
                <w:rFonts w:ascii="Times New Roman" w:hAnsi="Times New Roman" w:cs="Times New Roman"/>
                <w:sz w:val="24"/>
              </w:rPr>
            </w:pPr>
          </w:p>
        </w:tc>
        <w:tc>
          <w:tcPr>
            <w:tcW w:w="2079" w:type="dxa"/>
            <w:tcMar>
              <w:left w:w="108" w:type="dxa"/>
              <w:right w:w="108" w:type="dxa"/>
            </w:tcMar>
            <w:vAlign w:val="center"/>
          </w:tcPr>
          <w:p w14:paraId="442E6097">
            <w:pPr>
              <w:spacing w:before="24" w:after="24" w:line="288" w:lineRule="auto"/>
              <w:jc w:val="center"/>
              <w:rPr>
                <w:rFonts w:ascii="Times New Roman" w:hAnsi="Times New Roman" w:cs="Times New Roman"/>
                <w:sz w:val="24"/>
              </w:rPr>
            </w:pPr>
            <w:r>
              <w:rPr>
                <w:rFonts w:ascii="Times New Roman" w:hAnsi="Times New Roman" w:cs="Times New Roman"/>
                <w:sz w:val="24"/>
              </w:rPr>
              <w:t>二类公共建筑</w:t>
            </w:r>
          </w:p>
        </w:tc>
        <w:tc>
          <w:tcPr>
            <w:tcW w:w="2330" w:type="dxa"/>
            <w:tcMar>
              <w:left w:w="108" w:type="dxa"/>
              <w:right w:w="108" w:type="dxa"/>
            </w:tcMar>
            <w:vAlign w:val="center"/>
          </w:tcPr>
          <w:p w14:paraId="423C4ABC">
            <w:pPr>
              <w:spacing w:before="24" w:after="24" w:line="288" w:lineRule="auto"/>
              <w:jc w:val="center"/>
              <w:rPr>
                <w:rFonts w:ascii="Times New Roman" w:hAnsi="Times New Roman" w:cs="Times New Roman"/>
                <w:sz w:val="24"/>
              </w:rPr>
            </w:pPr>
            <w:r>
              <w:rPr>
                <w:rFonts w:ascii="Times New Roman" w:hAnsi="Times New Roman" w:cs="Times New Roman"/>
                <w:sz w:val="24"/>
              </w:rPr>
              <w:t>h≤50</w:t>
            </w:r>
          </w:p>
        </w:tc>
        <w:tc>
          <w:tcPr>
            <w:tcW w:w="1264" w:type="dxa"/>
            <w:tcMar>
              <w:left w:w="108" w:type="dxa"/>
              <w:right w:w="108" w:type="dxa"/>
            </w:tcMar>
            <w:vAlign w:val="center"/>
          </w:tcPr>
          <w:p w14:paraId="1E0BEBE2">
            <w:pPr>
              <w:spacing w:before="24" w:after="24" w:line="288" w:lineRule="auto"/>
              <w:jc w:val="center"/>
              <w:rPr>
                <w:rFonts w:ascii="Times New Roman" w:hAnsi="Times New Roman" w:cs="Times New Roman"/>
                <w:sz w:val="24"/>
              </w:rPr>
            </w:pPr>
            <w:r>
              <w:rPr>
                <w:rFonts w:ascii="Times New Roman" w:hAnsi="Times New Roman" w:cs="Times New Roman"/>
                <w:sz w:val="24"/>
              </w:rPr>
              <w:t>20</w:t>
            </w:r>
          </w:p>
        </w:tc>
        <w:tc>
          <w:tcPr>
            <w:tcW w:w="1212" w:type="dxa"/>
            <w:tcMar>
              <w:left w:w="108" w:type="dxa"/>
              <w:right w:w="108" w:type="dxa"/>
            </w:tcMar>
            <w:vAlign w:val="center"/>
          </w:tcPr>
          <w:p w14:paraId="4A6511EC">
            <w:pPr>
              <w:spacing w:before="24" w:after="24" w:line="288" w:lineRule="auto"/>
              <w:jc w:val="center"/>
              <w:rPr>
                <w:rFonts w:ascii="Times New Roman" w:hAnsi="Times New Roman" w:cs="Times New Roman"/>
                <w:sz w:val="24"/>
              </w:rPr>
            </w:pPr>
            <w:r>
              <w:rPr>
                <w:rFonts w:ascii="Times New Roman" w:hAnsi="Times New Roman" w:cs="Times New Roman"/>
                <w:sz w:val="24"/>
              </w:rPr>
              <w:t>4</w:t>
            </w:r>
          </w:p>
        </w:tc>
        <w:tc>
          <w:tcPr>
            <w:tcW w:w="1310" w:type="dxa"/>
            <w:tcMar>
              <w:left w:w="108" w:type="dxa"/>
              <w:right w:w="108" w:type="dxa"/>
            </w:tcMar>
            <w:vAlign w:val="center"/>
          </w:tcPr>
          <w:p w14:paraId="226D55E4">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78882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7" w:type="dxa"/>
            <w:vMerge w:val="continue"/>
            <w:tcMar>
              <w:left w:w="108" w:type="dxa"/>
              <w:right w:w="108" w:type="dxa"/>
            </w:tcMar>
            <w:vAlign w:val="center"/>
          </w:tcPr>
          <w:p w14:paraId="1BBCF8B9">
            <w:pPr>
              <w:spacing w:before="24" w:after="24" w:line="288" w:lineRule="auto"/>
              <w:jc w:val="center"/>
              <w:rPr>
                <w:rFonts w:ascii="Times New Roman" w:hAnsi="Times New Roman" w:cs="Times New Roman"/>
                <w:sz w:val="24"/>
              </w:rPr>
            </w:pPr>
          </w:p>
        </w:tc>
        <w:tc>
          <w:tcPr>
            <w:tcW w:w="678" w:type="dxa"/>
            <w:vMerge w:val="continue"/>
            <w:tcMar>
              <w:left w:w="108" w:type="dxa"/>
              <w:right w:w="108" w:type="dxa"/>
            </w:tcMar>
            <w:vAlign w:val="center"/>
          </w:tcPr>
          <w:p w14:paraId="3B9EA2BB">
            <w:pPr>
              <w:spacing w:before="24" w:after="24" w:line="288" w:lineRule="auto"/>
              <w:jc w:val="center"/>
              <w:rPr>
                <w:rFonts w:ascii="Times New Roman" w:hAnsi="Times New Roman" w:cs="Times New Roman"/>
                <w:sz w:val="24"/>
              </w:rPr>
            </w:pPr>
          </w:p>
        </w:tc>
        <w:tc>
          <w:tcPr>
            <w:tcW w:w="2079" w:type="dxa"/>
            <w:vMerge w:val="restart"/>
            <w:tcMar>
              <w:left w:w="108" w:type="dxa"/>
              <w:right w:w="108" w:type="dxa"/>
            </w:tcMar>
            <w:vAlign w:val="center"/>
          </w:tcPr>
          <w:p w14:paraId="4FD5AB63">
            <w:pPr>
              <w:spacing w:before="24" w:after="24" w:line="288" w:lineRule="auto"/>
              <w:jc w:val="center"/>
              <w:rPr>
                <w:rFonts w:ascii="Times New Roman" w:hAnsi="Times New Roman" w:cs="Times New Roman"/>
                <w:sz w:val="24"/>
              </w:rPr>
            </w:pPr>
            <w:r>
              <w:rPr>
                <w:rFonts w:ascii="Times New Roman" w:hAnsi="Times New Roman" w:cs="Times New Roman"/>
                <w:sz w:val="24"/>
              </w:rPr>
              <w:t>一类公共建筑</w:t>
            </w:r>
          </w:p>
        </w:tc>
        <w:tc>
          <w:tcPr>
            <w:tcW w:w="2330" w:type="dxa"/>
            <w:tcMar>
              <w:left w:w="108" w:type="dxa"/>
              <w:right w:w="108" w:type="dxa"/>
            </w:tcMar>
            <w:vAlign w:val="center"/>
          </w:tcPr>
          <w:p w14:paraId="531CCB6E">
            <w:pPr>
              <w:spacing w:before="24" w:after="24" w:line="288" w:lineRule="auto"/>
              <w:jc w:val="center"/>
              <w:rPr>
                <w:rFonts w:ascii="Times New Roman" w:hAnsi="Times New Roman" w:cs="Times New Roman"/>
                <w:sz w:val="24"/>
              </w:rPr>
            </w:pPr>
            <w:r>
              <w:rPr>
                <w:rFonts w:ascii="Times New Roman" w:hAnsi="Times New Roman" w:cs="Times New Roman"/>
                <w:sz w:val="24"/>
              </w:rPr>
              <w:t>h≤50</w:t>
            </w:r>
          </w:p>
        </w:tc>
        <w:tc>
          <w:tcPr>
            <w:tcW w:w="1264" w:type="dxa"/>
            <w:tcMar>
              <w:left w:w="108" w:type="dxa"/>
              <w:right w:w="108" w:type="dxa"/>
            </w:tcMar>
            <w:vAlign w:val="center"/>
          </w:tcPr>
          <w:p w14:paraId="12B52C55">
            <w:pPr>
              <w:spacing w:before="24" w:after="24" w:line="288" w:lineRule="auto"/>
              <w:jc w:val="center"/>
              <w:rPr>
                <w:rFonts w:ascii="Times New Roman" w:hAnsi="Times New Roman" w:cs="Times New Roman"/>
                <w:sz w:val="24"/>
              </w:rPr>
            </w:pPr>
            <w:r>
              <w:rPr>
                <w:rFonts w:ascii="Times New Roman" w:hAnsi="Times New Roman" w:cs="Times New Roman"/>
                <w:sz w:val="24"/>
              </w:rPr>
              <w:t>30</w:t>
            </w:r>
          </w:p>
        </w:tc>
        <w:tc>
          <w:tcPr>
            <w:tcW w:w="1212" w:type="dxa"/>
            <w:tcMar>
              <w:left w:w="108" w:type="dxa"/>
              <w:right w:w="108" w:type="dxa"/>
            </w:tcMar>
            <w:vAlign w:val="center"/>
          </w:tcPr>
          <w:p w14:paraId="4B726589">
            <w:pPr>
              <w:spacing w:before="24" w:after="24" w:line="288" w:lineRule="auto"/>
              <w:jc w:val="center"/>
              <w:rPr>
                <w:rFonts w:ascii="Times New Roman" w:hAnsi="Times New Roman" w:cs="Times New Roman"/>
                <w:sz w:val="24"/>
              </w:rPr>
            </w:pPr>
            <w:r>
              <w:rPr>
                <w:rFonts w:ascii="Times New Roman" w:hAnsi="Times New Roman" w:cs="Times New Roman"/>
                <w:sz w:val="24"/>
              </w:rPr>
              <w:t>6</w:t>
            </w:r>
          </w:p>
        </w:tc>
        <w:tc>
          <w:tcPr>
            <w:tcW w:w="1310" w:type="dxa"/>
            <w:tcMar>
              <w:left w:w="108" w:type="dxa"/>
              <w:right w:w="108" w:type="dxa"/>
            </w:tcMar>
            <w:vAlign w:val="center"/>
          </w:tcPr>
          <w:p w14:paraId="7EAE1C7F">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r>
      <w:tr w14:paraId="706A7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7" w:type="dxa"/>
            <w:vMerge w:val="continue"/>
            <w:tcMar>
              <w:left w:w="108" w:type="dxa"/>
              <w:right w:w="108" w:type="dxa"/>
            </w:tcMar>
            <w:vAlign w:val="center"/>
          </w:tcPr>
          <w:p w14:paraId="1AF0EF14">
            <w:pPr>
              <w:spacing w:before="24" w:after="24" w:line="288" w:lineRule="auto"/>
              <w:jc w:val="center"/>
              <w:rPr>
                <w:rFonts w:ascii="Times New Roman" w:hAnsi="Times New Roman" w:cs="Times New Roman"/>
                <w:sz w:val="24"/>
              </w:rPr>
            </w:pPr>
          </w:p>
        </w:tc>
        <w:tc>
          <w:tcPr>
            <w:tcW w:w="678" w:type="dxa"/>
            <w:vMerge w:val="continue"/>
            <w:tcMar>
              <w:left w:w="108" w:type="dxa"/>
              <w:right w:w="108" w:type="dxa"/>
            </w:tcMar>
            <w:vAlign w:val="center"/>
          </w:tcPr>
          <w:p w14:paraId="2810933B">
            <w:pPr>
              <w:spacing w:before="24" w:after="24" w:line="288" w:lineRule="auto"/>
              <w:jc w:val="center"/>
              <w:rPr>
                <w:rFonts w:ascii="Times New Roman" w:hAnsi="Times New Roman" w:cs="Times New Roman"/>
                <w:sz w:val="24"/>
              </w:rPr>
            </w:pPr>
          </w:p>
        </w:tc>
        <w:tc>
          <w:tcPr>
            <w:tcW w:w="2079" w:type="dxa"/>
            <w:vMerge w:val="continue"/>
            <w:tcMar>
              <w:left w:w="108" w:type="dxa"/>
              <w:right w:w="108" w:type="dxa"/>
            </w:tcMar>
            <w:vAlign w:val="center"/>
          </w:tcPr>
          <w:p w14:paraId="1EED046B">
            <w:pPr>
              <w:spacing w:before="24" w:after="24" w:line="288" w:lineRule="auto"/>
              <w:jc w:val="center"/>
              <w:rPr>
                <w:rFonts w:ascii="Times New Roman" w:hAnsi="Times New Roman" w:cs="Times New Roman"/>
                <w:sz w:val="24"/>
              </w:rPr>
            </w:pPr>
          </w:p>
        </w:tc>
        <w:tc>
          <w:tcPr>
            <w:tcW w:w="2330" w:type="dxa"/>
            <w:tcMar>
              <w:left w:w="108" w:type="dxa"/>
              <w:right w:w="108" w:type="dxa"/>
            </w:tcMar>
            <w:vAlign w:val="center"/>
          </w:tcPr>
          <w:p w14:paraId="05CF4960">
            <w:pPr>
              <w:spacing w:before="24" w:after="24" w:line="288" w:lineRule="auto"/>
              <w:jc w:val="center"/>
              <w:rPr>
                <w:rFonts w:ascii="Times New Roman" w:hAnsi="Times New Roman" w:cs="Times New Roman"/>
                <w:sz w:val="24"/>
              </w:rPr>
            </w:pPr>
            <w:r>
              <w:rPr>
                <w:rFonts w:ascii="Times New Roman" w:hAnsi="Times New Roman" w:cs="Times New Roman"/>
                <w:sz w:val="24"/>
              </w:rPr>
              <w:t>h＞50</w:t>
            </w:r>
          </w:p>
        </w:tc>
        <w:tc>
          <w:tcPr>
            <w:tcW w:w="1264" w:type="dxa"/>
            <w:tcMar>
              <w:left w:w="108" w:type="dxa"/>
              <w:right w:w="108" w:type="dxa"/>
            </w:tcMar>
            <w:vAlign w:val="center"/>
          </w:tcPr>
          <w:p w14:paraId="7C3EACCE">
            <w:pPr>
              <w:spacing w:before="24" w:after="24" w:line="288" w:lineRule="auto"/>
              <w:jc w:val="center"/>
              <w:rPr>
                <w:rFonts w:ascii="Times New Roman" w:hAnsi="Times New Roman" w:cs="Times New Roman"/>
                <w:sz w:val="24"/>
              </w:rPr>
            </w:pPr>
            <w:r>
              <w:rPr>
                <w:rFonts w:ascii="Times New Roman" w:hAnsi="Times New Roman" w:cs="Times New Roman"/>
                <w:sz w:val="24"/>
              </w:rPr>
              <w:t>40</w:t>
            </w:r>
          </w:p>
        </w:tc>
        <w:tc>
          <w:tcPr>
            <w:tcW w:w="1212" w:type="dxa"/>
            <w:tcMar>
              <w:left w:w="108" w:type="dxa"/>
              <w:right w:w="108" w:type="dxa"/>
            </w:tcMar>
            <w:vAlign w:val="center"/>
          </w:tcPr>
          <w:p w14:paraId="0B785F3D">
            <w:pPr>
              <w:spacing w:before="24" w:after="24" w:line="288" w:lineRule="auto"/>
              <w:jc w:val="center"/>
              <w:rPr>
                <w:rFonts w:ascii="Times New Roman" w:hAnsi="Times New Roman" w:cs="Times New Roman"/>
                <w:sz w:val="24"/>
              </w:rPr>
            </w:pPr>
            <w:r>
              <w:rPr>
                <w:rFonts w:ascii="Times New Roman" w:hAnsi="Times New Roman" w:cs="Times New Roman"/>
                <w:sz w:val="24"/>
              </w:rPr>
              <w:t>8</w:t>
            </w:r>
          </w:p>
        </w:tc>
        <w:tc>
          <w:tcPr>
            <w:tcW w:w="1310" w:type="dxa"/>
            <w:tcMar>
              <w:left w:w="108" w:type="dxa"/>
              <w:right w:w="108" w:type="dxa"/>
            </w:tcMar>
            <w:vAlign w:val="center"/>
          </w:tcPr>
          <w:p w14:paraId="23EA5924">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r>
    </w:tbl>
    <w:p w14:paraId="3EDCC80B">
      <w:pPr>
        <w:spacing w:before="24" w:after="24"/>
        <w:ind w:firstLine="560" w:firstLineChars="200"/>
        <w:rPr>
          <w:rFonts w:ascii="Times New Roman" w:hAnsi="Times New Roman" w:cs="Times New Roman"/>
        </w:rPr>
      </w:pPr>
      <w:r>
        <w:rPr>
          <w:rFonts w:ascii="Times New Roman" w:hAnsi="Times New Roman" w:cs="Times New Roman"/>
        </w:rPr>
        <w:t>3.汽车库</w:t>
      </w:r>
    </w:p>
    <w:tbl>
      <w:tblPr>
        <w:tblStyle w:val="31"/>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764"/>
        <w:gridCol w:w="3102"/>
        <w:gridCol w:w="2411"/>
      </w:tblGrid>
      <w:tr w14:paraId="77B69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2028" w:type="pct"/>
            <w:tcBorders>
              <w:top w:val="single" w:color="000000" w:sz="4" w:space="0"/>
              <w:left w:val="single" w:color="000000" w:sz="4" w:space="0"/>
              <w:bottom w:val="single" w:color="000000" w:sz="4" w:space="0"/>
              <w:right w:val="single" w:color="000000" w:sz="4" w:space="0"/>
            </w:tcBorders>
            <w:vAlign w:val="center"/>
          </w:tcPr>
          <w:p w14:paraId="36F314CE">
            <w:pPr>
              <w:spacing w:before="24" w:after="24" w:line="288" w:lineRule="auto"/>
              <w:jc w:val="center"/>
              <w:rPr>
                <w:rFonts w:ascii="Times New Roman" w:hAnsi="Times New Roman" w:cs="Times New Roman"/>
                <w:sz w:val="24"/>
              </w:rPr>
            </w:pPr>
            <w:r>
              <w:rPr>
                <w:rFonts w:ascii="Times New Roman" w:hAnsi="Times New Roman" w:cs="Times New Roman"/>
                <w:sz w:val="24"/>
              </w:rPr>
              <w:t>汽车库类别</w:t>
            </w:r>
          </w:p>
        </w:tc>
        <w:tc>
          <w:tcPr>
            <w:tcW w:w="1671" w:type="pct"/>
            <w:tcBorders>
              <w:top w:val="single" w:color="000000" w:sz="4" w:space="0"/>
              <w:left w:val="single" w:color="000000" w:sz="4" w:space="0"/>
              <w:bottom w:val="single" w:color="000000" w:sz="4" w:space="0"/>
              <w:right w:val="single" w:color="000000" w:sz="4" w:space="0"/>
            </w:tcBorders>
            <w:vAlign w:val="center"/>
          </w:tcPr>
          <w:p w14:paraId="2671EF44">
            <w:pPr>
              <w:spacing w:before="24" w:after="24" w:line="288" w:lineRule="auto"/>
              <w:jc w:val="center"/>
              <w:rPr>
                <w:rFonts w:ascii="Times New Roman" w:hAnsi="Times New Roman" w:cs="Times New Roman"/>
                <w:sz w:val="24"/>
              </w:rPr>
            </w:pPr>
            <w:r>
              <w:rPr>
                <w:rFonts w:ascii="Times New Roman" w:hAnsi="Times New Roman" w:cs="Times New Roman"/>
                <w:sz w:val="24"/>
              </w:rPr>
              <w:t>停车数量（辆）</w:t>
            </w:r>
          </w:p>
        </w:tc>
        <w:tc>
          <w:tcPr>
            <w:tcW w:w="1299" w:type="pct"/>
            <w:tcBorders>
              <w:top w:val="single" w:color="000000" w:sz="4" w:space="0"/>
              <w:left w:val="single" w:color="000000" w:sz="4" w:space="0"/>
              <w:bottom w:val="single" w:color="000000" w:sz="4" w:space="0"/>
              <w:right w:val="single" w:color="000000" w:sz="4" w:space="0"/>
            </w:tcBorders>
            <w:vAlign w:val="center"/>
          </w:tcPr>
          <w:p w14:paraId="7BF4C1AA">
            <w:pPr>
              <w:spacing w:before="24" w:after="24" w:line="288" w:lineRule="auto"/>
              <w:jc w:val="center"/>
              <w:rPr>
                <w:rFonts w:ascii="Times New Roman" w:hAnsi="Times New Roman" w:cs="Times New Roman"/>
                <w:sz w:val="24"/>
              </w:rPr>
            </w:pPr>
            <w:r>
              <w:rPr>
                <w:rFonts w:ascii="Times New Roman" w:hAnsi="Times New Roman" w:cs="Times New Roman"/>
                <w:sz w:val="24"/>
              </w:rPr>
              <w:t>设计流量（L/s）</w:t>
            </w:r>
          </w:p>
        </w:tc>
      </w:tr>
      <w:tr w14:paraId="117EF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6" w:hRule="atLeast"/>
        </w:trPr>
        <w:tc>
          <w:tcPr>
            <w:tcW w:w="2028" w:type="pct"/>
            <w:tcBorders>
              <w:top w:val="single" w:color="000000" w:sz="4" w:space="0"/>
              <w:left w:val="single" w:color="000000" w:sz="4" w:space="0"/>
              <w:bottom w:val="single" w:color="000000" w:sz="4" w:space="0"/>
              <w:right w:val="single" w:color="000000" w:sz="4" w:space="0"/>
            </w:tcBorders>
            <w:vAlign w:val="center"/>
          </w:tcPr>
          <w:p w14:paraId="34093ED6">
            <w:pPr>
              <w:spacing w:before="24" w:after="24" w:line="288" w:lineRule="auto"/>
              <w:jc w:val="center"/>
              <w:rPr>
                <w:rFonts w:ascii="Times New Roman" w:hAnsi="Times New Roman" w:cs="Times New Roman"/>
                <w:sz w:val="24"/>
              </w:rPr>
            </w:pPr>
            <w:r>
              <w:rPr>
                <w:rFonts w:ascii="Times New Roman" w:hAnsi="Times New Roman" w:cs="Times New Roman"/>
                <w:sz w:val="24"/>
              </w:rPr>
              <w:t>Ⅰ、Ⅱ、Ⅲ类汽车库</w:t>
            </w:r>
          </w:p>
        </w:tc>
        <w:tc>
          <w:tcPr>
            <w:tcW w:w="1671" w:type="pct"/>
            <w:tcBorders>
              <w:top w:val="single" w:color="000000" w:sz="4" w:space="0"/>
              <w:left w:val="single" w:color="000000" w:sz="4" w:space="0"/>
              <w:bottom w:val="single" w:color="000000" w:sz="4" w:space="0"/>
              <w:right w:val="single" w:color="000000" w:sz="4" w:space="0"/>
            </w:tcBorders>
            <w:vAlign w:val="center"/>
          </w:tcPr>
          <w:p w14:paraId="61BC5BB3">
            <w:pPr>
              <w:spacing w:before="24" w:after="24" w:line="288" w:lineRule="auto"/>
              <w:jc w:val="center"/>
              <w:rPr>
                <w:rFonts w:ascii="Times New Roman" w:hAnsi="Times New Roman" w:cs="Times New Roman"/>
                <w:sz w:val="24"/>
              </w:rPr>
            </w:pPr>
            <w:r>
              <w:rPr>
                <w:rFonts w:ascii="Times New Roman" w:hAnsi="Times New Roman" w:cs="Times New Roman"/>
                <w:sz w:val="24"/>
              </w:rPr>
              <w:t>≥51</w:t>
            </w:r>
          </w:p>
        </w:tc>
        <w:tc>
          <w:tcPr>
            <w:tcW w:w="1299" w:type="pct"/>
            <w:tcBorders>
              <w:top w:val="single" w:color="000000" w:sz="4" w:space="0"/>
              <w:left w:val="single" w:color="000000" w:sz="4" w:space="0"/>
              <w:bottom w:val="single" w:color="000000" w:sz="4" w:space="0"/>
              <w:right w:val="single" w:color="000000" w:sz="4" w:space="0"/>
            </w:tcBorders>
            <w:vAlign w:val="center"/>
          </w:tcPr>
          <w:p w14:paraId="1216D891">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2E410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2028" w:type="pct"/>
            <w:tcBorders>
              <w:top w:val="single" w:color="000000" w:sz="4" w:space="0"/>
              <w:left w:val="single" w:color="000000" w:sz="4" w:space="0"/>
              <w:bottom w:val="single" w:color="000000" w:sz="4" w:space="0"/>
              <w:right w:val="single" w:color="000000" w:sz="4" w:space="0"/>
            </w:tcBorders>
            <w:vAlign w:val="center"/>
          </w:tcPr>
          <w:p w14:paraId="4E5B604D">
            <w:pPr>
              <w:spacing w:before="24" w:after="24" w:line="288" w:lineRule="auto"/>
              <w:jc w:val="center"/>
              <w:rPr>
                <w:rFonts w:ascii="Times New Roman" w:hAnsi="Times New Roman" w:cs="Times New Roman"/>
                <w:sz w:val="24"/>
              </w:rPr>
            </w:pPr>
            <w:r>
              <w:rPr>
                <w:rFonts w:ascii="Times New Roman" w:hAnsi="Times New Roman" w:cs="Times New Roman"/>
                <w:sz w:val="24"/>
              </w:rPr>
              <w:t>Ⅳ类汽车库</w:t>
            </w:r>
          </w:p>
        </w:tc>
        <w:tc>
          <w:tcPr>
            <w:tcW w:w="1671" w:type="pct"/>
            <w:tcBorders>
              <w:top w:val="single" w:color="000000" w:sz="4" w:space="0"/>
              <w:left w:val="single" w:color="000000" w:sz="4" w:space="0"/>
              <w:bottom w:val="single" w:color="000000" w:sz="4" w:space="0"/>
              <w:right w:val="single" w:color="000000" w:sz="4" w:space="0"/>
            </w:tcBorders>
            <w:vAlign w:val="center"/>
          </w:tcPr>
          <w:p w14:paraId="228A5499">
            <w:pPr>
              <w:spacing w:before="24" w:after="24" w:line="288" w:lineRule="auto"/>
              <w:jc w:val="center"/>
              <w:rPr>
                <w:rFonts w:ascii="Times New Roman" w:hAnsi="Times New Roman" w:cs="Times New Roman"/>
                <w:sz w:val="24"/>
              </w:rPr>
            </w:pPr>
            <w:r>
              <w:rPr>
                <w:rFonts w:ascii="Times New Roman" w:hAnsi="Times New Roman" w:cs="Times New Roman"/>
                <w:sz w:val="24"/>
              </w:rPr>
              <w:t>≤50</w:t>
            </w:r>
          </w:p>
        </w:tc>
        <w:tc>
          <w:tcPr>
            <w:tcW w:w="1299" w:type="pct"/>
            <w:tcBorders>
              <w:top w:val="single" w:color="000000" w:sz="4" w:space="0"/>
              <w:left w:val="single" w:color="000000" w:sz="4" w:space="0"/>
              <w:bottom w:val="single" w:color="000000" w:sz="4" w:space="0"/>
              <w:right w:val="single" w:color="000000" w:sz="4" w:space="0"/>
            </w:tcBorders>
            <w:vAlign w:val="center"/>
          </w:tcPr>
          <w:p w14:paraId="2FDC3744">
            <w:pPr>
              <w:spacing w:before="24" w:after="24" w:line="288" w:lineRule="auto"/>
              <w:jc w:val="center"/>
              <w:rPr>
                <w:rFonts w:ascii="Times New Roman" w:hAnsi="Times New Roman" w:cs="Times New Roman"/>
                <w:sz w:val="24"/>
              </w:rPr>
            </w:pPr>
            <w:r>
              <w:rPr>
                <w:rFonts w:ascii="Times New Roman" w:hAnsi="Times New Roman" w:cs="Times New Roman"/>
                <w:sz w:val="24"/>
              </w:rPr>
              <w:t>5</w:t>
            </w:r>
          </w:p>
        </w:tc>
      </w:tr>
    </w:tbl>
    <w:p w14:paraId="0F113C16">
      <w:pPr>
        <w:spacing w:before="24" w:after="24"/>
        <w:ind w:firstLine="560" w:firstLineChars="200"/>
        <w:rPr>
          <w:rFonts w:ascii="Times New Roman" w:hAnsi="Times New Roman" w:cs="Times New Roman"/>
        </w:rPr>
      </w:pPr>
      <w:r>
        <w:rPr>
          <w:rFonts w:ascii="Times New Roman" w:hAnsi="Times New Roman" w:cs="Times New Roman"/>
        </w:rPr>
        <w:t>4.7.3喷淋设计流量标准</w:t>
      </w:r>
    </w:p>
    <w:tbl>
      <w:tblPr>
        <w:tblStyle w:val="31"/>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63"/>
        <w:gridCol w:w="1509"/>
        <w:gridCol w:w="1703"/>
        <w:gridCol w:w="2213"/>
        <w:gridCol w:w="1589"/>
      </w:tblGrid>
      <w:tr w14:paraId="64C13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5" w:hRule="atLeast"/>
        </w:trPr>
        <w:tc>
          <w:tcPr>
            <w:tcW w:w="2032" w:type="pct"/>
            <w:gridSpan w:val="2"/>
            <w:tcBorders>
              <w:top w:val="single" w:color="000000" w:sz="4" w:space="0"/>
              <w:left w:val="single" w:color="000000" w:sz="4" w:space="0"/>
              <w:bottom w:val="single" w:color="000000" w:sz="4" w:space="0"/>
              <w:right w:val="single" w:color="000000" w:sz="4" w:space="0"/>
            </w:tcBorders>
            <w:vAlign w:val="center"/>
          </w:tcPr>
          <w:p w14:paraId="233ACE2B">
            <w:pPr>
              <w:spacing w:before="24" w:after="24" w:line="288" w:lineRule="auto"/>
              <w:jc w:val="center"/>
              <w:rPr>
                <w:rFonts w:ascii="Times New Roman" w:hAnsi="Times New Roman" w:cs="Times New Roman"/>
                <w:sz w:val="24"/>
              </w:rPr>
            </w:pPr>
            <w:r>
              <w:rPr>
                <w:rFonts w:ascii="Times New Roman" w:hAnsi="Times New Roman" w:cs="Times New Roman"/>
                <w:sz w:val="24"/>
              </w:rPr>
              <w:t>火灾危险等级</w:t>
            </w:r>
          </w:p>
        </w:tc>
        <w:tc>
          <w:tcPr>
            <w:tcW w:w="917" w:type="pct"/>
            <w:tcBorders>
              <w:top w:val="single" w:color="000000" w:sz="4" w:space="0"/>
              <w:left w:val="single" w:color="000000" w:sz="4" w:space="0"/>
              <w:bottom w:val="single" w:color="000000" w:sz="4" w:space="0"/>
              <w:right w:val="single" w:color="000000" w:sz="4" w:space="0"/>
            </w:tcBorders>
            <w:vAlign w:val="center"/>
          </w:tcPr>
          <w:p w14:paraId="2204079D">
            <w:pPr>
              <w:spacing w:before="24" w:after="24" w:line="288" w:lineRule="auto"/>
              <w:jc w:val="center"/>
              <w:rPr>
                <w:rFonts w:ascii="Times New Roman" w:hAnsi="Times New Roman" w:cs="Times New Roman"/>
                <w:sz w:val="24"/>
              </w:rPr>
            </w:pPr>
            <w:r>
              <w:rPr>
                <w:rFonts w:ascii="Times New Roman" w:hAnsi="Times New Roman" w:cs="Times New Roman"/>
                <w:sz w:val="24"/>
              </w:rPr>
              <w:t>最大净空</w:t>
            </w:r>
          </w:p>
          <w:p w14:paraId="0FA4CA29">
            <w:pPr>
              <w:spacing w:before="24" w:after="24" w:line="288" w:lineRule="auto"/>
              <w:jc w:val="center"/>
              <w:rPr>
                <w:rFonts w:ascii="Times New Roman" w:hAnsi="Times New Roman" w:cs="Times New Roman"/>
                <w:sz w:val="24"/>
              </w:rPr>
            </w:pPr>
            <w:r>
              <w:rPr>
                <w:rFonts w:ascii="Times New Roman" w:hAnsi="Times New Roman" w:cs="Times New Roman"/>
                <w:sz w:val="24"/>
              </w:rPr>
              <w:t>高度h（m）</w:t>
            </w:r>
          </w:p>
        </w:tc>
        <w:tc>
          <w:tcPr>
            <w:tcW w:w="1192" w:type="pct"/>
            <w:tcBorders>
              <w:top w:val="single" w:color="000000" w:sz="4" w:space="0"/>
              <w:left w:val="single" w:color="000000" w:sz="4" w:space="0"/>
              <w:bottom w:val="single" w:color="000000" w:sz="4" w:space="0"/>
              <w:right w:val="single" w:color="000000" w:sz="4" w:space="0"/>
            </w:tcBorders>
            <w:vAlign w:val="center"/>
          </w:tcPr>
          <w:p w14:paraId="3FEC3C3E">
            <w:pPr>
              <w:spacing w:before="24" w:after="24" w:line="288" w:lineRule="auto"/>
              <w:jc w:val="center"/>
              <w:rPr>
                <w:rFonts w:ascii="Times New Roman" w:hAnsi="Times New Roman" w:cs="Times New Roman"/>
                <w:sz w:val="24"/>
              </w:rPr>
            </w:pPr>
            <w:r>
              <w:rPr>
                <w:rFonts w:ascii="Times New Roman" w:hAnsi="Times New Roman" w:cs="Times New Roman"/>
                <w:sz w:val="24"/>
              </w:rPr>
              <w:t>喷水强度</w:t>
            </w:r>
          </w:p>
          <w:p w14:paraId="64CFFCF3">
            <w:pPr>
              <w:spacing w:before="24" w:after="24" w:line="288" w:lineRule="auto"/>
              <w:jc w:val="center"/>
              <w:rPr>
                <w:rFonts w:ascii="Times New Roman" w:hAnsi="Times New Roman" w:cs="Times New Roman"/>
                <w:sz w:val="24"/>
              </w:rPr>
            </w:pPr>
            <w:r>
              <w:rPr>
                <w:rFonts w:ascii="Times New Roman" w:hAnsi="Times New Roman" w:cs="Times New Roman"/>
                <w:sz w:val="24"/>
              </w:rPr>
              <w:t>[L/（min·m²）]</w:t>
            </w:r>
          </w:p>
        </w:tc>
        <w:tc>
          <w:tcPr>
            <w:tcW w:w="856" w:type="pct"/>
            <w:tcBorders>
              <w:top w:val="single" w:color="000000" w:sz="4" w:space="0"/>
              <w:left w:val="single" w:color="000000" w:sz="4" w:space="0"/>
              <w:bottom w:val="single" w:color="000000" w:sz="4" w:space="0"/>
              <w:right w:val="single" w:color="000000" w:sz="4" w:space="0"/>
            </w:tcBorders>
            <w:vAlign w:val="center"/>
          </w:tcPr>
          <w:p w14:paraId="1A27DBBC">
            <w:pPr>
              <w:spacing w:before="24" w:after="24" w:line="288" w:lineRule="auto"/>
              <w:jc w:val="center"/>
              <w:rPr>
                <w:rFonts w:ascii="Times New Roman" w:hAnsi="Times New Roman" w:cs="Times New Roman"/>
                <w:sz w:val="24"/>
              </w:rPr>
            </w:pPr>
            <w:r>
              <w:rPr>
                <w:rFonts w:ascii="Times New Roman" w:hAnsi="Times New Roman" w:cs="Times New Roman"/>
                <w:sz w:val="24"/>
              </w:rPr>
              <w:t>作用面积</w:t>
            </w:r>
          </w:p>
          <w:p w14:paraId="06256C87">
            <w:pPr>
              <w:spacing w:before="24" w:after="24" w:line="288" w:lineRule="auto"/>
              <w:jc w:val="center"/>
              <w:rPr>
                <w:rFonts w:ascii="Times New Roman" w:hAnsi="Times New Roman" w:cs="Times New Roman"/>
                <w:sz w:val="24"/>
              </w:rPr>
            </w:pPr>
            <w:r>
              <w:rPr>
                <w:rFonts w:ascii="Times New Roman" w:hAnsi="Times New Roman" w:cs="Times New Roman"/>
                <w:sz w:val="24"/>
              </w:rPr>
              <w:t>（m²）</w:t>
            </w:r>
          </w:p>
        </w:tc>
      </w:tr>
      <w:tr w14:paraId="17EB3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0" w:hRule="atLeast"/>
        </w:trPr>
        <w:tc>
          <w:tcPr>
            <w:tcW w:w="2032" w:type="pct"/>
            <w:gridSpan w:val="2"/>
            <w:tcBorders>
              <w:top w:val="single" w:color="000000" w:sz="4" w:space="0"/>
              <w:left w:val="single" w:color="000000" w:sz="4" w:space="0"/>
              <w:bottom w:val="single" w:color="000000" w:sz="4" w:space="0"/>
              <w:right w:val="single" w:color="000000" w:sz="4" w:space="0"/>
            </w:tcBorders>
            <w:vAlign w:val="center"/>
          </w:tcPr>
          <w:p w14:paraId="637A4B9D">
            <w:pPr>
              <w:spacing w:before="24" w:after="24" w:line="288" w:lineRule="auto"/>
              <w:jc w:val="center"/>
              <w:rPr>
                <w:rFonts w:ascii="Times New Roman" w:hAnsi="Times New Roman" w:cs="Times New Roman"/>
                <w:sz w:val="24"/>
              </w:rPr>
            </w:pPr>
            <w:r>
              <w:rPr>
                <w:rFonts w:ascii="Times New Roman" w:hAnsi="Times New Roman" w:cs="Times New Roman"/>
                <w:sz w:val="24"/>
              </w:rPr>
              <w:t>轻危险级</w:t>
            </w:r>
          </w:p>
        </w:tc>
        <w:tc>
          <w:tcPr>
            <w:tcW w:w="917" w:type="pct"/>
            <w:vMerge w:val="restart"/>
            <w:tcBorders>
              <w:top w:val="nil"/>
              <w:left w:val="single" w:color="000000" w:sz="4" w:space="0"/>
              <w:bottom w:val="single" w:color="000000" w:sz="4" w:space="0"/>
              <w:right w:val="single" w:color="000000" w:sz="4" w:space="0"/>
            </w:tcBorders>
            <w:vAlign w:val="center"/>
          </w:tcPr>
          <w:p w14:paraId="65B3AF62">
            <w:pPr>
              <w:spacing w:before="24" w:after="24" w:line="288" w:lineRule="auto"/>
              <w:jc w:val="center"/>
              <w:rPr>
                <w:rFonts w:ascii="Times New Roman" w:hAnsi="Times New Roman" w:cs="Times New Roman"/>
                <w:sz w:val="24"/>
              </w:rPr>
            </w:pPr>
            <w:r>
              <w:rPr>
                <w:rFonts w:ascii="Times New Roman" w:hAnsi="Times New Roman" w:cs="Times New Roman"/>
                <w:sz w:val="24"/>
              </w:rPr>
              <w:t>h≤8</w:t>
            </w:r>
          </w:p>
        </w:tc>
        <w:tc>
          <w:tcPr>
            <w:tcW w:w="1192" w:type="pct"/>
            <w:tcBorders>
              <w:top w:val="single" w:color="000000" w:sz="4" w:space="0"/>
              <w:left w:val="single" w:color="000000" w:sz="4" w:space="0"/>
              <w:bottom w:val="nil"/>
              <w:right w:val="single" w:color="000000" w:sz="4" w:space="0"/>
            </w:tcBorders>
            <w:vAlign w:val="center"/>
          </w:tcPr>
          <w:p w14:paraId="395C2B47">
            <w:pPr>
              <w:spacing w:before="24" w:after="24" w:line="288" w:lineRule="auto"/>
              <w:jc w:val="center"/>
              <w:rPr>
                <w:rFonts w:ascii="Times New Roman" w:hAnsi="Times New Roman" w:cs="Times New Roman"/>
                <w:sz w:val="24"/>
              </w:rPr>
            </w:pPr>
            <w:r>
              <w:rPr>
                <w:rFonts w:ascii="Times New Roman" w:hAnsi="Times New Roman" w:cs="Times New Roman"/>
                <w:sz w:val="24"/>
              </w:rPr>
              <w:t>4</w:t>
            </w:r>
          </w:p>
        </w:tc>
        <w:tc>
          <w:tcPr>
            <w:tcW w:w="856" w:type="pct"/>
            <w:vMerge w:val="restart"/>
            <w:tcBorders>
              <w:top w:val="nil"/>
              <w:left w:val="single" w:color="000000" w:sz="4" w:space="0"/>
              <w:bottom w:val="single" w:color="000000" w:sz="4" w:space="0"/>
              <w:right w:val="single" w:color="000000" w:sz="4" w:space="0"/>
            </w:tcBorders>
            <w:vAlign w:val="center"/>
          </w:tcPr>
          <w:p w14:paraId="1FF5131E">
            <w:pPr>
              <w:spacing w:before="24" w:after="24" w:line="288" w:lineRule="auto"/>
              <w:jc w:val="center"/>
              <w:rPr>
                <w:rFonts w:ascii="Times New Roman" w:hAnsi="Times New Roman" w:cs="Times New Roman"/>
                <w:sz w:val="24"/>
              </w:rPr>
            </w:pPr>
            <w:r>
              <w:rPr>
                <w:rFonts w:ascii="Times New Roman" w:hAnsi="Times New Roman" w:cs="Times New Roman"/>
                <w:sz w:val="24"/>
              </w:rPr>
              <w:t>160</w:t>
            </w:r>
          </w:p>
        </w:tc>
      </w:tr>
      <w:tr w14:paraId="268D3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0" w:hRule="atLeast"/>
        </w:trPr>
        <w:tc>
          <w:tcPr>
            <w:tcW w:w="1219" w:type="pct"/>
            <w:vMerge w:val="restart"/>
            <w:tcBorders>
              <w:top w:val="nil"/>
              <w:left w:val="single" w:color="000000" w:sz="4" w:space="0"/>
              <w:bottom w:val="single" w:color="000000" w:sz="4" w:space="0"/>
              <w:right w:val="single" w:color="000000" w:sz="4" w:space="0"/>
            </w:tcBorders>
            <w:vAlign w:val="center"/>
          </w:tcPr>
          <w:p w14:paraId="355B19F5">
            <w:pPr>
              <w:spacing w:before="24" w:after="24" w:line="288" w:lineRule="auto"/>
              <w:jc w:val="center"/>
              <w:rPr>
                <w:rFonts w:ascii="Times New Roman" w:hAnsi="Times New Roman" w:cs="Times New Roman"/>
                <w:sz w:val="24"/>
              </w:rPr>
            </w:pPr>
            <w:r>
              <w:rPr>
                <w:rFonts w:ascii="Times New Roman" w:hAnsi="Times New Roman" w:cs="Times New Roman"/>
                <w:sz w:val="24"/>
              </w:rPr>
              <w:t>中危险级</w:t>
            </w:r>
          </w:p>
        </w:tc>
        <w:tc>
          <w:tcPr>
            <w:tcW w:w="812" w:type="pct"/>
            <w:tcBorders>
              <w:top w:val="single" w:color="000000" w:sz="4" w:space="0"/>
              <w:left w:val="single" w:color="000000" w:sz="4" w:space="0"/>
              <w:bottom w:val="single" w:color="000000" w:sz="4" w:space="0"/>
              <w:right w:val="single" w:color="000000" w:sz="4" w:space="0"/>
            </w:tcBorders>
            <w:vAlign w:val="center"/>
          </w:tcPr>
          <w:p w14:paraId="02FF9104">
            <w:pPr>
              <w:spacing w:before="24" w:after="24" w:line="288" w:lineRule="auto"/>
              <w:jc w:val="center"/>
              <w:rPr>
                <w:rFonts w:ascii="Times New Roman" w:hAnsi="Times New Roman" w:cs="Times New Roman"/>
                <w:sz w:val="24"/>
              </w:rPr>
            </w:pPr>
            <w:r>
              <w:rPr>
                <w:rFonts w:ascii="Times New Roman" w:hAnsi="Times New Roman" w:cs="Times New Roman"/>
                <w:sz w:val="24"/>
              </w:rPr>
              <w:t>I级</w:t>
            </w:r>
          </w:p>
        </w:tc>
        <w:tc>
          <w:tcPr>
            <w:tcW w:w="917" w:type="pct"/>
            <w:vMerge w:val="continue"/>
            <w:tcBorders>
              <w:top w:val="nil"/>
              <w:left w:val="single" w:color="000000" w:sz="4" w:space="0"/>
              <w:bottom w:val="single" w:color="000000" w:sz="4" w:space="0"/>
              <w:right w:val="single" w:color="000000" w:sz="4" w:space="0"/>
            </w:tcBorders>
            <w:vAlign w:val="center"/>
          </w:tcPr>
          <w:p w14:paraId="216B0518">
            <w:pPr>
              <w:spacing w:before="24" w:after="24" w:line="288" w:lineRule="auto"/>
              <w:jc w:val="center"/>
              <w:rPr>
                <w:rFonts w:ascii="Times New Roman" w:hAnsi="Times New Roman" w:cs="Times New Roman"/>
                <w:sz w:val="24"/>
              </w:rPr>
            </w:pPr>
          </w:p>
        </w:tc>
        <w:tc>
          <w:tcPr>
            <w:tcW w:w="1192" w:type="pct"/>
            <w:tcBorders>
              <w:top w:val="single" w:color="000000" w:sz="4" w:space="0"/>
              <w:left w:val="single" w:color="000000" w:sz="4" w:space="0"/>
              <w:bottom w:val="single" w:color="000000" w:sz="4" w:space="0"/>
              <w:right w:val="single" w:color="000000" w:sz="4" w:space="0"/>
            </w:tcBorders>
            <w:vAlign w:val="center"/>
          </w:tcPr>
          <w:p w14:paraId="21AF3DDE">
            <w:pPr>
              <w:spacing w:before="24" w:after="24" w:line="288" w:lineRule="auto"/>
              <w:jc w:val="center"/>
              <w:rPr>
                <w:rFonts w:ascii="Times New Roman" w:hAnsi="Times New Roman" w:cs="Times New Roman"/>
                <w:sz w:val="24"/>
              </w:rPr>
            </w:pPr>
            <w:r>
              <w:rPr>
                <w:rFonts w:ascii="Times New Roman" w:hAnsi="Times New Roman" w:cs="Times New Roman"/>
                <w:sz w:val="24"/>
              </w:rPr>
              <w:t>6</w:t>
            </w:r>
          </w:p>
        </w:tc>
        <w:tc>
          <w:tcPr>
            <w:tcW w:w="856" w:type="pct"/>
            <w:vMerge w:val="continue"/>
            <w:tcBorders>
              <w:top w:val="nil"/>
              <w:left w:val="single" w:color="000000" w:sz="4" w:space="0"/>
              <w:bottom w:val="single" w:color="000000" w:sz="4" w:space="0"/>
              <w:right w:val="single" w:color="000000" w:sz="4" w:space="0"/>
            </w:tcBorders>
            <w:vAlign w:val="center"/>
          </w:tcPr>
          <w:p w14:paraId="5AE53774">
            <w:pPr>
              <w:spacing w:before="24" w:after="24" w:line="288" w:lineRule="auto"/>
              <w:jc w:val="center"/>
              <w:rPr>
                <w:rFonts w:ascii="Times New Roman" w:hAnsi="Times New Roman" w:cs="Times New Roman"/>
                <w:sz w:val="24"/>
              </w:rPr>
            </w:pPr>
          </w:p>
        </w:tc>
      </w:tr>
      <w:tr w14:paraId="143410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0" w:hRule="atLeast"/>
        </w:trPr>
        <w:tc>
          <w:tcPr>
            <w:tcW w:w="1219" w:type="pct"/>
            <w:vMerge w:val="continue"/>
            <w:tcBorders>
              <w:top w:val="nil"/>
              <w:left w:val="single" w:color="000000" w:sz="4" w:space="0"/>
              <w:bottom w:val="single" w:color="000000" w:sz="4" w:space="0"/>
              <w:right w:val="single" w:color="000000" w:sz="4" w:space="0"/>
            </w:tcBorders>
            <w:vAlign w:val="center"/>
          </w:tcPr>
          <w:p w14:paraId="1207726B">
            <w:pPr>
              <w:spacing w:before="24" w:after="24" w:line="288" w:lineRule="auto"/>
              <w:jc w:val="center"/>
              <w:rPr>
                <w:rFonts w:ascii="Times New Roman" w:hAnsi="Times New Roman" w:cs="Times New Roman"/>
                <w:sz w:val="24"/>
              </w:rPr>
            </w:pPr>
          </w:p>
        </w:tc>
        <w:tc>
          <w:tcPr>
            <w:tcW w:w="812" w:type="pct"/>
            <w:tcBorders>
              <w:top w:val="single" w:color="000000" w:sz="4" w:space="0"/>
              <w:left w:val="single" w:color="000000" w:sz="4" w:space="0"/>
              <w:bottom w:val="single" w:color="000000" w:sz="4" w:space="0"/>
              <w:right w:val="single" w:color="000000" w:sz="4" w:space="0"/>
            </w:tcBorders>
            <w:vAlign w:val="center"/>
          </w:tcPr>
          <w:p w14:paraId="42BD3DA6">
            <w:pPr>
              <w:spacing w:before="24" w:after="24" w:line="288" w:lineRule="auto"/>
              <w:jc w:val="center"/>
              <w:rPr>
                <w:rFonts w:ascii="Times New Roman" w:hAnsi="Times New Roman" w:cs="Times New Roman"/>
                <w:sz w:val="24"/>
              </w:rPr>
            </w:pPr>
            <w:r>
              <w:rPr>
                <w:rFonts w:ascii="Times New Roman" w:hAnsi="Times New Roman" w:cs="Times New Roman"/>
                <w:sz w:val="24"/>
              </w:rPr>
              <w:t>Ⅱ级</w:t>
            </w:r>
          </w:p>
        </w:tc>
        <w:tc>
          <w:tcPr>
            <w:tcW w:w="917" w:type="pct"/>
            <w:vMerge w:val="continue"/>
            <w:tcBorders>
              <w:top w:val="nil"/>
              <w:left w:val="single" w:color="000000" w:sz="4" w:space="0"/>
              <w:bottom w:val="single" w:color="000000" w:sz="4" w:space="0"/>
              <w:right w:val="single" w:color="000000" w:sz="4" w:space="0"/>
            </w:tcBorders>
            <w:vAlign w:val="center"/>
          </w:tcPr>
          <w:p w14:paraId="70F2EDC8">
            <w:pPr>
              <w:spacing w:before="24" w:after="24" w:line="288" w:lineRule="auto"/>
              <w:jc w:val="center"/>
              <w:rPr>
                <w:rFonts w:ascii="Times New Roman" w:hAnsi="Times New Roman" w:cs="Times New Roman"/>
                <w:sz w:val="24"/>
              </w:rPr>
            </w:pPr>
          </w:p>
        </w:tc>
        <w:tc>
          <w:tcPr>
            <w:tcW w:w="1192" w:type="pct"/>
            <w:tcBorders>
              <w:top w:val="single" w:color="000000" w:sz="4" w:space="0"/>
              <w:left w:val="single" w:color="000000" w:sz="4" w:space="0"/>
              <w:bottom w:val="single" w:color="000000" w:sz="4" w:space="0"/>
              <w:right w:val="single" w:color="000000" w:sz="4" w:space="0"/>
            </w:tcBorders>
            <w:vAlign w:val="center"/>
          </w:tcPr>
          <w:p w14:paraId="329901C0">
            <w:pPr>
              <w:spacing w:before="24" w:after="24" w:line="288" w:lineRule="auto"/>
              <w:jc w:val="center"/>
              <w:rPr>
                <w:rFonts w:ascii="Times New Roman" w:hAnsi="Times New Roman" w:cs="Times New Roman"/>
                <w:sz w:val="24"/>
              </w:rPr>
            </w:pPr>
            <w:r>
              <w:rPr>
                <w:rFonts w:ascii="Times New Roman" w:hAnsi="Times New Roman" w:cs="Times New Roman"/>
                <w:sz w:val="24"/>
              </w:rPr>
              <w:t>8</w:t>
            </w:r>
          </w:p>
        </w:tc>
        <w:tc>
          <w:tcPr>
            <w:tcW w:w="856" w:type="pct"/>
            <w:vMerge w:val="continue"/>
            <w:tcBorders>
              <w:top w:val="nil"/>
              <w:left w:val="single" w:color="000000" w:sz="4" w:space="0"/>
              <w:bottom w:val="single" w:color="000000" w:sz="4" w:space="0"/>
              <w:right w:val="single" w:color="000000" w:sz="4" w:space="0"/>
            </w:tcBorders>
            <w:vAlign w:val="center"/>
          </w:tcPr>
          <w:p w14:paraId="32E4F266">
            <w:pPr>
              <w:spacing w:before="24" w:after="24" w:line="288" w:lineRule="auto"/>
              <w:jc w:val="center"/>
              <w:rPr>
                <w:rFonts w:ascii="Times New Roman" w:hAnsi="Times New Roman" w:cs="Times New Roman"/>
                <w:sz w:val="24"/>
              </w:rPr>
            </w:pPr>
          </w:p>
        </w:tc>
      </w:tr>
      <w:tr w14:paraId="4AD7A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0" w:hRule="atLeast"/>
        </w:trPr>
        <w:tc>
          <w:tcPr>
            <w:tcW w:w="1219" w:type="pct"/>
            <w:vMerge w:val="restart"/>
            <w:tcBorders>
              <w:top w:val="nil"/>
              <w:left w:val="single" w:color="000000" w:sz="4" w:space="0"/>
              <w:bottom w:val="single" w:color="000000" w:sz="4" w:space="0"/>
              <w:right w:val="single" w:color="000000" w:sz="4" w:space="0"/>
            </w:tcBorders>
            <w:vAlign w:val="center"/>
          </w:tcPr>
          <w:p w14:paraId="2C5B194E">
            <w:pPr>
              <w:spacing w:before="24" w:after="24" w:line="288" w:lineRule="auto"/>
              <w:jc w:val="center"/>
              <w:rPr>
                <w:rFonts w:ascii="Times New Roman" w:hAnsi="Times New Roman" w:cs="Times New Roman"/>
                <w:sz w:val="24"/>
              </w:rPr>
            </w:pPr>
            <w:r>
              <w:rPr>
                <w:rFonts w:ascii="Times New Roman" w:hAnsi="Times New Roman" w:cs="Times New Roman"/>
                <w:sz w:val="24"/>
              </w:rPr>
              <w:t>严重危险级</w:t>
            </w:r>
          </w:p>
        </w:tc>
        <w:tc>
          <w:tcPr>
            <w:tcW w:w="812" w:type="pct"/>
            <w:tcBorders>
              <w:top w:val="single" w:color="000000" w:sz="4" w:space="0"/>
              <w:left w:val="single" w:color="000000" w:sz="4" w:space="0"/>
              <w:bottom w:val="single" w:color="000000" w:sz="4" w:space="0"/>
              <w:right w:val="single" w:color="000000" w:sz="4" w:space="0"/>
            </w:tcBorders>
            <w:vAlign w:val="center"/>
          </w:tcPr>
          <w:p w14:paraId="3DE686F9">
            <w:pPr>
              <w:spacing w:before="24" w:after="24" w:line="288" w:lineRule="auto"/>
              <w:jc w:val="center"/>
              <w:rPr>
                <w:rFonts w:ascii="Times New Roman" w:hAnsi="Times New Roman" w:cs="Times New Roman"/>
                <w:sz w:val="24"/>
              </w:rPr>
            </w:pPr>
            <w:r>
              <w:rPr>
                <w:rFonts w:ascii="Times New Roman" w:hAnsi="Times New Roman" w:cs="Times New Roman"/>
                <w:sz w:val="24"/>
              </w:rPr>
              <w:t>I级</w:t>
            </w:r>
          </w:p>
        </w:tc>
        <w:tc>
          <w:tcPr>
            <w:tcW w:w="917" w:type="pct"/>
            <w:vMerge w:val="continue"/>
            <w:tcBorders>
              <w:top w:val="nil"/>
              <w:left w:val="single" w:color="000000" w:sz="4" w:space="0"/>
              <w:bottom w:val="single" w:color="000000" w:sz="4" w:space="0"/>
              <w:right w:val="single" w:color="000000" w:sz="4" w:space="0"/>
            </w:tcBorders>
            <w:vAlign w:val="center"/>
          </w:tcPr>
          <w:p w14:paraId="4FD4DCCB">
            <w:pPr>
              <w:spacing w:before="24" w:after="24" w:line="288" w:lineRule="auto"/>
              <w:jc w:val="center"/>
              <w:rPr>
                <w:rFonts w:ascii="Times New Roman" w:hAnsi="Times New Roman" w:cs="Times New Roman"/>
                <w:sz w:val="24"/>
              </w:rPr>
            </w:pPr>
          </w:p>
        </w:tc>
        <w:tc>
          <w:tcPr>
            <w:tcW w:w="1192" w:type="pct"/>
            <w:tcBorders>
              <w:top w:val="single" w:color="000000" w:sz="4" w:space="0"/>
              <w:left w:val="single" w:color="000000" w:sz="4" w:space="0"/>
              <w:bottom w:val="single" w:color="000000" w:sz="4" w:space="0"/>
              <w:right w:val="single" w:color="000000" w:sz="4" w:space="0"/>
            </w:tcBorders>
            <w:vAlign w:val="center"/>
          </w:tcPr>
          <w:p w14:paraId="34272586">
            <w:pPr>
              <w:spacing w:before="24" w:after="24" w:line="288" w:lineRule="auto"/>
              <w:jc w:val="center"/>
              <w:rPr>
                <w:rFonts w:ascii="Times New Roman" w:hAnsi="Times New Roman" w:cs="Times New Roman"/>
                <w:sz w:val="24"/>
              </w:rPr>
            </w:pPr>
            <w:r>
              <w:rPr>
                <w:rFonts w:ascii="Times New Roman" w:hAnsi="Times New Roman" w:cs="Times New Roman"/>
                <w:sz w:val="24"/>
              </w:rPr>
              <w:t>12</w:t>
            </w:r>
          </w:p>
        </w:tc>
        <w:tc>
          <w:tcPr>
            <w:tcW w:w="856" w:type="pct"/>
            <w:vMerge w:val="restart"/>
            <w:tcBorders>
              <w:top w:val="nil"/>
              <w:left w:val="single" w:color="000000" w:sz="4" w:space="0"/>
              <w:bottom w:val="single" w:color="000000" w:sz="4" w:space="0"/>
              <w:right w:val="single" w:color="000000" w:sz="4" w:space="0"/>
            </w:tcBorders>
            <w:vAlign w:val="center"/>
          </w:tcPr>
          <w:p w14:paraId="5CD74DFC">
            <w:pPr>
              <w:spacing w:before="24" w:after="24" w:line="288" w:lineRule="auto"/>
              <w:jc w:val="center"/>
              <w:rPr>
                <w:rFonts w:ascii="Times New Roman" w:hAnsi="Times New Roman" w:cs="Times New Roman"/>
                <w:sz w:val="24"/>
              </w:rPr>
            </w:pPr>
            <w:r>
              <w:rPr>
                <w:rFonts w:ascii="Times New Roman" w:hAnsi="Times New Roman" w:cs="Times New Roman"/>
                <w:sz w:val="24"/>
              </w:rPr>
              <w:t>260</w:t>
            </w:r>
          </w:p>
        </w:tc>
      </w:tr>
      <w:tr w14:paraId="6140FE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5" w:hRule="atLeast"/>
        </w:trPr>
        <w:tc>
          <w:tcPr>
            <w:tcW w:w="1219" w:type="pct"/>
            <w:vMerge w:val="continue"/>
            <w:tcBorders>
              <w:top w:val="nil"/>
              <w:left w:val="single" w:color="000000" w:sz="4" w:space="0"/>
              <w:bottom w:val="single" w:color="000000" w:sz="4" w:space="0"/>
              <w:right w:val="single" w:color="000000" w:sz="4" w:space="0"/>
            </w:tcBorders>
            <w:vAlign w:val="center"/>
          </w:tcPr>
          <w:p w14:paraId="4D51F2E2">
            <w:pPr>
              <w:spacing w:before="24" w:after="24" w:line="288" w:lineRule="auto"/>
              <w:jc w:val="center"/>
              <w:rPr>
                <w:rFonts w:ascii="Times New Roman" w:hAnsi="Times New Roman" w:cs="Times New Roman"/>
                <w:sz w:val="24"/>
              </w:rPr>
            </w:pPr>
          </w:p>
        </w:tc>
        <w:tc>
          <w:tcPr>
            <w:tcW w:w="812" w:type="pct"/>
            <w:tcBorders>
              <w:top w:val="single" w:color="000000" w:sz="4" w:space="0"/>
              <w:left w:val="single" w:color="000000" w:sz="4" w:space="0"/>
              <w:bottom w:val="single" w:color="000000" w:sz="4" w:space="0"/>
              <w:right w:val="single" w:color="000000" w:sz="4" w:space="0"/>
            </w:tcBorders>
            <w:vAlign w:val="center"/>
          </w:tcPr>
          <w:p w14:paraId="5BDFB1C0">
            <w:pPr>
              <w:spacing w:before="24" w:after="24" w:line="288" w:lineRule="auto"/>
              <w:jc w:val="center"/>
              <w:rPr>
                <w:rFonts w:ascii="Times New Roman" w:hAnsi="Times New Roman" w:cs="Times New Roman"/>
                <w:sz w:val="24"/>
              </w:rPr>
            </w:pPr>
            <w:r>
              <w:rPr>
                <w:rFonts w:ascii="Times New Roman" w:hAnsi="Times New Roman" w:cs="Times New Roman"/>
                <w:sz w:val="24"/>
              </w:rPr>
              <w:t>Ⅱ级</w:t>
            </w:r>
          </w:p>
        </w:tc>
        <w:tc>
          <w:tcPr>
            <w:tcW w:w="917" w:type="pct"/>
            <w:vMerge w:val="continue"/>
            <w:tcBorders>
              <w:top w:val="nil"/>
              <w:left w:val="single" w:color="000000" w:sz="4" w:space="0"/>
              <w:bottom w:val="single" w:color="000000" w:sz="4" w:space="0"/>
              <w:right w:val="single" w:color="000000" w:sz="4" w:space="0"/>
            </w:tcBorders>
            <w:vAlign w:val="center"/>
          </w:tcPr>
          <w:p w14:paraId="2FB2F0F0">
            <w:pPr>
              <w:spacing w:before="24" w:after="24" w:line="288" w:lineRule="auto"/>
              <w:jc w:val="center"/>
              <w:rPr>
                <w:rFonts w:ascii="Times New Roman" w:hAnsi="Times New Roman" w:cs="Times New Roman"/>
                <w:sz w:val="24"/>
              </w:rPr>
            </w:pPr>
          </w:p>
        </w:tc>
        <w:tc>
          <w:tcPr>
            <w:tcW w:w="1192" w:type="pct"/>
            <w:tcBorders>
              <w:top w:val="single" w:color="000000" w:sz="4" w:space="0"/>
              <w:left w:val="single" w:color="000000" w:sz="4" w:space="0"/>
              <w:bottom w:val="single" w:color="000000" w:sz="4" w:space="0"/>
              <w:right w:val="single" w:color="000000" w:sz="4" w:space="0"/>
            </w:tcBorders>
            <w:vAlign w:val="center"/>
          </w:tcPr>
          <w:p w14:paraId="7ED1E706">
            <w:pPr>
              <w:spacing w:before="24" w:after="24" w:line="288" w:lineRule="auto"/>
              <w:jc w:val="center"/>
              <w:rPr>
                <w:rFonts w:ascii="Times New Roman" w:hAnsi="Times New Roman" w:cs="Times New Roman"/>
                <w:sz w:val="24"/>
              </w:rPr>
            </w:pPr>
            <w:r>
              <w:rPr>
                <w:rFonts w:ascii="Times New Roman" w:hAnsi="Times New Roman" w:cs="Times New Roman"/>
                <w:sz w:val="24"/>
              </w:rPr>
              <w:t>16</w:t>
            </w:r>
          </w:p>
        </w:tc>
        <w:tc>
          <w:tcPr>
            <w:tcW w:w="856" w:type="pct"/>
            <w:vMerge w:val="continue"/>
            <w:tcBorders>
              <w:top w:val="nil"/>
              <w:left w:val="single" w:color="000000" w:sz="4" w:space="0"/>
              <w:bottom w:val="single" w:color="000000" w:sz="4" w:space="0"/>
              <w:right w:val="single" w:color="000000" w:sz="4" w:space="0"/>
            </w:tcBorders>
            <w:vAlign w:val="center"/>
          </w:tcPr>
          <w:p w14:paraId="5598C817">
            <w:pPr>
              <w:spacing w:before="24" w:after="24" w:line="288" w:lineRule="auto"/>
              <w:jc w:val="center"/>
              <w:rPr>
                <w:rFonts w:ascii="Times New Roman" w:hAnsi="Times New Roman" w:cs="Times New Roman"/>
                <w:sz w:val="24"/>
              </w:rPr>
            </w:pPr>
          </w:p>
        </w:tc>
      </w:tr>
      <w:tr w14:paraId="0A9396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5" w:hRule="atLeast"/>
        </w:trPr>
        <w:tc>
          <w:tcPr>
            <w:tcW w:w="2032" w:type="pct"/>
            <w:gridSpan w:val="2"/>
            <w:vMerge w:val="restart"/>
            <w:tcBorders>
              <w:top w:val="nil"/>
              <w:left w:val="single" w:color="000000" w:sz="4" w:space="0"/>
              <w:bottom w:val="single" w:color="000000" w:sz="4" w:space="0"/>
              <w:right w:val="single" w:color="000000" w:sz="4" w:space="0"/>
            </w:tcBorders>
            <w:vAlign w:val="center"/>
          </w:tcPr>
          <w:p w14:paraId="156BE240">
            <w:pPr>
              <w:spacing w:before="24" w:after="24" w:line="288" w:lineRule="auto"/>
              <w:jc w:val="center"/>
              <w:rPr>
                <w:rFonts w:ascii="Times New Roman" w:hAnsi="Times New Roman" w:cs="Times New Roman"/>
                <w:sz w:val="24"/>
              </w:rPr>
            </w:pPr>
            <w:r>
              <w:rPr>
                <w:rFonts w:ascii="Times New Roman" w:hAnsi="Times New Roman" w:cs="Times New Roman"/>
                <w:sz w:val="24"/>
              </w:rPr>
              <w:t>中庭、体育馆等</w:t>
            </w:r>
          </w:p>
          <w:p w14:paraId="66D37343">
            <w:pPr>
              <w:spacing w:before="24" w:after="24" w:line="288" w:lineRule="auto"/>
              <w:jc w:val="center"/>
              <w:rPr>
                <w:rFonts w:ascii="Times New Roman" w:hAnsi="Times New Roman" w:cs="Times New Roman"/>
                <w:sz w:val="24"/>
              </w:rPr>
            </w:pPr>
            <w:r>
              <w:rPr>
                <w:rFonts w:ascii="Times New Roman" w:hAnsi="Times New Roman" w:cs="Times New Roman"/>
                <w:sz w:val="24"/>
              </w:rPr>
              <w:t>高大空间场所</w:t>
            </w:r>
          </w:p>
        </w:tc>
        <w:tc>
          <w:tcPr>
            <w:tcW w:w="917" w:type="pct"/>
            <w:tcBorders>
              <w:top w:val="single" w:color="000000" w:sz="4" w:space="0"/>
              <w:left w:val="single" w:color="000000" w:sz="4" w:space="0"/>
              <w:bottom w:val="single" w:color="000000" w:sz="4" w:space="0"/>
              <w:right w:val="single" w:color="000000" w:sz="4" w:space="0"/>
            </w:tcBorders>
            <w:vAlign w:val="center"/>
          </w:tcPr>
          <w:p w14:paraId="58F9AC27">
            <w:pPr>
              <w:spacing w:before="24" w:after="24" w:line="288" w:lineRule="auto"/>
              <w:jc w:val="center"/>
              <w:rPr>
                <w:rFonts w:ascii="Times New Roman" w:hAnsi="Times New Roman" w:cs="Times New Roman"/>
                <w:sz w:val="24"/>
              </w:rPr>
            </w:pPr>
            <w:r>
              <w:rPr>
                <w:rFonts w:ascii="Times New Roman" w:hAnsi="Times New Roman" w:cs="Times New Roman"/>
                <w:sz w:val="24"/>
              </w:rPr>
              <w:t>8＜h≤12</w:t>
            </w:r>
          </w:p>
        </w:tc>
        <w:tc>
          <w:tcPr>
            <w:tcW w:w="1192" w:type="pct"/>
            <w:tcBorders>
              <w:top w:val="single" w:color="000000" w:sz="4" w:space="0"/>
              <w:left w:val="single" w:color="000000" w:sz="4" w:space="0"/>
              <w:bottom w:val="single" w:color="000000" w:sz="4" w:space="0"/>
              <w:right w:val="single" w:color="000000" w:sz="4" w:space="0"/>
            </w:tcBorders>
            <w:vAlign w:val="center"/>
          </w:tcPr>
          <w:p w14:paraId="7D4E33B3">
            <w:pPr>
              <w:spacing w:before="24" w:after="24" w:line="288" w:lineRule="auto"/>
              <w:jc w:val="center"/>
              <w:rPr>
                <w:rFonts w:ascii="Times New Roman" w:hAnsi="Times New Roman" w:cs="Times New Roman"/>
                <w:sz w:val="24"/>
              </w:rPr>
            </w:pPr>
            <w:r>
              <w:rPr>
                <w:rFonts w:ascii="Times New Roman" w:hAnsi="Times New Roman" w:cs="Times New Roman"/>
                <w:sz w:val="24"/>
              </w:rPr>
              <w:t>12</w:t>
            </w:r>
          </w:p>
        </w:tc>
        <w:tc>
          <w:tcPr>
            <w:tcW w:w="856" w:type="pct"/>
            <w:tcBorders>
              <w:top w:val="single" w:color="000000" w:sz="4" w:space="0"/>
              <w:left w:val="single" w:color="000000" w:sz="4" w:space="0"/>
              <w:bottom w:val="single" w:color="000000" w:sz="4" w:space="0"/>
              <w:right w:val="single" w:color="000000" w:sz="4" w:space="0"/>
            </w:tcBorders>
            <w:vAlign w:val="center"/>
          </w:tcPr>
          <w:p w14:paraId="3C224A92">
            <w:pPr>
              <w:spacing w:before="24" w:after="24" w:line="288" w:lineRule="auto"/>
              <w:jc w:val="center"/>
              <w:rPr>
                <w:rFonts w:ascii="Times New Roman" w:hAnsi="Times New Roman" w:cs="Times New Roman"/>
                <w:sz w:val="24"/>
              </w:rPr>
            </w:pPr>
            <w:r>
              <w:rPr>
                <w:rFonts w:ascii="Times New Roman" w:hAnsi="Times New Roman" w:cs="Times New Roman"/>
                <w:sz w:val="24"/>
              </w:rPr>
              <w:t>160</w:t>
            </w:r>
          </w:p>
        </w:tc>
      </w:tr>
      <w:tr w14:paraId="6E006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5" w:hRule="atLeast"/>
        </w:trPr>
        <w:tc>
          <w:tcPr>
            <w:tcW w:w="2032" w:type="pct"/>
            <w:gridSpan w:val="2"/>
            <w:vMerge w:val="continue"/>
            <w:tcBorders>
              <w:top w:val="nil"/>
              <w:left w:val="single" w:color="000000" w:sz="4" w:space="0"/>
              <w:bottom w:val="single" w:color="000000" w:sz="4" w:space="0"/>
              <w:right w:val="single" w:color="000000" w:sz="4" w:space="0"/>
            </w:tcBorders>
            <w:vAlign w:val="center"/>
          </w:tcPr>
          <w:p w14:paraId="5AF940CA">
            <w:pPr>
              <w:spacing w:before="24" w:after="24" w:line="288" w:lineRule="auto"/>
              <w:jc w:val="center"/>
              <w:rPr>
                <w:rFonts w:ascii="Times New Roman" w:hAnsi="Times New Roman" w:cs="Times New Roman"/>
                <w:sz w:val="24"/>
              </w:rPr>
            </w:pPr>
          </w:p>
        </w:tc>
        <w:tc>
          <w:tcPr>
            <w:tcW w:w="917" w:type="pct"/>
            <w:tcBorders>
              <w:top w:val="single" w:color="000000" w:sz="4" w:space="0"/>
              <w:left w:val="single" w:color="000000" w:sz="4" w:space="0"/>
              <w:bottom w:val="single" w:color="000000" w:sz="4" w:space="0"/>
              <w:right w:val="single" w:color="000000" w:sz="4" w:space="0"/>
            </w:tcBorders>
            <w:vAlign w:val="center"/>
          </w:tcPr>
          <w:p w14:paraId="27377028">
            <w:pPr>
              <w:spacing w:before="24" w:after="24" w:line="288" w:lineRule="auto"/>
              <w:jc w:val="center"/>
              <w:rPr>
                <w:rFonts w:ascii="Times New Roman" w:hAnsi="Times New Roman" w:cs="Times New Roman"/>
                <w:sz w:val="24"/>
              </w:rPr>
            </w:pPr>
            <w:r>
              <w:rPr>
                <w:rFonts w:ascii="Times New Roman" w:hAnsi="Times New Roman" w:cs="Times New Roman"/>
                <w:sz w:val="24"/>
              </w:rPr>
              <w:t>12＜h≤18</w:t>
            </w:r>
          </w:p>
        </w:tc>
        <w:tc>
          <w:tcPr>
            <w:tcW w:w="1192" w:type="pct"/>
            <w:tcBorders>
              <w:top w:val="single" w:color="000000" w:sz="4" w:space="0"/>
              <w:left w:val="single" w:color="000000" w:sz="4" w:space="0"/>
              <w:bottom w:val="single" w:color="000000" w:sz="4" w:space="0"/>
              <w:right w:val="single" w:color="000000" w:sz="4" w:space="0"/>
            </w:tcBorders>
            <w:vAlign w:val="center"/>
          </w:tcPr>
          <w:p w14:paraId="14D68227">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c>
          <w:tcPr>
            <w:tcW w:w="856" w:type="pct"/>
            <w:tcBorders>
              <w:top w:val="single" w:color="000000" w:sz="4" w:space="0"/>
              <w:left w:val="single" w:color="000000" w:sz="4" w:space="0"/>
              <w:bottom w:val="single" w:color="000000" w:sz="4" w:space="0"/>
              <w:right w:val="single" w:color="000000" w:sz="4" w:space="0"/>
            </w:tcBorders>
            <w:vAlign w:val="center"/>
          </w:tcPr>
          <w:p w14:paraId="044BE0EC">
            <w:pPr>
              <w:spacing w:before="24" w:after="24" w:line="288" w:lineRule="auto"/>
              <w:jc w:val="center"/>
              <w:rPr>
                <w:rFonts w:ascii="Times New Roman" w:hAnsi="Times New Roman" w:cs="Times New Roman"/>
                <w:sz w:val="24"/>
              </w:rPr>
            </w:pPr>
            <w:r>
              <w:rPr>
                <w:rFonts w:ascii="Times New Roman" w:hAnsi="Times New Roman" w:cs="Times New Roman"/>
                <w:sz w:val="24"/>
              </w:rPr>
              <w:t>160</w:t>
            </w:r>
          </w:p>
        </w:tc>
      </w:tr>
    </w:tbl>
    <w:p w14:paraId="21771CA1">
      <w:pPr>
        <w:spacing w:before="24" w:after="24"/>
        <w:ind w:firstLine="560" w:firstLineChars="200"/>
        <w:rPr>
          <w:rFonts w:ascii="Times New Roman" w:hAnsi="Times New Roman" w:cs="Times New Roman"/>
        </w:rPr>
      </w:pPr>
      <w:r>
        <w:rPr>
          <w:rFonts w:ascii="Times New Roman" w:hAnsi="Times New Roman" w:cs="Times New Roman"/>
        </w:rPr>
        <w:t>4.7.4火灾延续时间</w:t>
      </w:r>
    </w:p>
    <w:tbl>
      <w:tblPr>
        <w:tblStyle w:val="3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17"/>
        <w:gridCol w:w="1291"/>
        <w:gridCol w:w="773"/>
        <w:gridCol w:w="5012"/>
        <w:gridCol w:w="1191"/>
      </w:tblGrid>
      <w:tr w14:paraId="16900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jc w:val="center"/>
        </w:trPr>
        <w:tc>
          <w:tcPr>
            <w:tcW w:w="1659" w:type="pct"/>
            <w:gridSpan w:val="3"/>
            <w:tcMar>
              <w:left w:w="108" w:type="dxa"/>
              <w:right w:w="108" w:type="dxa"/>
            </w:tcMar>
            <w:vAlign w:val="center"/>
          </w:tcPr>
          <w:p w14:paraId="719209B4">
            <w:pPr>
              <w:spacing w:before="24" w:after="24" w:line="288" w:lineRule="auto"/>
              <w:jc w:val="center"/>
              <w:rPr>
                <w:rFonts w:ascii="Times New Roman" w:hAnsi="Times New Roman" w:cs="Times New Roman"/>
                <w:sz w:val="24"/>
              </w:rPr>
            </w:pPr>
            <w:r>
              <w:rPr>
                <w:rFonts w:ascii="Times New Roman" w:hAnsi="Times New Roman" w:cs="Times New Roman"/>
                <w:sz w:val="24"/>
              </w:rPr>
              <w:t>建筑</w:t>
            </w:r>
          </w:p>
        </w:tc>
        <w:tc>
          <w:tcPr>
            <w:tcW w:w="2698" w:type="pct"/>
            <w:tcMar>
              <w:left w:w="108" w:type="dxa"/>
              <w:right w:w="108" w:type="dxa"/>
            </w:tcMar>
            <w:vAlign w:val="center"/>
          </w:tcPr>
          <w:p w14:paraId="0A8B2798">
            <w:pPr>
              <w:spacing w:before="24" w:after="24" w:line="288" w:lineRule="auto"/>
              <w:jc w:val="center"/>
              <w:rPr>
                <w:rFonts w:ascii="Times New Roman" w:hAnsi="Times New Roman" w:cs="Times New Roman"/>
                <w:sz w:val="24"/>
              </w:rPr>
            </w:pPr>
            <w:r>
              <w:rPr>
                <w:rFonts w:ascii="Times New Roman" w:hAnsi="Times New Roman" w:cs="Times New Roman"/>
                <w:sz w:val="24"/>
              </w:rPr>
              <w:t>场所与火灾危险性</w:t>
            </w:r>
          </w:p>
        </w:tc>
        <w:tc>
          <w:tcPr>
            <w:tcW w:w="641" w:type="pct"/>
            <w:tcMar>
              <w:left w:w="108" w:type="dxa"/>
              <w:right w:w="108" w:type="dxa"/>
            </w:tcMar>
            <w:vAlign w:val="center"/>
          </w:tcPr>
          <w:p w14:paraId="177AA699">
            <w:pPr>
              <w:spacing w:before="24" w:after="24" w:line="288" w:lineRule="auto"/>
              <w:jc w:val="center"/>
              <w:rPr>
                <w:rFonts w:ascii="Times New Roman" w:hAnsi="Times New Roman" w:cs="Times New Roman"/>
                <w:sz w:val="24"/>
              </w:rPr>
            </w:pPr>
            <w:r>
              <w:rPr>
                <w:rFonts w:ascii="Times New Roman" w:hAnsi="Times New Roman" w:cs="Times New Roman"/>
                <w:sz w:val="24"/>
              </w:rPr>
              <w:t>火灾延续时间</w:t>
            </w:r>
          </w:p>
          <w:p w14:paraId="5755EDC8">
            <w:pPr>
              <w:spacing w:before="24" w:after="24" w:line="288" w:lineRule="auto"/>
              <w:jc w:val="center"/>
              <w:rPr>
                <w:rFonts w:ascii="Times New Roman" w:hAnsi="Times New Roman" w:cs="Times New Roman"/>
                <w:sz w:val="24"/>
              </w:rPr>
            </w:pPr>
            <w:r>
              <w:rPr>
                <w:rFonts w:ascii="Times New Roman" w:hAnsi="Times New Roman" w:cs="Times New Roman"/>
                <w:sz w:val="24"/>
              </w:rPr>
              <w:t>（h）</w:t>
            </w:r>
          </w:p>
        </w:tc>
      </w:tr>
      <w:tr w14:paraId="7B37E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48" w:type="pct"/>
            <w:vMerge w:val="restart"/>
            <w:tcMar>
              <w:left w:w="108" w:type="dxa"/>
              <w:right w:w="108" w:type="dxa"/>
            </w:tcMar>
            <w:vAlign w:val="center"/>
          </w:tcPr>
          <w:p w14:paraId="2E4F4A83">
            <w:pPr>
              <w:spacing w:before="24" w:after="24" w:line="288" w:lineRule="auto"/>
              <w:jc w:val="center"/>
              <w:rPr>
                <w:rFonts w:ascii="Times New Roman" w:hAnsi="Times New Roman" w:cs="Times New Roman"/>
                <w:sz w:val="24"/>
              </w:rPr>
            </w:pPr>
            <w:r>
              <w:rPr>
                <w:rFonts w:ascii="Times New Roman" w:hAnsi="Times New Roman" w:cs="Times New Roman"/>
                <w:sz w:val="24"/>
              </w:rPr>
              <w:t>建筑物</w:t>
            </w:r>
          </w:p>
        </w:tc>
        <w:tc>
          <w:tcPr>
            <w:tcW w:w="695" w:type="pct"/>
            <w:vMerge w:val="restart"/>
            <w:tcMar>
              <w:left w:w="108" w:type="dxa"/>
              <w:right w:w="108" w:type="dxa"/>
            </w:tcMar>
            <w:vAlign w:val="center"/>
          </w:tcPr>
          <w:p w14:paraId="32EA4B72">
            <w:pPr>
              <w:spacing w:before="24" w:after="24" w:line="288" w:lineRule="auto"/>
              <w:jc w:val="center"/>
              <w:rPr>
                <w:rFonts w:ascii="Times New Roman" w:hAnsi="Times New Roman" w:cs="Times New Roman"/>
                <w:sz w:val="24"/>
              </w:rPr>
            </w:pPr>
            <w:r>
              <w:rPr>
                <w:rFonts w:ascii="Times New Roman" w:hAnsi="Times New Roman" w:cs="Times New Roman"/>
                <w:sz w:val="24"/>
              </w:rPr>
              <w:t>工业建筑</w:t>
            </w:r>
          </w:p>
        </w:tc>
        <w:tc>
          <w:tcPr>
            <w:tcW w:w="415" w:type="pct"/>
            <w:vMerge w:val="restart"/>
            <w:tcMar>
              <w:left w:w="108" w:type="dxa"/>
              <w:right w:w="108" w:type="dxa"/>
            </w:tcMar>
            <w:vAlign w:val="center"/>
          </w:tcPr>
          <w:p w14:paraId="615D35AB">
            <w:pPr>
              <w:spacing w:before="24" w:after="24" w:line="288" w:lineRule="auto"/>
              <w:jc w:val="center"/>
              <w:rPr>
                <w:rFonts w:ascii="Times New Roman" w:hAnsi="Times New Roman" w:cs="Times New Roman"/>
                <w:sz w:val="24"/>
              </w:rPr>
            </w:pPr>
            <w:r>
              <w:rPr>
                <w:rFonts w:ascii="Times New Roman" w:hAnsi="Times New Roman" w:cs="Times New Roman"/>
                <w:sz w:val="24"/>
              </w:rPr>
              <w:t>仓库</w:t>
            </w:r>
          </w:p>
        </w:tc>
        <w:tc>
          <w:tcPr>
            <w:tcW w:w="2698" w:type="pct"/>
            <w:tcMar>
              <w:left w:w="108" w:type="dxa"/>
              <w:right w:w="108" w:type="dxa"/>
            </w:tcMar>
            <w:vAlign w:val="center"/>
          </w:tcPr>
          <w:p w14:paraId="4FE0D87B">
            <w:pPr>
              <w:spacing w:before="24" w:after="24" w:line="288" w:lineRule="auto"/>
              <w:jc w:val="center"/>
              <w:rPr>
                <w:rFonts w:ascii="Times New Roman" w:hAnsi="Times New Roman" w:cs="Times New Roman"/>
                <w:sz w:val="24"/>
              </w:rPr>
            </w:pPr>
            <w:r>
              <w:rPr>
                <w:rFonts w:ascii="Times New Roman" w:hAnsi="Times New Roman" w:cs="Times New Roman"/>
                <w:sz w:val="24"/>
              </w:rPr>
              <w:t>甲、乙、丙类仓库</w:t>
            </w:r>
          </w:p>
        </w:tc>
        <w:tc>
          <w:tcPr>
            <w:tcW w:w="641" w:type="pct"/>
            <w:tcMar>
              <w:left w:w="108" w:type="dxa"/>
              <w:right w:w="108" w:type="dxa"/>
            </w:tcMar>
            <w:vAlign w:val="center"/>
          </w:tcPr>
          <w:p w14:paraId="7FDDCE15">
            <w:pPr>
              <w:spacing w:before="24" w:after="24" w:line="288" w:lineRule="auto"/>
              <w:jc w:val="center"/>
              <w:rPr>
                <w:rFonts w:ascii="Times New Roman" w:hAnsi="Times New Roman" w:cs="Times New Roman"/>
                <w:sz w:val="24"/>
              </w:rPr>
            </w:pPr>
            <w:r>
              <w:rPr>
                <w:rFonts w:ascii="Times New Roman" w:hAnsi="Times New Roman" w:cs="Times New Roman"/>
                <w:sz w:val="24"/>
              </w:rPr>
              <w:t>3.0</w:t>
            </w:r>
          </w:p>
        </w:tc>
      </w:tr>
      <w:tr w14:paraId="5FA6A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48" w:type="pct"/>
            <w:vMerge w:val="continue"/>
            <w:tcMar>
              <w:left w:w="108" w:type="dxa"/>
              <w:right w:w="108" w:type="dxa"/>
            </w:tcMar>
            <w:vAlign w:val="center"/>
          </w:tcPr>
          <w:p w14:paraId="2BD6825F">
            <w:pPr>
              <w:spacing w:before="24" w:after="24" w:line="288" w:lineRule="auto"/>
              <w:jc w:val="center"/>
              <w:rPr>
                <w:rFonts w:ascii="Times New Roman" w:hAnsi="Times New Roman" w:cs="Times New Roman"/>
                <w:sz w:val="24"/>
              </w:rPr>
            </w:pPr>
          </w:p>
        </w:tc>
        <w:tc>
          <w:tcPr>
            <w:tcW w:w="695" w:type="pct"/>
            <w:vMerge w:val="continue"/>
            <w:tcMar>
              <w:left w:w="108" w:type="dxa"/>
              <w:right w:w="108" w:type="dxa"/>
            </w:tcMar>
            <w:vAlign w:val="center"/>
          </w:tcPr>
          <w:p w14:paraId="5F5442DD">
            <w:pPr>
              <w:spacing w:before="24" w:after="24" w:line="288" w:lineRule="auto"/>
              <w:jc w:val="center"/>
              <w:rPr>
                <w:rFonts w:ascii="Times New Roman" w:hAnsi="Times New Roman" w:cs="Times New Roman"/>
                <w:sz w:val="24"/>
              </w:rPr>
            </w:pPr>
          </w:p>
        </w:tc>
        <w:tc>
          <w:tcPr>
            <w:tcW w:w="415" w:type="pct"/>
            <w:vMerge w:val="continue"/>
            <w:tcMar>
              <w:left w:w="108" w:type="dxa"/>
              <w:right w:w="108" w:type="dxa"/>
            </w:tcMar>
            <w:vAlign w:val="center"/>
          </w:tcPr>
          <w:p w14:paraId="3E95F5A5">
            <w:pPr>
              <w:spacing w:before="24" w:after="24" w:line="288" w:lineRule="auto"/>
              <w:jc w:val="center"/>
              <w:rPr>
                <w:rFonts w:ascii="Times New Roman" w:hAnsi="Times New Roman" w:cs="Times New Roman"/>
                <w:sz w:val="24"/>
              </w:rPr>
            </w:pPr>
          </w:p>
        </w:tc>
        <w:tc>
          <w:tcPr>
            <w:tcW w:w="2698" w:type="pct"/>
            <w:tcMar>
              <w:left w:w="108" w:type="dxa"/>
              <w:right w:w="108" w:type="dxa"/>
            </w:tcMar>
            <w:vAlign w:val="center"/>
          </w:tcPr>
          <w:p w14:paraId="19FDA139">
            <w:pPr>
              <w:spacing w:before="24" w:after="24" w:line="288" w:lineRule="auto"/>
              <w:jc w:val="center"/>
              <w:rPr>
                <w:rFonts w:ascii="Times New Roman" w:hAnsi="Times New Roman" w:cs="Times New Roman"/>
                <w:sz w:val="24"/>
              </w:rPr>
            </w:pPr>
            <w:r>
              <w:rPr>
                <w:rFonts w:ascii="Times New Roman" w:hAnsi="Times New Roman" w:cs="Times New Roman"/>
                <w:sz w:val="24"/>
              </w:rPr>
              <w:t>丁、戊类仓库</w:t>
            </w:r>
          </w:p>
        </w:tc>
        <w:tc>
          <w:tcPr>
            <w:tcW w:w="641" w:type="pct"/>
            <w:tcMar>
              <w:left w:w="108" w:type="dxa"/>
              <w:right w:w="108" w:type="dxa"/>
            </w:tcMar>
            <w:vAlign w:val="center"/>
          </w:tcPr>
          <w:p w14:paraId="321EB8DC">
            <w:pPr>
              <w:spacing w:before="24" w:after="24" w:line="288" w:lineRule="auto"/>
              <w:jc w:val="center"/>
              <w:rPr>
                <w:rFonts w:ascii="Times New Roman" w:hAnsi="Times New Roman" w:cs="Times New Roman"/>
                <w:sz w:val="24"/>
              </w:rPr>
            </w:pPr>
            <w:r>
              <w:rPr>
                <w:rFonts w:ascii="Times New Roman" w:hAnsi="Times New Roman" w:cs="Times New Roman"/>
                <w:sz w:val="24"/>
              </w:rPr>
              <w:t>2.0</w:t>
            </w:r>
          </w:p>
        </w:tc>
      </w:tr>
      <w:tr w14:paraId="79D32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48" w:type="pct"/>
            <w:vMerge w:val="continue"/>
            <w:tcMar>
              <w:left w:w="108" w:type="dxa"/>
              <w:right w:w="108" w:type="dxa"/>
            </w:tcMar>
            <w:vAlign w:val="center"/>
          </w:tcPr>
          <w:p w14:paraId="18B1652B">
            <w:pPr>
              <w:spacing w:before="24" w:after="24" w:line="288" w:lineRule="auto"/>
              <w:jc w:val="center"/>
              <w:rPr>
                <w:rFonts w:ascii="Times New Roman" w:hAnsi="Times New Roman" w:cs="Times New Roman"/>
                <w:sz w:val="24"/>
              </w:rPr>
            </w:pPr>
          </w:p>
        </w:tc>
        <w:tc>
          <w:tcPr>
            <w:tcW w:w="695" w:type="pct"/>
            <w:vMerge w:val="continue"/>
            <w:tcMar>
              <w:left w:w="108" w:type="dxa"/>
              <w:right w:w="108" w:type="dxa"/>
            </w:tcMar>
            <w:vAlign w:val="center"/>
          </w:tcPr>
          <w:p w14:paraId="6882E53B">
            <w:pPr>
              <w:spacing w:before="24" w:after="24" w:line="288" w:lineRule="auto"/>
              <w:jc w:val="center"/>
              <w:rPr>
                <w:rFonts w:ascii="Times New Roman" w:hAnsi="Times New Roman" w:cs="Times New Roman"/>
                <w:sz w:val="24"/>
              </w:rPr>
            </w:pPr>
          </w:p>
        </w:tc>
        <w:tc>
          <w:tcPr>
            <w:tcW w:w="415" w:type="pct"/>
            <w:vMerge w:val="restart"/>
            <w:tcMar>
              <w:left w:w="108" w:type="dxa"/>
              <w:right w:w="108" w:type="dxa"/>
            </w:tcMar>
            <w:vAlign w:val="center"/>
          </w:tcPr>
          <w:p w14:paraId="00A0F4A2">
            <w:pPr>
              <w:spacing w:before="24" w:after="24" w:line="288" w:lineRule="auto"/>
              <w:jc w:val="center"/>
              <w:rPr>
                <w:rFonts w:ascii="Times New Roman" w:hAnsi="Times New Roman" w:cs="Times New Roman"/>
                <w:sz w:val="24"/>
              </w:rPr>
            </w:pPr>
            <w:r>
              <w:rPr>
                <w:rFonts w:ascii="Times New Roman" w:hAnsi="Times New Roman" w:cs="Times New Roman"/>
                <w:sz w:val="24"/>
              </w:rPr>
              <w:t>厂房</w:t>
            </w:r>
          </w:p>
        </w:tc>
        <w:tc>
          <w:tcPr>
            <w:tcW w:w="2698" w:type="pct"/>
            <w:tcMar>
              <w:left w:w="108" w:type="dxa"/>
              <w:right w:w="108" w:type="dxa"/>
            </w:tcMar>
            <w:vAlign w:val="center"/>
          </w:tcPr>
          <w:p w14:paraId="39D5A96B">
            <w:pPr>
              <w:spacing w:before="24" w:after="24" w:line="288" w:lineRule="auto"/>
              <w:jc w:val="center"/>
              <w:rPr>
                <w:rFonts w:ascii="Times New Roman" w:hAnsi="Times New Roman" w:cs="Times New Roman"/>
                <w:sz w:val="24"/>
              </w:rPr>
            </w:pPr>
            <w:r>
              <w:rPr>
                <w:rFonts w:ascii="Times New Roman" w:hAnsi="Times New Roman" w:cs="Times New Roman"/>
                <w:sz w:val="24"/>
              </w:rPr>
              <w:t>甲、乙、丙类厂房</w:t>
            </w:r>
          </w:p>
        </w:tc>
        <w:tc>
          <w:tcPr>
            <w:tcW w:w="641" w:type="pct"/>
            <w:tcMar>
              <w:left w:w="108" w:type="dxa"/>
              <w:right w:w="108" w:type="dxa"/>
            </w:tcMar>
            <w:vAlign w:val="center"/>
          </w:tcPr>
          <w:p w14:paraId="54D13B0C">
            <w:pPr>
              <w:spacing w:before="24" w:after="24" w:line="288" w:lineRule="auto"/>
              <w:jc w:val="center"/>
              <w:rPr>
                <w:rFonts w:ascii="Times New Roman" w:hAnsi="Times New Roman" w:cs="Times New Roman"/>
                <w:sz w:val="24"/>
              </w:rPr>
            </w:pPr>
            <w:r>
              <w:rPr>
                <w:rFonts w:ascii="Times New Roman" w:hAnsi="Times New Roman" w:cs="Times New Roman"/>
                <w:sz w:val="24"/>
              </w:rPr>
              <w:t>3.0</w:t>
            </w:r>
          </w:p>
        </w:tc>
      </w:tr>
      <w:tr w14:paraId="6DEAC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48" w:type="pct"/>
            <w:vMerge w:val="continue"/>
            <w:tcMar>
              <w:left w:w="108" w:type="dxa"/>
              <w:right w:w="108" w:type="dxa"/>
            </w:tcMar>
            <w:vAlign w:val="center"/>
          </w:tcPr>
          <w:p w14:paraId="341D1D77">
            <w:pPr>
              <w:spacing w:before="24" w:after="24" w:line="288" w:lineRule="auto"/>
              <w:jc w:val="center"/>
              <w:rPr>
                <w:rFonts w:ascii="Times New Roman" w:hAnsi="Times New Roman" w:cs="Times New Roman"/>
                <w:sz w:val="24"/>
              </w:rPr>
            </w:pPr>
          </w:p>
        </w:tc>
        <w:tc>
          <w:tcPr>
            <w:tcW w:w="695" w:type="pct"/>
            <w:vMerge w:val="continue"/>
            <w:tcMar>
              <w:left w:w="108" w:type="dxa"/>
              <w:right w:w="108" w:type="dxa"/>
            </w:tcMar>
            <w:vAlign w:val="center"/>
          </w:tcPr>
          <w:p w14:paraId="5C00293B">
            <w:pPr>
              <w:spacing w:before="24" w:after="24" w:line="288" w:lineRule="auto"/>
              <w:jc w:val="center"/>
              <w:rPr>
                <w:rFonts w:ascii="Times New Roman" w:hAnsi="Times New Roman" w:cs="Times New Roman"/>
                <w:sz w:val="24"/>
              </w:rPr>
            </w:pPr>
          </w:p>
        </w:tc>
        <w:tc>
          <w:tcPr>
            <w:tcW w:w="415" w:type="pct"/>
            <w:vMerge w:val="continue"/>
            <w:tcMar>
              <w:left w:w="108" w:type="dxa"/>
              <w:right w:w="108" w:type="dxa"/>
            </w:tcMar>
            <w:vAlign w:val="center"/>
          </w:tcPr>
          <w:p w14:paraId="0D3AB5D2">
            <w:pPr>
              <w:spacing w:before="24" w:after="24" w:line="288" w:lineRule="auto"/>
              <w:jc w:val="center"/>
              <w:rPr>
                <w:rFonts w:ascii="Times New Roman" w:hAnsi="Times New Roman" w:cs="Times New Roman"/>
                <w:sz w:val="24"/>
              </w:rPr>
            </w:pPr>
          </w:p>
        </w:tc>
        <w:tc>
          <w:tcPr>
            <w:tcW w:w="2698" w:type="pct"/>
            <w:tcMar>
              <w:left w:w="108" w:type="dxa"/>
              <w:right w:w="108" w:type="dxa"/>
            </w:tcMar>
            <w:vAlign w:val="center"/>
          </w:tcPr>
          <w:p w14:paraId="205DF6A8">
            <w:pPr>
              <w:spacing w:before="24" w:after="24" w:line="288" w:lineRule="auto"/>
              <w:jc w:val="center"/>
              <w:rPr>
                <w:rFonts w:ascii="Times New Roman" w:hAnsi="Times New Roman" w:cs="Times New Roman"/>
                <w:sz w:val="24"/>
              </w:rPr>
            </w:pPr>
            <w:r>
              <w:rPr>
                <w:rFonts w:ascii="Times New Roman" w:hAnsi="Times New Roman" w:cs="Times New Roman"/>
                <w:sz w:val="24"/>
              </w:rPr>
              <w:t>丁、戊类厂房</w:t>
            </w:r>
          </w:p>
        </w:tc>
        <w:tc>
          <w:tcPr>
            <w:tcW w:w="641" w:type="pct"/>
            <w:tcMar>
              <w:left w:w="108" w:type="dxa"/>
              <w:right w:w="108" w:type="dxa"/>
            </w:tcMar>
            <w:vAlign w:val="center"/>
          </w:tcPr>
          <w:p w14:paraId="4FCC5BCE">
            <w:pPr>
              <w:spacing w:before="24" w:after="24" w:line="288" w:lineRule="auto"/>
              <w:jc w:val="center"/>
              <w:rPr>
                <w:rFonts w:ascii="Times New Roman" w:hAnsi="Times New Roman" w:cs="Times New Roman"/>
                <w:sz w:val="24"/>
              </w:rPr>
            </w:pPr>
            <w:r>
              <w:rPr>
                <w:rFonts w:ascii="Times New Roman" w:hAnsi="Times New Roman" w:cs="Times New Roman"/>
                <w:sz w:val="24"/>
              </w:rPr>
              <w:t>2.0</w:t>
            </w:r>
          </w:p>
        </w:tc>
      </w:tr>
      <w:tr w14:paraId="24EC8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65" w:hRule="atLeast"/>
          <w:jc w:val="center"/>
        </w:trPr>
        <w:tc>
          <w:tcPr>
            <w:tcW w:w="548" w:type="pct"/>
            <w:vMerge w:val="continue"/>
            <w:tcMar>
              <w:left w:w="108" w:type="dxa"/>
              <w:right w:w="108" w:type="dxa"/>
            </w:tcMar>
            <w:vAlign w:val="center"/>
          </w:tcPr>
          <w:p w14:paraId="61E15631">
            <w:pPr>
              <w:spacing w:before="24" w:after="24" w:line="288" w:lineRule="auto"/>
              <w:jc w:val="center"/>
              <w:rPr>
                <w:rFonts w:ascii="Times New Roman" w:hAnsi="Times New Roman" w:cs="Times New Roman"/>
                <w:sz w:val="24"/>
              </w:rPr>
            </w:pPr>
          </w:p>
        </w:tc>
        <w:tc>
          <w:tcPr>
            <w:tcW w:w="695" w:type="pct"/>
            <w:vMerge w:val="restart"/>
            <w:tcMar>
              <w:left w:w="108" w:type="dxa"/>
              <w:right w:w="108" w:type="dxa"/>
            </w:tcMar>
            <w:vAlign w:val="center"/>
          </w:tcPr>
          <w:p w14:paraId="1CB4836C">
            <w:pPr>
              <w:spacing w:before="24" w:after="24" w:line="288" w:lineRule="auto"/>
              <w:jc w:val="center"/>
              <w:rPr>
                <w:rFonts w:ascii="Times New Roman" w:hAnsi="Times New Roman" w:cs="Times New Roman"/>
                <w:sz w:val="24"/>
              </w:rPr>
            </w:pPr>
            <w:r>
              <w:rPr>
                <w:rFonts w:ascii="Times New Roman" w:hAnsi="Times New Roman" w:cs="Times New Roman"/>
                <w:sz w:val="24"/>
              </w:rPr>
              <w:t>民用建筑</w:t>
            </w:r>
          </w:p>
        </w:tc>
        <w:tc>
          <w:tcPr>
            <w:tcW w:w="415" w:type="pct"/>
            <w:vMerge w:val="restart"/>
            <w:tcMar>
              <w:left w:w="108" w:type="dxa"/>
              <w:right w:w="108" w:type="dxa"/>
            </w:tcMar>
            <w:vAlign w:val="center"/>
          </w:tcPr>
          <w:p w14:paraId="5422961B">
            <w:pPr>
              <w:spacing w:before="24" w:after="24" w:line="288" w:lineRule="auto"/>
              <w:jc w:val="center"/>
              <w:rPr>
                <w:rFonts w:ascii="Times New Roman" w:hAnsi="Times New Roman" w:cs="Times New Roman"/>
                <w:sz w:val="24"/>
              </w:rPr>
            </w:pPr>
            <w:r>
              <w:rPr>
                <w:rFonts w:ascii="Times New Roman" w:hAnsi="Times New Roman" w:cs="Times New Roman"/>
                <w:sz w:val="24"/>
              </w:rPr>
              <w:t>公共建筑</w:t>
            </w:r>
          </w:p>
        </w:tc>
        <w:tc>
          <w:tcPr>
            <w:tcW w:w="2698" w:type="pct"/>
            <w:tcMar>
              <w:left w:w="108" w:type="dxa"/>
              <w:right w:w="108" w:type="dxa"/>
            </w:tcMar>
            <w:vAlign w:val="center"/>
          </w:tcPr>
          <w:p w14:paraId="4DE57BC6">
            <w:pPr>
              <w:spacing w:before="24" w:after="24" w:line="288" w:lineRule="auto"/>
              <w:jc w:val="center"/>
              <w:rPr>
                <w:rFonts w:ascii="Times New Roman" w:hAnsi="Times New Roman" w:cs="Times New Roman"/>
                <w:sz w:val="24"/>
              </w:rPr>
            </w:pPr>
            <w:r>
              <w:rPr>
                <w:rFonts w:ascii="Times New Roman" w:hAnsi="Times New Roman" w:cs="Times New Roman"/>
                <w:sz w:val="24"/>
              </w:rPr>
              <w:t>高层建筑中的商业楼、展览楼、综合楼，建筑高度大于50m的财经金融楼、图书馆、书库、重要的档案楼、科研楼和高级宾馆等</w:t>
            </w:r>
          </w:p>
        </w:tc>
        <w:tc>
          <w:tcPr>
            <w:tcW w:w="641" w:type="pct"/>
            <w:tcMar>
              <w:left w:w="108" w:type="dxa"/>
              <w:right w:w="108" w:type="dxa"/>
            </w:tcMar>
            <w:vAlign w:val="center"/>
          </w:tcPr>
          <w:p w14:paraId="77CA3F55">
            <w:pPr>
              <w:spacing w:before="24" w:after="24" w:line="288" w:lineRule="auto"/>
              <w:jc w:val="center"/>
              <w:rPr>
                <w:rFonts w:ascii="Times New Roman" w:hAnsi="Times New Roman" w:cs="Times New Roman"/>
                <w:sz w:val="24"/>
              </w:rPr>
            </w:pPr>
            <w:r>
              <w:rPr>
                <w:rFonts w:ascii="Times New Roman" w:hAnsi="Times New Roman" w:cs="Times New Roman"/>
                <w:sz w:val="24"/>
              </w:rPr>
              <w:t>3.0</w:t>
            </w:r>
          </w:p>
        </w:tc>
      </w:tr>
      <w:tr w14:paraId="2357C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48" w:type="pct"/>
            <w:vMerge w:val="continue"/>
            <w:tcMar>
              <w:left w:w="108" w:type="dxa"/>
              <w:right w:w="108" w:type="dxa"/>
            </w:tcMar>
            <w:vAlign w:val="center"/>
          </w:tcPr>
          <w:p w14:paraId="2150BF36">
            <w:pPr>
              <w:spacing w:before="24" w:after="24" w:line="288" w:lineRule="auto"/>
              <w:jc w:val="center"/>
              <w:rPr>
                <w:rFonts w:ascii="Times New Roman" w:hAnsi="Times New Roman" w:cs="Times New Roman"/>
                <w:sz w:val="24"/>
              </w:rPr>
            </w:pPr>
          </w:p>
        </w:tc>
        <w:tc>
          <w:tcPr>
            <w:tcW w:w="695" w:type="pct"/>
            <w:vMerge w:val="continue"/>
            <w:tcMar>
              <w:left w:w="108" w:type="dxa"/>
              <w:right w:w="108" w:type="dxa"/>
            </w:tcMar>
            <w:vAlign w:val="center"/>
          </w:tcPr>
          <w:p w14:paraId="31C437E9">
            <w:pPr>
              <w:spacing w:before="24" w:after="24" w:line="288" w:lineRule="auto"/>
              <w:jc w:val="center"/>
              <w:rPr>
                <w:rFonts w:ascii="Times New Roman" w:hAnsi="Times New Roman" w:cs="Times New Roman"/>
                <w:sz w:val="24"/>
              </w:rPr>
            </w:pPr>
          </w:p>
        </w:tc>
        <w:tc>
          <w:tcPr>
            <w:tcW w:w="415" w:type="pct"/>
            <w:vMerge w:val="continue"/>
            <w:tcMar>
              <w:left w:w="108" w:type="dxa"/>
              <w:right w:w="108" w:type="dxa"/>
            </w:tcMar>
            <w:vAlign w:val="center"/>
          </w:tcPr>
          <w:p w14:paraId="4FA1AF73">
            <w:pPr>
              <w:spacing w:before="24" w:after="24" w:line="288" w:lineRule="auto"/>
              <w:jc w:val="center"/>
              <w:rPr>
                <w:rFonts w:ascii="Times New Roman" w:hAnsi="Times New Roman" w:cs="Times New Roman"/>
                <w:sz w:val="24"/>
              </w:rPr>
            </w:pPr>
          </w:p>
        </w:tc>
        <w:tc>
          <w:tcPr>
            <w:tcW w:w="2698" w:type="pct"/>
            <w:tcMar>
              <w:left w:w="108" w:type="dxa"/>
              <w:right w:w="108" w:type="dxa"/>
            </w:tcMar>
            <w:vAlign w:val="center"/>
          </w:tcPr>
          <w:p w14:paraId="08D4A566">
            <w:pPr>
              <w:spacing w:before="24" w:after="24" w:line="288" w:lineRule="auto"/>
              <w:jc w:val="center"/>
              <w:rPr>
                <w:rFonts w:ascii="Times New Roman" w:hAnsi="Times New Roman" w:cs="Times New Roman"/>
                <w:sz w:val="24"/>
              </w:rPr>
            </w:pPr>
            <w:r>
              <w:rPr>
                <w:rFonts w:ascii="Times New Roman" w:hAnsi="Times New Roman" w:cs="Times New Roman"/>
                <w:sz w:val="24"/>
              </w:rPr>
              <w:t>其他公共建筑</w:t>
            </w:r>
          </w:p>
        </w:tc>
        <w:tc>
          <w:tcPr>
            <w:tcW w:w="641" w:type="pct"/>
            <w:vMerge w:val="restart"/>
            <w:tcMar>
              <w:left w:w="108" w:type="dxa"/>
              <w:right w:w="108" w:type="dxa"/>
            </w:tcMar>
            <w:vAlign w:val="center"/>
          </w:tcPr>
          <w:p w14:paraId="60D9ECA1">
            <w:pPr>
              <w:spacing w:before="24" w:after="24" w:line="288" w:lineRule="auto"/>
              <w:jc w:val="center"/>
              <w:rPr>
                <w:rFonts w:ascii="Times New Roman" w:hAnsi="Times New Roman" w:cs="Times New Roman"/>
                <w:sz w:val="24"/>
              </w:rPr>
            </w:pPr>
            <w:r>
              <w:rPr>
                <w:rFonts w:ascii="Times New Roman" w:hAnsi="Times New Roman" w:cs="Times New Roman"/>
                <w:sz w:val="24"/>
              </w:rPr>
              <w:t>2.0</w:t>
            </w:r>
          </w:p>
        </w:tc>
      </w:tr>
      <w:tr w14:paraId="01A7F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48" w:type="pct"/>
            <w:vMerge w:val="continue"/>
            <w:tcMar>
              <w:left w:w="108" w:type="dxa"/>
              <w:right w:w="108" w:type="dxa"/>
            </w:tcMar>
            <w:vAlign w:val="center"/>
          </w:tcPr>
          <w:p w14:paraId="7A787DF7">
            <w:pPr>
              <w:spacing w:before="24" w:after="24" w:line="288" w:lineRule="auto"/>
              <w:jc w:val="center"/>
              <w:rPr>
                <w:rFonts w:ascii="Times New Roman" w:hAnsi="Times New Roman" w:cs="Times New Roman"/>
                <w:sz w:val="24"/>
              </w:rPr>
            </w:pPr>
          </w:p>
        </w:tc>
        <w:tc>
          <w:tcPr>
            <w:tcW w:w="695" w:type="pct"/>
            <w:vMerge w:val="continue"/>
            <w:tcMar>
              <w:left w:w="108" w:type="dxa"/>
              <w:right w:w="108" w:type="dxa"/>
            </w:tcMar>
            <w:vAlign w:val="center"/>
          </w:tcPr>
          <w:p w14:paraId="7B855CD2">
            <w:pPr>
              <w:spacing w:before="24" w:after="24" w:line="288" w:lineRule="auto"/>
              <w:jc w:val="center"/>
              <w:rPr>
                <w:rFonts w:ascii="Times New Roman" w:hAnsi="Times New Roman" w:cs="Times New Roman"/>
                <w:sz w:val="24"/>
              </w:rPr>
            </w:pPr>
          </w:p>
        </w:tc>
        <w:tc>
          <w:tcPr>
            <w:tcW w:w="415" w:type="pct"/>
            <w:vMerge w:val="continue"/>
            <w:tcMar>
              <w:left w:w="108" w:type="dxa"/>
              <w:right w:w="108" w:type="dxa"/>
            </w:tcMar>
            <w:vAlign w:val="center"/>
          </w:tcPr>
          <w:p w14:paraId="4646DA4D">
            <w:pPr>
              <w:spacing w:before="24" w:after="24" w:line="288" w:lineRule="auto"/>
              <w:jc w:val="center"/>
              <w:rPr>
                <w:rFonts w:ascii="Times New Roman" w:hAnsi="Times New Roman" w:cs="Times New Roman"/>
                <w:sz w:val="24"/>
              </w:rPr>
            </w:pPr>
          </w:p>
        </w:tc>
        <w:tc>
          <w:tcPr>
            <w:tcW w:w="2698" w:type="pct"/>
            <w:tcMar>
              <w:left w:w="108" w:type="dxa"/>
              <w:right w:w="108" w:type="dxa"/>
            </w:tcMar>
            <w:vAlign w:val="center"/>
          </w:tcPr>
          <w:p w14:paraId="2731991C">
            <w:pPr>
              <w:spacing w:before="24" w:after="24" w:line="288" w:lineRule="auto"/>
              <w:jc w:val="center"/>
              <w:rPr>
                <w:rFonts w:ascii="Times New Roman" w:hAnsi="Times New Roman" w:cs="Times New Roman"/>
                <w:sz w:val="24"/>
              </w:rPr>
            </w:pPr>
            <w:r>
              <w:rPr>
                <w:rFonts w:ascii="Times New Roman" w:hAnsi="Times New Roman" w:cs="Times New Roman"/>
                <w:sz w:val="24"/>
              </w:rPr>
              <w:t>住宅</w:t>
            </w:r>
          </w:p>
        </w:tc>
        <w:tc>
          <w:tcPr>
            <w:tcW w:w="641" w:type="pct"/>
            <w:vMerge w:val="continue"/>
            <w:tcMar>
              <w:left w:w="108" w:type="dxa"/>
              <w:right w:w="108" w:type="dxa"/>
            </w:tcMar>
            <w:vAlign w:val="center"/>
          </w:tcPr>
          <w:p w14:paraId="34CB988C">
            <w:pPr>
              <w:spacing w:before="24" w:after="24" w:line="288" w:lineRule="auto"/>
              <w:jc w:val="center"/>
              <w:rPr>
                <w:rFonts w:ascii="Times New Roman" w:hAnsi="Times New Roman" w:cs="Times New Roman"/>
                <w:sz w:val="24"/>
              </w:rPr>
            </w:pPr>
          </w:p>
        </w:tc>
      </w:tr>
      <w:tr w14:paraId="1C256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48" w:type="pct"/>
            <w:vMerge w:val="continue"/>
            <w:tcMar>
              <w:left w:w="108" w:type="dxa"/>
              <w:right w:w="108" w:type="dxa"/>
            </w:tcMar>
            <w:vAlign w:val="center"/>
          </w:tcPr>
          <w:p w14:paraId="22BD7196">
            <w:pPr>
              <w:spacing w:before="24" w:after="24" w:line="288" w:lineRule="auto"/>
              <w:jc w:val="center"/>
              <w:rPr>
                <w:rFonts w:ascii="Times New Roman" w:hAnsi="Times New Roman" w:cs="Times New Roman"/>
                <w:sz w:val="24"/>
              </w:rPr>
            </w:pPr>
          </w:p>
        </w:tc>
        <w:tc>
          <w:tcPr>
            <w:tcW w:w="1110" w:type="pct"/>
            <w:gridSpan w:val="2"/>
            <w:vMerge w:val="restart"/>
            <w:tcMar>
              <w:left w:w="108" w:type="dxa"/>
              <w:right w:w="108" w:type="dxa"/>
            </w:tcMar>
            <w:vAlign w:val="center"/>
          </w:tcPr>
          <w:p w14:paraId="58BB51BF">
            <w:pPr>
              <w:spacing w:before="24" w:after="24" w:line="288" w:lineRule="auto"/>
              <w:jc w:val="center"/>
              <w:rPr>
                <w:rFonts w:ascii="Times New Roman" w:hAnsi="Times New Roman" w:cs="Times New Roman"/>
                <w:sz w:val="24"/>
              </w:rPr>
            </w:pPr>
            <w:r>
              <w:rPr>
                <w:rFonts w:ascii="Times New Roman" w:hAnsi="Times New Roman" w:cs="Times New Roman"/>
                <w:sz w:val="24"/>
              </w:rPr>
              <w:t>人防工程</w:t>
            </w:r>
          </w:p>
        </w:tc>
        <w:tc>
          <w:tcPr>
            <w:tcW w:w="2698" w:type="pct"/>
            <w:tcMar>
              <w:left w:w="108" w:type="dxa"/>
              <w:right w:w="108" w:type="dxa"/>
            </w:tcMar>
            <w:vAlign w:val="center"/>
          </w:tcPr>
          <w:p w14:paraId="253BF1F4">
            <w:pPr>
              <w:spacing w:before="24" w:after="24" w:line="288" w:lineRule="auto"/>
              <w:jc w:val="center"/>
              <w:rPr>
                <w:rFonts w:ascii="Times New Roman" w:hAnsi="Times New Roman" w:cs="Times New Roman"/>
                <w:sz w:val="24"/>
              </w:rPr>
            </w:pPr>
            <w:r>
              <w:rPr>
                <w:rFonts w:ascii="Times New Roman" w:hAnsi="Times New Roman" w:cs="Times New Roman"/>
                <w:sz w:val="24"/>
              </w:rPr>
              <w:t>建筑面积小于3000㎡</w:t>
            </w:r>
          </w:p>
        </w:tc>
        <w:tc>
          <w:tcPr>
            <w:tcW w:w="641" w:type="pct"/>
            <w:tcMar>
              <w:left w:w="108" w:type="dxa"/>
              <w:right w:w="108" w:type="dxa"/>
            </w:tcMar>
            <w:vAlign w:val="center"/>
          </w:tcPr>
          <w:p w14:paraId="07BDEC78">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3070C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48" w:type="pct"/>
            <w:vMerge w:val="continue"/>
            <w:tcMar>
              <w:left w:w="108" w:type="dxa"/>
              <w:right w:w="108" w:type="dxa"/>
            </w:tcMar>
            <w:vAlign w:val="center"/>
          </w:tcPr>
          <w:p w14:paraId="6307DD85">
            <w:pPr>
              <w:spacing w:before="24" w:after="24" w:line="288" w:lineRule="auto"/>
              <w:jc w:val="center"/>
              <w:rPr>
                <w:rFonts w:ascii="Times New Roman" w:hAnsi="Times New Roman" w:cs="Times New Roman"/>
                <w:sz w:val="24"/>
              </w:rPr>
            </w:pPr>
          </w:p>
        </w:tc>
        <w:tc>
          <w:tcPr>
            <w:tcW w:w="1110" w:type="pct"/>
            <w:gridSpan w:val="2"/>
            <w:vMerge w:val="continue"/>
            <w:tcMar>
              <w:left w:w="108" w:type="dxa"/>
              <w:right w:w="108" w:type="dxa"/>
            </w:tcMar>
            <w:vAlign w:val="center"/>
          </w:tcPr>
          <w:p w14:paraId="3FCA1B32">
            <w:pPr>
              <w:spacing w:before="24" w:after="24" w:line="288" w:lineRule="auto"/>
              <w:jc w:val="center"/>
              <w:rPr>
                <w:rFonts w:ascii="Times New Roman" w:hAnsi="Times New Roman" w:cs="Times New Roman"/>
                <w:sz w:val="24"/>
              </w:rPr>
            </w:pPr>
          </w:p>
        </w:tc>
        <w:tc>
          <w:tcPr>
            <w:tcW w:w="2698" w:type="pct"/>
            <w:tcMar>
              <w:left w:w="108" w:type="dxa"/>
              <w:right w:w="108" w:type="dxa"/>
            </w:tcMar>
            <w:vAlign w:val="center"/>
          </w:tcPr>
          <w:p w14:paraId="47822BE0">
            <w:pPr>
              <w:spacing w:before="24" w:after="24" w:line="288" w:lineRule="auto"/>
              <w:jc w:val="center"/>
              <w:rPr>
                <w:rFonts w:ascii="Times New Roman" w:hAnsi="Times New Roman" w:cs="Times New Roman"/>
                <w:sz w:val="24"/>
              </w:rPr>
            </w:pPr>
            <w:r>
              <w:rPr>
                <w:rFonts w:ascii="Times New Roman" w:hAnsi="Times New Roman" w:cs="Times New Roman"/>
                <w:sz w:val="24"/>
              </w:rPr>
              <w:t>建筑面积大于或等于3000㎡</w:t>
            </w:r>
          </w:p>
        </w:tc>
        <w:tc>
          <w:tcPr>
            <w:tcW w:w="641" w:type="pct"/>
            <w:vMerge w:val="restart"/>
            <w:tcMar>
              <w:left w:w="108" w:type="dxa"/>
              <w:right w:w="108" w:type="dxa"/>
            </w:tcMar>
            <w:vAlign w:val="center"/>
          </w:tcPr>
          <w:p w14:paraId="67D9FAA0">
            <w:pPr>
              <w:spacing w:before="24" w:after="24" w:line="288" w:lineRule="auto"/>
              <w:jc w:val="center"/>
              <w:rPr>
                <w:rFonts w:ascii="Times New Roman" w:hAnsi="Times New Roman" w:cs="Times New Roman"/>
                <w:sz w:val="24"/>
              </w:rPr>
            </w:pPr>
            <w:r>
              <w:rPr>
                <w:rFonts w:ascii="Times New Roman" w:hAnsi="Times New Roman" w:cs="Times New Roman"/>
                <w:sz w:val="24"/>
              </w:rPr>
              <w:t>2.0</w:t>
            </w:r>
          </w:p>
        </w:tc>
      </w:tr>
      <w:tr w14:paraId="37037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48" w:type="pct"/>
            <w:vMerge w:val="continue"/>
            <w:tcMar>
              <w:left w:w="108" w:type="dxa"/>
              <w:right w:w="108" w:type="dxa"/>
            </w:tcMar>
            <w:vAlign w:val="center"/>
          </w:tcPr>
          <w:p w14:paraId="726423CC">
            <w:pPr>
              <w:spacing w:before="24" w:after="24" w:line="288" w:lineRule="auto"/>
              <w:jc w:val="center"/>
              <w:rPr>
                <w:rFonts w:ascii="Times New Roman" w:hAnsi="Times New Roman" w:cs="Times New Roman"/>
                <w:sz w:val="24"/>
              </w:rPr>
            </w:pPr>
          </w:p>
        </w:tc>
        <w:tc>
          <w:tcPr>
            <w:tcW w:w="3809" w:type="pct"/>
            <w:gridSpan w:val="3"/>
            <w:tcMar>
              <w:left w:w="108" w:type="dxa"/>
              <w:right w:w="108" w:type="dxa"/>
            </w:tcMar>
            <w:vAlign w:val="center"/>
          </w:tcPr>
          <w:p w14:paraId="06BE3C81">
            <w:pPr>
              <w:spacing w:before="24" w:after="24" w:line="288" w:lineRule="auto"/>
              <w:jc w:val="center"/>
              <w:rPr>
                <w:rFonts w:ascii="Times New Roman" w:hAnsi="Times New Roman" w:cs="Times New Roman"/>
                <w:sz w:val="24"/>
              </w:rPr>
            </w:pPr>
            <w:r>
              <w:rPr>
                <w:rFonts w:ascii="Times New Roman" w:hAnsi="Times New Roman" w:cs="Times New Roman"/>
                <w:sz w:val="24"/>
              </w:rPr>
              <w:t>地下建筑、地铁车站</w:t>
            </w:r>
          </w:p>
        </w:tc>
        <w:tc>
          <w:tcPr>
            <w:tcW w:w="641" w:type="pct"/>
            <w:vMerge w:val="continue"/>
            <w:tcMar>
              <w:left w:w="108" w:type="dxa"/>
              <w:right w:w="108" w:type="dxa"/>
            </w:tcMar>
            <w:vAlign w:val="center"/>
          </w:tcPr>
          <w:p w14:paraId="4B23C9D9">
            <w:pPr>
              <w:spacing w:before="24" w:after="24" w:line="288" w:lineRule="auto"/>
              <w:jc w:val="center"/>
              <w:rPr>
                <w:rFonts w:ascii="Times New Roman" w:hAnsi="Times New Roman" w:cs="Times New Roman"/>
                <w:sz w:val="24"/>
              </w:rPr>
            </w:pPr>
          </w:p>
        </w:tc>
      </w:tr>
    </w:tbl>
    <w:p w14:paraId="1A21977E">
      <w:pPr>
        <w:spacing w:before="24" w:after="24"/>
        <w:ind w:firstLine="560" w:firstLineChars="200"/>
        <w:rPr>
          <w:rFonts w:ascii="Times New Roman" w:hAnsi="Times New Roman" w:cs="Times New Roman"/>
        </w:rPr>
      </w:pPr>
      <w:r>
        <w:rPr>
          <w:rFonts w:ascii="Times New Roman" w:hAnsi="Times New Roman" w:cs="Times New Roman"/>
        </w:rPr>
        <w:t>4.7.5建筑灭火器配置标准</w:t>
      </w:r>
    </w:p>
    <w:tbl>
      <w:tblPr>
        <w:tblStyle w:val="3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549"/>
        <w:gridCol w:w="1309"/>
        <w:gridCol w:w="1603"/>
        <w:gridCol w:w="2821"/>
      </w:tblGrid>
      <w:tr w14:paraId="2054E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911" w:type="pct"/>
            <w:tcBorders>
              <w:top w:val="single" w:color="000000" w:sz="4" w:space="0"/>
              <w:left w:val="single" w:color="000000" w:sz="4" w:space="0"/>
              <w:bottom w:val="single" w:color="000000" w:sz="4" w:space="0"/>
              <w:right w:val="single" w:color="000000" w:sz="4" w:space="0"/>
            </w:tcBorders>
            <w:vAlign w:val="center"/>
          </w:tcPr>
          <w:p w14:paraId="15BD7CEA">
            <w:pPr>
              <w:spacing w:before="24" w:after="24" w:line="288" w:lineRule="auto"/>
              <w:jc w:val="center"/>
              <w:rPr>
                <w:rFonts w:ascii="Times New Roman" w:hAnsi="Times New Roman" w:cs="Times New Roman"/>
                <w:sz w:val="24"/>
              </w:rPr>
            </w:pPr>
            <w:r>
              <w:rPr>
                <w:rFonts w:ascii="Times New Roman" w:hAnsi="Times New Roman" w:cs="Times New Roman"/>
                <w:sz w:val="24"/>
              </w:rPr>
              <w:t>配置场所</w:t>
            </w:r>
          </w:p>
        </w:tc>
        <w:tc>
          <w:tcPr>
            <w:tcW w:w="705" w:type="pct"/>
            <w:tcBorders>
              <w:top w:val="single" w:color="000000" w:sz="4" w:space="0"/>
              <w:left w:val="single" w:color="000000" w:sz="4" w:space="0"/>
              <w:bottom w:val="single" w:color="000000" w:sz="4" w:space="0"/>
              <w:right w:val="single" w:color="000000" w:sz="4" w:space="0"/>
            </w:tcBorders>
            <w:vAlign w:val="center"/>
          </w:tcPr>
          <w:p w14:paraId="216DE311">
            <w:pPr>
              <w:spacing w:before="24" w:after="24" w:line="288" w:lineRule="auto"/>
              <w:jc w:val="center"/>
              <w:rPr>
                <w:rFonts w:ascii="Times New Roman" w:hAnsi="Times New Roman" w:cs="Times New Roman"/>
                <w:sz w:val="24"/>
              </w:rPr>
            </w:pPr>
            <w:r>
              <w:rPr>
                <w:rFonts w:ascii="Times New Roman" w:hAnsi="Times New Roman" w:cs="Times New Roman"/>
                <w:sz w:val="24"/>
              </w:rPr>
              <w:t>火灾类别</w:t>
            </w:r>
          </w:p>
        </w:tc>
        <w:tc>
          <w:tcPr>
            <w:tcW w:w="863" w:type="pct"/>
            <w:tcBorders>
              <w:top w:val="single" w:color="000000" w:sz="4" w:space="0"/>
              <w:left w:val="single" w:color="000000" w:sz="4" w:space="0"/>
              <w:bottom w:val="single" w:color="000000" w:sz="4" w:space="0"/>
              <w:right w:val="single" w:color="000000" w:sz="4" w:space="0"/>
            </w:tcBorders>
            <w:vAlign w:val="center"/>
          </w:tcPr>
          <w:p w14:paraId="0FACD6A6">
            <w:pPr>
              <w:spacing w:before="24" w:after="24" w:line="288" w:lineRule="auto"/>
              <w:jc w:val="center"/>
              <w:rPr>
                <w:rFonts w:ascii="Times New Roman" w:hAnsi="Times New Roman" w:cs="Times New Roman"/>
                <w:sz w:val="24"/>
              </w:rPr>
            </w:pPr>
            <w:r>
              <w:rPr>
                <w:rFonts w:ascii="Times New Roman" w:hAnsi="Times New Roman" w:cs="Times New Roman"/>
                <w:sz w:val="24"/>
              </w:rPr>
              <w:t>危险等级</w:t>
            </w:r>
          </w:p>
        </w:tc>
        <w:tc>
          <w:tcPr>
            <w:tcW w:w="1519" w:type="pct"/>
            <w:tcBorders>
              <w:top w:val="single" w:color="000000" w:sz="4" w:space="0"/>
              <w:left w:val="single" w:color="000000" w:sz="4" w:space="0"/>
              <w:bottom w:val="single" w:color="000000" w:sz="4" w:space="0"/>
              <w:right w:val="single" w:color="000000" w:sz="4" w:space="0"/>
            </w:tcBorders>
            <w:vAlign w:val="center"/>
          </w:tcPr>
          <w:p w14:paraId="74B35F1D">
            <w:pPr>
              <w:spacing w:before="24" w:after="24" w:line="288" w:lineRule="auto"/>
              <w:jc w:val="center"/>
              <w:rPr>
                <w:rFonts w:ascii="Times New Roman" w:hAnsi="Times New Roman" w:cs="Times New Roman"/>
                <w:sz w:val="24"/>
              </w:rPr>
            </w:pPr>
            <w:r>
              <w:rPr>
                <w:rFonts w:ascii="Times New Roman" w:hAnsi="Times New Roman" w:cs="Times New Roman"/>
                <w:sz w:val="24"/>
              </w:rPr>
              <w:t>灭火器类型</w:t>
            </w:r>
          </w:p>
        </w:tc>
      </w:tr>
      <w:tr w14:paraId="11AAF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911" w:type="pct"/>
            <w:tcBorders>
              <w:top w:val="single" w:color="000000" w:sz="4" w:space="0"/>
              <w:left w:val="single" w:color="000000" w:sz="4" w:space="0"/>
              <w:bottom w:val="single" w:color="000000" w:sz="4" w:space="0"/>
              <w:right w:val="single" w:color="000000" w:sz="4" w:space="0"/>
            </w:tcBorders>
            <w:vAlign w:val="center"/>
          </w:tcPr>
          <w:p w14:paraId="732E0B71">
            <w:pPr>
              <w:spacing w:before="24" w:after="24" w:line="288" w:lineRule="auto"/>
              <w:jc w:val="center"/>
              <w:rPr>
                <w:rFonts w:ascii="Times New Roman" w:hAnsi="Times New Roman" w:cs="Times New Roman"/>
                <w:sz w:val="24"/>
              </w:rPr>
            </w:pPr>
            <w:r>
              <w:rPr>
                <w:rFonts w:ascii="Times New Roman" w:hAnsi="Times New Roman" w:cs="Times New Roman"/>
                <w:sz w:val="24"/>
              </w:rPr>
              <w:t>汽车库</w:t>
            </w:r>
          </w:p>
        </w:tc>
        <w:tc>
          <w:tcPr>
            <w:tcW w:w="705" w:type="pct"/>
            <w:tcBorders>
              <w:top w:val="single" w:color="000000" w:sz="4" w:space="0"/>
              <w:left w:val="single" w:color="000000" w:sz="4" w:space="0"/>
              <w:bottom w:val="single" w:color="000000" w:sz="4" w:space="0"/>
              <w:right w:val="single" w:color="000000" w:sz="4" w:space="0"/>
            </w:tcBorders>
            <w:vAlign w:val="center"/>
          </w:tcPr>
          <w:p w14:paraId="4879D899">
            <w:pPr>
              <w:spacing w:before="24" w:after="24" w:line="288" w:lineRule="auto"/>
              <w:jc w:val="center"/>
              <w:rPr>
                <w:rFonts w:ascii="Times New Roman" w:hAnsi="Times New Roman" w:cs="Times New Roman"/>
                <w:sz w:val="24"/>
              </w:rPr>
            </w:pPr>
            <w:r>
              <w:rPr>
                <w:rFonts w:ascii="Times New Roman" w:hAnsi="Times New Roman" w:cs="Times New Roman"/>
                <w:sz w:val="24"/>
              </w:rPr>
              <w:t>A、B、E类</w:t>
            </w:r>
          </w:p>
        </w:tc>
        <w:tc>
          <w:tcPr>
            <w:tcW w:w="863" w:type="pct"/>
            <w:tcBorders>
              <w:top w:val="single" w:color="000000" w:sz="4" w:space="0"/>
              <w:left w:val="single" w:color="000000" w:sz="4" w:space="0"/>
              <w:bottom w:val="single" w:color="000000" w:sz="4" w:space="0"/>
              <w:right w:val="single" w:color="000000" w:sz="4" w:space="0"/>
            </w:tcBorders>
            <w:vAlign w:val="center"/>
          </w:tcPr>
          <w:p w14:paraId="05774AD0">
            <w:pPr>
              <w:spacing w:before="24" w:after="24" w:line="288" w:lineRule="auto"/>
              <w:jc w:val="center"/>
              <w:rPr>
                <w:rFonts w:ascii="Times New Roman" w:hAnsi="Times New Roman" w:cs="Times New Roman"/>
                <w:sz w:val="24"/>
              </w:rPr>
            </w:pPr>
            <w:r>
              <w:rPr>
                <w:rFonts w:ascii="Times New Roman" w:hAnsi="Times New Roman" w:cs="Times New Roman"/>
                <w:sz w:val="24"/>
              </w:rPr>
              <w:t>中危险级</w:t>
            </w:r>
          </w:p>
        </w:tc>
        <w:tc>
          <w:tcPr>
            <w:tcW w:w="1519" w:type="pct"/>
            <w:tcBorders>
              <w:top w:val="single" w:color="000000" w:sz="4" w:space="0"/>
              <w:left w:val="single" w:color="000000" w:sz="4" w:space="0"/>
              <w:bottom w:val="single" w:color="000000" w:sz="4" w:space="0"/>
              <w:right w:val="single" w:color="000000" w:sz="4" w:space="0"/>
            </w:tcBorders>
            <w:vAlign w:val="center"/>
          </w:tcPr>
          <w:p w14:paraId="4C7DD040">
            <w:pPr>
              <w:spacing w:before="24" w:after="24" w:line="288" w:lineRule="auto"/>
              <w:jc w:val="left"/>
              <w:rPr>
                <w:rFonts w:ascii="Times New Roman" w:hAnsi="Times New Roman" w:cs="Times New Roman"/>
                <w:sz w:val="24"/>
              </w:rPr>
            </w:pPr>
            <w:r>
              <w:rPr>
                <w:rFonts w:ascii="Times New Roman" w:hAnsi="Times New Roman" w:cs="Times New Roman"/>
                <w:sz w:val="24"/>
              </w:rPr>
              <w:t>MF/ABC4，在充电基础设施附近，宜增加配置灭火剂充装量不小于60L的推车式水基型灭火器或推车式水喷雾灭火器</w:t>
            </w:r>
          </w:p>
        </w:tc>
      </w:tr>
      <w:tr w14:paraId="2C9961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911" w:type="pct"/>
            <w:tcBorders>
              <w:top w:val="single" w:color="000000" w:sz="4" w:space="0"/>
              <w:left w:val="single" w:color="000000" w:sz="4" w:space="0"/>
              <w:bottom w:val="single" w:color="000000" w:sz="4" w:space="0"/>
              <w:right w:val="single" w:color="000000" w:sz="4" w:space="0"/>
            </w:tcBorders>
            <w:vAlign w:val="center"/>
          </w:tcPr>
          <w:p w14:paraId="66617787">
            <w:pPr>
              <w:spacing w:before="24" w:after="24" w:line="288" w:lineRule="auto"/>
              <w:jc w:val="center"/>
              <w:rPr>
                <w:rFonts w:ascii="Times New Roman" w:hAnsi="Times New Roman" w:cs="Times New Roman"/>
                <w:sz w:val="24"/>
              </w:rPr>
            </w:pPr>
            <w:r>
              <w:rPr>
                <w:rFonts w:ascii="Times New Roman" w:hAnsi="Times New Roman" w:cs="Times New Roman"/>
                <w:sz w:val="24"/>
              </w:rPr>
              <w:t>办公室、学校教室、教研室</w:t>
            </w:r>
          </w:p>
        </w:tc>
        <w:tc>
          <w:tcPr>
            <w:tcW w:w="705" w:type="pct"/>
            <w:tcBorders>
              <w:top w:val="single" w:color="000000" w:sz="4" w:space="0"/>
              <w:left w:val="single" w:color="000000" w:sz="4" w:space="0"/>
              <w:bottom w:val="single" w:color="000000" w:sz="4" w:space="0"/>
              <w:right w:val="single" w:color="000000" w:sz="4" w:space="0"/>
            </w:tcBorders>
            <w:vAlign w:val="center"/>
          </w:tcPr>
          <w:p w14:paraId="443369F5">
            <w:pPr>
              <w:spacing w:before="24" w:after="24" w:line="288" w:lineRule="auto"/>
              <w:jc w:val="center"/>
              <w:rPr>
                <w:rFonts w:ascii="Times New Roman" w:hAnsi="Times New Roman" w:cs="Times New Roman"/>
                <w:sz w:val="24"/>
              </w:rPr>
            </w:pPr>
            <w:r>
              <w:rPr>
                <w:rFonts w:ascii="Times New Roman" w:hAnsi="Times New Roman" w:cs="Times New Roman"/>
                <w:sz w:val="24"/>
              </w:rPr>
              <w:t>A、E类</w:t>
            </w:r>
          </w:p>
        </w:tc>
        <w:tc>
          <w:tcPr>
            <w:tcW w:w="863" w:type="pct"/>
            <w:tcBorders>
              <w:top w:val="single" w:color="000000" w:sz="4" w:space="0"/>
              <w:left w:val="single" w:color="000000" w:sz="4" w:space="0"/>
              <w:bottom w:val="single" w:color="000000" w:sz="4" w:space="0"/>
              <w:right w:val="single" w:color="000000" w:sz="4" w:space="0"/>
            </w:tcBorders>
            <w:vAlign w:val="center"/>
          </w:tcPr>
          <w:p w14:paraId="0374B5C6">
            <w:pPr>
              <w:spacing w:before="24" w:after="24" w:line="288" w:lineRule="auto"/>
              <w:jc w:val="center"/>
              <w:rPr>
                <w:rFonts w:ascii="Times New Roman" w:hAnsi="Times New Roman" w:cs="Times New Roman"/>
                <w:sz w:val="24"/>
              </w:rPr>
            </w:pPr>
            <w:r>
              <w:rPr>
                <w:rFonts w:ascii="Times New Roman" w:hAnsi="Times New Roman" w:cs="Times New Roman"/>
                <w:sz w:val="24"/>
              </w:rPr>
              <w:t>中危险级</w:t>
            </w:r>
          </w:p>
        </w:tc>
        <w:tc>
          <w:tcPr>
            <w:tcW w:w="1519" w:type="pct"/>
            <w:tcBorders>
              <w:top w:val="single" w:color="000000" w:sz="4" w:space="0"/>
              <w:left w:val="single" w:color="000000" w:sz="4" w:space="0"/>
              <w:bottom w:val="single" w:color="000000" w:sz="4" w:space="0"/>
              <w:right w:val="single" w:color="000000" w:sz="4" w:space="0"/>
            </w:tcBorders>
            <w:vAlign w:val="center"/>
          </w:tcPr>
          <w:p w14:paraId="2F6E1145">
            <w:pPr>
              <w:spacing w:before="24" w:after="24" w:line="288" w:lineRule="auto"/>
              <w:jc w:val="center"/>
              <w:rPr>
                <w:rFonts w:ascii="Times New Roman" w:hAnsi="Times New Roman" w:cs="Times New Roman"/>
                <w:sz w:val="24"/>
              </w:rPr>
            </w:pPr>
            <w:r>
              <w:rPr>
                <w:rFonts w:ascii="Times New Roman" w:hAnsi="Times New Roman" w:cs="Times New Roman"/>
                <w:sz w:val="24"/>
              </w:rPr>
              <w:t>MF/ABC3</w:t>
            </w:r>
          </w:p>
        </w:tc>
      </w:tr>
      <w:tr w14:paraId="5F9113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911" w:type="pct"/>
            <w:tcBorders>
              <w:top w:val="single" w:color="000000" w:sz="4" w:space="0"/>
              <w:left w:val="single" w:color="000000" w:sz="4" w:space="0"/>
              <w:bottom w:val="single" w:color="000000" w:sz="4" w:space="0"/>
              <w:right w:val="single" w:color="000000" w:sz="4" w:space="0"/>
            </w:tcBorders>
            <w:vAlign w:val="center"/>
          </w:tcPr>
          <w:p w14:paraId="1341389F">
            <w:pPr>
              <w:spacing w:before="24" w:after="24" w:line="288" w:lineRule="auto"/>
              <w:jc w:val="center"/>
              <w:rPr>
                <w:rFonts w:ascii="Times New Roman" w:hAnsi="Times New Roman" w:cs="Times New Roman"/>
                <w:sz w:val="24"/>
              </w:rPr>
            </w:pPr>
            <w:r>
              <w:rPr>
                <w:rFonts w:ascii="Times New Roman" w:hAnsi="Times New Roman" w:cs="Times New Roman"/>
                <w:sz w:val="24"/>
              </w:rPr>
              <w:t>食堂厨房</w:t>
            </w:r>
          </w:p>
        </w:tc>
        <w:tc>
          <w:tcPr>
            <w:tcW w:w="705" w:type="pct"/>
            <w:tcBorders>
              <w:top w:val="single" w:color="000000" w:sz="4" w:space="0"/>
              <w:left w:val="single" w:color="000000" w:sz="4" w:space="0"/>
              <w:bottom w:val="single" w:color="000000" w:sz="4" w:space="0"/>
              <w:right w:val="single" w:color="000000" w:sz="4" w:space="0"/>
            </w:tcBorders>
            <w:vAlign w:val="center"/>
          </w:tcPr>
          <w:p w14:paraId="4825D4AC">
            <w:pPr>
              <w:spacing w:before="24" w:after="24" w:line="288" w:lineRule="auto"/>
              <w:jc w:val="center"/>
              <w:rPr>
                <w:rFonts w:ascii="Times New Roman" w:hAnsi="Times New Roman" w:cs="Times New Roman"/>
                <w:sz w:val="24"/>
              </w:rPr>
            </w:pPr>
            <w:r>
              <w:rPr>
                <w:rFonts w:ascii="Times New Roman" w:hAnsi="Times New Roman" w:cs="Times New Roman"/>
                <w:sz w:val="24"/>
              </w:rPr>
              <w:t>A、B、E类</w:t>
            </w:r>
          </w:p>
        </w:tc>
        <w:tc>
          <w:tcPr>
            <w:tcW w:w="863" w:type="pct"/>
            <w:tcBorders>
              <w:top w:val="single" w:color="000000" w:sz="4" w:space="0"/>
              <w:left w:val="single" w:color="000000" w:sz="4" w:space="0"/>
              <w:bottom w:val="single" w:color="000000" w:sz="4" w:space="0"/>
              <w:right w:val="single" w:color="000000" w:sz="4" w:space="0"/>
            </w:tcBorders>
            <w:vAlign w:val="center"/>
          </w:tcPr>
          <w:p w14:paraId="6E5CAB10">
            <w:pPr>
              <w:spacing w:before="24" w:after="24" w:line="288" w:lineRule="auto"/>
              <w:jc w:val="center"/>
              <w:rPr>
                <w:rFonts w:ascii="Times New Roman" w:hAnsi="Times New Roman" w:cs="Times New Roman"/>
                <w:sz w:val="24"/>
              </w:rPr>
            </w:pPr>
            <w:r>
              <w:rPr>
                <w:rFonts w:ascii="Times New Roman" w:hAnsi="Times New Roman" w:cs="Times New Roman"/>
                <w:sz w:val="24"/>
              </w:rPr>
              <w:t>严重危险级</w:t>
            </w:r>
          </w:p>
        </w:tc>
        <w:tc>
          <w:tcPr>
            <w:tcW w:w="1519" w:type="pct"/>
            <w:tcBorders>
              <w:top w:val="single" w:color="000000" w:sz="4" w:space="0"/>
              <w:left w:val="single" w:color="000000" w:sz="4" w:space="0"/>
              <w:bottom w:val="single" w:color="000000" w:sz="4" w:space="0"/>
              <w:right w:val="single" w:color="000000" w:sz="4" w:space="0"/>
            </w:tcBorders>
            <w:vAlign w:val="center"/>
          </w:tcPr>
          <w:p w14:paraId="741B8A2F">
            <w:pPr>
              <w:spacing w:before="24" w:after="24" w:line="288" w:lineRule="auto"/>
              <w:jc w:val="center"/>
              <w:rPr>
                <w:rFonts w:ascii="Times New Roman" w:hAnsi="Times New Roman" w:cs="Times New Roman"/>
                <w:sz w:val="24"/>
              </w:rPr>
            </w:pPr>
            <w:r>
              <w:rPr>
                <w:rFonts w:ascii="Times New Roman" w:hAnsi="Times New Roman" w:cs="Times New Roman"/>
                <w:sz w:val="24"/>
              </w:rPr>
              <w:t>MF/ABC5</w:t>
            </w:r>
          </w:p>
        </w:tc>
      </w:tr>
      <w:tr w14:paraId="5CE2E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911" w:type="pct"/>
            <w:tcBorders>
              <w:top w:val="single" w:color="000000" w:sz="4" w:space="0"/>
              <w:left w:val="single" w:color="000000" w:sz="4" w:space="0"/>
              <w:bottom w:val="single" w:color="000000" w:sz="4" w:space="0"/>
              <w:right w:val="single" w:color="000000" w:sz="4" w:space="0"/>
            </w:tcBorders>
            <w:vAlign w:val="center"/>
          </w:tcPr>
          <w:p w14:paraId="5B9A7B8B">
            <w:pPr>
              <w:spacing w:before="24" w:after="24" w:line="288" w:lineRule="auto"/>
              <w:jc w:val="left"/>
              <w:rPr>
                <w:rFonts w:ascii="Times New Roman" w:hAnsi="Times New Roman" w:cs="Times New Roman"/>
                <w:sz w:val="24"/>
              </w:rPr>
            </w:pPr>
            <w:r>
              <w:rPr>
                <w:rFonts w:ascii="Times New Roman" w:hAnsi="Times New Roman" w:cs="Times New Roman"/>
                <w:sz w:val="24"/>
              </w:rPr>
              <w:t>老人住宿床位在50张及以上的养老院、县级及以上的党政机关办公大楼的会议室、档案馆、文物管理所、计算机房</w:t>
            </w:r>
          </w:p>
        </w:tc>
        <w:tc>
          <w:tcPr>
            <w:tcW w:w="705" w:type="pct"/>
            <w:tcBorders>
              <w:top w:val="single" w:color="000000" w:sz="4" w:space="0"/>
              <w:left w:val="single" w:color="000000" w:sz="4" w:space="0"/>
              <w:bottom w:val="single" w:color="000000" w:sz="4" w:space="0"/>
              <w:right w:val="single" w:color="000000" w:sz="4" w:space="0"/>
            </w:tcBorders>
            <w:vAlign w:val="center"/>
          </w:tcPr>
          <w:p w14:paraId="5082728A">
            <w:pPr>
              <w:spacing w:before="24" w:after="24" w:line="288" w:lineRule="auto"/>
              <w:jc w:val="center"/>
              <w:rPr>
                <w:rFonts w:ascii="Times New Roman" w:hAnsi="Times New Roman" w:cs="Times New Roman"/>
                <w:sz w:val="24"/>
              </w:rPr>
            </w:pPr>
            <w:r>
              <w:rPr>
                <w:rFonts w:ascii="Times New Roman" w:hAnsi="Times New Roman" w:cs="Times New Roman"/>
                <w:sz w:val="24"/>
              </w:rPr>
              <w:t>A类</w:t>
            </w:r>
          </w:p>
        </w:tc>
        <w:tc>
          <w:tcPr>
            <w:tcW w:w="863" w:type="pct"/>
            <w:tcBorders>
              <w:top w:val="single" w:color="000000" w:sz="4" w:space="0"/>
              <w:left w:val="single" w:color="000000" w:sz="4" w:space="0"/>
              <w:bottom w:val="single" w:color="000000" w:sz="4" w:space="0"/>
              <w:right w:val="single" w:color="000000" w:sz="4" w:space="0"/>
            </w:tcBorders>
            <w:vAlign w:val="center"/>
          </w:tcPr>
          <w:p w14:paraId="3770F951">
            <w:pPr>
              <w:spacing w:before="24" w:after="24" w:line="288" w:lineRule="auto"/>
              <w:jc w:val="center"/>
              <w:rPr>
                <w:rFonts w:ascii="Times New Roman" w:hAnsi="Times New Roman" w:cs="Times New Roman"/>
                <w:sz w:val="24"/>
              </w:rPr>
            </w:pPr>
            <w:r>
              <w:rPr>
                <w:rFonts w:ascii="Times New Roman" w:hAnsi="Times New Roman" w:cs="Times New Roman"/>
                <w:sz w:val="24"/>
              </w:rPr>
              <w:t>严重危险级</w:t>
            </w:r>
          </w:p>
        </w:tc>
        <w:tc>
          <w:tcPr>
            <w:tcW w:w="1519" w:type="pct"/>
            <w:tcBorders>
              <w:top w:val="single" w:color="000000" w:sz="4" w:space="0"/>
              <w:left w:val="single" w:color="000000" w:sz="4" w:space="0"/>
              <w:bottom w:val="single" w:color="000000" w:sz="4" w:space="0"/>
              <w:right w:val="single" w:color="000000" w:sz="4" w:space="0"/>
            </w:tcBorders>
            <w:vAlign w:val="center"/>
          </w:tcPr>
          <w:p w14:paraId="04196275">
            <w:pPr>
              <w:spacing w:before="24" w:after="24" w:line="288" w:lineRule="auto"/>
              <w:jc w:val="center"/>
              <w:rPr>
                <w:rFonts w:ascii="Times New Roman" w:hAnsi="Times New Roman" w:cs="Times New Roman"/>
                <w:sz w:val="24"/>
              </w:rPr>
            </w:pPr>
            <w:r>
              <w:rPr>
                <w:rFonts w:ascii="Times New Roman" w:hAnsi="Times New Roman" w:cs="Times New Roman"/>
                <w:sz w:val="24"/>
              </w:rPr>
              <w:t>MF/ABC5</w:t>
            </w:r>
          </w:p>
        </w:tc>
      </w:tr>
      <w:tr w14:paraId="5A601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911" w:type="pct"/>
            <w:tcBorders>
              <w:top w:val="single" w:color="000000" w:sz="4" w:space="0"/>
              <w:left w:val="single" w:color="000000" w:sz="4" w:space="0"/>
              <w:bottom w:val="single" w:color="000000" w:sz="4" w:space="0"/>
              <w:right w:val="single" w:color="000000" w:sz="4" w:space="0"/>
            </w:tcBorders>
            <w:vAlign w:val="center"/>
          </w:tcPr>
          <w:p w14:paraId="07DE3157">
            <w:pPr>
              <w:spacing w:before="24" w:after="24" w:line="288" w:lineRule="auto"/>
              <w:jc w:val="center"/>
              <w:rPr>
                <w:rFonts w:ascii="Times New Roman" w:hAnsi="Times New Roman" w:cs="Times New Roman"/>
                <w:sz w:val="24"/>
              </w:rPr>
            </w:pPr>
            <w:r>
              <w:rPr>
                <w:rFonts w:ascii="Times New Roman" w:hAnsi="Times New Roman" w:cs="Times New Roman"/>
                <w:sz w:val="24"/>
              </w:rPr>
              <w:t>高、低压配电室</w:t>
            </w:r>
          </w:p>
        </w:tc>
        <w:tc>
          <w:tcPr>
            <w:tcW w:w="705" w:type="pct"/>
            <w:tcBorders>
              <w:top w:val="single" w:color="000000" w:sz="4" w:space="0"/>
              <w:left w:val="single" w:color="000000" w:sz="4" w:space="0"/>
              <w:bottom w:val="single" w:color="000000" w:sz="4" w:space="0"/>
              <w:right w:val="single" w:color="000000" w:sz="4" w:space="0"/>
            </w:tcBorders>
            <w:vAlign w:val="center"/>
          </w:tcPr>
          <w:p w14:paraId="72177C24">
            <w:pPr>
              <w:spacing w:before="24" w:after="24" w:line="288" w:lineRule="auto"/>
              <w:jc w:val="center"/>
              <w:rPr>
                <w:rFonts w:ascii="Times New Roman" w:hAnsi="Times New Roman" w:cs="Times New Roman"/>
                <w:sz w:val="24"/>
              </w:rPr>
            </w:pPr>
            <w:r>
              <w:rPr>
                <w:rFonts w:ascii="Times New Roman" w:hAnsi="Times New Roman" w:cs="Times New Roman"/>
                <w:sz w:val="24"/>
              </w:rPr>
              <w:t>A、E类</w:t>
            </w:r>
          </w:p>
        </w:tc>
        <w:tc>
          <w:tcPr>
            <w:tcW w:w="863" w:type="pct"/>
            <w:tcBorders>
              <w:top w:val="single" w:color="000000" w:sz="4" w:space="0"/>
              <w:left w:val="single" w:color="000000" w:sz="4" w:space="0"/>
              <w:bottom w:val="single" w:color="000000" w:sz="4" w:space="0"/>
              <w:right w:val="single" w:color="000000" w:sz="4" w:space="0"/>
            </w:tcBorders>
            <w:vAlign w:val="center"/>
          </w:tcPr>
          <w:p w14:paraId="0A02715C">
            <w:pPr>
              <w:spacing w:before="24" w:after="24" w:line="288" w:lineRule="auto"/>
              <w:jc w:val="center"/>
              <w:rPr>
                <w:rFonts w:ascii="Times New Roman" w:hAnsi="Times New Roman" w:cs="Times New Roman"/>
                <w:sz w:val="24"/>
              </w:rPr>
            </w:pPr>
            <w:r>
              <w:rPr>
                <w:rFonts w:ascii="Times New Roman" w:hAnsi="Times New Roman" w:cs="Times New Roman"/>
                <w:sz w:val="24"/>
              </w:rPr>
              <w:t>中危险级</w:t>
            </w:r>
          </w:p>
        </w:tc>
        <w:tc>
          <w:tcPr>
            <w:tcW w:w="1519" w:type="pct"/>
            <w:tcBorders>
              <w:top w:val="single" w:color="000000" w:sz="4" w:space="0"/>
              <w:left w:val="single" w:color="000000" w:sz="4" w:space="0"/>
              <w:bottom w:val="single" w:color="000000" w:sz="4" w:space="0"/>
              <w:right w:val="single" w:color="000000" w:sz="4" w:space="0"/>
            </w:tcBorders>
            <w:vAlign w:val="center"/>
          </w:tcPr>
          <w:p w14:paraId="1AC388B4">
            <w:pPr>
              <w:spacing w:before="24" w:after="24" w:line="288" w:lineRule="auto"/>
              <w:jc w:val="center"/>
              <w:rPr>
                <w:rFonts w:ascii="Times New Roman" w:hAnsi="Times New Roman" w:cs="Times New Roman"/>
                <w:sz w:val="24"/>
              </w:rPr>
            </w:pPr>
            <w:r>
              <w:rPr>
                <w:rFonts w:ascii="Times New Roman" w:hAnsi="Times New Roman" w:cs="Times New Roman"/>
                <w:sz w:val="24"/>
              </w:rPr>
              <w:t>MF/ABC3</w:t>
            </w:r>
          </w:p>
        </w:tc>
      </w:tr>
    </w:tbl>
    <w:p w14:paraId="325E0236">
      <w:pPr>
        <w:spacing w:before="24" w:after="24"/>
        <w:ind w:firstLine="560" w:firstLineChars="200"/>
        <w:rPr>
          <w:rFonts w:ascii="Times New Roman" w:hAnsi="Times New Roman" w:cs="Times New Roman"/>
        </w:rPr>
      </w:pPr>
      <w:r>
        <w:rPr>
          <w:rFonts w:ascii="Times New Roman" w:hAnsi="Times New Roman" w:cs="Times New Roman"/>
        </w:rPr>
        <w:t>4.8人防用水标准</w:t>
      </w:r>
    </w:p>
    <w:tbl>
      <w:tblPr>
        <w:tblStyle w:val="31"/>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358"/>
        <w:gridCol w:w="1693"/>
        <w:gridCol w:w="1697"/>
        <w:gridCol w:w="1762"/>
        <w:gridCol w:w="1769"/>
      </w:tblGrid>
      <w:tr w14:paraId="64285D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1270" w:type="pct"/>
            <w:vMerge w:val="restart"/>
            <w:tcBorders>
              <w:top w:val="single" w:color="000000" w:sz="4" w:space="0"/>
              <w:left w:val="single" w:color="000000" w:sz="4" w:space="0"/>
              <w:right w:val="single" w:color="000000" w:sz="4" w:space="0"/>
            </w:tcBorders>
            <w:vAlign w:val="center"/>
          </w:tcPr>
          <w:p w14:paraId="5B8799D9">
            <w:pPr>
              <w:spacing w:before="24" w:after="24"/>
              <w:jc w:val="center"/>
              <w:rPr>
                <w:rFonts w:ascii="Times New Roman" w:hAnsi="Times New Roman" w:cs="Times New Roman"/>
                <w:sz w:val="24"/>
                <w:szCs w:val="24"/>
              </w:rPr>
            </w:pPr>
            <w:r>
              <w:rPr>
                <w:rFonts w:ascii="Times New Roman" w:hAnsi="Times New Roman" w:cs="Times New Roman"/>
                <w:sz w:val="24"/>
                <w:szCs w:val="24"/>
              </w:rPr>
              <w:t>工程类别</w:t>
            </w:r>
          </w:p>
        </w:tc>
        <w:tc>
          <w:tcPr>
            <w:tcW w:w="1826" w:type="pct"/>
            <w:gridSpan w:val="2"/>
            <w:tcBorders>
              <w:top w:val="single" w:color="000000" w:sz="4" w:space="0"/>
              <w:left w:val="single" w:color="000000" w:sz="4" w:space="0"/>
              <w:bottom w:val="single" w:color="000000" w:sz="4" w:space="0"/>
              <w:right w:val="single" w:color="000000" w:sz="4" w:space="0"/>
            </w:tcBorders>
            <w:vAlign w:val="center"/>
          </w:tcPr>
          <w:p w14:paraId="7C25F790">
            <w:pPr>
              <w:spacing w:before="24" w:after="24"/>
              <w:jc w:val="center"/>
              <w:rPr>
                <w:rFonts w:ascii="Times New Roman" w:hAnsi="Times New Roman" w:cs="Times New Roman"/>
                <w:sz w:val="24"/>
                <w:szCs w:val="24"/>
              </w:rPr>
            </w:pPr>
            <w:r>
              <w:rPr>
                <w:rFonts w:ascii="Times New Roman" w:hAnsi="Times New Roman" w:cs="Times New Roman"/>
                <w:sz w:val="24"/>
                <w:szCs w:val="24"/>
              </w:rPr>
              <w:t>饮用水</w:t>
            </w:r>
          </w:p>
        </w:tc>
        <w:tc>
          <w:tcPr>
            <w:tcW w:w="1902" w:type="pct"/>
            <w:gridSpan w:val="2"/>
            <w:tcBorders>
              <w:top w:val="single" w:color="000000" w:sz="4" w:space="0"/>
              <w:left w:val="single" w:color="000000" w:sz="4" w:space="0"/>
              <w:bottom w:val="single" w:color="000000" w:sz="4" w:space="0"/>
              <w:right w:val="single" w:color="000000" w:sz="4" w:space="0"/>
            </w:tcBorders>
            <w:vAlign w:val="center"/>
          </w:tcPr>
          <w:p w14:paraId="5797586E">
            <w:pPr>
              <w:spacing w:before="24" w:after="24"/>
              <w:jc w:val="center"/>
              <w:rPr>
                <w:rFonts w:ascii="Times New Roman" w:hAnsi="Times New Roman" w:cs="Times New Roman"/>
                <w:sz w:val="24"/>
                <w:szCs w:val="24"/>
              </w:rPr>
            </w:pPr>
            <w:r>
              <w:rPr>
                <w:rFonts w:ascii="Times New Roman" w:hAnsi="Times New Roman" w:cs="Times New Roman"/>
                <w:sz w:val="24"/>
                <w:szCs w:val="24"/>
              </w:rPr>
              <w:t>生活用水</w:t>
            </w:r>
          </w:p>
        </w:tc>
      </w:tr>
      <w:tr w14:paraId="02CB33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270" w:type="pct"/>
            <w:vMerge w:val="continue"/>
            <w:tcBorders>
              <w:left w:val="single" w:color="000000" w:sz="4" w:space="0"/>
              <w:bottom w:val="single" w:color="000000" w:sz="4" w:space="0"/>
              <w:right w:val="single" w:color="000000" w:sz="4" w:space="0"/>
            </w:tcBorders>
            <w:vAlign w:val="center"/>
          </w:tcPr>
          <w:p w14:paraId="7B93683E">
            <w:pPr>
              <w:spacing w:before="24" w:after="24"/>
              <w:jc w:val="center"/>
              <w:rPr>
                <w:rFonts w:ascii="Times New Roman" w:hAnsi="Times New Roman" w:cs="Times New Roman"/>
                <w:sz w:val="24"/>
                <w:szCs w:val="24"/>
              </w:rPr>
            </w:pPr>
          </w:p>
        </w:tc>
        <w:tc>
          <w:tcPr>
            <w:tcW w:w="912" w:type="pct"/>
            <w:tcBorders>
              <w:top w:val="single" w:color="000000" w:sz="4" w:space="0"/>
              <w:left w:val="single" w:color="000000" w:sz="4" w:space="0"/>
              <w:bottom w:val="single" w:color="000000" w:sz="4" w:space="0"/>
              <w:right w:val="single" w:color="000000" w:sz="4" w:space="0"/>
            </w:tcBorders>
            <w:vAlign w:val="center"/>
          </w:tcPr>
          <w:p w14:paraId="61130516">
            <w:pPr>
              <w:spacing w:before="24" w:after="24"/>
              <w:jc w:val="center"/>
              <w:rPr>
                <w:rFonts w:ascii="Times New Roman" w:hAnsi="Times New Roman" w:cs="Times New Roman"/>
                <w:sz w:val="24"/>
                <w:szCs w:val="24"/>
              </w:rPr>
            </w:pPr>
            <w:r>
              <w:rPr>
                <w:rFonts w:ascii="Times New Roman" w:hAnsi="Times New Roman" w:cs="Times New Roman"/>
                <w:sz w:val="24"/>
                <w:szCs w:val="24"/>
              </w:rPr>
              <w:t>用水标准</w:t>
            </w:r>
          </w:p>
          <w:p w14:paraId="31B712DB">
            <w:pPr>
              <w:spacing w:before="24" w:after="24"/>
              <w:jc w:val="center"/>
              <w:rPr>
                <w:rFonts w:ascii="Times New Roman" w:hAnsi="Times New Roman" w:cs="Times New Roman"/>
                <w:sz w:val="24"/>
                <w:szCs w:val="24"/>
              </w:rPr>
            </w:pPr>
            <w:r>
              <w:rPr>
                <w:rFonts w:ascii="Times New Roman" w:hAnsi="Times New Roman" w:cs="Times New Roman"/>
                <w:sz w:val="24"/>
                <w:szCs w:val="24"/>
              </w:rPr>
              <w:t>[L/（人.d）]</w:t>
            </w:r>
          </w:p>
        </w:tc>
        <w:tc>
          <w:tcPr>
            <w:tcW w:w="914" w:type="pct"/>
            <w:tcBorders>
              <w:top w:val="single" w:color="000000" w:sz="4" w:space="0"/>
              <w:left w:val="single" w:color="000000" w:sz="4" w:space="0"/>
              <w:bottom w:val="single" w:color="000000" w:sz="4" w:space="0"/>
              <w:right w:val="single" w:color="000000" w:sz="4" w:space="0"/>
            </w:tcBorders>
            <w:vAlign w:val="center"/>
          </w:tcPr>
          <w:p w14:paraId="575B2AAF">
            <w:pPr>
              <w:spacing w:before="24" w:after="24"/>
              <w:jc w:val="center"/>
              <w:rPr>
                <w:rFonts w:ascii="Times New Roman" w:hAnsi="Times New Roman" w:cs="Times New Roman"/>
                <w:sz w:val="24"/>
                <w:szCs w:val="24"/>
              </w:rPr>
            </w:pPr>
            <w:r>
              <w:rPr>
                <w:rFonts w:ascii="Times New Roman" w:hAnsi="Times New Roman" w:cs="Times New Roman"/>
                <w:sz w:val="24"/>
                <w:szCs w:val="24"/>
              </w:rPr>
              <w:t>贮水时间</w:t>
            </w:r>
          </w:p>
          <w:p w14:paraId="5F814E38">
            <w:pPr>
              <w:spacing w:before="24" w:after="24"/>
              <w:jc w:val="center"/>
              <w:rPr>
                <w:rFonts w:ascii="Times New Roman" w:hAnsi="Times New Roman" w:cs="Times New Roman"/>
                <w:sz w:val="24"/>
                <w:szCs w:val="24"/>
              </w:rPr>
            </w:pPr>
            <w:r>
              <w:rPr>
                <w:rFonts w:ascii="Times New Roman" w:hAnsi="Times New Roman" w:cs="Times New Roman"/>
                <w:sz w:val="24"/>
                <w:szCs w:val="24"/>
              </w:rPr>
              <w:t>（d）</w:t>
            </w:r>
          </w:p>
        </w:tc>
        <w:tc>
          <w:tcPr>
            <w:tcW w:w="949" w:type="pct"/>
            <w:tcBorders>
              <w:top w:val="single" w:color="000000" w:sz="4" w:space="0"/>
              <w:left w:val="single" w:color="000000" w:sz="4" w:space="0"/>
              <w:bottom w:val="single" w:color="000000" w:sz="4" w:space="0"/>
              <w:right w:val="single" w:color="000000" w:sz="4" w:space="0"/>
            </w:tcBorders>
            <w:vAlign w:val="center"/>
          </w:tcPr>
          <w:p w14:paraId="7EA2A197">
            <w:pPr>
              <w:spacing w:before="24" w:after="24"/>
              <w:jc w:val="center"/>
              <w:rPr>
                <w:rFonts w:ascii="Times New Roman" w:hAnsi="Times New Roman" w:cs="Times New Roman"/>
                <w:sz w:val="24"/>
                <w:szCs w:val="24"/>
              </w:rPr>
            </w:pPr>
            <w:r>
              <w:rPr>
                <w:rFonts w:ascii="Times New Roman" w:hAnsi="Times New Roman" w:cs="Times New Roman"/>
                <w:sz w:val="24"/>
                <w:szCs w:val="24"/>
              </w:rPr>
              <w:t>用水标准</w:t>
            </w:r>
          </w:p>
          <w:p w14:paraId="401E2999">
            <w:pPr>
              <w:spacing w:before="24" w:after="24"/>
              <w:jc w:val="center"/>
              <w:rPr>
                <w:rFonts w:ascii="Times New Roman" w:hAnsi="Times New Roman" w:cs="Times New Roman"/>
                <w:sz w:val="24"/>
                <w:szCs w:val="24"/>
              </w:rPr>
            </w:pPr>
            <w:r>
              <w:rPr>
                <w:rFonts w:ascii="Times New Roman" w:hAnsi="Times New Roman" w:cs="Times New Roman"/>
                <w:sz w:val="24"/>
                <w:szCs w:val="24"/>
              </w:rPr>
              <w:t>[L/（人.d）]</w:t>
            </w:r>
          </w:p>
        </w:tc>
        <w:tc>
          <w:tcPr>
            <w:tcW w:w="953" w:type="pct"/>
            <w:tcBorders>
              <w:top w:val="single" w:color="000000" w:sz="4" w:space="0"/>
              <w:left w:val="single" w:color="000000" w:sz="4" w:space="0"/>
              <w:bottom w:val="single" w:color="000000" w:sz="4" w:space="0"/>
              <w:right w:val="single" w:color="000000" w:sz="4" w:space="0"/>
            </w:tcBorders>
            <w:vAlign w:val="center"/>
          </w:tcPr>
          <w:p w14:paraId="602EA347">
            <w:pPr>
              <w:spacing w:before="24" w:after="24"/>
              <w:jc w:val="center"/>
              <w:rPr>
                <w:rFonts w:ascii="Times New Roman" w:hAnsi="Times New Roman" w:cs="Times New Roman"/>
                <w:sz w:val="24"/>
                <w:szCs w:val="24"/>
              </w:rPr>
            </w:pPr>
            <w:r>
              <w:rPr>
                <w:rFonts w:ascii="Times New Roman" w:hAnsi="Times New Roman" w:cs="Times New Roman"/>
                <w:sz w:val="24"/>
                <w:szCs w:val="24"/>
              </w:rPr>
              <w:t>贮水时间</w:t>
            </w:r>
          </w:p>
          <w:p w14:paraId="783ACCAE">
            <w:pPr>
              <w:spacing w:before="24" w:after="24"/>
              <w:jc w:val="center"/>
              <w:rPr>
                <w:rFonts w:ascii="Times New Roman" w:hAnsi="Times New Roman" w:cs="Times New Roman"/>
                <w:sz w:val="24"/>
                <w:szCs w:val="24"/>
              </w:rPr>
            </w:pPr>
            <w:r>
              <w:rPr>
                <w:rFonts w:ascii="Times New Roman" w:hAnsi="Times New Roman" w:cs="Times New Roman"/>
                <w:sz w:val="24"/>
                <w:szCs w:val="24"/>
              </w:rPr>
              <w:t>（d）</w:t>
            </w:r>
          </w:p>
        </w:tc>
      </w:tr>
      <w:tr w14:paraId="73114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6" w:hRule="atLeast"/>
        </w:trPr>
        <w:tc>
          <w:tcPr>
            <w:tcW w:w="1270" w:type="pct"/>
            <w:tcBorders>
              <w:top w:val="single" w:color="000000" w:sz="4" w:space="0"/>
              <w:left w:val="single" w:color="000000" w:sz="4" w:space="0"/>
              <w:bottom w:val="single" w:color="000000" w:sz="4" w:space="0"/>
              <w:right w:val="single" w:color="000000" w:sz="4" w:space="0"/>
            </w:tcBorders>
            <w:vAlign w:val="center"/>
          </w:tcPr>
          <w:p w14:paraId="4870C10C">
            <w:pPr>
              <w:spacing w:before="24" w:after="24"/>
              <w:jc w:val="center"/>
              <w:rPr>
                <w:rFonts w:ascii="Times New Roman" w:hAnsi="Times New Roman" w:cs="Times New Roman"/>
                <w:sz w:val="24"/>
                <w:szCs w:val="24"/>
              </w:rPr>
            </w:pPr>
            <w:r>
              <w:rPr>
                <w:rFonts w:ascii="Times New Roman" w:hAnsi="Times New Roman" w:cs="Times New Roman"/>
                <w:sz w:val="24"/>
                <w:szCs w:val="24"/>
              </w:rPr>
              <w:t>专业队队员掩蔽所</w:t>
            </w:r>
          </w:p>
        </w:tc>
        <w:tc>
          <w:tcPr>
            <w:tcW w:w="912" w:type="pct"/>
            <w:tcBorders>
              <w:top w:val="single" w:color="000000" w:sz="4" w:space="0"/>
              <w:left w:val="single" w:color="000000" w:sz="4" w:space="0"/>
              <w:bottom w:val="single" w:color="000000" w:sz="4" w:space="0"/>
              <w:right w:val="single" w:color="000000" w:sz="4" w:space="0"/>
            </w:tcBorders>
            <w:vAlign w:val="center"/>
          </w:tcPr>
          <w:p w14:paraId="28AAC3BA">
            <w:pPr>
              <w:spacing w:before="24" w:after="24"/>
              <w:jc w:val="center"/>
              <w:rPr>
                <w:rFonts w:ascii="Times New Roman" w:hAnsi="Times New Roman" w:cs="Times New Roman"/>
                <w:sz w:val="24"/>
                <w:szCs w:val="24"/>
              </w:rPr>
            </w:pPr>
            <w:r>
              <w:rPr>
                <w:rFonts w:ascii="Times New Roman" w:hAnsi="Times New Roman" w:cs="Times New Roman"/>
                <w:sz w:val="24"/>
                <w:szCs w:val="24"/>
              </w:rPr>
              <w:t>5</w:t>
            </w:r>
          </w:p>
        </w:tc>
        <w:tc>
          <w:tcPr>
            <w:tcW w:w="914" w:type="pct"/>
            <w:tcBorders>
              <w:top w:val="single" w:color="000000" w:sz="4" w:space="0"/>
              <w:left w:val="single" w:color="000000" w:sz="4" w:space="0"/>
              <w:bottom w:val="single" w:color="000000" w:sz="4" w:space="0"/>
              <w:right w:val="single" w:color="000000" w:sz="4" w:space="0"/>
            </w:tcBorders>
            <w:vAlign w:val="center"/>
          </w:tcPr>
          <w:p w14:paraId="3A23834C">
            <w:pPr>
              <w:spacing w:before="24" w:after="24"/>
              <w:jc w:val="center"/>
              <w:rPr>
                <w:rFonts w:ascii="Times New Roman" w:hAnsi="Times New Roman" w:cs="Times New Roman"/>
                <w:sz w:val="24"/>
                <w:szCs w:val="24"/>
              </w:rPr>
            </w:pPr>
            <w:r>
              <w:rPr>
                <w:rFonts w:ascii="Times New Roman" w:hAnsi="Times New Roman" w:cs="Times New Roman"/>
                <w:sz w:val="24"/>
                <w:szCs w:val="24"/>
              </w:rPr>
              <w:t>15</w:t>
            </w:r>
          </w:p>
        </w:tc>
        <w:tc>
          <w:tcPr>
            <w:tcW w:w="949" w:type="pct"/>
            <w:tcBorders>
              <w:top w:val="single" w:color="000000" w:sz="4" w:space="0"/>
              <w:left w:val="single" w:color="000000" w:sz="4" w:space="0"/>
              <w:bottom w:val="single" w:color="000000" w:sz="4" w:space="0"/>
              <w:right w:val="single" w:color="000000" w:sz="4" w:space="0"/>
            </w:tcBorders>
            <w:vAlign w:val="center"/>
          </w:tcPr>
          <w:p w14:paraId="7F70D472">
            <w:pPr>
              <w:spacing w:before="24" w:after="24"/>
              <w:jc w:val="center"/>
              <w:rPr>
                <w:rFonts w:ascii="Times New Roman" w:hAnsi="Times New Roman" w:cs="Times New Roman"/>
                <w:sz w:val="24"/>
                <w:szCs w:val="24"/>
              </w:rPr>
            </w:pPr>
            <w:r>
              <w:rPr>
                <w:rFonts w:ascii="Times New Roman" w:hAnsi="Times New Roman" w:cs="Times New Roman"/>
                <w:sz w:val="24"/>
                <w:szCs w:val="24"/>
              </w:rPr>
              <w:t>9</w:t>
            </w:r>
          </w:p>
        </w:tc>
        <w:tc>
          <w:tcPr>
            <w:tcW w:w="953" w:type="pct"/>
            <w:tcBorders>
              <w:top w:val="single" w:color="000000" w:sz="4" w:space="0"/>
              <w:left w:val="single" w:color="000000" w:sz="4" w:space="0"/>
              <w:bottom w:val="single" w:color="000000" w:sz="4" w:space="0"/>
              <w:right w:val="single" w:color="000000" w:sz="4" w:space="0"/>
            </w:tcBorders>
            <w:vAlign w:val="center"/>
          </w:tcPr>
          <w:p w14:paraId="26931173">
            <w:pPr>
              <w:spacing w:before="24" w:after="24"/>
              <w:jc w:val="center"/>
              <w:rPr>
                <w:rFonts w:ascii="Times New Roman" w:hAnsi="Times New Roman" w:cs="Times New Roman"/>
                <w:sz w:val="24"/>
                <w:szCs w:val="24"/>
              </w:rPr>
            </w:pPr>
            <w:r>
              <w:rPr>
                <w:rFonts w:ascii="Times New Roman" w:hAnsi="Times New Roman" w:cs="Times New Roman"/>
                <w:sz w:val="24"/>
                <w:szCs w:val="24"/>
              </w:rPr>
              <w:t>7</w:t>
            </w:r>
          </w:p>
        </w:tc>
      </w:tr>
      <w:tr w14:paraId="053A5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270" w:type="pct"/>
            <w:tcBorders>
              <w:top w:val="single" w:color="000000" w:sz="4" w:space="0"/>
              <w:left w:val="single" w:color="000000" w:sz="4" w:space="0"/>
              <w:bottom w:val="single" w:color="000000" w:sz="4" w:space="0"/>
              <w:right w:val="single" w:color="000000" w:sz="4" w:space="0"/>
            </w:tcBorders>
            <w:vAlign w:val="center"/>
          </w:tcPr>
          <w:p w14:paraId="7829F996">
            <w:pPr>
              <w:spacing w:before="24" w:after="24"/>
              <w:jc w:val="center"/>
              <w:rPr>
                <w:rFonts w:ascii="Times New Roman" w:hAnsi="Times New Roman" w:cs="Times New Roman"/>
                <w:sz w:val="24"/>
                <w:szCs w:val="24"/>
              </w:rPr>
            </w:pPr>
            <w:r>
              <w:rPr>
                <w:rFonts w:ascii="Times New Roman" w:hAnsi="Times New Roman" w:cs="Times New Roman"/>
                <w:sz w:val="24"/>
                <w:szCs w:val="24"/>
              </w:rPr>
              <w:t>人员掩蔽工程</w:t>
            </w:r>
          </w:p>
        </w:tc>
        <w:tc>
          <w:tcPr>
            <w:tcW w:w="912" w:type="pct"/>
            <w:tcBorders>
              <w:top w:val="single" w:color="000000" w:sz="4" w:space="0"/>
              <w:left w:val="single" w:color="000000" w:sz="4" w:space="0"/>
              <w:bottom w:val="single" w:color="000000" w:sz="4" w:space="0"/>
              <w:right w:val="single" w:color="000000" w:sz="4" w:space="0"/>
            </w:tcBorders>
            <w:vAlign w:val="center"/>
          </w:tcPr>
          <w:p w14:paraId="7D58D983">
            <w:pPr>
              <w:spacing w:before="24" w:after="24"/>
              <w:jc w:val="center"/>
              <w:rPr>
                <w:rFonts w:ascii="Times New Roman" w:hAnsi="Times New Roman" w:cs="Times New Roman"/>
                <w:sz w:val="24"/>
                <w:szCs w:val="24"/>
              </w:rPr>
            </w:pPr>
            <w:r>
              <w:rPr>
                <w:rFonts w:ascii="Times New Roman" w:hAnsi="Times New Roman" w:cs="Times New Roman"/>
                <w:sz w:val="24"/>
                <w:szCs w:val="24"/>
              </w:rPr>
              <w:t>3</w:t>
            </w:r>
          </w:p>
        </w:tc>
        <w:tc>
          <w:tcPr>
            <w:tcW w:w="914" w:type="pct"/>
            <w:tcBorders>
              <w:top w:val="single" w:color="000000" w:sz="4" w:space="0"/>
              <w:left w:val="single" w:color="000000" w:sz="4" w:space="0"/>
              <w:bottom w:val="single" w:color="000000" w:sz="4" w:space="0"/>
              <w:right w:val="single" w:color="000000" w:sz="4" w:space="0"/>
            </w:tcBorders>
            <w:vAlign w:val="center"/>
          </w:tcPr>
          <w:p w14:paraId="549D77B1">
            <w:pPr>
              <w:spacing w:before="24" w:after="24"/>
              <w:jc w:val="center"/>
              <w:rPr>
                <w:rFonts w:ascii="Times New Roman" w:hAnsi="Times New Roman" w:cs="Times New Roman"/>
                <w:sz w:val="24"/>
                <w:szCs w:val="24"/>
              </w:rPr>
            </w:pPr>
            <w:r>
              <w:rPr>
                <w:rFonts w:ascii="Times New Roman" w:hAnsi="Times New Roman" w:cs="Times New Roman"/>
                <w:sz w:val="24"/>
                <w:szCs w:val="24"/>
              </w:rPr>
              <w:t>15</w:t>
            </w:r>
          </w:p>
        </w:tc>
        <w:tc>
          <w:tcPr>
            <w:tcW w:w="949" w:type="pct"/>
            <w:tcBorders>
              <w:top w:val="single" w:color="000000" w:sz="4" w:space="0"/>
              <w:left w:val="single" w:color="000000" w:sz="4" w:space="0"/>
              <w:bottom w:val="single" w:color="000000" w:sz="4" w:space="0"/>
              <w:right w:val="single" w:color="000000" w:sz="4" w:space="0"/>
            </w:tcBorders>
            <w:vAlign w:val="center"/>
          </w:tcPr>
          <w:p w14:paraId="380599F1">
            <w:pPr>
              <w:spacing w:before="24" w:after="24"/>
              <w:jc w:val="center"/>
              <w:rPr>
                <w:rFonts w:ascii="Times New Roman" w:hAnsi="Times New Roman" w:cs="Times New Roman"/>
                <w:sz w:val="24"/>
                <w:szCs w:val="24"/>
              </w:rPr>
            </w:pPr>
            <w:r>
              <w:rPr>
                <w:rFonts w:ascii="Times New Roman" w:hAnsi="Times New Roman" w:cs="Times New Roman"/>
                <w:sz w:val="24"/>
                <w:szCs w:val="24"/>
              </w:rPr>
              <w:t>4</w:t>
            </w:r>
          </w:p>
        </w:tc>
        <w:tc>
          <w:tcPr>
            <w:tcW w:w="953" w:type="pct"/>
            <w:tcBorders>
              <w:top w:val="single" w:color="000000" w:sz="4" w:space="0"/>
              <w:left w:val="single" w:color="000000" w:sz="4" w:space="0"/>
              <w:bottom w:val="single" w:color="000000" w:sz="4" w:space="0"/>
              <w:right w:val="single" w:color="000000" w:sz="4" w:space="0"/>
            </w:tcBorders>
            <w:vAlign w:val="center"/>
          </w:tcPr>
          <w:p w14:paraId="49EF87D2">
            <w:pPr>
              <w:spacing w:before="24" w:after="24"/>
              <w:jc w:val="center"/>
              <w:rPr>
                <w:rFonts w:ascii="Times New Roman" w:hAnsi="Times New Roman" w:cs="Times New Roman"/>
                <w:sz w:val="24"/>
                <w:szCs w:val="24"/>
              </w:rPr>
            </w:pPr>
            <w:r>
              <w:rPr>
                <w:rFonts w:ascii="Times New Roman" w:hAnsi="Times New Roman" w:cs="Times New Roman"/>
                <w:sz w:val="24"/>
                <w:szCs w:val="24"/>
              </w:rPr>
              <w:t>7</w:t>
            </w:r>
          </w:p>
        </w:tc>
      </w:tr>
    </w:tbl>
    <w:p w14:paraId="29646010">
      <w:pPr>
        <w:pStyle w:val="64"/>
        <w:spacing w:before="24" w:after="24"/>
        <w:rPr>
          <w:rFonts w:cs="Times New Roman"/>
          <w:highlight w:val="yellow"/>
        </w:rPr>
      </w:pPr>
      <w:bookmarkStart w:id="19" w:name="_Toc221894064"/>
      <w:r>
        <w:rPr>
          <w:rFonts w:cs="Times New Roman"/>
        </w:rPr>
        <w:t>5、暖通设计指标</w:t>
      </w:r>
      <w:bookmarkEnd w:id="19"/>
    </w:p>
    <w:p w14:paraId="0AC5FD30">
      <w:pPr>
        <w:pStyle w:val="54"/>
        <w:spacing w:before="24" w:after="24"/>
      </w:pPr>
      <w:r>
        <w:t>5.1室外计算参数（参考丽江－温和5A区）</w:t>
      </w:r>
    </w:p>
    <w:tbl>
      <w:tblPr>
        <w:tblStyle w:val="30"/>
        <w:tblW w:w="10284" w:type="dxa"/>
        <w:jc w:val="center"/>
        <w:tblLayout w:type="fixed"/>
        <w:tblCellMar>
          <w:top w:w="0" w:type="dxa"/>
          <w:left w:w="0" w:type="dxa"/>
          <w:bottom w:w="0" w:type="dxa"/>
          <w:right w:w="0" w:type="dxa"/>
        </w:tblCellMar>
      </w:tblPr>
      <w:tblGrid>
        <w:gridCol w:w="623"/>
        <w:gridCol w:w="3316"/>
        <w:gridCol w:w="1211"/>
        <w:gridCol w:w="623"/>
        <w:gridCol w:w="3299"/>
        <w:gridCol w:w="1212"/>
      </w:tblGrid>
      <w:tr w14:paraId="124A967B">
        <w:tblPrEx>
          <w:tblCellMar>
            <w:top w:w="0" w:type="dxa"/>
            <w:left w:w="0" w:type="dxa"/>
            <w:bottom w:w="0" w:type="dxa"/>
            <w:right w:w="0" w:type="dxa"/>
          </w:tblCellMar>
        </w:tblPrEx>
        <w:trPr>
          <w:trHeight w:val="270" w:hRule="atLeast"/>
          <w:jc w:val="center"/>
        </w:trPr>
        <w:tc>
          <w:tcPr>
            <w:tcW w:w="623"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8ED6D4">
            <w:pPr>
              <w:pStyle w:val="71"/>
              <w:spacing w:before="24" w:after="24"/>
              <w:rPr>
                <w:rFonts w:cs="Times New Roman"/>
              </w:rPr>
            </w:pPr>
            <w:r>
              <w:rPr>
                <w:rFonts w:cs="Times New Roman"/>
              </w:rPr>
              <w:t>夏季</w:t>
            </w:r>
          </w:p>
        </w:tc>
        <w:tc>
          <w:tcPr>
            <w:tcW w:w="331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D46C4A">
            <w:pPr>
              <w:pStyle w:val="71"/>
              <w:spacing w:before="24" w:after="24"/>
              <w:rPr>
                <w:rFonts w:cs="Times New Roman"/>
              </w:rPr>
            </w:pPr>
            <w:r>
              <w:rPr>
                <w:rFonts w:cs="Times New Roman"/>
              </w:rPr>
              <w:t>空气调节室外计算干球温度</w:t>
            </w:r>
          </w:p>
        </w:tc>
        <w:tc>
          <w:tcPr>
            <w:tcW w:w="121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4B3497">
            <w:pPr>
              <w:pStyle w:val="71"/>
              <w:spacing w:before="24" w:after="24"/>
              <w:rPr>
                <w:rFonts w:cs="Times New Roman"/>
              </w:rPr>
            </w:pPr>
            <w:r>
              <w:rPr>
                <w:rFonts w:cs="Times New Roman"/>
              </w:rPr>
              <w:t>25.6℃</w:t>
            </w:r>
          </w:p>
        </w:tc>
        <w:tc>
          <w:tcPr>
            <w:tcW w:w="623"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2D594D">
            <w:pPr>
              <w:pStyle w:val="71"/>
              <w:spacing w:before="24" w:after="24"/>
              <w:rPr>
                <w:rFonts w:cs="Times New Roman"/>
              </w:rPr>
            </w:pPr>
            <w:r>
              <w:rPr>
                <w:rFonts w:cs="Times New Roman"/>
              </w:rPr>
              <w:t>冬季</w:t>
            </w:r>
          </w:p>
        </w:tc>
        <w:tc>
          <w:tcPr>
            <w:tcW w:w="329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C7ADA6">
            <w:pPr>
              <w:pStyle w:val="71"/>
              <w:spacing w:before="24" w:after="24"/>
              <w:rPr>
                <w:rFonts w:cs="Times New Roman"/>
              </w:rPr>
            </w:pPr>
            <w:r>
              <w:rPr>
                <w:rFonts w:cs="Times New Roman"/>
              </w:rPr>
              <w:t>空气调节室外计算温度</w:t>
            </w:r>
          </w:p>
        </w:tc>
        <w:tc>
          <w:tcPr>
            <w:tcW w:w="12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5D8882">
            <w:pPr>
              <w:pStyle w:val="71"/>
              <w:spacing w:before="24" w:after="24"/>
              <w:rPr>
                <w:rFonts w:cs="Times New Roman"/>
              </w:rPr>
            </w:pPr>
            <w:r>
              <w:rPr>
                <w:rFonts w:cs="Times New Roman"/>
              </w:rPr>
              <w:t>1.3℃</w:t>
            </w:r>
          </w:p>
        </w:tc>
      </w:tr>
      <w:tr w14:paraId="2EAD5F9B">
        <w:tblPrEx>
          <w:tblCellMar>
            <w:top w:w="0" w:type="dxa"/>
            <w:left w:w="0" w:type="dxa"/>
            <w:bottom w:w="0" w:type="dxa"/>
            <w:right w:w="0" w:type="dxa"/>
          </w:tblCellMar>
        </w:tblPrEx>
        <w:trPr>
          <w:trHeight w:val="270" w:hRule="atLeast"/>
          <w:jc w:val="center"/>
        </w:trPr>
        <w:tc>
          <w:tcPr>
            <w:tcW w:w="623"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7BA973">
            <w:pPr>
              <w:pStyle w:val="71"/>
              <w:spacing w:before="24" w:after="24"/>
              <w:rPr>
                <w:rFonts w:cs="Times New Roman"/>
              </w:rPr>
            </w:pPr>
          </w:p>
        </w:tc>
        <w:tc>
          <w:tcPr>
            <w:tcW w:w="331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208687">
            <w:pPr>
              <w:pStyle w:val="71"/>
              <w:spacing w:before="24" w:after="24"/>
              <w:rPr>
                <w:rFonts w:cs="Times New Roman"/>
              </w:rPr>
            </w:pPr>
            <w:r>
              <w:rPr>
                <w:rFonts w:cs="Times New Roman"/>
              </w:rPr>
              <w:t>空气调节室外计算湿球温度</w:t>
            </w:r>
          </w:p>
        </w:tc>
        <w:tc>
          <w:tcPr>
            <w:tcW w:w="121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D5DC83">
            <w:pPr>
              <w:pStyle w:val="71"/>
              <w:spacing w:before="24" w:after="24"/>
              <w:rPr>
                <w:rFonts w:cs="Times New Roman"/>
              </w:rPr>
            </w:pPr>
            <w:r>
              <w:rPr>
                <w:rFonts w:cs="Times New Roman"/>
              </w:rPr>
              <w:t>18.1℃</w:t>
            </w:r>
          </w:p>
        </w:tc>
        <w:tc>
          <w:tcPr>
            <w:tcW w:w="623"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793D9F">
            <w:pPr>
              <w:pStyle w:val="71"/>
              <w:spacing w:before="24" w:after="24"/>
              <w:rPr>
                <w:rFonts w:cs="Times New Roman"/>
              </w:rPr>
            </w:pPr>
          </w:p>
        </w:tc>
        <w:tc>
          <w:tcPr>
            <w:tcW w:w="329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3DC0CC">
            <w:pPr>
              <w:pStyle w:val="71"/>
              <w:spacing w:before="24" w:after="24"/>
              <w:rPr>
                <w:rFonts w:cs="Times New Roman"/>
              </w:rPr>
            </w:pPr>
            <w:r>
              <w:rPr>
                <w:rFonts w:cs="Times New Roman"/>
              </w:rPr>
              <w:t>空气调节室外计算相对湿度</w:t>
            </w:r>
          </w:p>
        </w:tc>
        <w:tc>
          <w:tcPr>
            <w:tcW w:w="12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1A2940">
            <w:pPr>
              <w:pStyle w:val="71"/>
              <w:spacing w:before="24" w:after="24"/>
              <w:rPr>
                <w:rFonts w:cs="Times New Roman"/>
              </w:rPr>
            </w:pPr>
            <w:r>
              <w:rPr>
                <w:rFonts w:cs="Times New Roman"/>
              </w:rPr>
              <w:t>46%</w:t>
            </w:r>
          </w:p>
        </w:tc>
      </w:tr>
      <w:tr w14:paraId="23001F87">
        <w:tblPrEx>
          <w:tblCellMar>
            <w:top w:w="0" w:type="dxa"/>
            <w:left w:w="0" w:type="dxa"/>
            <w:bottom w:w="0" w:type="dxa"/>
            <w:right w:w="0" w:type="dxa"/>
          </w:tblCellMar>
        </w:tblPrEx>
        <w:trPr>
          <w:trHeight w:val="270" w:hRule="atLeast"/>
          <w:jc w:val="center"/>
        </w:trPr>
        <w:tc>
          <w:tcPr>
            <w:tcW w:w="623"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39919A">
            <w:pPr>
              <w:pStyle w:val="71"/>
              <w:spacing w:before="24" w:after="24"/>
              <w:rPr>
                <w:rFonts w:cs="Times New Roman"/>
              </w:rPr>
            </w:pPr>
          </w:p>
        </w:tc>
        <w:tc>
          <w:tcPr>
            <w:tcW w:w="331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93A80C">
            <w:pPr>
              <w:pStyle w:val="71"/>
              <w:spacing w:before="24" w:after="24"/>
              <w:rPr>
                <w:rFonts w:cs="Times New Roman"/>
              </w:rPr>
            </w:pPr>
            <w:r>
              <w:rPr>
                <w:rFonts w:cs="Times New Roman"/>
              </w:rPr>
              <w:t>空气调节室外计算日平均温度</w:t>
            </w:r>
          </w:p>
        </w:tc>
        <w:tc>
          <w:tcPr>
            <w:tcW w:w="121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A2ABCD">
            <w:pPr>
              <w:pStyle w:val="71"/>
              <w:spacing w:before="24" w:after="24"/>
              <w:rPr>
                <w:rFonts w:cs="Times New Roman"/>
              </w:rPr>
            </w:pPr>
            <w:r>
              <w:rPr>
                <w:rFonts w:cs="Times New Roman"/>
              </w:rPr>
              <w:t>21.3℃</w:t>
            </w:r>
          </w:p>
        </w:tc>
        <w:tc>
          <w:tcPr>
            <w:tcW w:w="623"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A5B057">
            <w:pPr>
              <w:pStyle w:val="71"/>
              <w:spacing w:before="24" w:after="24"/>
              <w:rPr>
                <w:rFonts w:cs="Times New Roman"/>
              </w:rPr>
            </w:pPr>
          </w:p>
        </w:tc>
        <w:tc>
          <w:tcPr>
            <w:tcW w:w="329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6ABD6B">
            <w:pPr>
              <w:pStyle w:val="71"/>
              <w:spacing w:before="24" w:after="24"/>
              <w:rPr>
                <w:rFonts w:cs="Times New Roman"/>
              </w:rPr>
            </w:pPr>
            <w:r>
              <w:rPr>
                <w:rFonts w:cs="Times New Roman"/>
              </w:rPr>
              <w:t>供暖室外计算温度</w:t>
            </w:r>
          </w:p>
        </w:tc>
        <w:tc>
          <w:tcPr>
            <w:tcW w:w="12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F1741C">
            <w:pPr>
              <w:pStyle w:val="71"/>
              <w:spacing w:before="24" w:after="24"/>
              <w:rPr>
                <w:rFonts w:cs="Times New Roman"/>
              </w:rPr>
            </w:pPr>
            <w:r>
              <w:rPr>
                <w:rFonts w:cs="Times New Roman"/>
              </w:rPr>
              <w:t>3.1℃</w:t>
            </w:r>
          </w:p>
        </w:tc>
      </w:tr>
      <w:tr w14:paraId="42CC6F92">
        <w:tblPrEx>
          <w:tblCellMar>
            <w:top w:w="0" w:type="dxa"/>
            <w:left w:w="0" w:type="dxa"/>
            <w:bottom w:w="0" w:type="dxa"/>
            <w:right w:w="0" w:type="dxa"/>
          </w:tblCellMar>
        </w:tblPrEx>
        <w:trPr>
          <w:trHeight w:val="270" w:hRule="atLeast"/>
          <w:jc w:val="center"/>
        </w:trPr>
        <w:tc>
          <w:tcPr>
            <w:tcW w:w="623"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C65136">
            <w:pPr>
              <w:pStyle w:val="71"/>
              <w:spacing w:before="24" w:after="24"/>
              <w:rPr>
                <w:rFonts w:cs="Times New Roman"/>
              </w:rPr>
            </w:pPr>
          </w:p>
        </w:tc>
        <w:tc>
          <w:tcPr>
            <w:tcW w:w="331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267649">
            <w:pPr>
              <w:pStyle w:val="71"/>
              <w:spacing w:before="24" w:after="24"/>
              <w:rPr>
                <w:rFonts w:cs="Times New Roman"/>
              </w:rPr>
            </w:pPr>
            <w:r>
              <w:rPr>
                <w:rFonts w:cs="Times New Roman"/>
              </w:rPr>
              <w:t>通风室外计算温度</w:t>
            </w:r>
          </w:p>
        </w:tc>
        <w:tc>
          <w:tcPr>
            <w:tcW w:w="121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94970E">
            <w:pPr>
              <w:pStyle w:val="71"/>
              <w:spacing w:before="24" w:after="24"/>
              <w:rPr>
                <w:rFonts w:cs="Times New Roman"/>
              </w:rPr>
            </w:pPr>
            <w:r>
              <w:rPr>
                <w:rFonts w:cs="Times New Roman"/>
              </w:rPr>
              <w:t>22.3℃</w:t>
            </w:r>
          </w:p>
        </w:tc>
        <w:tc>
          <w:tcPr>
            <w:tcW w:w="623"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73A0F7">
            <w:pPr>
              <w:pStyle w:val="71"/>
              <w:spacing w:before="24" w:after="24"/>
              <w:rPr>
                <w:rFonts w:cs="Times New Roman"/>
              </w:rPr>
            </w:pPr>
          </w:p>
        </w:tc>
        <w:tc>
          <w:tcPr>
            <w:tcW w:w="329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F31C5E">
            <w:pPr>
              <w:pStyle w:val="71"/>
              <w:spacing w:before="24" w:after="24"/>
              <w:rPr>
                <w:rFonts w:cs="Times New Roman"/>
              </w:rPr>
            </w:pPr>
            <w:r>
              <w:rPr>
                <w:rFonts w:cs="Times New Roman"/>
              </w:rPr>
              <w:t>通风室外计算温度</w:t>
            </w:r>
          </w:p>
        </w:tc>
        <w:tc>
          <w:tcPr>
            <w:tcW w:w="12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94068F">
            <w:pPr>
              <w:pStyle w:val="71"/>
              <w:spacing w:before="24" w:after="24"/>
              <w:rPr>
                <w:rFonts w:cs="Times New Roman"/>
              </w:rPr>
            </w:pPr>
            <w:r>
              <w:rPr>
                <w:rFonts w:cs="Times New Roman"/>
              </w:rPr>
              <w:t>6.0℃</w:t>
            </w:r>
          </w:p>
        </w:tc>
      </w:tr>
      <w:tr w14:paraId="55FA1C5C">
        <w:tblPrEx>
          <w:tblCellMar>
            <w:top w:w="0" w:type="dxa"/>
            <w:left w:w="0" w:type="dxa"/>
            <w:bottom w:w="0" w:type="dxa"/>
            <w:right w:w="0" w:type="dxa"/>
          </w:tblCellMar>
        </w:tblPrEx>
        <w:trPr>
          <w:trHeight w:val="270" w:hRule="atLeast"/>
          <w:jc w:val="center"/>
        </w:trPr>
        <w:tc>
          <w:tcPr>
            <w:tcW w:w="623"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E102CA">
            <w:pPr>
              <w:pStyle w:val="71"/>
              <w:spacing w:before="24" w:after="24"/>
              <w:rPr>
                <w:rFonts w:cs="Times New Roman"/>
              </w:rPr>
            </w:pPr>
          </w:p>
        </w:tc>
        <w:tc>
          <w:tcPr>
            <w:tcW w:w="331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34D58D">
            <w:pPr>
              <w:pStyle w:val="71"/>
              <w:spacing w:before="24" w:after="24"/>
              <w:rPr>
                <w:rFonts w:cs="Times New Roman"/>
              </w:rPr>
            </w:pPr>
            <w:r>
              <w:rPr>
                <w:rFonts w:cs="Times New Roman"/>
              </w:rPr>
              <w:t>室外大气压力</w:t>
            </w:r>
          </w:p>
        </w:tc>
        <w:tc>
          <w:tcPr>
            <w:tcW w:w="121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F157B7">
            <w:pPr>
              <w:pStyle w:val="71"/>
              <w:spacing w:before="24" w:after="24"/>
              <w:rPr>
                <w:rFonts w:cs="Times New Roman"/>
              </w:rPr>
            </w:pPr>
            <w:r>
              <w:rPr>
                <w:rFonts w:cs="Times New Roman"/>
              </w:rPr>
              <w:t>761.0hPA</w:t>
            </w:r>
          </w:p>
        </w:tc>
        <w:tc>
          <w:tcPr>
            <w:tcW w:w="623"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BEEAFC">
            <w:pPr>
              <w:pStyle w:val="71"/>
              <w:spacing w:before="24" w:after="24"/>
              <w:rPr>
                <w:rFonts w:cs="Times New Roman"/>
              </w:rPr>
            </w:pPr>
          </w:p>
        </w:tc>
        <w:tc>
          <w:tcPr>
            <w:tcW w:w="329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49A7C7">
            <w:pPr>
              <w:pStyle w:val="71"/>
              <w:spacing w:before="24" w:after="24"/>
              <w:rPr>
                <w:rFonts w:cs="Times New Roman"/>
              </w:rPr>
            </w:pPr>
            <w:r>
              <w:rPr>
                <w:rFonts w:cs="Times New Roman"/>
              </w:rPr>
              <w:t>室外大气压力</w:t>
            </w:r>
          </w:p>
        </w:tc>
        <w:tc>
          <w:tcPr>
            <w:tcW w:w="12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B65C28">
            <w:pPr>
              <w:pStyle w:val="71"/>
              <w:spacing w:before="24" w:after="24"/>
              <w:rPr>
                <w:rFonts w:cs="Times New Roman"/>
              </w:rPr>
            </w:pPr>
            <w:r>
              <w:rPr>
                <w:rFonts w:cs="Times New Roman"/>
              </w:rPr>
              <w:t>762.6hPA</w:t>
            </w:r>
          </w:p>
        </w:tc>
      </w:tr>
    </w:tbl>
    <w:p w14:paraId="771EC73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5.2舒适性空调室内设计参数</w:t>
      </w:r>
    </w:p>
    <w:tbl>
      <w:tblPr>
        <w:tblStyle w:val="31"/>
        <w:tblW w:w="526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06"/>
        <w:gridCol w:w="2206"/>
        <w:gridCol w:w="2456"/>
        <w:gridCol w:w="2072"/>
        <w:gridCol w:w="1716"/>
      </w:tblGrid>
      <w:tr w14:paraId="6E91F6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79" w:type="pct"/>
            <w:tcBorders>
              <w:top w:val="single" w:color="000000" w:sz="4" w:space="0"/>
              <w:left w:val="single" w:color="000000" w:sz="4" w:space="0"/>
              <w:bottom w:val="single" w:color="000000" w:sz="4" w:space="0"/>
              <w:right w:val="single" w:color="000000" w:sz="4" w:space="0"/>
            </w:tcBorders>
            <w:tcMar>
              <w:left w:w="0" w:type="dxa"/>
              <w:right w:w="0" w:type="dxa"/>
            </w:tcMar>
          </w:tcPr>
          <w:p w14:paraId="72CE7CD9">
            <w:pPr>
              <w:spacing w:before="24" w:after="24" w:line="288" w:lineRule="auto"/>
              <w:jc w:val="center"/>
              <w:rPr>
                <w:rFonts w:ascii="Times New Roman" w:hAnsi="Times New Roman" w:cs="Times New Roman"/>
                <w:sz w:val="24"/>
              </w:rPr>
            </w:pPr>
            <w:r>
              <w:rPr>
                <w:rFonts w:ascii="Times New Roman" w:hAnsi="Times New Roman" w:cs="Times New Roman"/>
                <w:sz w:val="24"/>
              </w:rPr>
              <w:t>类别</w:t>
            </w:r>
          </w:p>
        </w:tc>
        <w:tc>
          <w:tcPr>
            <w:tcW w:w="1154" w:type="pct"/>
            <w:tcBorders>
              <w:top w:val="single" w:color="000000" w:sz="4" w:space="0"/>
              <w:left w:val="single" w:color="000000" w:sz="4" w:space="0"/>
              <w:bottom w:val="single" w:color="000000" w:sz="4" w:space="0"/>
              <w:right w:val="single" w:color="000000" w:sz="4" w:space="0"/>
            </w:tcBorders>
            <w:tcMar>
              <w:left w:w="0" w:type="dxa"/>
              <w:right w:w="0" w:type="dxa"/>
            </w:tcMar>
          </w:tcPr>
          <w:p w14:paraId="76987D40">
            <w:pPr>
              <w:spacing w:before="24" w:after="24" w:line="288" w:lineRule="auto"/>
              <w:jc w:val="center"/>
              <w:rPr>
                <w:rFonts w:ascii="Times New Roman" w:hAnsi="Times New Roman" w:cs="Times New Roman"/>
                <w:sz w:val="24"/>
              </w:rPr>
            </w:pPr>
            <w:r>
              <w:rPr>
                <w:rFonts w:ascii="Times New Roman" w:hAnsi="Times New Roman" w:cs="Times New Roman"/>
                <w:sz w:val="24"/>
              </w:rPr>
              <w:t>热舒适度等级</w:t>
            </w:r>
          </w:p>
        </w:tc>
        <w:tc>
          <w:tcPr>
            <w:tcW w:w="1285" w:type="pct"/>
            <w:tcBorders>
              <w:top w:val="single" w:color="000000" w:sz="4" w:space="0"/>
              <w:left w:val="single" w:color="000000" w:sz="4" w:space="0"/>
              <w:bottom w:val="single" w:color="000000" w:sz="4" w:space="0"/>
              <w:right w:val="single" w:color="000000" w:sz="4" w:space="0"/>
            </w:tcBorders>
            <w:tcMar>
              <w:left w:w="0" w:type="dxa"/>
              <w:right w:w="0" w:type="dxa"/>
            </w:tcMar>
          </w:tcPr>
          <w:p w14:paraId="5309FA28">
            <w:pPr>
              <w:spacing w:before="24" w:after="24" w:line="288" w:lineRule="auto"/>
              <w:jc w:val="center"/>
              <w:rPr>
                <w:rFonts w:ascii="Times New Roman" w:hAnsi="Times New Roman" w:cs="Times New Roman"/>
                <w:sz w:val="24"/>
              </w:rPr>
            </w:pPr>
            <w:r>
              <w:rPr>
                <w:rFonts w:ascii="Times New Roman" w:hAnsi="Times New Roman" w:cs="Times New Roman"/>
                <w:sz w:val="24"/>
              </w:rPr>
              <w:t>温度（℃）</w:t>
            </w:r>
          </w:p>
        </w:tc>
        <w:tc>
          <w:tcPr>
            <w:tcW w:w="1084" w:type="pct"/>
            <w:tcBorders>
              <w:top w:val="single" w:color="000000" w:sz="4" w:space="0"/>
              <w:left w:val="single" w:color="000000" w:sz="4" w:space="0"/>
              <w:bottom w:val="single" w:color="000000" w:sz="4" w:space="0"/>
              <w:right w:val="single" w:color="000000" w:sz="4" w:space="0"/>
            </w:tcBorders>
            <w:tcMar>
              <w:left w:w="0" w:type="dxa"/>
              <w:right w:w="0" w:type="dxa"/>
            </w:tcMar>
          </w:tcPr>
          <w:p w14:paraId="40CEBEC0">
            <w:pPr>
              <w:spacing w:before="24" w:after="24" w:line="288" w:lineRule="auto"/>
              <w:jc w:val="center"/>
              <w:rPr>
                <w:rFonts w:ascii="Times New Roman" w:hAnsi="Times New Roman" w:cs="Times New Roman"/>
                <w:sz w:val="24"/>
              </w:rPr>
            </w:pPr>
            <w:r>
              <w:rPr>
                <w:rFonts w:ascii="Times New Roman" w:hAnsi="Times New Roman" w:cs="Times New Roman"/>
                <w:sz w:val="24"/>
              </w:rPr>
              <w:t>相对湿度（%）</w:t>
            </w:r>
          </w:p>
        </w:tc>
        <w:tc>
          <w:tcPr>
            <w:tcW w:w="895" w:type="pct"/>
            <w:tcBorders>
              <w:top w:val="single" w:color="000000" w:sz="4" w:space="0"/>
              <w:left w:val="single" w:color="000000" w:sz="4" w:space="0"/>
              <w:bottom w:val="single" w:color="000000" w:sz="4" w:space="0"/>
              <w:right w:val="single" w:color="000000" w:sz="4" w:space="0"/>
            </w:tcBorders>
            <w:tcMar>
              <w:left w:w="0" w:type="dxa"/>
              <w:right w:w="0" w:type="dxa"/>
            </w:tcMar>
          </w:tcPr>
          <w:p w14:paraId="5678AD02">
            <w:pPr>
              <w:spacing w:before="24" w:after="24" w:line="288" w:lineRule="auto"/>
              <w:jc w:val="center"/>
              <w:rPr>
                <w:rFonts w:ascii="Times New Roman" w:hAnsi="Times New Roman" w:cs="Times New Roman"/>
                <w:sz w:val="24"/>
              </w:rPr>
            </w:pPr>
            <w:r>
              <w:rPr>
                <w:rFonts w:ascii="Times New Roman" w:hAnsi="Times New Roman" w:cs="Times New Roman"/>
                <w:sz w:val="24"/>
              </w:rPr>
              <w:t>风速（m/s）</w:t>
            </w:r>
          </w:p>
        </w:tc>
      </w:tr>
      <w:tr w14:paraId="31D14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79" w:type="pct"/>
            <w:vMerge w:val="restart"/>
            <w:tcBorders>
              <w:top w:val="nil"/>
              <w:left w:val="single" w:color="000000" w:sz="4" w:space="0"/>
              <w:bottom w:val="single" w:color="000000" w:sz="4" w:space="0"/>
              <w:right w:val="single" w:color="000000" w:sz="4" w:space="0"/>
            </w:tcBorders>
            <w:tcMar>
              <w:left w:w="0" w:type="dxa"/>
              <w:right w:w="0" w:type="dxa"/>
            </w:tcMar>
            <w:vAlign w:val="center"/>
          </w:tcPr>
          <w:p w14:paraId="70B2FE9B">
            <w:pPr>
              <w:spacing w:before="24" w:after="24" w:line="288" w:lineRule="auto"/>
              <w:jc w:val="center"/>
              <w:rPr>
                <w:rFonts w:ascii="Times New Roman" w:hAnsi="Times New Roman" w:cs="Times New Roman"/>
                <w:sz w:val="24"/>
              </w:rPr>
            </w:pPr>
            <w:r>
              <w:rPr>
                <w:rFonts w:ascii="Times New Roman" w:hAnsi="Times New Roman" w:cs="Times New Roman"/>
                <w:sz w:val="24"/>
              </w:rPr>
              <w:t>供热工况</w:t>
            </w:r>
          </w:p>
        </w:tc>
        <w:tc>
          <w:tcPr>
            <w:tcW w:w="1154"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DDE73A0">
            <w:pPr>
              <w:spacing w:before="24" w:after="24" w:line="288" w:lineRule="auto"/>
              <w:jc w:val="center"/>
              <w:rPr>
                <w:rFonts w:ascii="Times New Roman" w:hAnsi="Times New Roman" w:cs="Times New Roman"/>
                <w:sz w:val="24"/>
              </w:rPr>
            </w:pPr>
            <w:r>
              <w:rPr>
                <w:rFonts w:ascii="Times New Roman" w:hAnsi="Times New Roman" w:cs="Times New Roman"/>
                <w:sz w:val="24"/>
              </w:rPr>
              <w:t>Ⅰ级</w:t>
            </w:r>
          </w:p>
        </w:tc>
        <w:tc>
          <w:tcPr>
            <w:tcW w:w="1285"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A068994">
            <w:pPr>
              <w:spacing w:before="24" w:after="24" w:line="288" w:lineRule="auto"/>
              <w:jc w:val="center"/>
              <w:rPr>
                <w:rFonts w:ascii="Times New Roman" w:hAnsi="Times New Roman" w:cs="Times New Roman"/>
                <w:sz w:val="24"/>
              </w:rPr>
            </w:pPr>
            <w:r>
              <w:rPr>
                <w:rFonts w:ascii="Times New Roman" w:hAnsi="Times New Roman" w:cs="Times New Roman"/>
                <w:sz w:val="24"/>
              </w:rPr>
              <w:t>22~24</w:t>
            </w:r>
          </w:p>
        </w:tc>
        <w:tc>
          <w:tcPr>
            <w:tcW w:w="1084"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7D8E567">
            <w:pPr>
              <w:spacing w:before="24" w:after="24" w:line="288" w:lineRule="auto"/>
              <w:jc w:val="center"/>
              <w:rPr>
                <w:rFonts w:ascii="Times New Roman" w:hAnsi="Times New Roman" w:cs="Times New Roman"/>
                <w:sz w:val="24"/>
              </w:rPr>
            </w:pPr>
            <w:r>
              <w:rPr>
                <w:rFonts w:ascii="Times New Roman" w:hAnsi="Times New Roman" w:cs="Times New Roman"/>
                <w:sz w:val="24"/>
              </w:rPr>
              <w:t>≥30</w:t>
            </w:r>
          </w:p>
        </w:tc>
        <w:tc>
          <w:tcPr>
            <w:tcW w:w="895"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6E59D54">
            <w:pPr>
              <w:spacing w:before="24" w:after="24" w:line="288" w:lineRule="auto"/>
              <w:jc w:val="center"/>
              <w:rPr>
                <w:rFonts w:ascii="Times New Roman" w:hAnsi="Times New Roman" w:cs="Times New Roman"/>
                <w:sz w:val="24"/>
              </w:rPr>
            </w:pPr>
            <w:r>
              <w:rPr>
                <w:rFonts w:ascii="Times New Roman" w:hAnsi="Times New Roman" w:cs="Times New Roman"/>
                <w:sz w:val="24"/>
              </w:rPr>
              <w:t>≤0.2</w:t>
            </w:r>
          </w:p>
        </w:tc>
      </w:tr>
      <w:tr w14:paraId="2725B2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79" w:type="pct"/>
            <w:vMerge w:val="continue"/>
            <w:tcBorders>
              <w:top w:val="nil"/>
              <w:left w:val="single" w:color="000000" w:sz="4" w:space="0"/>
              <w:bottom w:val="single" w:color="000000" w:sz="4" w:space="0"/>
              <w:right w:val="single" w:color="000000" w:sz="4" w:space="0"/>
            </w:tcBorders>
            <w:tcMar>
              <w:left w:w="0" w:type="dxa"/>
              <w:right w:w="0" w:type="dxa"/>
            </w:tcMar>
            <w:vAlign w:val="center"/>
          </w:tcPr>
          <w:p w14:paraId="453BD986">
            <w:pPr>
              <w:spacing w:before="24" w:after="24" w:line="288" w:lineRule="auto"/>
              <w:jc w:val="center"/>
              <w:rPr>
                <w:rFonts w:ascii="Times New Roman" w:hAnsi="Times New Roman" w:cs="Times New Roman"/>
                <w:sz w:val="24"/>
              </w:rPr>
            </w:pPr>
          </w:p>
        </w:tc>
        <w:tc>
          <w:tcPr>
            <w:tcW w:w="1154"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414CDC9">
            <w:pPr>
              <w:spacing w:before="24" w:after="24" w:line="288" w:lineRule="auto"/>
              <w:jc w:val="center"/>
              <w:rPr>
                <w:rFonts w:ascii="Times New Roman" w:hAnsi="Times New Roman" w:cs="Times New Roman"/>
                <w:sz w:val="24"/>
              </w:rPr>
            </w:pPr>
            <w:r>
              <w:rPr>
                <w:rFonts w:ascii="Times New Roman" w:hAnsi="Times New Roman" w:cs="Times New Roman"/>
                <w:sz w:val="24"/>
              </w:rPr>
              <w:t>Ⅱ级</w:t>
            </w:r>
          </w:p>
        </w:tc>
        <w:tc>
          <w:tcPr>
            <w:tcW w:w="1285"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D276545">
            <w:pPr>
              <w:spacing w:before="24" w:after="24" w:line="288" w:lineRule="auto"/>
              <w:jc w:val="center"/>
              <w:rPr>
                <w:rFonts w:ascii="Times New Roman" w:hAnsi="Times New Roman" w:cs="Times New Roman"/>
                <w:sz w:val="24"/>
              </w:rPr>
            </w:pPr>
            <w:r>
              <w:rPr>
                <w:rFonts w:ascii="Times New Roman" w:hAnsi="Times New Roman" w:cs="Times New Roman"/>
                <w:sz w:val="24"/>
              </w:rPr>
              <w:t>18~22</w:t>
            </w:r>
          </w:p>
        </w:tc>
        <w:tc>
          <w:tcPr>
            <w:tcW w:w="1084"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B64EC51">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895"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9CAE0F9">
            <w:pPr>
              <w:spacing w:before="24" w:after="24" w:line="288" w:lineRule="auto"/>
              <w:jc w:val="center"/>
              <w:rPr>
                <w:rFonts w:ascii="Times New Roman" w:hAnsi="Times New Roman" w:cs="Times New Roman"/>
                <w:sz w:val="24"/>
              </w:rPr>
            </w:pPr>
            <w:r>
              <w:rPr>
                <w:rFonts w:ascii="Times New Roman" w:hAnsi="Times New Roman" w:cs="Times New Roman"/>
                <w:sz w:val="24"/>
              </w:rPr>
              <w:t>≤0.2</w:t>
            </w:r>
          </w:p>
        </w:tc>
      </w:tr>
      <w:tr w14:paraId="6FDBB7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79" w:type="pct"/>
            <w:vMerge w:val="restart"/>
            <w:tcBorders>
              <w:top w:val="nil"/>
              <w:left w:val="single" w:color="000000" w:sz="4" w:space="0"/>
              <w:bottom w:val="single" w:color="000000" w:sz="4" w:space="0"/>
              <w:right w:val="single" w:color="000000" w:sz="4" w:space="0"/>
            </w:tcBorders>
            <w:tcMar>
              <w:left w:w="0" w:type="dxa"/>
              <w:right w:w="0" w:type="dxa"/>
            </w:tcMar>
            <w:vAlign w:val="center"/>
          </w:tcPr>
          <w:p w14:paraId="6C4D512F">
            <w:pPr>
              <w:spacing w:before="24" w:after="24" w:line="288" w:lineRule="auto"/>
              <w:jc w:val="center"/>
              <w:rPr>
                <w:rFonts w:ascii="Times New Roman" w:hAnsi="Times New Roman" w:cs="Times New Roman"/>
                <w:sz w:val="24"/>
              </w:rPr>
            </w:pPr>
            <w:r>
              <w:rPr>
                <w:rFonts w:ascii="Times New Roman" w:hAnsi="Times New Roman" w:cs="Times New Roman"/>
                <w:sz w:val="24"/>
              </w:rPr>
              <w:t>供冷工况</w:t>
            </w:r>
          </w:p>
        </w:tc>
        <w:tc>
          <w:tcPr>
            <w:tcW w:w="1154"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D306F48">
            <w:pPr>
              <w:spacing w:before="24" w:after="24" w:line="288" w:lineRule="auto"/>
              <w:jc w:val="center"/>
              <w:rPr>
                <w:rFonts w:ascii="Times New Roman" w:hAnsi="Times New Roman" w:cs="Times New Roman"/>
                <w:sz w:val="24"/>
              </w:rPr>
            </w:pPr>
            <w:r>
              <w:rPr>
                <w:rFonts w:ascii="Times New Roman" w:hAnsi="Times New Roman" w:cs="Times New Roman"/>
                <w:sz w:val="24"/>
              </w:rPr>
              <w:t>Ⅰ级</w:t>
            </w:r>
          </w:p>
        </w:tc>
        <w:tc>
          <w:tcPr>
            <w:tcW w:w="1285"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62A1D0E">
            <w:pPr>
              <w:spacing w:before="24" w:after="24" w:line="288" w:lineRule="auto"/>
              <w:jc w:val="center"/>
              <w:rPr>
                <w:rFonts w:ascii="Times New Roman" w:hAnsi="Times New Roman" w:cs="Times New Roman"/>
                <w:sz w:val="24"/>
              </w:rPr>
            </w:pPr>
            <w:r>
              <w:rPr>
                <w:rFonts w:ascii="Times New Roman" w:hAnsi="Times New Roman" w:cs="Times New Roman"/>
                <w:sz w:val="24"/>
              </w:rPr>
              <w:t>24~26</w:t>
            </w:r>
          </w:p>
        </w:tc>
        <w:tc>
          <w:tcPr>
            <w:tcW w:w="1084"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8A9A4B0">
            <w:pPr>
              <w:spacing w:before="24" w:after="24" w:line="288" w:lineRule="auto"/>
              <w:jc w:val="center"/>
              <w:rPr>
                <w:rFonts w:ascii="Times New Roman" w:hAnsi="Times New Roman" w:cs="Times New Roman"/>
                <w:sz w:val="24"/>
              </w:rPr>
            </w:pPr>
            <w:r>
              <w:rPr>
                <w:rFonts w:ascii="Times New Roman" w:hAnsi="Times New Roman" w:cs="Times New Roman"/>
                <w:sz w:val="24"/>
              </w:rPr>
              <w:t>40~60</w:t>
            </w:r>
          </w:p>
        </w:tc>
        <w:tc>
          <w:tcPr>
            <w:tcW w:w="895"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F1FBE7E">
            <w:pPr>
              <w:spacing w:before="24" w:after="24" w:line="288" w:lineRule="auto"/>
              <w:jc w:val="center"/>
              <w:rPr>
                <w:rFonts w:ascii="Times New Roman" w:hAnsi="Times New Roman" w:cs="Times New Roman"/>
                <w:sz w:val="24"/>
              </w:rPr>
            </w:pPr>
            <w:r>
              <w:rPr>
                <w:rFonts w:ascii="Times New Roman" w:hAnsi="Times New Roman" w:cs="Times New Roman"/>
                <w:sz w:val="24"/>
              </w:rPr>
              <w:t>≤0.25</w:t>
            </w:r>
          </w:p>
        </w:tc>
      </w:tr>
      <w:tr w14:paraId="00AF8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79" w:type="pct"/>
            <w:vMerge w:val="continue"/>
            <w:tcBorders>
              <w:top w:val="nil"/>
              <w:left w:val="single" w:color="000000" w:sz="4" w:space="0"/>
              <w:bottom w:val="single" w:color="000000" w:sz="4" w:space="0"/>
              <w:right w:val="single" w:color="000000" w:sz="4" w:space="0"/>
            </w:tcBorders>
            <w:tcMar>
              <w:left w:w="0" w:type="dxa"/>
              <w:right w:w="0" w:type="dxa"/>
            </w:tcMar>
            <w:vAlign w:val="center"/>
          </w:tcPr>
          <w:p w14:paraId="5B15A76C">
            <w:pPr>
              <w:spacing w:before="24" w:after="24" w:line="288" w:lineRule="auto"/>
              <w:jc w:val="center"/>
              <w:rPr>
                <w:rFonts w:ascii="Times New Roman" w:hAnsi="Times New Roman" w:cs="Times New Roman"/>
                <w:sz w:val="24"/>
              </w:rPr>
            </w:pPr>
          </w:p>
        </w:tc>
        <w:tc>
          <w:tcPr>
            <w:tcW w:w="1154"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8C4CF32">
            <w:pPr>
              <w:spacing w:before="24" w:after="24" w:line="288" w:lineRule="auto"/>
              <w:jc w:val="center"/>
              <w:rPr>
                <w:rFonts w:ascii="Times New Roman" w:hAnsi="Times New Roman" w:cs="Times New Roman"/>
                <w:sz w:val="24"/>
              </w:rPr>
            </w:pPr>
            <w:r>
              <w:rPr>
                <w:rFonts w:ascii="Times New Roman" w:hAnsi="Times New Roman" w:cs="Times New Roman"/>
                <w:sz w:val="24"/>
              </w:rPr>
              <w:t>Ⅱ级</w:t>
            </w:r>
          </w:p>
        </w:tc>
        <w:tc>
          <w:tcPr>
            <w:tcW w:w="1285"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14D9FC2">
            <w:pPr>
              <w:spacing w:before="24" w:after="24" w:line="288" w:lineRule="auto"/>
              <w:jc w:val="center"/>
              <w:rPr>
                <w:rFonts w:ascii="Times New Roman" w:hAnsi="Times New Roman" w:cs="Times New Roman"/>
                <w:sz w:val="24"/>
              </w:rPr>
            </w:pPr>
            <w:r>
              <w:rPr>
                <w:rFonts w:ascii="Times New Roman" w:hAnsi="Times New Roman" w:cs="Times New Roman"/>
                <w:sz w:val="24"/>
              </w:rPr>
              <w:t>26~28</w:t>
            </w:r>
          </w:p>
        </w:tc>
        <w:tc>
          <w:tcPr>
            <w:tcW w:w="1084"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9F6B335">
            <w:pPr>
              <w:spacing w:before="24" w:after="24" w:line="288" w:lineRule="auto"/>
              <w:jc w:val="center"/>
              <w:rPr>
                <w:rFonts w:ascii="Times New Roman" w:hAnsi="Times New Roman" w:cs="Times New Roman"/>
                <w:sz w:val="24"/>
              </w:rPr>
            </w:pPr>
            <w:r>
              <w:rPr>
                <w:rFonts w:ascii="Times New Roman" w:hAnsi="Times New Roman" w:cs="Times New Roman"/>
                <w:sz w:val="24"/>
              </w:rPr>
              <w:t>≤70%</w:t>
            </w:r>
          </w:p>
        </w:tc>
        <w:tc>
          <w:tcPr>
            <w:tcW w:w="895"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8460160">
            <w:pPr>
              <w:spacing w:before="24" w:after="24" w:line="288" w:lineRule="auto"/>
              <w:jc w:val="center"/>
              <w:rPr>
                <w:rFonts w:ascii="Times New Roman" w:hAnsi="Times New Roman" w:cs="Times New Roman"/>
                <w:sz w:val="24"/>
              </w:rPr>
            </w:pPr>
            <w:r>
              <w:rPr>
                <w:rFonts w:ascii="Times New Roman" w:hAnsi="Times New Roman" w:cs="Times New Roman"/>
                <w:sz w:val="24"/>
              </w:rPr>
              <w:t>≤0.3</w:t>
            </w:r>
          </w:p>
        </w:tc>
      </w:tr>
      <w:tr w14:paraId="531B9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000" w:type="pct"/>
            <w:gridSpan w:val="5"/>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83EFA77">
            <w:pPr>
              <w:spacing w:before="24" w:after="24" w:line="288" w:lineRule="auto"/>
              <w:rPr>
                <w:rFonts w:ascii="Times New Roman" w:hAnsi="Times New Roman" w:cs="Times New Roman"/>
                <w:sz w:val="24"/>
              </w:rPr>
            </w:pPr>
            <w:r>
              <w:rPr>
                <w:rFonts w:ascii="Times New Roman" w:hAnsi="Times New Roman" w:cs="Times New Roman"/>
                <w:sz w:val="24"/>
              </w:rPr>
              <w:t>注：I级热舒适度较高，Ⅱ级热舒适度一般</w:t>
            </w:r>
          </w:p>
        </w:tc>
      </w:tr>
    </w:tbl>
    <w:p w14:paraId="64E801F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5.3老年人用房人员长期逗留区域舒适性空调室内设计参数</w:t>
      </w:r>
    </w:p>
    <w:tbl>
      <w:tblPr>
        <w:tblStyle w:val="31"/>
        <w:tblW w:w="513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38"/>
        <w:gridCol w:w="1843"/>
        <w:gridCol w:w="2818"/>
        <w:gridCol w:w="2821"/>
      </w:tblGrid>
      <w:tr w14:paraId="7698F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985"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3A17A24">
            <w:pPr>
              <w:spacing w:before="24" w:after="24" w:line="288" w:lineRule="auto"/>
              <w:jc w:val="center"/>
              <w:rPr>
                <w:rFonts w:ascii="Times New Roman" w:hAnsi="Times New Roman" w:cs="Times New Roman"/>
                <w:sz w:val="24"/>
              </w:rPr>
            </w:pPr>
            <w:r>
              <w:rPr>
                <w:rFonts w:ascii="Times New Roman" w:hAnsi="Times New Roman" w:cs="Times New Roman"/>
                <w:sz w:val="24"/>
              </w:rPr>
              <w:t>类别</w:t>
            </w:r>
          </w:p>
        </w:tc>
        <w:tc>
          <w:tcPr>
            <w:tcW w:w="989"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4D77D23">
            <w:pPr>
              <w:spacing w:before="24" w:after="24" w:line="288" w:lineRule="auto"/>
              <w:jc w:val="center"/>
              <w:rPr>
                <w:rFonts w:ascii="Times New Roman" w:hAnsi="Times New Roman" w:cs="Times New Roman"/>
                <w:sz w:val="24"/>
              </w:rPr>
            </w:pPr>
            <w:r>
              <w:rPr>
                <w:rFonts w:ascii="Times New Roman" w:hAnsi="Times New Roman" w:cs="Times New Roman"/>
                <w:sz w:val="24"/>
              </w:rPr>
              <w:t>温度（℃）</w:t>
            </w:r>
          </w:p>
        </w:tc>
        <w:tc>
          <w:tcPr>
            <w:tcW w:w="1512"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9E87B2F">
            <w:pPr>
              <w:spacing w:before="24" w:after="24" w:line="288" w:lineRule="auto"/>
              <w:jc w:val="center"/>
              <w:rPr>
                <w:rFonts w:ascii="Times New Roman" w:hAnsi="Times New Roman" w:cs="Times New Roman"/>
                <w:sz w:val="24"/>
              </w:rPr>
            </w:pPr>
            <w:r>
              <w:rPr>
                <w:rFonts w:ascii="Times New Roman" w:hAnsi="Times New Roman" w:cs="Times New Roman"/>
                <w:sz w:val="24"/>
              </w:rPr>
              <w:t>相对湿度（%）</w:t>
            </w:r>
          </w:p>
        </w:tc>
        <w:tc>
          <w:tcPr>
            <w:tcW w:w="151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6CAA141">
            <w:pPr>
              <w:spacing w:before="24" w:after="24" w:line="288" w:lineRule="auto"/>
              <w:jc w:val="center"/>
              <w:rPr>
                <w:rFonts w:ascii="Times New Roman" w:hAnsi="Times New Roman" w:cs="Times New Roman"/>
                <w:sz w:val="24"/>
              </w:rPr>
            </w:pPr>
            <w:r>
              <w:rPr>
                <w:rFonts w:ascii="Times New Roman" w:hAnsi="Times New Roman" w:cs="Times New Roman"/>
                <w:sz w:val="24"/>
              </w:rPr>
              <w:t>风速（m/s）</w:t>
            </w:r>
          </w:p>
        </w:tc>
      </w:tr>
      <w:tr w14:paraId="66158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985"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4A21223">
            <w:pPr>
              <w:spacing w:before="24" w:after="24" w:line="288" w:lineRule="auto"/>
              <w:jc w:val="center"/>
              <w:rPr>
                <w:rFonts w:ascii="Times New Roman" w:hAnsi="Times New Roman" w:cs="Times New Roman"/>
                <w:sz w:val="24"/>
              </w:rPr>
            </w:pPr>
            <w:r>
              <w:rPr>
                <w:rFonts w:ascii="Times New Roman" w:hAnsi="Times New Roman" w:cs="Times New Roman"/>
                <w:sz w:val="24"/>
              </w:rPr>
              <w:t>供热工况</w:t>
            </w:r>
          </w:p>
        </w:tc>
        <w:tc>
          <w:tcPr>
            <w:tcW w:w="989"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89EB357">
            <w:pPr>
              <w:spacing w:before="24" w:after="24" w:line="288" w:lineRule="auto"/>
              <w:jc w:val="center"/>
              <w:rPr>
                <w:rFonts w:ascii="Times New Roman" w:hAnsi="Times New Roman" w:cs="Times New Roman"/>
                <w:sz w:val="24"/>
              </w:rPr>
            </w:pPr>
            <w:r>
              <w:rPr>
                <w:rFonts w:ascii="Times New Roman" w:hAnsi="Times New Roman" w:cs="Times New Roman"/>
                <w:sz w:val="24"/>
              </w:rPr>
              <w:t>22~24</w:t>
            </w:r>
          </w:p>
        </w:tc>
        <w:tc>
          <w:tcPr>
            <w:tcW w:w="1512"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B52D64A">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151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3F3ABDF">
            <w:pPr>
              <w:spacing w:before="24" w:after="24" w:line="288" w:lineRule="auto"/>
              <w:jc w:val="center"/>
              <w:rPr>
                <w:rFonts w:ascii="Times New Roman" w:hAnsi="Times New Roman" w:cs="Times New Roman"/>
                <w:sz w:val="24"/>
              </w:rPr>
            </w:pPr>
            <w:r>
              <w:rPr>
                <w:rFonts w:ascii="Times New Roman" w:hAnsi="Times New Roman" w:cs="Times New Roman"/>
                <w:sz w:val="24"/>
              </w:rPr>
              <w:t>≤0.2</w:t>
            </w:r>
          </w:p>
        </w:tc>
      </w:tr>
      <w:tr w14:paraId="699DE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98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2BA9948">
            <w:pPr>
              <w:spacing w:before="24" w:after="24" w:line="288" w:lineRule="auto"/>
              <w:jc w:val="center"/>
              <w:rPr>
                <w:rFonts w:ascii="Times New Roman" w:hAnsi="Times New Roman" w:cs="Times New Roman"/>
                <w:sz w:val="24"/>
              </w:rPr>
            </w:pPr>
            <w:r>
              <w:rPr>
                <w:rFonts w:ascii="Times New Roman" w:hAnsi="Times New Roman" w:cs="Times New Roman"/>
                <w:sz w:val="24"/>
              </w:rPr>
              <w:t>供冷工况</w:t>
            </w:r>
          </w:p>
        </w:tc>
        <w:tc>
          <w:tcPr>
            <w:tcW w:w="988"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B974583">
            <w:pPr>
              <w:spacing w:before="24" w:after="24" w:line="288" w:lineRule="auto"/>
              <w:jc w:val="center"/>
              <w:rPr>
                <w:rFonts w:ascii="Times New Roman" w:hAnsi="Times New Roman" w:cs="Times New Roman"/>
                <w:sz w:val="24"/>
              </w:rPr>
            </w:pPr>
            <w:r>
              <w:rPr>
                <w:rFonts w:ascii="Times New Roman" w:hAnsi="Times New Roman" w:cs="Times New Roman"/>
                <w:sz w:val="24"/>
              </w:rPr>
              <w:t>26~28</w:t>
            </w:r>
          </w:p>
        </w:tc>
        <w:tc>
          <w:tcPr>
            <w:tcW w:w="1512"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5526AB6">
            <w:pPr>
              <w:spacing w:before="24" w:after="24" w:line="288" w:lineRule="auto"/>
              <w:jc w:val="center"/>
              <w:rPr>
                <w:rFonts w:ascii="Times New Roman" w:hAnsi="Times New Roman" w:cs="Times New Roman"/>
                <w:sz w:val="24"/>
              </w:rPr>
            </w:pPr>
            <w:r>
              <w:rPr>
                <w:rFonts w:ascii="Times New Roman" w:hAnsi="Times New Roman" w:cs="Times New Roman"/>
                <w:sz w:val="24"/>
              </w:rPr>
              <w:t>≤70%</w:t>
            </w:r>
          </w:p>
        </w:tc>
        <w:tc>
          <w:tcPr>
            <w:tcW w:w="1512"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5D4A3D5">
            <w:pPr>
              <w:spacing w:before="24" w:after="24" w:line="288" w:lineRule="auto"/>
              <w:jc w:val="center"/>
              <w:rPr>
                <w:rFonts w:ascii="Times New Roman" w:hAnsi="Times New Roman" w:cs="Times New Roman"/>
                <w:sz w:val="24"/>
              </w:rPr>
            </w:pPr>
            <w:r>
              <w:rPr>
                <w:rFonts w:ascii="Times New Roman" w:hAnsi="Times New Roman" w:cs="Times New Roman"/>
                <w:sz w:val="24"/>
              </w:rPr>
              <w:t>≤0.25</w:t>
            </w:r>
          </w:p>
        </w:tc>
      </w:tr>
    </w:tbl>
    <w:p w14:paraId="6904EE8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5.4非护理型床位的居室等生活用房设计最小换气次数</w:t>
      </w:r>
    </w:p>
    <w:tbl>
      <w:tblPr>
        <w:tblStyle w:val="31"/>
        <w:tblW w:w="509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655"/>
        <w:gridCol w:w="5592"/>
      </w:tblGrid>
      <w:tr w14:paraId="65A85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7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D3EA273">
            <w:pPr>
              <w:spacing w:before="24" w:after="24" w:line="288" w:lineRule="auto"/>
              <w:jc w:val="center"/>
              <w:rPr>
                <w:rFonts w:ascii="Times New Roman" w:hAnsi="Times New Roman" w:cs="Times New Roman"/>
                <w:sz w:val="24"/>
              </w:rPr>
            </w:pPr>
            <w:r>
              <w:rPr>
                <w:rFonts w:ascii="Times New Roman" w:hAnsi="Times New Roman" w:cs="Times New Roman"/>
                <w:sz w:val="24"/>
              </w:rPr>
              <w:t>人均居住面积Fp</w:t>
            </w:r>
          </w:p>
        </w:tc>
        <w:tc>
          <w:tcPr>
            <w:tcW w:w="302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6EB22F1">
            <w:pPr>
              <w:spacing w:before="24" w:after="24" w:line="288" w:lineRule="auto"/>
              <w:jc w:val="center"/>
              <w:rPr>
                <w:rFonts w:ascii="Times New Roman" w:hAnsi="Times New Roman" w:cs="Times New Roman"/>
                <w:sz w:val="24"/>
              </w:rPr>
            </w:pPr>
            <w:r>
              <w:rPr>
                <w:rFonts w:ascii="Times New Roman" w:hAnsi="Times New Roman" w:cs="Times New Roman"/>
                <w:sz w:val="24"/>
              </w:rPr>
              <w:t>每小时换气次数</w:t>
            </w:r>
          </w:p>
        </w:tc>
      </w:tr>
      <w:tr w14:paraId="7BAAC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7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67DAD09">
            <w:pPr>
              <w:spacing w:before="24" w:after="24" w:line="288" w:lineRule="auto"/>
              <w:jc w:val="center"/>
              <w:rPr>
                <w:rFonts w:ascii="Times New Roman" w:hAnsi="Times New Roman" w:cs="Times New Roman"/>
                <w:sz w:val="24"/>
              </w:rPr>
            </w:pPr>
            <w:r>
              <w:rPr>
                <w:rFonts w:ascii="Times New Roman" w:hAnsi="Times New Roman" w:cs="Times New Roman"/>
                <w:sz w:val="24"/>
              </w:rPr>
              <w:t>Fp≤10m</w:t>
            </w:r>
            <w:r>
              <w:rPr>
                <w:rFonts w:ascii="Times New Roman" w:hAnsi="Times New Roman" w:cs="Times New Roman"/>
                <w:sz w:val="24"/>
                <w:vertAlign w:val="superscript"/>
              </w:rPr>
              <w:t>2</w:t>
            </w:r>
          </w:p>
        </w:tc>
        <w:tc>
          <w:tcPr>
            <w:tcW w:w="302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E63F495">
            <w:pPr>
              <w:spacing w:before="24" w:after="24" w:line="288" w:lineRule="auto"/>
              <w:jc w:val="center"/>
              <w:rPr>
                <w:rFonts w:ascii="Times New Roman" w:hAnsi="Times New Roman" w:cs="Times New Roman"/>
                <w:sz w:val="24"/>
              </w:rPr>
            </w:pPr>
            <w:r>
              <w:rPr>
                <w:rFonts w:ascii="Times New Roman" w:hAnsi="Times New Roman" w:cs="Times New Roman"/>
                <w:sz w:val="24"/>
              </w:rPr>
              <w:t>0.70</w:t>
            </w:r>
          </w:p>
        </w:tc>
      </w:tr>
      <w:tr w14:paraId="411C2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7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1D8D930">
            <w:pPr>
              <w:spacing w:before="24" w:after="24" w:line="288" w:lineRule="auto"/>
              <w:jc w:val="center"/>
              <w:rPr>
                <w:rFonts w:ascii="Times New Roman" w:hAnsi="Times New Roman" w:cs="Times New Roman"/>
                <w:sz w:val="24"/>
              </w:rPr>
            </w:pPr>
            <w:r>
              <w:rPr>
                <w:rFonts w:ascii="Times New Roman" w:hAnsi="Times New Roman" w:cs="Times New Roman"/>
                <w:sz w:val="24"/>
              </w:rPr>
              <w:t>10＜Fp≤20m</w:t>
            </w:r>
            <w:r>
              <w:rPr>
                <w:rFonts w:ascii="Times New Roman" w:hAnsi="Times New Roman" w:cs="Times New Roman"/>
                <w:sz w:val="24"/>
                <w:vertAlign w:val="superscript"/>
              </w:rPr>
              <w:t>2</w:t>
            </w:r>
          </w:p>
        </w:tc>
        <w:tc>
          <w:tcPr>
            <w:tcW w:w="302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710F88D">
            <w:pPr>
              <w:spacing w:before="24" w:after="24" w:line="288" w:lineRule="auto"/>
              <w:jc w:val="center"/>
              <w:rPr>
                <w:rFonts w:ascii="Times New Roman" w:hAnsi="Times New Roman" w:cs="Times New Roman"/>
                <w:sz w:val="24"/>
              </w:rPr>
            </w:pPr>
            <w:r>
              <w:rPr>
                <w:rFonts w:ascii="Times New Roman" w:hAnsi="Times New Roman" w:cs="Times New Roman"/>
                <w:sz w:val="24"/>
              </w:rPr>
              <w:t>0.60</w:t>
            </w:r>
          </w:p>
        </w:tc>
      </w:tr>
      <w:tr w14:paraId="37488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7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0C01431">
            <w:pPr>
              <w:spacing w:before="24" w:after="24" w:line="288" w:lineRule="auto"/>
              <w:jc w:val="center"/>
              <w:rPr>
                <w:rFonts w:ascii="Times New Roman" w:hAnsi="Times New Roman" w:cs="Times New Roman"/>
                <w:sz w:val="24"/>
              </w:rPr>
            </w:pPr>
            <w:r>
              <w:rPr>
                <w:rFonts w:ascii="Times New Roman" w:hAnsi="Times New Roman" w:cs="Times New Roman"/>
                <w:sz w:val="24"/>
              </w:rPr>
              <w:t>20＜Fp≤50m</w:t>
            </w:r>
            <w:r>
              <w:rPr>
                <w:rFonts w:ascii="Times New Roman" w:hAnsi="Times New Roman" w:cs="Times New Roman"/>
                <w:sz w:val="24"/>
                <w:vertAlign w:val="superscript"/>
              </w:rPr>
              <w:t>2</w:t>
            </w:r>
          </w:p>
        </w:tc>
        <w:tc>
          <w:tcPr>
            <w:tcW w:w="302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3D396B0">
            <w:pPr>
              <w:spacing w:before="24" w:after="24" w:line="288" w:lineRule="auto"/>
              <w:jc w:val="center"/>
              <w:rPr>
                <w:rFonts w:ascii="Times New Roman" w:hAnsi="Times New Roman" w:cs="Times New Roman"/>
                <w:sz w:val="24"/>
              </w:rPr>
            </w:pPr>
            <w:r>
              <w:rPr>
                <w:rFonts w:ascii="Times New Roman" w:hAnsi="Times New Roman" w:cs="Times New Roman"/>
                <w:sz w:val="24"/>
              </w:rPr>
              <w:t>0.50</w:t>
            </w:r>
          </w:p>
        </w:tc>
      </w:tr>
      <w:tr w14:paraId="35DF5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7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55E686B">
            <w:pPr>
              <w:spacing w:before="24" w:after="24" w:line="288" w:lineRule="auto"/>
              <w:jc w:val="center"/>
              <w:rPr>
                <w:rFonts w:ascii="Times New Roman" w:hAnsi="Times New Roman" w:cs="Times New Roman"/>
                <w:sz w:val="24"/>
              </w:rPr>
            </w:pPr>
            <w:r>
              <w:rPr>
                <w:rFonts w:ascii="Times New Roman" w:hAnsi="Times New Roman" w:cs="Times New Roman"/>
                <w:sz w:val="24"/>
              </w:rPr>
              <w:t>Fp＞50m</w:t>
            </w:r>
            <w:r>
              <w:rPr>
                <w:rFonts w:ascii="Times New Roman" w:hAnsi="Times New Roman" w:cs="Times New Roman"/>
                <w:sz w:val="24"/>
                <w:vertAlign w:val="superscript"/>
              </w:rPr>
              <w:t>2</w:t>
            </w:r>
          </w:p>
        </w:tc>
        <w:tc>
          <w:tcPr>
            <w:tcW w:w="302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1D8D139">
            <w:pPr>
              <w:spacing w:before="24" w:after="24" w:line="288" w:lineRule="auto"/>
              <w:jc w:val="center"/>
              <w:rPr>
                <w:rFonts w:ascii="Times New Roman" w:hAnsi="Times New Roman" w:cs="Times New Roman"/>
                <w:sz w:val="24"/>
              </w:rPr>
            </w:pPr>
            <w:r>
              <w:rPr>
                <w:rFonts w:ascii="Times New Roman" w:hAnsi="Times New Roman" w:cs="Times New Roman"/>
                <w:sz w:val="24"/>
              </w:rPr>
              <w:t>0.45</w:t>
            </w:r>
          </w:p>
        </w:tc>
      </w:tr>
    </w:tbl>
    <w:p w14:paraId="54286F7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5.5公共建筑主要房间人员所需最小新风量</w:t>
      </w:r>
    </w:p>
    <w:tbl>
      <w:tblPr>
        <w:tblStyle w:val="31"/>
        <w:tblW w:w="509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655"/>
        <w:gridCol w:w="5592"/>
      </w:tblGrid>
      <w:tr w14:paraId="11F6D4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7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E483345">
            <w:pPr>
              <w:spacing w:before="24" w:after="24" w:line="288" w:lineRule="auto"/>
              <w:jc w:val="center"/>
              <w:rPr>
                <w:rFonts w:ascii="Times New Roman" w:hAnsi="Times New Roman" w:cs="Times New Roman"/>
                <w:sz w:val="24"/>
              </w:rPr>
            </w:pPr>
            <w:r>
              <w:rPr>
                <w:rFonts w:ascii="Times New Roman" w:hAnsi="Times New Roman" w:cs="Times New Roman"/>
                <w:sz w:val="24"/>
              </w:rPr>
              <w:t>建筑房间类型</w:t>
            </w:r>
          </w:p>
        </w:tc>
        <w:tc>
          <w:tcPr>
            <w:tcW w:w="302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2E3A327">
            <w:pPr>
              <w:spacing w:before="24" w:after="24" w:line="288" w:lineRule="auto"/>
              <w:jc w:val="center"/>
              <w:rPr>
                <w:rFonts w:ascii="Times New Roman" w:hAnsi="Times New Roman" w:cs="Times New Roman"/>
                <w:sz w:val="24"/>
              </w:rPr>
            </w:pPr>
            <w:r>
              <w:rPr>
                <w:rFonts w:ascii="Times New Roman" w:hAnsi="Times New Roman" w:cs="Times New Roman"/>
                <w:sz w:val="24"/>
              </w:rPr>
              <w:t>新风量[m³/（h·人）]</w:t>
            </w:r>
          </w:p>
        </w:tc>
      </w:tr>
      <w:tr w14:paraId="4032C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7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54DA651">
            <w:pPr>
              <w:spacing w:before="24" w:after="24" w:line="288" w:lineRule="auto"/>
              <w:jc w:val="center"/>
              <w:rPr>
                <w:rFonts w:ascii="Times New Roman" w:hAnsi="Times New Roman" w:cs="Times New Roman"/>
                <w:sz w:val="24"/>
              </w:rPr>
            </w:pPr>
            <w:r>
              <w:rPr>
                <w:rFonts w:ascii="Times New Roman" w:hAnsi="Times New Roman" w:cs="Times New Roman"/>
                <w:sz w:val="24"/>
              </w:rPr>
              <w:t>办公室</w:t>
            </w:r>
          </w:p>
        </w:tc>
        <w:tc>
          <w:tcPr>
            <w:tcW w:w="302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EF24AF7">
            <w:pPr>
              <w:spacing w:before="24" w:after="24" w:line="288" w:lineRule="auto"/>
              <w:jc w:val="center"/>
              <w:rPr>
                <w:rFonts w:ascii="Times New Roman" w:hAnsi="Times New Roman" w:cs="Times New Roman"/>
                <w:sz w:val="24"/>
              </w:rPr>
            </w:pPr>
            <w:r>
              <w:rPr>
                <w:rFonts w:ascii="Times New Roman" w:hAnsi="Times New Roman" w:cs="Times New Roman"/>
                <w:sz w:val="24"/>
              </w:rPr>
              <w:t>30</w:t>
            </w:r>
          </w:p>
        </w:tc>
      </w:tr>
      <w:tr w14:paraId="6068BF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7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64531B3">
            <w:pPr>
              <w:spacing w:before="24" w:after="24" w:line="288" w:lineRule="auto"/>
              <w:jc w:val="center"/>
              <w:rPr>
                <w:rFonts w:ascii="Times New Roman" w:hAnsi="Times New Roman" w:cs="Times New Roman"/>
                <w:sz w:val="24"/>
              </w:rPr>
            </w:pPr>
            <w:r>
              <w:rPr>
                <w:rFonts w:ascii="Times New Roman" w:hAnsi="Times New Roman" w:cs="Times New Roman"/>
                <w:sz w:val="24"/>
              </w:rPr>
              <w:t>客房</w:t>
            </w:r>
          </w:p>
        </w:tc>
        <w:tc>
          <w:tcPr>
            <w:tcW w:w="302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790931E">
            <w:pPr>
              <w:spacing w:before="24" w:after="24" w:line="288" w:lineRule="auto"/>
              <w:jc w:val="center"/>
              <w:rPr>
                <w:rFonts w:ascii="Times New Roman" w:hAnsi="Times New Roman" w:cs="Times New Roman"/>
                <w:sz w:val="24"/>
              </w:rPr>
            </w:pPr>
            <w:r>
              <w:rPr>
                <w:rFonts w:ascii="Times New Roman" w:hAnsi="Times New Roman" w:cs="Times New Roman"/>
                <w:sz w:val="24"/>
              </w:rPr>
              <w:t>30</w:t>
            </w:r>
          </w:p>
        </w:tc>
      </w:tr>
      <w:tr w14:paraId="72CBA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7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D908755">
            <w:pPr>
              <w:spacing w:before="24" w:after="24" w:line="288" w:lineRule="auto"/>
              <w:jc w:val="center"/>
              <w:rPr>
                <w:rFonts w:ascii="Times New Roman" w:hAnsi="Times New Roman" w:cs="Times New Roman"/>
                <w:sz w:val="24"/>
              </w:rPr>
            </w:pPr>
            <w:r>
              <w:rPr>
                <w:rFonts w:ascii="Times New Roman" w:hAnsi="Times New Roman" w:cs="Times New Roman"/>
                <w:sz w:val="24"/>
              </w:rPr>
              <w:t>大堂、四季厅</w:t>
            </w:r>
          </w:p>
        </w:tc>
        <w:tc>
          <w:tcPr>
            <w:tcW w:w="302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CA4A145">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bl>
    <w:p w14:paraId="091DE30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5.6纸质档案库的温湿度要求</w:t>
      </w:r>
    </w:p>
    <w:tbl>
      <w:tblPr>
        <w:tblStyle w:val="31"/>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718"/>
        <w:gridCol w:w="3139"/>
        <w:gridCol w:w="2481"/>
      </w:tblGrid>
      <w:tr w14:paraId="00B422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90"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A9A430D">
            <w:pPr>
              <w:spacing w:before="24" w:after="24" w:line="288" w:lineRule="auto"/>
              <w:jc w:val="center"/>
              <w:rPr>
                <w:rFonts w:ascii="Times New Roman" w:hAnsi="Times New Roman" w:cs="Times New Roman"/>
                <w:sz w:val="24"/>
              </w:rPr>
            </w:pPr>
            <w:r>
              <w:rPr>
                <w:rFonts w:ascii="Times New Roman" w:hAnsi="Times New Roman" w:cs="Times New Roman"/>
                <w:sz w:val="24"/>
              </w:rPr>
              <w:t>用房名称</w:t>
            </w:r>
          </w:p>
        </w:tc>
        <w:tc>
          <w:tcPr>
            <w:tcW w:w="1680"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B0B3192">
            <w:pPr>
              <w:spacing w:before="24" w:after="24" w:line="288" w:lineRule="auto"/>
              <w:jc w:val="center"/>
              <w:rPr>
                <w:rFonts w:ascii="Times New Roman" w:hAnsi="Times New Roman" w:cs="Times New Roman"/>
                <w:sz w:val="24"/>
              </w:rPr>
            </w:pPr>
            <w:r>
              <w:rPr>
                <w:rFonts w:ascii="Times New Roman" w:hAnsi="Times New Roman" w:cs="Times New Roman"/>
                <w:sz w:val="24"/>
              </w:rPr>
              <w:t>温度（℃）</w:t>
            </w:r>
          </w:p>
        </w:tc>
        <w:tc>
          <w:tcPr>
            <w:tcW w:w="1328"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779A4CD">
            <w:pPr>
              <w:spacing w:before="24" w:after="24" w:line="288" w:lineRule="auto"/>
              <w:jc w:val="center"/>
              <w:rPr>
                <w:rFonts w:ascii="Times New Roman" w:hAnsi="Times New Roman" w:cs="Times New Roman"/>
                <w:sz w:val="24"/>
              </w:rPr>
            </w:pPr>
            <w:r>
              <w:rPr>
                <w:rFonts w:ascii="Times New Roman" w:hAnsi="Times New Roman" w:cs="Times New Roman"/>
                <w:sz w:val="24"/>
              </w:rPr>
              <w:t>相对湿度（%）</w:t>
            </w:r>
          </w:p>
        </w:tc>
      </w:tr>
      <w:tr w14:paraId="5720F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90"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99EE334">
            <w:pPr>
              <w:spacing w:before="24" w:after="24" w:line="288" w:lineRule="auto"/>
              <w:jc w:val="center"/>
              <w:rPr>
                <w:rFonts w:ascii="Times New Roman" w:hAnsi="Times New Roman" w:cs="Times New Roman"/>
                <w:sz w:val="24"/>
              </w:rPr>
            </w:pPr>
            <w:r>
              <w:rPr>
                <w:rFonts w:ascii="Times New Roman" w:hAnsi="Times New Roman" w:cs="Times New Roman"/>
                <w:sz w:val="24"/>
              </w:rPr>
              <w:t>纸质档案库</w:t>
            </w:r>
          </w:p>
        </w:tc>
        <w:tc>
          <w:tcPr>
            <w:tcW w:w="1680"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F7F0327">
            <w:pPr>
              <w:spacing w:before="24" w:after="24" w:line="288" w:lineRule="auto"/>
              <w:jc w:val="center"/>
              <w:rPr>
                <w:rFonts w:ascii="Times New Roman" w:hAnsi="Times New Roman" w:cs="Times New Roman"/>
                <w:sz w:val="24"/>
              </w:rPr>
            </w:pPr>
            <w:r>
              <w:rPr>
                <w:rFonts w:ascii="Times New Roman" w:hAnsi="Times New Roman" w:cs="Times New Roman"/>
                <w:sz w:val="24"/>
              </w:rPr>
              <w:t>14~24</w:t>
            </w:r>
          </w:p>
        </w:tc>
        <w:tc>
          <w:tcPr>
            <w:tcW w:w="1328"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6A8DC87">
            <w:pPr>
              <w:spacing w:before="24" w:after="24" w:line="288" w:lineRule="auto"/>
              <w:jc w:val="center"/>
              <w:rPr>
                <w:rFonts w:ascii="Times New Roman" w:hAnsi="Times New Roman" w:cs="Times New Roman"/>
                <w:sz w:val="24"/>
              </w:rPr>
            </w:pPr>
            <w:r>
              <w:rPr>
                <w:rFonts w:ascii="Times New Roman" w:hAnsi="Times New Roman" w:cs="Times New Roman"/>
                <w:sz w:val="24"/>
              </w:rPr>
              <w:t>45~60</w:t>
            </w:r>
          </w:p>
        </w:tc>
      </w:tr>
    </w:tbl>
    <w:p w14:paraId="25E709E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5.7特殊档案库的温湿度要求</w:t>
      </w:r>
    </w:p>
    <w:tbl>
      <w:tblPr>
        <w:tblStyle w:val="31"/>
        <w:tblW w:w="515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679"/>
        <w:gridCol w:w="2049"/>
        <w:gridCol w:w="3142"/>
        <w:gridCol w:w="2486"/>
      </w:tblGrid>
      <w:tr w14:paraId="1E7AF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jc w:val="center"/>
        </w:trPr>
        <w:tc>
          <w:tcPr>
            <w:tcW w:w="1992" w:type="pct"/>
            <w:gridSpan w:val="2"/>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B738A68">
            <w:pPr>
              <w:spacing w:before="24" w:after="24" w:line="288" w:lineRule="auto"/>
              <w:jc w:val="center"/>
              <w:rPr>
                <w:rFonts w:ascii="Times New Roman" w:hAnsi="Times New Roman" w:cs="Times New Roman"/>
                <w:sz w:val="24"/>
              </w:rPr>
            </w:pPr>
            <w:r>
              <w:rPr>
                <w:rFonts w:ascii="Times New Roman" w:hAnsi="Times New Roman" w:cs="Times New Roman"/>
                <w:sz w:val="24"/>
              </w:rPr>
              <w:t>用房名称</w:t>
            </w:r>
          </w:p>
        </w:tc>
        <w:tc>
          <w:tcPr>
            <w:tcW w:w="1679"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A91870F">
            <w:pPr>
              <w:spacing w:before="24" w:after="24" w:line="288" w:lineRule="auto"/>
              <w:jc w:val="center"/>
              <w:rPr>
                <w:rFonts w:ascii="Times New Roman" w:hAnsi="Times New Roman" w:cs="Times New Roman"/>
                <w:sz w:val="24"/>
              </w:rPr>
            </w:pPr>
            <w:r>
              <w:rPr>
                <w:rFonts w:ascii="Times New Roman" w:hAnsi="Times New Roman" w:cs="Times New Roman"/>
                <w:sz w:val="24"/>
              </w:rPr>
              <w:t>温度（℃）</w:t>
            </w:r>
          </w:p>
        </w:tc>
        <w:tc>
          <w:tcPr>
            <w:tcW w:w="1328"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BF704AC">
            <w:pPr>
              <w:spacing w:before="24" w:after="24" w:line="288" w:lineRule="auto"/>
              <w:jc w:val="center"/>
              <w:rPr>
                <w:rFonts w:ascii="Times New Roman" w:hAnsi="Times New Roman" w:cs="Times New Roman"/>
                <w:sz w:val="24"/>
              </w:rPr>
            </w:pPr>
            <w:r>
              <w:rPr>
                <w:rFonts w:ascii="Times New Roman" w:hAnsi="Times New Roman" w:cs="Times New Roman"/>
                <w:sz w:val="24"/>
              </w:rPr>
              <w:t>相对湿度（%）</w:t>
            </w:r>
          </w:p>
        </w:tc>
      </w:tr>
      <w:tr w14:paraId="0B8E5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jc w:val="center"/>
        </w:trPr>
        <w:tc>
          <w:tcPr>
            <w:tcW w:w="1992" w:type="pct"/>
            <w:gridSpan w:val="2"/>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DCE1F1D">
            <w:pPr>
              <w:spacing w:before="24" w:after="24" w:line="288" w:lineRule="auto"/>
              <w:jc w:val="center"/>
              <w:rPr>
                <w:rFonts w:ascii="Times New Roman" w:hAnsi="Times New Roman" w:cs="Times New Roman"/>
                <w:sz w:val="24"/>
              </w:rPr>
            </w:pPr>
            <w:r>
              <w:rPr>
                <w:rFonts w:ascii="Times New Roman" w:hAnsi="Times New Roman" w:cs="Times New Roman"/>
                <w:sz w:val="24"/>
              </w:rPr>
              <w:t>特藏库</w:t>
            </w:r>
          </w:p>
        </w:tc>
        <w:tc>
          <w:tcPr>
            <w:tcW w:w="1679"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78C8B7B">
            <w:pPr>
              <w:spacing w:before="24" w:after="24" w:line="288" w:lineRule="auto"/>
              <w:jc w:val="center"/>
              <w:rPr>
                <w:rFonts w:ascii="Times New Roman" w:hAnsi="Times New Roman" w:cs="Times New Roman"/>
                <w:sz w:val="24"/>
              </w:rPr>
            </w:pPr>
            <w:r>
              <w:rPr>
                <w:rFonts w:ascii="Times New Roman" w:hAnsi="Times New Roman" w:cs="Times New Roman"/>
                <w:sz w:val="24"/>
              </w:rPr>
              <w:t>14~20</w:t>
            </w:r>
          </w:p>
        </w:tc>
        <w:tc>
          <w:tcPr>
            <w:tcW w:w="1328"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5CFAF8D">
            <w:pPr>
              <w:spacing w:before="24" w:after="24" w:line="288" w:lineRule="auto"/>
              <w:jc w:val="center"/>
              <w:rPr>
                <w:rFonts w:ascii="Times New Roman" w:hAnsi="Times New Roman" w:cs="Times New Roman"/>
                <w:sz w:val="24"/>
              </w:rPr>
            </w:pPr>
            <w:r>
              <w:rPr>
                <w:rFonts w:ascii="Times New Roman" w:hAnsi="Times New Roman" w:cs="Times New Roman"/>
                <w:sz w:val="24"/>
              </w:rPr>
              <w:t>45~55</w:t>
            </w:r>
          </w:p>
        </w:tc>
      </w:tr>
      <w:tr w14:paraId="787E7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jc w:val="center"/>
        </w:trPr>
        <w:tc>
          <w:tcPr>
            <w:tcW w:w="1992" w:type="pct"/>
            <w:gridSpan w:val="2"/>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F3BC612">
            <w:pPr>
              <w:spacing w:before="24" w:after="24" w:line="288" w:lineRule="auto"/>
              <w:jc w:val="center"/>
              <w:rPr>
                <w:rFonts w:ascii="Times New Roman" w:hAnsi="Times New Roman" w:cs="Times New Roman"/>
                <w:sz w:val="24"/>
              </w:rPr>
            </w:pPr>
            <w:r>
              <w:rPr>
                <w:rFonts w:ascii="Times New Roman" w:hAnsi="Times New Roman" w:cs="Times New Roman"/>
                <w:sz w:val="24"/>
              </w:rPr>
              <w:t>音像磁带库</w:t>
            </w:r>
          </w:p>
        </w:tc>
        <w:tc>
          <w:tcPr>
            <w:tcW w:w="1679"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32A9055">
            <w:pPr>
              <w:spacing w:before="24" w:after="24" w:line="288" w:lineRule="auto"/>
              <w:jc w:val="center"/>
              <w:rPr>
                <w:rFonts w:ascii="Times New Roman" w:hAnsi="Times New Roman" w:cs="Times New Roman"/>
                <w:sz w:val="24"/>
              </w:rPr>
            </w:pPr>
            <w:r>
              <w:rPr>
                <w:rFonts w:ascii="Times New Roman" w:hAnsi="Times New Roman" w:cs="Times New Roman"/>
                <w:sz w:val="24"/>
              </w:rPr>
              <w:t>14~24</w:t>
            </w:r>
          </w:p>
        </w:tc>
        <w:tc>
          <w:tcPr>
            <w:tcW w:w="1328"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2EFE704">
            <w:pPr>
              <w:spacing w:before="24" w:after="24" w:line="288" w:lineRule="auto"/>
              <w:jc w:val="center"/>
              <w:rPr>
                <w:rFonts w:ascii="Times New Roman" w:hAnsi="Times New Roman" w:cs="Times New Roman"/>
                <w:sz w:val="24"/>
              </w:rPr>
            </w:pPr>
            <w:r>
              <w:rPr>
                <w:rFonts w:ascii="Times New Roman" w:hAnsi="Times New Roman" w:cs="Times New Roman"/>
                <w:sz w:val="24"/>
              </w:rPr>
              <w:t>40~60</w:t>
            </w:r>
          </w:p>
        </w:tc>
      </w:tr>
      <w:tr w14:paraId="4B2F0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jc w:val="center"/>
        </w:trPr>
        <w:tc>
          <w:tcPr>
            <w:tcW w:w="897" w:type="pct"/>
            <w:vMerge w:val="restart"/>
            <w:tcBorders>
              <w:top w:val="single" w:color="000000" w:sz="4" w:space="0"/>
              <w:left w:val="single" w:color="000000" w:sz="4" w:space="0"/>
              <w:right w:val="single" w:color="000000" w:sz="4" w:space="0"/>
            </w:tcBorders>
            <w:tcMar>
              <w:left w:w="0" w:type="dxa"/>
              <w:right w:w="0" w:type="dxa"/>
            </w:tcMar>
            <w:vAlign w:val="center"/>
          </w:tcPr>
          <w:p w14:paraId="25E8330F">
            <w:pPr>
              <w:spacing w:before="24" w:after="24" w:line="288" w:lineRule="auto"/>
              <w:jc w:val="center"/>
              <w:rPr>
                <w:rFonts w:ascii="Times New Roman" w:hAnsi="Times New Roman" w:cs="Times New Roman"/>
                <w:sz w:val="24"/>
              </w:rPr>
            </w:pPr>
            <w:r>
              <w:rPr>
                <w:rFonts w:ascii="Times New Roman" w:hAnsi="Times New Roman" w:cs="Times New Roman"/>
                <w:sz w:val="24"/>
              </w:rPr>
              <w:t>胶片库</w:t>
            </w:r>
          </w:p>
        </w:tc>
        <w:tc>
          <w:tcPr>
            <w:tcW w:w="1095"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7FB7DD2">
            <w:pPr>
              <w:spacing w:before="24" w:after="24" w:line="288" w:lineRule="auto"/>
              <w:jc w:val="center"/>
              <w:rPr>
                <w:rFonts w:ascii="Times New Roman" w:hAnsi="Times New Roman" w:cs="Times New Roman"/>
                <w:sz w:val="24"/>
              </w:rPr>
            </w:pPr>
            <w:r>
              <w:rPr>
                <w:rFonts w:ascii="Times New Roman" w:hAnsi="Times New Roman" w:cs="Times New Roman"/>
                <w:sz w:val="24"/>
              </w:rPr>
              <w:t>拷贝片</w:t>
            </w:r>
          </w:p>
        </w:tc>
        <w:tc>
          <w:tcPr>
            <w:tcW w:w="1679"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616C40B">
            <w:pPr>
              <w:spacing w:before="24" w:after="24" w:line="288" w:lineRule="auto"/>
              <w:jc w:val="center"/>
              <w:rPr>
                <w:rFonts w:ascii="Times New Roman" w:hAnsi="Times New Roman" w:cs="Times New Roman"/>
                <w:sz w:val="24"/>
              </w:rPr>
            </w:pPr>
            <w:r>
              <w:rPr>
                <w:rFonts w:ascii="Times New Roman" w:hAnsi="Times New Roman" w:cs="Times New Roman"/>
                <w:sz w:val="24"/>
              </w:rPr>
              <w:t>14~24</w:t>
            </w:r>
          </w:p>
        </w:tc>
        <w:tc>
          <w:tcPr>
            <w:tcW w:w="1328"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26BC346">
            <w:pPr>
              <w:spacing w:before="24" w:after="24" w:line="288" w:lineRule="auto"/>
              <w:jc w:val="center"/>
              <w:rPr>
                <w:rFonts w:ascii="Times New Roman" w:hAnsi="Times New Roman" w:cs="Times New Roman"/>
                <w:sz w:val="24"/>
              </w:rPr>
            </w:pPr>
            <w:r>
              <w:rPr>
                <w:rFonts w:ascii="Times New Roman" w:hAnsi="Times New Roman" w:cs="Times New Roman"/>
                <w:sz w:val="24"/>
              </w:rPr>
              <w:t>40~60</w:t>
            </w:r>
          </w:p>
        </w:tc>
      </w:tr>
      <w:tr w14:paraId="7B561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jc w:val="center"/>
        </w:trPr>
        <w:tc>
          <w:tcPr>
            <w:tcW w:w="897" w:type="pct"/>
            <w:vMerge w:val="continue"/>
            <w:tcBorders>
              <w:left w:val="single" w:color="000000" w:sz="4" w:space="0"/>
              <w:bottom w:val="single" w:color="000000" w:sz="4" w:space="0"/>
              <w:right w:val="single" w:color="000000" w:sz="4" w:space="0"/>
            </w:tcBorders>
            <w:tcMar>
              <w:left w:w="0" w:type="dxa"/>
              <w:right w:w="0" w:type="dxa"/>
            </w:tcMar>
            <w:vAlign w:val="center"/>
          </w:tcPr>
          <w:p w14:paraId="677CF35F">
            <w:pPr>
              <w:spacing w:before="24" w:after="24" w:line="288" w:lineRule="auto"/>
              <w:jc w:val="center"/>
              <w:rPr>
                <w:rFonts w:ascii="Times New Roman" w:hAnsi="Times New Roman" w:cs="Times New Roman"/>
                <w:sz w:val="24"/>
              </w:rPr>
            </w:pPr>
          </w:p>
        </w:tc>
        <w:tc>
          <w:tcPr>
            <w:tcW w:w="1095"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F91788D">
            <w:pPr>
              <w:spacing w:before="24" w:after="24" w:line="288" w:lineRule="auto"/>
              <w:jc w:val="center"/>
              <w:rPr>
                <w:rFonts w:ascii="Times New Roman" w:hAnsi="Times New Roman" w:cs="Times New Roman"/>
                <w:sz w:val="24"/>
              </w:rPr>
            </w:pPr>
            <w:r>
              <w:rPr>
                <w:rFonts w:ascii="Times New Roman" w:hAnsi="Times New Roman" w:cs="Times New Roman"/>
                <w:sz w:val="24"/>
              </w:rPr>
              <w:t>母片</w:t>
            </w:r>
          </w:p>
        </w:tc>
        <w:tc>
          <w:tcPr>
            <w:tcW w:w="1679"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ACA886C">
            <w:pPr>
              <w:spacing w:before="24" w:after="24" w:line="288" w:lineRule="auto"/>
              <w:jc w:val="center"/>
              <w:rPr>
                <w:rFonts w:ascii="Times New Roman" w:hAnsi="Times New Roman" w:cs="Times New Roman"/>
                <w:sz w:val="24"/>
              </w:rPr>
            </w:pPr>
            <w:r>
              <w:rPr>
                <w:rFonts w:ascii="Times New Roman" w:hAnsi="Times New Roman" w:cs="Times New Roman"/>
                <w:sz w:val="24"/>
              </w:rPr>
              <w:t>13~15</w:t>
            </w:r>
          </w:p>
        </w:tc>
        <w:tc>
          <w:tcPr>
            <w:tcW w:w="1328"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6E070D9">
            <w:pPr>
              <w:spacing w:before="24" w:after="24" w:line="288" w:lineRule="auto"/>
              <w:jc w:val="center"/>
              <w:rPr>
                <w:rFonts w:ascii="Times New Roman" w:hAnsi="Times New Roman" w:cs="Times New Roman"/>
                <w:sz w:val="24"/>
              </w:rPr>
            </w:pPr>
            <w:r>
              <w:rPr>
                <w:rFonts w:ascii="Times New Roman" w:hAnsi="Times New Roman" w:cs="Times New Roman"/>
                <w:sz w:val="24"/>
              </w:rPr>
              <w:t>35~45</w:t>
            </w:r>
          </w:p>
        </w:tc>
      </w:tr>
    </w:tbl>
    <w:p w14:paraId="30E21E1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5.8档案馆部分技术用房和对外服务用房温湿度要求</w:t>
      </w:r>
    </w:p>
    <w:tbl>
      <w:tblPr>
        <w:tblStyle w:val="31"/>
        <w:tblW w:w="516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005"/>
        <w:gridCol w:w="2885"/>
        <w:gridCol w:w="2493"/>
      </w:tblGrid>
      <w:tr w14:paraId="7BDCA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jc w:val="center"/>
        </w:trPr>
        <w:tc>
          <w:tcPr>
            <w:tcW w:w="2134"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DAA5883">
            <w:pPr>
              <w:spacing w:before="24" w:after="24" w:line="288" w:lineRule="auto"/>
              <w:jc w:val="center"/>
              <w:rPr>
                <w:rFonts w:ascii="Times New Roman" w:hAnsi="Times New Roman" w:cs="Times New Roman"/>
                <w:sz w:val="24"/>
              </w:rPr>
            </w:pPr>
            <w:r>
              <w:rPr>
                <w:rFonts w:ascii="Times New Roman" w:hAnsi="Times New Roman" w:cs="Times New Roman"/>
                <w:sz w:val="24"/>
              </w:rPr>
              <w:t>用房名称</w:t>
            </w:r>
          </w:p>
        </w:tc>
        <w:tc>
          <w:tcPr>
            <w:tcW w:w="1537"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B127DD8">
            <w:pPr>
              <w:spacing w:before="24" w:after="24" w:line="288" w:lineRule="auto"/>
              <w:jc w:val="center"/>
              <w:rPr>
                <w:rFonts w:ascii="Times New Roman" w:hAnsi="Times New Roman" w:cs="Times New Roman"/>
                <w:sz w:val="24"/>
              </w:rPr>
            </w:pPr>
            <w:r>
              <w:rPr>
                <w:rFonts w:ascii="Times New Roman" w:hAnsi="Times New Roman" w:cs="Times New Roman"/>
                <w:sz w:val="24"/>
              </w:rPr>
              <w:t>温度（℃）</w:t>
            </w:r>
          </w:p>
        </w:tc>
        <w:tc>
          <w:tcPr>
            <w:tcW w:w="1328"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F72A2CE">
            <w:pPr>
              <w:spacing w:before="24" w:after="24" w:line="288" w:lineRule="auto"/>
              <w:jc w:val="center"/>
              <w:rPr>
                <w:rFonts w:ascii="Times New Roman" w:hAnsi="Times New Roman" w:cs="Times New Roman"/>
                <w:sz w:val="24"/>
              </w:rPr>
            </w:pPr>
            <w:r>
              <w:rPr>
                <w:rFonts w:ascii="Times New Roman" w:hAnsi="Times New Roman" w:cs="Times New Roman"/>
                <w:sz w:val="24"/>
              </w:rPr>
              <w:t>相对湿度（%）</w:t>
            </w:r>
          </w:p>
        </w:tc>
      </w:tr>
      <w:tr w14:paraId="61E6F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jc w:val="center"/>
        </w:trPr>
        <w:tc>
          <w:tcPr>
            <w:tcW w:w="2134"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A5DCCB7">
            <w:pPr>
              <w:spacing w:before="24" w:after="24" w:line="288" w:lineRule="auto"/>
              <w:jc w:val="center"/>
              <w:rPr>
                <w:rFonts w:ascii="Times New Roman" w:hAnsi="Times New Roman" w:cs="Times New Roman"/>
                <w:sz w:val="24"/>
              </w:rPr>
            </w:pPr>
            <w:r>
              <w:rPr>
                <w:rFonts w:ascii="Times New Roman" w:hAnsi="Times New Roman" w:cs="Times New Roman"/>
                <w:sz w:val="24"/>
              </w:rPr>
              <w:t>裱糊室</w:t>
            </w:r>
          </w:p>
        </w:tc>
        <w:tc>
          <w:tcPr>
            <w:tcW w:w="1537"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B835E46">
            <w:pPr>
              <w:spacing w:before="24" w:after="24" w:line="288" w:lineRule="auto"/>
              <w:jc w:val="center"/>
              <w:rPr>
                <w:rFonts w:ascii="Times New Roman" w:hAnsi="Times New Roman" w:cs="Times New Roman"/>
                <w:sz w:val="24"/>
              </w:rPr>
            </w:pPr>
            <w:r>
              <w:rPr>
                <w:rFonts w:ascii="Times New Roman" w:hAnsi="Times New Roman" w:cs="Times New Roman"/>
                <w:sz w:val="24"/>
              </w:rPr>
              <w:t>18~28</w:t>
            </w:r>
          </w:p>
        </w:tc>
        <w:tc>
          <w:tcPr>
            <w:tcW w:w="1328"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9C47C71">
            <w:pPr>
              <w:spacing w:before="24" w:after="24" w:line="288" w:lineRule="auto"/>
              <w:jc w:val="center"/>
              <w:rPr>
                <w:rFonts w:ascii="Times New Roman" w:hAnsi="Times New Roman" w:cs="Times New Roman"/>
                <w:sz w:val="24"/>
              </w:rPr>
            </w:pPr>
            <w:r>
              <w:rPr>
                <w:rFonts w:ascii="Times New Roman" w:hAnsi="Times New Roman" w:cs="Times New Roman"/>
                <w:sz w:val="24"/>
              </w:rPr>
              <w:t>50~70</w:t>
            </w:r>
          </w:p>
        </w:tc>
      </w:tr>
      <w:tr w14:paraId="51C69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jc w:val="center"/>
        </w:trPr>
        <w:tc>
          <w:tcPr>
            <w:tcW w:w="2134"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40B4C40">
            <w:pPr>
              <w:spacing w:before="24" w:after="24" w:line="288" w:lineRule="auto"/>
              <w:jc w:val="center"/>
              <w:rPr>
                <w:rFonts w:ascii="Times New Roman" w:hAnsi="Times New Roman" w:cs="Times New Roman"/>
                <w:sz w:val="24"/>
              </w:rPr>
            </w:pPr>
            <w:r>
              <w:rPr>
                <w:rFonts w:ascii="Times New Roman" w:hAnsi="Times New Roman" w:cs="Times New Roman"/>
                <w:sz w:val="24"/>
              </w:rPr>
              <w:t>保护技术试验室</w:t>
            </w:r>
          </w:p>
        </w:tc>
        <w:tc>
          <w:tcPr>
            <w:tcW w:w="1537"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07923B7">
            <w:pPr>
              <w:spacing w:before="24" w:after="24" w:line="288" w:lineRule="auto"/>
              <w:jc w:val="center"/>
              <w:rPr>
                <w:rFonts w:ascii="Times New Roman" w:hAnsi="Times New Roman" w:cs="Times New Roman"/>
                <w:sz w:val="24"/>
              </w:rPr>
            </w:pPr>
            <w:r>
              <w:rPr>
                <w:rFonts w:ascii="Times New Roman" w:hAnsi="Times New Roman" w:cs="Times New Roman"/>
                <w:sz w:val="24"/>
              </w:rPr>
              <w:t>18~28</w:t>
            </w:r>
          </w:p>
        </w:tc>
        <w:tc>
          <w:tcPr>
            <w:tcW w:w="1328"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25C160B">
            <w:pPr>
              <w:spacing w:before="24" w:after="24" w:line="288" w:lineRule="auto"/>
              <w:jc w:val="center"/>
              <w:rPr>
                <w:rFonts w:ascii="Times New Roman" w:hAnsi="Times New Roman" w:cs="Times New Roman"/>
                <w:sz w:val="24"/>
              </w:rPr>
            </w:pPr>
            <w:r>
              <w:rPr>
                <w:rFonts w:ascii="Times New Roman" w:hAnsi="Times New Roman" w:cs="Times New Roman"/>
                <w:sz w:val="24"/>
              </w:rPr>
              <w:t>40~60</w:t>
            </w:r>
          </w:p>
        </w:tc>
      </w:tr>
      <w:tr w14:paraId="280918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jc w:val="center"/>
        </w:trPr>
        <w:tc>
          <w:tcPr>
            <w:tcW w:w="2134"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B095C1F">
            <w:pPr>
              <w:spacing w:before="24" w:after="24" w:line="288" w:lineRule="auto"/>
              <w:jc w:val="center"/>
              <w:rPr>
                <w:rFonts w:ascii="Times New Roman" w:hAnsi="Times New Roman" w:cs="Times New Roman"/>
                <w:sz w:val="24"/>
              </w:rPr>
            </w:pPr>
            <w:r>
              <w:rPr>
                <w:rFonts w:ascii="Times New Roman" w:hAnsi="Times New Roman" w:cs="Times New Roman"/>
                <w:sz w:val="24"/>
              </w:rPr>
              <w:t>复印室</w:t>
            </w:r>
          </w:p>
        </w:tc>
        <w:tc>
          <w:tcPr>
            <w:tcW w:w="1537"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11FEAE0">
            <w:pPr>
              <w:spacing w:before="24" w:after="24" w:line="288" w:lineRule="auto"/>
              <w:jc w:val="center"/>
              <w:rPr>
                <w:rFonts w:ascii="Times New Roman" w:hAnsi="Times New Roman" w:cs="Times New Roman"/>
                <w:sz w:val="24"/>
              </w:rPr>
            </w:pPr>
            <w:r>
              <w:rPr>
                <w:rFonts w:ascii="Times New Roman" w:hAnsi="Times New Roman" w:cs="Times New Roman"/>
                <w:sz w:val="24"/>
              </w:rPr>
              <w:t>18~28</w:t>
            </w:r>
          </w:p>
        </w:tc>
        <w:tc>
          <w:tcPr>
            <w:tcW w:w="1328"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0827682">
            <w:pPr>
              <w:spacing w:before="24" w:after="24" w:line="288" w:lineRule="auto"/>
              <w:jc w:val="center"/>
              <w:rPr>
                <w:rFonts w:ascii="Times New Roman" w:hAnsi="Times New Roman" w:cs="Times New Roman"/>
                <w:sz w:val="24"/>
              </w:rPr>
            </w:pPr>
            <w:r>
              <w:rPr>
                <w:rFonts w:ascii="Times New Roman" w:hAnsi="Times New Roman" w:cs="Times New Roman"/>
                <w:sz w:val="24"/>
              </w:rPr>
              <w:t>50~65</w:t>
            </w:r>
          </w:p>
        </w:tc>
      </w:tr>
      <w:tr w14:paraId="017269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12" w:hRule="atLeast"/>
          <w:jc w:val="center"/>
        </w:trPr>
        <w:tc>
          <w:tcPr>
            <w:tcW w:w="2134"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0023281">
            <w:pPr>
              <w:spacing w:before="24" w:after="24" w:line="288" w:lineRule="auto"/>
              <w:jc w:val="center"/>
              <w:rPr>
                <w:rFonts w:ascii="Times New Roman" w:hAnsi="Times New Roman" w:cs="Times New Roman"/>
                <w:sz w:val="24"/>
              </w:rPr>
            </w:pPr>
            <w:r>
              <w:rPr>
                <w:rFonts w:ascii="Times New Roman" w:hAnsi="Times New Roman" w:cs="Times New Roman"/>
                <w:sz w:val="24"/>
              </w:rPr>
              <w:t>音像档案阅览室</w:t>
            </w:r>
          </w:p>
        </w:tc>
        <w:tc>
          <w:tcPr>
            <w:tcW w:w="1537"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F583A51">
            <w:pPr>
              <w:spacing w:before="24" w:after="24" w:line="288" w:lineRule="auto"/>
              <w:jc w:val="center"/>
              <w:rPr>
                <w:rFonts w:ascii="Times New Roman" w:hAnsi="Times New Roman" w:cs="Times New Roman"/>
                <w:sz w:val="24"/>
              </w:rPr>
            </w:pPr>
            <w:r>
              <w:rPr>
                <w:rFonts w:ascii="Times New Roman" w:hAnsi="Times New Roman" w:cs="Times New Roman"/>
                <w:sz w:val="24"/>
              </w:rPr>
              <w:t>20~25</w:t>
            </w:r>
          </w:p>
        </w:tc>
        <w:tc>
          <w:tcPr>
            <w:tcW w:w="1328"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6C22782">
            <w:pPr>
              <w:spacing w:before="24" w:after="24" w:line="288" w:lineRule="auto"/>
              <w:jc w:val="center"/>
              <w:rPr>
                <w:rFonts w:ascii="Times New Roman" w:hAnsi="Times New Roman" w:cs="Times New Roman"/>
                <w:sz w:val="24"/>
              </w:rPr>
            </w:pPr>
            <w:r>
              <w:rPr>
                <w:rFonts w:ascii="Times New Roman" w:hAnsi="Times New Roman" w:cs="Times New Roman"/>
                <w:sz w:val="24"/>
              </w:rPr>
              <w:t>50~60</w:t>
            </w:r>
          </w:p>
        </w:tc>
      </w:tr>
      <w:tr w14:paraId="32F0D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jc w:val="center"/>
        </w:trPr>
        <w:tc>
          <w:tcPr>
            <w:tcW w:w="2134"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D43C4E8">
            <w:pPr>
              <w:spacing w:before="24" w:after="24" w:line="288" w:lineRule="auto"/>
              <w:jc w:val="center"/>
              <w:rPr>
                <w:rFonts w:ascii="Times New Roman" w:hAnsi="Times New Roman" w:cs="Times New Roman"/>
                <w:sz w:val="24"/>
              </w:rPr>
            </w:pPr>
            <w:r>
              <w:rPr>
                <w:rFonts w:ascii="Times New Roman" w:hAnsi="Times New Roman" w:cs="Times New Roman"/>
                <w:sz w:val="24"/>
              </w:rPr>
              <w:t>阅览室</w:t>
            </w:r>
          </w:p>
        </w:tc>
        <w:tc>
          <w:tcPr>
            <w:tcW w:w="1537"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BE5BC3E">
            <w:pPr>
              <w:spacing w:before="24" w:after="24" w:line="288" w:lineRule="auto"/>
              <w:jc w:val="center"/>
              <w:rPr>
                <w:rFonts w:ascii="Times New Roman" w:hAnsi="Times New Roman" w:cs="Times New Roman"/>
                <w:sz w:val="24"/>
              </w:rPr>
            </w:pPr>
            <w:r>
              <w:rPr>
                <w:rFonts w:ascii="Times New Roman" w:hAnsi="Times New Roman" w:cs="Times New Roman"/>
                <w:sz w:val="24"/>
              </w:rPr>
              <w:t>18~28</w:t>
            </w:r>
          </w:p>
        </w:tc>
        <w:tc>
          <w:tcPr>
            <w:tcW w:w="1328"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7737233">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r>
      <w:tr w14:paraId="306E4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jc w:val="center"/>
        </w:trPr>
        <w:tc>
          <w:tcPr>
            <w:tcW w:w="2134"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D8B2147">
            <w:pPr>
              <w:spacing w:before="24" w:after="24" w:line="288" w:lineRule="auto"/>
              <w:jc w:val="center"/>
              <w:rPr>
                <w:rFonts w:ascii="Times New Roman" w:hAnsi="Times New Roman" w:cs="Times New Roman"/>
                <w:sz w:val="24"/>
              </w:rPr>
            </w:pPr>
            <w:r>
              <w:rPr>
                <w:rFonts w:ascii="Times New Roman" w:hAnsi="Times New Roman" w:cs="Times New Roman"/>
                <w:sz w:val="24"/>
              </w:rPr>
              <w:t>展览厅</w:t>
            </w:r>
          </w:p>
        </w:tc>
        <w:tc>
          <w:tcPr>
            <w:tcW w:w="1537"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D888D71">
            <w:pPr>
              <w:spacing w:before="24" w:after="24" w:line="288" w:lineRule="auto"/>
              <w:jc w:val="center"/>
              <w:rPr>
                <w:rFonts w:ascii="Times New Roman" w:hAnsi="Times New Roman" w:cs="Times New Roman"/>
                <w:sz w:val="24"/>
              </w:rPr>
            </w:pPr>
            <w:r>
              <w:rPr>
                <w:rFonts w:ascii="Times New Roman" w:hAnsi="Times New Roman" w:cs="Times New Roman"/>
                <w:sz w:val="24"/>
              </w:rPr>
              <w:t>14~28</w:t>
            </w:r>
          </w:p>
        </w:tc>
        <w:tc>
          <w:tcPr>
            <w:tcW w:w="1328"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AA6EA10">
            <w:pPr>
              <w:spacing w:before="24" w:after="24" w:line="288" w:lineRule="auto"/>
              <w:jc w:val="center"/>
              <w:rPr>
                <w:rFonts w:ascii="Times New Roman" w:hAnsi="Times New Roman" w:cs="Times New Roman"/>
                <w:sz w:val="24"/>
              </w:rPr>
            </w:pPr>
            <w:r>
              <w:rPr>
                <w:rFonts w:ascii="Times New Roman" w:hAnsi="Times New Roman" w:cs="Times New Roman"/>
                <w:sz w:val="24"/>
              </w:rPr>
              <w:t>45~60</w:t>
            </w:r>
          </w:p>
        </w:tc>
      </w:tr>
      <w:tr w14:paraId="0D4D08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jc w:val="center"/>
        </w:trPr>
        <w:tc>
          <w:tcPr>
            <w:tcW w:w="2134"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0FED3A9">
            <w:pPr>
              <w:spacing w:before="24" w:after="24" w:line="288" w:lineRule="auto"/>
              <w:jc w:val="center"/>
              <w:rPr>
                <w:rFonts w:ascii="Times New Roman" w:hAnsi="Times New Roman" w:cs="Times New Roman"/>
                <w:sz w:val="24"/>
              </w:rPr>
            </w:pPr>
            <w:r>
              <w:rPr>
                <w:rFonts w:ascii="Times New Roman" w:hAnsi="Times New Roman" w:cs="Times New Roman"/>
                <w:sz w:val="24"/>
              </w:rPr>
              <w:t>工作间（拍照、拷贝、校对、阅读）</w:t>
            </w:r>
          </w:p>
        </w:tc>
        <w:tc>
          <w:tcPr>
            <w:tcW w:w="1537"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B0AC493">
            <w:pPr>
              <w:spacing w:before="24" w:after="24" w:line="288" w:lineRule="auto"/>
              <w:jc w:val="center"/>
              <w:rPr>
                <w:rFonts w:ascii="Times New Roman" w:hAnsi="Times New Roman" w:cs="Times New Roman"/>
                <w:sz w:val="24"/>
              </w:rPr>
            </w:pPr>
            <w:r>
              <w:rPr>
                <w:rFonts w:ascii="Times New Roman" w:hAnsi="Times New Roman" w:cs="Times New Roman"/>
                <w:sz w:val="24"/>
              </w:rPr>
              <w:t>18~28</w:t>
            </w:r>
          </w:p>
        </w:tc>
        <w:tc>
          <w:tcPr>
            <w:tcW w:w="1328"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7240E80">
            <w:pPr>
              <w:spacing w:before="24" w:after="24" w:line="288" w:lineRule="auto"/>
              <w:jc w:val="center"/>
              <w:rPr>
                <w:rFonts w:ascii="Times New Roman" w:hAnsi="Times New Roman" w:cs="Times New Roman"/>
                <w:sz w:val="24"/>
              </w:rPr>
            </w:pPr>
            <w:r>
              <w:rPr>
                <w:rFonts w:ascii="Times New Roman" w:hAnsi="Times New Roman" w:cs="Times New Roman"/>
                <w:sz w:val="24"/>
              </w:rPr>
              <w:t>40~60</w:t>
            </w:r>
          </w:p>
        </w:tc>
      </w:tr>
    </w:tbl>
    <w:p w14:paraId="5F58C66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5.9中小学建筑主要房间人员所需最小新风量</w:t>
      </w:r>
    </w:p>
    <w:tbl>
      <w:tblPr>
        <w:tblStyle w:val="31"/>
        <w:tblW w:w="510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964"/>
        <w:gridCol w:w="5301"/>
      </w:tblGrid>
      <w:tr w14:paraId="338DA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2139"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BBFE38F">
            <w:pPr>
              <w:spacing w:before="24" w:after="24" w:line="288" w:lineRule="auto"/>
              <w:jc w:val="center"/>
              <w:rPr>
                <w:rFonts w:ascii="Times New Roman" w:hAnsi="Times New Roman" w:cs="Times New Roman"/>
                <w:sz w:val="24"/>
              </w:rPr>
            </w:pPr>
            <w:r>
              <w:rPr>
                <w:rFonts w:ascii="Times New Roman" w:hAnsi="Times New Roman" w:cs="Times New Roman"/>
                <w:sz w:val="24"/>
              </w:rPr>
              <w:t>房间名称</w:t>
            </w:r>
          </w:p>
        </w:tc>
        <w:tc>
          <w:tcPr>
            <w:tcW w:w="2860"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B89E11B">
            <w:pPr>
              <w:spacing w:before="24" w:after="24" w:line="288" w:lineRule="auto"/>
              <w:jc w:val="center"/>
              <w:rPr>
                <w:rFonts w:ascii="Times New Roman" w:hAnsi="Times New Roman" w:cs="Times New Roman"/>
                <w:sz w:val="24"/>
              </w:rPr>
            </w:pPr>
            <w:r>
              <w:rPr>
                <w:rFonts w:ascii="Times New Roman" w:hAnsi="Times New Roman" w:cs="Times New Roman"/>
                <w:sz w:val="24"/>
              </w:rPr>
              <w:t>新风量[m³/（h·人）]</w:t>
            </w:r>
          </w:p>
        </w:tc>
      </w:tr>
      <w:tr w14:paraId="34D9F6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2139"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B88CD45">
            <w:pPr>
              <w:spacing w:before="24" w:after="24" w:line="288" w:lineRule="auto"/>
              <w:jc w:val="center"/>
              <w:rPr>
                <w:rFonts w:ascii="Times New Roman" w:hAnsi="Times New Roman" w:cs="Times New Roman"/>
                <w:sz w:val="24"/>
              </w:rPr>
            </w:pPr>
            <w:r>
              <w:rPr>
                <w:rFonts w:ascii="Times New Roman" w:hAnsi="Times New Roman" w:cs="Times New Roman"/>
                <w:sz w:val="24"/>
              </w:rPr>
              <w:t>普通教室</w:t>
            </w:r>
          </w:p>
        </w:tc>
        <w:tc>
          <w:tcPr>
            <w:tcW w:w="2860"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A37AC4E">
            <w:pPr>
              <w:spacing w:before="24" w:after="24" w:line="288" w:lineRule="auto"/>
              <w:jc w:val="center"/>
              <w:rPr>
                <w:rFonts w:ascii="Times New Roman" w:hAnsi="Times New Roman" w:cs="Times New Roman"/>
                <w:sz w:val="24"/>
              </w:rPr>
            </w:pPr>
            <w:r>
              <w:rPr>
                <w:rFonts w:ascii="Times New Roman" w:hAnsi="Times New Roman" w:cs="Times New Roman"/>
                <w:sz w:val="24"/>
              </w:rPr>
              <w:t>19</w:t>
            </w:r>
          </w:p>
        </w:tc>
      </w:tr>
      <w:tr w14:paraId="423D4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2139"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8DE7888">
            <w:pPr>
              <w:spacing w:before="24" w:after="24" w:line="288" w:lineRule="auto"/>
              <w:jc w:val="center"/>
              <w:rPr>
                <w:rFonts w:ascii="Times New Roman" w:hAnsi="Times New Roman" w:cs="Times New Roman"/>
                <w:sz w:val="24"/>
              </w:rPr>
            </w:pPr>
            <w:r>
              <w:rPr>
                <w:rFonts w:ascii="Times New Roman" w:hAnsi="Times New Roman" w:cs="Times New Roman"/>
                <w:sz w:val="24"/>
              </w:rPr>
              <w:t>化学、物理、生物实验室</w:t>
            </w:r>
          </w:p>
        </w:tc>
        <w:tc>
          <w:tcPr>
            <w:tcW w:w="2860"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9C2D39E">
            <w:pPr>
              <w:spacing w:before="24" w:after="24" w:line="288" w:lineRule="auto"/>
              <w:jc w:val="center"/>
              <w:rPr>
                <w:rFonts w:ascii="Times New Roman" w:hAnsi="Times New Roman" w:cs="Times New Roman"/>
                <w:sz w:val="24"/>
              </w:rPr>
            </w:pPr>
            <w:r>
              <w:rPr>
                <w:rFonts w:ascii="Times New Roman" w:hAnsi="Times New Roman" w:cs="Times New Roman"/>
                <w:sz w:val="24"/>
              </w:rPr>
              <w:t>20</w:t>
            </w:r>
          </w:p>
        </w:tc>
      </w:tr>
      <w:tr w14:paraId="6A2BB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2139"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422FDDE">
            <w:pPr>
              <w:spacing w:before="24" w:after="24" w:line="288" w:lineRule="auto"/>
              <w:jc w:val="center"/>
              <w:rPr>
                <w:rFonts w:ascii="Times New Roman" w:hAnsi="Times New Roman" w:cs="Times New Roman"/>
                <w:sz w:val="24"/>
              </w:rPr>
            </w:pPr>
            <w:r>
              <w:rPr>
                <w:rFonts w:ascii="Times New Roman" w:hAnsi="Times New Roman" w:cs="Times New Roman"/>
                <w:sz w:val="24"/>
              </w:rPr>
              <w:t>语言、计算机教室、艺术类教室</w:t>
            </w:r>
          </w:p>
        </w:tc>
        <w:tc>
          <w:tcPr>
            <w:tcW w:w="2860"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D7204B8">
            <w:pPr>
              <w:spacing w:before="24" w:after="24" w:line="288" w:lineRule="auto"/>
              <w:jc w:val="center"/>
              <w:rPr>
                <w:rFonts w:ascii="Times New Roman" w:hAnsi="Times New Roman" w:cs="Times New Roman"/>
                <w:sz w:val="24"/>
              </w:rPr>
            </w:pPr>
            <w:r>
              <w:rPr>
                <w:rFonts w:ascii="Times New Roman" w:hAnsi="Times New Roman" w:cs="Times New Roman"/>
                <w:sz w:val="24"/>
              </w:rPr>
              <w:t>20</w:t>
            </w:r>
          </w:p>
        </w:tc>
      </w:tr>
      <w:tr w14:paraId="6C509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2139"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AF96911">
            <w:pPr>
              <w:spacing w:before="24" w:after="24" w:line="288" w:lineRule="auto"/>
              <w:jc w:val="center"/>
              <w:rPr>
                <w:rFonts w:ascii="Times New Roman" w:hAnsi="Times New Roman" w:cs="Times New Roman"/>
                <w:sz w:val="24"/>
              </w:rPr>
            </w:pPr>
            <w:r>
              <w:rPr>
                <w:rFonts w:ascii="Times New Roman" w:hAnsi="Times New Roman" w:cs="Times New Roman"/>
                <w:sz w:val="24"/>
              </w:rPr>
              <w:t>合班教室</w:t>
            </w:r>
          </w:p>
        </w:tc>
        <w:tc>
          <w:tcPr>
            <w:tcW w:w="2860"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D40718A">
            <w:pPr>
              <w:spacing w:before="24" w:after="24" w:line="288" w:lineRule="auto"/>
              <w:jc w:val="center"/>
              <w:rPr>
                <w:rFonts w:ascii="Times New Roman" w:hAnsi="Times New Roman" w:cs="Times New Roman"/>
                <w:sz w:val="24"/>
              </w:rPr>
            </w:pPr>
            <w:r>
              <w:rPr>
                <w:rFonts w:ascii="Times New Roman" w:hAnsi="Times New Roman" w:cs="Times New Roman"/>
                <w:sz w:val="24"/>
              </w:rPr>
              <w:t>16</w:t>
            </w:r>
          </w:p>
        </w:tc>
      </w:tr>
      <w:tr w14:paraId="0ED93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2139"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A9B0430">
            <w:pPr>
              <w:spacing w:before="24" w:after="24" w:line="288" w:lineRule="auto"/>
              <w:jc w:val="center"/>
              <w:rPr>
                <w:rFonts w:ascii="Times New Roman" w:hAnsi="Times New Roman" w:cs="Times New Roman"/>
                <w:sz w:val="24"/>
              </w:rPr>
            </w:pPr>
            <w:r>
              <w:rPr>
                <w:rFonts w:ascii="Times New Roman" w:hAnsi="Times New Roman" w:cs="Times New Roman"/>
                <w:sz w:val="24"/>
              </w:rPr>
              <w:t>保健室</w:t>
            </w:r>
          </w:p>
        </w:tc>
        <w:tc>
          <w:tcPr>
            <w:tcW w:w="2860"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7FC8DD0">
            <w:pPr>
              <w:spacing w:before="24" w:after="24" w:line="288" w:lineRule="auto"/>
              <w:jc w:val="center"/>
              <w:rPr>
                <w:rFonts w:ascii="Times New Roman" w:hAnsi="Times New Roman" w:cs="Times New Roman"/>
                <w:sz w:val="24"/>
              </w:rPr>
            </w:pPr>
            <w:r>
              <w:rPr>
                <w:rFonts w:ascii="Times New Roman" w:hAnsi="Times New Roman" w:cs="Times New Roman"/>
                <w:sz w:val="24"/>
              </w:rPr>
              <w:t>38</w:t>
            </w:r>
          </w:p>
        </w:tc>
      </w:tr>
      <w:tr w14:paraId="46F0FE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2139"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F612569">
            <w:pPr>
              <w:spacing w:before="24" w:after="24" w:line="288" w:lineRule="auto"/>
              <w:jc w:val="center"/>
              <w:rPr>
                <w:rFonts w:ascii="Times New Roman" w:hAnsi="Times New Roman" w:cs="Times New Roman"/>
                <w:sz w:val="24"/>
              </w:rPr>
            </w:pPr>
            <w:r>
              <w:rPr>
                <w:rFonts w:ascii="Times New Roman" w:hAnsi="Times New Roman" w:cs="Times New Roman"/>
                <w:sz w:val="24"/>
              </w:rPr>
              <w:t>学生宿舍</w:t>
            </w:r>
          </w:p>
        </w:tc>
        <w:tc>
          <w:tcPr>
            <w:tcW w:w="2860"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CE4F754">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bl>
    <w:p w14:paraId="2656A19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5.10中小学各主要房间的最小换气次数标准</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2"/>
        <w:gridCol w:w="3092"/>
        <w:gridCol w:w="3102"/>
      </w:tblGrid>
      <w:tr w14:paraId="1E4FD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0" w:type="dxa"/>
            <w:gridSpan w:val="2"/>
            <w:tcBorders>
              <w:top w:val="single" w:color="auto" w:sz="4" w:space="0"/>
              <w:left w:val="single" w:color="auto" w:sz="4" w:space="0"/>
              <w:bottom w:val="single" w:color="auto" w:sz="4" w:space="0"/>
              <w:right w:val="single" w:color="auto" w:sz="4" w:space="0"/>
            </w:tcBorders>
            <w:vAlign w:val="center"/>
          </w:tcPr>
          <w:p w14:paraId="6481C424">
            <w:pPr>
              <w:spacing w:before="24" w:after="24" w:line="288" w:lineRule="auto"/>
              <w:jc w:val="center"/>
              <w:rPr>
                <w:rFonts w:ascii="Times New Roman" w:hAnsi="Times New Roman" w:cs="Times New Roman"/>
                <w:sz w:val="24"/>
              </w:rPr>
            </w:pPr>
            <w:r>
              <w:rPr>
                <w:rFonts w:ascii="Times New Roman" w:hAnsi="Times New Roman" w:cs="Times New Roman"/>
                <w:sz w:val="24"/>
              </w:rPr>
              <w:t>房间名称</w:t>
            </w:r>
          </w:p>
        </w:tc>
        <w:tc>
          <w:tcPr>
            <w:tcW w:w="3190" w:type="dxa"/>
            <w:tcBorders>
              <w:top w:val="single" w:color="auto" w:sz="4" w:space="0"/>
              <w:left w:val="single" w:color="auto" w:sz="4" w:space="0"/>
              <w:bottom w:val="single" w:color="auto" w:sz="4" w:space="0"/>
              <w:right w:val="single" w:color="auto" w:sz="4" w:space="0"/>
            </w:tcBorders>
            <w:vAlign w:val="center"/>
          </w:tcPr>
          <w:p w14:paraId="614E924F">
            <w:pPr>
              <w:spacing w:before="24" w:after="24" w:line="288" w:lineRule="auto"/>
              <w:jc w:val="center"/>
              <w:rPr>
                <w:rFonts w:ascii="Times New Roman" w:hAnsi="Times New Roman" w:cs="Times New Roman"/>
                <w:sz w:val="24"/>
              </w:rPr>
            </w:pPr>
            <w:r>
              <w:rPr>
                <w:rFonts w:ascii="Times New Roman" w:hAnsi="Times New Roman" w:cs="Times New Roman"/>
                <w:sz w:val="24"/>
              </w:rPr>
              <w:t>换气次数（次/h）</w:t>
            </w:r>
          </w:p>
        </w:tc>
      </w:tr>
      <w:tr w14:paraId="557D4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vMerge w:val="restart"/>
            <w:tcBorders>
              <w:top w:val="nil"/>
              <w:left w:val="single" w:color="auto" w:sz="4" w:space="0"/>
              <w:bottom w:val="single" w:color="auto" w:sz="4" w:space="0"/>
              <w:right w:val="single" w:color="auto" w:sz="4" w:space="0"/>
            </w:tcBorders>
            <w:vAlign w:val="center"/>
          </w:tcPr>
          <w:p w14:paraId="78D89692">
            <w:pPr>
              <w:spacing w:before="24" w:after="24" w:line="288" w:lineRule="auto"/>
              <w:jc w:val="center"/>
              <w:rPr>
                <w:rFonts w:ascii="Times New Roman" w:hAnsi="Times New Roman" w:cs="Times New Roman"/>
                <w:sz w:val="24"/>
              </w:rPr>
            </w:pPr>
            <w:r>
              <w:rPr>
                <w:rFonts w:ascii="Times New Roman" w:hAnsi="Times New Roman" w:cs="Times New Roman"/>
                <w:sz w:val="24"/>
              </w:rPr>
              <w:t>普通教室</w:t>
            </w:r>
          </w:p>
        </w:tc>
        <w:tc>
          <w:tcPr>
            <w:tcW w:w="3190" w:type="dxa"/>
            <w:tcBorders>
              <w:top w:val="single" w:color="auto" w:sz="4" w:space="0"/>
              <w:left w:val="single" w:color="auto" w:sz="4" w:space="0"/>
              <w:bottom w:val="single" w:color="auto" w:sz="4" w:space="0"/>
              <w:right w:val="single" w:color="auto" w:sz="4" w:space="0"/>
            </w:tcBorders>
            <w:vAlign w:val="center"/>
          </w:tcPr>
          <w:p w14:paraId="28155727">
            <w:pPr>
              <w:spacing w:before="24" w:after="24" w:line="288" w:lineRule="auto"/>
              <w:jc w:val="center"/>
              <w:rPr>
                <w:rFonts w:ascii="Times New Roman" w:hAnsi="Times New Roman" w:cs="Times New Roman"/>
                <w:sz w:val="24"/>
              </w:rPr>
            </w:pPr>
            <w:r>
              <w:rPr>
                <w:rFonts w:ascii="Times New Roman" w:hAnsi="Times New Roman" w:cs="Times New Roman"/>
                <w:sz w:val="24"/>
              </w:rPr>
              <w:t>小学</w:t>
            </w:r>
          </w:p>
        </w:tc>
        <w:tc>
          <w:tcPr>
            <w:tcW w:w="3190" w:type="dxa"/>
            <w:tcBorders>
              <w:top w:val="single" w:color="auto" w:sz="4" w:space="0"/>
              <w:left w:val="single" w:color="auto" w:sz="4" w:space="0"/>
              <w:bottom w:val="single" w:color="auto" w:sz="4" w:space="0"/>
              <w:right w:val="single" w:color="auto" w:sz="4" w:space="0"/>
            </w:tcBorders>
            <w:vAlign w:val="center"/>
          </w:tcPr>
          <w:p w14:paraId="55BD2D3D">
            <w:pPr>
              <w:spacing w:before="24" w:after="24" w:line="288" w:lineRule="auto"/>
              <w:jc w:val="center"/>
              <w:rPr>
                <w:rFonts w:ascii="Times New Roman" w:hAnsi="Times New Roman" w:cs="Times New Roman"/>
                <w:sz w:val="24"/>
              </w:rPr>
            </w:pPr>
            <w:r>
              <w:rPr>
                <w:rFonts w:ascii="Times New Roman" w:hAnsi="Times New Roman" w:cs="Times New Roman"/>
                <w:sz w:val="24"/>
              </w:rPr>
              <w:t>2.5</w:t>
            </w:r>
          </w:p>
        </w:tc>
      </w:tr>
      <w:tr w14:paraId="3226E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vMerge w:val="continue"/>
            <w:tcBorders>
              <w:top w:val="nil"/>
              <w:left w:val="single" w:color="auto" w:sz="4" w:space="0"/>
              <w:bottom w:val="single" w:color="auto" w:sz="4" w:space="0"/>
              <w:right w:val="single" w:color="auto" w:sz="4" w:space="0"/>
            </w:tcBorders>
            <w:vAlign w:val="center"/>
          </w:tcPr>
          <w:p w14:paraId="432F1BCE">
            <w:pPr>
              <w:spacing w:before="24" w:after="24" w:line="288" w:lineRule="auto"/>
              <w:jc w:val="center"/>
              <w:rPr>
                <w:rFonts w:ascii="Times New Roman" w:hAnsi="Times New Roman" w:cs="Times New Roman"/>
                <w:sz w:val="24"/>
              </w:rPr>
            </w:pPr>
          </w:p>
        </w:tc>
        <w:tc>
          <w:tcPr>
            <w:tcW w:w="3190" w:type="dxa"/>
            <w:tcBorders>
              <w:top w:val="single" w:color="auto" w:sz="4" w:space="0"/>
              <w:left w:val="single" w:color="auto" w:sz="4" w:space="0"/>
              <w:bottom w:val="single" w:color="auto" w:sz="4" w:space="0"/>
              <w:right w:val="single" w:color="auto" w:sz="4" w:space="0"/>
            </w:tcBorders>
            <w:vAlign w:val="center"/>
          </w:tcPr>
          <w:p w14:paraId="014A76AC">
            <w:pPr>
              <w:spacing w:before="24" w:after="24" w:line="288" w:lineRule="auto"/>
              <w:jc w:val="center"/>
              <w:rPr>
                <w:rFonts w:ascii="Times New Roman" w:hAnsi="Times New Roman" w:cs="Times New Roman"/>
                <w:sz w:val="24"/>
              </w:rPr>
            </w:pPr>
            <w:r>
              <w:rPr>
                <w:rFonts w:ascii="Times New Roman" w:hAnsi="Times New Roman" w:cs="Times New Roman"/>
                <w:sz w:val="24"/>
              </w:rPr>
              <w:t>初中</w:t>
            </w:r>
          </w:p>
        </w:tc>
        <w:tc>
          <w:tcPr>
            <w:tcW w:w="3190" w:type="dxa"/>
            <w:tcBorders>
              <w:top w:val="single" w:color="auto" w:sz="4" w:space="0"/>
              <w:left w:val="single" w:color="auto" w:sz="4" w:space="0"/>
              <w:bottom w:val="single" w:color="auto" w:sz="4" w:space="0"/>
              <w:right w:val="single" w:color="auto" w:sz="4" w:space="0"/>
            </w:tcBorders>
            <w:vAlign w:val="center"/>
          </w:tcPr>
          <w:p w14:paraId="20B746E1">
            <w:pPr>
              <w:spacing w:before="24" w:after="24" w:line="288" w:lineRule="auto"/>
              <w:jc w:val="center"/>
              <w:rPr>
                <w:rFonts w:ascii="Times New Roman" w:hAnsi="Times New Roman" w:cs="Times New Roman"/>
                <w:sz w:val="24"/>
              </w:rPr>
            </w:pPr>
            <w:r>
              <w:rPr>
                <w:rFonts w:ascii="Times New Roman" w:hAnsi="Times New Roman" w:cs="Times New Roman"/>
                <w:sz w:val="24"/>
              </w:rPr>
              <w:t>3.5</w:t>
            </w:r>
          </w:p>
        </w:tc>
      </w:tr>
      <w:tr w14:paraId="4A138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vMerge w:val="continue"/>
            <w:tcBorders>
              <w:top w:val="nil"/>
              <w:left w:val="single" w:color="auto" w:sz="4" w:space="0"/>
              <w:bottom w:val="single" w:color="auto" w:sz="4" w:space="0"/>
              <w:right w:val="single" w:color="auto" w:sz="4" w:space="0"/>
            </w:tcBorders>
            <w:vAlign w:val="center"/>
          </w:tcPr>
          <w:p w14:paraId="198CF775">
            <w:pPr>
              <w:spacing w:before="24" w:after="24" w:line="288" w:lineRule="auto"/>
              <w:jc w:val="center"/>
              <w:rPr>
                <w:rFonts w:ascii="Times New Roman" w:hAnsi="Times New Roman" w:cs="Times New Roman"/>
                <w:sz w:val="24"/>
              </w:rPr>
            </w:pPr>
          </w:p>
        </w:tc>
        <w:tc>
          <w:tcPr>
            <w:tcW w:w="3190" w:type="dxa"/>
            <w:tcBorders>
              <w:top w:val="single" w:color="auto" w:sz="4" w:space="0"/>
              <w:left w:val="single" w:color="auto" w:sz="4" w:space="0"/>
              <w:bottom w:val="single" w:color="auto" w:sz="4" w:space="0"/>
              <w:right w:val="single" w:color="auto" w:sz="4" w:space="0"/>
            </w:tcBorders>
            <w:vAlign w:val="center"/>
          </w:tcPr>
          <w:p w14:paraId="4FFDF152">
            <w:pPr>
              <w:spacing w:before="24" w:after="24" w:line="288" w:lineRule="auto"/>
              <w:jc w:val="center"/>
              <w:rPr>
                <w:rFonts w:ascii="Times New Roman" w:hAnsi="Times New Roman" w:cs="Times New Roman"/>
                <w:sz w:val="24"/>
              </w:rPr>
            </w:pPr>
            <w:r>
              <w:rPr>
                <w:rFonts w:ascii="Times New Roman" w:hAnsi="Times New Roman" w:cs="Times New Roman"/>
                <w:sz w:val="24"/>
              </w:rPr>
              <w:t>高中</w:t>
            </w:r>
          </w:p>
        </w:tc>
        <w:tc>
          <w:tcPr>
            <w:tcW w:w="3190" w:type="dxa"/>
            <w:tcBorders>
              <w:top w:val="single" w:color="auto" w:sz="4" w:space="0"/>
              <w:left w:val="single" w:color="auto" w:sz="4" w:space="0"/>
              <w:bottom w:val="single" w:color="auto" w:sz="4" w:space="0"/>
              <w:right w:val="single" w:color="auto" w:sz="4" w:space="0"/>
            </w:tcBorders>
            <w:vAlign w:val="center"/>
          </w:tcPr>
          <w:p w14:paraId="5C1FC69E">
            <w:pPr>
              <w:spacing w:before="24" w:after="24" w:line="288" w:lineRule="auto"/>
              <w:jc w:val="center"/>
              <w:rPr>
                <w:rFonts w:ascii="Times New Roman" w:hAnsi="Times New Roman" w:cs="Times New Roman"/>
                <w:sz w:val="24"/>
              </w:rPr>
            </w:pPr>
            <w:r>
              <w:rPr>
                <w:rFonts w:ascii="Times New Roman" w:hAnsi="Times New Roman" w:cs="Times New Roman"/>
                <w:sz w:val="24"/>
              </w:rPr>
              <w:t>4.5</w:t>
            </w:r>
          </w:p>
        </w:tc>
      </w:tr>
      <w:tr w14:paraId="6DF15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0" w:type="dxa"/>
            <w:gridSpan w:val="2"/>
            <w:tcBorders>
              <w:top w:val="single" w:color="auto" w:sz="4" w:space="0"/>
              <w:left w:val="single" w:color="auto" w:sz="4" w:space="0"/>
              <w:bottom w:val="single" w:color="auto" w:sz="4" w:space="0"/>
              <w:right w:val="single" w:color="auto" w:sz="4" w:space="0"/>
            </w:tcBorders>
            <w:vAlign w:val="center"/>
          </w:tcPr>
          <w:p w14:paraId="6AF7EF20">
            <w:pPr>
              <w:spacing w:before="24" w:after="24" w:line="288" w:lineRule="auto"/>
              <w:jc w:val="center"/>
              <w:rPr>
                <w:rFonts w:ascii="Times New Roman" w:hAnsi="Times New Roman" w:cs="Times New Roman"/>
                <w:sz w:val="24"/>
              </w:rPr>
            </w:pPr>
            <w:r>
              <w:rPr>
                <w:rFonts w:ascii="Times New Roman" w:hAnsi="Times New Roman" w:cs="Times New Roman"/>
                <w:sz w:val="24"/>
              </w:rPr>
              <w:t>实验室</w:t>
            </w:r>
          </w:p>
        </w:tc>
        <w:tc>
          <w:tcPr>
            <w:tcW w:w="3190" w:type="dxa"/>
            <w:tcBorders>
              <w:top w:val="single" w:color="auto" w:sz="4" w:space="0"/>
              <w:left w:val="single" w:color="auto" w:sz="4" w:space="0"/>
              <w:bottom w:val="single" w:color="auto" w:sz="4" w:space="0"/>
              <w:right w:val="single" w:color="auto" w:sz="4" w:space="0"/>
            </w:tcBorders>
            <w:vAlign w:val="center"/>
          </w:tcPr>
          <w:p w14:paraId="449D9F34">
            <w:pPr>
              <w:spacing w:before="24" w:after="24" w:line="288" w:lineRule="auto"/>
              <w:jc w:val="center"/>
              <w:rPr>
                <w:rFonts w:ascii="Times New Roman" w:hAnsi="Times New Roman" w:cs="Times New Roman"/>
                <w:sz w:val="24"/>
              </w:rPr>
            </w:pPr>
            <w:r>
              <w:rPr>
                <w:rFonts w:ascii="Times New Roman" w:hAnsi="Times New Roman" w:cs="Times New Roman"/>
                <w:sz w:val="24"/>
              </w:rPr>
              <w:t>3.0</w:t>
            </w:r>
          </w:p>
        </w:tc>
      </w:tr>
      <w:tr w14:paraId="55943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0" w:type="dxa"/>
            <w:gridSpan w:val="2"/>
            <w:tcBorders>
              <w:top w:val="single" w:color="auto" w:sz="4" w:space="0"/>
              <w:left w:val="single" w:color="auto" w:sz="4" w:space="0"/>
              <w:bottom w:val="single" w:color="auto" w:sz="4" w:space="0"/>
              <w:right w:val="single" w:color="auto" w:sz="4" w:space="0"/>
            </w:tcBorders>
            <w:vAlign w:val="center"/>
          </w:tcPr>
          <w:p w14:paraId="5F64D6C7">
            <w:pPr>
              <w:spacing w:before="24" w:after="24" w:line="288" w:lineRule="auto"/>
              <w:jc w:val="center"/>
              <w:rPr>
                <w:rFonts w:ascii="Times New Roman" w:hAnsi="Times New Roman" w:cs="Times New Roman"/>
                <w:sz w:val="24"/>
              </w:rPr>
            </w:pPr>
            <w:r>
              <w:rPr>
                <w:rFonts w:ascii="Times New Roman" w:hAnsi="Times New Roman" w:cs="Times New Roman"/>
                <w:sz w:val="24"/>
              </w:rPr>
              <w:t>风雨操场</w:t>
            </w:r>
          </w:p>
        </w:tc>
        <w:tc>
          <w:tcPr>
            <w:tcW w:w="3190" w:type="dxa"/>
            <w:tcBorders>
              <w:top w:val="single" w:color="auto" w:sz="4" w:space="0"/>
              <w:left w:val="single" w:color="auto" w:sz="4" w:space="0"/>
              <w:bottom w:val="single" w:color="auto" w:sz="4" w:space="0"/>
              <w:right w:val="single" w:color="auto" w:sz="4" w:space="0"/>
            </w:tcBorders>
            <w:vAlign w:val="center"/>
          </w:tcPr>
          <w:p w14:paraId="3A9086E8">
            <w:pPr>
              <w:spacing w:before="24" w:after="24" w:line="288" w:lineRule="auto"/>
              <w:jc w:val="center"/>
              <w:rPr>
                <w:rFonts w:ascii="Times New Roman" w:hAnsi="Times New Roman" w:cs="Times New Roman"/>
                <w:sz w:val="24"/>
              </w:rPr>
            </w:pPr>
            <w:r>
              <w:rPr>
                <w:rFonts w:ascii="Times New Roman" w:hAnsi="Times New Roman" w:cs="Times New Roman"/>
                <w:sz w:val="24"/>
              </w:rPr>
              <w:t>3.0</w:t>
            </w:r>
          </w:p>
        </w:tc>
      </w:tr>
      <w:tr w14:paraId="0171B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0" w:type="dxa"/>
            <w:gridSpan w:val="2"/>
            <w:tcBorders>
              <w:top w:val="single" w:color="auto" w:sz="4" w:space="0"/>
              <w:left w:val="single" w:color="auto" w:sz="4" w:space="0"/>
              <w:bottom w:val="single" w:color="auto" w:sz="4" w:space="0"/>
              <w:right w:val="single" w:color="auto" w:sz="4" w:space="0"/>
            </w:tcBorders>
            <w:vAlign w:val="center"/>
          </w:tcPr>
          <w:p w14:paraId="328FD196">
            <w:pPr>
              <w:spacing w:before="24" w:after="24" w:line="288" w:lineRule="auto"/>
              <w:jc w:val="center"/>
              <w:rPr>
                <w:rFonts w:ascii="Times New Roman" w:hAnsi="Times New Roman" w:cs="Times New Roman"/>
                <w:sz w:val="24"/>
              </w:rPr>
            </w:pPr>
            <w:r>
              <w:rPr>
                <w:rFonts w:ascii="Times New Roman" w:hAnsi="Times New Roman" w:cs="Times New Roman"/>
                <w:sz w:val="24"/>
              </w:rPr>
              <w:t>厕所</w:t>
            </w:r>
          </w:p>
        </w:tc>
        <w:tc>
          <w:tcPr>
            <w:tcW w:w="3190" w:type="dxa"/>
            <w:tcBorders>
              <w:top w:val="single" w:color="auto" w:sz="4" w:space="0"/>
              <w:left w:val="single" w:color="auto" w:sz="4" w:space="0"/>
              <w:bottom w:val="single" w:color="auto" w:sz="4" w:space="0"/>
              <w:right w:val="single" w:color="auto" w:sz="4" w:space="0"/>
            </w:tcBorders>
            <w:vAlign w:val="center"/>
          </w:tcPr>
          <w:p w14:paraId="52682C20">
            <w:pPr>
              <w:spacing w:before="24" w:after="24" w:line="288" w:lineRule="auto"/>
              <w:jc w:val="center"/>
              <w:rPr>
                <w:rFonts w:ascii="Times New Roman" w:hAnsi="Times New Roman" w:cs="Times New Roman"/>
                <w:sz w:val="24"/>
              </w:rPr>
            </w:pPr>
            <w:r>
              <w:rPr>
                <w:rFonts w:ascii="Times New Roman" w:hAnsi="Times New Roman" w:cs="Times New Roman"/>
                <w:sz w:val="24"/>
              </w:rPr>
              <w:t>10.0</w:t>
            </w:r>
          </w:p>
        </w:tc>
      </w:tr>
      <w:tr w14:paraId="530CC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0" w:type="dxa"/>
            <w:gridSpan w:val="2"/>
            <w:tcBorders>
              <w:top w:val="single" w:color="auto" w:sz="4" w:space="0"/>
              <w:left w:val="single" w:color="auto" w:sz="4" w:space="0"/>
              <w:bottom w:val="single" w:color="auto" w:sz="4" w:space="0"/>
              <w:right w:val="single" w:color="auto" w:sz="4" w:space="0"/>
            </w:tcBorders>
            <w:vAlign w:val="center"/>
          </w:tcPr>
          <w:p w14:paraId="017F8A8F">
            <w:pPr>
              <w:spacing w:before="24" w:after="24" w:line="288" w:lineRule="auto"/>
              <w:jc w:val="center"/>
              <w:rPr>
                <w:rFonts w:ascii="Times New Roman" w:hAnsi="Times New Roman" w:cs="Times New Roman"/>
                <w:sz w:val="24"/>
              </w:rPr>
            </w:pPr>
            <w:r>
              <w:rPr>
                <w:rFonts w:ascii="Times New Roman" w:hAnsi="Times New Roman" w:cs="Times New Roman"/>
                <w:sz w:val="24"/>
              </w:rPr>
              <w:t>保健室</w:t>
            </w:r>
          </w:p>
        </w:tc>
        <w:tc>
          <w:tcPr>
            <w:tcW w:w="3190" w:type="dxa"/>
            <w:tcBorders>
              <w:top w:val="single" w:color="auto" w:sz="4" w:space="0"/>
              <w:left w:val="single" w:color="auto" w:sz="4" w:space="0"/>
              <w:bottom w:val="single" w:color="auto" w:sz="4" w:space="0"/>
              <w:right w:val="single" w:color="auto" w:sz="4" w:space="0"/>
            </w:tcBorders>
            <w:vAlign w:val="center"/>
          </w:tcPr>
          <w:p w14:paraId="14F340E2">
            <w:pPr>
              <w:spacing w:before="24" w:after="24" w:line="288" w:lineRule="auto"/>
              <w:jc w:val="center"/>
              <w:rPr>
                <w:rFonts w:ascii="Times New Roman" w:hAnsi="Times New Roman" w:cs="Times New Roman"/>
                <w:sz w:val="24"/>
              </w:rPr>
            </w:pPr>
            <w:r>
              <w:rPr>
                <w:rFonts w:ascii="Times New Roman" w:hAnsi="Times New Roman" w:cs="Times New Roman"/>
                <w:sz w:val="24"/>
              </w:rPr>
              <w:t>2.0</w:t>
            </w:r>
          </w:p>
        </w:tc>
      </w:tr>
      <w:tr w14:paraId="11A24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0" w:type="dxa"/>
            <w:gridSpan w:val="2"/>
            <w:tcBorders>
              <w:top w:val="single" w:color="auto" w:sz="4" w:space="0"/>
              <w:left w:val="single" w:color="auto" w:sz="4" w:space="0"/>
              <w:bottom w:val="single" w:color="auto" w:sz="4" w:space="0"/>
              <w:right w:val="single" w:color="auto" w:sz="4" w:space="0"/>
            </w:tcBorders>
            <w:vAlign w:val="center"/>
          </w:tcPr>
          <w:p w14:paraId="2D4E0B52">
            <w:pPr>
              <w:spacing w:before="24" w:after="24" w:line="288" w:lineRule="auto"/>
              <w:jc w:val="center"/>
              <w:rPr>
                <w:rFonts w:ascii="Times New Roman" w:hAnsi="Times New Roman" w:cs="Times New Roman"/>
                <w:sz w:val="24"/>
              </w:rPr>
            </w:pPr>
            <w:r>
              <w:rPr>
                <w:rFonts w:ascii="Times New Roman" w:hAnsi="Times New Roman" w:cs="Times New Roman"/>
                <w:sz w:val="24"/>
              </w:rPr>
              <w:t>学生宿舍</w:t>
            </w:r>
          </w:p>
        </w:tc>
        <w:tc>
          <w:tcPr>
            <w:tcW w:w="3190" w:type="dxa"/>
            <w:tcBorders>
              <w:top w:val="single" w:color="auto" w:sz="4" w:space="0"/>
              <w:left w:val="single" w:color="auto" w:sz="4" w:space="0"/>
              <w:bottom w:val="single" w:color="auto" w:sz="4" w:space="0"/>
              <w:right w:val="single" w:color="auto" w:sz="4" w:space="0"/>
            </w:tcBorders>
            <w:vAlign w:val="center"/>
          </w:tcPr>
          <w:p w14:paraId="261513B8">
            <w:pPr>
              <w:spacing w:before="24" w:after="24" w:line="288" w:lineRule="auto"/>
              <w:jc w:val="center"/>
              <w:rPr>
                <w:rFonts w:ascii="Times New Roman" w:hAnsi="Times New Roman" w:cs="Times New Roman"/>
                <w:sz w:val="24"/>
              </w:rPr>
            </w:pPr>
            <w:r>
              <w:rPr>
                <w:rFonts w:ascii="Times New Roman" w:hAnsi="Times New Roman" w:cs="Times New Roman"/>
                <w:sz w:val="24"/>
              </w:rPr>
              <w:t>2.5</w:t>
            </w:r>
          </w:p>
        </w:tc>
      </w:tr>
    </w:tbl>
    <w:p w14:paraId="19604A0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5.11风道系统单位风量耗功率</w:t>
      </w:r>
    </w:p>
    <w:tbl>
      <w:tblPr>
        <w:tblStyle w:val="31"/>
        <w:tblW w:w="50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651"/>
        <w:gridCol w:w="5587"/>
      </w:tblGrid>
      <w:tr w14:paraId="474B3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7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E055866">
            <w:pPr>
              <w:spacing w:before="24" w:after="24" w:line="288" w:lineRule="auto"/>
              <w:jc w:val="center"/>
              <w:rPr>
                <w:rFonts w:ascii="Times New Roman" w:hAnsi="Times New Roman" w:cs="Times New Roman"/>
                <w:sz w:val="24"/>
              </w:rPr>
            </w:pPr>
            <w:r>
              <w:rPr>
                <w:rFonts w:ascii="Times New Roman" w:hAnsi="Times New Roman" w:cs="Times New Roman"/>
                <w:sz w:val="24"/>
              </w:rPr>
              <w:t>系统名称</w:t>
            </w:r>
          </w:p>
        </w:tc>
        <w:tc>
          <w:tcPr>
            <w:tcW w:w="302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E1CF0B5">
            <w:pPr>
              <w:spacing w:before="24" w:after="24" w:line="288" w:lineRule="auto"/>
              <w:jc w:val="center"/>
              <w:rPr>
                <w:rFonts w:ascii="Times New Roman" w:hAnsi="Times New Roman" w:cs="Times New Roman"/>
                <w:sz w:val="24"/>
              </w:rPr>
            </w:pPr>
            <w:r>
              <w:rPr>
                <w:rFonts w:ascii="Times New Roman" w:hAnsi="Times New Roman" w:cs="Times New Roman"/>
                <w:sz w:val="24"/>
              </w:rPr>
              <w:t>通风系统单位风量耗功率Ws（W/（m³/h））</w:t>
            </w:r>
          </w:p>
        </w:tc>
      </w:tr>
      <w:tr w14:paraId="4F4FC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7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C89DB3C">
            <w:pPr>
              <w:spacing w:before="24" w:after="24" w:line="288" w:lineRule="auto"/>
              <w:jc w:val="center"/>
              <w:rPr>
                <w:rFonts w:ascii="Times New Roman" w:hAnsi="Times New Roman" w:cs="Times New Roman"/>
                <w:sz w:val="24"/>
              </w:rPr>
            </w:pPr>
            <w:r>
              <w:rPr>
                <w:rFonts w:ascii="Times New Roman" w:hAnsi="Times New Roman" w:cs="Times New Roman"/>
                <w:sz w:val="24"/>
              </w:rPr>
              <w:t>机械通风系统</w:t>
            </w:r>
          </w:p>
        </w:tc>
        <w:tc>
          <w:tcPr>
            <w:tcW w:w="302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FAC47EA">
            <w:pPr>
              <w:spacing w:before="24" w:after="24" w:line="288" w:lineRule="auto"/>
              <w:jc w:val="center"/>
              <w:rPr>
                <w:rFonts w:ascii="Times New Roman" w:hAnsi="Times New Roman" w:cs="Times New Roman"/>
                <w:sz w:val="24"/>
              </w:rPr>
            </w:pPr>
            <w:r>
              <w:rPr>
                <w:rFonts w:ascii="Times New Roman" w:hAnsi="Times New Roman" w:cs="Times New Roman"/>
                <w:sz w:val="24"/>
              </w:rPr>
              <w:t>≤ 0.27</w:t>
            </w:r>
          </w:p>
        </w:tc>
      </w:tr>
      <w:tr w14:paraId="49A6C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7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1CEE2AF">
            <w:pPr>
              <w:spacing w:before="24" w:after="24" w:line="288" w:lineRule="auto"/>
              <w:jc w:val="center"/>
              <w:rPr>
                <w:rFonts w:ascii="Times New Roman" w:hAnsi="Times New Roman" w:cs="Times New Roman"/>
                <w:sz w:val="24"/>
              </w:rPr>
            </w:pPr>
            <w:r>
              <w:rPr>
                <w:rFonts w:ascii="Times New Roman" w:hAnsi="Times New Roman" w:cs="Times New Roman"/>
                <w:sz w:val="24"/>
              </w:rPr>
              <w:t>新风系统</w:t>
            </w:r>
          </w:p>
        </w:tc>
        <w:tc>
          <w:tcPr>
            <w:tcW w:w="302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8DB21A6">
            <w:pPr>
              <w:spacing w:before="24" w:after="24" w:line="288" w:lineRule="auto"/>
              <w:jc w:val="center"/>
              <w:rPr>
                <w:rFonts w:ascii="Times New Roman" w:hAnsi="Times New Roman" w:cs="Times New Roman"/>
                <w:sz w:val="24"/>
              </w:rPr>
            </w:pPr>
            <w:r>
              <w:rPr>
                <w:rFonts w:ascii="Times New Roman" w:hAnsi="Times New Roman" w:cs="Times New Roman"/>
                <w:sz w:val="24"/>
              </w:rPr>
              <w:t>≤ 0.24</w:t>
            </w:r>
          </w:p>
        </w:tc>
      </w:tr>
      <w:tr w14:paraId="7C25F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14" w:hRule="atLeast"/>
          <w:jc w:val="center"/>
        </w:trPr>
        <w:tc>
          <w:tcPr>
            <w:tcW w:w="197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D598645">
            <w:pPr>
              <w:spacing w:before="24" w:after="24" w:line="288" w:lineRule="auto"/>
              <w:jc w:val="center"/>
              <w:rPr>
                <w:rFonts w:ascii="Times New Roman" w:hAnsi="Times New Roman" w:cs="Times New Roman"/>
                <w:sz w:val="24"/>
              </w:rPr>
            </w:pPr>
            <w:r>
              <w:rPr>
                <w:rFonts w:ascii="Times New Roman" w:hAnsi="Times New Roman" w:cs="Times New Roman"/>
                <w:sz w:val="24"/>
              </w:rPr>
              <w:t>办公建筑定风量系统</w:t>
            </w:r>
          </w:p>
        </w:tc>
        <w:tc>
          <w:tcPr>
            <w:tcW w:w="302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E80BED7">
            <w:pPr>
              <w:spacing w:before="24" w:after="24" w:line="288" w:lineRule="auto"/>
              <w:jc w:val="center"/>
              <w:rPr>
                <w:rFonts w:ascii="Times New Roman" w:hAnsi="Times New Roman" w:cs="Times New Roman"/>
                <w:sz w:val="24"/>
              </w:rPr>
            </w:pPr>
            <w:r>
              <w:rPr>
                <w:rFonts w:ascii="Times New Roman" w:hAnsi="Times New Roman" w:cs="Times New Roman"/>
                <w:sz w:val="24"/>
              </w:rPr>
              <w:t>≤ 0.27</w:t>
            </w:r>
          </w:p>
        </w:tc>
      </w:tr>
      <w:tr w14:paraId="4D547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7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6F3CFD3">
            <w:pPr>
              <w:spacing w:before="24" w:after="24" w:line="288" w:lineRule="auto"/>
              <w:jc w:val="center"/>
              <w:rPr>
                <w:rFonts w:ascii="Times New Roman" w:hAnsi="Times New Roman" w:cs="Times New Roman"/>
                <w:sz w:val="24"/>
              </w:rPr>
            </w:pPr>
            <w:r>
              <w:rPr>
                <w:rFonts w:ascii="Times New Roman" w:hAnsi="Times New Roman" w:cs="Times New Roman"/>
                <w:sz w:val="24"/>
              </w:rPr>
              <w:t>办公建筑定风量系统</w:t>
            </w:r>
          </w:p>
        </w:tc>
        <w:tc>
          <w:tcPr>
            <w:tcW w:w="302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278BF6C">
            <w:pPr>
              <w:spacing w:before="24" w:after="24" w:line="288" w:lineRule="auto"/>
              <w:jc w:val="center"/>
              <w:rPr>
                <w:rFonts w:ascii="Times New Roman" w:hAnsi="Times New Roman" w:cs="Times New Roman"/>
                <w:sz w:val="24"/>
              </w:rPr>
            </w:pPr>
            <w:r>
              <w:rPr>
                <w:rFonts w:ascii="Times New Roman" w:hAnsi="Times New Roman" w:cs="Times New Roman"/>
                <w:sz w:val="24"/>
              </w:rPr>
              <w:t>≤ 0.29</w:t>
            </w:r>
          </w:p>
        </w:tc>
      </w:tr>
      <w:tr w14:paraId="73B7C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7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B5B3FB8">
            <w:pPr>
              <w:spacing w:before="24" w:after="24" w:line="288" w:lineRule="auto"/>
              <w:jc w:val="center"/>
              <w:rPr>
                <w:rFonts w:ascii="Times New Roman" w:hAnsi="Times New Roman" w:cs="Times New Roman"/>
                <w:sz w:val="24"/>
              </w:rPr>
            </w:pPr>
            <w:r>
              <w:rPr>
                <w:rFonts w:ascii="Times New Roman" w:hAnsi="Times New Roman" w:cs="Times New Roman"/>
                <w:sz w:val="24"/>
              </w:rPr>
              <w:t>商业、酒店建筑全空气系统</w:t>
            </w:r>
          </w:p>
        </w:tc>
        <w:tc>
          <w:tcPr>
            <w:tcW w:w="302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6A85AFF">
            <w:pPr>
              <w:spacing w:before="24" w:after="24" w:line="288" w:lineRule="auto"/>
              <w:jc w:val="center"/>
              <w:rPr>
                <w:rFonts w:ascii="Times New Roman" w:hAnsi="Times New Roman" w:cs="Times New Roman"/>
                <w:sz w:val="24"/>
              </w:rPr>
            </w:pPr>
            <w:r>
              <w:rPr>
                <w:rFonts w:ascii="Times New Roman" w:hAnsi="Times New Roman" w:cs="Times New Roman"/>
                <w:sz w:val="24"/>
              </w:rPr>
              <w:t>≤ 0.30</w:t>
            </w:r>
          </w:p>
        </w:tc>
      </w:tr>
    </w:tbl>
    <w:p w14:paraId="6CE8C5C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5.12通风空调设计要求</w:t>
      </w:r>
    </w:p>
    <w:p w14:paraId="38F7D0A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5.12.1应优先采用自然通风排除室内的余热和余湿，当自然通风不能满足要求或室外空气污染和噪声污染严重时，应设置机械通风系统或自然与机械的联合通风系统。</w:t>
      </w:r>
    </w:p>
    <w:p w14:paraId="160BCE5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5.12.2建筑物内产生大量热湿以及有害物质的部位，应优先采用局部排风，必要时辅以全面排风。</w:t>
      </w:r>
    </w:p>
    <w:p w14:paraId="5DF894C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5.12.3空调建筑应尽量利用通风消除室内余热余湿，缩短空调冷源系统使用时间。</w:t>
      </w:r>
    </w:p>
    <w:p w14:paraId="246FC18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5.12.4建筑单体应结合使用功能，充分利用门窗和幕墙可开启部位作为自然通风气流通道，并优化室内气流组织、提高自然通风效率。</w:t>
      </w:r>
    </w:p>
    <w:p w14:paraId="6E61075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5.12.5建筑中庭宜采用自然通风，不具备自然通风条件时，应设置机械排风装置。自然通风进出风口面积应经过计算确定，且进风口面积不应小于排风口面积。</w:t>
      </w:r>
    </w:p>
    <w:p w14:paraId="1B63EC5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5.12.6地下室宜设置通风采光洞口或竖井；半地下室应设采光通风高窗。</w:t>
      </w:r>
    </w:p>
    <w:p w14:paraId="636E03E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5.12.7设置机械排风系统的地下车库应设置与排风设备联动的一氧化碳浓度监测装置。</w:t>
      </w:r>
    </w:p>
    <w:p w14:paraId="0E983692">
      <w:pPr>
        <w:spacing w:before="24" w:after="24"/>
        <w:ind w:firstLine="560" w:firstLineChars="200"/>
        <w:rPr>
          <w:rFonts w:ascii="Times New Roman" w:hAnsi="Times New Roman" w:cs="Times New Roman"/>
        </w:rPr>
      </w:pPr>
      <w:r>
        <w:rPr>
          <w:rFonts w:ascii="Times New Roman" w:hAnsi="Times New Roman" w:cs="Times New Roman"/>
          <w:color w:val="181717" w:themeColor="background2" w:themeShade="1A"/>
        </w:rPr>
        <w:t>5.12.8工艺性空调室内设计温度、相对湿度及其允许波动范围，应根据工艺需要及健康要求确定。</w:t>
      </w:r>
    </w:p>
    <w:p w14:paraId="0072325F">
      <w:pPr>
        <w:pStyle w:val="64"/>
        <w:spacing w:before="24" w:after="24"/>
        <w:rPr>
          <w:rFonts w:cs="Times New Roman"/>
          <w:highlight w:val="yellow"/>
        </w:rPr>
      </w:pPr>
      <w:bookmarkStart w:id="20" w:name="_Toc221894065"/>
      <w:r>
        <w:rPr>
          <w:rFonts w:cs="Times New Roman"/>
        </w:rPr>
        <w:t>6、电气设计指标</w:t>
      </w:r>
      <w:bookmarkEnd w:id="20"/>
    </w:p>
    <w:p w14:paraId="380303E2">
      <w:pPr>
        <w:pStyle w:val="54"/>
        <w:spacing w:before="24" w:after="24"/>
        <w:outlineLvl w:val="3"/>
      </w:pPr>
      <w:r>
        <w:t>6.1 供电负荷指标</w:t>
      </w:r>
    </w:p>
    <w:p w14:paraId="66B8D6BB">
      <w:pPr>
        <w:pStyle w:val="54"/>
        <w:spacing w:before="24" w:after="24"/>
        <w:outlineLvl w:val="4"/>
      </w:pPr>
      <w:r>
        <w:t>6.1.1 保障和改善民生工程</w:t>
      </w:r>
    </w:p>
    <w:p w14:paraId="5C12C33C">
      <w:pPr>
        <w:pStyle w:val="54"/>
        <w:spacing w:before="24" w:after="24"/>
        <w:outlineLvl w:val="5"/>
      </w:pPr>
      <w:r>
        <w:t>（1）教育项目</w:t>
      </w:r>
    </w:p>
    <w:p w14:paraId="56D8C5F0">
      <w:pPr>
        <w:pStyle w:val="54"/>
        <w:spacing w:before="24" w:after="24"/>
      </w:pPr>
      <w:r>
        <w:t>参照《教育建筑电气设计规范》JGJ 310-2013第4.4条表4.4.1“教育建筑的单位面积用电指标”，项目各类建筑用电指标如下表所示：</w:t>
      </w:r>
    </w:p>
    <w:p w14:paraId="552E6CAA">
      <w:pPr>
        <w:pStyle w:val="69"/>
        <w:rPr>
          <w:rFonts w:hint="eastAsia"/>
        </w:rPr>
      </w:pPr>
      <w:r>
        <w:t>各类建筑用电功率或负荷密度</w:t>
      </w:r>
    </w:p>
    <w:tbl>
      <w:tblPr>
        <w:tblStyle w:val="30"/>
        <w:tblW w:w="4858" w:type="pct"/>
        <w:tblInd w:w="0" w:type="dxa"/>
        <w:tblLayout w:type="autofit"/>
        <w:tblCellMar>
          <w:top w:w="0" w:type="dxa"/>
          <w:left w:w="108" w:type="dxa"/>
          <w:bottom w:w="0" w:type="dxa"/>
          <w:right w:w="108" w:type="dxa"/>
        </w:tblCellMar>
      </w:tblPr>
      <w:tblGrid>
        <w:gridCol w:w="1048"/>
        <w:gridCol w:w="4571"/>
        <w:gridCol w:w="3403"/>
      </w:tblGrid>
      <w:tr w14:paraId="6E3D7DAE">
        <w:tblPrEx>
          <w:tblCellMar>
            <w:top w:w="0" w:type="dxa"/>
            <w:left w:w="108" w:type="dxa"/>
            <w:bottom w:w="0" w:type="dxa"/>
            <w:right w:w="108" w:type="dxa"/>
          </w:tblCellMar>
        </w:tblPrEx>
        <w:trPr>
          <w:trHeight w:val="638" w:hRule="atLeast"/>
        </w:trPr>
        <w:tc>
          <w:tcPr>
            <w:tcW w:w="581" w:type="pct"/>
            <w:tcBorders>
              <w:top w:val="single" w:color="000000" w:sz="4" w:space="0"/>
              <w:left w:val="single" w:color="000000" w:sz="4" w:space="0"/>
              <w:bottom w:val="single" w:color="000000" w:sz="4" w:space="0"/>
              <w:right w:val="single" w:color="000000" w:sz="4" w:space="0"/>
            </w:tcBorders>
            <w:vAlign w:val="center"/>
          </w:tcPr>
          <w:p w14:paraId="710BA5D9">
            <w:pPr>
              <w:pStyle w:val="71"/>
              <w:spacing w:before="24" w:after="24"/>
              <w:rPr>
                <w:rFonts w:cs="Times New Roman"/>
              </w:rPr>
            </w:pPr>
            <w:r>
              <w:rPr>
                <w:rFonts w:cs="Times New Roman"/>
              </w:rPr>
              <w:t>序号</w:t>
            </w:r>
          </w:p>
        </w:tc>
        <w:tc>
          <w:tcPr>
            <w:tcW w:w="2532" w:type="pct"/>
            <w:tcBorders>
              <w:top w:val="single" w:color="000000" w:sz="4" w:space="0"/>
              <w:left w:val="nil"/>
              <w:bottom w:val="single" w:color="000000" w:sz="4" w:space="0"/>
              <w:right w:val="single" w:color="000000" w:sz="4" w:space="0"/>
            </w:tcBorders>
            <w:vAlign w:val="center"/>
          </w:tcPr>
          <w:p w14:paraId="66E66BD8">
            <w:pPr>
              <w:pStyle w:val="71"/>
              <w:spacing w:before="24" w:after="24"/>
              <w:rPr>
                <w:rFonts w:cs="Times New Roman"/>
              </w:rPr>
            </w:pPr>
            <w:r>
              <w:rPr>
                <w:rFonts w:cs="Times New Roman"/>
              </w:rPr>
              <w:t>建筑类别</w:t>
            </w:r>
          </w:p>
        </w:tc>
        <w:tc>
          <w:tcPr>
            <w:tcW w:w="1885" w:type="pct"/>
            <w:tcBorders>
              <w:top w:val="single" w:color="000000" w:sz="4" w:space="0"/>
              <w:left w:val="nil"/>
              <w:bottom w:val="single" w:color="000000" w:sz="4" w:space="0"/>
              <w:right w:val="single" w:color="000000" w:sz="4" w:space="0"/>
            </w:tcBorders>
            <w:vAlign w:val="center"/>
          </w:tcPr>
          <w:p w14:paraId="30C41A9B">
            <w:pPr>
              <w:pStyle w:val="71"/>
              <w:spacing w:before="24" w:after="24"/>
              <w:rPr>
                <w:rFonts w:cs="Times New Roman"/>
              </w:rPr>
            </w:pPr>
            <w:r>
              <w:rPr>
                <w:rFonts w:cs="Times New Roman"/>
              </w:rPr>
              <w:t>用电指标（W/m²）</w:t>
            </w:r>
          </w:p>
        </w:tc>
      </w:tr>
      <w:tr w14:paraId="4A8F76EA">
        <w:tblPrEx>
          <w:tblCellMar>
            <w:top w:w="0" w:type="dxa"/>
            <w:left w:w="108" w:type="dxa"/>
            <w:bottom w:w="0" w:type="dxa"/>
            <w:right w:w="108" w:type="dxa"/>
          </w:tblCellMar>
        </w:tblPrEx>
        <w:trPr>
          <w:trHeight w:val="470" w:hRule="atLeast"/>
        </w:trPr>
        <w:tc>
          <w:tcPr>
            <w:tcW w:w="581" w:type="pct"/>
            <w:tcBorders>
              <w:top w:val="single" w:color="000000" w:sz="4" w:space="0"/>
              <w:left w:val="single" w:color="000000" w:sz="4" w:space="0"/>
              <w:bottom w:val="single" w:color="000000" w:sz="4" w:space="0"/>
              <w:right w:val="single" w:color="000000" w:sz="4" w:space="0"/>
            </w:tcBorders>
            <w:vAlign w:val="center"/>
          </w:tcPr>
          <w:p w14:paraId="480B6017">
            <w:pPr>
              <w:pStyle w:val="71"/>
              <w:spacing w:before="24" w:after="24"/>
              <w:rPr>
                <w:rFonts w:cs="Times New Roman"/>
              </w:rPr>
            </w:pPr>
            <w:r>
              <w:rPr>
                <w:rFonts w:cs="Times New Roman"/>
              </w:rPr>
              <w:t>1</w:t>
            </w:r>
          </w:p>
        </w:tc>
        <w:tc>
          <w:tcPr>
            <w:tcW w:w="2532" w:type="pct"/>
            <w:tcBorders>
              <w:top w:val="single" w:color="000000" w:sz="4" w:space="0"/>
              <w:left w:val="nil"/>
              <w:bottom w:val="single" w:color="000000" w:sz="4" w:space="0"/>
              <w:right w:val="single" w:color="000000" w:sz="4" w:space="0"/>
            </w:tcBorders>
            <w:vAlign w:val="center"/>
          </w:tcPr>
          <w:p w14:paraId="77723123">
            <w:pPr>
              <w:pStyle w:val="71"/>
              <w:spacing w:before="24" w:after="24"/>
              <w:rPr>
                <w:rFonts w:cs="Times New Roman"/>
              </w:rPr>
            </w:pPr>
            <w:r>
              <w:rPr>
                <w:rFonts w:cs="Times New Roman"/>
              </w:rPr>
              <w:t>教学楼</w:t>
            </w:r>
          </w:p>
        </w:tc>
        <w:tc>
          <w:tcPr>
            <w:tcW w:w="1885" w:type="pct"/>
            <w:tcBorders>
              <w:top w:val="single" w:color="000000" w:sz="4" w:space="0"/>
              <w:left w:val="nil"/>
              <w:bottom w:val="single" w:color="000000" w:sz="4" w:space="0"/>
              <w:right w:val="single" w:color="000000" w:sz="4" w:space="0"/>
            </w:tcBorders>
            <w:vAlign w:val="center"/>
          </w:tcPr>
          <w:p w14:paraId="72D4034C">
            <w:pPr>
              <w:pStyle w:val="71"/>
              <w:spacing w:before="24" w:after="24"/>
              <w:rPr>
                <w:rFonts w:cs="Times New Roman"/>
              </w:rPr>
            </w:pPr>
            <w:r>
              <w:rPr>
                <w:rFonts w:cs="Times New Roman"/>
              </w:rPr>
              <w:t>12～25</w:t>
            </w:r>
          </w:p>
        </w:tc>
      </w:tr>
      <w:tr w14:paraId="26879345">
        <w:tblPrEx>
          <w:tblCellMar>
            <w:top w:w="0" w:type="dxa"/>
            <w:left w:w="108" w:type="dxa"/>
            <w:bottom w:w="0" w:type="dxa"/>
            <w:right w:w="108" w:type="dxa"/>
          </w:tblCellMar>
        </w:tblPrEx>
        <w:trPr>
          <w:trHeight w:val="90" w:hRule="atLeast"/>
        </w:trPr>
        <w:tc>
          <w:tcPr>
            <w:tcW w:w="581" w:type="pct"/>
            <w:tcBorders>
              <w:top w:val="single" w:color="000000" w:sz="4" w:space="0"/>
              <w:left w:val="single" w:color="000000" w:sz="4" w:space="0"/>
              <w:bottom w:val="single" w:color="000000" w:sz="4" w:space="0"/>
              <w:right w:val="single" w:color="000000" w:sz="4" w:space="0"/>
            </w:tcBorders>
          </w:tcPr>
          <w:p w14:paraId="7CD1D608">
            <w:pPr>
              <w:pStyle w:val="71"/>
              <w:spacing w:before="24" w:after="24"/>
              <w:rPr>
                <w:rFonts w:cs="Times New Roman"/>
              </w:rPr>
            </w:pPr>
            <w:r>
              <w:rPr>
                <w:rFonts w:cs="Times New Roman"/>
              </w:rPr>
              <w:t>2</w:t>
            </w:r>
          </w:p>
        </w:tc>
        <w:tc>
          <w:tcPr>
            <w:tcW w:w="2532" w:type="pct"/>
            <w:tcBorders>
              <w:top w:val="single" w:color="000000" w:sz="4" w:space="0"/>
              <w:left w:val="nil"/>
              <w:bottom w:val="single" w:color="000000" w:sz="4" w:space="0"/>
              <w:right w:val="single" w:color="000000" w:sz="4" w:space="0"/>
            </w:tcBorders>
            <w:vAlign w:val="center"/>
          </w:tcPr>
          <w:p w14:paraId="190CE7BF">
            <w:pPr>
              <w:pStyle w:val="71"/>
              <w:spacing w:before="24" w:after="24"/>
              <w:rPr>
                <w:rFonts w:cs="Times New Roman"/>
              </w:rPr>
            </w:pPr>
            <w:r>
              <w:rPr>
                <w:rFonts w:cs="Times New Roman"/>
              </w:rPr>
              <w:t>图书馆</w:t>
            </w:r>
          </w:p>
        </w:tc>
        <w:tc>
          <w:tcPr>
            <w:tcW w:w="1885" w:type="pct"/>
            <w:tcBorders>
              <w:top w:val="single" w:color="000000" w:sz="4" w:space="0"/>
              <w:left w:val="nil"/>
              <w:bottom w:val="single" w:color="000000" w:sz="4" w:space="0"/>
              <w:right w:val="single" w:color="000000" w:sz="4" w:space="0"/>
            </w:tcBorders>
            <w:vAlign w:val="center"/>
          </w:tcPr>
          <w:p w14:paraId="1F234129">
            <w:pPr>
              <w:pStyle w:val="71"/>
              <w:spacing w:before="24" w:after="24"/>
              <w:rPr>
                <w:rFonts w:cs="Times New Roman"/>
              </w:rPr>
            </w:pPr>
            <w:r>
              <w:rPr>
                <w:rFonts w:cs="Times New Roman"/>
              </w:rPr>
              <w:t>15～25</w:t>
            </w:r>
          </w:p>
        </w:tc>
      </w:tr>
      <w:tr w14:paraId="2D34067D">
        <w:tblPrEx>
          <w:tblCellMar>
            <w:top w:w="0" w:type="dxa"/>
            <w:left w:w="108" w:type="dxa"/>
            <w:bottom w:w="0" w:type="dxa"/>
            <w:right w:w="108" w:type="dxa"/>
          </w:tblCellMar>
        </w:tblPrEx>
        <w:trPr>
          <w:trHeight w:val="90" w:hRule="atLeast"/>
        </w:trPr>
        <w:tc>
          <w:tcPr>
            <w:tcW w:w="581" w:type="pct"/>
            <w:tcBorders>
              <w:top w:val="single" w:color="000000" w:sz="4" w:space="0"/>
              <w:left w:val="single" w:color="000000" w:sz="4" w:space="0"/>
              <w:bottom w:val="single" w:color="000000" w:sz="4" w:space="0"/>
              <w:right w:val="single" w:color="000000" w:sz="4" w:space="0"/>
            </w:tcBorders>
          </w:tcPr>
          <w:p w14:paraId="3A297B95">
            <w:pPr>
              <w:pStyle w:val="71"/>
              <w:spacing w:before="24" w:after="24"/>
              <w:rPr>
                <w:rFonts w:cs="Times New Roman"/>
              </w:rPr>
            </w:pPr>
            <w:r>
              <w:rPr>
                <w:rFonts w:cs="Times New Roman"/>
              </w:rPr>
              <w:t>3</w:t>
            </w:r>
          </w:p>
        </w:tc>
        <w:tc>
          <w:tcPr>
            <w:tcW w:w="2532" w:type="pct"/>
            <w:tcBorders>
              <w:top w:val="single" w:color="000000" w:sz="4" w:space="0"/>
              <w:left w:val="nil"/>
              <w:bottom w:val="single" w:color="000000" w:sz="4" w:space="0"/>
              <w:right w:val="single" w:color="000000" w:sz="4" w:space="0"/>
            </w:tcBorders>
            <w:vAlign w:val="center"/>
          </w:tcPr>
          <w:p w14:paraId="6476E1D6">
            <w:pPr>
              <w:pStyle w:val="71"/>
              <w:spacing w:before="24" w:after="24"/>
              <w:rPr>
                <w:rFonts w:cs="Times New Roman"/>
              </w:rPr>
            </w:pPr>
            <w:r>
              <w:rPr>
                <w:rFonts w:cs="Times New Roman"/>
              </w:rPr>
              <w:t>实验楼</w:t>
            </w:r>
          </w:p>
        </w:tc>
        <w:tc>
          <w:tcPr>
            <w:tcW w:w="1885" w:type="pct"/>
            <w:tcBorders>
              <w:top w:val="single" w:color="000000" w:sz="4" w:space="0"/>
              <w:left w:val="nil"/>
              <w:bottom w:val="single" w:color="000000" w:sz="4" w:space="0"/>
              <w:right w:val="single" w:color="000000" w:sz="4" w:space="0"/>
            </w:tcBorders>
            <w:vAlign w:val="center"/>
          </w:tcPr>
          <w:p w14:paraId="3FC2BF5C">
            <w:pPr>
              <w:pStyle w:val="71"/>
              <w:spacing w:before="24" w:after="24"/>
              <w:rPr>
                <w:rFonts w:cs="Times New Roman"/>
              </w:rPr>
            </w:pPr>
            <w:r>
              <w:rPr>
                <w:rFonts w:cs="Times New Roman"/>
              </w:rPr>
              <w:t>15～30</w:t>
            </w:r>
          </w:p>
        </w:tc>
      </w:tr>
      <w:tr w14:paraId="3C14E682">
        <w:tblPrEx>
          <w:tblCellMar>
            <w:top w:w="0" w:type="dxa"/>
            <w:left w:w="108" w:type="dxa"/>
            <w:bottom w:w="0" w:type="dxa"/>
            <w:right w:w="108" w:type="dxa"/>
          </w:tblCellMar>
        </w:tblPrEx>
        <w:trPr>
          <w:trHeight w:val="638" w:hRule="atLeast"/>
        </w:trPr>
        <w:tc>
          <w:tcPr>
            <w:tcW w:w="581" w:type="pct"/>
            <w:tcBorders>
              <w:top w:val="single" w:color="000000" w:sz="4" w:space="0"/>
              <w:left w:val="single" w:color="000000" w:sz="4" w:space="0"/>
              <w:bottom w:val="single" w:color="000000" w:sz="4" w:space="0"/>
              <w:right w:val="single" w:color="000000" w:sz="4" w:space="0"/>
            </w:tcBorders>
            <w:vAlign w:val="center"/>
          </w:tcPr>
          <w:p w14:paraId="3FE9A9A0">
            <w:pPr>
              <w:pStyle w:val="71"/>
              <w:spacing w:before="24" w:after="24"/>
              <w:rPr>
                <w:rFonts w:cs="Times New Roman"/>
              </w:rPr>
            </w:pPr>
            <w:r>
              <w:rPr>
                <w:rFonts w:cs="Times New Roman"/>
              </w:rPr>
              <w:t>4</w:t>
            </w:r>
          </w:p>
        </w:tc>
        <w:tc>
          <w:tcPr>
            <w:tcW w:w="2532" w:type="pct"/>
            <w:tcBorders>
              <w:top w:val="single" w:color="000000" w:sz="4" w:space="0"/>
              <w:left w:val="nil"/>
              <w:bottom w:val="single" w:color="000000" w:sz="4" w:space="0"/>
              <w:right w:val="single" w:color="000000" w:sz="4" w:space="0"/>
            </w:tcBorders>
            <w:vAlign w:val="center"/>
          </w:tcPr>
          <w:p w14:paraId="021D2C28">
            <w:pPr>
              <w:pStyle w:val="71"/>
              <w:spacing w:before="24" w:after="24"/>
              <w:rPr>
                <w:rFonts w:cs="Times New Roman"/>
              </w:rPr>
            </w:pPr>
            <w:r>
              <w:rPr>
                <w:rFonts w:cs="Times New Roman"/>
              </w:rPr>
              <w:t>风雨操场</w:t>
            </w:r>
          </w:p>
        </w:tc>
        <w:tc>
          <w:tcPr>
            <w:tcW w:w="1885" w:type="pct"/>
            <w:tcBorders>
              <w:top w:val="single" w:color="000000" w:sz="4" w:space="0"/>
              <w:left w:val="nil"/>
              <w:bottom w:val="single" w:color="000000" w:sz="4" w:space="0"/>
              <w:right w:val="single" w:color="000000" w:sz="4" w:space="0"/>
            </w:tcBorders>
            <w:vAlign w:val="center"/>
          </w:tcPr>
          <w:p w14:paraId="3433A385">
            <w:pPr>
              <w:pStyle w:val="71"/>
              <w:spacing w:before="24" w:after="24"/>
              <w:rPr>
                <w:rFonts w:cs="Times New Roman"/>
              </w:rPr>
            </w:pPr>
            <w:r>
              <w:rPr>
                <w:rFonts w:cs="Times New Roman"/>
              </w:rPr>
              <w:t>15～20</w:t>
            </w:r>
          </w:p>
        </w:tc>
      </w:tr>
      <w:tr w14:paraId="48F11C5A">
        <w:tblPrEx>
          <w:tblCellMar>
            <w:top w:w="0" w:type="dxa"/>
            <w:left w:w="108" w:type="dxa"/>
            <w:bottom w:w="0" w:type="dxa"/>
            <w:right w:w="108" w:type="dxa"/>
          </w:tblCellMar>
        </w:tblPrEx>
        <w:trPr>
          <w:trHeight w:val="90" w:hRule="atLeast"/>
        </w:trPr>
        <w:tc>
          <w:tcPr>
            <w:tcW w:w="581" w:type="pct"/>
            <w:tcBorders>
              <w:top w:val="single" w:color="000000" w:sz="4" w:space="0"/>
              <w:left w:val="single" w:color="000000" w:sz="4" w:space="0"/>
              <w:bottom w:val="single" w:color="000000" w:sz="4" w:space="0"/>
              <w:right w:val="single" w:color="000000" w:sz="4" w:space="0"/>
            </w:tcBorders>
            <w:vAlign w:val="center"/>
          </w:tcPr>
          <w:p w14:paraId="08DBD4C2">
            <w:pPr>
              <w:pStyle w:val="71"/>
              <w:spacing w:before="24" w:after="24"/>
              <w:rPr>
                <w:rFonts w:cs="Times New Roman"/>
              </w:rPr>
            </w:pPr>
            <w:r>
              <w:rPr>
                <w:rFonts w:cs="Times New Roman"/>
              </w:rPr>
              <w:t>5</w:t>
            </w:r>
          </w:p>
        </w:tc>
        <w:tc>
          <w:tcPr>
            <w:tcW w:w="2532" w:type="pct"/>
            <w:tcBorders>
              <w:top w:val="single" w:color="000000" w:sz="4" w:space="0"/>
              <w:left w:val="nil"/>
              <w:bottom w:val="single" w:color="000000" w:sz="4" w:space="0"/>
              <w:right w:val="single" w:color="000000" w:sz="4" w:space="0"/>
            </w:tcBorders>
            <w:vAlign w:val="center"/>
          </w:tcPr>
          <w:p w14:paraId="747DCD8C">
            <w:pPr>
              <w:pStyle w:val="71"/>
              <w:spacing w:before="24" w:after="24"/>
              <w:rPr>
                <w:rFonts w:cs="Times New Roman"/>
              </w:rPr>
            </w:pPr>
            <w:r>
              <w:rPr>
                <w:rFonts w:cs="Times New Roman"/>
              </w:rPr>
              <w:t>体育馆</w:t>
            </w:r>
          </w:p>
        </w:tc>
        <w:tc>
          <w:tcPr>
            <w:tcW w:w="1885" w:type="pct"/>
            <w:tcBorders>
              <w:top w:val="single" w:color="000000" w:sz="4" w:space="0"/>
              <w:left w:val="nil"/>
              <w:bottom w:val="single" w:color="000000" w:sz="4" w:space="0"/>
              <w:right w:val="single" w:color="000000" w:sz="4" w:space="0"/>
            </w:tcBorders>
            <w:vAlign w:val="center"/>
          </w:tcPr>
          <w:p w14:paraId="1943611C">
            <w:pPr>
              <w:pStyle w:val="71"/>
              <w:spacing w:before="24" w:after="24"/>
              <w:rPr>
                <w:rFonts w:cs="Times New Roman"/>
              </w:rPr>
            </w:pPr>
            <w:r>
              <w:rPr>
                <w:rFonts w:cs="Times New Roman"/>
              </w:rPr>
              <w:t>25～45</w:t>
            </w:r>
          </w:p>
        </w:tc>
      </w:tr>
      <w:tr w14:paraId="3D1BB73A">
        <w:tblPrEx>
          <w:tblCellMar>
            <w:top w:w="0" w:type="dxa"/>
            <w:left w:w="108" w:type="dxa"/>
            <w:bottom w:w="0" w:type="dxa"/>
            <w:right w:w="108" w:type="dxa"/>
          </w:tblCellMar>
        </w:tblPrEx>
        <w:trPr>
          <w:trHeight w:val="90" w:hRule="atLeast"/>
        </w:trPr>
        <w:tc>
          <w:tcPr>
            <w:tcW w:w="581" w:type="pct"/>
            <w:vMerge w:val="restart"/>
            <w:tcBorders>
              <w:top w:val="nil"/>
              <w:left w:val="single" w:color="000000" w:sz="4" w:space="0"/>
              <w:bottom w:val="single" w:color="000000" w:sz="4" w:space="0"/>
              <w:right w:val="single" w:color="000000" w:sz="4" w:space="0"/>
            </w:tcBorders>
            <w:vAlign w:val="center"/>
          </w:tcPr>
          <w:p w14:paraId="64D996D7">
            <w:pPr>
              <w:pStyle w:val="71"/>
              <w:spacing w:before="24" w:after="24"/>
              <w:rPr>
                <w:rFonts w:cs="Times New Roman"/>
              </w:rPr>
            </w:pPr>
            <w:r>
              <w:rPr>
                <w:rFonts w:cs="Times New Roman"/>
              </w:rPr>
              <w:t>6</w:t>
            </w:r>
          </w:p>
        </w:tc>
        <w:tc>
          <w:tcPr>
            <w:tcW w:w="2532" w:type="pct"/>
            <w:tcBorders>
              <w:top w:val="single" w:color="000000" w:sz="4" w:space="0"/>
              <w:left w:val="nil"/>
              <w:bottom w:val="single" w:color="000000" w:sz="4" w:space="0"/>
              <w:right w:val="single" w:color="000000" w:sz="4" w:space="0"/>
            </w:tcBorders>
            <w:vAlign w:val="center"/>
          </w:tcPr>
          <w:p w14:paraId="0A7C9066">
            <w:pPr>
              <w:pStyle w:val="71"/>
              <w:spacing w:before="24" w:after="24"/>
              <w:rPr>
                <w:rFonts w:cs="Times New Roman"/>
              </w:rPr>
            </w:pPr>
            <w:r>
              <w:rPr>
                <w:rFonts w:cs="Times New Roman"/>
              </w:rPr>
              <w:t>会堂（会议及一般文艺活动）</w:t>
            </w:r>
          </w:p>
        </w:tc>
        <w:tc>
          <w:tcPr>
            <w:tcW w:w="1885" w:type="pct"/>
            <w:tcBorders>
              <w:top w:val="single" w:color="000000" w:sz="4" w:space="0"/>
              <w:left w:val="nil"/>
              <w:bottom w:val="single" w:color="000000" w:sz="4" w:space="0"/>
              <w:right w:val="single" w:color="000000" w:sz="4" w:space="0"/>
            </w:tcBorders>
            <w:vAlign w:val="center"/>
          </w:tcPr>
          <w:p w14:paraId="67BC47CF">
            <w:pPr>
              <w:pStyle w:val="71"/>
              <w:spacing w:before="24" w:after="24"/>
              <w:rPr>
                <w:rFonts w:cs="Times New Roman"/>
              </w:rPr>
            </w:pPr>
            <w:r>
              <w:rPr>
                <w:rFonts w:cs="Times New Roman"/>
              </w:rPr>
              <w:t>15～30</w:t>
            </w:r>
          </w:p>
        </w:tc>
      </w:tr>
      <w:tr w14:paraId="6A2B17AC">
        <w:tblPrEx>
          <w:tblCellMar>
            <w:top w:w="0" w:type="dxa"/>
            <w:left w:w="108" w:type="dxa"/>
            <w:bottom w:w="0" w:type="dxa"/>
            <w:right w:w="108" w:type="dxa"/>
          </w:tblCellMar>
        </w:tblPrEx>
        <w:trPr>
          <w:trHeight w:val="90" w:hRule="atLeast"/>
        </w:trPr>
        <w:tc>
          <w:tcPr>
            <w:tcW w:w="581" w:type="pct"/>
            <w:vMerge w:val="continue"/>
            <w:tcBorders>
              <w:top w:val="nil"/>
              <w:left w:val="single" w:color="000000" w:sz="4" w:space="0"/>
              <w:bottom w:val="single" w:color="000000" w:sz="4" w:space="0"/>
              <w:right w:val="single" w:color="000000" w:sz="4" w:space="0"/>
            </w:tcBorders>
            <w:vAlign w:val="center"/>
          </w:tcPr>
          <w:p w14:paraId="6B50FC8A">
            <w:pPr>
              <w:pStyle w:val="71"/>
              <w:spacing w:before="24" w:after="24"/>
              <w:rPr>
                <w:rFonts w:cs="Times New Roman"/>
              </w:rPr>
            </w:pPr>
          </w:p>
        </w:tc>
        <w:tc>
          <w:tcPr>
            <w:tcW w:w="2532" w:type="pct"/>
            <w:tcBorders>
              <w:top w:val="single" w:color="000000" w:sz="4" w:space="0"/>
              <w:left w:val="nil"/>
              <w:bottom w:val="single" w:color="000000" w:sz="4" w:space="0"/>
              <w:right w:val="single" w:color="000000" w:sz="4" w:space="0"/>
            </w:tcBorders>
            <w:vAlign w:val="center"/>
          </w:tcPr>
          <w:p w14:paraId="1CF53D7C">
            <w:pPr>
              <w:pStyle w:val="71"/>
              <w:spacing w:before="24" w:after="24"/>
              <w:rPr>
                <w:rFonts w:cs="Times New Roman"/>
              </w:rPr>
            </w:pPr>
            <w:r>
              <w:rPr>
                <w:rFonts w:cs="Times New Roman"/>
              </w:rPr>
              <w:t>会堂（会议及文艺演出）</w:t>
            </w:r>
          </w:p>
        </w:tc>
        <w:tc>
          <w:tcPr>
            <w:tcW w:w="1885" w:type="pct"/>
            <w:tcBorders>
              <w:top w:val="single" w:color="000000" w:sz="4" w:space="0"/>
              <w:left w:val="nil"/>
              <w:bottom w:val="single" w:color="000000" w:sz="4" w:space="0"/>
              <w:right w:val="single" w:color="000000" w:sz="4" w:space="0"/>
            </w:tcBorders>
            <w:vAlign w:val="center"/>
          </w:tcPr>
          <w:p w14:paraId="07448190">
            <w:pPr>
              <w:pStyle w:val="71"/>
              <w:spacing w:before="24" w:after="24"/>
              <w:rPr>
                <w:rFonts w:cs="Times New Roman"/>
              </w:rPr>
            </w:pPr>
            <w:r>
              <w:rPr>
                <w:rFonts w:cs="Times New Roman"/>
              </w:rPr>
              <w:t>40～60</w:t>
            </w:r>
          </w:p>
        </w:tc>
      </w:tr>
      <w:tr w14:paraId="0FA7640A">
        <w:tblPrEx>
          <w:tblCellMar>
            <w:top w:w="0" w:type="dxa"/>
            <w:left w:w="108" w:type="dxa"/>
            <w:bottom w:w="0" w:type="dxa"/>
            <w:right w:w="108" w:type="dxa"/>
          </w:tblCellMar>
        </w:tblPrEx>
        <w:trPr>
          <w:trHeight w:val="90" w:hRule="atLeast"/>
        </w:trPr>
        <w:tc>
          <w:tcPr>
            <w:tcW w:w="581" w:type="pct"/>
            <w:tcBorders>
              <w:top w:val="single" w:color="000000" w:sz="4" w:space="0"/>
              <w:left w:val="single" w:color="000000" w:sz="4" w:space="0"/>
              <w:bottom w:val="single" w:color="000000" w:sz="4" w:space="0"/>
              <w:right w:val="single" w:color="000000" w:sz="4" w:space="0"/>
            </w:tcBorders>
            <w:vAlign w:val="center"/>
          </w:tcPr>
          <w:p w14:paraId="123821B1">
            <w:pPr>
              <w:pStyle w:val="71"/>
              <w:spacing w:before="24" w:after="24"/>
              <w:rPr>
                <w:rFonts w:cs="Times New Roman"/>
              </w:rPr>
            </w:pPr>
            <w:r>
              <w:rPr>
                <w:rFonts w:cs="Times New Roman"/>
              </w:rPr>
              <w:t>7</w:t>
            </w:r>
          </w:p>
        </w:tc>
        <w:tc>
          <w:tcPr>
            <w:tcW w:w="2532" w:type="pct"/>
            <w:tcBorders>
              <w:top w:val="single" w:color="000000" w:sz="4" w:space="0"/>
              <w:left w:val="nil"/>
              <w:bottom w:val="single" w:color="000000" w:sz="4" w:space="0"/>
              <w:right w:val="single" w:color="000000" w:sz="4" w:space="0"/>
            </w:tcBorders>
            <w:vAlign w:val="center"/>
          </w:tcPr>
          <w:p w14:paraId="0E712E9D">
            <w:pPr>
              <w:pStyle w:val="71"/>
              <w:spacing w:before="24" w:after="24"/>
              <w:rPr>
                <w:rFonts w:cs="Times New Roman"/>
              </w:rPr>
            </w:pPr>
            <w:r>
              <w:rPr>
                <w:rFonts w:cs="Times New Roman"/>
              </w:rPr>
              <w:t>办公楼</w:t>
            </w:r>
          </w:p>
        </w:tc>
        <w:tc>
          <w:tcPr>
            <w:tcW w:w="1885" w:type="pct"/>
            <w:tcBorders>
              <w:top w:val="single" w:color="000000" w:sz="4" w:space="0"/>
              <w:left w:val="nil"/>
              <w:bottom w:val="single" w:color="000000" w:sz="4" w:space="0"/>
              <w:right w:val="single" w:color="000000" w:sz="4" w:space="0"/>
            </w:tcBorders>
            <w:vAlign w:val="center"/>
          </w:tcPr>
          <w:p w14:paraId="2715F010">
            <w:pPr>
              <w:pStyle w:val="71"/>
              <w:spacing w:before="24" w:after="24"/>
              <w:rPr>
                <w:rFonts w:cs="Times New Roman"/>
              </w:rPr>
            </w:pPr>
            <w:r>
              <w:rPr>
                <w:rFonts w:cs="Times New Roman"/>
              </w:rPr>
              <w:t>20～40</w:t>
            </w:r>
          </w:p>
        </w:tc>
      </w:tr>
      <w:tr w14:paraId="32F040D8">
        <w:tblPrEx>
          <w:tblCellMar>
            <w:top w:w="0" w:type="dxa"/>
            <w:left w:w="108" w:type="dxa"/>
            <w:bottom w:w="0" w:type="dxa"/>
            <w:right w:w="108" w:type="dxa"/>
          </w:tblCellMar>
        </w:tblPrEx>
        <w:trPr>
          <w:trHeight w:val="90" w:hRule="atLeast"/>
        </w:trPr>
        <w:tc>
          <w:tcPr>
            <w:tcW w:w="581" w:type="pct"/>
            <w:tcBorders>
              <w:top w:val="single" w:color="000000" w:sz="4" w:space="0"/>
              <w:left w:val="single" w:color="000000" w:sz="4" w:space="0"/>
              <w:bottom w:val="single" w:color="000000" w:sz="4" w:space="0"/>
              <w:right w:val="single" w:color="000000" w:sz="4" w:space="0"/>
            </w:tcBorders>
          </w:tcPr>
          <w:p w14:paraId="23B59F63">
            <w:pPr>
              <w:pStyle w:val="71"/>
              <w:spacing w:before="24" w:after="24"/>
              <w:rPr>
                <w:rFonts w:cs="Times New Roman"/>
              </w:rPr>
            </w:pPr>
            <w:r>
              <w:rPr>
                <w:rFonts w:cs="Times New Roman"/>
              </w:rPr>
              <w:t>8</w:t>
            </w:r>
          </w:p>
        </w:tc>
        <w:tc>
          <w:tcPr>
            <w:tcW w:w="2532" w:type="pct"/>
            <w:tcBorders>
              <w:top w:val="single" w:color="000000" w:sz="4" w:space="0"/>
              <w:left w:val="nil"/>
              <w:bottom w:val="single" w:color="000000" w:sz="4" w:space="0"/>
              <w:right w:val="single" w:color="000000" w:sz="4" w:space="0"/>
            </w:tcBorders>
            <w:vAlign w:val="center"/>
          </w:tcPr>
          <w:p w14:paraId="09B064F2">
            <w:pPr>
              <w:pStyle w:val="71"/>
              <w:spacing w:before="24" w:after="24"/>
              <w:rPr>
                <w:rFonts w:cs="Times New Roman"/>
              </w:rPr>
            </w:pPr>
            <w:r>
              <w:rPr>
                <w:rFonts w:cs="Times New Roman"/>
              </w:rPr>
              <w:t>食堂</w:t>
            </w:r>
          </w:p>
        </w:tc>
        <w:tc>
          <w:tcPr>
            <w:tcW w:w="1885" w:type="pct"/>
            <w:tcBorders>
              <w:top w:val="single" w:color="000000" w:sz="4" w:space="0"/>
              <w:left w:val="nil"/>
              <w:bottom w:val="single" w:color="000000" w:sz="4" w:space="0"/>
              <w:right w:val="single" w:color="000000" w:sz="4" w:space="0"/>
            </w:tcBorders>
            <w:vAlign w:val="center"/>
          </w:tcPr>
          <w:p w14:paraId="4F1D526F">
            <w:pPr>
              <w:pStyle w:val="71"/>
              <w:spacing w:before="24" w:after="24"/>
              <w:rPr>
                <w:rFonts w:cs="Times New Roman"/>
              </w:rPr>
            </w:pPr>
            <w:r>
              <w:rPr>
                <w:rFonts w:cs="Times New Roman"/>
              </w:rPr>
              <w:t>25～70</w:t>
            </w:r>
          </w:p>
        </w:tc>
      </w:tr>
      <w:tr w14:paraId="565CC1CA">
        <w:tblPrEx>
          <w:tblCellMar>
            <w:top w:w="0" w:type="dxa"/>
            <w:left w:w="108" w:type="dxa"/>
            <w:bottom w:w="0" w:type="dxa"/>
            <w:right w:w="108" w:type="dxa"/>
          </w:tblCellMar>
        </w:tblPrEx>
        <w:trPr>
          <w:trHeight w:val="90" w:hRule="atLeast"/>
        </w:trPr>
        <w:tc>
          <w:tcPr>
            <w:tcW w:w="581" w:type="pct"/>
            <w:tcBorders>
              <w:top w:val="single" w:color="000000" w:sz="4" w:space="0"/>
              <w:left w:val="single" w:color="000000" w:sz="4" w:space="0"/>
              <w:bottom w:val="single" w:color="000000" w:sz="4" w:space="0"/>
              <w:right w:val="single" w:color="000000" w:sz="4" w:space="0"/>
            </w:tcBorders>
            <w:vAlign w:val="center"/>
          </w:tcPr>
          <w:p w14:paraId="45F4741D">
            <w:pPr>
              <w:pStyle w:val="71"/>
              <w:spacing w:before="24" w:after="24"/>
              <w:rPr>
                <w:rFonts w:cs="Times New Roman"/>
              </w:rPr>
            </w:pPr>
            <w:r>
              <w:rPr>
                <w:rFonts w:cs="Times New Roman"/>
              </w:rPr>
              <w:t>9</w:t>
            </w:r>
          </w:p>
        </w:tc>
        <w:tc>
          <w:tcPr>
            <w:tcW w:w="2532" w:type="pct"/>
            <w:tcBorders>
              <w:top w:val="single" w:color="000000" w:sz="4" w:space="0"/>
              <w:left w:val="nil"/>
              <w:bottom w:val="single" w:color="000000" w:sz="4" w:space="0"/>
              <w:right w:val="single" w:color="000000" w:sz="4" w:space="0"/>
            </w:tcBorders>
            <w:vAlign w:val="center"/>
          </w:tcPr>
          <w:p w14:paraId="4E17479D">
            <w:pPr>
              <w:pStyle w:val="71"/>
              <w:spacing w:before="24" w:after="24"/>
              <w:rPr>
                <w:rFonts w:cs="Times New Roman"/>
              </w:rPr>
            </w:pPr>
            <w:r>
              <w:rPr>
                <w:rFonts w:cs="Times New Roman"/>
              </w:rPr>
              <w:t>宿舍</w:t>
            </w:r>
          </w:p>
        </w:tc>
        <w:tc>
          <w:tcPr>
            <w:tcW w:w="1885" w:type="pct"/>
            <w:tcBorders>
              <w:top w:val="single" w:color="000000" w:sz="4" w:space="0"/>
              <w:left w:val="nil"/>
              <w:bottom w:val="single" w:color="000000" w:sz="4" w:space="0"/>
              <w:right w:val="single" w:color="000000" w:sz="4" w:space="0"/>
            </w:tcBorders>
            <w:vAlign w:val="center"/>
          </w:tcPr>
          <w:p w14:paraId="6E232C06">
            <w:pPr>
              <w:pStyle w:val="71"/>
              <w:spacing w:before="24" w:after="24"/>
              <w:rPr>
                <w:rFonts w:cs="Times New Roman"/>
              </w:rPr>
            </w:pPr>
            <w:r>
              <w:rPr>
                <w:rFonts w:cs="Times New Roman"/>
              </w:rPr>
              <w:t>每居室不小于1.5kW</w:t>
            </w:r>
          </w:p>
        </w:tc>
      </w:tr>
    </w:tbl>
    <w:p w14:paraId="3F833388">
      <w:pPr>
        <w:pStyle w:val="54"/>
        <w:spacing w:before="24" w:after="24"/>
      </w:pPr>
      <w:r>
        <w:t>注：表中实验楼为普通教学实验楼；未包括的中小学劳技教室，根据实际功能需求确定。</w:t>
      </w:r>
    </w:p>
    <w:p w14:paraId="275CB762">
      <w:pPr>
        <w:pStyle w:val="54"/>
        <w:numPr>
          <w:ilvl w:val="0"/>
          <w:numId w:val="2"/>
        </w:numPr>
        <w:spacing w:before="24" w:after="24"/>
        <w:outlineLvl w:val="5"/>
      </w:pPr>
      <w:r>
        <w:t>生活圈服务设施项目</w:t>
      </w:r>
    </w:p>
    <w:p w14:paraId="2AF3EF50">
      <w:pPr>
        <w:pStyle w:val="54"/>
        <w:spacing w:before="24" w:after="24"/>
      </w:pPr>
      <w:r>
        <w:t>综合服务中心建设项目：参照《全国民用建筑工程设计技术措施》第2.7.6条表2.7.6“各建筑物的单位建筑面积用电指标”和《中国南方电网10KV及以下业扩受电工程技术导则》（2018年版）第6.1条表6.1“办公用电负荷密度”，项目用电功率或负荷密度配置基本要求按80-100W/m²计算，具体根据实际使用功能调整。</w:t>
      </w:r>
    </w:p>
    <w:p w14:paraId="6B309931">
      <w:pPr>
        <w:pStyle w:val="54"/>
        <w:spacing w:before="24" w:after="24"/>
      </w:pPr>
      <w:r>
        <w:t>养老院建设项目：依据《民用建筑电气设计标准》GB 51348-2019，老年人照料设施归为公共建筑，建议按30-120 W/m²计算。</w:t>
      </w:r>
    </w:p>
    <w:p w14:paraId="4271D16E">
      <w:pPr>
        <w:pStyle w:val="54"/>
        <w:spacing w:before="24" w:after="24"/>
        <w:outlineLvl w:val="4"/>
      </w:pPr>
      <w:r>
        <w:t>6.1.2 基础设施工程</w:t>
      </w:r>
    </w:p>
    <w:p w14:paraId="237C40B4">
      <w:pPr>
        <w:pStyle w:val="54"/>
        <w:spacing w:before="24" w:after="24"/>
        <w:outlineLvl w:val="5"/>
      </w:pPr>
      <w:r>
        <w:t>（1）市政基础设施项目</w:t>
      </w:r>
    </w:p>
    <w:p w14:paraId="70CB07C3">
      <w:pPr>
        <w:pStyle w:val="54"/>
        <w:spacing w:before="24" w:after="24"/>
      </w:pPr>
      <w:r>
        <w:t>市政道路及配套基础设施‌：参考《城市道路工程设计规范》CJJ 37-2012、《城市道路照明设计标准》CJJ 45-2015，需结合道路等级、交通流量确定负荷。</w:t>
      </w:r>
    </w:p>
    <w:p w14:paraId="37F5C3E5">
      <w:pPr>
        <w:pStyle w:val="54"/>
        <w:spacing w:before="24" w:after="24"/>
      </w:pPr>
      <w:r>
        <w:t>‌滨江步行绿道‌：参考《城市绿道建设技术指南》建城〔2016〕228号，需结合绿化面积、休憩设施（如座椅、充电设备）计算负荷。参考《城市公园设计规范》GB 51192-2016和《城市广场设计规范》GB 50026-2020功能分区，结合《民用建筑电气设计标准》GB 51348-2019，负荷以景观照明、休憩设施为主，密度通常为5-15 W/m²（需根据实际设备功率调整）</w:t>
      </w:r>
    </w:p>
    <w:p w14:paraId="6A68EC00">
      <w:pPr>
        <w:pStyle w:val="54"/>
        <w:spacing w:before="24" w:after="24"/>
      </w:pPr>
      <w:r>
        <w:t>‌垃圾处理设施‌：参考《生活垃圾焚烧处理工程技术规范》HJ 1098-2020、《环境卫生设施设置标准》CJJ 27-2012，需满足焚烧炉、垃圾转运设备等特殊负荷。</w:t>
      </w:r>
    </w:p>
    <w:p w14:paraId="5632A499">
      <w:pPr>
        <w:pStyle w:val="54"/>
        <w:spacing w:before="24" w:after="24"/>
        <w:outlineLvl w:val="5"/>
      </w:pPr>
      <w:r>
        <w:t>（2）城市环境品质及历史文化保护项目</w:t>
      </w:r>
    </w:p>
    <w:p w14:paraId="6FE1714C">
      <w:pPr>
        <w:pStyle w:val="54"/>
        <w:spacing w:before="24" w:after="24"/>
      </w:pPr>
      <w:r>
        <w:t>参考《城市公园设计规范》GB 51192-2016和《城市广场设计规范》GB 50026-2020功能分区，结合《民用建筑电气设计标准》GB 51348-2019按功能分区估算，参考如下：</w:t>
      </w:r>
    </w:p>
    <w:p w14:paraId="36C46A25">
      <w:pPr>
        <w:pStyle w:val="54"/>
        <w:spacing w:before="24" w:after="24"/>
      </w:pPr>
      <w:r>
        <w:t>绿化休息区‌：5-10 W/m²（基础照明、少量插座）</w:t>
      </w:r>
    </w:p>
    <w:p w14:paraId="2828D8E5">
      <w:pPr>
        <w:pStyle w:val="54"/>
        <w:spacing w:before="24" w:after="24"/>
      </w:pPr>
      <w:r>
        <w:t>活动广场/集散广场‌：10-15 W/m²（照明、广播、部分时段插座）</w:t>
      </w:r>
    </w:p>
    <w:p w14:paraId="42159FA9">
      <w:pPr>
        <w:pStyle w:val="54"/>
        <w:spacing w:before="24" w:after="24"/>
      </w:pPr>
      <w:r>
        <w:t>服务建筑/管理用房‌：15-25 W/m²（参照公共建筑，含空调、设备）</w:t>
      </w:r>
    </w:p>
    <w:p w14:paraId="529AE166">
      <w:pPr>
        <w:pStyle w:val="54"/>
        <w:spacing w:before="24" w:after="24"/>
      </w:pPr>
      <w:r>
        <w:t>商业服务/文化展示区‌：20-30 W/m²（含广告、餐饮、展示设备）</w:t>
      </w:r>
    </w:p>
    <w:p w14:paraId="1AC5D914">
      <w:pPr>
        <w:pStyle w:val="54"/>
        <w:spacing w:before="24" w:after="24"/>
      </w:pPr>
      <w:r>
        <w:t>注意‌：最终需按设备容量和照明功率密度精确计算‌</w:t>
      </w:r>
    </w:p>
    <w:p w14:paraId="332591A2">
      <w:pPr>
        <w:pStyle w:val="54"/>
        <w:spacing w:before="24" w:after="24"/>
        <w:outlineLvl w:val="4"/>
      </w:pPr>
      <w:r>
        <w:t>6.1.3 机关单位办公及业务技术用房工程</w:t>
      </w:r>
    </w:p>
    <w:p w14:paraId="4350C4A0">
      <w:pPr>
        <w:pStyle w:val="54"/>
        <w:spacing w:before="24" w:after="24"/>
        <w:outlineLvl w:val="5"/>
      </w:pPr>
      <w:r>
        <w:t>（1）文教体卫项目</w:t>
      </w:r>
    </w:p>
    <w:p w14:paraId="0C9400A0">
      <w:pPr>
        <w:pStyle w:val="54"/>
        <w:spacing w:before="24" w:after="24"/>
      </w:pPr>
      <w:r>
        <w:t>‌文化服务类‌（工人文化宫）：参考《公共建筑节能设计标准》GB 50189-2015、《民用建筑电气设计标准》GB 51348-2019，需结合功能分区（如活动厅、阅览室）确定负荷。</w:t>
      </w:r>
    </w:p>
    <w:p w14:paraId="24E8AD14">
      <w:pPr>
        <w:pStyle w:val="54"/>
        <w:spacing w:before="24" w:after="24"/>
      </w:pPr>
      <w:r>
        <w:t>‌公共服务类‌（文物管理所、档案馆）：参考《档案馆建筑设计规范》JGJ 25-2010、《博物馆建筑设计规范》JGJ 66-2015，档案馆需考虑恒温恒湿设备，文物管理所需满足安防及展示设备负荷。</w:t>
      </w:r>
    </w:p>
    <w:p w14:paraId="0D449F87">
      <w:pPr>
        <w:pStyle w:val="54"/>
        <w:spacing w:before="24" w:after="24"/>
        <w:outlineLvl w:val="5"/>
      </w:pPr>
      <w:r>
        <w:t>（2）应急防灾项目</w:t>
      </w:r>
    </w:p>
    <w:p w14:paraId="1CA8A78E">
      <w:pPr>
        <w:pStyle w:val="54"/>
        <w:spacing w:before="24" w:after="24"/>
      </w:pPr>
      <w:r>
        <w:t>应急物资储备库‌：参考《粮食储备库建设标准》建标156-2011、《应急物资储备库设计规范》GB 51295-2018，需结合仓储面积、设备功率（如通风、消防系统）计算负荷。</w:t>
      </w:r>
    </w:p>
    <w:p w14:paraId="0D30BE31">
      <w:pPr>
        <w:pStyle w:val="54"/>
        <w:spacing w:before="24" w:after="24"/>
      </w:pPr>
      <w:r>
        <w:t>应急成品粮油储备库‌：参考《粮油储藏技术规范》GB/T 29890-2014，需考虑低温储粮设备、粮情检测系统等特殊负荷。</w:t>
      </w:r>
    </w:p>
    <w:p w14:paraId="21FD1BD8">
      <w:pPr>
        <w:pStyle w:val="54"/>
        <w:spacing w:before="24" w:after="24"/>
      </w:pPr>
      <w:r>
        <w:t>消防救援大队营房‌：参考《消防站设计标准》GB 51061-2017、《建筑设计防火规范》GB 50016-2014，需满足消防车辆充电、训练设施用电等负荷需求。</w:t>
      </w:r>
    </w:p>
    <w:p w14:paraId="0621F03C">
      <w:pPr>
        <w:pStyle w:val="54"/>
        <w:numPr>
          <w:ilvl w:val="0"/>
          <w:numId w:val="2"/>
        </w:numPr>
        <w:spacing w:before="24" w:after="24"/>
        <w:outlineLvl w:val="5"/>
      </w:pPr>
      <w:r>
        <w:t>机关单位办公用房及配套设施项目</w:t>
      </w:r>
    </w:p>
    <w:p w14:paraId="5F09DB34">
      <w:pPr>
        <w:pStyle w:val="54"/>
        <w:spacing w:before="24" w:after="24"/>
      </w:pPr>
      <w:r>
        <w:t>参照《全国民用建筑工程设计技术措施》第2.7.6条表2.7.6“各建筑物的单位建筑面积用电指标”和《中国南方电网10KV及以下业扩受电工程技术导则》（2018年版）第6.1条表6.1“办公用电负荷密度”，项目用电功率或负荷密度配置基本要求按80-100W/m²计算，具体根据实际使用功能调整。</w:t>
      </w:r>
    </w:p>
    <w:p w14:paraId="182B3694">
      <w:pPr>
        <w:pStyle w:val="54"/>
        <w:spacing w:before="24" w:after="24"/>
      </w:pPr>
      <w:r>
        <w:t>机关办公及公共服务类‌（党校、政务服务中心等）：参考《公共建筑节能设计标准》GB 50189-2015、《民用建筑电气设计标准》GB 51348-2019，需结合功能分区（如会议室、档案室）确定负荷。</w:t>
      </w:r>
    </w:p>
    <w:p w14:paraId="4CD999B1">
      <w:pPr>
        <w:pStyle w:val="54"/>
        <w:spacing w:before="24" w:after="24"/>
      </w:pPr>
      <w:r>
        <w:t>司法及监管类‌（人民法院、人民检察院、监管场所等）：参考《人民法院法庭建设标准》建标102-2007、《看守所建设标准》建标139-2010，需考虑安防设备、羁押区特殊用电等负荷。</w:t>
      </w:r>
    </w:p>
    <w:p w14:paraId="52E9F18B">
      <w:pPr>
        <w:pStyle w:val="54"/>
        <w:spacing w:before="24" w:after="24"/>
      </w:pPr>
      <w:r>
        <w:t>专业业务类‌（生态环境监测业务用房）：参考《环境监测站建设标准》建标128-2011，需满足实验室仪器、恒温恒湿设备等负荷需求。</w:t>
      </w:r>
    </w:p>
    <w:p w14:paraId="73E43DF4">
      <w:pPr>
        <w:pStyle w:val="54"/>
        <w:spacing w:before="24" w:after="24"/>
        <w:outlineLvl w:val="3"/>
      </w:pPr>
      <w:r>
        <w:t>6.2 照明系统指标</w:t>
      </w:r>
    </w:p>
    <w:p w14:paraId="1629BF64">
      <w:pPr>
        <w:pStyle w:val="54"/>
        <w:spacing w:before="24" w:after="24"/>
      </w:pPr>
      <w:r>
        <w:t>照度标准参照《建筑照明设计标准》GB/T50034-2024，功率值参照《建筑节能与可再生能源利用通用规范》GB55015-2021。各项目各场所照明质量及功率密度要求如下：</w:t>
      </w:r>
    </w:p>
    <w:p w14:paraId="5AA01BA5">
      <w:pPr>
        <w:pStyle w:val="54"/>
        <w:spacing w:before="24" w:after="24"/>
        <w:outlineLvl w:val="4"/>
      </w:pPr>
      <w:r>
        <w:t>6.2.1 保障和改善民生工程</w:t>
      </w:r>
    </w:p>
    <w:p w14:paraId="4B516B3F">
      <w:pPr>
        <w:pStyle w:val="54"/>
        <w:spacing w:before="24" w:after="24"/>
        <w:outlineLvl w:val="5"/>
      </w:pPr>
      <w:r>
        <w:t>（1）教育项目</w:t>
      </w:r>
    </w:p>
    <w:p w14:paraId="0D8C35B8">
      <w:pPr>
        <w:pStyle w:val="69"/>
        <w:rPr>
          <w:rFonts w:hint="eastAsia"/>
        </w:rPr>
      </w:pPr>
      <w:r>
        <w:t>各场所照明质量及功率密度</w:t>
      </w:r>
    </w:p>
    <w:tbl>
      <w:tblPr>
        <w:tblStyle w:val="30"/>
        <w:tblW w:w="4962" w:type="pct"/>
        <w:tblInd w:w="0" w:type="dxa"/>
        <w:tblLayout w:type="autofit"/>
        <w:tblCellMar>
          <w:top w:w="0" w:type="dxa"/>
          <w:left w:w="108" w:type="dxa"/>
          <w:bottom w:w="0" w:type="dxa"/>
          <w:right w:w="108" w:type="dxa"/>
        </w:tblCellMar>
      </w:tblPr>
      <w:tblGrid>
        <w:gridCol w:w="3112"/>
        <w:gridCol w:w="1605"/>
        <w:gridCol w:w="1584"/>
        <w:gridCol w:w="1611"/>
        <w:gridCol w:w="1303"/>
      </w:tblGrid>
      <w:tr w14:paraId="33045420">
        <w:tblPrEx>
          <w:tblCellMar>
            <w:top w:w="0" w:type="dxa"/>
            <w:left w:w="108" w:type="dxa"/>
            <w:bottom w:w="0" w:type="dxa"/>
            <w:right w:w="108" w:type="dxa"/>
          </w:tblCellMar>
        </w:tblPrEx>
        <w:trPr>
          <w:trHeight w:val="733" w:hRule="atLeast"/>
        </w:trPr>
        <w:tc>
          <w:tcPr>
            <w:tcW w:w="3259" w:type="dxa"/>
            <w:tcBorders>
              <w:top w:val="single" w:color="000000" w:sz="4" w:space="0"/>
              <w:left w:val="single" w:color="000000" w:sz="4" w:space="0"/>
              <w:bottom w:val="single" w:color="000000" w:sz="4" w:space="0"/>
              <w:right w:val="single" w:color="000000" w:sz="4" w:space="0"/>
            </w:tcBorders>
            <w:vAlign w:val="center"/>
          </w:tcPr>
          <w:p w14:paraId="56F5818D">
            <w:pPr>
              <w:pStyle w:val="71"/>
              <w:spacing w:before="24" w:after="24"/>
              <w:rPr>
                <w:rFonts w:cs="Times New Roman"/>
                <w:b/>
                <w:bCs/>
              </w:rPr>
            </w:pPr>
            <w:r>
              <w:rPr>
                <w:rFonts w:cs="Times New Roman"/>
                <w:b/>
                <w:bCs/>
              </w:rPr>
              <w:t>房间或场所</w:t>
            </w:r>
          </w:p>
        </w:tc>
        <w:tc>
          <w:tcPr>
            <w:tcW w:w="1649" w:type="dxa"/>
            <w:tcBorders>
              <w:top w:val="single" w:color="000000" w:sz="4" w:space="0"/>
              <w:left w:val="nil"/>
              <w:bottom w:val="single" w:color="000000" w:sz="4" w:space="0"/>
              <w:right w:val="single" w:color="000000" w:sz="4" w:space="0"/>
            </w:tcBorders>
            <w:vAlign w:val="center"/>
          </w:tcPr>
          <w:p w14:paraId="2377D06C">
            <w:pPr>
              <w:pStyle w:val="71"/>
              <w:spacing w:before="24" w:after="24"/>
              <w:rPr>
                <w:rFonts w:cs="Times New Roman"/>
                <w:b/>
                <w:bCs/>
              </w:rPr>
            </w:pPr>
            <w:r>
              <w:rPr>
                <w:rFonts w:cs="Times New Roman"/>
                <w:b/>
                <w:bCs/>
              </w:rPr>
              <w:t>照度标准（lx）</w:t>
            </w:r>
          </w:p>
        </w:tc>
        <w:tc>
          <w:tcPr>
            <w:tcW w:w="1634" w:type="dxa"/>
            <w:tcBorders>
              <w:top w:val="single" w:color="000000" w:sz="4" w:space="0"/>
              <w:left w:val="nil"/>
              <w:bottom w:val="single" w:color="000000" w:sz="4" w:space="0"/>
              <w:right w:val="single" w:color="000000" w:sz="4" w:space="0"/>
            </w:tcBorders>
            <w:vAlign w:val="center"/>
          </w:tcPr>
          <w:p w14:paraId="46837CAD">
            <w:pPr>
              <w:pStyle w:val="71"/>
              <w:spacing w:before="24" w:after="24"/>
              <w:rPr>
                <w:rFonts w:cs="Times New Roman"/>
                <w:b/>
                <w:bCs/>
              </w:rPr>
            </w:pPr>
            <w:r>
              <w:rPr>
                <w:rFonts w:cs="Times New Roman"/>
                <w:b/>
                <w:bCs/>
              </w:rPr>
              <w:t>照明功率度限值（W/㎡）</w:t>
            </w:r>
          </w:p>
        </w:tc>
        <w:tc>
          <w:tcPr>
            <w:tcW w:w="1634" w:type="dxa"/>
            <w:tcBorders>
              <w:top w:val="single" w:color="000000" w:sz="4" w:space="0"/>
              <w:left w:val="nil"/>
              <w:bottom w:val="single" w:color="000000" w:sz="4" w:space="0"/>
              <w:right w:val="single" w:color="000000" w:sz="4" w:space="0"/>
            </w:tcBorders>
            <w:vAlign w:val="center"/>
          </w:tcPr>
          <w:p w14:paraId="3D52D097">
            <w:pPr>
              <w:pStyle w:val="71"/>
              <w:spacing w:before="24" w:after="24"/>
              <w:rPr>
                <w:rFonts w:cs="Times New Roman"/>
                <w:b/>
                <w:bCs/>
              </w:rPr>
            </w:pPr>
            <w:r>
              <w:rPr>
                <w:rFonts w:cs="Times New Roman"/>
                <w:b/>
                <w:bCs/>
              </w:rPr>
              <w:t>统一眩光值（UGR）</w:t>
            </w:r>
          </w:p>
        </w:tc>
        <w:tc>
          <w:tcPr>
            <w:tcW w:w="1322" w:type="dxa"/>
            <w:tcBorders>
              <w:top w:val="single" w:color="000000" w:sz="4" w:space="0"/>
              <w:left w:val="nil"/>
              <w:bottom w:val="single" w:color="000000" w:sz="4" w:space="0"/>
              <w:right w:val="single" w:color="000000" w:sz="4" w:space="0"/>
            </w:tcBorders>
            <w:vAlign w:val="center"/>
          </w:tcPr>
          <w:p w14:paraId="2D18FF3B">
            <w:pPr>
              <w:pStyle w:val="71"/>
              <w:spacing w:before="24" w:after="24"/>
              <w:rPr>
                <w:rFonts w:cs="Times New Roman"/>
                <w:b/>
                <w:bCs/>
              </w:rPr>
            </w:pPr>
            <w:r>
              <w:rPr>
                <w:rFonts w:cs="Times New Roman"/>
                <w:b/>
                <w:bCs/>
              </w:rPr>
              <w:t>显色指数（Ra）</w:t>
            </w:r>
          </w:p>
        </w:tc>
      </w:tr>
      <w:tr w14:paraId="227C566D">
        <w:tblPrEx>
          <w:tblCellMar>
            <w:top w:w="0" w:type="dxa"/>
            <w:left w:w="108" w:type="dxa"/>
            <w:bottom w:w="0" w:type="dxa"/>
            <w:right w:w="108" w:type="dxa"/>
          </w:tblCellMar>
        </w:tblPrEx>
        <w:trPr>
          <w:trHeight w:val="583" w:hRule="atLeast"/>
        </w:trPr>
        <w:tc>
          <w:tcPr>
            <w:tcW w:w="3259" w:type="dxa"/>
            <w:tcBorders>
              <w:top w:val="single" w:color="000000" w:sz="4" w:space="0"/>
              <w:left w:val="single" w:color="000000" w:sz="4" w:space="0"/>
              <w:bottom w:val="single" w:color="000000" w:sz="4" w:space="0"/>
              <w:right w:val="single" w:color="000000" w:sz="4" w:space="0"/>
            </w:tcBorders>
            <w:vAlign w:val="center"/>
          </w:tcPr>
          <w:p w14:paraId="481C135C">
            <w:pPr>
              <w:pStyle w:val="71"/>
              <w:spacing w:before="24" w:after="24"/>
              <w:rPr>
                <w:rFonts w:cs="Times New Roman"/>
              </w:rPr>
            </w:pPr>
            <w:r>
              <w:rPr>
                <w:rFonts w:cs="Times New Roman"/>
              </w:rPr>
              <w:t>艺术学校的美术教室</w:t>
            </w:r>
          </w:p>
        </w:tc>
        <w:tc>
          <w:tcPr>
            <w:tcW w:w="1649" w:type="dxa"/>
            <w:tcBorders>
              <w:top w:val="single" w:color="000000" w:sz="4" w:space="0"/>
              <w:left w:val="nil"/>
              <w:bottom w:val="single" w:color="000000" w:sz="4" w:space="0"/>
              <w:right w:val="single" w:color="000000" w:sz="4" w:space="0"/>
            </w:tcBorders>
            <w:vAlign w:val="center"/>
          </w:tcPr>
          <w:p w14:paraId="781F920D">
            <w:pPr>
              <w:pStyle w:val="71"/>
              <w:spacing w:before="24" w:after="24"/>
              <w:rPr>
                <w:rFonts w:cs="Times New Roman"/>
              </w:rPr>
            </w:pPr>
            <w:r>
              <w:rPr>
                <w:rFonts w:cs="Times New Roman"/>
              </w:rPr>
              <w:t xml:space="preserve">750 </w:t>
            </w:r>
          </w:p>
        </w:tc>
        <w:tc>
          <w:tcPr>
            <w:tcW w:w="1634" w:type="dxa"/>
            <w:tcBorders>
              <w:top w:val="single" w:color="000000" w:sz="4" w:space="0"/>
              <w:left w:val="nil"/>
              <w:bottom w:val="single" w:color="000000" w:sz="4" w:space="0"/>
              <w:right w:val="single" w:color="000000" w:sz="4" w:space="0"/>
            </w:tcBorders>
            <w:vAlign w:val="center"/>
          </w:tcPr>
          <w:p w14:paraId="6E32F08F">
            <w:pPr>
              <w:pStyle w:val="71"/>
              <w:spacing w:before="24" w:after="24"/>
              <w:rPr>
                <w:rFonts w:cs="Times New Roman"/>
              </w:rPr>
            </w:pPr>
            <w:r>
              <w:rPr>
                <w:rFonts w:cs="Times New Roman"/>
              </w:rPr>
              <w:t>≤13.5</w:t>
            </w:r>
          </w:p>
        </w:tc>
        <w:tc>
          <w:tcPr>
            <w:tcW w:w="1634" w:type="dxa"/>
            <w:tcBorders>
              <w:top w:val="single" w:color="000000" w:sz="4" w:space="0"/>
              <w:left w:val="nil"/>
              <w:bottom w:val="single" w:color="000000" w:sz="4" w:space="0"/>
              <w:right w:val="single" w:color="000000" w:sz="4" w:space="0"/>
            </w:tcBorders>
            <w:vAlign w:val="center"/>
          </w:tcPr>
          <w:p w14:paraId="33439742">
            <w:pPr>
              <w:pStyle w:val="71"/>
              <w:spacing w:before="24" w:after="24"/>
              <w:rPr>
                <w:rFonts w:cs="Times New Roman"/>
              </w:rPr>
            </w:pPr>
            <w:r>
              <w:rPr>
                <w:rFonts w:cs="Times New Roman"/>
              </w:rPr>
              <w:t>≤19</w:t>
            </w:r>
          </w:p>
        </w:tc>
        <w:tc>
          <w:tcPr>
            <w:tcW w:w="1322" w:type="dxa"/>
            <w:tcBorders>
              <w:top w:val="single" w:color="000000" w:sz="4" w:space="0"/>
              <w:left w:val="nil"/>
              <w:bottom w:val="single" w:color="000000" w:sz="4" w:space="0"/>
              <w:right w:val="single" w:color="000000" w:sz="4" w:space="0"/>
            </w:tcBorders>
            <w:vAlign w:val="center"/>
          </w:tcPr>
          <w:p w14:paraId="430E9BD0">
            <w:pPr>
              <w:pStyle w:val="71"/>
              <w:spacing w:before="24" w:after="24"/>
              <w:rPr>
                <w:rFonts w:cs="Times New Roman"/>
              </w:rPr>
            </w:pPr>
            <w:r>
              <w:rPr>
                <w:rFonts w:cs="Times New Roman"/>
              </w:rPr>
              <w:t>≥90</w:t>
            </w:r>
          </w:p>
        </w:tc>
      </w:tr>
      <w:tr w14:paraId="773E3A79">
        <w:tblPrEx>
          <w:tblCellMar>
            <w:top w:w="0" w:type="dxa"/>
            <w:left w:w="108" w:type="dxa"/>
            <w:bottom w:w="0" w:type="dxa"/>
            <w:right w:w="108" w:type="dxa"/>
          </w:tblCellMar>
        </w:tblPrEx>
        <w:trPr>
          <w:trHeight w:val="583" w:hRule="atLeast"/>
        </w:trPr>
        <w:tc>
          <w:tcPr>
            <w:tcW w:w="3259" w:type="dxa"/>
            <w:tcBorders>
              <w:top w:val="single" w:color="000000" w:sz="4" w:space="0"/>
              <w:left w:val="single" w:color="000000" w:sz="4" w:space="0"/>
              <w:bottom w:val="single" w:color="000000" w:sz="4" w:space="0"/>
              <w:right w:val="single" w:color="000000" w:sz="4" w:space="0"/>
            </w:tcBorders>
            <w:vAlign w:val="center"/>
          </w:tcPr>
          <w:p w14:paraId="170C619A">
            <w:pPr>
              <w:pStyle w:val="71"/>
              <w:spacing w:before="24" w:after="24"/>
              <w:rPr>
                <w:rFonts w:cs="Times New Roman"/>
              </w:rPr>
            </w:pPr>
            <w:r>
              <w:rPr>
                <w:rFonts w:cs="Times New Roman"/>
              </w:rPr>
              <w:t>健身教室</w:t>
            </w:r>
          </w:p>
        </w:tc>
        <w:tc>
          <w:tcPr>
            <w:tcW w:w="1649" w:type="dxa"/>
            <w:tcBorders>
              <w:top w:val="single" w:color="000000" w:sz="4" w:space="0"/>
              <w:left w:val="nil"/>
              <w:bottom w:val="single" w:color="000000" w:sz="4" w:space="0"/>
              <w:right w:val="single" w:color="000000" w:sz="4" w:space="0"/>
            </w:tcBorders>
            <w:vAlign w:val="center"/>
          </w:tcPr>
          <w:p w14:paraId="510907CB">
            <w:pPr>
              <w:pStyle w:val="71"/>
              <w:spacing w:before="24" w:after="24"/>
              <w:rPr>
                <w:rFonts w:cs="Times New Roman"/>
              </w:rPr>
            </w:pPr>
            <w:r>
              <w:rPr>
                <w:rFonts w:cs="Times New Roman"/>
              </w:rPr>
              <w:t xml:space="preserve">300 </w:t>
            </w:r>
          </w:p>
        </w:tc>
        <w:tc>
          <w:tcPr>
            <w:tcW w:w="1634" w:type="dxa"/>
            <w:tcBorders>
              <w:top w:val="single" w:color="000000" w:sz="4" w:space="0"/>
              <w:left w:val="nil"/>
              <w:bottom w:val="single" w:color="000000" w:sz="4" w:space="0"/>
              <w:right w:val="single" w:color="000000" w:sz="4" w:space="0"/>
            </w:tcBorders>
            <w:vAlign w:val="center"/>
          </w:tcPr>
          <w:p w14:paraId="627CCF16">
            <w:pPr>
              <w:pStyle w:val="71"/>
              <w:spacing w:before="24" w:after="24"/>
              <w:rPr>
                <w:rFonts w:cs="Times New Roman"/>
              </w:rPr>
            </w:pPr>
            <w:r>
              <w:rPr>
                <w:rFonts w:cs="Times New Roman"/>
              </w:rPr>
              <w:t>≤8.0</w:t>
            </w:r>
          </w:p>
        </w:tc>
        <w:tc>
          <w:tcPr>
            <w:tcW w:w="1634" w:type="dxa"/>
            <w:tcBorders>
              <w:top w:val="single" w:color="000000" w:sz="4" w:space="0"/>
              <w:left w:val="nil"/>
              <w:bottom w:val="single" w:color="000000" w:sz="4" w:space="0"/>
              <w:right w:val="single" w:color="000000" w:sz="4" w:space="0"/>
            </w:tcBorders>
            <w:vAlign w:val="center"/>
          </w:tcPr>
          <w:p w14:paraId="69215EC0">
            <w:pPr>
              <w:pStyle w:val="71"/>
              <w:spacing w:before="24" w:after="24"/>
              <w:rPr>
                <w:rFonts w:cs="Times New Roman"/>
              </w:rPr>
            </w:pPr>
            <w:r>
              <w:rPr>
                <w:rFonts w:cs="Times New Roman"/>
              </w:rPr>
              <w:t>≤22</w:t>
            </w:r>
          </w:p>
        </w:tc>
        <w:tc>
          <w:tcPr>
            <w:tcW w:w="1322" w:type="dxa"/>
            <w:tcBorders>
              <w:top w:val="single" w:color="000000" w:sz="4" w:space="0"/>
              <w:left w:val="nil"/>
              <w:bottom w:val="single" w:color="000000" w:sz="4" w:space="0"/>
              <w:right w:val="single" w:color="000000" w:sz="4" w:space="0"/>
            </w:tcBorders>
            <w:vAlign w:val="center"/>
          </w:tcPr>
          <w:p w14:paraId="403CCAD6">
            <w:pPr>
              <w:pStyle w:val="71"/>
              <w:spacing w:before="24" w:after="24"/>
              <w:rPr>
                <w:rFonts w:cs="Times New Roman"/>
              </w:rPr>
            </w:pPr>
            <w:r>
              <w:rPr>
                <w:rFonts w:cs="Times New Roman"/>
              </w:rPr>
              <w:t>≥80</w:t>
            </w:r>
          </w:p>
        </w:tc>
      </w:tr>
      <w:tr w14:paraId="6752FBA6">
        <w:tblPrEx>
          <w:tblCellMar>
            <w:top w:w="0" w:type="dxa"/>
            <w:left w:w="108" w:type="dxa"/>
            <w:bottom w:w="0" w:type="dxa"/>
            <w:right w:w="108" w:type="dxa"/>
          </w:tblCellMar>
        </w:tblPrEx>
        <w:trPr>
          <w:trHeight w:val="583" w:hRule="atLeast"/>
        </w:trPr>
        <w:tc>
          <w:tcPr>
            <w:tcW w:w="3259" w:type="dxa"/>
            <w:tcBorders>
              <w:top w:val="single" w:color="000000" w:sz="4" w:space="0"/>
              <w:left w:val="single" w:color="000000" w:sz="4" w:space="0"/>
              <w:bottom w:val="single" w:color="000000" w:sz="4" w:space="0"/>
              <w:right w:val="single" w:color="000000" w:sz="4" w:space="0"/>
            </w:tcBorders>
            <w:vAlign w:val="center"/>
          </w:tcPr>
          <w:p w14:paraId="29561FC8">
            <w:pPr>
              <w:pStyle w:val="71"/>
              <w:spacing w:before="24" w:after="24"/>
              <w:rPr>
                <w:rFonts w:cs="Times New Roman"/>
              </w:rPr>
            </w:pPr>
            <w:r>
              <w:rPr>
                <w:rFonts w:cs="Times New Roman"/>
              </w:rPr>
              <w:t>工程制图教室</w:t>
            </w:r>
          </w:p>
        </w:tc>
        <w:tc>
          <w:tcPr>
            <w:tcW w:w="1649" w:type="dxa"/>
            <w:tcBorders>
              <w:top w:val="single" w:color="000000" w:sz="4" w:space="0"/>
              <w:left w:val="nil"/>
              <w:bottom w:val="single" w:color="000000" w:sz="4" w:space="0"/>
              <w:right w:val="single" w:color="000000" w:sz="4" w:space="0"/>
            </w:tcBorders>
            <w:vAlign w:val="center"/>
          </w:tcPr>
          <w:p w14:paraId="680DFDD1">
            <w:pPr>
              <w:pStyle w:val="71"/>
              <w:spacing w:before="24" w:after="24"/>
              <w:rPr>
                <w:rFonts w:cs="Times New Roman"/>
              </w:rPr>
            </w:pPr>
            <w:r>
              <w:rPr>
                <w:rFonts w:cs="Times New Roman"/>
              </w:rPr>
              <w:t xml:space="preserve">500 </w:t>
            </w:r>
          </w:p>
        </w:tc>
        <w:tc>
          <w:tcPr>
            <w:tcW w:w="1634" w:type="dxa"/>
            <w:tcBorders>
              <w:top w:val="single" w:color="000000" w:sz="4" w:space="0"/>
              <w:left w:val="nil"/>
              <w:bottom w:val="single" w:color="000000" w:sz="4" w:space="0"/>
              <w:right w:val="single" w:color="000000" w:sz="4" w:space="0"/>
            </w:tcBorders>
            <w:vAlign w:val="center"/>
          </w:tcPr>
          <w:p w14:paraId="7BCF23AC">
            <w:pPr>
              <w:pStyle w:val="71"/>
              <w:spacing w:before="24" w:after="24"/>
              <w:rPr>
                <w:rFonts w:cs="Times New Roman"/>
              </w:rPr>
            </w:pPr>
            <w:r>
              <w:rPr>
                <w:rFonts w:cs="Times New Roman"/>
              </w:rPr>
              <w:t>≤13.5</w:t>
            </w:r>
          </w:p>
        </w:tc>
        <w:tc>
          <w:tcPr>
            <w:tcW w:w="1634" w:type="dxa"/>
            <w:tcBorders>
              <w:top w:val="single" w:color="000000" w:sz="4" w:space="0"/>
              <w:left w:val="nil"/>
              <w:bottom w:val="single" w:color="000000" w:sz="4" w:space="0"/>
              <w:right w:val="single" w:color="000000" w:sz="4" w:space="0"/>
            </w:tcBorders>
            <w:vAlign w:val="center"/>
          </w:tcPr>
          <w:p w14:paraId="54987B23">
            <w:pPr>
              <w:pStyle w:val="71"/>
              <w:spacing w:before="24" w:after="24"/>
              <w:rPr>
                <w:rFonts w:cs="Times New Roman"/>
              </w:rPr>
            </w:pPr>
            <w:r>
              <w:rPr>
                <w:rFonts w:cs="Times New Roman"/>
              </w:rPr>
              <w:t>≤19</w:t>
            </w:r>
          </w:p>
        </w:tc>
        <w:tc>
          <w:tcPr>
            <w:tcW w:w="1322" w:type="dxa"/>
            <w:tcBorders>
              <w:top w:val="single" w:color="000000" w:sz="4" w:space="0"/>
              <w:left w:val="nil"/>
              <w:bottom w:val="single" w:color="000000" w:sz="4" w:space="0"/>
              <w:right w:val="single" w:color="000000" w:sz="4" w:space="0"/>
            </w:tcBorders>
            <w:vAlign w:val="center"/>
          </w:tcPr>
          <w:p w14:paraId="78B8DF14">
            <w:pPr>
              <w:pStyle w:val="71"/>
              <w:spacing w:before="24" w:after="24"/>
              <w:rPr>
                <w:rFonts w:cs="Times New Roman"/>
              </w:rPr>
            </w:pPr>
            <w:r>
              <w:rPr>
                <w:rFonts w:cs="Times New Roman"/>
              </w:rPr>
              <w:t>≥80</w:t>
            </w:r>
          </w:p>
        </w:tc>
      </w:tr>
      <w:tr w14:paraId="63801850">
        <w:tblPrEx>
          <w:tblCellMar>
            <w:top w:w="0" w:type="dxa"/>
            <w:left w:w="108" w:type="dxa"/>
            <w:bottom w:w="0" w:type="dxa"/>
            <w:right w:w="108" w:type="dxa"/>
          </w:tblCellMar>
        </w:tblPrEx>
        <w:trPr>
          <w:trHeight w:val="588" w:hRule="atLeast"/>
        </w:trPr>
        <w:tc>
          <w:tcPr>
            <w:tcW w:w="3259" w:type="dxa"/>
            <w:tcBorders>
              <w:top w:val="single" w:color="000000" w:sz="4" w:space="0"/>
              <w:left w:val="single" w:color="000000" w:sz="4" w:space="0"/>
              <w:bottom w:val="single" w:color="000000" w:sz="4" w:space="0"/>
              <w:right w:val="single" w:color="000000" w:sz="4" w:space="0"/>
            </w:tcBorders>
            <w:vAlign w:val="center"/>
          </w:tcPr>
          <w:p w14:paraId="758CF308">
            <w:pPr>
              <w:pStyle w:val="71"/>
              <w:spacing w:before="24" w:after="24"/>
              <w:rPr>
                <w:rFonts w:cs="Times New Roman"/>
              </w:rPr>
            </w:pPr>
            <w:r>
              <w:rPr>
                <w:rFonts w:cs="Times New Roman"/>
              </w:rPr>
              <w:t>电子信息机房</w:t>
            </w:r>
          </w:p>
        </w:tc>
        <w:tc>
          <w:tcPr>
            <w:tcW w:w="1649" w:type="dxa"/>
            <w:tcBorders>
              <w:top w:val="single" w:color="000000" w:sz="4" w:space="0"/>
              <w:left w:val="nil"/>
              <w:bottom w:val="single" w:color="000000" w:sz="4" w:space="0"/>
              <w:right w:val="single" w:color="000000" w:sz="4" w:space="0"/>
            </w:tcBorders>
            <w:vAlign w:val="center"/>
          </w:tcPr>
          <w:p w14:paraId="3B54710B">
            <w:pPr>
              <w:pStyle w:val="71"/>
              <w:spacing w:before="24" w:after="24"/>
              <w:rPr>
                <w:rFonts w:cs="Times New Roman"/>
              </w:rPr>
            </w:pPr>
            <w:r>
              <w:rPr>
                <w:rFonts w:cs="Times New Roman"/>
              </w:rPr>
              <w:t xml:space="preserve">500 </w:t>
            </w:r>
          </w:p>
        </w:tc>
        <w:tc>
          <w:tcPr>
            <w:tcW w:w="1634" w:type="dxa"/>
            <w:tcBorders>
              <w:top w:val="single" w:color="000000" w:sz="4" w:space="0"/>
              <w:left w:val="nil"/>
              <w:bottom w:val="single" w:color="000000" w:sz="4" w:space="0"/>
              <w:right w:val="single" w:color="000000" w:sz="4" w:space="0"/>
            </w:tcBorders>
            <w:vAlign w:val="center"/>
          </w:tcPr>
          <w:p w14:paraId="318185A5">
            <w:pPr>
              <w:pStyle w:val="71"/>
              <w:spacing w:before="24" w:after="24"/>
              <w:rPr>
                <w:rFonts w:cs="Times New Roman"/>
              </w:rPr>
            </w:pPr>
            <w:r>
              <w:rPr>
                <w:rFonts w:cs="Times New Roman"/>
              </w:rPr>
              <w:t>≤13.5</w:t>
            </w:r>
          </w:p>
        </w:tc>
        <w:tc>
          <w:tcPr>
            <w:tcW w:w="1634" w:type="dxa"/>
            <w:tcBorders>
              <w:top w:val="single" w:color="000000" w:sz="4" w:space="0"/>
              <w:left w:val="nil"/>
              <w:bottom w:val="single" w:color="000000" w:sz="4" w:space="0"/>
              <w:right w:val="single" w:color="000000" w:sz="4" w:space="0"/>
            </w:tcBorders>
            <w:vAlign w:val="center"/>
          </w:tcPr>
          <w:p w14:paraId="50F0CBD4">
            <w:pPr>
              <w:pStyle w:val="71"/>
              <w:spacing w:before="24" w:after="24"/>
              <w:rPr>
                <w:rFonts w:cs="Times New Roman"/>
              </w:rPr>
            </w:pPr>
            <w:r>
              <w:rPr>
                <w:rFonts w:cs="Times New Roman"/>
              </w:rPr>
              <w:t>≤19</w:t>
            </w:r>
          </w:p>
        </w:tc>
        <w:tc>
          <w:tcPr>
            <w:tcW w:w="1322" w:type="dxa"/>
            <w:tcBorders>
              <w:top w:val="single" w:color="000000" w:sz="4" w:space="0"/>
              <w:left w:val="nil"/>
              <w:bottom w:val="single" w:color="000000" w:sz="4" w:space="0"/>
              <w:right w:val="single" w:color="000000" w:sz="4" w:space="0"/>
            </w:tcBorders>
            <w:vAlign w:val="center"/>
          </w:tcPr>
          <w:p w14:paraId="40C86965">
            <w:pPr>
              <w:pStyle w:val="71"/>
              <w:spacing w:before="24" w:after="24"/>
              <w:rPr>
                <w:rFonts w:cs="Times New Roman"/>
              </w:rPr>
            </w:pPr>
            <w:r>
              <w:rPr>
                <w:rFonts w:cs="Times New Roman"/>
              </w:rPr>
              <w:t>≥80</w:t>
            </w:r>
          </w:p>
        </w:tc>
      </w:tr>
      <w:tr w14:paraId="27447B9B">
        <w:tblPrEx>
          <w:tblCellMar>
            <w:top w:w="0" w:type="dxa"/>
            <w:left w:w="108" w:type="dxa"/>
            <w:bottom w:w="0" w:type="dxa"/>
            <w:right w:w="108" w:type="dxa"/>
          </w:tblCellMar>
        </w:tblPrEx>
        <w:trPr>
          <w:trHeight w:val="578" w:hRule="atLeast"/>
        </w:trPr>
        <w:tc>
          <w:tcPr>
            <w:tcW w:w="3259" w:type="dxa"/>
            <w:tcBorders>
              <w:top w:val="single" w:color="000000" w:sz="4" w:space="0"/>
              <w:left w:val="single" w:color="000000" w:sz="4" w:space="0"/>
              <w:bottom w:val="single" w:color="000000" w:sz="4" w:space="0"/>
              <w:right w:val="single" w:color="000000" w:sz="4" w:space="0"/>
            </w:tcBorders>
            <w:vAlign w:val="center"/>
          </w:tcPr>
          <w:p w14:paraId="44319FFC">
            <w:pPr>
              <w:pStyle w:val="71"/>
              <w:spacing w:before="24" w:after="24"/>
              <w:rPr>
                <w:rFonts w:cs="Times New Roman"/>
              </w:rPr>
            </w:pPr>
            <w:r>
              <w:rPr>
                <w:rFonts w:cs="Times New Roman"/>
              </w:rPr>
              <w:t>计算机教室、电子阅览室</w:t>
            </w:r>
          </w:p>
        </w:tc>
        <w:tc>
          <w:tcPr>
            <w:tcW w:w="1649" w:type="dxa"/>
            <w:tcBorders>
              <w:top w:val="single" w:color="000000" w:sz="4" w:space="0"/>
              <w:left w:val="nil"/>
              <w:bottom w:val="single" w:color="000000" w:sz="4" w:space="0"/>
              <w:right w:val="single" w:color="000000" w:sz="4" w:space="0"/>
            </w:tcBorders>
            <w:vAlign w:val="center"/>
          </w:tcPr>
          <w:p w14:paraId="3ED3681B">
            <w:pPr>
              <w:pStyle w:val="71"/>
              <w:spacing w:before="24" w:after="24"/>
              <w:rPr>
                <w:rFonts w:cs="Times New Roman"/>
              </w:rPr>
            </w:pPr>
            <w:r>
              <w:rPr>
                <w:rFonts w:cs="Times New Roman"/>
              </w:rPr>
              <w:t xml:space="preserve">500 </w:t>
            </w:r>
          </w:p>
        </w:tc>
        <w:tc>
          <w:tcPr>
            <w:tcW w:w="1634" w:type="dxa"/>
            <w:tcBorders>
              <w:top w:val="single" w:color="000000" w:sz="4" w:space="0"/>
              <w:left w:val="nil"/>
              <w:bottom w:val="single" w:color="000000" w:sz="4" w:space="0"/>
              <w:right w:val="single" w:color="000000" w:sz="4" w:space="0"/>
            </w:tcBorders>
            <w:vAlign w:val="center"/>
          </w:tcPr>
          <w:p w14:paraId="4F4D9A51">
            <w:pPr>
              <w:pStyle w:val="71"/>
              <w:spacing w:before="24" w:after="24"/>
              <w:rPr>
                <w:rFonts w:cs="Times New Roman"/>
              </w:rPr>
            </w:pPr>
            <w:r>
              <w:rPr>
                <w:rFonts w:cs="Times New Roman"/>
              </w:rPr>
              <w:t>≤13.5</w:t>
            </w:r>
          </w:p>
        </w:tc>
        <w:tc>
          <w:tcPr>
            <w:tcW w:w="1634" w:type="dxa"/>
            <w:tcBorders>
              <w:top w:val="single" w:color="000000" w:sz="4" w:space="0"/>
              <w:left w:val="nil"/>
              <w:bottom w:val="single" w:color="000000" w:sz="4" w:space="0"/>
              <w:right w:val="single" w:color="000000" w:sz="4" w:space="0"/>
            </w:tcBorders>
            <w:vAlign w:val="center"/>
          </w:tcPr>
          <w:p w14:paraId="6F25EC57">
            <w:pPr>
              <w:pStyle w:val="71"/>
              <w:spacing w:before="24" w:after="24"/>
              <w:rPr>
                <w:rFonts w:cs="Times New Roman"/>
              </w:rPr>
            </w:pPr>
            <w:r>
              <w:rPr>
                <w:rFonts w:cs="Times New Roman"/>
              </w:rPr>
              <w:t>≤19</w:t>
            </w:r>
          </w:p>
        </w:tc>
        <w:tc>
          <w:tcPr>
            <w:tcW w:w="1322" w:type="dxa"/>
            <w:tcBorders>
              <w:top w:val="single" w:color="000000" w:sz="4" w:space="0"/>
              <w:left w:val="nil"/>
              <w:bottom w:val="single" w:color="000000" w:sz="4" w:space="0"/>
              <w:right w:val="single" w:color="000000" w:sz="4" w:space="0"/>
            </w:tcBorders>
            <w:vAlign w:val="center"/>
          </w:tcPr>
          <w:p w14:paraId="1CE8BA6C">
            <w:pPr>
              <w:pStyle w:val="71"/>
              <w:spacing w:before="24" w:after="24"/>
              <w:rPr>
                <w:rFonts w:cs="Times New Roman"/>
              </w:rPr>
            </w:pPr>
            <w:r>
              <w:rPr>
                <w:rFonts w:cs="Times New Roman"/>
              </w:rPr>
              <w:t>≥80</w:t>
            </w:r>
          </w:p>
        </w:tc>
      </w:tr>
      <w:tr w14:paraId="065C3C1B">
        <w:tblPrEx>
          <w:tblCellMar>
            <w:top w:w="0" w:type="dxa"/>
            <w:left w:w="108" w:type="dxa"/>
            <w:bottom w:w="0" w:type="dxa"/>
            <w:right w:w="108" w:type="dxa"/>
          </w:tblCellMar>
        </w:tblPrEx>
        <w:trPr>
          <w:trHeight w:val="594" w:hRule="atLeast"/>
        </w:trPr>
        <w:tc>
          <w:tcPr>
            <w:tcW w:w="3259" w:type="dxa"/>
            <w:tcBorders>
              <w:top w:val="single" w:color="000000" w:sz="4" w:space="0"/>
              <w:left w:val="single" w:color="000000" w:sz="4" w:space="0"/>
              <w:bottom w:val="single" w:color="000000" w:sz="4" w:space="0"/>
              <w:right w:val="single" w:color="000000" w:sz="4" w:space="0"/>
            </w:tcBorders>
            <w:vAlign w:val="center"/>
          </w:tcPr>
          <w:p w14:paraId="0946AFE5">
            <w:pPr>
              <w:pStyle w:val="71"/>
              <w:spacing w:before="24" w:after="24"/>
              <w:rPr>
                <w:rFonts w:cs="Times New Roman"/>
              </w:rPr>
            </w:pPr>
            <w:r>
              <w:rPr>
                <w:rFonts w:cs="Times New Roman"/>
              </w:rPr>
              <w:t>会堂观众厅</w:t>
            </w:r>
          </w:p>
        </w:tc>
        <w:tc>
          <w:tcPr>
            <w:tcW w:w="1649" w:type="dxa"/>
            <w:tcBorders>
              <w:top w:val="single" w:color="000000" w:sz="4" w:space="0"/>
              <w:left w:val="nil"/>
              <w:bottom w:val="single" w:color="000000" w:sz="4" w:space="0"/>
              <w:right w:val="single" w:color="000000" w:sz="4" w:space="0"/>
            </w:tcBorders>
            <w:vAlign w:val="center"/>
          </w:tcPr>
          <w:p w14:paraId="77D69BB6">
            <w:pPr>
              <w:pStyle w:val="71"/>
              <w:spacing w:before="24" w:after="24"/>
              <w:rPr>
                <w:rFonts w:cs="Times New Roman"/>
              </w:rPr>
            </w:pPr>
            <w:r>
              <w:rPr>
                <w:rFonts w:cs="Times New Roman"/>
              </w:rPr>
              <w:t xml:space="preserve">200 </w:t>
            </w:r>
          </w:p>
        </w:tc>
        <w:tc>
          <w:tcPr>
            <w:tcW w:w="1634" w:type="dxa"/>
            <w:tcBorders>
              <w:top w:val="single" w:color="000000" w:sz="4" w:space="0"/>
              <w:left w:val="nil"/>
              <w:bottom w:val="single" w:color="000000" w:sz="4" w:space="0"/>
              <w:right w:val="single" w:color="000000" w:sz="4" w:space="0"/>
            </w:tcBorders>
            <w:vAlign w:val="center"/>
          </w:tcPr>
          <w:p w14:paraId="7F2085CE">
            <w:pPr>
              <w:pStyle w:val="71"/>
              <w:spacing w:before="24" w:after="24"/>
              <w:rPr>
                <w:rFonts w:cs="Times New Roman"/>
              </w:rPr>
            </w:pPr>
            <w:r>
              <w:rPr>
                <w:rFonts w:cs="Times New Roman"/>
              </w:rPr>
              <w:t>≤4.5</w:t>
            </w:r>
          </w:p>
        </w:tc>
        <w:tc>
          <w:tcPr>
            <w:tcW w:w="1634" w:type="dxa"/>
            <w:tcBorders>
              <w:top w:val="single" w:color="000000" w:sz="4" w:space="0"/>
              <w:left w:val="nil"/>
              <w:bottom w:val="single" w:color="000000" w:sz="4" w:space="0"/>
              <w:right w:val="single" w:color="000000" w:sz="4" w:space="0"/>
            </w:tcBorders>
            <w:vAlign w:val="center"/>
          </w:tcPr>
          <w:p w14:paraId="1DBA373C">
            <w:pPr>
              <w:pStyle w:val="71"/>
              <w:spacing w:before="24" w:after="24"/>
              <w:rPr>
                <w:rFonts w:cs="Times New Roman"/>
              </w:rPr>
            </w:pPr>
            <w:r>
              <w:rPr>
                <w:rFonts w:cs="Times New Roman"/>
              </w:rPr>
              <w:t>≤22</w:t>
            </w:r>
          </w:p>
        </w:tc>
        <w:tc>
          <w:tcPr>
            <w:tcW w:w="1322" w:type="dxa"/>
            <w:tcBorders>
              <w:top w:val="single" w:color="000000" w:sz="4" w:space="0"/>
              <w:left w:val="nil"/>
              <w:bottom w:val="single" w:color="000000" w:sz="4" w:space="0"/>
              <w:right w:val="single" w:color="000000" w:sz="4" w:space="0"/>
            </w:tcBorders>
            <w:vAlign w:val="center"/>
          </w:tcPr>
          <w:p w14:paraId="0BE5B4F8">
            <w:pPr>
              <w:pStyle w:val="71"/>
              <w:spacing w:before="24" w:after="24"/>
              <w:rPr>
                <w:rFonts w:cs="Times New Roman"/>
              </w:rPr>
            </w:pPr>
            <w:r>
              <w:rPr>
                <w:rFonts w:cs="Times New Roman"/>
              </w:rPr>
              <w:t>≥80</w:t>
            </w:r>
          </w:p>
        </w:tc>
      </w:tr>
      <w:tr w14:paraId="101103F9">
        <w:tblPrEx>
          <w:tblCellMar>
            <w:top w:w="0" w:type="dxa"/>
            <w:left w:w="108" w:type="dxa"/>
            <w:bottom w:w="0" w:type="dxa"/>
            <w:right w:w="108" w:type="dxa"/>
          </w:tblCellMar>
        </w:tblPrEx>
        <w:trPr>
          <w:trHeight w:val="583" w:hRule="atLeast"/>
        </w:trPr>
        <w:tc>
          <w:tcPr>
            <w:tcW w:w="3259" w:type="dxa"/>
            <w:tcBorders>
              <w:top w:val="single" w:color="000000" w:sz="4" w:space="0"/>
              <w:left w:val="single" w:color="000000" w:sz="4" w:space="0"/>
              <w:bottom w:val="single" w:color="000000" w:sz="4" w:space="0"/>
              <w:right w:val="single" w:color="000000" w:sz="4" w:space="0"/>
            </w:tcBorders>
            <w:vAlign w:val="center"/>
          </w:tcPr>
          <w:p w14:paraId="1B7A7927">
            <w:pPr>
              <w:pStyle w:val="71"/>
              <w:spacing w:before="24" w:after="24"/>
              <w:rPr>
                <w:rFonts w:cs="Times New Roman"/>
              </w:rPr>
            </w:pPr>
            <w:r>
              <w:rPr>
                <w:rFonts w:cs="Times New Roman"/>
              </w:rPr>
              <w:t>学生宿舍</w:t>
            </w:r>
          </w:p>
        </w:tc>
        <w:tc>
          <w:tcPr>
            <w:tcW w:w="1649" w:type="dxa"/>
            <w:tcBorders>
              <w:top w:val="single" w:color="000000" w:sz="4" w:space="0"/>
              <w:left w:val="nil"/>
              <w:bottom w:val="single" w:color="000000" w:sz="4" w:space="0"/>
              <w:right w:val="single" w:color="000000" w:sz="4" w:space="0"/>
            </w:tcBorders>
            <w:vAlign w:val="center"/>
          </w:tcPr>
          <w:p w14:paraId="4486A07D">
            <w:pPr>
              <w:pStyle w:val="71"/>
              <w:spacing w:before="24" w:after="24"/>
              <w:rPr>
                <w:rFonts w:cs="Times New Roman"/>
              </w:rPr>
            </w:pPr>
            <w:r>
              <w:rPr>
                <w:rFonts w:cs="Times New Roman"/>
              </w:rPr>
              <w:t xml:space="preserve">150 </w:t>
            </w:r>
          </w:p>
        </w:tc>
        <w:tc>
          <w:tcPr>
            <w:tcW w:w="1634" w:type="dxa"/>
            <w:tcBorders>
              <w:top w:val="single" w:color="000000" w:sz="4" w:space="0"/>
              <w:left w:val="nil"/>
              <w:bottom w:val="single" w:color="000000" w:sz="4" w:space="0"/>
              <w:right w:val="single" w:color="000000" w:sz="4" w:space="0"/>
            </w:tcBorders>
            <w:vAlign w:val="center"/>
          </w:tcPr>
          <w:p w14:paraId="7BC7B4A5">
            <w:pPr>
              <w:pStyle w:val="71"/>
              <w:spacing w:before="24" w:after="24"/>
              <w:rPr>
                <w:rFonts w:cs="Times New Roman"/>
              </w:rPr>
            </w:pPr>
            <w:r>
              <w:rPr>
                <w:rFonts w:cs="Times New Roman"/>
              </w:rPr>
              <w:t>≤4.5</w:t>
            </w:r>
          </w:p>
        </w:tc>
        <w:tc>
          <w:tcPr>
            <w:tcW w:w="1634" w:type="dxa"/>
            <w:tcBorders>
              <w:top w:val="single" w:color="000000" w:sz="4" w:space="0"/>
              <w:left w:val="nil"/>
              <w:bottom w:val="single" w:color="000000" w:sz="4" w:space="0"/>
              <w:right w:val="single" w:color="000000" w:sz="4" w:space="0"/>
            </w:tcBorders>
            <w:vAlign w:val="center"/>
          </w:tcPr>
          <w:p w14:paraId="376A2AF5">
            <w:pPr>
              <w:pStyle w:val="71"/>
              <w:spacing w:before="24" w:after="24"/>
              <w:rPr>
                <w:rFonts w:cs="Times New Roman"/>
              </w:rPr>
            </w:pPr>
            <w:r>
              <w:rPr>
                <w:rFonts w:cs="Times New Roman"/>
              </w:rPr>
              <w:t>/</w:t>
            </w:r>
          </w:p>
        </w:tc>
        <w:tc>
          <w:tcPr>
            <w:tcW w:w="1322" w:type="dxa"/>
            <w:tcBorders>
              <w:top w:val="single" w:color="000000" w:sz="4" w:space="0"/>
              <w:left w:val="nil"/>
              <w:bottom w:val="single" w:color="000000" w:sz="4" w:space="0"/>
              <w:right w:val="single" w:color="000000" w:sz="4" w:space="0"/>
            </w:tcBorders>
            <w:vAlign w:val="center"/>
          </w:tcPr>
          <w:p w14:paraId="7EFECD25">
            <w:pPr>
              <w:pStyle w:val="71"/>
              <w:spacing w:before="24" w:after="24"/>
              <w:rPr>
                <w:rFonts w:cs="Times New Roman"/>
              </w:rPr>
            </w:pPr>
            <w:r>
              <w:rPr>
                <w:rFonts w:cs="Times New Roman"/>
              </w:rPr>
              <w:t>≥80</w:t>
            </w:r>
          </w:p>
        </w:tc>
      </w:tr>
      <w:tr w14:paraId="3AA5F130">
        <w:tblPrEx>
          <w:tblCellMar>
            <w:top w:w="0" w:type="dxa"/>
            <w:left w:w="108" w:type="dxa"/>
            <w:bottom w:w="0" w:type="dxa"/>
            <w:right w:w="108" w:type="dxa"/>
          </w:tblCellMar>
        </w:tblPrEx>
        <w:trPr>
          <w:trHeight w:val="610" w:hRule="atLeast"/>
        </w:trPr>
        <w:tc>
          <w:tcPr>
            <w:tcW w:w="3259" w:type="dxa"/>
            <w:tcBorders>
              <w:top w:val="single" w:color="000000" w:sz="4" w:space="0"/>
              <w:left w:val="single" w:color="000000" w:sz="4" w:space="0"/>
              <w:bottom w:val="single" w:color="000000" w:sz="4" w:space="0"/>
              <w:right w:val="single" w:color="000000" w:sz="4" w:space="0"/>
            </w:tcBorders>
            <w:vAlign w:val="center"/>
          </w:tcPr>
          <w:p w14:paraId="77D220ED">
            <w:pPr>
              <w:pStyle w:val="71"/>
              <w:spacing w:before="24" w:after="24"/>
              <w:rPr>
                <w:rFonts w:cs="Times New Roman"/>
              </w:rPr>
            </w:pPr>
            <w:r>
              <w:rPr>
                <w:rFonts w:cs="Times New Roman"/>
              </w:rPr>
              <w:t>学生活动室</w:t>
            </w:r>
          </w:p>
        </w:tc>
        <w:tc>
          <w:tcPr>
            <w:tcW w:w="1649" w:type="dxa"/>
            <w:tcBorders>
              <w:top w:val="single" w:color="000000" w:sz="4" w:space="0"/>
              <w:left w:val="nil"/>
              <w:bottom w:val="single" w:color="000000" w:sz="4" w:space="0"/>
              <w:right w:val="single" w:color="000000" w:sz="4" w:space="0"/>
            </w:tcBorders>
            <w:vAlign w:val="center"/>
          </w:tcPr>
          <w:p w14:paraId="53460A26">
            <w:pPr>
              <w:pStyle w:val="71"/>
              <w:spacing w:before="24" w:after="24"/>
              <w:rPr>
                <w:rFonts w:cs="Times New Roman"/>
              </w:rPr>
            </w:pPr>
            <w:r>
              <w:rPr>
                <w:rFonts w:cs="Times New Roman"/>
              </w:rPr>
              <w:t xml:space="preserve">200 </w:t>
            </w:r>
          </w:p>
        </w:tc>
        <w:tc>
          <w:tcPr>
            <w:tcW w:w="1634" w:type="dxa"/>
            <w:tcBorders>
              <w:top w:val="single" w:color="000000" w:sz="4" w:space="0"/>
              <w:left w:val="nil"/>
              <w:bottom w:val="single" w:color="000000" w:sz="4" w:space="0"/>
              <w:right w:val="single" w:color="000000" w:sz="4" w:space="0"/>
            </w:tcBorders>
            <w:vAlign w:val="center"/>
          </w:tcPr>
          <w:p w14:paraId="41003CEE">
            <w:pPr>
              <w:pStyle w:val="71"/>
              <w:spacing w:before="24" w:after="24"/>
              <w:rPr>
                <w:rFonts w:cs="Times New Roman"/>
              </w:rPr>
            </w:pPr>
            <w:r>
              <w:rPr>
                <w:rFonts w:cs="Times New Roman"/>
              </w:rPr>
              <w:t>≤4.5</w:t>
            </w:r>
          </w:p>
        </w:tc>
        <w:tc>
          <w:tcPr>
            <w:tcW w:w="1634" w:type="dxa"/>
            <w:tcBorders>
              <w:top w:val="single" w:color="000000" w:sz="4" w:space="0"/>
              <w:left w:val="nil"/>
              <w:bottom w:val="single" w:color="000000" w:sz="4" w:space="0"/>
              <w:right w:val="single" w:color="000000" w:sz="4" w:space="0"/>
            </w:tcBorders>
            <w:vAlign w:val="center"/>
          </w:tcPr>
          <w:p w14:paraId="412E4A3B">
            <w:pPr>
              <w:pStyle w:val="71"/>
              <w:spacing w:before="24" w:after="24"/>
              <w:rPr>
                <w:rFonts w:cs="Times New Roman"/>
              </w:rPr>
            </w:pPr>
            <w:r>
              <w:rPr>
                <w:rFonts w:cs="Times New Roman"/>
              </w:rPr>
              <w:t>≤22</w:t>
            </w:r>
          </w:p>
        </w:tc>
        <w:tc>
          <w:tcPr>
            <w:tcW w:w="1322" w:type="dxa"/>
            <w:tcBorders>
              <w:top w:val="single" w:color="000000" w:sz="4" w:space="0"/>
              <w:left w:val="nil"/>
              <w:bottom w:val="single" w:color="000000" w:sz="4" w:space="0"/>
              <w:right w:val="single" w:color="000000" w:sz="4" w:space="0"/>
            </w:tcBorders>
            <w:vAlign w:val="center"/>
          </w:tcPr>
          <w:p w14:paraId="27E2961F">
            <w:pPr>
              <w:pStyle w:val="71"/>
              <w:spacing w:before="24" w:after="24"/>
              <w:rPr>
                <w:rFonts w:cs="Times New Roman"/>
              </w:rPr>
            </w:pPr>
            <w:r>
              <w:rPr>
                <w:rFonts w:cs="Times New Roman"/>
              </w:rPr>
              <w:t>≥80</w:t>
            </w:r>
          </w:p>
        </w:tc>
      </w:tr>
    </w:tbl>
    <w:p w14:paraId="0B2294AF">
      <w:pPr>
        <w:pStyle w:val="54"/>
        <w:snapToGrid w:val="0"/>
        <w:spacing w:before="240" w:beforeLines="100" w:after="0" w:afterLines="0"/>
        <w:outlineLvl w:val="5"/>
      </w:pPr>
      <w:r>
        <w:t>（2）生活圈服务设施项目</w:t>
      </w:r>
    </w:p>
    <w:p w14:paraId="48AEB3AC">
      <w:pPr>
        <w:pStyle w:val="54"/>
        <w:spacing w:before="24" w:after="24"/>
      </w:pPr>
      <w:r>
        <w:t>15分钟综合服务中心建设项目：</w:t>
      </w:r>
    </w:p>
    <w:p w14:paraId="712FACDE">
      <w:pPr>
        <w:pStyle w:val="69"/>
        <w:rPr>
          <w:rFonts w:hint="eastAsia"/>
        </w:rPr>
      </w:pPr>
      <w:r>
        <w:t>各场所照明质量及功率密度</w:t>
      </w:r>
    </w:p>
    <w:tbl>
      <w:tblPr>
        <w:tblStyle w:val="30"/>
        <w:tblW w:w="4994" w:type="pct"/>
        <w:tblInd w:w="0" w:type="dxa"/>
        <w:tblLayout w:type="autofit"/>
        <w:tblCellMar>
          <w:top w:w="0" w:type="dxa"/>
          <w:left w:w="108" w:type="dxa"/>
          <w:bottom w:w="0" w:type="dxa"/>
          <w:right w:w="108" w:type="dxa"/>
        </w:tblCellMar>
      </w:tblPr>
      <w:tblGrid>
        <w:gridCol w:w="2648"/>
        <w:gridCol w:w="921"/>
        <w:gridCol w:w="1428"/>
        <w:gridCol w:w="1415"/>
        <w:gridCol w:w="1431"/>
        <w:gridCol w:w="1432"/>
      </w:tblGrid>
      <w:tr w14:paraId="7E838085">
        <w:tblPrEx>
          <w:tblCellMar>
            <w:top w:w="0" w:type="dxa"/>
            <w:left w:w="108" w:type="dxa"/>
            <w:bottom w:w="0" w:type="dxa"/>
            <w:right w:w="108" w:type="dxa"/>
          </w:tblCellMar>
        </w:tblPrEx>
        <w:trPr>
          <w:trHeight w:val="1143" w:hRule="atLeast"/>
          <w:tblHeader/>
        </w:trPr>
        <w:tc>
          <w:tcPr>
            <w:tcW w:w="2648" w:type="dxa"/>
            <w:tcBorders>
              <w:top w:val="single" w:color="000000" w:sz="4" w:space="0"/>
              <w:left w:val="single" w:color="000000" w:sz="4" w:space="0"/>
              <w:bottom w:val="single" w:color="000000" w:sz="4" w:space="0"/>
              <w:right w:val="single" w:color="000000" w:sz="4" w:space="0"/>
            </w:tcBorders>
            <w:vAlign w:val="center"/>
          </w:tcPr>
          <w:p w14:paraId="4D07A341">
            <w:pPr>
              <w:pStyle w:val="71"/>
              <w:spacing w:before="24" w:after="24"/>
              <w:rPr>
                <w:rFonts w:cs="Times New Roman"/>
                <w:b/>
                <w:bCs/>
              </w:rPr>
            </w:pPr>
            <w:r>
              <w:rPr>
                <w:rFonts w:cs="Times New Roman"/>
                <w:b/>
                <w:bCs/>
              </w:rPr>
              <w:t>房间或场所</w:t>
            </w:r>
          </w:p>
        </w:tc>
        <w:tc>
          <w:tcPr>
            <w:tcW w:w="921" w:type="dxa"/>
            <w:tcBorders>
              <w:top w:val="single" w:color="000000" w:sz="4" w:space="0"/>
              <w:left w:val="nil"/>
              <w:bottom w:val="single" w:color="000000" w:sz="4" w:space="0"/>
              <w:right w:val="single" w:color="000000" w:sz="4" w:space="0"/>
            </w:tcBorders>
            <w:vAlign w:val="center"/>
          </w:tcPr>
          <w:p w14:paraId="390ECFF4">
            <w:pPr>
              <w:pStyle w:val="71"/>
              <w:spacing w:before="24" w:after="24"/>
              <w:rPr>
                <w:rFonts w:cs="Times New Roman"/>
                <w:b/>
                <w:bCs/>
              </w:rPr>
            </w:pPr>
            <w:r>
              <w:rPr>
                <w:rFonts w:cs="Times New Roman"/>
                <w:b/>
                <w:bCs/>
              </w:rPr>
              <w:t>照度标准（lx）</w:t>
            </w:r>
          </w:p>
        </w:tc>
        <w:tc>
          <w:tcPr>
            <w:tcW w:w="1428" w:type="dxa"/>
            <w:tcBorders>
              <w:top w:val="single" w:color="000000" w:sz="4" w:space="0"/>
              <w:left w:val="nil"/>
              <w:bottom w:val="single" w:color="000000" w:sz="4" w:space="0"/>
              <w:right w:val="single" w:color="000000" w:sz="4" w:space="0"/>
            </w:tcBorders>
            <w:vAlign w:val="center"/>
          </w:tcPr>
          <w:p w14:paraId="084C873B">
            <w:pPr>
              <w:pStyle w:val="71"/>
              <w:spacing w:before="24" w:after="24"/>
              <w:rPr>
                <w:rFonts w:cs="Times New Roman"/>
                <w:b/>
                <w:bCs/>
              </w:rPr>
            </w:pPr>
            <w:r>
              <w:rPr>
                <w:rFonts w:cs="Times New Roman"/>
                <w:b/>
                <w:bCs/>
              </w:rPr>
              <w:t>照明功率度限值（W/㎡）</w:t>
            </w:r>
          </w:p>
        </w:tc>
        <w:tc>
          <w:tcPr>
            <w:tcW w:w="1415" w:type="dxa"/>
            <w:tcBorders>
              <w:top w:val="single" w:color="000000" w:sz="4" w:space="0"/>
              <w:left w:val="nil"/>
              <w:bottom w:val="single" w:color="000000" w:sz="4" w:space="0"/>
              <w:right w:val="single" w:color="000000" w:sz="4" w:space="0"/>
            </w:tcBorders>
            <w:vAlign w:val="center"/>
          </w:tcPr>
          <w:p w14:paraId="7AEC8FC3">
            <w:pPr>
              <w:pStyle w:val="71"/>
              <w:spacing w:before="24" w:after="24"/>
              <w:rPr>
                <w:rFonts w:cs="Times New Roman"/>
                <w:b/>
                <w:bCs/>
              </w:rPr>
            </w:pPr>
            <w:r>
              <w:rPr>
                <w:rFonts w:cs="Times New Roman"/>
                <w:b/>
                <w:bCs/>
              </w:rPr>
              <w:t>统一眩光值（UGR）</w:t>
            </w:r>
          </w:p>
        </w:tc>
        <w:tc>
          <w:tcPr>
            <w:tcW w:w="1431" w:type="dxa"/>
            <w:tcBorders>
              <w:top w:val="single" w:color="000000" w:sz="4" w:space="0"/>
              <w:left w:val="nil"/>
              <w:bottom w:val="single" w:color="000000" w:sz="4" w:space="0"/>
              <w:right w:val="single" w:color="000000" w:sz="4" w:space="0"/>
            </w:tcBorders>
            <w:vAlign w:val="center"/>
          </w:tcPr>
          <w:p w14:paraId="605427EB">
            <w:pPr>
              <w:pStyle w:val="71"/>
              <w:spacing w:before="24" w:after="24"/>
              <w:rPr>
                <w:rFonts w:cs="Times New Roman"/>
                <w:b/>
                <w:bCs/>
              </w:rPr>
            </w:pPr>
            <w:r>
              <w:rPr>
                <w:rFonts w:cs="Times New Roman"/>
                <w:b/>
                <w:bCs/>
              </w:rPr>
              <w:t>照度均匀度（Uo）</w:t>
            </w:r>
          </w:p>
        </w:tc>
        <w:tc>
          <w:tcPr>
            <w:tcW w:w="1432" w:type="dxa"/>
            <w:tcBorders>
              <w:top w:val="single" w:color="000000" w:sz="4" w:space="0"/>
              <w:left w:val="nil"/>
              <w:bottom w:val="single" w:color="000000" w:sz="4" w:space="0"/>
              <w:right w:val="single" w:color="000000" w:sz="4" w:space="0"/>
            </w:tcBorders>
            <w:vAlign w:val="center"/>
          </w:tcPr>
          <w:p w14:paraId="178C5AC9">
            <w:pPr>
              <w:pStyle w:val="71"/>
              <w:spacing w:before="24" w:after="24"/>
              <w:rPr>
                <w:rFonts w:cs="Times New Roman"/>
                <w:b/>
                <w:bCs/>
              </w:rPr>
            </w:pPr>
            <w:r>
              <w:rPr>
                <w:rFonts w:cs="Times New Roman"/>
                <w:b/>
                <w:bCs/>
              </w:rPr>
              <w:t>光源显示指数（Ra）</w:t>
            </w:r>
          </w:p>
        </w:tc>
      </w:tr>
      <w:tr w14:paraId="2544B2CF">
        <w:tblPrEx>
          <w:tblCellMar>
            <w:top w:w="0" w:type="dxa"/>
            <w:left w:w="108" w:type="dxa"/>
            <w:bottom w:w="0" w:type="dxa"/>
            <w:right w:w="108" w:type="dxa"/>
          </w:tblCellMar>
        </w:tblPrEx>
        <w:trPr>
          <w:trHeight w:val="525" w:hRule="atLeast"/>
        </w:trPr>
        <w:tc>
          <w:tcPr>
            <w:tcW w:w="2648" w:type="dxa"/>
            <w:tcBorders>
              <w:top w:val="single" w:color="000000" w:sz="4" w:space="0"/>
              <w:left w:val="single" w:color="000000" w:sz="4" w:space="0"/>
              <w:bottom w:val="single" w:color="000000" w:sz="4" w:space="0"/>
              <w:right w:val="single" w:color="000000" w:sz="4" w:space="0"/>
            </w:tcBorders>
            <w:vAlign w:val="center"/>
          </w:tcPr>
          <w:p w14:paraId="15E674AA">
            <w:pPr>
              <w:pStyle w:val="71"/>
              <w:spacing w:before="24" w:after="24"/>
              <w:rPr>
                <w:rFonts w:cs="Times New Roman"/>
              </w:rPr>
            </w:pPr>
            <w:r>
              <w:rPr>
                <w:rFonts w:cs="Times New Roman"/>
              </w:rPr>
              <w:t>普通办公室</w:t>
            </w:r>
          </w:p>
        </w:tc>
        <w:tc>
          <w:tcPr>
            <w:tcW w:w="921" w:type="dxa"/>
            <w:tcBorders>
              <w:top w:val="single" w:color="000000" w:sz="4" w:space="0"/>
              <w:left w:val="nil"/>
              <w:bottom w:val="single" w:color="000000" w:sz="4" w:space="0"/>
              <w:right w:val="single" w:color="000000" w:sz="4" w:space="0"/>
            </w:tcBorders>
            <w:vAlign w:val="center"/>
          </w:tcPr>
          <w:p w14:paraId="45166B75">
            <w:pPr>
              <w:pStyle w:val="71"/>
              <w:spacing w:before="24" w:after="24"/>
              <w:rPr>
                <w:rFonts w:cs="Times New Roman"/>
              </w:rPr>
            </w:pPr>
            <w:r>
              <w:rPr>
                <w:rFonts w:cs="Times New Roman"/>
              </w:rPr>
              <w:t xml:space="preserve">300 </w:t>
            </w:r>
          </w:p>
        </w:tc>
        <w:tc>
          <w:tcPr>
            <w:tcW w:w="1428" w:type="dxa"/>
            <w:tcBorders>
              <w:top w:val="single" w:color="000000" w:sz="4" w:space="0"/>
              <w:left w:val="nil"/>
              <w:bottom w:val="single" w:color="000000" w:sz="4" w:space="0"/>
              <w:right w:val="single" w:color="000000" w:sz="4" w:space="0"/>
            </w:tcBorders>
            <w:vAlign w:val="center"/>
          </w:tcPr>
          <w:p w14:paraId="08254F35">
            <w:pPr>
              <w:pStyle w:val="71"/>
              <w:spacing w:before="24" w:after="24"/>
              <w:rPr>
                <w:rFonts w:cs="Times New Roman"/>
              </w:rPr>
            </w:pPr>
            <w:r>
              <w:rPr>
                <w:rFonts w:cs="Times New Roman"/>
              </w:rPr>
              <w:t>≤8.0</w:t>
            </w:r>
          </w:p>
        </w:tc>
        <w:tc>
          <w:tcPr>
            <w:tcW w:w="1415" w:type="dxa"/>
            <w:tcBorders>
              <w:top w:val="single" w:color="000000" w:sz="4" w:space="0"/>
              <w:left w:val="nil"/>
              <w:bottom w:val="single" w:color="000000" w:sz="4" w:space="0"/>
              <w:right w:val="single" w:color="000000" w:sz="4" w:space="0"/>
            </w:tcBorders>
            <w:vAlign w:val="center"/>
          </w:tcPr>
          <w:p w14:paraId="1A5C66B8">
            <w:pPr>
              <w:pStyle w:val="71"/>
              <w:spacing w:before="24" w:after="24"/>
              <w:rPr>
                <w:rFonts w:cs="Times New Roman"/>
              </w:rPr>
            </w:pPr>
            <w:r>
              <w:rPr>
                <w:rFonts w:cs="Times New Roman"/>
              </w:rPr>
              <w:t xml:space="preserve">19 </w:t>
            </w:r>
          </w:p>
        </w:tc>
        <w:tc>
          <w:tcPr>
            <w:tcW w:w="1431" w:type="dxa"/>
            <w:tcBorders>
              <w:top w:val="single" w:color="000000" w:sz="4" w:space="0"/>
              <w:left w:val="nil"/>
              <w:bottom w:val="single" w:color="000000" w:sz="4" w:space="0"/>
              <w:right w:val="single" w:color="000000" w:sz="4" w:space="0"/>
            </w:tcBorders>
            <w:vAlign w:val="center"/>
          </w:tcPr>
          <w:p w14:paraId="65DD58BD">
            <w:pPr>
              <w:pStyle w:val="71"/>
              <w:spacing w:before="24" w:after="24"/>
              <w:rPr>
                <w:rFonts w:cs="Times New Roman"/>
              </w:rPr>
            </w:pPr>
            <w:r>
              <w:rPr>
                <w:rFonts w:cs="Times New Roman"/>
              </w:rPr>
              <w:t xml:space="preserve">0.60 </w:t>
            </w:r>
          </w:p>
        </w:tc>
        <w:tc>
          <w:tcPr>
            <w:tcW w:w="1432" w:type="dxa"/>
            <w:tcBorders>
              <w:top w:val="single" w:color="000000" w:sz="4" w:space="0"/>
              <w:left w:val="nil"/>
              <w:bottom w:val="single" w:color="000000" w:sz="4" w:space="0"/>
              <w:right w:val="single" w:color="000000" w:sz="4" w:space="0"/>
            </w:tcBorders>
            <w:vAlign w:val="center"/>
          </w:tcPr>
          <w:p w14:paraId="77A237D4">
            <w:pPr>
              <w:pStyle w:val="71"/>
              <w:spacing w:before="24" w:after="24"/>
              <w:rPr>
                <w:rFonts w:cs="Times New Roman"/>
              </w:rPr>
            </w:pPr>
            <w:r>
              <w:rPr>
                <w:rFonts w:cs="Times New Roman"/>
              </w:rPr>
              <w:t xml:space="preserve">80 </w:t>
            </w:r>
          </w:p>
        </w:tc>
      </w:tr>
      <w:tr w14:paraId="37F230A3">
        <w:tblPrEx>
          <w:tblCellMar>
            <w:top w:w="0" w:type="dxa"/>
            <w:left w:w="108" w:type="dxa"/>
            <w:bottom w:w="0" w:type="dxa"/>
            <w:right w:w="108" w:type="dxa"/>
          </w:tblCellMar>
        </w:tblPrEx>
        <w:trPr>
          <w:trHeight w:val="525" w:hRule="atLeast"/>
        </w:trPr>
        <w:tc>
          <w:tcPr>
            <w:tcW w:w="2648" w:type="dxa"/>
            <w:tcBorders>
              <w:top w:val="single" w:color="000000" w:sz="4" w:space="0"/>
              <w:left w:val="single" w:color="000000" w:sz="4" w:space="0"/>
              <w:bottom w:val="single" w:color="000000" w:sz="4" w:space="0"/>
              <w:right w:val="single" w:color="000000" w:sz="4" w:space="0"/>
            </w:tcBorders>
            <w:vAlign w:val="center"/>
          </w:tcPr>
          <w:p w14:paraId="578C6D2A">
            <w:pPr>
              <w:pStyle w:val="71"/>
              <w:spacing w:before="24" w:after="24"/>
              <w:rPr>
                <w:rFonts w:cs="Times New Roman"/>
              </w:rPr>
            </w:pPr>
            <w:r>
              <w:rPr>
                <w:rFonts w:cs="Times New Roman"/>
              </w:rPr>
              <w:t>会议室</w:t>
            </w:r>
          </w:p>
        </w:tc>
        <w:tc>
          <w:tcPr>
            <w:tcW w:w="921" w:type="dxa"/>
            <w:tcBorders>
              <w:top w:val="single" w:color="000000" w:sz="4" w:space="0"/>
              <w:left w:val="nil"/>
              <w:bottom w:val="single" w:color="000000" w:sz="4" w:space="0"/>
              <w:right w:val="single" w:color="000000" w:sz="4" w:space="0"/>
            </w:tcBorders>
            <w:vAlign w:val="center"/>
          </w:tcPr>
          <w:p w14:paraId="4144C66A">
            <w:pPr>
              <w:pStyle w:val="71"/>
              <w:spacing w:before="24" w:after="24"/>
              <w:rPr>
                <w:rFonts w:cs="Times New Roman"/>
              </w:rPr>
            </w:pPr>
            <w:r>
              <w:rPr>
                <w:rFonts w:cs="Times New Roman"/>
              </w:rPr>
              <w:t xml:space="preserve">300 </w:t>
            </w:r>
          </w:p>
        </w:tc>
        <w:tc>
          <w:tcPr>
            <w:tcW w:w="1428" w:type="dxa"/>
            <w:tcBorders>
              <w:top w:val="single" w:color="000000" w:sz="4" w:space="0"/>
              <w:left w:val="nil"/>
              <w:bottom w:val="single" w:color="000000" w:sz="4" w:space="0"/>
              <w:right w:val="single" w:color="000000" w:sz="4" w:space="0"/>
            </w:tcBorders>
            <w:vAlign w:val="center"/>
          </w:tcPr>
          <w:p w14:paraId="067CA867">
            <w:pPr>
              <w:pStyle w:val="71"/>
              <w:spacing w:before="24" w:after="24"/>
              <w:rPr>
                <w:rFonts w:cs="Times New Roman"/>
              </w:rPr>
            </w:pPr>
            <w:r>
              <w:rPr>
                <w:rFonts w:cs="Times New Roman"/>
              </w:rPr>
              <w:t>≤10.0</w:t>
            </w:r>
          </w:p>
        </w:tc>
        <w:tc>
          <w:tcPr>
            <w:tcW w:w="1415" w:type="dxa"/>
            <w:tcBorders>
              <w:top w:val="single" w:color="000000" w:sz="4" w:space="0"/>
              <w:left w:val="nil"/>
              <w:bottom w:val="single" w:color="000000" w:sz="4" w:space="0"/>
              <w:right w:val="single" w:color="000000" w:sz="4" w:space="0"/>
            </w:tcBorders>
            <w:vAlign w:val="center"/>
          </w:tcPr>
          <w:p w14:paraId="77552D5D">
            <w:pPr>
              <w:pStyle w:val="71"/>
              <w:spacing w:before="24" w:after="24"/>
              <w:rPr>
                <w:rFonts w:cs="Times New Roman"/>
              </w:rPr>
            </w:pPr>
            <w:r>
              <w:rPr>
                <w:rFonts w:cs="Times New Roman"/>
              </w:rPr>
              <w:t xml:space="preserve">19 </w:t>
            </w:r>
          </w:p>
        </w:tc>
        <w:tc>
          <w:tcPr>
            <w:tcW w:w="1431" w:type="dxa"/>
            <w:tcBorders>
              <w:top w:val="single" w:color="000000" w:sz="4" w:space="0"/>
              <w:left w:val="nil"/>
              <w:bottom w:val="single" w:color="000000" w:sz="4" w:space="0"/>
              <w:right w:val="single" w:color="000000" w:sz="4" w:space="0"/>
            </w:tcBorders>
            <w:vAlign w:val="center"/>
          </w:tcPr>
          <w:p w14:paraId="19BA4099">
            <w:pPr>
              <w:pStyle w:val="71"/>
              <w:spacing w:before="24" w:after="24"/>
              <w:rPr>
                <w:rFonts w:cs="Times New Roman"/>
              </w:rPr>
            </w:pPr>
            <w:r>
              <w:rPr>
                <w:rFonts w:cs="Times New Roman"/>
              </w:rPr>
              <w:t xml:space="preserve">0.60 </w:t>
            </w:r>
          </w:p>
        </w:tc>
        <w:tc>
          <w:tcPr>
            <w:tcW w:w="1432" w:type="dxa"/>
            <w:tcBorders>
              <w:top w:val="single" w:color="000000" w:sz="4" w:space="0"/>
              <w:left w:val="nil"/>
              <w:bottom w:val="single" w:color="000000" w:sz="4" w:space="0"/>
              <w:right w:val="single" w:color="000000" w:sz="4" w:space="0"/>
            </w:tcBorders>
            <w:vAlign w:val="center"/>
          </w:tcPr>
          <w:p w14:paraId="194CF225">
            <w:pPr>
              <w:pStyle w:val="71"/>
              <w:spacing w:before="24" w:after="24"/>
              <w:rPr>
                <w:rFonts w:cs="Times New Roman"/>
              </w:rPr>
            </w:pPr>
            <w:r>
              <w:rPr>
                <w:rFonts w:cs="Times New Roman"/>
              </w:rPr>
              <w:t xml:space="preserve">80 </w:t>
            </w:r>
          </w:p>
        </w:tc>
      </w:tr>
      <w:tr w14:paraId="773CAC43">
        <w:tblPrEx>
          <w:tblCellMar>
            <w:top w:w="0" w:type="dxa"/>
            <w:left w:w="108" w:type="dxa"/>
            <w:bottom w:w="0" w:type="dxa"/>
            <w:right w:w="108" w:type="dxa"/>
          </w:tblCellMar>
        </w:tblPrEx>
        <w:trPr>
          <w:trHeight w:val="525" w:hRule="atLeast"/>
        </w:trPr>
        <w:tc>
          <w:tcPr>
            <w:tcW w:w="2648" w:type="dxa"/>
            <w:tcBorders>
              <w:top w:val="single" w:color="000000" w:sz="4" w:space="0"/>
              <w:left w:val="single" w:color="000000" w:sz="4" w:space="0"/>
              <w:bottom w:val="single" w:color="000000" w:sz="4" w:space="0"/>
              <w:right w:val="single" w:color="000000" w:sz="4" w:space="0"/>
            </w:tcBorders>
            <w:vAlign w:val="center"/>
          </w:tcPr>
          <w:p w14:paraId="6140A3B8">
            <w:pPr>
              <w:pStyle w:val="71"/>
              <w:spacing w:before="24" w:after="24"/>
              <w:rPr>
                <w:rFonts w:cs="Times New Roman"/>
              </w:rPr>
            </w:pPr>
            <w:r>
              <w:rPr>
                <w:rFonts w:cs="Times New Roman"/>
              </w:rPr>
              <w:t>视频会议室</w:t>
            </w:r>
          </w:p>
        </w:tc>
        <w:tc>
          <w:tcPr>
            <w:tcW w:w="921" w:type="dxa"/>
            <w:tcBorders>
              <w:top w:val="single" w:color="000000" w:sz="4" w:space="0"/>
              <w:left w:val="nil"/>
              <w:bottom w:val="single" w:color="000000" w:sz="4" w:space="0"/>
              <w:right w:val="single" w:color="000000" w:sz="4" w:space="0"/>
            </w:tcBorders>
            <w:vAlign w:val="center"/>
          </w:tcPr>
          <w:p w14:paraId="07D5C721">
            <w:pPr>
              <w:pStyle w:val="71"/>
              <w:spacing w:before="24" w:after="24"/>
              <w:rPr>
                <w:rFonts w:cs="Times New Roman"/>
              </w:rPr>
            </w:pPr>
            <w:r>
              <w:rPr>
                <w:rFonts w:cs="Times New Roman"/>
              </w:rPr>
              <w:t xml:space="preserve">750 </w:t>
            </w:r>
          </w:p>
        </w:tc>
        <w:tc>
          <w:tcPr>
            <w:tcW w:w="1428" w:type="dxa"/>
            <w:tcBorders>
              <w:top w:val="single" w:color="000000" w:sz="4" w:space="0"/>
              <w:left w:val="nil"/>
              <w:bottom w:val="single" w:color="000000" w:sz="4" w:space="0"/>
              <w:right w:val="single" w:color="000000" w:sz="4" w:space="0"/>
            </w:tcBorders>
            <w:vAlign w:val="center"/>
          </w:tcPr>
          <w:p w14:paraId="2F44E514">
            <w:pPr>
              <w:pStyle w:val="71"/>
              <w:spacing w:before="24" w:after="24"/>
              <w:rPr>
                <w:rFonts w:cs="Times New Roman"/>
              </w:rPr>
            </w:pPr>
            <w:r>
              <w:rPr>
                <w:rFonts w:cs="Times New Roman"/>
              </w:rPr>
              <w:t>≤13.5</w:t>
            </w:r>
          </w:p>
        </w:tc>
        <w:tc>
          <w:tcPr>
            <w:tcW w:w="1415" w:type="dxa"/>
            <w:tcBorders>
              <w:top w:val="single" w:color="000000" w:sz="4" w:space="0"/>
              <w:left w:val="nil"/>
              <w:bottom w:val="single" w:color="000000" w:sz="4" w:space="0"/>
              <w:right w:val="single" w:color="000000" w:sz="4" w:space="0"/>
            </w:tcBorders>
            <w:vAlign w:val="center"/>
          </w:tcPr>
          <w:p w14:paraId="0114EA90">
            <w:pPr>
              <w:pStyle w:val="71"/>
              <w:spacing w:before="24" w:after="24"/>
              <w:rPr>
                <w:rFonts w:cs="Times New Roman"/>
              </w:rPr>
            </w:pPr>
            <w:r>
              <w:rPr>
                <w:rFonts w:cs="Times New Roman"/>
              </w:rPr>
              <w:t xml:space="preserve">19 </w:t>
            </w:r>
          </w:p>
        </w:tc>
        <w:tc>
          <w:tcPr>
            <w:tcW w:w="1431" w:type="dxa"/>
            <w:tcBorders>
              <w:top w:val="single" w:color="000000" w:sz="4" w:space="0"/>
              <w:left w:val="nil"/>
              <w:bottom w:val="single" w:color="000000" w:sz="4" w:space="0"/>
              <w:right w:val="single" w:color="000000" w:sz="4" w:space="0"/>
            </w:tcBorders>
            <w:vAlign w:val="center"/>
          </w:tcPr>
          <w:p w14:paraId="1A7755EE">
            <w:pPr>
              <w:pStyle w:val="71"/>
              <w:spacing w:before="24" w:after="24"/>
              <w:rPr>
                <w:rFonts w:cs="Times New Roman"/>
              </w:rPr>
            </w:pPr>
            <w:r>
              <w:rPr>
                <w:rFonts w:cs="Times New Roman"/>
              </w:rPr>
              <w:t xml:space="preserve">0.60 </w:t>
            </w:r>
          </w:p>
        </w:tc>
        <w:tc>
          <w:tcPr>
            <w:tcW w:w="1432" w:type="dxa"/>
            <w:tcBorders>
              <w:top w:val="single" w:color="000000" w:sz="4" w:space="0"/>
              <w:left w:val="nil"/>
              <w:bottom w:val="single" w:color="000000" w:sz="4" w:space="0"/>
              <w:right w:val="single" w:color="000000" w:sz="4" w:space="0"/>
            </w:tcBorders>
            <w:vAlign w:val="center"/>
          </w:tcPr>
          <w:p w14:paraId="6F28471A">
            <w:pPr>
              <w:pStyle w:val="71"/>
              <w:spacing w:before="24" w:after="24"/>
              <w:rPr>
                <w:rFonts w:cs="Times New Roman"/>
              </w:rPr>
            </w:pPr>
            <w:r>
              <w:rPr>
                <w:rFonts w:cs="Times New Roman"/>
              </w:rPr>
              <w:t xml:space="preserve">80 </w:t>
            </w:r>
          </w:p>
        </w:tc>
      </w:tr>
      <w:tr w14:paraId="65FF1B87">
        <w:tblPrEx>
          <w:tblCellMar>
            <w:top w:w="0" w:type="dxa"/>
            <w:left w:w="108" w:type="dxa"/>
            <w:bottom w:w="0" w:type="dxa"/>
            <w:right w:w="108" w:type="dxa"/>
          </w:tblCellMar>
        </w:tblPrEx>
        <w:trPr>
          <w:trHeight w:val="525" w:hRule="atLeast"/>
        </w:trPr>
        <w:tc>
          <w:tcPr>
            <w:tcW w:w="2648" w:type="dxa"/>
            <w:tcBorders>
              <w:top w:val="single" w:color="000000" w:sz="4" w:space="0"/>
              <w:left w:val="single" w:color="000000" w:sz="4" w:space="0"/>
              <w:bottom w:val="single" w:color="000000" w:sz="4" w:space="0"/>
              <w:right w:val="single" w:color="000000" w:sz="4" w:space="0"/>
            </w:tcBorders>
            <w:vAlign w:val="center"/>
          </w:tcPr>
          <w:p w14:paraId="6DA979A7">
            <w:pPr>
              <w:pStyle w:val="71"/>
              <w:spacing w:before="24" w:after="24"/>
              <w:rPr>
                <w:rFonts w:cs="Times New Roman"/>
              </w:rPr>
            </w:pPr>
            <w:r>
              <w:rPr>
                <w:rFonts w:cs="Times New Roman"/>
              </w:rPr>
              <w:t>接待室、前台</w:t>
            </w:r>
          </w:p>
        </w:tc>
        <w:tc>
          <w:tcPr>
            <w:tcW w:w="921" w:type="dxa"/>
            <w:tcBorders>
              <w:top w:val="single" w:color="000000" w:sz="4" w:space="0"/>
              <w:left w:val="nil"/>
              <w:bottom w:val="single" w:color="000000" w:sz="4" w:space="0"/>
              <w:right w:val="single" w:color="000000" w:sz="4" w:space="0"/>
            </w:tcBorders>
            <w:vAlign w:val="center"/>
          </w:tcPr>
          <w:p w14:paraId="19ACEA7D">
            <w:pPr>
              <w:pStyle w:val="71"/>
              <w:spacing w:before="24" w:after="24"/>
              <w:rPr>
                <w:rFonts w:cs="Times New Roman"/>
              </w:rPr>
            </w:pPr>
            <w:r>
              <w:rPr>
                <w:rFonts w:cs="Times New Roman"/>
              </w:rPr>
              <w:t xml:space="preserve">200 </w:t>
            </w:r>
          </w:p>
        </w:tc>
        <w:tc>
          <w:tcPr>
            <w:tcW w:w="1428" w:type="dxa"/>
            <w:tcBorders>
              <w:top w:val="single" w:color="000000" w:sz="4" w:space="0"/>
              <w:left w:val="nil"/>
              <w:bottom w:val="single" w:color="000000" w:sz="4" w:space="0"/>
              <w:right w:val="single" w:color="000000" w:sz="4" w:space="0"/>
            </w:tcBorders>
            <w:vAlign w:val="center"/>
          </w:tcPr>
          <w:p w14:paraId="19AC89C4">
            <w:pPr>
              <w:pStyle w:val="71"/>
              <w:spacing w:before="24" w:after="24"/>
              <w:rPr>
                <w:rFonts w:cs="Times New Roman"/>
              </w:rPr>
            </w:pPr>
            <w:r>
              <w:rPr>
                <w:rFonts w:cs="Times New Roman"/>
              </w:rPr>
              <w:t>≤8.0</w:t>
            </w:r>
          </w:p>
        </w:tc>
        <w:tc>
          <w:tcPr>
            <w:tcW w:w="1415" w:type="dxa"/>
            <w:tcBorders>
              <w:top w:val="single" w:color="000000" w:sz="4" w:space="0"/>
              <w:left w:val="nil"/>
              <w:bottom w:val="single" w:color="000000" w:sz="4" w:space="0"/>
              <w:right w:val="single" w:color="000000" w:sz="4" w:space="0"/>
            </w:tcBorders>
            <w:vAlign w:val="center"/>
          </w:tcPr>
          <w:p w14:paraId="0B2DDB34">
            <w:pPr>
              <w:pStyle w:val="71"/>
              <w:spacing w:before="24" w:after="24"/>
              <w:rPr>
                <w:rFonts w:cs="Times New Roman"/>
              </w:rPr>
            </w:pPr>
            <w:r>
              <w:rPr>
                <w:rFonts w:cs="Times New Roman"/>
              </w:rPr>
              <w:t>/</w:t>
            </w:r>
          </w:p>
        </w:tc>
        <w:tc>
          <w:tcPr>
            <w:tcW w:w="1431" w:type="dxa"/>
            <w:tcBorders>
              <w:top w:val="single" w:color="000000" w:sz="4" w:space="0"/>
              <w:left w:val="nil"/>
              <w:bottom w:val="single" w:color="000000" w:sz="4" w:space="0"/>
              <w:right w:val="single" w:color="000000" w:sz="4" w:space="0"/>
            </w:tcBorders>
            <w:vAlign w:val="center"/>
          </w:tcPr>
          <w:p w14:paraId="793F19CD">
            <w:pPr>
              <w:pStyle w:val="71"/>
              <w:spacing w:before="24" w:after="24"/>
              <w:rPr>
                <w:rFonts w:cs="Times New Roman"/>
              </w:rPr>
            </w:pPr>
            <w:r>
              <w:rPr>
                <w:rFonts w:cs="Times New Roman"/>
              </w:rPr>
              <w:t xml:space="preserve">0.40 </w:t>
            </w:r>
          </w:p>
        </w:tc>
        <w:tc>
          <w:tcPr>
            <w:tcW w:w="1432" w:type="dxa"/>
            <w:tcBorders>
              <w:top w:val="single" w:color="000000" w:sz="4" w:space="0"/>
              <w:left w:val="nil"/>
              <w:bottom w:val="single" w:color="000000" w:sz="4" w:space="0"/>
              <w:right w:val="single" w:color="000000" w:sz="4" w:space="0"/>
            </w:tcBorders>
            <w:vAlign w:val="center"/>
          </w:tcPr>
          <w:p w14:paraId="04CDCB5B">
            <w:pPr>
              <w:pStyle w:val="71"/>
              <w:spacing w:before="24" w:after="24"/>
              <w:rPr>
                <w:rFonts w:cs="Times New Roman"/>
              </w:rPr>
            </w:pPr>
            <w:r>
              <w:rPr>
                <w:rFonts w:cs="Times New Roman"/>
              </w:rPr>
              <w:t xml:space="preserve">80 </w:t>
            </w:r>
          </w:p>
        </w:tc>
      </w:tr>
      <w:tr w14:paraId="19E8427F">
        <w:tblPrEx>
          <w:tblCellMar>
            <w:top w:w="0" w:type="dxa"/>
            <w:left w:w="108" w:type="dxa"/>
            <w:bottom w:w="0" w:type="dxa"/>
            <w:right w:w="108" w:type="dxa"/>
          </w:tblCellMar>
        </w:tblPrEx>
        <w:trPr>
          <w:trHeight w:val="525" w:hRule="atLeast"/>
        </w:trPr>
        <w:tc>
          <w:tcPr>
            <w:tcW w:w="2648" w:type="dxa"/>
            <w:tcBorders>
              <w:top w:val="single" w:color="000000" w:sz="4" w:space="0"/>
              <w:left w:val="single" w:color="000000" w:sz="4" w:space="0"/>
              <w:bottom w:val="single" w:color="000000" w:sz="4" w:space="0"/>
              <w:right w:val="single" w:color="000000" w:sz="4" w:space="0"/>
            </w:tcBorders>
            <w:vAlign w:val="center"/>
          </w:tcPr>
          <w:p w14:paraId="06CFF019">
            <w:pPr>
              <w:pStyle w:val="71"/>
              <w:spacing w:before="24" w:after="24"/>
              <w:rPr>
                <w:rFonts w:cs="Times New Roman"/>
              </w:rPr>
            </w:pPr>
            <w:r>
              <w:rPr>
                <w:rFonts w:cs="Times New Roman"/>
              </w:rPr>
              <w:t>服务大厅、营业厅</w:t>
            </w:r>
          </w:p>
        </w:tc>
        <w:tc>
          <w:tcPr>
            <w:tcW w:w="921" w:type="dxa"/>
            <w:tcBorders>
              <w:top w:val="single" w:color="000000" w:sz="4" w:space="0"/>
              <w:left w:val="nil"/>
              <w:bottom w:val="single" w:color="000000" w:sz="4" w:space="0"/>
              <w:right w:val="single" w:color="000000" w:sz="4" w:space="0"/>
            </w:tcBorders>
            <w:vAlign w:val="center"/>
          </w:tcPr>
          <w:p w14:paraId="723AB1B1">
            <w:pPr>
              <w:pStyle w:val="71"/>
              <w:spacing w:before="24" w:after="24"/>
              <w:rPr>
                <w:rFonts w:cs="Times New Roman"/>
              </w:rPr>
            </w:pPr>
            <w:r>
              <w:rPr>
                <w:rFonts w:cs="Times New Roman"/>
              </w:rPr>
              <w:t xml:space="preserve">300 </w:t>
            </w:r>
          </w:p>
        </w:tc>
        <w:tc>
          <w:tcPr>
            <w:tcW w:w="1428" w:type="dxa"/>
            <w:tcBorders>
              <w:top w:val="single" w:color="000000" w:sz="4" w:space="0"/>
              <w:left w:val="nil"/>
              <w:bottom w:val="single" w:color="000000" w:sz="4" w:space="0"/>
              <w:right w:val="single" w:color="000000" w:sz="4" w:space="0"/>
            </w:tcBorders>
            <w:vAlign w:val="center"/>
          </w:tcPr>
          <w:p w14:paraId="50BFBF7F">
            <w:pPr>
              <w:pStyle w:val="71"/>
              <w:spacing w:before="24" w:after="24"/>
              <w:rPr>
                <w:rFonts w:cs="Times New Roman"/>
              </w:rPr>
            </w:pPr>
            <w:r>
              <w:rPr>
                <w:rFonts w:cs="Times New Roman"/>
              </w:rPr>
              <w:t>≤10.0</w:t>
            </w:r>
          </w:p>
        </w:tc>
        <w:tc>
          <w:tcPr>
            <w:tcW w:w="1415" w:type="dxa"/>
            <w:tcBorders>
              <w:top w:val="single" w:color="000000" w:sz="4" w:space="0"/>
              <w:left w:val="nil"/>
              <w:bottom w:val="single" w:color="000000" w:sz="4" w:space="0"/>
              <w:right w:val="single" w:color="000000" w:sz="4" w:space="0"/>
            </w:tcBorders>
            <w:vAlign w:val="center"/>
          </w:tcPr>
          <w:p w14:paraId="67225010">
            <w:pPr>
              <w:pStyle w:val="71"/>
              <w:spacing w:before="24" w:after="24"/>
              <w:rPr>
                <w:rFonts w:cs="Times New Roman"/>
              </w:rPr>
            </w:pPr>
            <w:r>
              <w:rPr>
                <w:rFonts w:cs="Times New Roman"/>
              </w:rPr>
              <w:t xml:space="preserve">22 </w:t>
            </w:r>
          </w:p>
        </w:tc>
        <w:tc>
          <w:tcPr>
            <w:tcW w:w="1431" w:type="dxa"/>
            <w:tcBorders>
              <w:top w:val="single" w:color="000000" w:sz="4" w:space="0"/>
              <w:left w:val="nil"/>
              <w:bottom w:val="single" w:color="000000" w:sz="4" w:space="0"/>
              <w:right w:val="single" w:color="000000" w:sz="4" w:space="0"/>
            </w:tcBorders>
            <w:vAlign w:val="center"/>
          </w:tcPr>
          <w:p w14:paraId="2A66695B">
            <w:pPr>
              <w:pStyle w:val="71"/>
              <w:spacing w:before="24" w:after="24"/>
              <w:rPr>
                <w:rFonts w:cs="Times New Roman"/>
              </w:rPr>
            </w:pPr>
            <w:r>
              <w:rPr>
                <w:rFonts w:cs="Times New Roman"/>
              </w:rPr>
              <w:t xml:space="preserve">0.40 </w:t>
            </w:r>
          </w:p>
        </w:tc>
        <w:tc>
          <w:tcPr>
            <w:tcW w:w="1432" w:type="dxa"/>
            <w:tcBorders>
              <w:top w:val="single" w:color="000000" w:sz="4" w:space="0"/>
              <w:left w:val="nil"/>
              <w:bottom w:val="single" w:color="000000" w:sz="4" w:space="0"/>
              <w:right w:val="single" w:color="000000" w:sz="4" w:space="0"/>
            </w:tcBorders>
            <w:vAlign w:val="center"/>
          </w:tcPr>
          <w:p w14:paraId="35E47EFB">
            <w:pPr>
              <w:pStyle w:val="71"/>
              <w:spacing w:before="24" w:after="24"/>
              <w:rPr>
                <w:rFonts w:cs="Times New Roman"/>
              </w:rPr>
            </w:pPr>
            <w:r>
              <w:rPr>
                <w:rFonts w:cs="Times New Roman"/>
              </w:rPr>
              <w:t xml:space="preserve">80 </w:t>
            </w:r>
          </w:p>
        </w:tc>
      </w:tr>
      <w:tr w14:paraId="128C0707">
        <w:tblPrEx>
          <w:tblCellMar>
            <w:top w:w="0" w:type="dxa"/>
            <w:left w:w="108" w:type="dxa"/>
            <w:bottom w:w="0" w:type="dxa"/>
            <w:right w:w="108" w:type="dxa"/>
          </w:tblCellMar>
        </w:tblPrEx>
        <w:trPr>
          <w:trHeight w:val="525" w:hRule="atLeast"/>
        </w:trPr>
        <w:tc>
          <w:tcPr>
            <w:tcW w:w="2648" w:type="dxa"/>
            <w:tcBorders>
              <w:top w:val="single" w:color="000000" w:sz="4" w:space="0"/>
              <w:left w:val="single" w:color="000000" w:sz="4" w:space="0"/>
              <w:bottom w:val="single" w:color="000000" w:sz="4" w:space="0"/>
              <w:right w:val="single" w:color="000000" w:sz="4" w:space="0"/>
            </w:tcBorders>
            <w:vAlign w:val="center"/>
          </w:tcPr>
          <w:p w14:paraId="7E4BB768">
            <w:pPr>
              <w:pStyle w:val="71"/>
              <w:spacing w:before="24" w:after="24"/>
              <w:rPr>
                <w:rFonts w:cs="Times New Roman"/>
              </w:rPr>
            </w:pPr>
            <w:r>
              <w:rPr>
                <w:rFonts w:cs="Times New Roman"/>
              </w:rPr>
              <w:t>设计室</w:t>
            </w:r>
          </w:p>
        </w:tc>
        <w:tc>
          <w:tcPr>
            <w:tcW w:w="921" w:type="dxa"/>
            <w:tcBorders>
              <w:top w:val="single" w:color="000000" w:sz="4" w:space="0"/>
              <w:left w:val="nil"/>
              <w:bottom w:val="single" w:color="000000" w:sz="4" w:space="0"/>
              <w:right w:val="single" w:color="000000" w:sz="4" w:space="0"/>
            </w:tcBorders>
            <w:vAlign w:val="center"/>
          </w:tcPr>
          <w:p w14:paraId="39C8169B">
            <w:pPr>
              <w:pStyle w:val="71"/>
              <w:spacing w:before="24" w:after="24"/>
              <w:rPr>
                <w:rFonts w:cs="Times New Roman"/>
              </w:rPr>
            </w:pPr>
            <w:r>
              <w:rPr>
                <w:rFonts w:cs="Times New Roman"/>
              </w:rPr>
              <w:t xml:space="preserve">500 </w:t>
            </w:r>
          </w:p>
        </w:tc>
        <w:tc>
          <w:tcPr>
            <w:tcW w:w="1428" w:type="dxa"/>
            <w:tcBorders>
              <w:top w:val="single" w:color="000000" w:sz="4" w:space="0"/>
              <w:left w:val="nil"/>
              <w:bottom w:val="single" w:color="000000" w:sz="4" w:space="0"/>
              <w:right w:val="single" w:color="000000" w:sz="4" w:space="0"/>
            </w:tcBorders>
            <w:vAlign w:val="center"/>
          </w:tcPr>
          <w:p w14:paraId="4C17FBAB">
            <w:pPr>
              <w:pStyle w:val="71"/>
              <w:spacing w:before="24" w:after="24"/>
              <w:rPr>
                <w:rFonts w:cs="Times New Roman"/>
              </w:rPr>
            </w:pPr>
            <w:r>
              <w:rPr>
                <w:rFonts w:cs="Times New Roman"/>
              </w:rPr>
              <w:t>≤13.5</w:t>
            </w:r>
          </w:p>
        </w:tc>
        <w:tc>
          <w:tcPr>
            <w:tcW w:w="1415" w:type="dxa"/>
            <w:tcBorders>
              <w:top w:val="single" w:color="000000" w:sz="4" w:space="0"/>
              <w:left w:val="nil"/>
              <w:bottom w:val="single" w:color="000000" w:sz="4" w:space="0"/>
              <w:right w:val="single" w:color="000000" w:sz="4" w:space="0"/>
            </w:tcBorders>
            <w:vAlign w:val="center"/>
          </w:tcPr>
          <w:p w14:paraId="4F1EB446">
            <w:pPr>
              <w:pStyle w:val="71"/>
              <w:spacing w:before="24" w:after="24"/>
              <w:rPr>
                <w:rFonts w:cs="Times New Roman"/>
              </w:rPr>
            </w:pPr>
            <w:r>
              <w:rPr>
                <w:rFonts w:cs="Times New Roman"/>
              </w:rPr>
              <w:t xml:space="preserve">19 </w:t>
            </w:r>
          </w:p>
        </w:tc>
        <w:tc>
          <w:tcPr>
            <w:tcW w:w="1431" w:type="dxa"/>
            <w:tcBorders>
              <w:top w:val="single" w:color="000000" w:sz="4" w:space="0"/>
              <w:left w:val="nil"/>
              <w:bottom w:val="single" w:color="000000" w:sz="4" w:space="0"/>
              <w:right w:val="single" w:color="000000" w:sz="4" w:space="0"/>
            </w:tcBorders>
            <w:vAlign w:val="center"/>
          </w:tcPr>
          <w:p w14:paraId="67F6C382">
            <w:pPr>
              <w:pStyle w:val="71"/>
              <w:spacing w:before="24" w:after="24"/>
              <w:rPr>
                <w:rFonts w:cs="Times New Roman"/>
              </w:rPr>
            </w:pPr>
            <w:r>
              <w:rPr>
                <w:rFonts w:cs="Times New Roman"/>
              </w:rPr>
              <w:t xml:space="preserve">0.60 </w:t>
            </w:r>
          </w:p>
        </w:tc>
        <w:tc>
          <w:tcPr>
            <w:tcW w:w="1432" w:type="dxa"/>
            <w:tcBorders>
              <w:top w:val="single" w:color="000000" w:sz="4" w:space="0"/>
              <w:left w:val="nil"/>
              <w:bottom w:val="single" w:color="000000" w:sz="4" w:space="0"/>
              <w:right w:val="single" w:color="000000" w:sz="4" w:space="0"/>
            </w:tcBorders>
            <w:vAlign w:val="center"/>
          </w:tcPr>
          <w:p w14:paraId="00B74984">
            <w:pPr>
              <w:pStyle w:val="71"/>
              <w:spacing w:before="24" w:after="24"/>
              <w:rPr>
                <w:rFonts w:cs="Times New Roman"/>
              </w:rPr>
            </w:pPr>
            <w:r>
              <w:rPr>
                <w:rFonts w:cs="Times New Roman"/>
              </w:rPr>
              <w:t xml:space="preserve">80 </w:t>
            </w:r>
          </w:p>
        </w:tc>
      </w:tr>
      <w:tr w14:paraId="5665ECBF">
        <w:tblPrEx>
          <w:tblCellMar>
            <w:top w:w="0" w:type="dxa"/>
            <w:left w:w="108" w:type="dxa"/>
            <w:bottom w:w="0" w:type="dxa"/>
            <w:right w:w="108" w:type="dxa"/>
          </w:tblCellMar>
        </w:tblPrEx>
        <w:trPr>
          <w:trHeight w:val="525" w:hRule="atLeast"/>
        </w:trPr>
        <w:tc>
          <w:tcPr>
            <w:tcW w:w="2648" w:type="dxa"/>
            <w:tcBorders>
              <w:top w:val="single" w:color="000000" w:sz="4" w:space="0"/>
              <w:left w:val="single" w:color="000000" w:sz="4" w:space="0"/>
              <w:bottom w:val="single" w:color="000000" w:sz="4" w:space="0"/>
              <w:right w:val="single" w:color="000000" w:sz="4" w:space="0"/>
            </w:tcBorders>
            <w:vAlign w:val="center"/>
          </w:tcPr>
          <w:p w14:paraId="20F64241">
            <w:pPr>
              <w:pStyle w:val="71"/>
              <w:spacing w:before="24" w:after="24"/>
              <w:rPr>
                <w:rFonts w:cs="Times New Roman"/>
              </w:rPr>
            </w:pPr>
            <w:r>
              <w:rPr>
                <w:rFonts w:cs="Times New Roman"/>
              </w:rPr>
              <w:t>文件整理、复印、发行室</w:t>
            </w:r>
          </w:p>
        </w:tc>
        <w:tc>
          <w:tcPr>
            <w:tcW w:w="921" w:type="dxa"/>
            <w:tcBorders>
              <w:top w:val="single" w:color="000000" w:sz="4" w:space="0"/>
              <w:left w:val="nil"/>
              <w:bottom w:val="single" w:color="000000" w:sz="4" w:space="0"/>
              <w:right w:val="single" w:color="000000" w:sz="4" w:space="0"/>
            </w:tcBorders>
            <w:vAlign w:val="center"/>
          </w:tcPr>
          <w:p w14:paraId="22588B1F">
            <w:pPr>
              <w:pStyle w:val="71"/>
              <w:spacing w:before="24" w:after="24"/>
              <w:rPr>
                <w:rFonts w:cs="Times New Roman"/>
              </w:rPr>
            </w:pPr>
            <w:r>
              <w:rPr>
                <w:rFonts w:cs="Times New Roman"/>
              </w:rPr>
              <w:t xml:space="preserve">300 </w:t>
            </w:r>
          </w:p>
        </w:tc>
        <w:tc>
          <w:tcPr>
            <w:tcW w:w="1428" w:type="dxa"/>
            <w:tcBorders>
              <w:top w:val="single" w:color="000000" w:sz="4" w:space="0"/>
              <w:left w:val="nil"/>
              <w:bottom w:val="single" w:color="000000" w:sz="4" w:space="0"/>
              <w:right w:val="single" w:color="000000" w:sz="4" w:space="0"/>
            </w:tcBorders>
            <w:vAlign w:val="center"/>
          </w:tcPr>
          <w:p w14:paraId="39DDFBBE">
            <w:pPr>
              <w:pStyle w:val="71"/>
              <w:spacing w:before="24" w:after="24"/>
              <w:rPr>
                <w:rFonts w:cs="Times New Roman"/>
              </w:rPr>
            </w:pPr>
            <w:r>
              <w:rPr>
                <w:rFonts w:cs="Times New Roman"/>
              </w:rPr>
              <w:t>≤10.0</w:t>
            </w:r>
          </w:p>
        </w:tc>
        <w:tc>
          <w:tcPr>
            <w:tcW w:w="1415" w:type="dxa"/>
            <w:tcBorders>
              <w:top w:val="single" w:color="000000" w:sz="4" w:space="0"/>
              <w:left w:val="nil"/>
              <w:bottom w:val="single" w:color="000000" w:sz="4" w:space="0"/>
              <w:right w:val="single" w:color="000000" w:sz="4" w:space="0"/>
            </w:tcBorders>
            <w:vAlign w:val="center"/>
          </w:tcPr>
          <w:p w14:paraId="140F7132">
            <w:pPr>
              <w:pStyle w:val="71"/>
              <w:spacing w:before="24" w:after="24"/>
              <w:rPr>
                <w:rFonts w:cs="Times New Roman"/>
              </w:rPr>
            </w:pPr>
            <w:r>
              <w:rPr>
                <w:rFonts w:cs="Times New Roman"/>
              </w:rPr>
              <w:t>/</w:t>
            </w:r>
          </w:p>
        </w:tc>
        <w:tc>
          <w:tcPr>
            <w:tcW w:w="1431" w:type="dxa"/>
            <w:tcBorders>
              <w:top w:val="single" w:color="000000" w:sz="4" w:space="0"/>
              <w:left w:val="nil"/>
              <w:bottom w:val="single" w:color="000000" w:sz="4" w:space="0"/>
              <w:right w:val="single" w:color="000000" w:sz="4" w:space="0"/>
            </w:tcBorders>
            <w:vAlign w:val="center"/>
          </w:tcPr>
          <w:p w14:paraId="2F7639C5">
            <w:pPr>
              <w:pStyle w:val="71"/>
              <w:spacing w:before="24" w:after="24"/>
              <w:rPr>
                <w:rFonts w:cs="Times New Roman"/>
              </w:rPr>
            </w:pPr>
            <w:r>
              <w:rPr>
                <w:rFonts w:cs="Times New Roman"/>
              </w:rPr>
              <w:t xml:space="preserve">0.40 </w:t>
            </w:r>
          </w:p>
        </w:tc>
        <w:tc>
          <w:tcPr>
            <w:tcW w:w="1432" w:type="dxa"/>
            <w:tcBorders>
              <w:top w:val="single" w:color="000000" w:sz="4" w:space="0"/>
              <w:left w:val="nil"/>
              <w:bottom w:val="single" w:color="000000" w:sz="4" w:space="0"/>
              <w:right w:val="single" w:color="000000" w:sz="4" w:space="0"/>
            </w:tcBorders>
            <w:vAlign w:val="center"/>
          </w:tcPr>
          <w:p w14:paraId="659313A7">
            <w:pPr>
              <w:pStyle w:val="71"/>
              <w:spacing w:before="24" w:after="24"/>
              <w:rPr>
                <w:rFonts w:cs="Times New Roman"/>
              </w:rPr>
            </w:pPr>
            <w:r>
              <w:rPr>
                <w:rFonts w:cs="Times New Roman"/>
              </w:rPr>
              <w:t xml:space="preserve">80 </w:t>
            </w:r>
          </w:p>
        </w:tc>
      </w:tr>
      <w:tr w14:paraId="25495FDB">
        <w:tblPrEx>
          <w:tblCellMar>
            <w:top w:w="0" w:type="dxa"/>
            <w:left w:w="108" w:type="dxa"/>
            <w:bottom w:w="0" w:type="dxa"/>
            <w:right w:w="108" w:type="dxa"/>
          </w:tblCellMar>
        </w:tblPrEx>
        <w:trPr>
          <w:trHeight w:val="557" w:hRule="atLeast"/>
        </w:trPr>
        <w:tc>
          <w:tcPr>
            <w:tcW w:w="2648" w:type="dxa"/>
            <w:tcBorders>
              <w:top w:val="single" w:color="000000" w:sz="4" w:space="0"/>
              <w:left w:val="single" w:color="000000" w:sz="4" w:space="0"/>
              <w:bottom w:val="single" w:color="000000" w:sz="4" w:space="0"/>
              <w:right w:val="single" w:color="000000" w:sz="4" w:space="0"/>
            </w:tcBorders>
            <w:vAlign w:val="center"/>
          </w:tcPr>
          <w:p w14:paraId="1F3837A0">
            <w:pPr>
              <w:pStyle w:val="71"/>
              <w:spacing w:before="24" w:after="24"/>
              <w:rPr>
                <w:rFonts w:cs="Times New Roman"/>
              </w:rPr>
            </w:pPr>
            <w:r>
              <w:rPr>
                <w:rFonts w:cs="Times New Roman"/>
              </w:rPr>
              <w:t>资料、档案存放室</w:t>
            </w:r>
          </w:p>
        </w:tc>
        <w:tc>
          <w:tcPr>
            <w:tcW w:w="921" w:type="dxa"/>
            <w:tcBorders>
              <w:top w:val="single" w:color="000000" w:sz="4" w:space="0"/>
              <w:left w:val="nil"/>
              <w:bottom w:val="single" w:color="000000" w:sz="4" w:space="0"/>
              <w:right w:val="single" w:color="000000" w:sz="4" w:space="0"/>
            </w:tcBorders>
            <w:vAlign w:val="center"/>
          </w:tcPr>
          <w:p w14:paraId="4ABABF9A">
            <w:pPr>
              <w:pStyle w:val="71"/>
              <w:spacing w:before="24" w:after="24"/>
              <w:rPr>
                <w:rFonts w:cs="Times New Roman"/>
              </w:rPr>
            </w:pPr>
            <w:r>
              <w:rPr>
                <w:rFonts w:cs="Times New Roman"/>
              </w:rPr>
              <w:t xml:space="preserve">200 </w:t>
            </w:r>
          </w:p>
        </w:tc>
        <w:tc>
          <w:tcPr>
            <w:tcW w:w="1428" w:type="dxa"/>
            <w:tcBorders>
              <w:top w:val="single" w:color="000000" w:sz="4" w:space="0"/>
              <w:left w:val="nil"/>
              <w:bottom w:val="single" w:color="000000" w:sz="4" w:space="0"/>
              <w:right w:val="single" w:color="000000" w:sz="4" w:space="0"/>
            </w:tcBorders>
            <w:vAlign w:val="center"/>
          </w:tcPr>
          <w:p w14:paraId="795565E9">
            <w:pPr>
              <w:pStyle w:val="71"/>
              <w:spacing w:before="24" w:after="24"/>
              <w:rPr>
                <w:rFonts w:cs="Times New Roman"/>
              </w:rPr>
            </w:pPr>
            <w:r>
              <w:rPr>
                <w:rFonts w:cs="Times New Roman"/>
              </w:rPr>
              <w:t>≤8.0</w:t>
            </w:r>
          </w:p>
        </w:tc>
        <w:tc>
          <w:tcPr>
            <w:tcW w:w="1415" w:type="dxa"/>
            <w:tcBorders>
              <w:top w:val="single" w:color="000000" w:sz="4" w:space="0"/>
              <w:left w:val="nil"/>
              <w:bottom w:val="single" w:color="000000" w:sz="4" w:space="0"/>
              <w:right w:val="single" w:color="000000" w:sz="4" w:space="0"/>
            </w:tcBorders>
            <w:vAlign w:val="center"/>
          </w:tcPr>
          <w:p w14:paraId="5C339C38">
            <w:pPr>
              <w:pStyle w:val="71"/>
              <w:spacing w:before="24" w:after="24"/>
              <w:rPr>
                <w:rFonts w:cs="Times New Roman"/>
              </w:rPr>
            </w:pPr>
            <w:r>
              <w:rPr>
                <w:rFonts w:cs="Times New Roman"/>
              </w:rPr>
              <w:t>/</w:t>
            </w:r>
          </w:p>
        </w:tc>
        <w:tc>
          <w:tcPr>
            <w:tcW w:w="1431" w:type="dxa"/>
            <w:tcBorders>
              <w:top w:val="single" w:color="000000" w:sz="4" w:space="0"/>
              <w:left w:val="nil"/>
              <w:bottom w:val="single" w:color="000000" w:sz="4" w:space="0"/>
              <w:right w:val="single" w:color="000000" w:sz="4" w:space="0"/>
            </w:tcBorders>
            <w:vAlign w:val="center"/>
          </w:tcPr>
          <w:p w14:paraId="42FD04DB">
            <w:pPr>
              <w:pStyle w:val="71"/>
              <w:spacing w:before="24" w:after="24"/>
              <w:rPr>
                <w:rFonts w:cs="Times New Roman"/>
              </w:rPr>
            </w:pPr>
            <w:r>
              <w:rPr>
                <w:rFonts w:cs="Times New Roman"/>
              </w:rPr>
              <w:t xml:space="preserve">0.40 </w:t>
            </w:r>
          </w:p>
        </w:tc>
        <w:tc>
          <w:tcPr>
            <w:tcW w:w="1432" w:type="dxa"/>
            <w:tcBorders>
              <w:top w:val="single" w:color="000000" w:sz="4" w:space="0"/>
              <w:left w:val="nil"/>
              <w:bottom w:val="single" w:color="000000" w:sz="4" w:space="0"/>
              <w:right w:val="single" w:color="000000" w:sz="4" w:space="0"/>
            </w:tcBorders>
            <w:vAlign w:val="center"/>
          </w:tcPr>
          <w:p w14:paraId="7FB030B4">
            <w:pPr>
              <w:pStyle w:val="71"/>
              <w:spacing w:before="24" w:after="24"/>
              <w:rPr>
                <w:rFonts w:cs="Times New Roman"/>
              </w:rPr>
            </w:pPr>
            <w:r>
              <w:rPr>
                <w:rFonts w:cs="Times New Roman"/>
              </w:rPr>
              <w:t xml:space="preserve">80 </w:t>
            </w:r>
          </w:p>
        </w:tc>
      </w:tr>
    </w:tbl>
    <w:p w14:paraId="0AEF0EC8">
      <w:pPr>
        <w:pStyle w:val="54"/>
        <w:snapToGrid w:val="0"/>
        <w:spacing w:before="360" w:beforeLines="150" w:after="0" w:afterLines="0" w:line="120" w:lineRule="auto"/>
      </w:pPr>
      <w:r>
        <w:t>养老院建设项目：</w:t>
      </w:r>
    </w:p>
    <w:p w14:paraId="1016C74E">
      <w:pPr>
        <w:pStyle w:val="69"/>
        <w:rPr>
          <w:rFonts w:hint="eastAsia"/>
        </w:rPr>
      </w:pPr>
      <w:r>
        <w:t>各场所照明质量及功率密度</w:t>
      </w:r>
    </w:p>
    <w:tbl>
      <w:tblPr>
        <w:tblStyle w:val="30"/>
        <w:tblW w:w="4994" w:type="pct"/>
        <w:tblInd w:w="0" w:type="dxa"/>
        <w:tblLayout w:type="autofit"/>
        <w:tblCellMar>
          <w:top w:w="0" w:type="dxa"/>
          <w:left w:w="108" w:type="dxa"/>
          <w:bottom w:w="0" w:type="dxa"/>
          <w:right w:w="108" w:type="dxa"/>
        </w:tblCellMar>
      </w:tblPr>
      <w:tblGrid>
        <w:gridCol w:w="2648"/>
        <w:gridCol w:w="921"/>
        <w:gridCol w:w="1428"/>
        <w:gridCol w:w="1415"/>
        <w:gridCol w:w="1431"/>
        <w:gridCol w:w="1432"/>
      </w:tblGrid>
      <w:tr w14:paraId="6182EDFB">
        <w:tblPrEx>
          <w:tblCellMar>
            <w:top w:w="0" w:type="dxa"/>
            <w:left w:w="108" w:type="dxa"/>
            <w:bottom w:w="0" w:type="dxa"/>
            <w:right w:w="108" w:type="dxa"/>
          </w:tblCellMar>
        </w:tblPrEx>
        <w:trPr>
          <w:trHeight w:val="1143" w:hRule="atLeast"/>
          <w:tblHeader/>
        </w:trPr>
        <w:tc>
          <w:tcPr>
            <w:tcW w:w="2648" w:type="dxa"/>
            <w:tcBorders>
              <w:top w:val="single" w:color="000000" w:sz="4" w:space="0"/>
              <w:left w:val="single" w:color="000000" w:sz="4" w:space="0"/>
              <w:bottom w:val="single" w:color="000000" w:sz="4" w:space="0"/>
              <w:right w:val="single" w:color="000000" w:sz="4" w:space="0"/>
            </w:tcBorders>
            <w:vAlign w:val="center"/>
          </w:tcPr>
          <w:p w14:paraId="54E8BB19">
            <w:pPr>
              <w:pStyle w:val="71"/>
              <w:spacing w:before="24" w:after="24"/>
              <w:rPr>
                <w:rFonts w:cs="Times New Roman"/>
                <w:b/>
                <w:bCs/>
              </w:rPr>
            </w:pPr>
            <w:r>
              <w:rPr>
                <w:rFonts w:cs="Times New Roman"/>
                <w:b/>
                <w:bCs/>
              </w:rPr>
              <w:t>房间或场所</w:t>
            </w:r>
          </w:p>
        </w:tc>
        <w:tc>
          <w:tcPr>
            <w:tcW w:w="921" w:type="dxa"/>
            <w:tcBorders>
              <w:top w:val="single" w:color="000000" w:sz="4" w:space="0"/>
              <w:left w:val="nil"/>
              <w:bottom w:val="single" w:color="000000" w:sz="4" w:space="0"/>
              <w:right w:val="single" w:color="000000" w:sz="4" w:space="0"/>
            </w:tcBorders>
            <w:vAlign w:val="center"/>
          </w:tcPr>
          <w:p w14:paraId="7F5E9E05">
            <w:pPr>
              <w:pStyle w:val="71"/>
              <w:spacing w:before="24" w:after="24"/>
              <w:rPr>
                <w:rFonts w:cs="Times New Roman"/>
                <w:b/>
                <w:bCs/>
              </w:rPr>
            </w:pPr>
            <w:r>
              <w:rPr>
                <w:rFonts w:cs="Times New Roman"/>
                <w:b/>
                <w:bCs/>
              </w:rPr>
              <w:t>照度标准（lx）</w:t>
            </w:r>
          </w:p>
        </w:tc>
        <w:tc>
          <w:tcPr>
            <w:tcW w:w="1428" w:type="dxa"/>
            <w:tcBorders>
              <w:top w:val="single" w:color="000000" w:sz="4" w:space="0"/>
              <w:left w:val="nil"/>
              <w:bottom w:val="single" w:color="000000" w:sz="4" w:space="0"/>
              <w:right w:val="single" w:color="000000" w:sz="4" w:space="0"/>
            </w:tcBorders>
            <w:vAlign w:val="center"/>
          </w:tcPr>
          <w:p w14:paraId="6BE13441">
            <w:pPr>
              <w:pStyle w:val="71"/>
              <w:spacing w:before="24" w:after="24"/>
              <w:rPr>
                <w:rFonts w:cs="Times New Roman"/>
                <w:b/>
                <w:bCs/>
              </w:rPr>
            </w:pPr>
            <w:r>
              <w:rPr>
                <w:rFonts w:cs="Times New Roman"/>
                <w:b/>
                <w:bCs/>
              </w:rPr>
              <w:t>照明功率度限值（W/㎡）</w:t>
            </w:r>
          </w:p>
        </w:tc>
        <w:tc>
          <w:tcPr>
            <w:tcW w:w="1415" w:type="dxa"/>
            <w:tcBorders>
              <w:top w:val="single" w:color="000000" w:sz="4" w:space="0"/>
              <w:left w:val="nil"/>
              <w:bottom w:val="single" w:color="000000" w:sz="4" w:space="0"/>
              <w:right w:val="single" w:color="000000" w:sz="4" w:space="0"/>
            </w:tcBorders>
            <w:vAlign w:val="center"/>
          </w:tcPr>
          <w:p w14:paraId="399E86FE">
            <w:pPr>
              <w:pStyle w:val="71"/>
              <w:spacing w:before="24" w:after="24"/>
              <w:rPr>
                <w:rFonts w:cs="Times New Roman"/>
                <w:b/>
                <w:bCs/>
              </w:rPr>
            </w:pPr>
            <w:r>
              <w:rPr>
                <w:rFonts w:cs="Times New Roman"/>
                <w:b/>
                <w:bCs/>
              </w:rPr>
              <w:t>统一眩光值（UGR）</w:t>
            </w:r>
          </w:p>
        </w:tc>
        <w:tc>
          <w:tcPr>
            <w:tcW w:w="1431" w:type="dxa"/>
            <w:tcBorders>
              <w:top w:val="single" w:color="000000" w:sz="4" w:space="0"/>
              <w:left w:val="nil"/>
              <w:bottom w:val="single" w:color="000000" w:sz="4" w:space="0"/>
              <w:right w:val="single" w:color="000000" w:sz="4" w:space="0"/>
            </w:tcBorders>
            <w:vAlign w:val="center"/>
          </w:tcPr>
          <w:p w14:paraId="11AD8EF9">
            <w:pPr>
              <w:pStyle w:val="71"/>
              <w:spacing w:before="24" w:after="24"/>
              <w:rPr>
                <w:rFonts w:cs="Times New Roman"/>
                <w:b/>
                <w:bCs/>
              </w:rPr>
            </w:pPr>
            <w:r>
              <w:rPr>
                <w:rFonts w:cs="Times New Roman"/>
                <w:b/>
                <w:bCs/>
              </w:rPr>
              <w:t>光源显示指数（Ra）</w:t>
            </w:r>
          </w:p>
        </w:tc>
        <w:tc>
          <w:tcPr>
            <w:tcW w:w="1432" w:type="dxa"/>
            <w:tcBorders>
              <w:top w:val="single" w:color="000000" w:sz="4" w:space="0"/>
              <w:left w:val="nil"/>
              <w:bottom w:val="single" w:color="000000" w:sz="4" w:space="0"/>
              <w:right w:val="single" w:color="000000" w:sz="4" w:space="0"/>
            </w:tcBorders>
            <w:vAlign w:val="center"/>
          </w:tcPr>
          <w:p w14:paraId="4A52B1FC">
            <w:pPr>
              <w:pStyle w:val="71"/>
              <w:spacing w:before="24" w:after="24"/>
              <w:rPr>
                <w:rFonts w:cs="Times New Roman"/>
                <w:b/>
                <w:bCs/>
              </w:rPr>
            </w:pPr>
            <w:r>
              <w:rPr>
                <w:rFonts w:cs="Times New Roman"/>
                <w:b/>
                <w:bCs/>
              </w:rPr>
              <w:t>照度均匀度（Uo）</w:t>
            </w:r>
          </w:p>
        </w:tc>
      </w:tr>
      <w:tr w14:paraId="66161813">
        <w:tblPrEx>
          <w:tblCellMar>
            <w:top w:w="0" w:type="dxa"/>
            <w:left w:w="108" w:type="dxa"/>
            <w:bottom w:w="0" w:type="dxa"/>
            <w:right w:w="108" w:type="dxa"/>
          </w:tblCellMar>
        </w:tblPrEx>
        <w:trPr>
          <w:trHeight w:val="525" w:hRule="atLeast"/>
        </w:trPr>
        <w:tc>
          <w:tcPr>
            <w:tcW w:w="2648" w:type="dxa"/>
            <w:tcBorders>
              <w:top w:val="single" w:color="000000" w:sz="4" w:space="0"/>
              <w:left w:val="single" w:color="000000" w:sz="4" w:space="0"/>
              <w:bottom w:val="single" w:color="000000" w:sz="4" w:space="0"/>
              <w:right w:val="single" w:color="000000" w:sz="4" w:space="0"/>
            </w:tcBorders>
            <w:vAlign w:val="center"/>
          </w:tcPr>
          <w:p w14:paraId="76F0A36D">
            <w:pPr>
              <w:pStyle w:val="71"/>
              <w:spacing w:before="24" w:after="24"/>
              <w:rPr>
                <w:rFonts w:cs="Times New Roman"/>
              </w:rPr>
            </w:pPr>
            <w:r>
              <w:rPr>
                <w:rFonts w:cs="Times New Roman"/>
              </w:rPr>
              <w:t>起居室</w:t>
            </w:r>
          </w:p>
        </w:tc>
        <w:tc>
          <w:tcPr>
            <w:tcW w:w="921" w:type="dxa"/>
            <w:tcBorders>
              <w:top w:val="single" w:color="000000" w:sz="4" w:space="0"/>
              <w:left w:val="nil"/>
              <w:bottom w:val="single" w:color="000000" w:sz="4" w:space="0"/>
              <w:right w:val="single" w:color="000000" w:sz="4" w:space="0"/>
            </w:tcBorders>
            <w:vAlign w:val="center"/>
          </w:tcPr>
          <w:p w14:paraId="08BA865C">
            <w:pPr>
              <w:pStyle w:val="71"/>
              <w:spacing w:before="24" w:after="24"/>
              <w:rPr>
                <w:rFonts w:cs="Times New Roman"/>
              </w:rPr>
            </w:pPr>
            <w:r>
              <w:rPr>
                <w:rFonts w:cs="Times New Roman"/>
              </w:rPr>
              <w:t>150</w:t>
            </w:r>
          </w:p>
        </w:tc>
        <w:tc>
          <w:tcPr>
            <w:tcW w:w="1428" w:type="dxa"/>
            <w:tcBorders>
              <w:top w:val="single" w:color="000000" w:sz="4" w:space="0"/>
              <w:left w:val="nil"/>
              <w:bottom w:val="single" w:color="000000" w:sz="4" w:space="0"/>
              <w:right w:val="single" w:color="000000" w:sz="4" w:space="0"/>
            </w:tcBorders>
            <w:vAlign w:val="center"/>
          </w:tcPr>
          <w:p w14:paraId="76C13157">
            <w:pPr>
              <w:pStyle w:val="71"/>
              <w:spacing w:before="24" w:after="24"/>
              <w:rPr>
                <w:rFonts w:cs="Times New Roman"/>
              </w:rPr>
            </w:pPr>
            <w:r>
              <w:rPr>
                <w:rFonts w:cs="Times New Roman"/>
              </w:rPr>
              <w:t>≤4.5</w:t>
            </w:r>
          </w:p>
        </w:tc>
        <w:tc>
          <w:tcPr>
            <w:tcW w:w="1415" w:type="dxa"/>
            <w:tcBorders>
              <w:top w:val="single" w:color="000000" w:sz="4" w:space="0"/>
              <w:left w:val="nil"/>
              <w:bottom w:val="single" w:color="000000" w:sz="4" w:space="0"/>
              <w:right w:val="single" w:color="000000" w:sz="4" w:space="0"/>
            </w:tcBorders>
            <w:vAlign w:val="center"/>
          </w:tcPr>
          <w:p w14:paraId="6C8EC01A">
            <w:pPr>
              <w:pStyle w:val="71"/>
              <w:spacing w:before="24" w:after="24"/>
              <w:rPr>
                <w:rFonts w:cs="Times New Roman"/>
              </w:rPr>
            </w:pPr>
            <w:r>
              <w:rPr>
                <w:rFonts w:cs="Times New Roman"/>
              </w:rPr>
              <w:t xml:space="preserve">/ </w:t>
            </w:r>
          </w:p>
        </w:tc>
        <w:tc>
          <w:tcPr>
            <w:tcW w:w="1431" w:type="dxa"/>
            <w:tcBorders>
              <w:top w:val="single" w:color="000000" w:sz="4" w:space="0"/>
              <w:left w:val="nil"/>
              <w:bottom w:val="single" w:color="000000" w:sz="4" w:space="0"/>
              <w:right w:val="single" w:color="000000" w:sz="4" w:space="0"/>
            </w:tcBorders>
            <w:vAlign w:val="center"/>
          </w:tcPr>
          <w:p w14:paraId="3B6C9C0F">
            <w:pPr>
              <w:pStyle w:val="71"/>
              <w:spacing w:before="24" w:after="24"/>
              <w:rPr>
                <w:rFonts w:cs="Times New Roman"/>
              </w:rPr>
            </w:pPr>
            <w:r>
              <w:rPr>
                <w:rFonts w:cs="Times New Roman"/>
              </w:rPr>
              <w:t xml:space="preserve">80 </w:t>
            </w:r>
          </w:p>
        </w:tc>
        <w:tc>
          <w:tcPr>
            <w:tcW w:w="1432" w:type="dxa"/>
            <w:tcBorders>
              <w:top w:val="single" w:color="000000" w:sz="4" w:space="0"/>
              <w:left w:val="nil"/>
              <w:bottom w:val="single" w:color="000000" w:sz="4" w:space="0"/>
              <w:right w:val="single" w:color="000000" w:sz="4" w:space="0"/>
            </w:tcBorders>
            <w:vAlign w:val="center"/>
          </w:tcPr>
          <w:p w14:paraId="50ABB39B">
            <w:pPr>
              <w:pStyle w:val="71"/>
              <w:spacing w:before="24" w:after="24"/>
              <w:rPr>
                <w:rFonts w:cs="Times New Roman"/>
              </w:rPr>
            </w:pPr>
            <w:r>
              <w:rPr>
                <w:rFonts w:cs="Times New Roman"/>
              </w:rPr>
              <w:t>/</w:t>
            </w:r>
          </w:p>
        </w:tc>
      </w:tr>
      <w:tr w14:paraId="2F9E6FAD">
        <w:tblPrEx>
          <w:tblCellMar>
            <w:top w:w="0" w:type="dxa"/>
            <w:left w:w="108" w:type="dxa"/>
            <w:bottom w:w="0" w:type="dxa"/>
            <w:right w:w="108" w:type="dxa"/>
          </w:tblCellMar>
        </w:tblPrEx>
        <w:trPr>
          <w:trHeight w:val="525" w:hRule="atLeast"/>
        </w:trPr>
        <w:tc>
          <w:tcPr>
            <w:tcW w:w="2648" w:type="dxa"/>
            <w:tcBorders>
              <w:top w:val="single" w:color="000000" w:sz="4" w:space="0"/>
              <w:left w:val="single" w:color="000000" w:sz="4" w:space="0"/>
              <w:bottom w:val="single" w:color="000000" w:sz="4" w:space="0"/>
              <w:right w:val="single" w:color="000000" w:sz="4" w:space="0"/>
            </w:tcBorders>
            <w:vAlign w:val="center"/>
          </w:tcPr>
          <w:p w14:paraId="78A677C7">
            <w:pPr>
              <w:pStyle w:val="71"/>
              <w:spacing w:before="24" w:after="24"/>
              <w:rPr>
                <w:rFonts w:cs="Times New Roman"/>
              </w:rPr>
            </w:pPr>
            <w:r>
              <w:rPr>
                <w:rFonts w:cs="Times New Roman"/>
              </w:rPr>
              <w:t>阅览室、书画室</w:t>
            </w:r>
          </w:p>
        </w:tc>
        <w:tc>
          <w:tcPr>
            <w:tcW w:w="921" w:type="dxa"/>
            <w:tcBorders>
              <w:top w:val="single" w:color="000000" w:sz="4" w:space="0"/>
              <w:left w:val="nil"/>
              <w:bottom w:val="single" w:color="000000" w:sz="4" w:space="0"/>
              <w:right w:val="single" w:color="000000" w:sz="4" w:space="0"/>
            </w:tcBorders>
            <w:vAlign w:val="center"/>
          </w:tcPr>
          <w:p w14:paraId="254DF632">
            <w:pPr>
              <w:pStyle w:val="71"/>
              <w:spacing w:before="24" w:after="24"/>
              <w:rPr>
                <w:rFonts w:cs="Times New Roman"/>
              </w:rPr>
            </w:pPr>
            <w:r>
              <w:rPr>
                <w:rFonts w:cs="Times New Roman"/>
              </w:rPr>
              <w:t>500</w:t>
            </w:r>
          </w:p>
        </w:tc>
        <w:tc>
          <w:tcPr>
            <w:tcW w:w="1428" w:type="dxa"/>
            <w:tcBorders>
              <w:top w:val="single" w:color="000000" w:sz="4" w:space="0"/>
              <w:left w:val="nil"/>
              <w:bottom w:val="single" w:color="000000" w:sz="4" w:space="0"/>
              <w:right w:val="single" w:color="000000" w:sz="4" w:space="0"/>
            </w:tcBorders>
            <w:vAlign w:val="center"/>
          </w:tcPr>
          <w:p w14:paraId="3AEA9B08">
            <w:pPr>
              <w:pStyle w:val="71"/>
              <w:spacing w:before="24" w:after="24"/>
              <w:rPr>
                <w:rFonts w:cs="Times New Roman"/>
              </w:rPr>
            </w:pPr>
            <w:r>
              <w:rPr>
                <w:rFonts w:cs="Times New Roman"/>
              </w:rPr>
              <w:t>≤13.5</w:t>
            </w:r>
          </w:p>
        </w:tc>
        <w:tc>
          <w:tcPr>
            <w:tcW w:w="1415" w:type="dxa"/>
            <w:tcBorders>
              <w:top w:val="single" w:color="000000" w:sz="4" w:space="0"/>
              <w:left w:val="nil"/>
              <w:bottom w:val="single" w:color="000000" w:sz="4" w:space="0"/>
              <w:right w:val="single" w:color="000000" w:sz="4" w:space="0"/>
            </w:tcBorders>
            <w:vAlign w:val="center"/>
          </w:tcPr>
          <w:p w14:paraId="554A4497">
            <w:pPr>
              <w:pStyle w:val="71"/>
              <w:spacing w:before="24" w:after="24"/>
              <w:rPr>
                <w:rFonts w:cs="Times New Roman"/>
              </w:rPr>
            </w:pPr>
            <w:r>
              <w:rPr>
                <w:rFonts w:cs="Times New Roman"/>
              </w:rPr>
              <w:t xml:space="preserve">19 </w:t>
            </w:r>
          </w:p>
        </w:tc>
        <w:tc>
          <w:tcPr>
            <w:tcW w:w="1431" w:type="dxa"/>
            <w:tcBorders>
              <w:top w:val="single" w:color="000000" w:sz="4" w:space="0"/>
              <w:left w:val="nil"/>
              <w:bottom w:val="single" w:color="000000" w:sz="4" w:space="0"/>
              <w:right w:val="single" w:color="000000" w:sz="4" w:space="0"/>
            </w:tcBorders>
            <w:vAlign w:val="center"/>
          </w:tcPr>
          <w:p w14:paraId="1D364806">
            <w:pPr>
              <w:pStyle w:val="71"/>
              <w:spacing w:before="24" w:after="24"/>
              <w:rPr>
                <w:rFonts w:cs="Times New Roman"/>
              </w:rPr>
            </w:pPr>
            <w:r>
              <w:rPr>
                <w:rFonts w:cs="Times New Roman"/>
              </w:rPr>
              <w:t xml:space="preserve">80 </w:t>
            </w:r>
          </w:p>
        </w:tc>
        <w:tc>
          <w:tcPr>
            <w:tcW w:w="1432" w:type="dxa"/>
            <w:tcBorders>
              <w:top w:val="single" w:color="000000" w:sz="4" w:space="0"/>
              <w:left w:val="nil"/>
              <w:bottom w:val="single" w:color="000000" w:sz="4" w:space="0"/>
              <w:right w:val="single" w:color="000000" w:sz="4" w:space="0"/>
            </w:tcBorders>
            <w:vAlign w:val="center"/>
          </w:tcPr>
          <w:p w14:paraId="4675C8A0">
            <w:pPr>
              <w:pStyle w:val="71"/>
              <w:spacing w:before="24" w:after="24"/>
              <w:rPr>
                <w:rFonts w:cs="Times New Roman"/>
              </w:rPr>
            </w:pPr>
            <w:r>
              <w:rPr>
                <w:rFonts w:cs="Times New Roman"/>
              </w:rPr>
              <w:t xml:space="preserve">0.60 </w:t>
            </w:r>
          </w:p>
        </w:tc>
      </w:tr>
      <w:tr w14:paraId="2547A1A6">
        <w:tblPrEx>
          <w:tblCellMar>
            <w:top w:w="0" w:type="dxa"/>
            <w:left w:w="108" w:type="dxa"/>
            <w:bottom w:w="0" w:type="dxa"/>
            <w:right w:w="108" w:type="dxa"/>
          </w:tblCellMar>
        </w:tblPrEx>
        <w:trPr>
          <w:trHeight w:val="525" w:hRule="atLeast"/>
        </w:trPr>
        <w:tc>
          <w:tcPr>
            <w:tcW w:w="2648" w:type="dxa"/>
            <w:tcBorders>
              <w:top w:val="single" w:color="000000" w:sz="4" w:space="0"/>
              <w:left w:val="single" w:color="000000" w:sz="4" w:space="0"/>
              <w:bottom w:val="single" w:color="000000" w:sz="4" w:space="0"/>
              <w:right w:val="single" w:color="000000" w:sz="4" w:space="0"/>
            </w:tcBorders>
            <w:vAlign w:val="center"/>
          </w:tcPr>
          <w:p w14:paraId="6C2F199C">
            <w:pPr>
              <w:pStyle w:val="71"/>
              <w:spacing w:before="24" w:after="24"/>
              <w:rPr>
                <w:rFonts w:cs="Times New Roman"/>
              </w:rPr>
            </w:pPr>
            <w:r>
              <w:rPr>
                <w:rFonts w:cs="Times New Roman"/>
              </w:rPr>
              <w:t>单元起居室（厅)、餐厅</w:t>
            </w:r>
          </w:p>
        </w:tc>
        <w:tc>
          <w:tcPr>
            <w:tcW w:w="921" w:type="dxa"/>
            <w:tcBorders>
              <w:top w:val="single" w:color="000000" w:sz="4" w:space="0"/>
              <w:left w:val="nil"/>
              <w:bottom w:val="single" w:color="000000" w:sz="4" w:space="0"/>
              <w:right w:val="single" w:color="000000" w:sz="4" w:space="0"/>
            </w:tcBorders>
            <w:vAlign w:val="center"/>
          </w:tcPr>
          <w:p w14:paraId="65F666BD">
            <w:pPr>
              <w:pStyle w:val="71"/>
              <w:spacing w:before="24" w:after="24"/>
              <w:rPr>
                <w:rFonts w:cs="Times New Roman"/>
              </w:rPr>
            </w:pPr>
            <w:r>
              <w:rPr>
                <w:rFonts w:cs="Times New Roman"/>
              </w:rPr>
              <w:t>200</w:t>
            </w:r>
          </w:p>
        </w:tc>
        <w:tc>
          <w:tcPr>
            <w:tcW w:w="1428" w:type="dxa"/>
            <w:tcBorders>
              <w:top w:val="single" w:color="000000" w:sz="4" w:space="0"/>
              <w:left w:val="nil"/>
              <w:bottom w:val="single" w:color="000000" w:sz="4" w:space="0"/>
              <w:right w:val="single" w:color="000000" w:sz="4" w:space="0"/>
            </w:tcBorders>
            <w:vAlign w:val="center"/>
          </w:tcPr>
          <w:p w14:paraId="38D03E3F">
            <w:pPr>
              <w:pStyle w:val="71"/>
              <w:spacing w:before="24" w:after="24"/>
              <w:rPr>
                <w:rFonts w:cs="Times New Roman"/>
              </w:rPr>
            </w:pPr>
            <w:r>
              <w:rPr>
                <w:rFonts w:cs="Times New Roman"/>
              </w:rPr>
              <w:t>≤8.0</w:t>
            </w:r>
          </w:p>
        </w:tc>
        <w:tc>
          <w:tcPr>
            <w:tcW w:w="1415" w:type="dxa"/>
            <w:tcBorders>
              <w:top w:val="single" w:color="000000" w:sz="4" w:space="0"/>
              <w:left w:val="nil"/>
              <w:bottom w:val="single" w:color="000000" w:sz="4" w:space="0"/>
              <w:right w:val="single" w:color="000000" w:sz="4" w:space="0"/>
            </w:tcBorders>
            <w:vAlign w:val="center"/>
          </w:tcPr>
          <w:p w14:paraId="27F0CBB5">
            <w:pPr>
              <w:pStyle w:val="71"/>
              <w:spacing w:before="24" w:after="24"/>
              <w:rPr>
                <w:rFonts w:cs="Times New Roman"/>
              </w:rPr>
            </w:pPr>
            <w:r>
              <w:rPr>
                <w:rFonts w:cs="Times New Roman"/>
              </w:rPr>
              <w:t xml:space="preserve">/ </w:t>
            </w:r>
          </w:p>
        </w:tc>
        <w:tc>
          <w:tcPr>
            <w:tcW w:w="1431" w:type="dxa"/>
            <w:tcBorders>
              <w:top w:val="single" w:color="000000" w:sz="4" w:space="0"/>
              <w:left w:val="nil"/>
              <w:bottom w:val="single" w:color="000000" w:sz="4" w:space="0"/>
              <w:right w:val="single" w:color="000000" w:sz="4" w:space="0"/>
            </w:tcBorders>
            <w:vAlign w:val="center"/>
          </w:tcPr>
          <w:p w14:paraId="5BC3A9E8">
            <w:pPr>
              <w:pStyle w:val="71"/>
              <w:spacing w:before="24" w:after="24"/>
              <w:rPr>
                <w:rFonts w:cs="Times New Roman"/>
              </w:rPr>
            </w:pPr>
            <w:r>
              <w:rPr>
                <w:rFonts w:cs="Times New Roman"/>
              </w:rPr>
              <w:t xml:space="preserve">80 </w:t>
            </w:r>
          </w:p>
        </w:tc>
        <w:tc>
          <w:tcPr>
            <w:tcW w:w="1432" w:type="dxa"/>
            <w:tcBorders>
              <w:top w:val="single" w:color="000000" w:sz="4" w:space="0"/>
              <w:left w:val="nil"/>
              <w:bottom w:val="single" w:color="000000" w:sz="4" w:space="0"/>
              <w:right w:val="single" w:color="000000" w:sz="4" w:space="0"/>
            </w:tcBorders>
            <w:vAlign w:val="center"/>
          </w:tcPr>
          <w:p w14:paraId="7C5A0A3C">
            <w:pPr>
              <w:pStyle w:val="71"/>
              <w:spacing w:before="24" w:after="24"/>
              <w:rPr>
                <w:rFonts w:cs="Times New Roman"/>
              </w:rPr>
            </w:pPr>
            <w:r>
              <w:rPr>
                <w:rFonts w:cs="Times New Roman"/>
              </w:rPr>
              <w:t xml:space="preserve">0.60 </w:t>
            </w:r>
          </w:p>
        </w:tc>
      </w:tr>
      <w:tr w14:paraId="71A0C9D0">
        <w:tblPrEx>
          <w:tblCellMar>
            <w:top w:w="0" w:type="dxa"/>
            <w:left w:w="108" w:type="dxa"/>
            <w:bottom w:w="0" w:type="dxa"/>
            <w:right w:w="108" w:type="dxa"/>
          </w:tblCellMar>
        </w:tblPrEx>
        <w:trPr>
          <w:trHeight w:val="525" w:hRule="atLeast"/>
        </w:trPr>
        <w:tc>
          <w:tcPr>
            <w:tcW w:w="2648" w:type="dxa"/>
            <w:tcBorders>
              <w:top w:val="single" w:color="000000" w:sz="4" w:space="0"/>
              <w:left w:val="single" w:color="000000" w:sz="4" w:space="0"/>
              <w:bottom w:val="single" w:color="000000" w:sz="4" w:space="0"/>
              <w:right w:val="single" w:color="000000" w:sz="4" w:space="0"/>
            </w:tcBorders>
            <w:vAlign w:val="center"/>
          </w:tcPr>
          <w:p w14:paraId="48112EE7">
            <w:pPr>
              <w:pStyle w:val="71"/>
              <w:spacing w:before="24" w:after="24"/>
              <w:rPr>
                <w:rFonts w:cs="Times New Roman"/>
              </w:rPr>
            </w:pPr>
            <w:r>
              <w:rPr>
                <w:rFonts w:cs="Times New Roman"/>
              </w:rPr>
              <w:t>卫生间、浴室、盥洗室</w:t>
            </w:r>
          </w:p>
        </w:tc>
        <w:tc>
          <w:tcPr>
            <w:tcW w:w="921" w:type="dxa"/>
            <w:tcBorders>
              <w:top w:val="single" w:color="000000" w:sz="4" w:space="0"/>
              <w:left w:val="nil"/>
              <w:bottom w:val="single" w:color="000000" w:sz="4" w:space="0"/>
              <w:right w:val="single" w:color="000000" w:sz="4" w:space="0"/>
            </w:tcBorders>
            <w:vAlign w:val="center"/>
          </w:tcPr>
          <w:p w14:paraId="56412657">
            <w:pPr>
              <w:pStyle w:val="71"/>
              <w:spacing w:before="24" w:after="24"/>
              <w:rPr>
                <w:rFonts w:cs="Times New Roman"/>
              </w:rPr>
            </w:pPr>
            <w:r>
              <w:rPr>
                <w:rFonts w:cs="Times New Roman"/>
              </w:rPr>
              <w:t>200</w:t>
            </w:r>
          </w:p>
        </w:tc>
        <w:tc>
          <w:tcPr>
            <w:tcW w:w="1428" w:type="dxa"/>
            <w:tcBorders>
              <w:top w:val="single" w:color="000000" w:sz="4" w:space="0"/>
              <w:left w:val="nil"/>
              <w:bottom w:val="single" w:color="000000" w:sz="4" w:space="0"/>
              <w:right w:val="single" w:color="000000" w:sz="4" w:space="0"/>
            </w:tcBorders>
            <w:vAlign w:val="center"/>
          </w:tcPr>
          <w:p w14:paraId="1C68A9F4">
            <w:pPr>
              <w:pStyle w:val="71"/>
              <w:spacing w:before="24" w:after="24"/>
              <w:rPr>
                <w:rFonts w:cs="Times New Roman"/>
              </w:rPr>
            </w:pPr>
            <w:r>
              <w:rPr>
                <w:rFonts w:cs="Times New Roman"/>
              </w:rPr>
              <w:t>≤8.0</w:t>
            </w:r>
          </w:p>
        </w:tc>
        <w:tc>
          <w:tcPr>
            <w:tcW w:w="1415" w:type="dxa"/>
            <w:tcBorders>
              <w:top w:val="single" w:color="000000" w:sz="4" w:space="0"/>
              <w:left w:val="nil"/>
              <w:bottom w:val="single" w:color="000000" w:sz="4" w:space="0"/>
              <w:right w:val="single" w:color="000000" w:sz="4" w:space="0"/>
            </w:tcBorders>
            <w:vAlign w:val="center"/>
          </w:tcPr>
          <w:p w14:paraId="764CC104">
            <w:pPr>
              <w:pStyle w:val="71"/>
              <w:spacing w:before="24" w:after="24"/>
              <w:rPr>
                <w:rFonts w:cs="Times New Roman"/>
              </w:rPr>
            </w:pPr>
            <w:r>
              <w:rPr>
                <w:rFonts w:cs="Times New Roman"/>
              </w:rPr>
              <w:t>/</w:t>
            </w:r>
          </w:p>
        </w:tc>
        <w:tc>
          <w:tcPr>
            <w:tcW w:w="1431" w:type="dxa"/>
            <w:tcBorders>
              <w:top w:val="single" w:color="000000" w:sz="4" w:space="0"/>
              <w:left w:val="nil"/>
              <w:bottom w:val="single" w:color="000000" w:sz="4" w:space="0"/>
              <w:right w:val="single" w:color="000000" w:sz="4" w:space="0"/>
            </w:tcBorders>
            <w:vAlign w:val="center"/>
          </w:tcPr>
          <w:p w14:paraId="7995AC50">
            <w:pPr>
              <w:pStyle w:val="71"/>
              <w:spacing w:before="24" w:after="24"/>
              <w:rPr>
                <w:rFonts w:cs="Times New Roman"/>
              </w:rPr>
            </w:pPr>
            <w:r>
              <w:rPr>
                <w:rFonts w:cs="Times New Roman"/>
              </w:rPr>
              <w:t xml:space="preserve">80 </w:t>
            </w:r>
          </w:p>
        </w:tc>
        <w:tc>
          <w:tcPr>
            <w:tcW w:w="1432" w:type="dxa"/>
            <w:tcBorders>
              <w:top w:val="single" w:color="000000" w:sz="4" w:space="0"/>
              <w:left w:val="nil"/>
              <w:bottom w:val="single" w:color="000000" w:sz="4" w:space="0"/>
              <w:right w:val="single" w:color="000000" w:sz="4" w:space="0"/>
            </w:tcBorders>
            <w:vAlign w:val="center"/>
          </w:tcPr>
          <w:p w14:paraId="7E006E9F">
            <w:pPr>
              <w:pStyle w:val="71"/>
              <w:spacing w:before="24" w:after="24"/>
              <w:rPr>
                <w:rFonts w:cs="Times New Roman"/>
              </w:rPr>
            </w:pPr>
            <w:r>
              <w:rPr>
                <w:rFonts w:cs="Times New Roman"/>
              </w:rPr>
              <w:t xml:space="preserve">0.60 </w:t>
            </w:r>
          </w:p>
        </w:tc>
      </w:tr>
      <w:tr w14:paraId="024FA0E3">
        <w:tblPrEx>
          <w:tblCellMar>
            <w:top w:w="0" w:type="dxa"/>
            <w:left w:w="108" w:type="dxa"/>
            <w:bottom w:w="0" w:type="dxa"/>
            <w:right w:w="108" w:type="dxa"/>
          </w:tblCellMar>
        </w:tblPrEx>
        <w:trPr>
          <w:trHeight w:val="525" w:hRule="atLeast"/>
        </w:trPr>
        <w:tc>
          <w:tcPr>
            <w:tcW w:w="2648" w:type="dxa"/>
            <w:tcBorders>
              <w:top w:val="single" w:color="000000" w:sz="4" w:space="0"/>
              <w:left w:val="single" w:color="000000" w:sz="4" w:space="0"/>
              <w:bottom w:val="single" w:color="000000" w:sz="4" w:space="0"/>
              <w:right w:val="single" w:color="000000" w:sz="4" w:space="0"/>
            </w:tcBorders>
            <w:vAlign w:val="center"/>
          </w:tcPr>
          <w:p w14:paraId="406B1ABC">
            <w:pPr>
              <w:pStyle w:val="71"/>
              <w:spacing w:before="24" w:after="24"/>
              <w:rPr>
                <w:rFonts w:cs="Times New Roman"/>
              </w:rPr>
            </w:pPr>
            <w:r>
              <w:rPr>
                <w:rFonts w:cs="Times New Roman"/>
              </w:rPr>
              <w:t>棋牌室、健身用房</w:t>
            </w:r>
          </w:p>
        </w:tc>
        <w:tc>
          <w:tcPr>
            <w:tcW w:w="921" w:type="dxa"/>
            <w:tcBorders>
              <w:top w:val="single" w:color="000000" w:sz="4" w:space="0"/>
              <w:left w:val="nil"/>
              <w:bottom w:val="single" w:color="000000" w:sz="4" w:space="0"/>
              <w:right w:val="single" w:color="000000" w:sz="4" w:space="0"/>
            </w:tcBorders>
            <w:vAlign w:val="center"/>
          </w:tcPr>
          <w:p w14:paraId="67ED86F8">
            <w:pPr>
              <w:pStyle w:val="71"/>
              <w:spacing w:before="24" w:after="24"/>
              <w:rPr>
                <w:rFonts w:cs="Times New Roman"/>
              </w:rPr>
            </w:pPr>
            <w:r>
              <w:rPr>
                <w:rFonts w:cs="Times New Roman"/>
              </w:rPr>
              <w:t>300</w:t>
            </w:r>
          </w:p>
        </w:tc>
        <w:tc>
          <w:tcPr>
            <w:tcW w:w="1428" w:type="dxa"/>
            <w:tcBorders>
              <w:top w:val="single" w:color="000000" w:sz="4" w:space="0"/>
              <w:left w:val="nil"/>
              <w:bottom w:val="single" w:color="000000" w:sz="4" w:space="0"/>
              <w:right w:val="single" w:color="000000" w:sz="4" w:space="0"/>
            </w:tcBorders>
            <w:vAlign w:val="center"/>
          </w:tcPr>
          <w:p w14:paraId="1E5FCEC8">
            <w:pPr>
              <w:pStyle w:val="71"/>
              <w:spacing w:before="24" w:after="24"/>
              <w:rPr>
                <w:rFonts w:cs="Times New Roman"/>
              </w:rPr>
            </w:pPr>
            <w:r>
              <w:rPr>
                <w:rFonts w:cs="Times New Roman"/>
              </w:rPr>
              <w:t>≤10.0</w:t>
            </w:r>
          </w:p>
        </w:tc>
        <w:tc>
          <w:tcPr>
            <w:tcW w:w="1415" w:type="dxa"/>
            <w:tcBorders>
              <w:top w:val="single" w:color="000000" w:sz="4" w:space="0"/>
              <w:left w:val="nil"/>
              <w:bottom w:val="single" w:color="000000" w:sz="4" w:space="0"/>
              <w:right w:val="single" w:color="000000" w:sz="4" w:space="0"/>
            </w:tcBorders>
            <w:vAlign w:val="center"/>
          </w:tcPr>
          <w:p w14:paraId="5C8C9DB4">
            <w:pPr>
              <w:pStyle w:val="71"/>
              <w:spacing w:before="24" w:after="24"/>
              <w:rPr>
                <w:rFonts w:cs="Times New Roman"/>
              </w:rPr>
            </w:pPr>
            <w:r>
              <w:rPr>
                <w:rFonts w:cs="Times New Roman"/>
              </w:rPr>
              <w:t xml:space="preserve">19 </w:t>
            </w:r>
          </w:p>
        </w:tc>
        <w:tc>
          <w:tcPr>
            <w:tcW w:w="1431" w:type="dxa"/>
            <w:tcBorders>
              <w:top w:val="single" w:color="000000" w:sz="4" w:space="0"/>
              <w:left w:val="nil"/>
              <w:bottom w:val="single" w:color="000000" w:sz="4" w:space="0"/>
              <w:right w:val="single" w:color="000000" w:sz="4" w:space="0"/>
            </w:tcBorders>
            <w:vAlign w:val="center"/>
          </w:tcPr>
          <w:p w14:paraId="198AF46F">
            <w:pPr>
              <w:pStyle w:val="71"/>
              <w:spacing w:before="24" w:after="24"/>
              <w:rPr>
                <w:rFonts w:cs="Times New Roman"/>
              </w:rPr>
            </w:pPr>
            <w:r>
              <w:rPr>
                <w:rFonts w:cs="Times New Roman"/>
              </w:rPr>
              <w:t xml:space="preserve">80 </w:t>
            </w:r>
          </w:p>
        </w:tc>
        <w:tc>
          <w:tcPr>
            <w:tcW w:w="1432" w:type="dxa"/>
            <w:tcBorders>
              <w:top w:val="single" w:color="000000" w:sz="4" w:space="0"/>
              <w:left w:val="nil"/>
              <w:bottom w:val="single" w:color="000000" w:sz="4" w:space="0"/>
              <w:right w:val="single" w:color="000000" w:sz="4" w:space="0"/>
            </w:tcBorders>
            <w:vAlign w:val="center"/>
          </w:tcPr>
          <w:p w14:paraId="02D00B56">
            <w:pPr>
              <w:pStyle w:val="71"/>
              <w:spacing w:before="24" w:after="24"/>
              <w:rPr>
                <w:rFonts w:cs="Times New Roman"/>
              </w:rPr>
            </w:pPr>
            <w:r>
              <w:rPr>
                <w:rFonts w:cs="Times New Roman"/>
              </w:rPr>
              <w:t xml:space="preserve">0.60 </w:t>
            </w:r>
          </w:p>
        </w:tc>
      </w:tr>
      <w:tr w14:paraId="0AA892C2">
        <w:tblPrEx>
          <w:tblCellMar>
            <w:top w:w="0" w:type="dxa"/>
            <w:left w:w="108" w:type="dxa"/>
            <w:bottom w:w="0" w:type="dxa"/>
            <w:right w:w="108" w:type="dxa"/>
          </w:tblCellMar>
        </w:tblPrEx>
        <w:trPr>
          <w:trHeight w:val="525" w:hRule="atLeast"/>
        </w:trPr>
        <w:tc>
          <w:tcPr>
            <w:tcW w:w="2648" w:type="dxa"/>
            <w:tcBorders>
              <w:top w:val="single" w:color="000000" w:sz="4" w:space="0"/>
              <w:left w:val="single" w:color="000000" w:sz="4" w:space="0"/>
              <w:bottom w:val="single" w:color="000000" w:sz="4" w:space="0"/>
              <w:right w:val="single" w:color="000000" w:sz="4" w:space="0"/>
            </w:tcBorders>
            <w:vAlign w:val="center"/>
          </w:tcPr>
          <w:p w14:paraId="43DBD240">
            <w:pPr>
              <w:pStyle w:val="71"/>
              <w:spacing w:before="24" w:after="24"/>
              <w:rPr>
                <w:rFonts w:cs="Times New Roman"/>
              </w:rPr>
            </w:pPr>
            <w:r>
              <w:rPr>
                <w:rFonts w:cs="Times New Roman"/>
              </w:rPr>
              <w:t>康复与医疗用房</w:t>
            </w:r>
          </w:p>
        </w:tc>
        <w:tc>
          <w:tcPr>
            <w:tcW w:w="921" w:type="dxa"/>
            <w:tcBorders>
              <w:top w:val="single" w:color="000000" w:sz="4" w:space="0"/>
              <w:left w:val="nil"/>
              <w:bottom w:val="single" w:color="000000" w:sz="4" w:space="0"/>
              <w:right w:val="single" w:color="000000" w:sz="4" w:space="0"/>
            </w:tcBorders>
            <w:vAlign w:val="center"/>
          </w:tcPr>
          <w:p w14:paraId="631DAB0C">
            <w:pPr>
              <w:pStyle w:val="71"/>
              <w:spacing w:before="24" w:after="24"/>
              <w:rPr>
                <w:rFonts w:cs="Times New Roman"/>
              </w:rPr>
            </w:pPr>
            <w:r>
              <w:rPr>
                <w:rFonts w:cs="Times New Roman"/>
              </w:rPr>
              <w:t>300</w:t>
            </w:r>
          </w:p>
        </w:tc>
        <w:tc>
          <w:tcPr>
            <w:tcW w:w="1428" w:type="dxa"/>
            <w:tcBorders>
              <w:top w:val="single" w:color="000000" w:sz="4" w:space="0"/>
              <w:left w:val="nil"/>
              <w:bottom w:val="single" w:color="000000" w:sz="4" w:space="0"/>
              <w:right w:val="single" w:color="000000" w:sz="4" w:space="0"/>
            </w:tcBorders>
            <w:vAlign w:val="center"/>
          </w:tcPr>
          <w:p w14:paraId="0437E0B3">
            <w:pPr>
              <w:pStyle w:val="71"/>
              <w:spacing w:before="24" w:after="24"/>
              <w:rPr>
                <w:rFonts w:cs="Times New Roman"/>
              </w:rPr>
            </w:pPr>
            <w:r>
              <w:rPr>
                <w:rFonts w:cs="Times New Roman"/>
              </w:rPr>
              <w:t>≤10.0</w:t>
            </w:r>
          </w:p>
        </w:tc>
        <w:tc>
          <w:tcPr>
            <w:tcW w:w="1415" w:type="dxa"/>
            <w:tcBorders>
              <w:top w:val="single" w:color="000000" w:sz="4" w:space="0"/>
              <w:left w:val="nil"/>
              <w:bottom w:val="single" w:color="000000" w:sz="4" w:space="0"/>
              <w:right w:val="single" w:color="000000" w:sz="4" w:space="0"/>
            </w:tcBorders>
            <w:vAlign w:val="center"/>
          </w:tcPr>
          <w:p w14:paraId="6EB3F7BC">
            <w:pPr>
              <w:pStyle w:val="71"/>
              <w:spacing w:before="24" w:after="24"/>
              <w:rPr>
                <w:rFonts w:cs="Times New Roman"/>
              </w:rPr>
            </w:pPr>
            <w:r>
              <w:rPr>
                <w:rFonts w:cs="Times New Roman"/>
              </w:rPr>
              <w:t xml:space="preserve">19 </w:t>
            </w:r>
          </w:p>
        </w:tc>
        <w:tc>
          <w:tcPr>
            <w:tcW w:w="1431" w:type="dxa"/>
            <w:tcBorders>
              <w:top w:val="single" w:color="000000" w:sz="4" w:space="0"/>
              <w:left w:val="nil"/>
              <w:bottom w:val="single" w:color="000000" w:sz="4" w:space="0"/>
              <w:right w:val="single" w:color="000000" w:sz="4" w:space="0"/>
            </w:tcBorders>
            <w:vAlign w:val="center"/>
          </w:tcPr>
          <w:p w14:paraId="0933D6CB">
            <w:pPr>
              <w:pStyle w:val="71"/>
              <w:spacing w:before="24" w:after="24"/>
              <w:rPr>
                <w:rFonts w:cs="Times New Roman"/>
              </w:rPr>
            </w:pPr>
            <w:r>
              <w:rPr>
                <w:rFonts w:cs="Times New Roman"/>
              </w:rPr>
              <w:t xml:space="preserve">80 </w:t>
            </w:r>
          </w:p>
        </w:tc>
        <w:tc>
          <w:tcPr>
            <w:tcW w:w="1432" w:type="dxa"/>
            <w:tcBorders>
              <w:top w:val="single" w:color="000000" w:sz="4" w:space="0"/>
              <w:left w:val="nil"/>
              <w:bottom w:val="single" w:color="000000" w:sz="4" w:space="0"/>
              <w:right w:val="single" w:color="000000" w:sz="4" w:space="0"/>
            </w:tcBorders>
            <w:vAlign w:val="center"/>
          </w:tcPr>
          <w:p w14:paraId="24C3E803">
            <w:pPr>
              <w:pStyle w:val="71"/>
              <w:spacing w:before="24" w:after="24"/>
              <w:rPr>
                <w:rFonts w:cs="Times New Roman"/>
              </w:rPr>
            </w:pPr>
            <w:r>
              <w:rPr>
                <w:rFonts w:cs="Times New Roman"/>
              </w:rPr>
              <w:t xml:space="preserve">0.70 </w:t>
            </w:r>
          </w:p>
        </w:tc>
      </w:tr>
      <w:tr w14:paraId="2F809557">
        <w:tblPrEx>
          <w:tblCellMar>
            <w:top w:w="0" w:type="dxa"/>
            <w:left w:w="108" w:type="dxa"/>
            <w:bottom w:w="0" w:type="dxa"/>
            <w:right w:w="108" w:type="dxa"/>
          </w:tblCellMar>
        </w:tblPrEx>
        <w:trPr>
          <w:trHeight w:val="525" w:hRule="atLeast"/>
        </w:trPr>
        <w:tc>
          <w:tcPr>
            <w:tcW w:w="2648" w:type="dxa"/>
            <w:tcBorders>
              <w:top w:val="single" w:color="000000" w:sz="4" w:space="0"/>
              <w:left w:val="single" w:color="000000" w:sz="4" w:space="0"/>
              <w:bottom w:val="single" w:color="000000" w:sz="4" w:space="0"/>
              <w:right w:val="single" w:color="000000" w:sz="4" w:space="0"/>
            </w:tcBorders>
            <w:vAlign w:val="center"/>
          </w:tcPr>
          <w:p w14:paraId="0012E3E3">
            <w:pPr>
              <w:pStyle w:val="71"/>
              <w:spacing w:before="24" w:after="24"/>
              <w:rPr>
                <w:rFonts w:cs="Times New Roman"/>
              </w:rPr>
            </w:pPr>
            <w:r>
              <w:rPr>
                <w:rFonts w:cs="Times New Roman"/>
              </w:rPr>
              <w:t>护理站</w:t>
            </w:r>
          </w:p>
        </w:tc>
        <w:tc>
          <w:tcPr>
            <w:tcW w:w="921" w:type="dxa"/>
            <w:tcBorders>
              <w:top w:val="single" w:color="000000" w:sz="4" w:space="0"/>
              <w:left w:val="nil"/>
              <w:bottom w:val="single" w:color="000000" w:sz="4" w:space="0"/>
              <w:right w:val="single" w:color="000000" w:sz="4" w:space="0"/>
            </w:tcBorders>
            <w:vAlign w:val="center"/>
          </w:tcPr>
          <w:p w14:paraId="6FBD32E9">
            <w:pPr>
              <w:pStyle w:val="71"/>
              <w:spacing w:before="24" w:after="24"/>
              <w:rPr>
                <w:rFonts w:cs="Times New Roman"/>
              </w:rPr>
            </w:pPr>
            <w:r>
              <w:rPr>
                <w:rFonts w:cs="Times New Roman"/>
              </w:rPr>
              <w:t>300</w:t>
            </w:r>
          </w:p>
        </w:tc>
        <w:tc>
          <w:tcPr>
            <w:tcW w:w="1428" w:type="dxa"/>
            <w:tcBorders>
              <w:top w:val="single" w:color="000000" w:sz="4" w:space="0"/>
              <w:left w:val="nil"/>
              <w:bottom w:val="single" w:color="000000" w:sz="4" w:space="0"/>
              <w:right w:val="single" w:color="000000" w:sz="4" w:space="0"/>
            </w:tcBorders>
            <w:vAlign w:val="center"/>
          </w:tcPr>
          <w:p w14:paraId="4856FE5F">
            <w:pPr>
              <w:pStyle w:val="71"/>
              <w:spacing w:before="24" w:after="24"/>
              <w:rPr>
                <w:rFonts w:cs="Times New Roman"/>
              </w:rPr>
            </w:pPr>
            <w:r>
              <w:rPr>
                <w:rFonts w:cs="Times New Roman"/>
              </w:rPr>
              <w:t>≤10.0</w:t>
            </w:r>
          </w:p>
        </w:tc>
        <w:tc>
          <w:tcPr>
            <w:tcW w:w="1415" w:type="dxa"/>
            <w:tcBorders>
              <w:top w:val="single" w:color="000000" w:sz="4" w:space="0"/>
              <w:left w:val="nil"/>
              <w:bottom w:val="single" w:color="000000" w:sz="4" w:space="0"/>
              <w:right w:val="single" w:color="000000" w:sz="4" w:space="0"/>
            </w:tcBorders>
            <w:vAlign w:val="center"/>
          </w:tcPr>
          <w:p w14:paraId="4C694F03">
            <w:pPr>
              <w:pStyle w:val="71"/>
              <w:spacing w:before="24" w:after="24"/>
              <w:rPr>
                <w:rFonts w:cs="Times New Roman"/>
              </w:rPr>
            </w:pPr>
            <w:r>
              <w:rPr>
                <w:rFonts w:cs="Times New Roman"/>
              </w:rPr>
              <w:t>/</w:t>
            </w:r>
          </w:p>
        </w:tc>
        <w:tc>
          <w:tcPr>
            <w:tcW w:w="1431" w:type="dxa"/>
            <w:tcBorders>
              <w:top w:val="single" w:color="000000" w:sz="4" w:space="0"/>
              <w:left w:val="nil"/>
              <w:bottom w:val="single" w:color="000000" w:sz="4" w:space="0"/>
              <w:right w:val="single" w:color="000000" w:sz="4" w:space="0"/>
            </w:tcBorders>
            <w:vAlign w:val="center"/>
          </w:tcPr>
          <w:p w14:paraId="7F091162">
            <w:pPr>
              <w:pStyle w:val="71"/>
              <w:spacing w:before="24" w:after="24"/>
              <w:rPr>
                <w:rFonts w:cs="Times New Roman"/>
              </w:rPr>
            </w:pPr>
            <w:r>
              <w:rPr>
                <w:rFonts w:cs="Times New Roman"/>
              </w:rPr>
              <w:t xml:space="preserve">80 </w:t>
            </w:r>
          </w:p>
        </w:tc>
        <w:tc>
          <w:tcPr>
            <w:tcW w:w="1432" w:type="dxa"/>
            <w:tcBorders>
              <w:top w:val="single" w:color="000000" w:sz="4" w:space="0"/>
              <w:left w:val="nil"/>
              <w:bottom w:val="single" w:color="000000" w:sz="4" w:space="0"/>
              <w:right w:val="single" w:color="000000" w:sz="4" w:space="0"/>
            </w:tcBorders>
            <w:vAlign w:val="center"/>
          </w:tcPr>
          <w:p w14:paraId="19ECE101">
            <w:pPr>
              <w:pStyle w:val="71"/>
              <w:spacing w:before="24" w:after="24"/>
              <w:rPr>
                <w:rFonts w:cs="Times New Roman"/>
              </w:rPr>
            </w:pPr>
            <w:r>
              <w:rPr>
                <w:rFonts w:cs="Times New Roman"/>
              </w:rPr>
              <w:t xml:space="preserve">0.60 </w:t>
            </w:r>
          </w:p>
        </w:tc>
      </w:tr>
      <w:tr w14:paraId="71F03AF2">
        <w:tblPrEx>
          <w:tblCellMar>
            <w:top w:w="0" w:type="dxa"/>
            <w:left w:w="108" w:type="dxa"/>
            <w:bottom w:w="0" w:type="dxa"/>
            <w:right w:w="108" w:type="dxa"/>
          </w:tblCellMar>
        </w:tblPrEx>
        <w:trPr>
          <w:trHeight w:val="557" w:hRule="atLeast"/>
        </w:trPr>
        <w:tc>
          <w:tcPr>
            <w:tcW w:w="2648" w:type="dxa"/>
            <w:tcBorders>
              <w:top w:val="single" w:color="000000" w:sz="4" w:space="0"/>
              <w:left w:val="single" w:color="000000" w:sz="4" w:space="0"/>
              <w:bottom w:val="single" w:color="000000" w:sz="4" w:space="0"/>
              <w:right w:val="single" w:color="000000" w:sz="4" w:space="0"/>
            </w:tcBorders>
            <w:vAlign w:val="center"/>
          </w:tcPr>
          <w:p w14:paraId="72EE0A5C">
            <w:pPr>
              <w:pStyle w:val="71"/>
              <w:spacing w:before="24" w:after="24"/>
              <w:rPr>
                <w:rFonts w:cs="Times New Roman"/>
              </w:rPr>
            </w:pPr>
            <w:r>
              <w:rPr>
                <w:rFonts w:cs="Times New Roman"/>
              </w:rPr>
              <w:t>药房</w:t>
            </w:r>
          </w:p>
        </w:tc>
        <w:tc>
          <w:tcPr>
            <w:tcW w:w="921" w:type="dxa"/>
            <w:tcBorders>
              <w:top w:val="single" w:color="000000" w:sz="4" w:space="0"/>
              <w:left w:val="nil"/>
              <w:bottom w:val="single" w:color="000000" w:sz="4" w:space="0"/>
              <w:right w:val="single" w:color="000000" w:sz="4" w:space="0"/>
            </w:tcBorders>
            <w:vAlign w:val="center"/>
          </w:tcPr>
          <w:p w14:paraId="311070DF">
            <w:pPr>
              <w:pStyle w:val="71"/>
              <w:spacing w:before="24" w:after="24"/>
              <w:rPr>
                <w:rFonts w:cs="Times New Roman"/>
              </w:rPr>
            </w:pPr>
            <w:r>
              <w:rPr>
                <w:rFonts w:cs="Times New Roman"/>
              </w:rPr>
              <w:t>500</w:t>
            </w:r>
          </w:p>
        </w:tc>
        <w:tc>
          <w:tcPr>
            <w:tcW w:w="1428" w:type="dxa"/>
            <w:tcBorders>
              <w:top w:val="single" w:color="000000" w:sz="4" w:space="0"/>
              <w:left w:val="nil"/>
              <w:bottom w:val="single" w:color="000000" w:sz="4" w:space="0"/>
              <w:right w:val="single" w:color="000000" w:sz="4" w:space="0"/>
            </w:tcBorders>
            <w:vAlign w:val="center"/>
          </w:tcPr>
          <w:p w14:paraId="5EC6E1D1">
            <w:pPr>
              <w:pStyle w:val="71"/>
              <w:spacing w:before="24" w:after="24"/>
              <w:rPr>
                <w:rFonts w:cs="Times New Roman"/>
              </w:rPr>
            </w:pPr>
            <w:r>
              <w:rPr>
                <w:rFonts w:cs="Times New Roman"/>
              </w:rPr>
              <w:t>≤13.5</w:t>
            </w:r>
          </w:p>
        </w:tc>
        <w:tc>
          <w:tcPr>
            <w:tcW w:w="1415" w:type="dxa"/>
            <w:tcBorders>
              <w:top w:val="single" w:color="000000" w:sz="4" w:space="0"/>
              <w:left w:val="nil"/>
              <w:bottom w:val="single" w:color="000000" w:sz="4" w:space="0"/>
              <w:right w:val="single" w:color="000000" w:sz="4" w:space="0"/>
            </w:tcBorders>
            <w:vAlign w:val="center"/>
          </w:tcPr>
          <w:p w14:paraId="0ED201B8">
            <w:pPr>
              <w:pStyle w:val="71"/>
              <w:spacing w:before="24" w:after="24"/>
              <w:rPr>
                <w:rFonts w:cs="Times New Roman"/>
              </w:rPr>
            </w:pPr>
            <w:r>
              <w:rPr>
                <w:rFonts w:cs="Times New Roman"/>
              </w:rPr>
              <w:t>19</w:t>
            </w:r>
          </w:p>
        </w:tc>
        <w:tc>
          <w:tcPr>
            <w:tcW w:w="1431" w:type="dxa"/>
            <w:tcBorders>
              <w:top w:val="single" w:color="000000" w:sz="4" w:space="0"/>
              <w:left w:val="nil"/>
              <w:bottom w:val="single" w:color="000000" w:sz="4" w:space="0"/>
              <w:right w:val="single" w:color="000000" w:sz="4" w:space="0"/>
            </w:tcBorders>
            <w:vAlign w:val="center"/>
          </w:tcPr>
          <w:p w14:paraId="2998ADD0">
            <w:pPr>
              <w:pStyle w:val="71"/>
              <w:spacing w:before="24" w:after="24"/>
              <w:rPr>
                <w:rFonts w:cs="Times New Roman"/>
              </w:rPr>
            </w:pPr>
            <w:r>
              <w:rPr>
                <w:rFonts w:cs="Times New Roman"/>
              </w:rPr>
              <w:t xml:space="preserve">80 </w:t>
            </w:r>
          </w:p>
        </w:tc>
        <w:tc>
          <w:tcPr>
            <w:tcW w:w="1432" w:type="dxa"/>
            <w:tcBorders>
              <w:top w:val="single" w:color="000000" w:sz="4" w:space="0"/>
              <w:left w:val="nil"/>
              <w:bottom w:val="single" w:color="000000" w:sz="4" w:space="0"/>
              <w:right w:val="single" w:color="000000" w:sz="4" w:space="0"/>
            </w:tcBorders>
            <w:vAlign w:val="center"/>
          </w:tcPr>
          <w:p w14:paraId="6150C05B">
            <w:pPr>
              <w:pStyle w:val="71"/>
              <w:spacing w:before="24" w:after="24"/>
              <w:rPr>
                <w:rFonts w:cs="Times New Roman"/>
              </w:rPr>
            </w:pPr>
            <w:r>
              <w:rPr>
                <w:rFonts w:cs="Times New Roman"/>
              </w:rPr>
              <w:t xml:space="preserve">0.60 </w:t>
            </w:r>
          </w:p>
        </w:tc>
      </w:tr>
      <w:tr w14:paraId="7ED89645">
        <w:tblPrEx>
          <w:tblCellMar>
            <w:top w:w="0" w:type="dxa"/>
            <w:left w:w="108" w:type="dxa"/>
            <w:bottom w:w="0" w:type="dxa"/>
            <w:right w:w="108" w:type="dxa"/>
          </w:tblCellMar>
        </w:tblPrEx>
        <w:trPr>
          <w:trHeight w:val="557" w:hRule="atLeast"/>
        </w:trPr>
        <w:tc>
          <w:tcPr>
            <w:tcW w:w="2648" w:type="dxa"/>
            <w:tcBorders>
              <w:top w:val="single" w:color="000000" w:sz="4" w:space="0"/>
              <w:left w:val="single" w:color="000000" w:sz="4" w:space="0"/>
              <w:bottom w:val="single" w:color="000000" w:sz="4" w:space="0"/>
              <w:right w:val="single" w:color="000000" w:sz="4" w:space="0"/>
            </w:tcBorders>
            <w:vAlign w:val="center"/>
          </w:tcPr>
          <w:p w14:paraId="28125897">
            <w:pPr>
              <w:pStyle w:val="71"/>
              <w:spacing w:before="24" w:after="24"/>
              <w:rPr>
                <w:rFonts w:cs="Times New Roman"/>
              </w:rPr>
            </w:pPr>
            <w:r>
              <w:rPr>
                <w:rFonts w:cs="Times New Roman"/>
              </w:rPr>
              <w:t>清洁间、污物间</w:t>
            </w:r>
          </w:p>
        </w:tc>
        <w:tc>
          <w:tcPr>
            <w:tcW w:w="921" w:type="dxa"/>
            <w:tcBorders>
              <w:top w:val="single" w:color="000000" w:sz="4" w:space="0"/>
              <w:left w:val="nil"/>
              <w:bottom w:val="single" w:color="000000" w:sz="4" w:space="0"/>
              <w:right w:val="single" w:color="000000" w:sz="4" w:space="0"/>
            </w:tcBorders>
            <w:vAlign w:val="center"/>
          </w:tcPr>
          <w:p w14:paraId="62DD6A4D">
            <w:pPr>
              <w:pStyle w:val="71"/>
              <w:spacing w:before="24" w:after="24"/>
              <w:rPr>
                <w:rFonts w:cs="Times New Roman"/>
              </w:rPr>
            </w:pPr>
            <w:r>
              <w:rPr>
                <w:rFonts w:cs="Times New Roman"/>
              </w:rPr>
              <w:t>75</w:t>
            </w:r>
          </w:p>
        </w:tc>
        <w:tc>
          <w:tcPr>
            <w:tcW w:w="1428" w:type="dxa"/>
            <w:tcBorders>
              <w:top w:val="single" w:color="000000" w:sz="4" w:space="0"/>
              <w:left w:val="nil"/>
              <w:bottom w:val="single" w:color="000000" w:sz="4" w:space="0"/>
              <w:right w:val="single" w:color="000000" w:sz="4" w:space="0"/>
            </w:tcBorders>
            <w:vAlign w:val="center"/>
          </w:tcPr>
          <w:p w14:paraId="6343F6D2">
            <w:pPr>
              <w:pStyle w:val="71"/>
              <w:spacing w:before="24" w:after="24"/>
              <w:rPr>
                <w:rFonts w:cs="Times New Roman"/>
              </w:rPr>
            </w:pPr>
            <w:r>
              <w:rPr>
                <w:rFonts w:cs="Times New Roman"/>
              </w:rPr>
              <w:t>≤4.5</w:t>
            </w:r>
          </w:p>
        </w:tc>
        <w:tc>
          <w:tcPr>
            <w:tcW w:w="1415" w:type="dxa"/>
            <w:tcBorders>
              <w:top w:val="single" w:color="000000" w:sz="4" w:space="0"/>
              <w:left w:val="nil"/>
              <w:bottom w:val="single" w:color="000000" w:sz="4" w:space="0"/>
              <w:right w:val="single" w:color="000000" w:sz="4" w:space="0"/>
            </w:tcBorders>
            <w:vAlign w:val="center"/>
          </w:tcPr>
          <w:p w14:paraId="4160B0E1">
            <w:pPr>
              <w:pStyle w:val="71"/>
              <w:spacing w:before="24" w:after="24"/>
              <w:rPr>
                <w:rFonts w:cs="Times New Roman"/>
              </w:rPr>
            </w:pPr>
            <w:r>
              <w:rPr>
                <w:rFonts w:cs="Times New Roman"/>
              </w:rPr>
              <w:t>/</w:t>
            </w:r>
          </w:p>
        </w:tc>
        <w:tc>
          <w:tcPr>
            <w:tcW w:w="1431" w:type="dxa"/>
            <w:tcBorders>
              <w:top w:val="single" w:color="000000" w:sz="4" w:space="0"/>
              <w:left w:val="nil"/>
              <w:bottom w:val="single" w:color="000000" w:sz="4" w:space="0"/>
              <w:right w:val="single" w:color="000000" w:sz="4" w:space="0"/>
            </w:tcBorders>
            <w:vAlign w:val="center"/>
          </w:tcPr>
          <w:p w14:paraId="356E725E">
            <w:pPr>
              <w:pStyle w:val="71"/>
              <w:spacing w:before="24" w:after="24"/>
              <w:rPr>
                <w:rFonts w:cs="Times New Roman"/>
              </w:rPr>
            </w:pPr>
            <w:r>
              <w:rPr>
                <w:rFonts w:cs="Times New Roman"/>
              </w:rPr>
              <w:t xml:space="preserve">80 </w:t>
            </w:r>
          </w:p>
        </w:tc>
        <w:tc>
          <w:tcPr>
            <w:tcW w:w="1432" w:type="dxa"/>
            <w:tcBorders>
              <w:top w:val="single" w:color="000000" w:sz="4" w:space="0"/>
              <w:left w:val="nil"/>
              <w:bottom w:val="single" w:color="000000" w:sz="4" w:space="0"/>
              <w:right w:val="single" w:color="000000" w:sz="4" w:space="0"/>
            </w:tcBorders>
            <w:vAlign w:val="center"/>
          </w:tcPr>
          <w:p w14:paraId="692656B0">
            <w:pPr>
              <w:pStyle w:val="71"/>
              <w:spacing w:before="24" w:after="24"/>
              <w:rPr>
                <w:rFonts w:cs="Times New Roman"/>
              </w:rPr>
            </w:pPr>
            <w:r>
              <w:rPr>
                <w:rFonts w:cs="Times New Roman"/>
              </w:rPr>
              <w:t xml:space="preserve">0.40 </w:t>
            </w:r>
          </w:p>
        </w:tc>
      </w:tr>
      <w:tr w14:paraId="6F7A9856">
        <w:tblPrEx>
          <w:tblCellMar>
            <w:top w:w="0" w:type="dxa"/>
            <w:left w:w="108" w:type="dxa"/>
            <w:bottom w:w="0" w:type="dxa"/>
            <w:right w:w="108" w:type="dxa"/>
          </w:tblCellMar>
        </w:tblPrEx>
        <w:trPr>
          <w:trHeight w:val="557" w:hRule="atLeast"/>
        </w:trPr>
        <w:tc>
          <w:tcPr>
            <w:tcW w:w="2648" w:type="dxa"/>
            <w:tcBorders>
              <w:top w:val="single" w:color="000000" w:sz="4" w:space="0"/>
              <w:left w:val="single" w:color="000000" w:sz="4" w:space="0"/>
              <w:bottom w:val="single" w:color="000000" w:sz="4" w:space="0"/>
              <w:right w:val="single" w:color="000000" w:sz="4" w:space="0"/>
            </w:tcBorders>
            <w:vAlign w:val="center"/>
          </w:tcPr>
          <w:p w14:paraId="5609CA54">
            <w:pPr>
              <w:pStyle w:val="71"/>
              <w:spacing w:before="24" w:after="24"/>
              <w:rPr>
                <w:rFonts w:cs="Times New Roman"/>
              </w:rPr>
            </w:pPr>
            <w:r>
              <w:rPr>
                <w:rFonts w:cs="Times New Roman"/>
              </w:rPr>
              <w:t>门厅</w:t>
            </w:r>
          </w:p>
        </w:tc>
        <w:tc>
          <w:tcPr>
            <w:tcW w:w="921" w:type="dxa"/>
            <w:tcBorders>
              <w:top w:val="single" w:color="000000" w:sz="4" w:space="0"/>
              <w:left w:val="nil"/>
              <w:bottom w:val="single" w:color="000000" w:sz="4" w:space="0"/>
              <w:right w:val="single" w:color="000000" w:sz="4" w:space="0"/>
            </w:tcBorders>
            <w:vAlign w:val="center"/>
          </w:tcPr>
          <w:p w14:paraId="50A3DCB2">
            <w:pPr>
              <w:pStyle w:val="71"/>
              <w:spacing w:before="24" w:after="24"/>
              <w:rPr>
                <w:rFonts w:cs="Times New Roman"/>
              </w:rPr>
            </w:pPr>
            <w:r>
              <w:rPr>
                <w:rFonts w:cs="Times New Roman"/>
              </w:rPr>
              <w:t>200</w:t>
            </w:r>
          </w:p>
        </w:tc>
        <w:tc>
          <w:tcPr>
            <w:tcW w:w="1428" w:type="dxa"/>
            <w:tcBorders>
              <w:top w:val="single" w:color="000000" w:sz="4" w:space="0"/>
              <w:left w:val="nil"/>
              <w:bottom w:val="single" w:color="000000" w:sz="4" w:space="0"/>
              <w:right w:val="single" w:color="000000" w:sz="4" w:space="0"/>
            </w:tcBorders>
            <w:vAlign w:val="center"/>
          </w:tcPr>
          <w:p w14:paraId="39566CE2">
            <w:pPr>
              <w:pStyle w:val="71"/>
              <w:spacing w:before="24" w:after="24"/>
              <w:rPr>
                <w:rFonts w:cs="Times New Roman"/>
              </w:rPr>
            </w:pPr>
            <w:r>
              <w:rPr>
                <w:rFonts w:cs="Times New Roman"/>
              </w:rPr>
              <w:t>≤8.0</w:t>
            </w:r>
          </w:p>
        </w:tc>
        <w:tc>
          <w:tcPr>
            <w:tcW w:w="1415" w:type="dxa"/>
            <w:tcBorders>
              <w:top w:val="single" w:color="000000" w:sz="4" w:space="0"/>
              <w:left w:val="nil"/>
              <w:bottom w:val="single" w:color="000000" w:sz="4" w:space="0"/>
              <w:right w:val="single" w:color="000000" w:sz="4" w:space="0"/>
            </w:tcBorders>
            <w:vAlign w:val="center"/>
          </w:tcPr>
          <w:p w14:paraId="439BFA3C">
            <w:pPr>
              <w:pStyle w:val="71"/>
              <w:spacing w:before="24" w:after="24"/>
              <w:rPr>
                <w:rFonts w:cs="Times New Roman"/>
              </w:rPr>
            </w:pPr>
            <w:r>
              <w:rPr>
                <w:rFonts w:cs="Times New Roman"/>
              </w:rPr>
              <w:t>/</w:t>
            </w:r>
          </w:p>
        </w:tc>
        <w:tc>
          <w:tcPr>
            <w:tcW w:w="1431" w:type="dxa"/>
            <w:tcBorders>
              <w:top w:val="single" w:color="000000" w:sz="4" w:space="0"/>
              <w:left w:val="nil"/>
              <w:bottom w:val="single" w:color="000000" w:sz="4" w:space="0"/>
              <w:right w:val="single" w:color="000000" w:sz="4" w:space="0"/>
            </w:tcBorders>
            <w:vAlign w:val="center"/>
          </w:tcPr>
          <w:p w14:paraId="51DBAB5C">
            <w:pPr>
              <w:pStyle w:val="71"/>
              <w:spacing w:before="24" w:after="24"/>
              <w:rPr>
                <w:rFonts w:cs="Times New Roman"/>
              </w:rPr>
            </w:pPr>
            <w:r>
              <w:rPr>
                <w:rFonts w:cs="Times New Roman"/>
              </w:rPr>
              <w:t xml:space="preserve">80 </w:t>
            </w:r>
          </w:p>
        </w:tc>
        <w:tc>
          <w:tcPr>
            <w:tcW w:w="1432" w:type="dxa"/>
            <w:tcBorders>
              <w:top w:val="single" w:color="000000" w:sz="4" w:space="0"/>
              <w:left w:val="nil"/>
              <w:bottom w:val="single" w:color="000000" w:sz="4" w:space="0"/>
              <w:right w:val="single" w:color="000000" w:sz="4" w:space="0"/>
            </w:tcBorders>
            <w:vAlign w:val="center"/>
          </w:tcPr>
          <w:p w14:paraId="7349C0E9">
            <w:pPr>
              <w:pStyle w:val="71"/>
              <w:spacing w:before="24" w:after="24"/>
              <w:rPr>
                <w:rFonts w:cs="Times New Roman"/>
              </w:rPr>
            </w:pPr>
            <w:r>
              <w:rPr>
                <w:rFonts w:cs="Times New Roman"/>
              </w:rPr>
              <w:t xml:space="preserve">0.60 </w:t>
            </w:r>
          </w:p>
        </w:tc>
      </w:tr>
      <w:tr w14:paraId="637F931B">
        <w:tblPrEx>
          <w:tblCellMar>
            <w:top w:w="0" w:type="dxa"/>
            <w:left w:w="108" w:type="dxa"/>
            <w:bottom w:w="0" w:type="dxa"/>
            <w:right w:w="108" w:type="dxa"/>
          </w:tblCellMar>
        </w:tblPrEx>
        <w:trPr>
          <w:trHeight w:val="557" w:hRule="atLeast"/>
        </w:trPr>
        <w:tc>
          <w:tcPr>
            <w:tcW w:w="2648" w:type="dxa"/>
            <w:tcBorders>
              <w:top w:val="single" w:color="000000" w:sz="4" w:space="0"/>
              <w:left w:val="single" w:color="000000" w:sz="4" w:space="0"/>
              <w:bottom w:val="single" w:color="000000" w:sz="4" w:space="0"/>
              <w:right w:val="single" w:color="000000" w:sz="4" w:space="0"/>
            </w:tcBorders>
            <w:vAlign w:val="center"/>
          </w:tcPr>
          <w:p w14:paraId="4D331872">
            <w:pPr>
              <w:pStyle w:val="71"/>
              <w:spacing w:before="24" w:after="24"/>
              <w:rPr>
                <w:rFonts w:cs="Times New Roman"/>
              </w:rPr>
            </w:pPr>
            <w:r>
              <w:rPr>
                <w:rFonts w:cs="Times New Roman"/>
              </w:rPr>
              <w:t>走廊</w:t>
            </w:r>
          </w:p>
        </w:tc>
        <w:tc>
          <w:tcPr>
            <w:tcW w:w="921" w:type="dxa"/>
            <w:tcBorders>
              <w:top w:val="single" w:color="000000" w:sz="4" w:space="0"/>
              <w:left w:val="nil"/>
              <w:bottom w:val="single" w:color="000000" w:sz="4" w:space="0"/>
              <w:right w:val="single" w:color="000000" w:sz="4" w:space="0"/>
            </w:tcBorders>
            <w:vAlign w:val="center"/>
          </w:tcPr>
          <w:p w14:paraId="3C3DBB56">
            <w:pPr>
              <w:pStyle w:val="71"/>
              <w:spacing w:before="24" w:after="24"/>
              <w:rPr>
                <w:rFonts w:cs="Times New Roman"/>
              </w:rPr>
            </w:pPr>
            <w:r>
              <w:rPr>
                <w:rFonts w:cs="Times New Roman"/>
              </w:rPr>
              <w:t>150</w:t>
            </w:r>
          </w:p>
        </w:tc>
        <w:tc>
          <w:tcPr>
            <w:tcW w:w="1428" w:type="dxa"/>
            <w:tcBorders>
              <w:top w:val="single" w:color="000000" w:sz="4" w:space="0"/>
              <w:left w:val="nil"/>
              <w:bottom w:val="single" w:color="000000" w:sz="4" w:space="0"/>
              <w:right w:val="single" w:color="000000" w:sz="4" w:space="0"/>
            </w:tcBorders>
            <w:vAlign w:val="center"/>
          </w:tcPr>
          <w:p w14:paraId="274897A1">
            <w:pPr>
              <w:pStyle w:val="71"/>
              <w:spacing w:before="24" w:after="24"/>
              <w:rPr>
                <w:rFonts w:cs="Times New Roman"/>
              </w:rPr>
            </w:pPr>
            <w:r>
              <w:rPr>
                <w:rFonts w:cs="Times New Roman"/>
              </w:rPr>
              <w:t>≤4.5</w:t>
            </w:r>
          </w:p>
        </w:tc>
        <w:tc>
          <w:tcPr>
            <w:tcW w:w="1415" w:type="dxa"/>
            <w:tcBorders>
              <w:top w:val="single" w:color="000000" w:sz="4" w:space="0"/>
              <w:left w:val="nil"/>
              <w:bottom w:val="single" w:color="000000" w:sz="4" w:space="0"/>
              <w:right w:val="single" w:color="000000" w:sz="4" w:space="0"/>
            </w:tcBorders>
            <w:vAlign w:val="center"/>
          </w:tcPr>
          <w:p w14:paraId="26EDB69C">
            <w:pPr>
              <w:pStyle w:val="71"/>
              <w:spacing w:before="24" w:after="24"/>
              <w:rPr>
                <w:rFonts w:cs="Times New Roman"/>
              </w:rPr>
            </w:pPr>
            <w:r>
              <w:rPr>
                <w:rFonts w:cs="Times New Roman"/>
              </w:rPr>
              <w:t>22</w:t>
            </w:r>
          </w:p>
        </w:tc>
        <w:tc>
          <w:tcPr>
            <w:tcW w:w="1431" w:type="dxa"/>
            <w:tcBorders>
              <w:top w:val="single" w:color="000000" w:sz="4" w:space="0"/>
              <w:left w:val="nil"/>
              <w:bottom w:val="single" w:color="000000" w:sz="4" w:space="0"/>
              <w:right w:val="single" w:color="000000" w:sz="4" w:space="0"/>
            </w:tcBorders>
            <w:vAlign w:val="center"/>
          </w:tcPr>
          <w:p w14:paraId="08833E37">
            <w:pPr>
              <w:pStyle w:val="71"/>
              <w:spacing w:before="24" w:after="24"/>
              <w:rPr>
                <w:rFonts w:cs="Times New Roman"/>
              </w:rPr>
            </w:pPr>
            <w:r>
              <w:rPr>
                <w:rFonts w:cs="Times New Roman"/>
              </w:rPr>
              <w:t xml:space="preserve">80 </w:t>
            </w:r>
          </w:p>
        </w:tc>
        <w:tc>
          <w:tcPr>
            <w:tcW w:w="1432" w:type="dxa"/>
            <w:tcBorders>
              <w:top w:val="single" w:color="000000" w:sz="4" w:space="0"/>
              <w:left w:val="nil"/>
              <w:bottom w:val="single" w:color="000000" w:sz="4" w:space="0"/>
              <w:right w:val="single" w:color="000000" w:sz="4" w:space="0"/>
            </w:tcBorders>
            <w:vAlign w:val="center"/>
          </w:tcPr>
          <w:p w14:paraId="2DF678A8">
            <w:pPr>
              <w:pStyle w:val="71"/>
              <w:spacing w:before="24" w:after="24"/>
              <w:rPr>
                <w:rFonts w:cs="Times New Roman"/>
              </w:rPr>
            </w:pPr>
            <w:r>
              <w:rPr>
                <w:rFonts w:cs="Times New Roman"/>
              </w:rPr>
              <w:t xml:space="preserve">0.60 </w:t>
            </w:r>
          </w:p>
        </w:tc>
      </w:tr>
      <w:tr w14:paraId="069E49FA">
        <w:tblPrEx>
          <w:tblCellMar>
            <w:top w:w="0" w:type="dxa"/>
            <w:left w:w="108" w:type="dxa"/>
            <w:bottom w:w="0" w:type="dxa"/>
            <w:right w:w="108" w:type="dxa"/>
          </w:tblCellMar>
        </w:tblPrEx>
        <w:trPr>
          <w:trHeight w:val="557" w:hRule="atLeast"/>
        </w:trPr>
        <w:tc>
          <w:tcPr>
            <w:tcW w:w="2648" w:type="dxa"/>
            <w:tcBorders>
              <w:top w:val="single" w:color="000000" w:sz="4" w:space="0"/>
              <w:left w:val="single" w:color="000000" w:sz="4" w:space="0"/>
              <w:bottom w:val="single" w:color="000000" w:sz="4" w:space="0"/>
              <w:right w:val="single" w:color="000000" w:sz="4" w:space="0"/>
            </w:tcBorders>
            <w:vAlign w:val="center"/>
          </w:tcPr>
          <w:p w14:paraId="303B56FD">
            <w:pPr>
              <w:pStyle w:val="71"/>
              <w:spacing w:before="24" w:after="24"/>
              <w:rPr>
                <w:rFonts w:cs="Times New Roman"/>
              </w:rPr>
            </w:pPr>
            <w:r>
              <w:rPr>
                <w:rFonts w:cs="Times New Roman"/>
              </w:rPr>
              <w:t>楼梯间</w:t>
            </w:r>
          </w:p>
        </w:tc>
        <w:tc>
          <w:tcPr>
            <w:tcW w:w="921" w:type="dxa"/>
            <w:tcBorders>
              <w:top w:val="single" w:color="000000" w:sz="4" w:space="0"/>
              <w:left w:val="nil"/>
              <w:bottom w:val="single" w:color="000000" w:sz="4" w:space="0"/>
              <w:right w:val="single" w:color="000000" w:sz="4" w:space="0"/>
            </w:tcBorders>
            <w:vAlign w:val="center"/>
          </w:tcPr>
          <w:p w14:paraId="6F84FC21">
            <w:pPr>
              <w:pStyle w:val="71"/>
              <w:spacing w:before="24" w:after="24"/>
              <w:rPr>
                <w:rFonts w:cs="Times New Roman"/>
              </w:rPr>
            </w:pPr>
            <w:r>
              <w:rPr>
                <w:rFonts w:cs="Times New Roman"/>
              </w:rPr>
              <w:t>100</w:t>
            </w:r>
          </w:p>
        </w:tc>
        <w:tc>
          <w:tcPr>
            <w:tcW w:w="1428" w:type="dxa"/>
            <w:tcBorders>
              <w:top w:val="single" w:color="000000" w:sz="4" w:space="0"/>
              <w:left w:val="nil"/>
              <w:bottom w:val="single" w:color="000000" w:sz="4" w:space="0"/>
              <w:right w:val="single" w:color="000000" w:sz="4" w:space="0"/>
            </w:tcBorders>
            <w:vAlign w:val="center"/>
          </w:tcPr>
          <w:p w14:paraId="5BC95E1F">
            <w:pPr>
              <w:pStyle w:val="71"/>
              <w:spacing w:before="24" w:after="24"/>
              <w:rPr>
                <w:rFonts w:cs="Times New Roman"/>
              </w:rPr>
            </w:pPr>
            <w:r>
              <w:rPr>
                <w:rFonts w:cs="Times New Roman"/>
              </w:rPr>
              <w:t>≤4.5</w:t>
            </w:r>
          </w:p>
        </w:tc>
        <w:tc>
          <w:tcPr>
            <w:tcW w:w="1415" w:type="dxa"/>
            <w:tcBorders>
              <w:top w:val="single" w:color="000000" w:sz="4" w:space="0"/>
              <w:left w:val="nil"/>
              <w:bottom w:val="single" w:color="000000" w:sz="4" w:space="0"/>
              <w:right w:val="single" w:color="000000" w:sz="4" w:space="0"/>
            </w:tcBorders>
            <w:vAlign w:val="center"/>
          </w:tcPr>
          <w:p w14:paraId="572CA6E6">
            <w:pPr>
              <w:pStyle w:val="71"/>
              <w:spacing w:before="24" w:after="24"/>
              <w:rPr>
                <w:rFonts w:cs="Times New Roman"/>
              </w:rPr>
            </w:pPr>
            <w:r>
              <w:rPr>
                <w:rFonts w:cs="Times New Roman"/>
              </w:rPr>
              <w:t>/</w:t>
            </w:r>
          </w:p>
        </w:tc>
        <w:tc>
          <w:tcPr>
            <w:tcW w:w="1431" w:type="dxa"/>
            <w:tcBorders>
              <w:top w:val="single" w:color="000000" w:sz="4" w:space="0"/>
              <w:left w:val="nil"/>
              <w:bottom w:val="single" w:color="000000" w:sz="4" w:space="0"/>
              <w:right w:val="single" w:color="000000" w:sz="4" w:space="0"/>
            </w:tcBorders>
            <w:vAlign w:val="center"/>
          </w:tcPr>
          <w:p w14:paraId="670BA503">
            <w:pPr>
              <w:pStyle w:val="71"/>
              <w:spacing w:before="24" w:after="24"/>
              <w:rPr>
                <w:rFonts w:cs="Times New Roman"/>
              </w:rPr>
            </w:pPr>
            <w:r>
              <w:rPr>
                <w:rFonts w:cs="Times New Roman"/>
              </w:rPr>
              <w:t xml:space="preserve">80 </w:t>
            </w:r>
          </w:p>
        </w:tc>
        <w:tc>
          <w:tcPr>
            <w:tcW w:w="1432" w:type="dxa"/>
            <w:tcBorders>
              <w:top w:val="single" w:color="000000" w:sz="4" w:space="0"/>
              <w:left w:val="nil"/>
              <w:bottom w:val="single" w:color="000000" w:sz="4" w:space="0"/>
              <w:right w:val="single" w:color="000000" w:sz="4" w:space="0"/>
            </w:tcBorders>
            <w:vAlign w:val="center"/>
          </w:tcPr>
          <w:p w14:paraId="44C64DAA">
            <w:pPr>
              <w:pStyle w:val="71"/>
              <w:spacing w:before="24" w:after="24"/>
              <w:rPr>
                <w:rFonts w:cs="Times New Roman"/>
              </w:rPr>
            </w:pPr>
            <w:r>
              <w:rPr>
                <w:rFonts w:cs="Times New Roman"/>
              </w:rPr>
              <w:t xml:space="preserve">0.60 </w:t>
            </w:r>
          </w:p>
        </w:tc>
      </w:tr>
    </w:tbl>
    <w:p w14:paraId="0188BFC9">
      <w:pPr>
        <w:pStyle w:val="54"/>
        <w:spacing w:before="24" w:after="24"/>
        <w:outlineLvl w:val="4"/>
      </w:pPr>
      <w:r>
        <w:t>6.2.2 基础设施工程</w:t>
      </w:r>
    </w:p>
    <w:p w14:paraId="76322BD4">
      <w:pPr>
        <w:pStyle w:val="69"/>
        <w:rPr>
          <w:rFonts w:hint="eastAsia"/>
        </w:rPr>
      </w:pPr>
      <w:r>
        <w:t>机动车道照明标准值</w:t>
      </w:r>
    </w:p>
    <w:tbl>
      <w:tblPr>
        <w:tblStyle w:val="30"/>
        <w:tblW w:w="4996" w:type="pct"/>
        <w:tblInd w:w="0" w:type="dxa"/>
        <w:tblLayout w:type="autofit"/>
        <w:tblCellMar>
          <w:top w:w="0" w:type="dxa"/>
          <w:left w:w="108" w:type="dxa"/>
          <w:bottom w:w="0" w:type="dxa"/>
          <w:right w:w="108" w:type="dxa"/>
        </w:tblCellMar>
      </w:tblPr>
      <w:tblGrid>
        <w:gridCol w:w="572"/>
        <w:gridCol w:w="1144"/>
        <w:gridCol w:w="1285"/>
        <w:gridCol w:w="1075"/>
        <w:gridCol w:w="1059"/>
        <w:gridCol w:w="1049"/>
        <w:gridCol w:w="1005"/>
        <w:gridCol w:w="1203"/>
        <w:gridCol w:w="887"/>
      </w:tblGrid>
      <w:tr w14:paraId="2AB5F89D">
        <w:tblPrEx>
          <w:tblCellMar>
            <w:top w:w="0" w:type="dxa"/>
            <w:left w:w="108" w:type="dxa"/>
            <w:bottom w:w="0" w:type="dxa"/>
            <w:right w:w="108" w:type="dxa"/>
          </w:tblCellMar>
        </w:tblPrEx>
        <w:trPr>
          <w:trHeight w:val="693" w:hRule="atLeast"/>
        </w:trPr>
        <w:tc>
          <w:tcPr>
            <w:tcW w:w="308" w:type="pct"/>
            <w:vMerge w:val="restart"/>
            <w:tcBorders>
              <w:top w:val="single" w:color="000000" w:sz="4" w:space="0"/>
              <w:left w:val="single" w:color="000000" w:sz="4" w:space="0"/>
              <w:bottom w:val="single" w:color="000000" w:sz="4" w:space="0"/>
              <w:right w:val="single" w:color="000000" w:sz="4" w:space="0"/>
            </w:tcBorders>
            <w:textDirection w:val="tbRlV"/>
            <w:vAlign w:val="center"/>
          </w:tcPr>
          <w:p w14:paraId="7DC84B7D">
            <w:pPr>
              <w:widowControl/>
              <w:spacing w:before="24" w:after="24" w:line="240" w:lineRule="auto"/>
              <w:jc w:val="center"/>
              <w:textAlignment w:val="center"/>
              <w:rPr>
                <w:rFonts w:ascii="Times New Roman" w:hAnsi="Times New Roman" w:eastAsia="仿宋_GB2312" w:cs="Times New Roman"/>
                <w:b/>
                <w:bCs/>
                <w:color w:val="000000"/>
                <w:sz w:val="24"/>
                <w:szCs w:val="24"/>
              </w:rPr>
            </w:pPr>
            <w:r>
              <w:rPr>
                <w:rStyle w:val="103"/>
                <w:rFonts w:ascii="Times New Roman" w:hAnsi="Times New Roman" w:eastAsia="仿宋_GB2312" w:cs="Times New Roman"/>
                <w:b/>
                <w:bCs/>
                <w:sz w:val="24"/>
                <w:szCs w:val="24"/>
                <w:lang w:bidi="ar"/>
              </w:rPr>
              <w:t>级别</w:t>
            </w:r>
          </w:p>
        </w:tc>
        <w:tc>
          <w:tcPr>
            <w:tcW w:w="616" w:type="pct"/>
            <w:vMerge w:val="restart"/>
            <w:tcBorders>
              <w:top w:val="single" w:color="000000" w:sz="4" w:space="0"/>
              <w:left w:val="single" w:color="000000" w:sz="4" w:space="0"/>
              <w:bottom w:val="single" w:color="000000" w:sz="4" w:space="0"/>
              <w:right w:val="single" w:color="000000" w:sz="4" w:space="0"/>
            </w:tcBorders>
            <w:vAlign w:val="center"/>
          </w:tcPr>
          <w:p w14:paraId="08050050">
            <w:pPr>
              <w:widowControl/>
              <w:spacing w:before="24" w:after="24" w:line="240" w:lineRule="auto"/>
              <w:jc w:val="center"/>
              <w:textAlignment w:val="center"/>
              <w:rPr>
                <w:rFonts w:ascii="Times New Roman" w:hAnsi="Times New Roman" w:eastAsia="仿宋_GB2312" w:cs="Times New Roman"/>
                <w:b/>
                <w:bCs/>
                <w:color w:val="000000"/>
                <w:sz w:val="24"/>
                <w:szCs w:val="24"/>
              </w:rPr>
            </w:pPr>
            <w:r>
              <w:rPr>
                <w:rStyle w:val="103"/>
                <w:rFonts w:ascii="Times New Roman" w:hAnsi="Times New Roman" w:eastAsia="仿宋_GB2312" w:cs="Times New Roman"/>
                <w:b/>
                <w:bCs/>
                <w:sz w:val="24"/>
                <w:szCs w:val="24"/>
                <w:lang w:bidi="ar"/>
              </w:rPr>
              <w:t>道路</w:t>
            </w:r>
            <w:r>
              <w:rPr>
                <w:rStyle w:val="103"/>
                <w:rFonts w:ascii="Times New Roman" w:hAnsi="Times New Roman" w:eastAsia="仿宋_GB2312" w:cs="Times New Roman"/>
                <w:b/>
                <w:bCs/>
                <w:sz w:val="24"/>
                <w:szCs w:val="24"/>
                <w:lang w:bidi="ar"/>
              </w:rPr>
              <w:br w:type="textWrapping"/>
            </w:r>
            <w:r>
              <w:rPr>
                <w:rStyle w:val="103"/>
                <w:rFonts w:ascii="Times New Roman" w:hAnsi="Times New Roman" w:eastAsia="仿宋_GB2312" w:cs="Times New Roman"/>
                <w:b/>
                <w:bCs/>
                <w:sz w:val="24"/>
                <w:szCs w:val="24"/>
                <w:lang w:bidi="ar"/>
              </w:rPr>
              <w:t>类型</w:t>
            </w:r>
          </w:p>
        </w:tc>
        <w:tc>
          <w:tcPr>
            <w:tcW w:w="1841" w:type="pct"/>
            <w:gridSpan w:val="3"/>
            <w:tcBorders>
              <w:top w:val="single" w:color="000000" w:sz="4" w:space="0"/>
              <w:left w:val="single" w:color="000000" w:sz="4" w:space="0"/>
              <w:bottom w:val="single" w:color="000000" w:sz="4" w:space="0"/>
              <w:right w:val="single" w:color="000000" w:sz="4" w:space="0"/>
            </w:tcBorders>
            <w:vAlign w:val="center"/>
          </w:tcPr>
          <w:p w14:paraId="42E9A0F4">
            <w:pPr>
              <w:widowControl/>
              <w:spacing w:before="24" w:after="24" w:line="240" w:lineRule="auto"/>
              <w:jc w:val="center"/>
              <w:textAlignment w:val="center"/>
              <w:rPr>
                <w:rFonts w:ascii="Times New Roman" w:hAnsi="Times New Roman" w:eastAsia="仿宋_GB2312" w:cs="Times New Roman"/>
                <w:b/>
                <w:bCs/>
                <w:color w:val="000000"/>
                <w:sz w:val="24"/>
                <w:szCs w:val="24"/>
              </w:rPr>
            </w:pPr>
            <w:r>
              <w:rPr>
                <w:rStyle w:val="103"/>
                <w:rFonts w:ascii="Times New Roman" w:hAnsi="Times New Roman" w:eastAsia="仿宋_GB2312" w:cs="Times New Roman"/>
                <w:b/>
                <w:bCs/>
                <w:sz w:val="24"/>
                <w:szCs w:val="24"/>
                <w:lang w:bidi="ar"/>
              </w:rPr>
              <w:t>路面亮度</w:t>
            </w:r>
          </w:p>
        </w:tc>
        <w:tc>
          <w:tcPr>
            <w:tcW w:w="1106" w:type="pct"/>
            <w:gridSpan w:val="2"/>
            <w:tcBorders>
              <w:top w:val="single" w:color="000000" w:sz="4" w:space="0"/>
              <w:left w:val="single" w:color="000000" w:sz="4" w:space="0"/>
              <w:bottom w:val="single" w:color="000000" w:sz="4" w:space="0"/>
              <w:right w:val="single" w:color="000000" w:sz="4" w:space="0"/>
            </w:tcBorders>
            <w:vAlign w:val="center"/>
          </w:tcPr>
          <w:p w14:paraId="17D08AB5">
            <w:pPr>
              <w:widowControl/>
              <w:spacing w:before="24" w:after="24" w:line="240" w:lineRule="auto"/>
              <w:jc w:val="center"/>
              <w:textAlignment w:val="center"/>
              <w:rPr>
                <w:rFonts w:ascii="Times New Roman" w:hAnsi="Times New Roman" w:eastAsia="仿宋_GB2312" w:cs="Times New Roman"/>
                <w:b/>
                <w:bCs/>
                <w:color w:val="000000"/>
                <w:sz w:val="24"/>
                <w:szCs w:val="24"/>
              </w:rPr>
            </w:pPr>
            <w:r>
              <w:rPr>
                <w:rStyle w:val="104"/>
                <w:rFonts w:ascii="Times New Roman" w:hAnsi="Times New Roman" w:eastAsia="仿宋_GB2312" w:cs="Times New Roman"/>
                <w:b/>
                <w:bCs/>
                <w:sz w:val="24"/>
                <w:szCs w:val="24"/>
                <w:lang w:bidi="ar"/>
              </w:rPr>
              <w:t>路面照度</w:t>
            </w:r>
          </w:p>
        </w:tc>
        <w:tc>
          <w:tcPr>
            <w:tcW w:w="648" w:type="pct"/>
            <w:vMerge w:val="restart"/>
            <w:tcBorders>
              <w:top w:val="single" w:color="000000" w:sz="4" w:space="0"/>
              <w:left w:val="single" w:color="000000" w:sz="4" w:space="0"/>
              <w:bottom w:val="single" w:color="000000" w:sz="4" w:space="0"/>
              <w:right w:val="single" w:color="000000" w:sz="4" w:space="0"/>
            </w:tcBorders>
            <w:vAlign w:val="center"/>
          </w:tcPr>
          <w:p w14:paraId="366601F8">
            <w:pPr>
              <w:widowControl/>
              <w:spacing w:before="24" w:after="24" w:line="240" w:lineRule="auto"/>
              <w:jc w:val="center"/>
              <w:textAlignment w:val="center"/>
              <w:rPr>
                <w:rFonts w:ascii="Times New Roman" w:hAnsi="Times New Roman" w:eastAsia="仿宋_GB2312" w:cs="Times New Roman"/>
                <w:b/>
                <w:bCs/>
                <w:color w:val="000000"/>
                <w:sz w:val="24"/>
                <w:szCs w:val="24"/>
              </w:rPr>
            </w:pPr>
            <w:r>
              <w:rPr>
                <w:rStyle w:val="103"/>
                <w:rFonts w:ascii="Times New Roman" w:hAnsi="Times New Roman" w:eastAsia="仿宋_GB2312" w:cs="Times New Roman"/>
                <w:b/>
                <w:bCs/>
                <w:sz w:val="24"/>
                <w:szCs w:val="24"/>
                <w:lang w:bidi="ar"/>
              </w:rPr>
              <w:t>眩光限制</w:t>
            </w:r>
            <w:r>
              <w:rPr>
                <w:rStyle w:val="103"/>
                <w:rFonts w:ascii="Times New Roman" w:hAnsi="Times New Roman" w:eastAsia="仿宋_GB2312" w:cs="Times New Roman"/>
                <w:b/>
                <w:bCs/>
                <w:sz w:val="24"/>
                <w:szCs w:val="24"/>
                <w:lang w:bidi="ar"/>
              </w:rPr>
              <w:br w:type="textWrapping"/>
            </w:r>
            <w:r>
              <w:rPr>
                <w:rStyle w:val="103"/>
                <w:rFonts w:ascii="Times New Roman" w:hAnsi="Times New Roman" w:eastAsia="仿宋_GB2312" w:cs="Times New Roman"/>
                <w:b/>
                <w:bCs/>
                <w:sz w:val="24"/>
                <w:szCs w:val="24"/>
                <w:lang w:bidi="ar"/>
              </w:rPr>
              <w:t>阈值增量</w:t>
            </w:r>
            <w:r>
              <w:rPr>
                <w:rStyle w:val="103"/>
                <w:rFonts w:ascii="Times New Roman" w:hAnsi="Times New Roman" w:eastAsia="仿宋_GB2312" w:cs="Times New Roman"/>
                <w:b/>
                <w:bCs/>
                <w:sz w:val="24"/>
                <w:szCs w:val="24"/>
                <w:lang w:bidi="ar"/>
              </w:rPr>
              <w:br w:type="textWrapping"/>
            </w:r>
            <w:r>
              <w:rPr>
                <w:rStyle w:val="103"/>
                <w:rFonts w:ascii="Times New Roman" w:hAnsi="Times New Roman" w:eastAsia="仿宋_GB2312" w:cs="Times New Roman"/>
                <w:b/>
                <w:bCs/>
                <w:sz w:val="24"/>
                <w:szCs w:val="24"/>
                <w:lang w:bidi="ar"/>
              </w:rPr>
              <w:t>TI（%)</w:t>
            </w:r>
            <w:r>
              <w:rPr>
                <w:rStyle w:val="103"/>
                <w:rFonts w:ascii="Times New Roman" w:hAnsi="Times New Roman" w:eastAsia="仿宋_GB2312" w:cs="Times New Roman"/>
                <w:b/>
                <w:bCs/>
                <w:sz w:val="24"/>
                <w:szCs w:val="24"/>
                <w:lang w:bidi="ar"/>
              </w:rPr>
              <w:br w:type="textWrapping"/>
            </w:r>
            <w:r>
              <w:rPr>
                <w:rStyle w:val="103"/>
                <w:rFonts w:ascii="Times New Roman" w:hAnsi="Times New Roman" w:eastAsia="仿宋_GB2312" w:cs="Times New Roman"/>
                <w:b/>
                <w:bCs/>
                <w:sz w:val="24"/>
                <w:szCs w:val="24"/>
                <w:lang w:bidi="ar"/>
              </w:rPr>
              <w:t>最大</w:t>
            </w:r>
            <w:r>
              <w:rPr>
                <w:rStyle w:val="103"/>
                <w:rFonts w:ascii="Times New Roman" w:hAnsi="Times New Roman" w:eastAsia="仿宋_GB2312" w:cs="Times New Roman"/>
                <w:b/>
                <w:bCs/>
                <w:sz w:val="24"/>
                <w:szCs w:val="24"/>
                <w:lang w:bidi="ar"/>
              </w:rPr>
              <w:br w:type="textWrapping"/>
            </w:r>
            <w:r>
              <w:rPr>
                <w:rStyle w:val="103"/>
                <w:rFonts w:ascii="Times New Roman" w:hAnsi="Times New Roman" w:eastAsia="仿宋_GB2312" w:cs="Times New Roman"/>
                <w:b/>
                <w:bCs/>
                <w:sz w:val="24"/>
                <w:szCs w:val="24"/>
                <w:lang w:bidi="ar"/>
              </w:rPr>
              <w:t>初始值</w:t>
            </w:r>
          </w:p>
        </w:tc>
        <w:tc>
          <w:tcPr>
            <w:tcW w:w="477" w:type="pct"/>
            <w:vMerge w:val="restart"/>
            <w:tcBorders>
              <w:top w:val="single" w:color="000000" w:sz="4" w:space="0"/>
              <w:left w:val="single" w:color="000000" w:sz="4" w:space="0"/>
              <w:bottom w:val="single" w:color="000000" w:sz="4" w:space="0"/>
              <w:right w:val="single" w:color="000000" w:sz="4" w:space="0"/>
            </w:tcBorders>
            <w:vAlign w:val="center"/>
          </w:tcPr>
          <w:p w14:paraId="02665420">
            <w:pPr>
              <w:widowControl/>
              <w:spacing w:before="24" w:after="24" w:line="240" w:lineRule="auto"/>
              <w:jc w:val="center"/>
              <w:textAlignment w:val="center"/>
              <w:rPr>
                <w:rFonts w:ascii="Times New Roman" w:hAnsi="Times New Roman" w:eastAsia="仿宋_GB2312" w:cs="Times New Roman"/>
                <w:b/>
                <w:bCs/>
                <w:color w:val="000000"/>
                <w:sz w:val="24"/>
                <w:szCs w:val="24"/>
              </w:rPr>
            </w:pPr>
            <w:r>
              <w:rPr>
                <w:rStyle w:val="103"/>
                <w:rFonts w:ascii="Times New Roman" w:hAnsi="Times New Roman" w:eastAsia="仿宋_GB2312" w:cs="Times New Roman"/>
                <w:b/>
                <w:bCs/>
                <w:sz w:val="24"/>
                <w:szCs w:val="24"/>
                <w:lang w:bidi="ar"/>
              </w:rPr>
              <w:t>环境比</w:t>
            </w:r>
            <w:r>
              <w:rPr>
                <w:rStyle w:val="103"/>
                <w:rFonts w:ascii="Times New Roman" w:hAnsi="Times New Roman" w:eastAsia="仿宋_GB2312" w:cs="Times New Roman"/>
                <w:b/>
                <w:bCs/>
                <w:sz w:val="24"/>
                <w:szCs w:val="24"/>
                <w:lang w:bidi="ar"/>
              </w:rPr>
              <w:br w:type="textWrapping"/>
            </w:r>
            <w:r>
              <w:rPr>
                <w:rStyle w:val="103"/>
                <w:rFonts w:ascii="Times New Roman" w:hAnsi="Times New Roman" w:eastAsia="仿宋_GB2312" w:cs="Times New Roman"/>
                <w:b/>
                <w:bCs/>
                <w:sz w:val="24"/>
                <w:szCs w:val="24"/>
                <w:lang w:bidi="ar"/>
              </w:rPr>
              <w:t>SR</w:t>
            </w:r>
            <w:r>
              <w:rPr>
                <w:rStyle w:val="103"/>
                <w:rFonts w:ascii="Times New Roman" w:hAnsi="Times New Roman" w:eastAsia="仿宋_GB2312" w:cs="Times New Roman"/>
                <w:b/>
                <w:bCs/>
                <w:sz w:val="24"/>
                <w:szCs w:val="24"/>
                <w:lang w:bidi="ar"/>
              </w:rPr>
              <w:br w:type="textWrapping"/>
            </w:r>
            <w:r>
              <w:rPr>
                <w:rStyle w:val="103"/>
                <w:rFonts w:ascii="Times New Roman" w:hAnsi="Times New Roman" w:eastAsia="仿宋_GB2312" w:cs="Times New Roman"/>
                <w:b/>
                <w:bCs/>
                <w:sz w:val="24"/>
                <w:szCs w:val="24"/>
                <w:lang w:bidi="ar"/>
              </w:rPr>
              <w:t>最小值</w:t>
            </w:r>
          </w:p>
        </w:tc>
      </w:tr>
      <w:tr w14:paraId="4E26E3AA">
        <w:tblPrEx>
          <w:tblCellMar>
            <w:top w:w="0" w:type="dxa"/>
            <w:left w:w="108" w:type="dxa"/>
            <w:bottom w:w="0" w:type="dxa"/>
            <w:right w:w="108" w:type="dxa"/>
          </w:tblCellMar>
        </w:tblPrEx>
        <w:trPr>
          <w:trHeight w:val="1231" w:hRule="atLeast"/>
        </w:trPr>
        <w:tc>
          <w:tcPr>
            <w:tcW w:w="308" w:type="pct"/>
            <w:vMerge w:val="continue"/>
            <w:tcBorders>
              <w:top w:val="single" w:color="000000" w:sz="4" w:space="0"/>
              <w:left w:val="single" w:color="000000" w:sz="4" w:space="0"/>
              <w:bottom w:val="single" w:color="000000" w:sz="4" w:space="0"/>
              <w:right w:val="single" w:color="000000" w:sz="4" w:space="0"/>
            </w:tcBorders>
            <w:textDirection w:val="tbRlV"/>
            <w:vAlign w:val="center"/>
          </w:tcPr>
          <w:p w14:paraId="220F603A">
            <w:pPr>
              <w:spacing w:before="24" w:after="24" w:line="240" w:lineRule="auto"/>
              <w:jc w:val="center"/>
              <w:rPr>
                <w:rFonts w:ascii="Times New Roman" w:hAnsi="Times New Roman" w:eastAsia="仿宋_GB2312" w:cs="Times New Roman"/>
                <w:b/>
                <w:bCs/>
                <w:color w:val="000000"/>
                <w:sz w:val="24"/>
                <w:szCs w:val="24"/>
              </w:rPr>
            </w:pPr>
          </w:p>
        </w:tc>
        <w:tc>
          <w:tcPr>
            <w:tcW w:w="616" w:type="pct"/>
            <w:vMerge w:val="continue"/>
            <w:tcBorders>
              <w:top w:val="single" w:color="000000" w:sz="4" w:space="0"/>
              <w:left w:val="single" w:color="000000" w:sz="4" w:space="0"/>
              <w:bottom w:val="single" w:color="000000" w:sz="4" w:space="0"/>
              <w:right w:val="single" w:color="000000" w:sz="4" w:space="0"/>
            </w:tcBorders>
            <w:vAlign w:val="center"/>
          </w:tcPr>
          <w:p w14:paraId="42EB5C99">
            <w:pPr>
              <w:spacing w:before="24" w:after="24" w:line="240" w:lineRule="auto"/>
              <w:jc w:val="center"/>
              <w:rPr>
                <w:rFonts w:ascii="Times New Roman" w:hAnsi="Times New Roman" w:eastAsia="仿宋_GB2312" w:cs="Times New Roman"/>
                <w:b/>
                <w:bCs/>
                <w:color w:val="000000"/>
                <w:sz w:val="24"/>
                <w:szCs w:val="24"/>
              </w:rPr>
            </w:pPr>
          </w:p>
        </w:tc>
        <w:tc>
          <w:tcPr>
            <w:tcW w:w="692" w:type="pct"/>
            <w:tcBorders>
              <w:top w:val="single" w:color="000000" w:sz="4" w:space="0"/>
              <w:left w:val="single" w:color="000000" w:sz="4" w:space="0"/>
              <w:bottom w:val="single" w:color="000000" w:sz="4" w:space="0"/>
              <w:right w:val="single" w:color="000000" w:sz="4" w:space="0"/>
            </w:tcBorders>
            <w:vAlign w:val="center"/>
          </w:tcPr>
          <w:p w14:paraId="5A4C3704">
            <w:pPr>
              <w:widowControl/>
              <w:spacing w:before="24" w:after="24" w:line="240" w:lineRule="auto"/>
              <w:jc w:val="center"/>
              <w:textAlignment w:val="center"/>
              <w:rPr>
                <w:rStyle w:val="103"/>
                <w:rFonts w:ascii="Times New Roman" w:hAnsi="Times New Roman" w:eastAsia="仿宋_GB2312" w:cs="Times New Roman"/>
                <w:b/>
                <w:bCs/>
                <w:sz w:val="24"/>
                <w:szCs w:val="24"/>
                <w:lang w:bidi="ar"/>
              </w:rPr>
            </w:pPr>
            <w:r>
              <w:rPr>
                <w:rStyle w:val="103"/>
                <w:rFonts w:ascii="Times New Roman" w:hAnsi="Times New Roman" w:eastAsia="仿宋_GB2312" w:cs="Times New Roman"/>
                <w:b/>
                <w:bCs/>
                <w:sz w:val="24"/>
                <w:szCs w:val="24"/>
                <w:lang w:bidi="ar"/>
              </w:rPr>
              <w:t>平均亮度（cd/m</w:t>
            </w:r>
            <w:r>
              <w:rPr>
                <w:rStyle w:val="103"/>
                <w:rFonts w:ascii="Times New Roman" w:hAnsi="Times New Roman" w:eastAsia="仿宋_GB2312" w:cs="Times New Roman"/>
                <w:b/>
                <w:bCs/>
                <w:sz w:val="24"/>
                <w:szCs w:val="24"/>
                <w:vertAlign w:val="superscript"/>
                <w:lang w:bidi="ar"/>
              </w:rPr>
              <w:t>2</w:t>
            </w:r>
            <w:r>
              <w:rPr>
                <w:rStyle w:val="103"/>
                <w:rFonts w:ascii="Times New Roman" w:hAnsi="Times New Roman" w:eastAsia="仿宋_GB2312" w:cs="Times New Roman"/>
                <w:b/>
                <w:bCs/>
                <w:sz w:val="24"/>
                <w:szCs w:val="24"/>
                <w:lang w:bidi="ar"/>
              </w:rPr>
              <w:t>）</w:t>
            </w:r>
          </w:p>
          <w:p w14:paraId="38E781B3">
            <w:pPr>
              <w:widowControl/>
              <w:spacing w:before="24" w:after="24" w:line="240" w:lineRule="auto"/>
              <w:jc w:val="center"/>
              <w:textAlignment w:val="center"/>
              <w:rPr>
                <w:rFonts w:ascii="Times New Roman" w:hAnsi="Times New Roman" w:eastAsia="仿宋_GB2312" w:cs="Times New Roman"/>
                <w:b/>
                <w:bCs/>
                <w:color w:val="000000"/>
                <w:sz w:val="24"/>
                <w:szCs w:val="24"/>
              </w:rPr>
            </w:pPr>
            <w:r>
              <w:rPr>
                <w:rStyle w:val="103"/>
                <w:rFonts w:ascii="Times New Roman" w:hAnsi="Times New Roman" w:eastAsia="仿宋_GB2312" w:cs="Times New Roman"/>
                <w:b/>
                <w:bCs/>
                <w:sz w:val="24"/>
                <w:szCs w:val="24"/>
                <w:lang w:bidi="ar"/>
              </w:rPr>
              <w:t>维持值</w:t>
            </w:r>
          </w:p>
        </w:tc>
        <w:tc>
          <w:tcPr>
            <w:tcW w:w="579" w:type="pct"/>
            <w:tcBorders>
              <w:top w:val="single" w:color="000000" w:sz="4" w:space="0"/>
              <w:left w:val="single" w:color="000000" w:sz="4" w:space="0"/>
              <w:bottom w:val="single" w:color="000000" w:sz="4" w:space="0"/>
              <w:right w:val="single" w:color="000000" w:sz="4" w:space="0"/>
            </w:tcBorders>
            <w:vAlign w:val="center"/>
          </w:tcPr>
          <w:p w14:paraId="2467836D">
            <w:pPr>
              <w:widowControl/>
              <w:spacing w:before="24" w:after="24" w:line="240" w:lineRule="auto"/>
              <w:jc w:val="center"/>
              <w:textAlignment w:val="center"/>
              <w:rPr>
                <w:rStyle w:val="105"/>
                <w:rFonts w:ascii="Times New Roman" w:hAnsi="Times New Roman" w:eastAsia="仿宋_GB2312" w:cs="Times New Roman"/>
                <w:b/>
                <w:bCs/>
                <w:sz w:val="24"/>
                <w:szCs w:val="24"/>
                <w:lang w:bidi="ar"/>
              </w:rPr>
            </w:pPr>
            <w:r>
              <w:rPr>
                <w:rStyle w:val="105"/>
                <w:rFonts w:ascii="Times New Roman" w:hAnsi="Times New Roman" w:eastAsia="仿宋_GB2312" w:cs="Times New Roman"/>
                <w:b/>
                <w:bCs/>
                <w:sz w:val="24"/>
                <w:szCs w:val="24"/>
                <w:lang w:bidi="ar"/>
              </w:rPr>
              <w:t>总均匀度U</w:t>
            </w:r>
            <w:r>
              <w:rPr>
                <w:rStyle w:val="105"/>
                <w:rFonts w:ascii="Times New Roman" w:hAnsi="Times New Roman" w:eastAsia="仿宋_GB2312" w:cs="Times New Roman"/>
                <w:b/>
                <w:bCs/>
                <w:sz w:val="24"/>
                <w:szCs w:val="24"/>
                <w:vertAlign w:val="subscript"/>
                <w:lang w:bidi="ar"/>
              </w:rPr>
              <w:t>0</w:t>
            </w:r>
          </w:p>
          <w:p w14:paraId="3229A672">
            <w:pPr>
              <w:widowControl/>
              <w:spacing w:before="24" w:after="24" w:line="240" w:lineRule="auto"/>
              <w:jc w:val="center"/>
              <w:textAlignment w:val="center"/>
              <w:rPr>
                <w:rFonts w:ascii="Times New Roman" w:hAnsi="Times New Roman" w:eastAsia="仿宋_GB2312" w:cs="Times New Roman"/>
                <w:b/>
                <w:bCs/>
                <w:color w:val="000000"/>
                <w:sz w:val="24"/>
                <w:szCs w:val="24"/>
              </w:rPr>
            </w:pPr>
            <w:r>
              <w:rPr>
                <w:rStyle w:val="105"/>
                <w:rFonts w:ascii="Times New Roman" w:hAnsi="Times New Roman" w:eastAsia="仿宋_GB2312" w:cs="Times New Roman"/>
                <w:b/>
                <w:bCs/>
                <w:sz w:val="24"/>
                <w:szCs w:val="24"/>
                <w:lang w:bidi="ar"/>
              </w:rPr>
              <w:t>最小值</w:t>
            </w:r>
          </w:p>
        </w:tc>
        <w:tc>
          <w:tcPr>
            <w:tcW w:w="569" w:type="pct"/>
            <w:tcBorders>
              <w:top w:val="single" w:color="000000" w:sz="4" w:space="0"/>
              <w:left w:val="single" w:color="000000" w:sz="4" w:space="0"/>
              <w:bottom w:val="single" w:color="000000" w:sz="4" w:space="0"/>
              <w:right w:val="single" w:color="000000" w:sz="4" w:space="0"/>
            </w:tcBorders>
            <w:vAlign w:val="center"/>
          </w:tcPr>
          <w:p w14:paraId="02E31F96">
            <w:pPr>
              <w:widowControl/>
              <w:spacing w:before="24" w:after="24" w:line="240" w:lineRule="auto"/>
              <w:jc w:val="center"/>
              <w:textAlignment w:val="center"/>
              <w:rPr>
                <w:rFonts w:ascii="Times New Roman" w:hAnsi="Times New Roman" w:eastAsia="仿宋_GB2312" w:cs="Times New Roman"/>
                <w:b/>
                <w:bCs/>
                <w:color w:val="000000"/>
                <w:sz w:val="24"/>
                <w:szCs w:val="24"/>
              </w:rPr>
            </w:pPr>
            <w:r>
              <w:rPr>
                <w:rStyle w:val="103"/>
                <w:rFonts w:ascii="Times New Roman" w:hAnsi="Times New Roman" w:eastAsia="仿宋_GB2312" w:cs="Times New Roman"/>
                <w:b/>
                <w:bCs/>
                <w:sz w:val="24"/>
                <w:szCs w:val="24"/>
                <w:lang w:bidi="ar"/>
              </w:rPr>
              <w:t>纵向均</w:t>
            </w:r>
            <w:r>
              <w:rPr>
                <w:rStyle w:val="103"/>
                <w:rFonts w:ascii="Times New Roman" w:hAnsi="Times New Roman" w:eastAsia="仿宋_GB2312" w:cs="Times New Roman"/>
                <w:b/>
                <w:bCs/>
                <w:sz w:val="24"/>
                <w:szCs w:val="24"/>
                <w:lang w:bidi="ar"/>
              </w:rPr>
              <w:br w:type="textWrapping"/>
            </w:r>
            <w:r>
              <w:rPr>
                <w:rStyle w:val="103"/>
                <w:rFonts w:ascii="Times New Roman" w:hAnsi="Times New Roman" w:eastAsia="仿宋_GB2312" w:cs="Times New Roman"/>
                <w:b/>
                <w:bCs/>
                <w:sz w:val="24"/>
                <w:szCs w:val="24"/>
                <w:lang w:bidi="ar"/>
              </w:rPr>
              <w:t>匀度U</w:t>
            </w:r>
            <w:r>
              <w:rPr>
                <w:rStyle w:val="103"/>
                <w:rFonts w:ascii="Times New Roman" w:hAnsi="Times New Roman" w:eastAsia="仿宋_GB2312" w:cs="Times New Roman"/>
                <w:b/>
                <w:bCs/>
                <w:sz w:val="24"/>
                <w:szCs w:val="24"/>
                <w:vertAlign w:val="subscript"/>
                <w:lang w:bidi="ar"/>
              </w:rPr>
              <w:t>L</w:t>
            </w:r>
            <w:r>
              <w:rPr>
                <w:rStyle w:val="103"/>
                <w:rFonts w:ascii="Times New Roman" w:hAnsi="Times New Roman" w:eastAsia="仿宋_GB2312" w:cs="Times New Roman"/>
                <w:b/>
                <w:bCs/>
                <w:sz w:val="24"/>
                <w:szCs w:val="24"/>
                <w:lang w:bidi="ar"/>
              </w:rPr>
              <w:br w:type="textWrapping"/>
            </w:r>
            <w:r>
              <w:rPr>
                <w:rStyle w:val="103"/>
                <w:rFonts w:ascii="Times New Roman" w:hAnsi="Times New Roman" w:eastAsia="仿宋_GB2312" w:cs="Times New Roman"/>
                <w:b/>
                <w:bCs/>
                <w:sz w:val="24"/>
                <w:szCs w:val="24"/>
                <w:lang w:bidi="ar"/>
              </w:rPr>
              <w:t>最小值</w:t>
            </w:r>
          </w:p>
        </w:tc>
        <w:tc>
          <w:tcPr>
            <w:tcW w:w="565" w:type="pct"/>
            <w:tcBorders>
              <w:top w:val="single" w:color="000000" w:sz="4" w:space="0"/>
              <w:left w:val="single" w:color="000000" w:sz="4" w:space="0"/>
              <w:bottom w:val="single" w:color="000000" w:sz="4" w:space="0"/>
              <w:right w:val="single" w:color="000000" w:sz="4" w:space="0"/>
            </w:tcBorders>
            <w:vAlign w:val="center"/>
          </w:tcPr>
          <w:p w14:paraId="5E3F6B7F">
            <w:pPr>
              <w:widowControl/>
              <w:spacing w:before="24" w:after="24" w:line="240" w:lineRule="auto"/>
              <w:jc w:val="center"/>
              <w:textAlignment w:val="center"/>
              <w:rPr>
                <w:rFonts w:ascii="Times New Roman" w:hAnsi="Times New Roman" w:eastAsia="仿宋_GB2312" w:cs="Times New Roman"/>
                <w:b/>
                <w:bCs/>
                <w:color w:val="000000"/>
                <w:sz w:val="24"/>
                <w:szCs w:val="24"/>
              </w:rPr>
            </w:pPr>
            <w:r>
              <w:rPr>
                <w:rStyle w:val="103"/>
                <w:rFonts w:ascii="Times New Roman" w:hAnsi="Times New Roman" w:eastAsia="仿宋_GB2312" w:cs="Times New Roman"/>
                <w:b/>
                <w:bCs/>
                <w:sz w:val="24"/>
                <w:szCs w:val="24"/>
                <w:lang w:bidi="ar"/>
              </w:rPr>
              <w:t>平均照度（lx）</w:t>
            </w:r>
            <w:r>
              <w:rPr>
                <w:rStyle w:val="103"/>
                <w:rFonts w:ascii="Times New Roman" w:hAnsi="Times New Roman" w:eastAsia="仿宋_GB2312" w:cs="Times New Roman"/>
                <w:b/>
                <w:bCs/>
                <w:sz w:val="24"/>
                <w:szCs w:val="24"/>
                <w:lang w:bidi="ar"/>
              </w:rPr>
              <w:br w:type="textWrapping"/>
            </w:r>
            <w:r>
              <w:rPr>
                <w:rStyle w:val="103"/>
                <w:rFonts w:ascii="Times New Roman" w:hAnsi="Times New Roman" w:eastAsia="仿宋_GB2312" w:cs="Times New Roman"/>
                <w:b/>
                <w:bCs/>
                <w:sz w:val="24"/>
                <w:szCs w:val="24"/>
                <w:lang w:bidi="ar"/>
              </w:rPr>
              <w:t>维持值</w:t>
            </w:r>
          </w:p>
        </w:tc>
        <w:tc>
          <w:tcPr>
            <w:tcW w:w="541" w:type="pct"/>
            <w:tcBorders>
              <w:top w:val="single" w:color="000000" w:sz="4" w:space="0"/>
              <w:left w:val="single" w:color="000000" w:sz="4" w:space="0"/>
              <w:bottom w:val="single" w:color="000000" w:sz="4" w:space="0"/>
              <w:right w:val="single" w:color="000000" w:sz="4" w:space="0"/>
            </w:tcBorders>
            <w:vAlign w:val="center"/>
          </w:tcPr>
          <w:p w14:paraId="420BD535">
            <w:pPr>
              <w:widowControl/>
              <w:spacing w:before="24" w:after="24" w:line="240" w:lineRule="auto"/>
              <w:jc w:val="center"/>
              <w:textAlignment w:val="center"/>
              <w:rPr>
                <w:rFonts w:ascii="Times New Roman" w:hAnsi="Times New Roman" w:eastAsia="仿宋_GB2312" w:cs="Times New Roman"/>
                <w:b/>
                <w:bCs/>
                <w:color w:val="000000"/>
                <w:sz w:val="24"/>
                <w:szCs w:val="24"/>
              </w:rPr>
            </w:pPr>
            <w:r>
              <w:rPr>
                <w:rStyle w:val="103"/>
                <w:rFonts w:ascii="Times New Roman" w:hAnsi="Times New Roman" w:eastAsia="仿宋_GB2312" w:cs="Times New Roman"/>
                <w:b/>
                <w:bCs/>
                <w:sz w:val="24"/>
                <w:szCs w:val="24"/>
                <w:lang w:bidi="ar"/>
              </w:rPr>
              <w:t>均匀度</w:t>
            </w:r>
            <w:r>
              <w:rPr>
                <w:rStyle w:val="103"/>
                <w:rFonts w:ascii="Times New Roman" w:hAnsi="Times New Roman" w:eastAsia="仿宋_GB2312" w:cs="Times New Roman"/>
                <w:b/>
                <w:bCs/>
                <w:sz w:val="24"/>
                <w:szCs w:val="24"/>
                <w:lang w:bidi="ar"/>
              </w:rPr>
              <w:br w:type="textWrapping"/>
            </w:r>
            <w:r>
              <w:rPr>
                <w:rStyle w:val="103"/>
                <w:rFonts w:ascii="Times New Roman" w:hAnsi="Times New Roman" w:eastAsia="仿宋_GB2312" w:cs="Times New Roman"/>
                <w:b/>
                <w:bCs/>
                <w:sz w:val="24"/>
                <w:szCs w:val="24"/>
                <w:lang w:bidi="ar"/>
              </w:rPr>
              <w:t>U</w:t>
            </w:r>
            <w:r>
              <w:rPr>
                <w:rStyle w:val="103"/>
                <w:rFonts w:ascii="Times New Roman" w:hAnsi="Times New Roman" w:eastAsia="仿宋_GB2312" w:cs="Times New Roman"/>
                <w:b/>
                <w:bCs/>
                <w:sz w:val="24"/>
                <w:szCs w:val="24"/>
                <w:vertAlign w:val="subscript"/>
                <w:lang w:bidi="ar"/>
              </w:rPr>
              <w:t>E</w:t>
            </w:r>
            <w:r>
              <w:rPr>
                <w:rStyle w:val="103"/>
                <w:rFonts w:ascii="Times New Roman" w:hAnsi="Times New Roman" w:eastAsia="仿宋_GB2312" w:cs="Times New Roman"/>
                <w:b/>
                <w:bCs/>
                <w:sz w:val="24"/>
                <w:szCs w:val="24"/>
                <w:lang w:bidi="ar"/>
              </w:rPr>
              <w:br w:type="textWrapping"/>
            </w:r>
            <w:r>
              <w:rPr>
                <w:rStyle w:val="103"/>
                <w:rFonts w:ascii="Times New Roman" w:hAnsi="Times New Roman" w:eastAsia="仿宋_GB2312" w:cs="Times New Roman"/>
                <w:b/>
                <w:bCs/>
                <w:sz w:val="24"/>
                <w:szCs w:val="24"/>
                <w:lang w:bidi="ar"/>
              </w:rPr>
              <w:t>最小值</w:t>
            </w:r>
          </w:p>
        </w:tc>
        <w:tc>
          <w:tcPr>
            <w:tcW w:w="648" w:type="pct"/>
            <w:vMerge w:val="continue"/>
            <w:tcBorders>
              <w:top w:val="single" w:color="000000" w:sz="4" w:space="0"/>
              <w:left w:val="single" w:color="000000" w:sz="4" w:space="0"/>
              <w:bottom w:val="single" w:color="000000" w:sz="4" w:space="0"/>
              <w:right w:val="single" w:color="000000" w:sz="4" w:space="0"/>
            </w:tcBorders>
            <w:vAlign w:val="center"/>
          </w:tcPr>
          <w:p w14:paraId="5AFF3C93">
            <w:pPr>
              <w:spacing w:before="24" w:after="24" w:line="240" w:lineRule="auto"/>
              <w:jc w:val="center"/>
              <w:rPr>
                <w:rFonts w:ascii="Times New Roman" w:hAnsi="Times New Roman" w:eastAsia="仿宋_GB2312" w:cs="Times New Roman"/>
                <w:color w:val="000000"/>
                <w:sz w:val="24"/>
                <w:szCs w:val="24"/>
              </w:rPr>
            </w:pPr>
          </w:p>
        </w:tc>
        <w:tc>
          <w:tcPr>
            <w:tcW w:w="477" w:type="pct"/>
            <w:vMerge w:val="continue"/>
            <w:tcBorders>
              <w:top w:val="single" w:color="000000" w:sz="4" w:space="0"/>
              <w:left w:val="single" w:color="000000" w:sz="4" w:space="0"/>
              <w:bottom w:val="single" w:color="000000" w:sz="4" w:space="0"/>
              <w:right w:val="single" w:color="000000" w:sz="4" w:space="0"/>
            </w:tcBorders>
            <w:vAlign w:val="center"/>
          </w:tcPr>
          <w:p w14:paraId="0CC3C9F1">
            <w:pPr>
              <w:spacing w:before="24" w:after="24" w:line="240" w:lineRule="auto"/>
              <w:jc w:val="center"/>
              <w:rPr>
                <w:rFonts w:ascii="Times New Roman" w:hAnsi="Times New Roman" w:eastAsia="仿宋_GB2312" w:cs="Times New Roman"/>
                <w:color w:val="000000"/>
                <w:sz w:val="24"/>
                <w:szCs w:val="24"/>
              </w:rPr>
            </w:pPr>
          </w:p>
        </w:tc>
      </w:tr>
      <w:tr w14:paraId="3EAF501A">
        <w:tblPrEx>
          <w:tblCellMar>
            <w:top w:w="0" w:type="dxa"/>
            <w:left w:w="108" w:type="dxa"/>
            <w:bottom w:w="0" w:type="dxa"/>
            <w:right w:w="108" w:type="dxa"/>
          </w:tblCellMar>
        </w:tblPrEx>
        <w:trPr>
          <w:trHeight w:val="656" w:hRule="atLeast"/>
        </w:trPr>
        <w:tc>
          <w:tcPr>
            <w:tcW w:w="308" w:type="pct"/>
            <w:tcBorders>
              <w:top w:val="single" w:color="000000" w:sz="4" w:space="0"/>
              <w:left w:val="single" w:color="000000" w:sz="4" w:space="0"/>
              <w:bottom w:val="single" w:color="000000" w:sz="4" w:space="0"/>
              <w:right w:val="single" w:color="000000" w:sz="4" w:space="0"/>
            </w:tcBorders>
            <w:vAlign w:val="center"/>
          </w:tcPr>
          <w:p w14:paraId="44F8C4AD">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sz w:val="24"/>
                <w:szCs w:val="24"/>
              </w:rPr>
              <w:t>1</w:t>
            </w:r>
          </w:p>
        </w:tc>
        <w:tc>
          <w:tcPr>
            <w:tcW w:w="616" w:type="pct"/>
            <w:tcBorders>
              <w:top w:val="single" w:color="000000" w:sz="4" w:space="0"/>
              <w:left w:val="single" w:color="000000" w:sz="4" w:space="0"/>
              <w:bottom w:val="single" w:color="000000" w:sz="4" w:space="0"/>
              <w:right w:val="single" w:color="000000" w:sz="4" w:space="0"/>
            </w:tcBorders>
            <w:vAlign w:val="center"/>
          </w:tcPr>
          <w:p w14:paraId="169E0B79">
            <w:pPr>
              <w:widowControl/>
              <w:spacing w:before="24" w:after="24" w:line="240" w:lineRule="auto"/>
              <w:jc w:val="center"/>
              <w:textAlignment w:val="center"/>
              <w:rPr>
                <w:rFonts w:ascii="Times New Roman" w:hAnsi="Times New Roman" w:eastAsia="仿宋_GB2312" w:cs="Times New Roman"/>
                <w:color w:val="000000"/>
                <w:sz w:val="24"/>
                <w:szCs w:val="24"/>
              </w:rPr>
            </w:pPr>
            <w:r>
              <w:rPr>
                <w:rStyle w:val="103"/>
                <w:rFonts w:ascii="Times New Roman" w:hAnsi="Times New Roman" w:eastAsia="仿宋_GB2312" w:cs="Times New Roman"/>
                <w:sz w:val="24"/>
                <w:szCs w:val="24"/>
                <w:lang w:bidi="ar"/>
              </w:rPr>
              <w:t>快速路</w:t>
            </w:r>
            <w:r>
              <w:rPr>
                <w:rStyle w:val="103"/>
                <w:rFonts w:ascii="Times New Roman" w:hAnsi="Times New Roman" w:eastAsia="仿宋_GB2312" w:cs="Times New Roman"/>
                <w:sz w:val="24"/>
                <w:szCs w:val="24"/>
                <w:lang w:bidi="ar"/>
              </w:rPr>
              <w:br w:type="textWrapping"/>
            </w:r>
            <w:r>
              <w:rPr>
                <w:rStyle w:val="103"/>
                <w:rFonts w:ascii="Times New Roman" w:hAnsi="Times New Roman" w:eastAsia="仿宋_GB2312" w:cs="Times New Roman"/>
                <w:sz w:val="24"/>
                <w:szCs w:val="24"/>
                <w:lang w:bidi="ar"/>
              </w:rPr>
              <w:t>主干路</w:t>
            </w:r>
          </w:p>
        </w:tc>
        <w:tc>
          <w:tcPr>
            <w:tcW w:w="692" w:type="pct"/>
            <w:tcBorders>
              <w:top w:val="single" w:color="000000" w:sz="4" w:space="0"/>
              <w:left w:val="single" w:color="000000" w:sz="4" w:space="0"/>
              <w:bottom w:val="single" w:color="000000" w:sz="4" w:space="0"/>
              <w:right w:val="single" w:color="000000" w:sz="4" w:space="0"/>
            </w:tcBorders>
            <w:vAlign w:val="center"/>
          </w:tcPr>
          <w:p w14:paraId="482AE6A4">
            <w:pPr>
              <w:widowControl/>
              <w:spacing w:before="24" w:after="24" w:line="240" w:lineRule="auto"/>
              <w:jc w:val="left"/>
              <w:textAlignment w:val="center"/>
              <w:rPr>
                <w:rFonts w:ascii="Times New Roman" w:hAnsi="Times New Roman" w:eastAsia="仿宋_GB2312" w:cs="Times New Roman"/>
                <w:color w:val="000000"/>
                <w:sz w:val="24"/>
                <w:szCs w:val="24"/>
              </w:rPr>
            </w:pPr>
            <w:r>
              <w:rPr>
                <w:rStyle w:val="103"/>
                <w:rFonts w:ascii="Times New Roman" w:hAnsi="Times New Roman" w:eastAsia="仿宋_GB2312" w:cs="Times New Roman"/>
                <w:sz w:val="24"/>
                <w:szCs w:val="24"/>
                <w:lang w:bidi="ar"/>
              </w:rPr>
              <w:t>1.50/2.00</w:t>
            </w:r>
          </w:p>
        </w:tc>
        <w:tc>
          <w:tcPr>
            <w:tcW w:w="579" w:type="pct"/>
            <w:tcBorders>
              <w:top w:val="single" w:color="000000" w:sz="4" w:space="0"/>
              <w:left w:val="single" w:color="000000" w:sz="4" w:space="0"/>
              <w:bottom w:val="single" w:color="000000" w:sz="4" w:space="0"/>
              <w:right w:val="single" w:color="000000" w:sz="4" w:space="0"/>
            </w:tcBorders>
            <w:vAlign w:val="center"/>
          </w:tcPr>
          <w:p w14:paraId="30DEF892">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 xml:space="preserve">0.4 </w:t>
            </w:r>
          </w:p>
        </w:tc>
        <w:tc>
          <w:tcPr>
            <w:tcW w:w="569" w:type="pct"/>
            <w:tcBorders>
              <w:top w:val="single" w:color="000000" w:sz="4" w:space="0"/>
              <w:left w:val="single" w:color="000000" w:sz="4" w:space="0"/>
              <w:bottom w:val="single" w:color="000000" w:sz="4" w:space="0"/>
              <w:right w:val="single" w:color="000000" w:sz="4" w:space="0"/>
            </w:tcBorders>
            <w:vAlign w:val="center"/>
          </w:tcPr>
          <w:p w14:paraId="74F2CE74">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 xml:space="preserve">0.7 </w:t>
            </w:r>
          </w:p>
        </w:tc>
        <w:tc>
          <w:tcPr>
            <w:tcW w:w="565" w:type="pct"/>
            <w:tcBorders>
              <w:top w:val="single" w:color="000000" w:sz="4" w:space="0"/>
              <w:left w:val="single" w:color="000000" w:sz="4" w:space="0"/>
              <w:bottom w:val="single" w:color="000000" w:sz="4" w:space="0"/>
              <w:right w:val="single" w:color="000000" w:sz="4" w:space="0"/>
            </w:tcBorders>
            <w:vAlign w:val="center"/>
          </w:tcPr>
          <w:p w14:paraId="21E73B0B">
            <w:pPr>
              <w:widowControl/>
              <w:spacing w:before="24" w:after="24" w:line="240" w:lineRule="auto"/>
              <w:jc w:val="center"/>
              <w:textAlignment w:val="center"/>
              <w:rPr>
                <w:rFonts w:ascii="Times New Roman" w:hAnsi="Times New Roman" w:eastAsia="仿宋_GB2312" w:cs="Times New Roman"/>
                <w:color w:val="000000"/>
                <w:sz w:val="24"/>
                <w:szCs w:val="24"/>
              </w:rPr>
            </w:pPr>
            <w:r>
              <w:rPr>
                <w:rStyle w:val="103"/>
                <w:rFonts w:ascii="Times New Roman" w:hAnsi="Times New Roman" w:eastAsia="仿宋_GB2312" w:cs="Times New Roman"/>
                <w:sz w:val="24"/>
                <w:szCs w:val="24"/>
                <w:lang w:bidi="ar"/>
              </w:rPr>
              <w:t>20/30</w:t>
            </w:r>
          </w:p>
        </w:tc>
        <w:tc>
          <w:tcPr>
            <w:tcW w:w="541" w:type="pct"/>
            <w:tcBorders>
              <w:top w:val="single" w:color="000000" w:sz="4" w:space="0"/>
              <w:left w:val="single" w:color="000000" w:sz="4" w:space="0"/>
              <w:bottom w:val="single" w:color="000000" w:sz="4" w:space="0"/>
              <w:right w:val="single" w:color="000000" w:sz="4" w:space="0"/>
            </w:tcBorders>
            <w:vAlign w:val="center"/>
          </w:tcPr>
          <w:p w14:paraId="3ED0D50F">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 xml:space="preserve">0.4 </w:t>
            </w:r>
          </w:p>
        </w:tc>
        <w:tc>
          <w:tcPr>
            <w:tcW w:w="648" w:type="pct"/>
            <w:tcBorders>
              <w:top w:val="single" w:color="000000" w:sz="4" w:space="0"/>
              <w:left w:val="single" w:color="000000" w:sz="4" w:space="0"/>
              <w:bottom w:val="single" w:color="000000" w:sz="4" w:space="0"/>
              <w:right w:val="single" w:color="000000" w:sz="4" w:space="0"/>
            </w:tcBorders>
            <w:vAlign w:val="center"/>
          </w:tcPr>
          <w:p w14:paraId="6C8A85E6">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 xml:space="preserve">10 </w:t>
            </w:r>
          </w:p>
        </w:tc>
        <w:tc>
          <w:tcPr>
            <w:tcW w:w="477" w:type="pct"/>
            <w:tcBorders>
              <w:top w:val="single" w:color="000000" w:sz="4" w:space="0"/>
              <w:left w:val="single" w:color="000000" w:sz="4" w:space="0"/>
              <w:bottom w:val="single" w:color="000000" w:sz="4" w:space="0"/>
              <w:right w:val="single" w:color="000000" w:sz="4" w:space="0"/>
            </w:tcBorders>
            <w:vAlign w:val="center"/>
          </w:tcPr>
          <w:p w14:paraId="193FC683">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 xml:space="preserve">0.5 </w:t>
            </w:r>
          </w:p>
        </w:tc>
      </w:tr>
      <w:tr w14:paraId="0D2D6EE2">
        <w:tblPrEx>
          <w:tblCellMar>
            <w:top w:w="0" w:type="dxa"/>
            <w:left w:w="108" w:type="dxa"/>
            <w:bottom w:w="0" w:type="dxa"/>
            <w:right w:w="108" w:type="dxa"/>
          </w:tblCellMar>
        </w:tblPrEx>
        <w:trPr>
          <w:trHeight w:val="732" w:hRule="atLeast"/>
        </w:trPr>
        <w:tc>
          <w:tcPr>
            <w:tcW w:w="308" w:type="pct"/>
            <w:tcBorders>
              <w:top w:val="single" w:color="000000" w:sz="4" w:space="0"/>
              <w:left w:val="single" w:color="000000" w:sz="4" w:space="0"/>
              <w:bottom w:val="single" w:color="000000" w:sz="4" w:space="0"/>
              <w:right w:val="single" w:color="000000" w:sz="4" w:space="0"/>
            </w:tcBorders>
            <w:vAlign w:val="center"/>
          </w:tcPr>
          <w:p w14:paraId="66A0DE58">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sz w:val="24"/>
                <w:szCs w:val="24"/>
              </w:rPr>
              <w:t>2</w:t>
            </w:r>
          </w:p>
        </w:tc>
        <w:tc>
          <w:tcPr>
            <w:tcW w:w="616" w:type="pct"/>
            <w:tcBorders>
              <w:top w:val="single" w:color="000000" w:sz="4" w:space="0"/>
              <w:left w:val="single" w:color="000000" w:sz="4" w:space="0"/>
              <w:bottom w:val="single" w:color="000000" w:sz="4" w:space="0"/>
              <w:right w:val="single" w:color="000000" w:sz="4" w:space="0"/>
            </w:tcBorders>
            <w:vAlign w:val="center"/>
          </w:tcPr>
          <w:p w14:paraId="447EBB32">
            <w:pPr>
              <w:widowControl/>
              <w:spacing w:before="24" w:after="24" w:line="240" w:lineRule="auto"/>
              <w:jc w:val="center"/>
              <w:textAlignment w:val="center"/>
              <w:rPr>
                <w:rFonts w:ascii="Times New Roman" w:hAnsi="Times New Roman" w:eastAsia="仿宋_GB2312" w:cs="Times New Roman"/>
                <w:color w:val="000000"/>
                <w:sz w:val="24"/>
                <w:szCs w:val="24"/>
              </w:rPr>
            </w:pPr>
            <w:r>
              <w:rPr>
                <w:rStyle w:val="108"/>
                <w:rFonts w:ascii="Times New Roman" w:hAnsi="Times New Roman" w:eastAsia="仿宋_GB2312" w:cs="Times New Roman"/>
                <w:sz w:val="24"/>
                <w:szCs w:val="24"/>
                <w:lang w:bidi="ar"/>
              </w:rPr>
              <w:t>次干路</w:t>
            </w:r>
          </w:p>
        </w:tc>
        <w:tc>
          <w:tcPr>
            <w:tcW w:w="692" w:type="pct"/>
            <w:tcBorders>
              <w:top w:val="single" w:color="000000" w:sz="4" w:space="0"/>
              <w:left w:val="single" w:color="000000" w:sz="4" w:space="0"/>
              <w:bottom w:val="single" w:color="000000" w:sz="4" w:space="0"/>
              <w:right w:val="single" w:color="000000" w:sz="4" w:space="0"/>
            </w:tcBorders>
            <w:vAlign w:val="center"/>
          </w:tcPr>
          <w:p w14:paraId="4CE05637">
            <w:pPr>
              <w:widowControl/>
              <w:spacing w:before="24" w:after="24" w:line="240" w:lineRule="auto"/>
              <w:jc w:val="left"/>
              <w:textAlignment w:val="center"/>
              <w:rPr>
                <w:rFonts w:ascii="Times New Roman" w:hAnsi="Times New Roman" w:eastAsia="仿宋_GB2312" w:cs="Times New Roman"/>
                <w:color w:val="000000"/>
                <w:sz w:val="24"/>
                <w:szCs w:val="24"/>
              </w:rPr>
            </w:pPr>
            <w:r>
              <w:rPr>
                <w:rStyle w:val="103"/>
                <w:rFonts w:ascii="Times New Roman" w:hAnsi="Times New Roman" w:eastAsia="仿宋_GB2312" w:cs="Times New Roman"/>
                <w:sz w:val="24"/>
                <w:szCs w:val="24"/>
                <w:lang w:bidi="ar"/>
              </w:rPr>
              <w:t>1.00/1.50</w:t>
            </w:r>
          </w:p>
        </w:tc>
        <w:tc>
          <w:tcPr>
            <w:tcW w:w="579" w:type="pct"/>
            <w:tcBorders>
              <w:top w:val="single" w:color="000000" w:sz="4" w:space="0"/>
              <w:left w:val="single" w:color="000000" w:sz="4" w:space="0"/>
              <w:bottom w:val="single" w:color="000000" w:sz="4" w:space="0"/>
              <w:right w:val="single" w:color="000000" w:sz="4" w:space="0"/>
            </w:tcBorders>
            <w:vAlign w:val="center"/>
          </w:tcPr>
          <w:p w14:paraId="555848C8">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 xml:space="preserve">0.4 </w:t>
            </w:r>
          </w:p>
        </w:tc>
        <w:tc>
          <w:tcPr>
            <w:tcW w:w="569" w:type="pct"/>
            <w:tcBorders>
              <w:top w:val="single" w:color="000000" w:sz="4" w:space="0"/>
              <w:left w:val="single" w:color="000000" w:sz="4" w:space="0"/>
              <w:bottom w:val="single" w:color="000000" w:sz="4" w:space="0"/>
              <w:right w:val="single" w:color="000000" w:sz="4" w:space="0"/>
            </w:tcBorders>
            <w:vAlign w:val="center"/>
          </w:tcPr>
          <w:p w14:paraId="36ED0177">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 xml:space="preserve">0.5 </w:t>
            </w:r>
          </w:p>
        </w:tc>
        <w:tc>
          <w:tcPr>
            <w:tcW w:w="565" w:type="pct"/>
            <w:tcBorders>
              <w:top w:val="single" w:color="000000" w:sz="4" w:space="0"/>
              <w:left w:val="single" w:color="000000" w:sz="4" w:space="0"/>
              <w:bottom w:val="single" w:color="000000" w:sz="4" w:space="0"/>
              <w:right w:val="single" w:color="000000" w:sz="4" w:space="0"/>
            </w:tcBorders>
            <w:vAlign w:val="center"/>
          </w:tcPr>
          <w:p w14:paraId="3D5DFFC8">
            <w:pPr>
              <w:widowControl/>
              <w:spacing w:before="24" w:after="24" w:line="240" w:lineRule="auto"/>
              <w:jc w:val="center"/>
              <w:textAlignment w:val="center"/>
              <w:rPr>
                <w:rFonts w:ascii="Times New Roman" w:hAnsi="Times New Roman" w:eastAsia="仿宋_GB2312" w:cs="Times New Roman"/>
                <w:color w:val="000000"/>
                <w:sz w:val="24"/>
                <w:szCs w:val="24"/>
              </w:rPr>
            </w:pPr>
            <w:r>
              <w:rPr>
                <w:rStyle w:val="103"/>
                <w:rFonts w:ascii="Times New Roman" w:hAnsi="Times New Roman" w:eastAsia="仿宋_GB2312" w:cs="Times New Roman"/>
                <w:sz w:val="24"/>
                <w:szCs w:val="24"/>
                <w:lang w:bidi="ar"/>
              </w:rPr>
              <w:t>15/20</w:t>
            </w:r>
          </w:p>
        </w:tc>
        <w:tc>
          <w:tcPr>
            <w:tcW w:w="541" w:type="pct"/>
            <w:tcBorders>
              <w:top w:val="single" w:color="000000" w:sz="4" w:space="0"/>
              <w:left w:val="single" w:color="000000" w:sz="4" w:space="0"/>
              <w:bottom w:val="single" w:color="000000" w:sz="4" w:space="0"/>
              <w:right w:val="single" w:color="000000" w:sz="4" w:space="0"/>
            </w:tcBorders>
            <w:vAlign w:val="center"/>
          </w:tcPr>
          <w:p w14:paraId="5A2A756B">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 xml:space="preserve">0.4 </w:t>
            </w:r>
          </w:p>
        </w:tc>
        <w:tc>
          <w:tcPr>
            <w:tcW w:w="648" w:type="pct"/>
            <w:tcBorders>
              <w:top w:val="single" w:color="000000" w:sz="4" w:space="0"/>
              <w:left w:val="single" w:color="000000" w:sz="4" w:space="0"/>
              <w:bottom w:val="single" w:color="000000" w:sz="4" w:space="0"/>
              <w:right w:val="single" w:color="000000" w:sz="4" w:space="0"/>
            </w:tcBorders>
            <w:vAlign w:val="center"/>
          </w:tcPr>
          <w:p w14:paraId="29E77AF1">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 xml:space="preserve">10 </w:t>
            </w:r>
          </w:p>
        </w:tc>
        <w:tc>
          <w:tcPr>
            <w:tcW w:w="477" w:type="pct"/>
            <w:tcBorders>
              <w:top w:val="single" w:color="000000" w:sz="4" w:space="0"/>
              <w:left w:val="single" w:color="000000" w:sz="4" w:space="0"/>
              <w:bottom w:val="single" w:color="000000" w:sz="4" w:space="0"/>
              <w:right w:val="single" w:color="000000" w:sz="4" w:space="0"/>
            </w:tcBorders>
            <w:vAlign w:val="center"/>
          </w:tcPr>
          <w:p w14:paraId="306426B3">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 xml:space="preserve">0.5 </w:t>
            </w:r>
          </w:p>
        </w:tc>
      </w:tr>
      <w:tr w14:paraId="15A3C910">
        <w:tblPrEx>
          <w:tblCellMar>
            <w:top w:w="0" w:type="dxa"/>
            <w:left w:w="108" w:type="dxa"/>
            <w:bottom w:w="0" w:type="dxa"/>
            <w:right w:w="108" w:type="dxa"/>
          </w:tblCellMar>
        </w:tblPrEx>
        <w:trPr>
          <w:trHeight w:val="680" w:hRule="atLeast"/>
        </w:trPr>
        <w:tc>
          <w:tcPr>
            <w:tcW w:w="308" w:type="pct"/>
            <w:tcBorders>
              <w:top w:val="single" w:color="000000" w:sz="4" w:space="0"/>
              <w:left w:val="single" w:color="000000" w:sz="4" w:space="0"/>
              <w:bottom w:val="single" w:color="000000" w:sz="4" w:space="0"/>
              <w:right w:val="single" w:color="000000" w:sz="4" w:space="0"/>
            </w:tcBorders>
            <w:vAlign w:val="center"/>
          </w:tcPr>
          <w:p w14:paraId="23037D04">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sz w:val="24"/>
                <w:szCs w:val="24"/>
              </w:rPr>
              <w:t>3</w:t>
            </w:r>
          </w:p>
        </w:tc>
        <w:tc>
          <w:tcPr>
            <w:tcW w:w="616" w:type="pct"/>
            <w:tcBorders>
              <w:top w:val="single" w:color="000000" w:sz="4" w:space="0"/>
              <w:left w:val="single" w:color="000000" w:sz="4" w:space="0"/>
              <w:bottom w:val="single" w:color="000000" w:sz="4" w:space="0"/>
              <w:right w:val="single" w:color="000000" w:sz="4" w:space="0"/>
            </w:tcBorders>
            <w:vAlign w:val="center"/>
          </w:tcPr>
          <w:p w14:paraId="57DFBCAC">
            <w:pPr>
              <w:widowControl/>
              <w:spacing w:before="24" w:after="24" w:line="240" w:lineRule="auto"/>
              <w:jc w:val="center"/>
              <w:textAlignment w:val="center"/>
              <w:rPr>
                <w:rFonts w:ascii="Times New Roman" w:hAnsi="Times New Roman" w:eastAsia="仿宋_GB2312" w:cs="Times New Roman"/>
                <w:color w:val="000000"/>
                <w:sz w:val="24"/>
                <w:szCs w:val="24"/>
              </w:rPr>
            </w:pPr>
            <w:r>
              <w:rPr>
                <w:rStyle w:val="108"/>
                <w:rFonts w:ascii="Times New Roman" w:hAnsi="Times New Roman" w:eastAsia="仿宋_GB2312" w:cs="Times New Roman"/>
                <w:sz w:val="24"/>
                <w:szCs w:val="24"/>
                <w:lang w:bidi="ar"/>
              </w:rPr>
              <w:t>支路</w:t>
            </w:r>
          </w:p>
        </w:tc>
        <w:tc>
          <w:tcPr>
            <w:tcW w:w="692" w:type="pct"/>
            <w:tcBorders>
              <w:top w:val="single" w:color="000000" w:sz="4" w:space="0"/>
              <w:left w:val="single" w:color="000000" w:sz="4" w:space="0"/>
              <w:bottom w:val="single" w:color="000000" w:sz="4" w:space="0"/>
              <w:right w:val="single" w:color="000000" w:sz="4" w:space="0"/>
            </w:tcBorders>
            <w:vAlign w:val="center"/>
          </w:tcPr>
          <w:p w14:paraId="3D55F17E">
            <w:pPr>
              <w:widowControl/>
              <w:spacing w:before="24" w:after="24" w:line="240" w:lineRule="auto"/>
              <w:jc w:val="left"/>
              <w:textAlignment w:val="center"/>
              <w:rPr>
                <w:rFonts w:ascii="Times New Roman" w:hAnsi="Times New Roman" w:eastAsia="仿宋_GB2312" w:cs="Times New Roman"/>
                <w:color w:val="000000"/>
                <w:sz w:val="24"/>
                <w:szCs w:val="24"/>
              </w:rPr>
            </w:pPr>
            <w:r>
              <w:rPr>
                <w:rStyle w:val="103"/>
                <w:rFonts w:ascii="Times New Roman" w:hAnsi="Times New Roman" w:eastAsia="仿宋_GB2312" w:cs="Times New Roman"/>
                <w:sz w:val="24"/>
                <w:szCs w:val="24"/>
                <w:lang w:bidi="ar"/>
              </w:rPr>
              <w:t>0.50/0.75</w:t>
            </w:r>
          </w:p>
        </w:tc>
        <w:tc>
          <w:tcPr>
            <w:tcW w:w="579" w:type="pct"/>
            <w:tcBorders>
              <w:top w:val="single" w:color="000000" w:sz="4" w:space="0"/>
              <w:left w:val="single" w:color="000000" w:sz="4" w:space="0"/>
              <w:bottom w:val="single" w:color="000000" w:sz="4" w:space="0"/>
              <w:right w:val="single" w:color="000000" w:sz="4" w:space="0"/>
            </w:tcBorders>
            <w:vAlign w:val="center"/>
          </w:tcPr>
          <w:p w14:paraId="251E54E7">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 xml:space="preserve">0.4 </w:t>
            </w:r>
          </w:p>
        </w:tc>
        <w:tc>
          <w:tcPr>
            <w:tcW w:w="569" w:type="pct"/>
            <w:tcBorders>
              <w:top w:val="single" w:color="000000" w:sz="4" w:space="0"/>
              <w:left w:val="single" w:color="000000" w:sz="4" w:space="0"/>
              <w:bottom w:val="single" w:color="000000" w:sz="4" w:space="0"/>
              <w:right w:val="single" w:color="000000" w:sz="4" w:space="0"/>
            </w:tcBorders>
            <w:vAlign w:val="center"/>
          </w:tcPr>
          <w:p w14:paraId="17ABEB80">
            <w:pPr>
              <w:widowControl/>
              <w:spacing w:before="24" w:after="24" w:line="240" w:lineRule="auto"/>
              <w:jc w:val="center"/>
              <w:textAlignment w:val="center"/>
              <w:rPr>
                <w:rFonts w:ascii="Times New Roman" w:hAnsi="Times New Roman" w:eastAsia="仿宋_GB2312" w:cs="Times New Roman"/>
                <w:color w:val="000000"/>
                <w:sz w:val="24"/>
                <w:szCs w:val="24"/>
              </w:rPr>
            </w:pPr>
            <w:r>
              <w:rPr>
                <w:rStyle w:val="109"/>
                <w:rFonts w:ascii="Times New Roman" w:hAnsi="Times New Roman" w:eastAsia="仿宋_GB2312" w:cs="Times New Roman"/>
                <w:sz w:val="24"/>
                <w:szCs w:val="24"/>
                <w:lang w:bidi="ar"/>
              </w:rPr>
              <w:t>一</w:t>
            </w:r>
          </w:p>
        </w:tc>
        <w:tc>
          <w:tcPr>
            <w:tcW w:w="565" w:type="pct"/>
            <w:tcBorders>
              <w:top w:val="single" w:color="000000" w:sz="4" w:space="0"/>
              <w:left w:val="single" w:color="000000" w:sz="4" w:space="0"/>
              <w:bottom w:val="single" w:color="000000" w:sz="4" w:space="0"/>
              <w:right w:val="single" w:color="000000" w:sz="4" w:space="0"/>
            </w:tcBorders>
            <w:vAlign w:val="center"/>
          </w:tcPr>
          <w:p w14:paraId="39764F36">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8/10</w:t>
            </w:r>
          </w:p>
        </w:tc>
        <w:tc>
          <w:tcPr>
            <w:tcW w:w="541" w:type="pct"/>
            <w:tcBorders>
              <w:top w:val="single" w:color="000000" w:sz="4" w:space="0"/>
              <w:left w:val="single" w:color="000000" w:sz="4" w:space="0"/>
              <w:bottom w:val="single" w:color="000000" w:sz="4" w:space="0"/>
              <w:right w:val="single" w:color="000000" w:sz="4" w:space="0"/>
            </w:tcBorders>
            <w:vAlign w:val="center"/>
          </w:tcPr>
          <w:p w14:paraId="0AC9AFEC">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 xml:space="preserve">0.3 </w:t>
            </w:r>
          </w:p>
        </w:tc>
        <w:tc>
          <w:tcPr>
            <w:tcW w:w="648" w:type="pct"/>
            <w:tcBorders>
              <w:top w:val="single" w:color="000000" w:sz="4" w:space="0"/>
              <w:left w:val="single" w:color="000000" w:sz="4" w:space="0"/>
              <w:bottom w:val="single" w:color="000000" w:sz="4" w:space="0"/>
              <w:right w:val="single" w:color="000000" w:sz="4" w:space="0"/>
            </w:tcBorders>
            <w:vAlign w:val="center"/>
          </w:tcPr>
          <w:p w14:paraId="766EBA63">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 xml:space="preserve">15 </w:t>
            </w:r>
          </w:p>
        </w:tc>
        <w:tc>
          <w:tcPr>
            <w:tcW w:w="477" w:type="pct"/>
            <w:tcBorders>
              <w:top w:val="single" w:color="000000" w:sz="4" w:space="0"/>
              <w:left w:val="single" w:color="000000" w:sz="4" w:space="0"/>
              <w:bottom w:val="single" w:color="000000" w:sz="4" w:space="0"/>
              <w:right w:val="single" w:color="000000" w:sz="4" w:space="0"/>
            </w:tcBorders>
            <w:vAlign w:val="center"/>
          </w:tcPr>
          <w:p w14:paraId="10F15703">
            <w:pPr>
              <w:widowControl/>
              <w:spacing w:before="24" w:after="24" w:line="240" w:lineRule="auto"/>
              <w:jc w:val="center"/>
              <w:textAlignment w:val="center"/>
              <w:rPr>
                <w:rFonts w:ascii="Times New Roman" w:hAnsi="Times New Roman" w:eastAsia="仿宋_GB2312" w:cs="Times New Roman"/>
                <w:color w:val="000000"/>
                <w:sz w:val="24"/>
                <w:szCs w:val="24"/>
              </w:rPr>
            </w:pPr>
            <w:r>
              <w:rPr>
                <w:rStyle w:val="109"/>
                <w:rFonts w:ascii="Times New Roman" w:hAnsi="Times New Roman" w:eastAsia="仿宋_GB2312" w:cs="Times New Roman"/>
                <w:sz w:val="24"/>
                <w:szCs w:val="24"/>
                <w:lang w:bidi="ar"/>
              </w:rPr>
              <w:t>一</w:t>
            </w:r>
          </w:p>
        </w:tc>
      </w:tr>
    </w:tbl>
    <w:p w14:paraId="47651C6A">
      <w:pPr>
        <w:pStyle w:val="69"/>
        <w:rPr>
          <w:rFonts w:hint="eastAsia"/>
        </w:rPr>
      </w:pPr>
      <w:r>
        <w:t>注：凝土路面、其平均照度值相应降低约30%</w:t>
      </w:r>
    </w:p>
    <w:p w14:paraId="0CFFF1CB">
      <w:pPr>
        <w:pStyle w:val="69"/>
        <w:rPr>
          <w:rFonts w:hint="eastAsia"/>
        </w:rPr>
      </w:pPr>
      <w:r>
        <w:t>交会区照明标准值</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41"/>
        <w:gridCol w:w="2690"/>
        <w:gridCol w:w="1675"/>
        <w:gridCol w:w="2372"/>
      </w:tblGrid>
      <w:tr w14:paraId="7CBA5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2541" w:type="dxa"/>
            <w:vAlign w:val="center"/>
          </w:tcPr>
          <w:p w14:paraId="51EB9FB5">
            <w:pPr>
              <w:spacing w:before="24" w:after="24" w:line="240" w:lineRule="auto"/>
              <w:jc w:val="center"/>
              <w:rPr>
                <w:rFonts w:ascii="Times New Roman" w:hAnsi="Times New Roman" w:eastAsia="仿宋_GB2312" w:cs="Times New Roman"/>
                <w:b/>
                <w:bCs/>
                <w:color w:val="181717" w:themeColor="background2" w:themeShade="1A"/>
                <w:sz w:val="24"/>
                <w:szCs w:val="24"/>
              </w:rPr>
            </w:pPr>
            <w:r>
              <w:rPr>
                <w:rFonts w:ascii="Times New Roman" w:hAnsi="Times New Roman" w:eastAsia="仿宋_GB2312" w:cs="Times New Roman"/>
                <w:b/>
                <w:bCs/>
                <w:sz w:val="24"/>
                <w:szCs w:val="24"/>
              </w:rPr>
              <w:t>交会区类型</w:t>
            </w:r>
          </w:p>
        </w:tc>
        <w:tc>
          <w:tcPr>
            <w:tcW w:w="2690" w:type="dxa"/>
            <w:vAlign w:val="center"/>
          </w:tcPr>
          <w:p w14:paraId="575ACDFA">
            <w:pPr>
              <w:spacing w:before="24" w:after="24" w:line="240" w:lineRule="auto"/>
              <w:jc w:val="center"/>
              <w:rPr>
                <w:rFonts w:ascii="Times New Roman" w:hAnsi="Times New Roman" w:eastAsia="仿宋_GB2312" w:cs="Times New Roman"/>
                <w:b/>
                <w:bCs/>
                <w:color w:val="181717" w:themeColor="background2" w:themeShade="1A"/>
                <w:sz w:val="24"/>
                <w:szCs w:val="24"/>
              </w:rPr>
            </w:pPr>
            <w:r>
              <w:rPr>
                <w:rFonts w:ascii="Times New Roman" w:hAnsi="Times New Roman" w:eastAsia="仿宋_GB2312" w:cs="Times New Roman"/>
                <w:b/>
                <w:bCs/>
                <w:sz w:val="24"/>
                <w:szCs w:val="24"/>
              </w:rPr>
              <w:t>路面平均照度</w:t>
            </w:r>
          </w:p>
        </w:tc>
        <w:tc>
          <w:tcPr>
            <w:tcW w:w="1675" w:type="dxa"/>
            <w:vAlign w:val="center"/>
          </w:tcPr>
          <w:p w14:paraId="519CC6E3">
            <w:pPr>
              <w:spacing w:before="24" w:after="24" w:line="240" w:lineRule="auto"/>
              <w:jc w:val="center"/>
              <w:rPr>
                <w:rFonts w:ascii="Times New Roman" w:hAnsi="Times New Roman" w:eastAsia="仿宋_GB2312" w:cs="Times New Roman"/>
                <w:b/>
                <w:bCs/>
                <w:color w:val="181717" w:themeColor="background2" w:themeShade="1A"/>
                <w:sz w:val="24"/>
                <w:szCs w:val="24"/>
              </w:rPr>
            </w:pPr>
            <w:r>
              <w:rPr>
                <w:rFonts w:ascii="Times New Roman" w:hAnsi="Times New Roman" w:eastAsia="仿宋_GB2312" w:cs="Times New Roman"/>
                <w:b/>
                <w:bCs/>
                <w:sz w:val="24"/>
                <w:szCs w:val="24"/>
              </w:rPr>
              <w:t>路面平均照度</w:t>
            </w:r>
          </w:p>
        </w:tc>
        <w:tc>
          <w:tcPr>
            <w:tcW w:w="2372" w:type="dxa"/>
            <w:vAlign w:val="center"/>
          </w:tcPr>
          <w:p w14:paraId="0686CEDB">
            <w:pPr>
              <w:spacing w:before="24" w:after="24" w:line="240" w:lineRule="auto"/>
              <w:jc w:val="center"/>
              <w:rPr>
                <w:rFonts w:ascii="Times New Roman" w:hAnsi="Times New Roman" w:eastAsia="仿宋_GB2312" w:cs="Times New Roman"/>
                <w:b/>
                <w:bCs/>
                <w:color w:val="181717" w:themeColor="background2" w:themeShade="1A"/>
                <w:sz w:val="24"/>
                <w:szCs w:val="24"/>
              </w:rPr>
            </w:pPr>
            <w:r>
              <w:rPr>
                <w:rFonts w:ascii="Times New Roman" w:hAnsi="Times New Roman" w:eastAsia="仿宋_GB2312" w:cs="Times New Roman"/>
                <w:b/>
                <w:bCs/>
                <w:sz w:val="24"/>
                <w:szCs w:val="24"/>
              </w:rPr>
              <w:t>路面平均照度</w:t>
            </w:r>
          </w:p>
        </w:tc>
      </w:tr>
      <w:tr w14:paraId="1FC0D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541" w:type="dxa"/>
            <w:vAlign w:val="center"/>
          </w:tcPr>
          <w:p w14:paraId="140C9C67">
            <w:pPr>
              <w:spacing w:before="24" w:after="24" w:line="240" w:lineRule="auto"/>
              <w:jc w:val="center"/>
              <w:rPr>
                <w:rFonts w:ascii="Times New Roman" w:hAnsi="Times New Roman" w:eastAsia="仿宋_GB2312" w:cs="Times New Roman"/>
                <w:color w:val="181717" w:themeColor="background2" w:themeShade="1A"/>
                <w:sz w:val="24"/>
                <w:szCs w:val="24"/>
              </w:rPr>
            </w:pPr>
            <w:r>
              <w:rPr>
                <w:rFonts w:ascii="Times New Roman" w:hAnsi="Times New Roman" w:eastAsia="仿宋_GB2312" w:cs="Times New Roman"/>
                <w:sz w:val="24"/>
                <w:szCs w:val="24"/>
              </w:rPr>
              <w:t>主干路与主干路交会</w:t>
            </w:r>
          </w:p>
        </w:tc>
        <w:tc>
          <w:tcPr>
            <w:tcW w:w="2690" w:type="dxa"/>
            <w:vMerge w:val="restart"/>
            <w:vAlign w:val="center"/>
          </w:tcPr>
          <w:p w14:paraId="42D8D018">
            <w:pPr>
              <w:pStyle w:val="69"/>
              <w:rPr>
                <w:rFonts w:hint="eastAsia"/>
              </w:rPr>
            </w:pPr>
            <w:r>
              <w:t>30/50</w:t>
            </w:r>
          </w:p>
        </w:tc>
        <w:tc>
          <w:tcPr>
            <w:tcW w:w="1675" w:type="dxa"/>
            <w:vMerge w:val="restart"/>
            <w:vAlign w:val="center"/>
          </w:tcPr>
          <w:p w14:paraId="12B3F6CC">
            <w:pPr>
              <w:pStyle w:val="69"/>
              <w:rPr>
                <w:rFonts w:hint="eastAsia"/>
              </w:rPr>
            </w:pPr>
            <w:r>
              <w:t>0. 4</w:t>
            </w:r>
          </w:p>
        </w:tc>
        <w:tc>
          <w:tcPr>
            <w:tcW w:w="2372" w:type="dxa"/>
            <w:vMerge w:val="restart"/>
            <w:vAlign w:val="center"/>
          </w:tcPr>
          <w:p w14:paraId="1D0FADED">
            <w:pPr>
              <w:pStyle w:val="69"/>
              <w:rPr>
                <w:rFonts w:hint="eastAsia"/>
              </w:rPr>
            </w:pPr>
            <w:r>
              <w:t>在驾驶员观看灯具的方位角上，灯具在</w:t>
            </w:r>
          </w:p>
          <w:p w14:paraId="7D903150">
            <w:pPr>
              <w:pStyle w:val="69"/>
              <w:rPr>
                <w:rFonts w:hint="eastAsia"/>
              </w:rPr>
            </w:pPr>
            <w:r>
              <w:t>90°和 80°高度角方向上的光强分别不得超过 10cd/1000lm 和30cd/1000lm</w:t>
            </w:r>
          </w:p>
        </w:tc>
      </w:tr>
      <w:tr w14:paraId="5DC7F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541" w:type="dxa"/>
            <w:vAlign w:val="center"/>
          </w:tcPr>
          <w:p w14:paraId="430DD996">
            <w:pPr>
              <w:spacing w:before="24" w:after="24" w:line="240" w:lineRule="auto"/>
              <w:jc w:val="center"/>
              <w:rPr>
                <w:rFonts w:ascii="Times New Roman" w:hAnsi="Times New Roman" w:eastAsia="仿宋_GB2312" w:cs="Times New Roman"/>
                <w:color w:val="181717" w:themeColor="background2" w:themeShade="1A"/>
                <w:sz w:val="24"/>
                <w:szCs w:val="24"/>
              </w:rPr>
            </w:pPr>
            <w:r>
              <w:rPr>
                <w:rFonts w:ascii="Times New Roman" w:hAnsi="Times New Roman" w:eastAsia="仿宋_GB2312" w:cs="Times New Roman"/>
                <w:sz w:val="24"/>
                <w:szCs w:val="24"/>
              </w:rPr>
              <w:t>主干路与次干路交会</w:t>
            </w:r>
          </w:p>
        </w:tc>
        <w:tc>
          <w:tcPr>
            <w:tcW w:w="2690" w:type="dxa"/>
            <w:vMerge w:val="continue"/>
            <w:vAlign w:val="center"/>
          </w:tcPr>
          <w:p w14:paraId="05612EF4">
            <w:pPr>
              <w:pStyle w:val="69"/>
              <w:rPr>
                <w:rFonts w:hint="eastAsia"/>
              </w:rPr>
            </w:pPr>
          </w:p>
        </w:tc>
        <w:tc>
          <w:tcPr>
            <w:tcW w:w="1675" w:type="dxa"/>
            <w:vMerge w:val="continue"/>
            <w:vAlign w:val="center"/>
          </w:tcPr>
          <w:p w14:paraId="7C5309D9">
            <w:pPr>
              <w:pStyle w:val="69"/>
              <w:rPr>
                <w:rFonts w:hint="eastAsia"/>
              </w:rPr>
            </w:pPr>
          </w:p>
        </w:tc>
        <w:tc>
          <w:tcPr>
            <w:tcW w:w="2372" w:type="dxa"/>
            <w:vMerge w:val="continue"/>
            <w:vAlign w:val="center"/>
          </w:tcPr>
          <w:p w14:paraId="18ADC76A">
            <w:pPr>
              <w:pStyle w:val="69"/>
              <w:rPr>
                <w:rFonts w:hint="eastAsia"/>
              </w:rPr>
            </w:pPr>
          </w:p>
        </w:tc>
      </w:tr>
      <w:tr w14:paraId="17C9C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2541" w:type="dxa"/>
            <w:vAlign w:val="center"/>
          </w:tcPr>
          <w:p w14:paraId="5A8758C4">
            <w:pPr>
              <w:spacing w:before="24" w:after="24" w:line="240" w:lineRule="auto"/>
              <w:jc w:val="center"/>
              <w:rPr>
                <w:rFonts w:ascii="Times New Roman" w:hAnsi="Times New Roman" w:eastAsia="仿宋_GB2312" w:cs="Times New Roman"/>
                <w:color w:val="181717" w:themeColor="background2" w:themeShade="1A"/>
                <w:sz w:val="24"/>
                <w:szCs w:val="24"/>
              </w:rPr>
            </w:pPr>
            <w:r>
              <w:rPr>
                <w:rFonts w:ascii="Times New Roman" w:hAnsi="Times New Roman" w:eastAsia="仿宋_GB2312" w:cs="Times New Roman"/>
                <w:sz w:val="24"/>
                <w:szCs w:val="24"/>
              </w:rPr>
              <w:t>主干路与支路交会</w:t>
            </w:r>
          </w:p>
        </w:tc>
        <w:tc>
          <w:tcPr>
            <w:tcW w:w="2690" w:type="dxa"/>
            <w:vMerge w:val="continue"/>
            <w:vAlign w:val="center"/>
          </w:tcPr>
          <w:p w14:paraId="15653EAF">
            <w:pPr>
              <w:pStyle w:val="69"/>
              <w:rPr>
                <w:rFonts w:hint="eastAsia"/>
              </w:rPr>
            </w:pPr>
          </w:p>
        </w:tc>
        <w:tc>
          <w:tcPr>
            <w:tcW w:w="1675" w:type="dxa"/>
            <w:vMerge w:val="continue"/>
            <w:vAlign w:val="center"/>
          </w:tcPr>
          <w:p w14:paraId="68226D21">
            <w:pPr>
              <w:pStyle w:val="69"/>
              <w:rPr>
                <w:rFonts w:hint="eastAsia"/>
              </w:rPr>
            </w:pPr>
          </w:p>
        </w:tc>
        <w:tc>
          <w:tcPr>
            <w:tcW w:w="2372" w:type="dxa"/>
            <w:vMerge w:val="continue"/>
            <w:vAlign w:val="center"/>
          </w:tcPr>
          <w:p w14:paraId="0BC1759D">
            <w:pPr>
              <w:pStyle w:val="69"/>
              <w:rPr>
                <w:rFonts w:hint="eastAsia"/>
              </w:rPr>
            </w:pPr>
          </w:p>
        </w:tc>
      </w:tr>
      <w:tr w14:paraId="77EE4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2541" w:type="dxa"/>
            <w:vAlign w:val="center"/>
          </w:tcPr>
          <w:p w14:paraId="33E5E2D6">
            <w:pPr>
              <w:spacing w:before="24" w:after="24" w:line="240" w:lineRule="auto"/>
              <w:jc w:val="center"/>
              <w:rPr>
                <w:rFonts w:ascii="Times New Roman" w:hAnsi="Times New Roman" w:eastAsia="仿宋_GB2312" w:cs="Times New Roman"/>
                <w:color w:val="181717" w:themeColor="background2" w:themeShade="1A"/>
                <w:sz w:val="24"/>
                <w:szCs w:val="24"/>
              </w:rPr>
            </w:pPr>
            <w:r>
              <w:rPr>
                <w:rFonts w:ascii="Times New Roman" w:hAnsi="Times New Roman" w:eastAsia="仿宋_GB2312" w:cs="Times New Roman"/>
                <w:sz w:val="24"/>
                <w:szCs w:val="24"/>
              </w:rPr>
              <w:t>次于路与次千路交会</w:t>
            </w:r>
          </w:p>
        </w:tc>
        <w:tc>
          <w:tcPr>
            <w:tcW w:w="2690" w:type="dxa"/>
            <w:vMerge w:val="restart"/>
            <w:vAlign w:val="center"/>
          </w:tcPr>
          <w:p w14:paraId="153C012A">
            <w:pPr>
              <w:pStyle w:val="69"/>
              <w:rPr>
                <w:rFonts w:hint="eastAsia"/>
              </w:rPr>
            </w:pPr>
            <w:r>
              <w:t>20/30</w:t>
            </w:r>
          </w:p>
        </w:tc>
        <w:tc>
          <w:tcPr>
            <w:tcW w:w="1675" w:type="dxa"/>
            <w:vMerge w:val="continue"/>
            <w:vAlign w:val="center"/>
          </w:tcPr>
          <w:p w14:paraId="3A055E6F">
            <w:pPr>
              <w:pStyle w:val="69"/>
              <w:rPr>
                <w:rFonts w:hint="eastAsia"/>
              </w:rPr>
            </w:pPr>
          </w:p>
        </w:tc>
        <w:tc>
          <w:tcPr>
            <w:tcW w:w="2372" w:type="dxa"/>
            <w:vMerge w:val="continue"/>
            <w:vAlign w:val="center"/>
          </w:tcPr>
          <w:p w14:paraId="7B04884F">
            <w:pPr>
              <w:pStyle w:val="69"/>
              <w:rPr>
                <w:rFonts w:hint="eastAsia"/>
              </w:rPr>
            </w:pPr>
          </w:p>
        </w:tc>
      </w:tr>
      <w:tr w14:paraId="55D13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2541" w:type="dxa"/>
            <w:vAlign w:val="center"/>
          </w:tcPr>
          <w:p w14:paraId="0AA22DA6">
            <w:pPr>
              <w:spacing w:before="24" w:after="24" w:line="240" w:lineRule="auto"/>
              <w:jc w:val="center"/>
              <w:rPr>
                <w:rFonts w:ascii="Times New Roman" w:hAnsi="Times New Roman" w:eastAsia="仿宋_GB2312" w:cs="Times New Roman"/>
                <w:color w:val="181717" w:themeColor="background2" w:themeShade="1A"/>
                <w:sz w:val="24"/>
                <w:szCs w:val="24"/>
              </w:rPr>
            </w:pPr>
            <w:r>
              <w:rPr>
                <w:rFonts w:ascii="Times New Roman" w:hAnsi="Times New Roman" w:eastAsia="仿宋_GB2312" w:cs="Times New Roman"/>
                <w:sz w:val="24"/>
                <w:szCs w:val="24"/>
              </w:rPr>
              <w:t>次干路与支路交会</w:t>
            </w:r>
          </w:p>
        </w:tc>
        <w:tc>
          <w:tcPr>
            <w:tcW w:w="2690" w:type="dxa"/>
            <w:vMerge w:val="continue"/>
            <w:vAlign w:val="center"/>
          </w:tcPr>
          <w:p w14:paraId="0ABE006A">
            <w:pPr>
              <w:pStyle w:val="69"/>
              <w:rPr>
                <w:rFonts w:hint="eastAsia"/>
              </w:rPr>
            </w:pPr>
          </w:p>
        </w:tc>
        <w:tc>
          <w:tcPr>
            <w:tcW w:w="1675" w:type="dxa"/>
            <w:vMerge w:val="continue"/>
            <w:vAlign w:val="center"/>
          </w:tcPr>
          <w:p w14:paraId="3622A472">
            <w:pPr>
              <w:pStyle w:val="69"/>
              <w:rPr>
                <w:rFonts w:hint="eastAsia"/>
              </w:rPr>
            </w:pPr>
          </w:p>
        </w:tc>
        <w:tc>
          <w:tcPr>
            <w:tcW w:w="2372" w:type="dxa"/>
            <w:vMerge w:val="continue"/>
            <w:vAlign w:val="center"/>
          </w:tcPr>
          <w:p w14:paraId="6A0B7D42">
            <w:pPr>
              <w:pStyle w:val="69"/>
              <w:rPr>
                <w:rFonts w:hint="eastAsia"/>
              </w:rPr>
            </w:pPr>
          </w:p>
        </w:tc>
      </w:tr>
      <w:tr w14:paraId="67E09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2541" w:type="dxa"/>
            <w:vAlign w:val="center"/>
          </w:tcPr>
          <w:p w14:paraId="554380A8">
            <w:pPr>
              <w:spacing w:before="24" w:after="24" w:line="240" w:lineRule="auto"/>
              <w:jc w:val="center"/>
              <w:rPr>
                <w:rFonts w:ascii="Times New Roman" w:hAnsi="Times New Roman" w:eastAsia="仿宋_GB2312" w:cs="Times New Roman"/>
                <w:color w:val="181717" w:themeColor="background2" w:themeShade="1A"/>
                <w:sz w:val="24"/>
                <w:szCs w:val="24"/>
              </w:rPr>
            </w:pPr>
            <w:r>
              <w:rPr>
                <w:rFonts w:ascii="Times New Roman" w:hAnsi="Times New Roman" w:eastAsia="仿宋_GB2312" w:cs="Times New Roman"/>
                <w:sz w:val="24"/>
                <w:szCs w:val="24"/>
              </w:rPr>
              <w:t>支路与支路交会</w:t>
            </w:r>
          </w:p>
        </w:tc>
        <w:tc>
          <w:tcPr>
            <w:tcW w:w="2690" w:type="dxa"/>
            <w:vAlign w:val="center"/>
          </w:tcPr>
          <w:p w14:paraId="19AB83A7">
            <w:pPr>
              <w:pStyle w:val="69"/>
              <w:rPr>
                <w:rFonts w:hint="eastAsia"/>
              </w:rPr>
            </w:pPr>
            <w:r>
              <w:t>15/20</w:t>
            </w:r>
          </w:p>
        </w:tc>
        <w:tc>
          <w:tcPr>
            <w:tcW w:w="1675" w:type="dxa"/>
            <w:vMerge w:val="continue"/>
            <w:vAlign w:val="center"/>
          </w:tcPr>
          <w:p w14:paraId="63E6503E">
            <w:pPr>
              <w:pStyle w:val="69"/>
              <w:rPr>
                <w:rFonts w:hint="eastAsia"/>
              </w:rPr>
            </w:pPr>
          </w:p>
        </w:tc>
        <w:tc>
          <w:tcPr>
            <w:tcW w:w="2372" w:type="dxa"/>
            <w:vMerge w:val="continue"/>
            <w:vAlign w:val="center"/>
          </w:tcPr>
          <w:p w14:paraId="15A14BAB">
            <w:pPr>
              <w:pStyle w:val="69"/>
              <w:rPr>
                <w:rFonts w:hint="eastAsia"/>
              </w:rPr>
            </w:pPr>
          </w:p>
        </w:tc>
      </w:tr>
    </w:tbl>
    <w:p w14:paraId="2EFCF6E4">
      <w:pPr>
        <w:pStyle w:val="69"/>
        <w:rPr>
          <w:rFonts w:hint="eastAsia"/>
        </w:rPr>
      </w:pPr>
      <w:r>
        <w:t>人行及非机动车道照明标准值</w:t>
      </w:r>
    </w:p>
    <w:tbl>
      <w:tblPr>
        <w:tblStyle w:val="30"/>
        <w:tblW w:w="4996" w:type="pct"/>
        <w:tblInd w:w="0" w:type="dxa"/>
        <w:tblLayout w:type="autofit"/>
        <w:tblCellMar>
          <w:top w:w="0" w:type="dxa"/>
          <w:left w:w="108" w:type="dxa"/>
          <w:bottom w:w="0" w:type="dxa"/>
          <w:right w:w="108" w:type="dxa"/>
        </w:tblCellMar>
      </w:tblPr>
      <w:tblGrid>
        <w:gridCol w:w="834"/>
        <w:gridCol w:w="2501"/>
        <w:gridCol w:w="1495"/>
        <w:gridCol w:w="1506"/>
        <w:gridCol w:w="1489"/>
        <w:gridCol w:w="1454"/>
      </w:tblGrid>
      <w:tr w14:paraId="3FB085F0">
        <w:tblPrEx>
          <w:tblCellMar>
            <w:top w:w="0" w:type="dxa"/>
            <w:left w:w="108" w:type="dxa"/>
            <w:bottom w:w="0" w:type="dxa"/>
            <w:right w:w="108" w:type="dxa"/>
          </w:tblCellMar>
        </w:tblPrEx>
        <w:trPr>
          <w:trHeight w:val="1143" w:hRule="atLeast"/>
          <w:tblHeader/>
        </w:trPr>
        <w:tc>
          <w:tcPr>
            <w:tcW w:w="449" w:type="pct"/>
            <w:tcBorders>
              <w:top w:val="single" w:color="000000" w:sz="4" w:space="0"/>
              <w:left w:val="single" w:color="000000" w:sz="4" w:space="0"/>
              <w:bottom w:val="single" w:color="000000" w:sz="4" w:space="0"/>
              <w:right w:val="single" w:color="000000" w:sz="4" w:space="0"/>
            </w:tcBorders>
            <w:vAlign w:val="center"/>
          </w:tcPr>
          <w:p w14:paraId="3998587A">
            <w:pPr>
              <w:widowControl/>
              <w:spacing w:before="24" w:after="24" w:line="240" w:lineRule="auto"/>
              <w:jc w:val="center"/>
              <w:textAlignment w:val="center"/>
              <w:rPr>
                <w:rFonts w:ascii="Times New Roman" w:hAnsi="Times New Roman" w:eastAsia="仿宋_GB2312" w:cs="Times New Roman"/>
                <w:b/>
                <w:bCs/>
                <w:color w:val="000000"/>
                <w:sz w:val="24"/>
                <w:szCs w:val="24"/>
              </w:rPr>
            </w:pPr>
            <w:r>
              <w:rPr>
                <w:rStyle w:val="111"/>
                <w:rFonts w:ascii="Times New Roman" w:hAnsi="Times New Roman" w:eastAsia="仿宋_GB2312" w:cs="Times New Roman"/>
                <w:b/>
                <w:bCs/>
                <w:sz w:val="24"/>
                <w:szCs w:val="24"/>
                <w:lang w:bidi="ar"/>
              </w:rPr>
              <w:t>级别</w:t>
            </w:r>
          </w:p>
        </w:tc>
        <w:tc>
          <w:tcPr>
            <w:tcW w:w="1347" w:type="pct"/>
            <w:tcBorders>
              <w:top w:val="single" w:color="000000" w:sz="4" w:space="0"/>
              <w:left w:val="single" w:color="000000" w:sz="4" w:space="0"/>
              <w:bottom w:val="single" w:color="000000" w:sz="4" w:space="0"/>
              <w:right w:val="single" w:color="000000" w:sz="4" w:space="0"/>
            </w:tcBorders>
            <w:vAlign w:val="center"/>
          </w:tcPr>
          <w:p w14:paraId="24871D62">
            <w:pPr>
              <w:widowControl/>
              <w:spacing w:before="24" w:after="24" w:line="240" w:lineRule="auto"/>
              <w:jc w:val="center"/>
              <w:textAlignment w:val="center"/>
              <w:rPr>
                <w:rFonts w:ascii="Times New Roman" w:hAnsi="Times New Roman" w:eastAsia="仿宋_GB2312" w:cs="Times New Roman"/>
                <w:b/>
                <w:bCs/>
                <w:color w:val="000000"/>
                <w:sz w:val="24"/>
                <w:szCs w:val="24"/>
              </w:rPr>
            </w:pPr>
            <w:r>
              <w:rPr>
                <w:rStyle w:val="111"/>
                <w:rFonts w:ascii="Times New Roman" w:hAnsi="Times New Roman" w:eastAsia="仿宋_GB2312" w:cs="Times New Roman"/>
                <w:b/>
                <w:bCs/>
                <w:sz w:val="24"/>
                <w:szCs w:val="24"/>
                <w:lang w:bidi="ar"/>
              </w:rPr>
              <w:t>道路类型</w:t>
            </w:r>
          </w:p>
        </w:tc>
        <w:tc>
          <w:tcPr>
            <w:tcW w:w="805" w:type="pct"/>
            <w:tcBorders>
              <w:top w:val="single" w:color="000000" w:sz="4" w:space="0"/>
              <w:left w:val="single" w:color="000000" w:sz="4" w:space="0"/>
              <w:bottom w:val="single" w:color="000000" w:sz="4" w:space="0"/>
              <w:right w:val="single" w:color="000000" w:sz="4" w:space="0"/>
            </w:tcBorders>
            <w:vAlign w:val="center"/>
          </w:tcPr>
          <w:p w14:paraId="6E7F0301">
            <w:pPr>
              <w:widowControl/>
              <w:spacing w:before="24" w:after="24" w:line="240" w:lineRule="auto"/>
              <w:jc w:val="center"/>
              <w:textAlignment w:val="center"/>
              <w:rPr>
                <w:rFonts w:ascii="Times New Roman" w:hAnsi="Times New Roman" w:eastAsia="仿宋_GB2312" w:cs="Times New Roman"/>
                <w:b/>
                <w:bCs/>
                <w:color w:val="000000"/>
                <w:sz w:val="24"/>
                <w:szCs w:val="24"/>
              </w:rPr>
            </w:pPr>
            <w:r>
              <w:rPr>
                <w:rStyle w:val="111"/>
                <w:rFonts w:ascii="Times New Roman" w:hAnsi="Times New Roman" w:eastAsia="仿宋_GB2312" w:cs="Times New Roman"/>
                <w:b/>
                <w:bCs/>
                <w:sz w:val="24"/>
                <w:szCs w:val="24"/>
                <w:lang w:bidi="ar"/>
              </w:rPr>
              <w:t>路面平均</w:t>
            </w:r>
            <w:r>
              <w:rPr>
                <w:rStyle w:val="111"/>
                <w:rFonts w:ascii="Times New Roman" w:hAnsi="Times New Roman" w:eastAsia="仿宋_GB2312" w:cs="Times New Roman"/>
                <w:b/>
                <w:bCs/>
                <w:sz w:val="24"/>
                <w:szCs w:val="24"/>
                <w:lang w:bidi="ar"/>
              </w:rPr>
              <w:br w:type="textWrapping"/>
            </w:r>
            <w:r>
              <w:rPr>
                <w:rStyle w:val="111"/>
                <w:rFonts w:ascii="Times New Roman" w:hAnsi="Times New Roman" w:eastAsia="仿宋_GB2312" w:cs="Times New Roman"/>
                <w:b/>
                <w:bCs/>
                <w:sz w:val="24"/>
                <w:szCs w:val="24"/>
                <w:lang w:bidi="ar"/>
              </w:rPr>
              <w:t>照度（lx)</w:t>
            </w:r>
            <w:r>
              <w:rPr>
                <w:rStyle w:val="111"/>
                <w:rFonts w:ascii="Times New Roman" w:hAnsi="Times New Roman" w:eastAsia="仿宋_GB2312" w:cs="Times New Roman"/>
                <w:b/>
                <w:bCs/>
                <w:sz w:val="24"/>
                <w:szCs w:val="24"/>
                <w:lang w:bidi="ar"/>
              </w:rPr>
              <w:br w:type="textWrapping"/>
            </w:r>
            <w:r>
              <w:rPr>
                <w:rStyle w:val="111"/>
                <w:rFonts w:ascii="Times New Roman" w:hAnsi="Times New Roman" w:eastAsia="仿宋_GB2312" w:cs="Times New Roman"/>
                <w:b/>
                <w:bCs/>
                <w:sz w:val="24"/>
                <w:szCs w:val="24"/>
                <w:lang w:bidi="ar"/>
              </w:rPr>
              <w:t>维持值</w:t>
            </w:r>
          </w:p>
        </w:tc>
        <w:tc>
          <w:tcPr>
            <w:tcW w:w="811" w:type="pct"/>
            <w:tcBorders>
              <w:top w:val="single" w:color="000000" w:sz="4" w:space="0"/>
              <w:left w:val="single" w:color="000000" w:sz="4" w:space="0"/>
              <w:bottom w:val="single" w:color="000000" w:sz="4" w:space="0"/>
              <w:right w:val="single" w:color="000000" w:sz="4" w:space="0"/>
            </w:tcBorders>
            <w:vAlign w:val="center"/>
          </w:tcPr>
          <w:p w14:paraId="19A3255E">
            <w:pPr>
              <w:widowControl/>
              <w:spacing w:before="24" w:after="24" w:line="240" w:lineRule="auto"/>
              <w:jc w:val="center"/>
              <w:textAlignment w:val="center"/>
              <w:rPr>
                <w:rFonts w:ascii="Times New Roman" w:hAnsi="Times New Roman" w:eastAsia="仿宋_GB2312" w:cs="Times New Roman"/>
                <w:b/>
                <w:bCs/>
                <w:color w:val="000000"/>
                <w:sz w:val="24"/>
                <w:szCs w:val="24"/>
              </w:rPr>
            </w:pPr>
            <w:r>
              <w:rPr>
                <w:rStyle w:val="111"/>
                <w:rFonts w:ascii="Times New Roman" w:hAnsi="Times New Roman" w:eastAsia="仿宋_GB2312" w:cs="Times New Roman"/>
                <w:b/>
                <w:bCs/>
                <w:sz w:val="24"/>
                <w:szCs w:val="24"/>
                <w:lang w:bidi="ar"/>
              </w:rPr>
              <w:t>路面最小</w:t>
            </w:r>
            <w:r>
              <w:rPr>
                <w:rStyle w:val="111"/>
                <w:rFonts w:ascii="Times New Roman" w:hAnsi="Times New Roman" w:eastAsia="仿宋_GB2312" w:cs="Times New Roman"/>
                <w:b/>
                <w:bCs/>
                <w:sz w:val="24"/>
                <w:szCs w:val="24"/>
                <w:lang w:bidi="ar"/>
              </w:rPr>
              <w:br w:type="textWrapping"/>
            </w:r>
            <w:r>
              <w:rPr>
                <w:rStyle w:val="111"/>
                <w:rFonts w:ascii="Times New Roman" w:hAnsi="Times New Roman" w:eastAsia="仿宋_GB2312" w:cs="Times New Roman"/>
                <w:b/>
                <w:bCs/>
                <w:sz w:val="24"/>
                <w:szCs w:val="24"/>
                <w:lang w:bidi="ar"/>
              </w:rPr>
              <w:t>照度（lx)</w:t>
            </w:r>
            <w:r>
              <w:rPr>
                <w:rStyle w:val="111"/>
                <w:rFonts w:ascii="Times New Roman" w:hAnsi="Times New Roman" w:eastAsia="仿宋_GB2312" w:cs="Times New Roman"/>
                <w:b/>
                <w:bCs/>
                <w:sz w:val="24"/>
                <w:szCs w:val="24"/>
                <w:lang w:bidi="ar"/>
              </w:rPr>
              <w:br w:type="textWrapping"/>
            </w:r>
            <w:r>
              <w:rPr>
                <w:rStyle w:val="111"/>
                <w:rFonts w:ascii="Times New Roman" w:hAnsi="Times New Roman" w:eastAsia="仿宋_GB2312" w:cs="Times New Roman"/>
                <w:b/>
                <w:bCs/>
                <w:sz w:val="24"/>
                <w:szCs w:val="24"/>
                <w:lang w:bidi="ar"/>
              </w:rPr>
              <w:t>维持值</w:t>
            </w:r>
          </w:p>
        </w:tc>
        <w:tc>
          <w:tcPr>
            <w:tcW w:w="802" w:type="pct"/>
            <w:tcBorders>
              <w:top w:val="single" w:color="000000" w:sz="4" w:space="0"/>
              <w:left w:val="single" w:color="000000" w:sz="4" w:space="0"/>
              <w:bottom w:val="single" w:color="000000" w:sz="4" w:space="0"/>
              <w:right w:val="single" w:color="000000" w:sz="4" w:space="0"/>
            </w:tcBorders>
            <w:vAlign w:val="center"/>
          </w:tcPr>
          <w:p w14:paraId="22DD3F1F">
            <w:pPr>
              <w:widowControl/>
              <w:spacing w:before="24" w:after="24" w:line="240" w:lineRule="auto"/>
              <w:jc w:val="center"/>
              <w:textAlignment w:val="center"/>
              <w:rPr>
                <w:rFonts w:ascii="Times New Roman" w:hAnsi="Times New Roman" w:eastAsia="仿宋_GB2312" w:cs="Times New Roman"/>
                <w:b/>
                <w:bCs/>
                <w:color w:val="000000"/>
                <w:sz w:val="24"/>
                <w:szCs w:val="24"/>
              </w:rPr>
            </w:pPr>
            <w:r>
              <w:rPr>
                <w:rStyle w:val="111"/>
                <w:rFonts w:ascii="Times New Roman" w:hAnsi="Times New Roman" w:eastAsia="仿宋_GB2312" w:cs="Times New Roman"/>
                <w:b/>
                <w:bCs/>
                <w:sz w:val="24"/>
                <w:szCs w:val="24"/>
                <w:lang w:bidi="ar"/>
              </w:rPr>
              <w:t>最小垂直</w:t>
            </w:r>
            <w:r>
              <w:rPr>
                <w:rStyle w:val="111"/>
                <w:rFonts w:ascii="Times New Roman" w:hAnsi="Times New Roman" w:eastAsia="仿宋_GB2312" w:cs="Times New Roman"/>
                <w:b/>
                <w:bCs/>
                <w:sz w:val="24"/>
                <w:szCs w:val="24"/>
                <w:lang w:bidi="ar"/>
              </w:rPr>
              <w:br w:type="textWrapping"/>
            </w:r>
            <w:r>
              <w:rPr>
                <w:rStyle w:val="111"/>
                <w:rFonts w:ascii="Times New Roman" w:hAnsi="Times New Roman" w:eastAsia="仿宋_GB2312" w:cs="Times New Roman"/>
                <w:b/>
                <w:bCs/>
                <w:sz w:val="24"/>
                <w:szCs w:val="24"/>
                <w:lang w:bidi="ar"/>
              </w:rPr>
              <w:t>照度（lx)</w:t>
            </w:r>
            <w:r>
              <w:rPr>
                <w:rStyle w:val="111"/>
                <w:rFonts w:ascii="Times New Roman" w:hAnsi="Times New Roman" w:eastAsia="仿宋_GB2312" w:cs="Times New Roman"/>
                <w:b/>
                <w:bCs/>
                <w:sz w:val="24"/>
                <w:szCs w:val="24"/>
                <w:lang w:bidi="ar"/>
              </w:rPr>
              <w:br w:type="textWrapping"/>
            </w:r>
            <w:r>
              <w:rPr>
                <w:rStyle w:val="111"/>
                <w:rFonts w:ascii="Times New Roman" w:hAnsi="Times New Roman" w:eastAsia="仿宋_GB2312" w:cs="Times New Roman"/>
                <w:b/>
                <w:bCs/>
                <w:sz w:val="24"/>
                <w:szCs w:val="24"/>
                <w:lang w:bidi="ar"/>
              </w:rPr>
              <w:t>维持值</w:t>
            </w:r>
          </w:p>
        </w:tc>
        <w:tc>
          <w:tcPr>
            <w:tcW w:w="783" w:type="pct"/>
            <w:tcBorders>
              <w:top w:val="single" w:color="000000" w:sz="4" w:space="0"/>
              <w:left w:val="single" w:color="000000" w:sz="4" w:space="0"/>
              <w:bottom w:val="single" w:color="000000" w:sz="4" w:space="0"/>
              <w:right w:val="single" w:color="000000" w:sz="4" w:space="0"/>
            </w:tcBorders>
            <w:vAlign w:val="center"/>
          </w:tcPr>
          <w:p w14:paraId="1CCB560A">
            <w:pPr>
              <w:widowControl/>
              <w:spacing w:before="24" w:after="24" w:line="240" w:lineRule="auto"/>
              <w:jc w:val="center"/>
              <w:textAlignment w:val="center"/>
              <w:rPr>
                <w:rFonts w:ascii="Times New Roman" w:hAnsi="Times New Roman" w:eastAsia="仿宋_GB2312" w:cs="Times New Roman"/>
                <w:b/>
                <w:bCs/>
                <w:color w:val="000000"/>
                <w:sz w:val="24"/>
                <w:szCs w:val="24"/>
              </w:rPr>
            </w:pPr>
            <w:r>
              <w:rPr>
                <w:rStyle w:val="111"/>
                <w:rFonts w:ascii="Times New Roman" w:hAnsi="Times New Roman" w:eastAsia="仿宋_GB2312" w:cs="Times New Roman"/>
                <w:b/>
                <w:bCs/>
                <w:sz w:val="24"/>
                <w:szCs w:val="24"/>
                <w:lang w:bidi="ar"/>
              </w:rPr>
              <w:t>最小半柱面</w:t>
            </w:r>
            <w:r>
              <w:rPr>
                <w:rStyle w:val="111"/>
                <w:rFonts w:ascii="Times New Roman" w:hAnsi="Times New Roman" w:eastAsia="仿宋_GB2312" w:cs="Times New Roman"/>
                <w:b/>
                <w:bCs/>
                <w:sz w:val="24"/>
                <w:szCs w:val="24"/>
                <w:lang w:bidi="ar"/>
              </w:rPr>
              <w:br w:type="textWrapping"/>
            </w:r>
            <w:r>
              <w:rPr>
                <w:rStyle w:val="111"/>
                <w:rFonts w:ascii="Times New Roman" w:hAnsi="Times New Roman" w:eastAsia="仿宋_GB2312" w:cs="Times New Roman"/>
                <w:b/>
                <w:bCs/>
                <w:sz w:val="24"/>
                <w:szCs w:val="24"/>
                <w:lang w:bidi="ar"/>
              </w:rPr>
              <w:t>照度（lx)</w:t>
            </w:r>
            <w:r>
              <w:rPr>
                <w:rStyle w:val="111"/>
                <w:rFonts w:ascii="Times New Roman" w:hAnsi="Times New Roman" w:eastAsia="仿宋_GB2312" w:cs="Times New Roman"/>
                <w:b/>
                <w:bCs/>
                <w:sz w:val="24"/>
                <w:szCs w:val="24"/>
                <w:lang w:bidi="ar"/>
              </w:rPr>
              <w:br w:type="textWrapping"/>
            </w:r>
            <w:r>
              <w:rPr>
                <w:rStyle w:val="111"/>
                <w:rFonts w:ascii="Times New Roman" w:hAnsi="Times New Roman" w:eastAsia="仿宋_GB2312" w:cs="Times New Roman"/>
                <w:b/>
                <w:bCs/>
                <w:sz w:val="24"/>
                <w:szCs w:val="24"/>
                <w:lang w:bidi="ar"/>
              </w:rPr>
              <w:t>维持值</w:t>
            </w:r>
          </w:p>
        </w:tc>
      </w:tr>
      <w:tr w14:paraId="19F7B8B2">
        <w:tblPrEx>
          <w:tblCellMar>
            <w:top w:w="0" w:type="dxa"/>
            <w:left w:w="108" w:type="dxa"/>
            <w:bottom w:w="0" w:type="dxa"/>
            <w:right w:w="108" w:type="dxa"/>
          </w:tblCellMar>
        </w:tblPrEx>
        <w:trPr>
          <w:trHeight w:val="1668" w:hRule="atLeast"/>
        </w:trPr>
        <w:tc>
          <w:tcPr>
            <w:tcW w:w="449" w:type="pct"/>
            <w:tcBorders>
              <w:top w:val="single" w:color="000000" w:sz="4" w:space="0"/>
              <w:left w:val="single" w:color="000000" w:sz="4" w:space="0"/>
              <w:bottom w:val="single" w:color="000000" w:sz="4" w:space="0"/>
              <w:right w:val="single" w:color="000000" w:sz="4" w:space="0"/>
            </w:tcBorders>
            <w:vAlign w:val="center"/>
          </w:tcPr>
          <w:p w14:paraId="720F2CE3">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1</w:t>
            </w:r>
          </w:p>
        </w:tc>
        <w:tc>
          <w:tcPr>
            <w:tcW w:w="1347" w:type="pct"/>
            <w:tcBorders>
              <w:top w:val="single" w:color="000000" w:sz="4" w:space="0"/>
              <w:left w:val="single" w:color="000000" w:sz="4" w:space="0"/>
              <w:bottom w:val="single" w:color="000000" w:sz="4" w:space="0"/>
              <w:right w:val="single" w:color="000000" w:sz="4" w:space="0"/>
            </w:tcBorders>
            <w:vAlign w:val="center"/>
          </w:tcPr>
          <w:p w14:paraId="4B3A0576">
            <w:pPr>
              <w:widowControl/>
              <w:spacing w:before="24" w:after="24" w:line="240" w:lineRule="auto"/>
              <w:jc w:val="left"/>
              <w:textAlignment w:val="center"/>
              <w:rPr>
                <w:rFonts w:ascii="Times New Roman" w:hAnsi="Times New Roman" w:eastAsia="仿宋_GB2312" w:cs="Times New Roman"/>
                <w:color w:val="000000"/>
                <w:sz w:val="24"/>
                <w:szCs w:val="24"/>
              </w:rPr>
            </w:pPr>
            <w:r>
              <w:rPr>
                <w:rStyle w:val="111"/>
                <w:rFonts w:ascii="Times New Roman" w:hAnsi="Times New Roman" w:eastAsia="仿宋_GB2312" w:cs="Times New Roman"/>
                <w:sz w:val="24"/>
                <w:szCs w:val="24"/>
                <w:lang w:bidi="ar"/>
              </w:rPr>
              <w:t>商业步行街；市中心或商业区行人流量高的道路：机动车与行人混合使用、与城市机动车道路连接的居住区出人道路</w:t>
            </w:r>
          </w:p>
        </w:tc>
        <w:tc>
          <w:tcPr>
            <w:tcW w:w="805" w:type="pct"/>
            <w:tcBorders>
              <w:top w:val="single" w:color="000000" w:sz="4" w:space="0"/>
              <w:left w:val="single" w:color="000000" w:sz="4" w:space="0"/>
              <w:bottom w:val="single" w:color="000000" w:sz="4" w:space="0"/>
              <w:right w:val="single" w:color="000000" w:sz="4" w:space="0"/>
            </w:tcBorders>
            <w:vAlign w:val="center"/>
          </w:tcPr>
          <w:p w14:paraId="0BF06998">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 xml:space="preserve">15 </w:t>
            </w:r>
          </w:p>
        </w:tc>
        <w:tc>
          <w:tcPr>
            <w:tcW w:w="811" w:type="pct"/>
            <w:tcBorders>
              <w:top w:val="single" w:color="000000" w:sz="4" w:space="0"/>
              <w:left w:val="single" w:color="000000" w:sz="4" w:space="0"/>
              <w:bottom w:val="single" w:color="000000" w:sz="4" w:space="0"/>
              <w:right w:val="single" w:color="000000" w:sz="4" w:space="0"/>
            </w:tcBorders>
            <w:vAlign w:val="center"/>
          </w:tcPr>
          <w:p w14:paraId="210FAB03">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 xml:space="preserve">3 </w:t>
            </w:r>
          </w:p>
        </w:tc>
        <w:tc>
          <w:tcPr>
            <w:tcW w:w="802" w:type="pct"/>
            <w:tcBorders>
              <w:top w:val="single" w:color="000000" w:sz="4" w:space="0"/>
              <w:left w:val="single" w:color="000000" w:sz="4" w:space="0"/>
              <w:bottom w:val="single" w:color="000000" w:sz="4" w:space="0"/>
              <w:right w:val="single" w:color="000000" w:sz="4" w:space="0"/>
            </w:tcBorders>
            <w:vAlign w:val="center"/>
          </w:tcPr>
          <w:p w14:paraId="71204DCE">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 xml:space="preserve">5 </w:t>
            </w:r>
          </w:p>
        </w:tc>
        <w:tc>
          <w:tcPr>
            <w:tcW w:w="783" w:type="pct"/>
            <w:tcBorders>
              <w:top w:val="single" w:color="000000" w:sz="4" w:space="0"/>
              <w:left w:val="single" w:color="000000" w:sz="4" w:space="0"/>
              <w:bottom w:val="single" w:color="000000" w:sz="4" w:space="0"/>
              <w:right w:val="single" w:color="000000" w:sz="4" w:space="0"/>
            </w:tcBorders>
            <w:vAlign w:val="center"/>
          </w:tcPr>
          <w:p w14:paraId="7F55CF1E">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 xml:space="preserve">3 </w:t>
            </w:r>
          </w:p>
        </w:tc>
      </w:tr>
      <w:tr w14:paraId="6AB000ED">
        <w:tblPrEx>
          <w:tblCellMar>
            <w:top w:w="0" w:type="dxa"/>
            <w:left w:w="108" w:type="dxa"/>
            <w:bottom w:w="0" w:type="dxa"/>
            <w:right w:w="108" w:type="dxa"/>
          </w:tblCellMar>
        </w:tblPrEx>
        <w:trPr>
          <w:trHeight w:val="580" w:hRule="atLeast"/>
        </w:trPr>
        <w:tc>
          <w:tcPr>
            <w:tcW w:w="449" w:type="pct"/>
            <w:tcBorders>
              <w:top w:val="single" w:color="000000" w:sz="4" w:space="0"/>
              <w:left w:val="single" w:color="000000" w:sz="4" w:space="0"/>
              <w:bottom w:val="single" w:color="000000" w:sz="4" w:space="0"/>
              <w:right w:val="single" w:color="000000" w:sz="4" w:space="0"/>
            </w:tcBorders>
            <w:vAlign w:val="center"/>
          </w:tcPr>
          <w:p w14:paraId="4F7555D0">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2</w:t>
            </w:r>
          </w:p>
        </w:tc>
        <w:tc>
          <w:tcPr>
            <w:tcW w:w="1347" w:type="pct"/>
            <w:tcBorders>
              <w:top w:val="single" w:color="000000" w:sz="4" w:space="0"/>
              <w:left w:val="single" w:color="000000" w:sz="4" w:space="0"/>
              <w:bottom w:val="single" w:color="000000" w:sz="4" w:space="0"/>
              <w:right w:val="single" w:color="000000" w:sz="4" w:space="0"/>
            </w:tcBorders>
            <w:vAlign w:val="center"/>
          </w:tcPr>
          <w:p w14:paraId="6369DB89">
            <w:pPr>
              <w:widowControl/>
              <w:spacing w:before="24" w:after="24" w:line="240" w:lineRule="auto"/>
              <w:jc w:val="center"/>
              <w:textAlignment w:val="center"/>
              <w:rPr>
                <w:rFonts w:ascii="Times New Roman" w:hAnsi="Times New Roman" w:eastAsia="仿宋_GB2312" w:cs="Times New Roman"/>
                <w:color w:val="000000"/>
                <w:sz w:val="24"/>
                <w:szCs w:val="24"/>
              </w:rPr>
            </w:pPr>
            <w:r>
              <w:rPr>
                <w:rStyle w:val="111"/>
                <w:rFonts w:ascii="Times New Roman" w:hAnsi="Times New Roman" w:eastAsia="仿宋_GB2312" w:cs="Times New Roman"/>
                <w:sz w:val="24"/>
                <w:szCs w:val="24"/>
                <w:lang w:bidi="ar"/>
              </w:rPr>
              <w:t>流量较高的道路</w:t>
            </w:r>
          </w:p>
        </w:tc>
        <w:tc>
          <w:tcPr>
            <w:tcW w:w="805" w:type="pct"/>
            <w:tcBorders>
              <w:top w:val="single" w:color="000000" w:sz="4" w:space="0"/>
              <w:left w:val="single" w:color="000000" w:sz="4" w:space="0"/>
              <w:bottom w:val="single" w:color="000000" w:sz="4" w:space="0"/>
              <w:right w:val="single" w:color="000000" w:sz="4" w:space="0"/>
            </w:tcBorders>
            <w:vAlign w:val="center"/>
          </w:tcPr>
          <w:p w14:paraId="6F1801D7">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 xml:space="preserve">10 </w:t>
            </w:r>
          </w:p>
        </w:tc>
        <w:tc>
          <w:tcPr>
            <w:tcW w:w="811" w:type="pct"/>
            <w:tcBorders>
              <w:top w:val="single" w:color="000000" w:sz="4" w:space="0"/>
              <w:left w:val="single" w:color="000000" w:sz="4" w:space="0"/>
              <w:bottom w:val="single" w:color="000000" w:sz="4" w:space="0"/>
              <w:right w:val="single" w:color="000000" w:sz="4" w:space="0"/>
            </w:tcBorders>
            <w:vAlign w:val="center"/>
          </w:tcPr>
          <w:p w14:paraId="070B849A">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 xml:space="preserve">2 </w:t>
            </w:r>
          </w:p>
        </w:tc>
        <w:tc>
          <w:tcPr>
            <w:tcW w:w="802" w:type="pct"/>
            <w:tcBorders>
              <w:top w:val="single" w:color="000000" w:sz="4" w:space="0"/>
              <w:left w:val="single" w:color="000000" w:sz="4" w:space="0"/>
              <w:bottom w:val="single" w:color="000000" w:sz="4" w:space="0"/>
              <w:right w:val="single" w:color="000000" w:sz="4" w:space="0"/>
            </w:tcBorders>
            <w:vAlign w:val="center"/>
          </w:tcPr>
          <w:p w14:paraId="5FEAC636">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 xml:space="preserve">3 </w:t>
            </w:r>
          </w:p>
        </w:tc>
        <w:tc>
          <w:tcPr>
            <w:tcW w:w="783" w:type="pct"/>
            <w:tcBorders>
              <w:top w:val="single" w:color="000000" w:sz="4" w:space="0"/>
              <w:left w:val="single" w:color="000000" w:sz="4" w:space="0"/>
              <w:bottom w:val="single" w:color="000000" w:sz="4" w:space="0"/>
              <w:right w:val="single" w:color="000000" w:sz="4" w:space="0"/>
            </w:tcBorders>
            <w:vAlign w:val="center"/>
          </w:tcPr>
          <w:p w14:paraId="4CC2DD48">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 xml:space="preserve">2 </w:t>
            </w:r>
          </w:p>
        </w:tc>
      </w:tr>
      <w:tr w14:paraId="3FEEB41C">
        <w:tblPrEx>
          <w:tblCellMar>
            <w:top w:w="0" w:type="dxa"/>
            <w:left w:w="108" w:type="dxa"/>
            <w:bottom w:w="0" w:type="dxa"/>
            <w:right w:w="108" w:type="dxa"/>
          </w:tblCellMar>
        </w:tblPrEx>
        <w:trPr>
          <w:trHeight w:val="665" w:hRule="atLeast"/>
        </w:trPr>
        <w:tc>
          <w:tcPr>
            <w:tcW w:w="449" w:type="pct"/>
            <w:tcBorders>
              <w:top w:val="single" w:color="000000" w:sz="4" w:space="0"/>
              <w:left w:val="single" w:color="000000" w:sz="4" w:space="0"/>
              <w:bottom w:val="single" w:color="000000" w:sz="4" w:space="0"/>
              <w:right w:val="single" w:color="000000" w:sz="4" w:space="0"/>
            </w:tcBorders>
            <w:vAlign w:val="center"/>
          </w:tcPr>
          <w:p w14:paraId="7D2061E8">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3</w:t>
            </w:r>
          </w:p>
        </w:tc>
        <w:tc>
          <w:tcPr>
            <w:tcW w:w="1347" w:type="pct"/>
            <w:tcBorders>
              <w:top w:val="single" w:color="000000" w:sz="4" w:space="0"/>
              <w:left w:val="single" w:color="000000" w:sz="4" w:space="0"/>
              <w:bottom w:val="single" w:color="000000" w:sz="4" w:space="0"/>
              <w:right w:val="single" w:color="000000" w:sz="4" w:space="0"/>
            </w:tcBorders>
            <w:vAlign w:val="center"/>
          </w:tcPr>
          <w:p w14:paraId="5E58EB01">
            <w:pPr>
              <w:widowControl/>
              <w:spacing w:before="24" w:after="24" w:line="240" w:lineRule="auto"/>
              <w:jc w:val="center"/>
              <w:textAlignment w:val="center"/>
              <w:rPr>
                <w:rFonts w:ascii="Times New Roman" w:hAnsi="Times New Roman" w:eastAsia="仿宋_GB2312" w:cs="Times New Roman"/>
                <w:color w:val="000000"/>
                <w:sz w:val="24"/>
                <w:szCs w:val="24"/>
              </w:rPr>
            </w:pPr>
            <w:r>
              <w:rPr>
                <w:rStyle w:val="111"/>
                <w:rFonts w:ascii="Times New Roman" w:hAnsi="Times New Roman" w:eastAsia="仿宋_GB2312" w:cs="Times New Roman"/>
                <w:sz w:val="24"/>
                <w:szCs w:val="24"/>
                <w:lang w:bidi="ar"/>
              </w:rPr>
              <w:t>流量中等的道路</w:t>
            </w:r>
          </w:p>
        </w:tc>
        <w:tc>
          <w:tcPr>
            <w:tcW w:w="805" w:type="pct"/>
            <w:tcBorders>
              <w:top w:val="single" w:color="000000" w:sz="4" w:space="0"/>
              <w:left w:val="single" w:color="000000" w:sz="4" w:space="0"/>
              <w:bottom w:val="single" w:color="000000" w:sz="4" w:space="0"/>
              <w:right w:val="single" w:color="000000" w:sz="4" w:space="0"/>
            </w:tcBorders>
            <w:vAlign w:val="center"/>
          </w:tcPr>
          <w:p w14:paraId="143C6A98">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 xml:space="preserve">7.5 </w:t>
            </w:r>
          </w:p>
        </w:tc>
        <w:tc>
          <w:tcPr>
            <w:tcW w:w="811" w:type="pct"/>
            <w:tcBorders>
              <w:top w:val="single" w:color="000000" w:sz="4" w:space="0"/>
              <w:left w:val="single" w:color="000000" w:sz="4" w:space="0"/>
              <w:bottom w:val="single" w:color="000000" w:sz="4" w:space="0"/>
              <w:right w:val="single" w:color="000000" w:sz="4" w:space="0"/>
            </w:tcBorders>
            <w:vAlign w:val="center"/>
          </w:tcPr>
          <w:p w14:paraId="6CD20BE7">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 xml:space="preserve">1.5 </w:t>
            </w:r>
          </w:p>
        </w:tc>
        <w:tc>
          <w:tcPr>
            <w:tcW w:w="802" w:type="pct"/>
            <w:tcBorders>
              <w:top w:val="single" w:color="000000" w:sz="4" w:space="0"/>
              <w:left w:val="single" w:color="000000" w:sz="4" w:space="0"/>
              <w:bottom w:val="single" w:color="000000" w:sz="4" w:space="0"/>
              <w:right w:val="single" w:color="000000" w:sz="4" w:space="0"/>
            </w:tcBorders>
            <w:vAlign w:val="center"/>
          </w:tcPr>
          <w:p w14:paraId="511F9015">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 xml:space="preserve">2.5 </w:t>
            </w:r>
          </w:p>
        </w:tc>
        <w:tc>
          <w:tcPr>
            <w:tcW w:w="783" w:type="pct"/>
            <w:tcBorders>
              <w:top w:val="single" w:color="000000" w:sz="4" w:space="0"/>
              <w:left w:val="single" w:color="000000" w:sz="4" w:space="0"/>
              <w:bottom w:val="single" w:color="000000" w:sz="4" w:space="0"/>
              <w:right w:val="single" w:color="000000" w:sz="4" w:space="0"/>
            </w:tcBorders>
            <w:vAlign w:val="center"/>
          </w:tcPr>
          <w:p w14:paraId="42E75683">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 xml:space="preserve">1.5 </w:t>
            </w:r>
          </w:p>
        </w:tc>
      </w:tr>
      <w:tr w14:paraId="47655FE4">
        <w:tblPrEx>
          <w:tblCellMar>
            <w:top w:w="0" w:type="dxa"/>
            <w:left w:w="108" w:type="dxa"/>
            <w:bottom w:w="0" w:type="dxa"/>
            <w:right w:w="108" w:type="dxa"/>
          </w:tblCellMar>
        </w:tblPrEx>
        <w:trPr>
          <w:trHeight w:val="582" w:hRule="atLeast"/>
        </w:trPr>
        <w:tc>
          <w:tcPr>
            <w:tcW w:w="449" w:type="pct"/>
            <w:tcBorders>
              <w:top w:val="single" w:color="000000" w:sz="4" w:space="0"/>
              <w:left w:val="single" w:color="000000" w:sz="4" w:space="0"/>
              <w:bottom w:val="single" w:color="000000" w:sz="4" w:space="0"/>
              <w:right w:val="single" w:color="000000" w:sz="4" w:space="0"/>
            </w:tcBorders>
            <w:vAlign w:val="center"/>
          </w:tcPr>
          <w:p w14:paraId="43806BD1">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4</w:t>
            </w:r>
          </w:p>
        </w:tc>
        <w:tc>
          <w:tcPr>
            <w:tcW w:w="1347" w:type="pct"/>
            <w:tcBorders>
              <w:top w:val="single" w:color="000000" w:sz="4" w:space="0"/>
              <w:left w:val="single" w:color="000000" w:sz="4" w:space="0"/>
              <w:bottom w:val="single" w:color="000000" w:sz="4" w:space="0"/>
              <w:right w:val="single" w:color="000000" w:sz="4" w:space="0"/>
            </w:tcBorders>
            <w:vAlign w:val="center"/>
          </w:tcPr>
          <w:p w14:paraId="30B4FC01">
            <w:pPr>
              <w:widowControl/>
              <w:spacing w:before="24" w:after="24" w:line="240" w:lineRule="auto"/>
              <w:jc w:val="center"/>
              <w:textAlignment w:val="center"/>
              <w:rPr>
                <w:rFonts w:ascii="Times New Roman" w:hAnsi="Times New Roman" w:eastAsia="仿宋_GB2312" w:cs="Times New Roman"/>
                <w:color w:val="000000"/>
                <w:sz w:val="24"/>
                <w:szCs w:val="24"/>
              </w:rPr>
            </w:pPr>
            <w:r>
              <w:rPr>
                <w:rStyle w:val="111"/>
                <w:rFonts w:ascii="Times New Roman" w:hAnsi="Times New Roman" w:eastAsia="仿宋_GB2312" w:cs="Times New Roman"/>
                <w:sz w:val="24"/>
                <w:szCs w:val="24"/>
                <w:lang w:bidi="ar"/>
              </w:rPr>
              <w:t>流量较低的道路</w:t>
            </w:r>
          </w:p>
        </w:tc>
        <w:tc>
          <w:tcPr>
            <w:tcW w:w="805" w:type="pct"/>
            <w:tcBorders>
              <w:top w:val="single" w:color="000000" w:sz="4" w:space="0"/>
              <w:left w:val="single" w:color="000000" w:sz="4" w:space="0"/>
              <w:bottom w:val="single" w:color="000000" w:sz="4" w:space="0"/>
              <w:right w:val="single" w:color="000000" w:sz="4" w:space="0"/>
            </w:tcBorders>
            <w:vAlign w:val="center"/>
          </w:tcPr>
          <w:p w14:paraId="2A348C5B">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 xml:space="preserve">5 </w:t>
            </w:r>
          </w:p>
        </w:tc>
        <w:tc>
          <w:tcPr>
            <w:tcW w:w="811" w:type="pct"/>
            <w:tcBorders>
              <w:top w:val="single" w:color="000000" w:sz="4" w:space="0"/>
              <w:left w:val="single" w:color="000000" w:sz="4" w:space="0"/>
              <w:bottom w:val="single" w:color="000000" w:sz="4" w:space="0"/>
              <w:right w:val="single" w:color="000000" w:sz="4" w:space="0"/>
            </w:tcBorders>
            <w:vAlign w:val="center"/>
          </w:tcPr>
          <w:p w14:paraId="3CF9384E">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 xml:space="preserve">1 </w:t>
            </w:r>
          </w:p>
        </w:tc>
        <w:tc>
          <w:tcPr>
            <w:tcW w:w="802" w:type="pct"/>
            <w:tcBorders>
              <w:top w:val="single" w:color="000000" w:sz="4" w:space="0"/>
              <w:left w:val="single" w:color="000000" w:sz="4" w:space="0"/>
              <w:bottom w:val="single" w:color="000000" w:sz="4" w:space="0"/>
              <w:right w:val="single" w:color="000000" w:sz="4" w:space="0"/>
            </w:tcBorders>
            <w:vAlign w:val="center"/>
          </w:tcPr>
          <w:p w14:paraId="3FF1D97C">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 xml:space="preserve">1.5 </w:t>
            </w:r>
          </w:p>
        </w:tc>
        <w:tc>
          <w:tcPr>
            <w:tcW w:w="783" w:type="pct"/>
            <w:tcBorders>
              <w:top w:val="single" w:color="000000" w:sz="4" w:space="0"/>
              <w:left w:val="single" w:color="000000" w:sz="4" w:space="0"/>
              <w:bottom w:val="single" w:color="000000" w:sz="4" w:space="0"/>
              <w:right w:val="single" w:color="000000" w:sz="4" w:space="0"/>
            </w:tcBorders>
            <w:vAlign w:val="center"/>
          </w:tcPr>
          <w:p w14:paraId="3C313906">
            <w:pPr>
              <w:widowControl/>
              <w:spacing w:before="24" w:after="24" w:line="240" w:lineRule="auto"/>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 xml:space="preserve">1 </w:t>
            </w:r>
          </w:p>
        </w:tc>
      </w:tr>
    </w:tbl>
    <w:p w14:paraId="171C76F6">
      <w:pPr>
        <w:pStyle w:val="69"/>
        <w:rPr>
          <w:rFonts w:hint="eastAsia"/>
        </w:rPr>
      </w:pPr>
      <w:r>
        <w:t>注：最小垂直照度和半柱面照度的计算点或测量点均位于道路中心线上距路面1．5m高度处。最小垂直照度需计算或测量通过该点垂直于路轴的平面上两个方向上的最小照度</w:t>
      </w:r>
    </w:p>
    <w:p w14:paraId="3A0C79A2">
      <w:pPr>
        <w:pStyle w:val="54"/>
        <w:snapToGrid w:val="0"/>
        <w:spacing w:before="240" w:beforeLines="100" w:after="0" w:afterLines="0"/>
        <w:outlineLvl w:val="4"/>
      </w:pPr>
      <w:r>
        <w:t>6.2.3 办公设施、综合防灾设施</w:t>
      </w:r>
    </w:p>
    <w:p w14:paraId="0BA31385">
      <w:pPr>
        <w:pStyle w:val="69"/>
        <w:rPr>
          <w:rFonts w:hint="eastAsia"/>
        </w:rPr>
      </w:pPr>
      <w:r>
        <w:t>各场所照明质量及功率密度</w:t>
      </w:r>
    </w:p>
    <w:tbl>
      <w:tblPr>
        <w:tblStyle w:val="30"/>
        <w:tblW w:w="4994" w:type="pct"/>
        <w:tblInd w:w="0" w:type="dxa"/>
        <w:tblLayout w:type="autofit"/>
        <w:tblCellMar>
          <w:top w:w="0" w:type="dxa"/>
          <w:left w:w="108" w:type="dxa"/>
          <w:bottom w:w="0" w:type="dxa"/>
          <w:right w:w="108" w:type="dxa"/>
        </w:tblCellMar>
      </w:tblPr>
      <w:tblGrid>
        <w:gridCol w:w="2638"/>
        <w:gridCol w:w="921"/>
        <w:gridCol w:w="1427"/>
        <w:gridCol w:w="1416"/>
        <w:gridCol w:w="1443"/>
        <w:gridCol w:w="1430"/>
      </w:tblGrid>
      <w:tr w14:paraId="52BBFD28">
        <w:tblPrEx>
          <w:tblCellMar>
            <w:top w:w="0" w:type="dxa"/>
            <w:left w:w="108" w:type="dxa"/>
            <w:bottom w:w="0" w:type="dxa"/>
            <w:right w:w="108" w:type="dxa"/>
          </w:tblCellMar>
        </w:tblPrEx>
        <w:trPr>
          <w:trHeight w:val="1143" w:hRule="atLeast"/>
          <w:tblHeader/>
        </w:trPr>
        <w:tc>
          <w:tcPr>
            <w:tcW w:w="2788" w:type="dxa"/>
            <w:tcBorders>
              <w:top w:val="single" w:color="000000" w:sz="4" w:space="0"/>
              <w:left w:val="single" w:color="000000" w:sz="4" w:space="0"/>
              <w:bottom w:val="single" w:color="000000" w:sz="4" w:space="0"/>
              <w:right w:val="single" w:color="000000" w:sz="4" w:space="0"/>
            </w:tcBorders>
            <w:vAlign w:val="center"/>
          </w:tcPr>
          <w:p w14:paraId="0A309CBA">
            <w:pPr>
              <w:pStyle w:val="71"/>
              <w:spacing w:before="24" w:after="24"/>
              <w:rPr>
                <w:rFonts w:cs="Times New Roman"/>
                <w:b/>
                <w:bCs/>
              </w:rPr>
            </w:pPr>
            <w:r>
              <w:rPr>
                <w:rFonts w:cs="Times New Roman"/>
                <w:b/>
                <w:bCs/>
              </w:rPr>
              <w:t>房间或场所</w:t>
            </w:r>
          </w:p>
        </w:tc>
        <w:tc>
          <w:tcPr>
            <w:tcW w:w="924" w:type="dxa"/>
            <w:tcBorders>
              <w:top w:val="single" w:color="000000" w:sz="4" w:space="0"/>
              <w:left w:val="nil"/>
              <w:bottom w:val="single" w:color="000000" w:sz="4" w:space="0"/>
              <w:right w:val="single" w:color="000000" w:sz="4" w:space="0"/>
            </w:tcBorders>
            <w:vAlign w:val="center"/>
          </w:tcPr>
          <w:p w14:paraId="05F94305">
            <w:pPr>
              <w:pStyle w:val="71"/>
              <w:spacing w:before="24" w:after="24"/>
              <w:rPr>
                <w:rFonts w:cs="Times New Roman"/>
                <w:b/>
                <w:bCs/>
              </w:rPr>
            </w:pPr>
            <w:r>
              <w:rPr>
                <w:rFonts w:cs="Times New Roman"/>
                <w:b/>
                <w:bCs/>
              </w:rPr>
              <w:t>照度标准（lx）</w:t>
            </w:r>
          </w:p>
        </w:tc>
        <w:tc>
          <w:tcPr>
            <w:tcW w:w="1477" w:type="dxa"/>
            <w:tcBorders>
              <w:top w:val="single" w:color="000000" w:sz="4" w:space="0"/>
              <w:left w:val="nil"/>
              <w:bottom w:val="single" w:color="000000" w:sz="4" w:space="0"/>
              <w:right w:val="single" w:color="000000" w:sz="4" w:space="0"/>
            </w:tcBorders>
            <w:vAlign w:val="center"/>
          </w:tcPr>
          <w:p w14:paraId="468CDA2D">
            <w:pPr>
              <w:pStyle w:val="71"/>
              <w:spacing w:before="24" w:after="24"/>
              <w:rPr>
                <w:rFonts w:cs="Times New Roman"/>
                <w:b/>
                <w:bCs/>
              </w:rPr>
            </w:pPr>
            <w:r>
              <w:rPr>
                <w:rFonts w:cs="Times New Roman"/>
                <w:b/>
                <w:bCs/>
              </w:rPr>
              <w:t>照明功率度限值（W/㎡）</w:t>
            </w:r>
          </w:p>
        </w:tc>
        <w:tc>
          <w:tcPr>
            <w:tcW w:w="1448" w:type="dxa"/>
            <w:tcBorders>
              <w:top w:val="single" w:color="000000" w:sz="4" w:space="0"/>
              <w:left w:val="nil"/>
              <w:bottom w:val="single" w:color="000000" w:sz="4" w:space="0"/>
              <w:right w:val="single" w:color="000000" w:sz="4" w:space="0"/>
            </w:tcBorders>
            <w:vAlign w:val="center"/>
          </w:tcPr>
          <w:p w14:paraId="249AD581">
            <w:pPr>
              <w:pStyle w:val="71"/>
              <w:spacing w:before="24" w:after="24"/>
              <w:rPr>
                <w:rFonts w:cs="Times New Roman"/>
                <w:b/>
                <w:bCs/>
              </w:rPr>
            </w:pPr>
            <w:r>
              <w:rPr>
                <w:rFonts w:cs="Times New Roman"/>
                <w:b/>
                <w:bCs/>
              </w:rPr>
              <w:t>光源显示指数（Ra）</w:t>
            </w:r>
          </w:p>
        </w:tc>
        <w:tc>
          <w:tcPr>
            <w:tcW w:w="1459" w:type="dxa"/>
            <w:tcBorders>
              <w:top w:val="single" w:color="000000" w:sz="4" w:space="0"/>
              <w:left w:val="nil"/>
              <w:bottom w:val="single" w:color="000000" w:sz="4" w:space="0"/>
              <w:right w:val="single" w:color="000000" w:sz="4" w:space="0"/>
            </w:tcBorders>
            <w:vAlign w:val="center"/>
          </w:tcPr>
          <w:p w14:paraId="62FD7194">
            <w:pPr>
              <w:pStyle w:val="71"/>
              <w:spacing w:before="24" w:after="24"/>
              <w:rPr>
                <w:rFonts w:cs="Times New Roman"/>
                <w:b/>
                <w:bCs/>
              </w:rPr>
            </w:pPr>
            <w:r>
              <w:rPr>
                <w:rFonts w:cs="Times New Roman"/>
                <w:b/>
                <w:bCs/>
              </w:rPr>
              <w:t>统一眩光值（UGR）</w:t>
            </w:r>
          </w:p>
        </w:tc>
        <w:tc>
          <w:tcPr>
            <w:tcW w:w="1463" w:type="dxa"/>
            <w:tcBorders>
              <w:top w:val="single" w:color="000000" w:sz="4" w:space="0"/>
              <w:left w:val="nil"/>
              <w:bottom w:val="single" w:color="000000" w:sz="4" w:space="0"/>
              <w:right w:val="single" w:color="000000" w:sz="4" w:space="0"/>
            </w:tcBorders>
            <w:vAlign w:val="center"/>
          </w:tcPr>
          <w:p w14:paraId="2FFB320E">
            <w:pPr>
              <w:pStyle w:val="71"/>
              <w:spacing w:before="24" w:after="24"/>
              <w:rPr>
                <w:rFonts w:cs="Times New Roman"/>
                <w:b/>
                <w:bCs/>
              </w:rPr>
            </w:pPr>
            <w:r>
              <w:rPr>
                <w:rFonts w:cs="Times New Roman"/>
                <w:b/>
                <w:bCs/>
              </w:rPr>
              <w:t>照度均匀度（Uo）</w:t>
            </w:r>
          </w:p>
        </w:tc>
      </w:tr>
      <w:tr w14:paraId="49D54873">
        <w:tblPrEx>
          <w:tblCellMar>
            <w:top w:w="0" w:type="dxa"/>
            <w:left w:w="108" w:type="dxa"/>
            <w:bottom w:w="0" w:type="dxa"/>
            <w:right w:w="108" w:type="dxa"/>
          </w:tblCellMar>
        </w:tblPrEx>
        <w:trPr>
          <w:trHeight w:val="525" w:hRule="atLeast"/>
        </w:trPr>
        <w:tc>
          <w:tcPr>
            <w:tcW w:w="2788" w:type="dxa"/>
            <w:tcBorders>
              <w:top w:val="single" w:color="000000" w:sz="4" w:space="0"/>
              <w:left w:val="single" w:color="000000" w:sz="4" w:space="0"/>
              <w:bottom w:val="single" w:color="000000" w:sz="4" w:space="0"/>
              <w:right w:val="single" w:color="000000" w:sz="4" w:space="0"/>
            </w:tcBorders>
            <w:vAlign w:val="center"/>
          </w:tcPr>
          <w:p w14:paraId="10EBB89B">
            <w:pPr>
              <w:pStyle w:val="71"/>
              <w:spacing w:before="24" w:after="24"/>
              <w:rPr>
                <w:rFonts w:cs="Times New Roman"/>
              </w:rPr>
            </w:pPr>
            <w:r>
              <w:rPr>
                <w:rFonts w:cs="Times New Roman"/>
              </w:rPr>
              <w:t>普通办公室</w:t>
            </w:r>
          </w:p>
        </w:tc>
        <w:tc>
          <w:tcPr>
            <w:tcW w:w="924" w:type="dxa"/>
            <w:tcBorders>
              <w:top w:val="single" w:color="000000" w:sz="4" w:space="0"/>
              <w:left w:val="nil"/>
              <w:bottom w:val="single" w:color="000000" w:sz="4" w:space="0"/>
              <w:right w:val="single" w:color="000000" w:sz="4" w:space="0"/>
            </w:tcBorders>
            <w:vAlign w:val="center"/>
          </w:tcPr>
          <w:p w14:paraId="3E15DA51">
            <w:pPr>
              <w:pStyle w:val="71"/>
              <w:spacing w:before="24" w:after="24"/>
              <w:rPr>
                <w:rFonts w:cs="Times New Roman"/>
              </w:rPr>
            </w:pPr>
            <w:r>
              <w:rPr>
                <w:rFonts w:cs="Times New Roman"/>
              </w:rPr>
              <w:t xml:space="preserve">300 </w:t>
            </w:r>
          </w:p>
        </w:tc>
        <w:tc>
          <w:tcPr>
            <w:tcW w:w="1477" w:type="dxa"/>
            <w:tcBorders>
              <w:top w:val="single" w:color="000000" w:sz="4" w:space="0"/>
              <w:left w:val="nil"/>
              <w:bottom w:val="single" w:color="000000" w:sz="4" w:space="0"/>
              <w:right w:val="single" w:color="000000" w:sz="4" w:space="0"/>
            </w:tcBorders>
            <w:vAlign w:val="center"/>
          </w:tcPr>
          <w:p w14:paraId="67651E41">
            <w:pPr>
              <w:pStyle w:val="71"/>
              <w:spacing w:before="24" w:after="24"/>
              <w:rPr>
                <w:rFonts w:cs="Times New Roman"/>
              </w:rPr>
            </w:pPr>
            <w:r>
              <w:rPr>
                <w:rFonts w:cs="Times New Roman"/>
              </w:rPr>
              <w:t>≤8.0</w:t>
            </w:r>
          </w:p>
        </w:tc>
        <w:tc>
          <w:tcPr>
            <w:tcW w:w="1448" w:type="dxa"/>
            <w:tcBorders>
              <w:top w:val="single" w:color="000000" w:sz="4" w:space="0"/>
              <w:left w:val="nil"/>
              <w:bottom w:val="single" w:color="000000" w:sz="4" w:space="0"/>
              <w:right w:val="single" w:color="000000" w:sz="4" w:space="0"/>
            </w:tcBorders>
            <w:vAlign w:val="center"/>
          </w:tcPr>
          <w:p w14:paraId="2D4692BC">
            <w:pPr>
              <w:pStyle w:val="71"/>
              <w:spacing w:before="24" w:after="24"/>
              <w:rPr>
                <w:rFonts w:cs="Times New Roman"/>
              </w:rPr>
            </w:pPr>
            <w:r>
              <w:rPr>
                <w:rFonts w:cs="Times New Roman"/>
              </w:rPr>
              <w:t xml:space="preserve">19 </w:t>
            </w:r>
          </w:p>
        </w:tc>
        <w:tc>
          <w:tcPr>
            <w:tcW w:w="1459" w:type="dxa"/>
            <w:tcBorders>
              <w:top w:val="single" w:color="000000" w:sz="4" w:space="0"/>
              <w:left w:val="nil"/>
              <w:bottom w:val="single" w:color="000000" w:sz="4" w:space="0"/>
              <w:right w:val="single" w:color="000000" w:sz="4" w:space="0"/>
            </w:tcBorders>
            <w:vAlign w:val="center"/>
          </w:tcPr>
          <w:p w14:paraId="0777F816">
            <w:pPr>
              <w:pStyle w:val="71"/>
              <w:spacing w:before="24" w:after="24"/>
              <w:rPr>
                <w:rFonts w:cs="Times New Roman"/>
              </w:rPr>
            </w:pPr>
            <w:r>
              <w:rPr>
                <w:rFonts w:cs="Times New Roman"/>
              </w:rPr>
              <w:t xml:space="preserve">0.60 </w:t>
            </w:r>
          </w:p>
        </w:tc>
        <w:tc>
          <w:tcPr>
            <w:tcW w:w="1463" w:type="dxa"/>
            <w:tcBorders>
              <w:top w:val="single" w:color="000000" w:sz="4" w:space="0"/>
              <w:left w:val="nil"/>
              <w:bottom w:val="single" w:color="000000" w:sz="4" w:space="0"/>
              <w:right w:val="single" w:color="000000" w:sz="4" w:space="0"/>
            </w:tcBorders>
            <w:vAlign w:val="center"/>
          </w:tcPr>
          <w:p w14:paraId="207529E7">
            <w:pPr>
              <w:pStyle w:val="71"/>
              <w:spacing w:before="24" w:after="24"/>
              <w:rPr>
                <w:rFonts w:cs="Times New Roman"/>
              </w:rPr>
            </w:pPr>
            <w:r>
              <w:rPr>
                <w:rFonts w:cs="Times New Roman"/>
              </w:rPr>
              <w:t xml:space="preserve">80 </w:t>
            </w:r>
          </w:p>
        </w:tc>
      </w:tr>
      <w:tr w14:paraId="3D789929">
        <w:tblPrEx>
          <w:tblCellMar>
            <w:top w:w="0" w:type="dxa"/>
            <w:left w:w="108" w:type="dxa"/>
            <w:bottom w:w="0" w:type="dxa"/>
            <w:right w:w="108" w:type="dxa"/>
          </w:tblCellMar>
        </w:tblPrEx>
        <w:trPr>
          <w:trHeight w:val="525" w:hRule="atLeast"/>
        </w:trPr>
        <w:tc>
          <w:tcPr>
            <w:tcW w:w="2788" w:type="dxa"/>
            <w:tcBorders>
              <w:top w:val="single" w:color="000000" w:sz="4" w:space="0"/>
              <w:left w:val="single" w:color="000000" w:sz="4" w:space="0"/>
              <w:bottom w:val="single" w:color="000000" w:sz="4" w:space="0"/>
              <w:right w:val="single" w:color="000000" w:sz="4" w:space="0"/>
            </w:tcBorders>
            <w:vAlign w:val="center"/>
          </w:tcPr>
          <w:p w14:paraId="16495333">
            <w:pPr>
              <w:pStyle w:val="71"/>
              <w:spacing w:before="24" w:after="24"/>
              <w:rPr>
                <w:rFonts w:cs="Times New Roman"/>
              </w:rPr>
            </w:pPr>
            <w:r>
              <w:rPr>
                <w:rFonts w:cs="Times New Roman"/>
              </w:rPr>
              <w:t>高档办公室</w:t>
            </w:r>
          </w:p>
        </w:tc>
        <w:tc>
          <w:tcPr>
            <w:tcW w:w="924" w:type="dxa"/>
            <w:tcBorders>
              <w:top w:val="single" w:color="000000" w:sz="4" w:space="0"/>
              <w:left w:val="nil"/>
              <w:bottom w:val="single" w:color="000000" w:sz="4" w:space="0"/>
              <w:right w:val="single" w:color="000000" w:sz="4" w:space="0"/>
            </w:tcBorders>
            <w:vAlign w:val="center"/>
          </w:tcPr>
          <w:p w14:paraId="160982D4">
            <w:pPr>
              <w:pStyle w:val="71"/>
              <w:spacing w:before="24" w:after="24"/>
              <w:rPr>
                <w:rFonts w:cs="Times New Roman"/>
              </w:rPr>
            </w:pPr>
            <w:r>
              <w:rPr>
                <w:rFonts w:cs="Times New Roman"/>
              </w:rPr>
              <w:t xml:space="preserve">500 </w:t>
            </w:r>
          </w:p>
        </w:tc>
        <w:tc>
          <w:tcPr>
            <w:tcW w:w="1477" w:type="dxa"/>
            <w:tcBorders>
              <w:top w:val="single" w:color="000000" w:sz="4" w:space="0"/>
              <w:left w:val="nil"/>
              <w:bottom w:val="single" w:color="000000" w:sz="4" w:space="0"/>
              <w:right w:val="single" w:color="000000" w:sz="4" w:space="0"/>
            </w:tcBorders>
            <w:vAlign w:val="center"/>
          </w:tcPr>
          <w:p w14:paraId="05ECB472">
            <w:pPr>
              <w:pStyle w:val="71"/>
              <w:spacing w:before="24" w:after="24"/>
              <w:rPr>
                <w:rFonts w:cs="Times New Roman"/>
              </w:rPr>
            </w:pPr>
            <w:r>
              <w:rPr>
                <w:rFonts w:cs="Times New Roman"/>
              </w:rPr>
              <w:t>≤13.5</w:t>
            </w:r>
          </w:p>
        </w:tc>
        <w:tc>
          <w:tcPr>
            <w:tcW w:w="1448" w:type="dxa"/>
            <w:tcBorders>
              <w:top w:val="single" w:color="000000" w:sz="4" w:space="0"/>
              <w:left w:val="nil"/>
              <w:bottom w:val="single" w:color="000000" w:sz="4" w:space="0"/>
              <w:right w:val="single" w:color="000000" w:sz="4" w:space="0"/>
            </w:tcBorders>
            <w:vAlign w:val="center"/>
          </w:tcPr>
          <w:p w14:paraId="64D31A15">
            <w:pPr>
              <w:pStyle w:val="71"/>
              <w:spacing w:before="24" w:after="24"/>
              <w:rPr>
                <w:rFonts w:cs="Times New Roman"/>
              </w:rPr>
            </w:pPr>
            <w:r>
              <w:rPr>
                <w:rFonts w:cs="Times New Roman"/>
              </w:rPr>
              <w:t xml:space="preserve">19 </w:t>
            </w:r>
          </w:p>
        </w:tc>
        <w:tc>
          <w:tcPr>
            <w:tcW w:w="1459" w:type="dxa"/>
            <w:tcBorders>
              <w:top w:val="single" w:color="000000" w:sz="4" w:space="0"/>
              <w:left w:val="nil"/>
              <w:bottom w:val="single" w:color="000000" w:sz="4" w:space="0"/>
              <w:right w:val="single" w:color="000000" w:sz="4" w:space="0"/>
            </w:tcBorders>
            <w:vAlign w:val="center"/>
          </w:tcPr>
          <w:p w14:paraId="119C78F7">
            <w:pPr>
              <w:pStyle w:val="71"/>
              <w:spacing w:before="24" w:after="24"/>
              <w:rPr>
                <w:rFonts w:cs="Times New Roman"/>
              </w:rPr>
            </w:pPr>
            <w:r>
              <w:rPr>
                <w:rFonts w:cs="Times New Roman"/>
              </w:rPr>
              <w:t xml:space="preserve">0.60 </w:t>
            </w:r>
          </w:p>
        </w:tc>
        <w:tc>
          <w:tcPr>
            <w:tcW w:w="1463" w:type="dxa"/>
            <w:tcBorders>
              <w:top w:val="single" w:color="000000" w:sz="4" w:space="0"/>
              <w:left w:val="nil"/>
              <w:bottom w:val="single" w:color="000000" w:sz="4" w:space="0"/>
              <w:right w:val="single" w:color="000000" w:sz="4" w:space="0"/>
            </w:tcBorders>
            <w:vAlign w:val="center"/>
          </w:tcPr>
          <w:p w14:paraId="3AD94D55">
            <w:pPr>
              <w:pStyle w:val="71"/>
              <w:spacing w:before="24" w:after="24"/>
              <w:rPr>
                <w:rFonts w:cs="Times New Roman"/>
              </w:rPr>
            </w:pPr>
            <w:r>
              <w:rPr>
                <w:rFonts w:cs="Times New Roman"/>
              </w:rPr>
              <w:t xml:space="preserve">80 </w:t>
            </w:r>
          </w:p>
        </w:tc>
      </w:tr>
      <w:tr w14:paraId="4D2B45B3">
        <w:tblPrEx>
          <w:tblCellMar>
            <w:top w:w="0" w:type="dxa"/>
            <w:left w:w="108" w:type="dxa"/>
            <w:bottom w:w="0" w:type="dxa"/>
            <w:right w:w="108" w:type="dxa"/>
          </w:tblCellMar>
        </w:tblPrEx>
        <w:trPr>
          <w:trHeight w:val="525" w:hRule="atLeast"/>
        </w:trPr>
        <w:tc>
          <w:tcPr>
            <w:tcW w:w="2788" w:type="dxa"/>
            <w:tcBorders>
              <w:top w:val="single" w:color="000000" w:sz="4" w:space="0"/>
              <w:left w:val="single" w:color="000000" w:sz="4" w:space="0"/>
              <w:bottom w:val="single" w:color="000000" w:sz="4" w:space="0"/>
              <w:right w:val="single" w:color="000000" w:sz="4" w:space="0"/>
            </w:tcBorders>
            <w:vAlign w:val="center"/>
          </w:tcPr>
          <w:p w14:paraId="56988738">
            <w:pPr>
              <w:pStyle w:val="71"/>
              <w:spacing w:before="24" w:after="24"/>
              <w:rPr>
                <w:rFonts w:cs="Times New Roman"/>
              </w:rPr>
            </w:pPr>
            <w:r>
              <w:rPr>
                <w:rFonts w:cs="Times New Roman"/>
              </w:rPr>
              <w:t>会议室</w:t>
            </w:r>
          </w:p>
        </w:tc>
        <w:tc>
          <w:tcPr>
            <w:tcW w:w="924" w:type="dxa"/>
            <w:tcBorders>
              <w:top w:val="single" w:color="000000" w:sz="4" w:space="0"/>
              <w:left w:val="nil"/>
              <w:bottom w:val="single" w:color="000000" w:sz="4" w:space="0"/>
              <w:right w:val="single" w:color="000000" w:sz="4" w:space="0"/>
            </w:tcBorders>
            <w:vAlign w:val="center"/>
          </w:tcPr>
          <w:p w14:paraId="34885A91">
            <w:pPr>
              <w:pStyle w:val="71"/>
              <w:spacing w:before="24" w:after="24"/>
              <w:rPr>
                <w:rFonts w:cs="Times New Roman"/>
              </w:rPr>
            </w:pPr>
            <w:r>
              <w:rPr>
                <w:rFonts w:cs="Times New Roman"/>
              </w:rPr>
              <w:t xml:space="preserve">300 </w:t>
            </w:r>
          </w:p>
        </w:tc>
        <w:tc>
          <w:tcPr>
            <w:tcW w:w="1477" w:type="dxa"/>
            <w:tcBorders>
              <w:top w:val="single" w:color="000000" w:sz="4" w:space="0"/>
              <w:left w:val="nil"/>
              <w:bottom w:val="single" w:color="000000" w:sz="4" w:space="0"/>
              <w:right w:val="single" w:color="000000" w:sz="4" w:space="0"/>
            </w:tcBorders>
            <w:vAlign w:val="center"/>
          </w:tcPr>
          <w:p w14:paraId="6E0743BD">
            <w:pPr>
              <w:pStyle w:val="71"/>
              <w:spacing w:before="24" w:after="24"/>
              <w:rPr>
                <w:rFonts w:cs="Times New Roman"/>
              </w:rPr>
            </w:pPr>
            <w:r>
              <w:rPr>
                <w:rFonts w:cs="Times New Roman"/>
              </w:rPr>
              <w:t>≤10.0</w:t>
            </w:r>
          </w:p>
        </w:tc>
        <w:tc>
          <w:tcPr>
            <w:tcW w:w="1448" w:type="dxa"/>
            <w:tcBorders>
              <w:top w:val="single" w:color="000000" w:sz="4" w:space="0"/>
              <w:left w:val="nil"/>
              <w:bottom w:val="single" w:color="000000" w:sz="4" w:space="0"/>
              <w:right w:val="single" w:color="000000" w:sz="4" w:space="0"/>
            </w:tcBorders>
            <w:vAlign w:val="center"/>
          </w:tcPr>
          <w:p w14:paraId="27BEAC69">
            <w:pPr>
              <w:pStyle w:val="71"/>
              <w:spacing w:before="24" w:after="24"/>
              <w:rPr>
                <w:rFonts w:cs="Times New Roman"/>
              </w:rPr>
            </w:pPr>
            <w:r>
              <w:rPr>
                <w:rFonts w:cs="Times New Roman"/>
              </w:rPr>
              <w:t xml:space="preserve">19 </w:t>
            </w:r>
          </w:p>
        </w:tc>
        <w:tc>
          <w:tcPr>
            <w:tcW w:w="1459" w:type="dxa"/>
            <w:tcBorders>
              <w:top w:val="single" w:color="000000" w:sz="4" w:space="0"/>
              <w:left w:val="nil"/>
              <w:bottom w:val="single" w:color="000000" w:sz="4" w:space="0"/>
              <w:right w:val="single" w:color="000000" w:sz="4" w:space="0"/>
            </w:tcBorders>
            <w:vAlign w:val="center"/>
          </w:tcPr>
          <w:p w14:paraId="58E910A2">
            <w:pPr>
              <w:pStyle w:val="71"/>
              <w:spacing w:before="24" w:after="24"/>
              <w:rPr>
                <w:rFonts w:cs="Times New Roman"/>
              </w:rPr>
            </w:pPr>
            <w:r>
              <w:rPr>
                <w:rFonts w:cs="Times New Roman"/>
              </w:rPr>
              <w:t xml:space="preserve">0.60 </w:t>
            </w:r>
          </w:p>
        </w:tc>
        <w:tc>
          <w:tcPr>
            <w:tcW w:w="1463" w:type="dxa"/>
            <w:tcBorders>
              <w:top w:val="single" w:color="000000" w:sz="4" w:space="0"/>
              <w:left w:val="nil"/>
              <w:bottom w:val="single" w:color="000000" w:sz="4" w:space="0"/>
              <w:right w:val="single" w:color="000000" w:sz="4" w:space="0"/>
            </w:tcBorders>
            <w:vAlign w:val="center"/>
          </w:tcPr>
          <w:p w14:paraId="0030048D">
            <w:pPr>
              <w:pStyle w:val="71"/>
              <w:spacing w:before="24" w:after="24"/>
              <w:rPr>
                <w:rFonts w:cs="Times New Roman"/>
              </w:rPr>
            </w:pPr>
            <w:r>
              <w:rPr>
                <w:rFonts w:cs="Times New Roman"/>
              </w:rPr>
              <w:t xml:space="preserve">80 </w:t>
            </w:r>
          </w:p>
        </w:tc>
      </w:tr>
      <w:tr w14:paraId="0EF4D3F7">
        <w:tblPrEx>
          <w:tblCellMar>
            <w:top w:w="0" w:type="dxa"/>
            <w:left w:w="108" w:type="dxa"/>
            <w:bottom w:w="0" w:type="dxa"/>
            <w:right w:w="108" w:type="dxa"/>
          </w:tblCellMar>
        </w:tblPrEx>
        <w:trPr>
          <w:trHeight w:val="525" w:hRule="atLeast"/>
        </w:trPr>
        <w:tc>
          <w:tcPr>
            <w:tcW w:w="2788" w:type="dxa"/>
            <w:tcBorders>
              <w:top w:val="single" w:color="000000" w:sz="4" w:space="0"/>
              <w:left w:val="single" w:color="000000" w:sz="4" w:space="0"/>
              <w:bottom w:val="single" w:color="000000" w:sz="4" w:space="0"/>
              <w:right w:val="single" w:color="000000" w:sz="4" w:space="0"/>
            </w:tcBorders>
            <w:vAlign w:val="center"/>
          </w:tcPr>
          <w:p w14:paraId="101DD1E0">
            <w:pPr>
              <w:pStyle w:val="71"/>
              <w:spacing w:before="24" w:after="24"/>
              <w:rPr>
                <w:rFonts w:cs="Times New Roman"/>
              </w:rPr>
            </w:pPr>
            <w:r>
              <w:rPr>
                <w:rFonts w:cs="Times New Roman"/>
              </w:rPr>
              <w:t>视频会议室</w:t>
            </w:r>
          </w:p>
        </w:tc>
        <w:tc>
          <w:tcPr>
            <w:tcW w:w="924" w:type="dxa"/>
            <w:tcBorders>
              <w:top w:val="single" w:color="000000" w:sz="4" w:space="0"/>
              <w:left w:val="nil"/>
              <w:bottom w:val="single" w:color="000000" w:sz="4" w:space="0"/>
              <w:right w:val="single" w:color="000000" w:sz="4" w:space="0"/>
            </w:tcBorders>
            <w:vAlign w:val="center"/>
          </w:tcPr>
          <w:p w14:paraId="63094B2D">
            <w:pPr>
              <w:pStyle w:val="71"/>
              <w:spacing w:before="24" w:after="24"/>
              <w:rPr>
                <w:rFonts w:cs="Times New Roman"/>
              </w:rPr>
            </w:pPr>
            <w:r>
              <w:rPr>
                <w:rFonts w:cs="Times New Roman"/>
              </w:rPr>
              <w:t xml:space="preserve">750 </w:t>
            </w:r>
          </w:p>
        </w:tc>
        <w:tc>
          <w:tcPr>
            <w:tcW w:w="1477" w:type="dxa"/>
            <w:tcBorders>
              <w:top w:val="single" w:color="000000" w:sz="4" w:space="0"/>
              <w:left w:val="nil"/>
              <w:bottom w:val="single" w:color="000000" w:sz="4" w:space="0"/>
              <w:right w:val="single" w:color="000000" w:sz="4" w:space="0"/>
            </w:tcBorders>
            <w:vAlign w:val="center"/>
          </w:tcPr>
          <w:p w14:paraId="7695DE27">
            <w:pPr>
              <w:pStyle w:val="71"/>
              <w:spacing w:before="24" w:after="24"/>
              <w:rPr>
                <w:rFonts w:cs="Times New Roman"/>
              </w:rPr>
            </w:pPr>
            <w:r>
              <w:rPr>
                <w:rFonts w:cs="Times New Roman"/>
              </w:rPr>
              <w:t>≤13.5</w:t>
            </w:r>
          </w:p>
        </w:tc>
        <w:tc>
          <w:tcPr>
            <w:tcW w:w="1448" w:type="dxa"/>
            <w:tcBorders>
              <w:top w:val="single" w:color="000000" w:sz="4" w:space="0"/>
              <w:left w:val="nil"/>
              <w:bottom w:val="single" w:color="000000" w:sz="4" w:space="0"/>
              <w:right w:val="single" w:color="000000" w:sz="4" w:space="0"/>
            </w:tcBorders>
            <w:vAlign w:val="center"/>
          </w:tcPr>
          <w:p w14:paraId="6E787214">
            <w:pPr>
              <w:pStyle w:val="71"/>
              <w:spacing w:before="24" w:after="24"/>
              <w:rPr>
                <w:rFonts w:cs="Times New Roman"/>
              </w:rPr>
            </w:pPr>
            <w:r>
              <w:rPr>
                <w:rFonts w:cs="Times New Roman"/>
              </w:rPr>
              <w:t xml:space="preserve">19 </w:t>
            </w:r>
          </w:p>
        </w:tc>
        <w:tc>
          <w:tcPr>
            <w:tcW w:w="1459" w:type="dxa"/>
            <w:tcBorders>
              <w:top w:val="single" w:color="000000" w:sz="4" w:space="0"/>
              <w:left w:val="nil"/>
              <w:bottom w:val="single" w:color="000000" w:sz="4" w:space="0"/>
              <w:right w:val="single" w:color="000000" w:sz="4" w:space="0"/>
            </w:tcBorders>
            <w:vAlign w:val="center"/>
          </w:tcPr>
          <w:p w14:paraId="1DBD6978">
            <w:pPr>
              <w:pStyle w:val="71"/>
              <w:spacing w:before="24" w:after="24"/>
              <w:rPr>
                <w:rFonts w:cs="Times New Roman"/>
              </w:rPr>
            </w:pPr>
            <w:r>
              <w:rPr>
                <w:rFonts w:cs="Times New Roman"/>
              </w:rPr>
              <w:t xml:space="preserve">0.60 </w:t>
            </w:r>
          </w:p>
        </w:tc>
        <w:tc>
          <w:tcPr>
            <w:tcW w:w="1463" w:type="dxa"/>
            <w:tcBorders>
              <w:top w:val="single" w:color="000000" w:sz="4" w:space="0"/>
              <w:left w:val="nil"/>
              <w:bottom w:val="single" w:color="000000" w:sz="4" w:space="0"/>
              <w:right w:val="single" w:color="000000" w:sz="4" w:space="0"/>
            </w:tcBorders>
            <w:vAlign w:val="center"/>
          </w:tcPr>
          <w:p w14:paraId="0683F258">
            <w:pPr>
              <w:pStyle w:val="71"/>
              <w:spacing w:before="24" w:after="24"/>
              <w:rPr>
                <w:rFonts w:cs="Times New Roman"/>
              </w:rPr>
            </w:pPr>
            <w:r>
              <w:rPr>
                <w:rFonts w:cs="Times New Roman"/>
              </w:rPr>
              <w:t xml:space="preserve">80 </w:t>
            </w:r>
          </w:p>
        </w:tc>
      </w:tr>
      <w:tr w14:paraId="1CBEFA12">
        <w:tblPrEx>
          <w:tblCellMar>
            <w:top w:w="0" w:type="dxa"/>
            <w:left w:w="108" w:type="dxa"/>
            <w:bottom w:w="0" w:type="dxa"/>
            <w:right w:w="108" w:type="dxa"/>
          </w:tblCellMar>
        </w:tblPrEx>
        <w:trPr>
          <w:trHeight w:val="525" w:hRule="atLeast"/>
        </w:trPr>
        <w:tc>
          <w:tcPr>
            <w:tcW w:w="2788" w:type="dxa"/>
            <w:tcBorders>
              <w:top w:val="single" w:color="000000" w:sz="4" w:space="0"/>
              <w:left w:val="single" w:color="000000" w:sz="4" w:space="0"/>
              <w:bottom w:val="single" w:color="000000" w:sz="4" w:space="0"/>
              <w:right w:val="single" w:color="000000" w:sz="4" w:space="0"/>
            </w:tcBorders>
            <w:vAlign w:val="center"/>
          </w:tcPr>
          <w:p w14:paraId="617474D5">
            <w:pPr>
              <w:pStyle w:val="71"/>
              <w:spacing w:before="24" w:after="24"/>
              <w:rPr>
                <w:rFonts w:cs="Times New Roman"/>
              </w:rPr>
            </w:pPr>
            <w:r>
              <w:rPr>
                <w:rFonts w:cs="Times New Roman"/>
              </w:rPr>
              <w:t>接待室、前台</w:t>
            </w:r>
          </w:p>
        </w:tc>
        <w:tc>
          <w:tcPr>
            <w:tcW w:w="924" w:type="dxa"/>
            <w:tcBorders>
              <w:top w:val="single" w:color="000000" w:sz="4" w:space="0"/>
              <w:left w:val="nil"/>
              <w:bottom w:val="single" w:color="000000" w:sz="4" w:space="0"/>
              <w:right w:val="single" w:color="000000" w:sz="4" w:space="0"/>
            </w:tcBorders>
            <w:vAlign w:val="center"/>
          </w:tcPr>
          <w:p w14:paraId="4BB301DE">
            <w:pPr>
              <w:pStyle w:val="71"/>
              <w:spacing w:before="24" w:after="24"/>
              <w:rPr>
                <w:rFonts w:cs="Times New Roman"/>
              </w:rPr>
            </w:pPr>
            <w:r>
              <w:rPr>
                <w:rFonts w:cs="Times New Roman"/>
              </w:rPr>
              <w:t xml:space="preserve">200 </w:t>
            </w:r>
          </w:p>
        </w:tc>
        <w:tc>
          <w:tcPr>
            <w:tcW w:w="1477" w:type="dxa"/>
            <w:tcBorders>
              <w:top w:val="single" w:color="000000" w:sz="4" w:space="0"/>
              <w:left w:val="nil"/>
              <w:bottom w:val="single" w:color="000000" w:sz="4" w:space="0"/>
              <w:right w:val="single" w:color="000000" w:sz="4" w:space="0"/>
            </w:tcBorders>
            <w:vAlign w:val="center"/>
          </w:tcPr>
          <w:p w14:paraId="2D5B9078">
            <w:pPr>
              <w:pStyle w:val="71"/>
              <w:spacing w:before="24" w:after="24"/>
              <w:rPr>
                <w:rFonts w:cs="Times New Roman"/>
              </w:rPr>
            </w:pPr>
            <w:r>
              <w:rPr>
                <w:rFonts w:cs="Times New Roman"/>
              </w:rPr>
              <w:t>≤8.0</w:t>
            </w:r>
          </w:p>
        </w:tc>
        <w:tc>
          <w:tcPr>
            <w:tcW w:w="1448" w:type="dxa"/>
            <w:tcBorders>
              <w:top w:val="single" w:color="000000" w:sz="4" w:space="0"/>
              <w:left w:val="nil"/>
              <w:bottom w:val="single" w:color="000000" w:sz="4" w:space="0"/>
              <w:right w:val="single" w:color="000000" w:sz="4" w:space="0"/>
            </w:tcBorders>
            <w:vAlign w:val="center"/>
          </w:tcPr>
          <w:p w14:paraId="2CC217DF">
            <w:pPr>
              <w:pStyle w:val="71"/>
              <w:spacing w:before="24" w:after="24"/>
              <w:rPr>
                <w:rFonts w:cs="Times New Roman"/>
              </w:rPr>
            </w:pPr>
            <w:r>
              <w:rPr>
                <w:rFonts w:cs="Times New Roman"/>
              </w:rPr>
              <w:t>/</w:t>
            </w:r>
          </w:p>
        </w:tc>
        <w:tc>
          <w:tcPr>
            <w:tcW w:w="1459" w:type="dxa"/>
            <w:tcBorders>
              <w:top w:val="single" w:color="000000" w:sz="4" w:space="0"/>
              <w:left w:val="nil"/>
              <w:bottom w:val="single" w:color="000000" w:sz="4" w:space="0"/>
              <w:right w:val="single" w:color="000000" w:sz="4" w:space="0"/>
            </w:tcBorders>
            <w:vAlign w:val="center"/>
          </w:tcPr>
          <w:p w14:paraId="2D1A9C68">
            <w:pPr>
              <w:pStyle w:val="71"/>
              <w:spacing w:before="24" w:after="24"/>
              <w:rPr>
                <w:rFonts w:cs="Times New Roman"/>
              </w:rPr>
            </w:pPr>
            <w:r>
              <w:rPr>
                <w:rFonts w:cs="Times New Roman"/>
              </w:rPr>
              <w:t xml:space="preserve">0.40 </w:t>
            </w:r>
          </w:p>
        </w:tc>
        <w:tc>
          <w:tcPr>
            <w:tcW w:w="1463" w:type="dxa"/>
            <w:tcBorders>
              <w:top w:val="single" w:color="000000" w:sz="4" w:space="0"/>
              <w:left w:val="nil"/>
              <w:bottom w:val="single" w:color="000000" w:sz="4" w:space="0"/>
              <w:right w:val="single" w:color="000000" w:sz="4" w:space="0"/>
            </w:tcBorders>
            <w:vAlign w:val="center"/>
          </w:tcPr>
          <w:p w14:paraId="70EF05D0">
            <w:pPr>
              <w:pStyle w:val="71"/>
              <w:spacing w:before="24" w:after="24"/>
              <w:rPr>
                <w:rFonts w:cs="Times New Roman"/>
              </w:rPr>
            </w:pPr>
            <w:r>
              <w:rPr>
                <w:rFonts w:cs="Times New Roman"/>
              </w:rPr>
              <w:t xml:space="preserve">80 </w:t>
            </w:r>
          </w:p>
        </w:tc>
      </w:tr>
      <w:tr w14:paraId="587BD468">
        <w:tblPrEx>
          <w:tblCellMar>
            <w:top w:w="0" w:type="dxa"/>
            <w:left w:w="108" w:type="dxa"/>
            <w:bottom w:w="0" w:type="dxa"/>
            <w:right w:w="108" w:type="dxa"/>
          </w:tblCellMar>
        </w:tblPrEx>
        <w:trPr>
          <w:trHeight w:val="525" w:hRule="atLeast"/>
        </w:trPr>
        <w:tc>
          <w:tcPr>
            <w:tcW w:w="2788" w:type="dxa"/>
            <w:tcBorders>
              <w:top w:val="single" w:color="000000" w:sz="4" w:space="0"/>
              <w:left w:val="single" w:color="000000" w:sz="4" w:space="0"/>
              <w:bottom w:val="single" w:color="000000" w:sz="4" w:space="0"/>
              <w:right w:val="single" w:color="000000" w:sz="4" w:space="0"/>
            </w:tcBorders>
            <w:vAlign w:val="center"/>
          </w:tcPr>
          <w:p w14:paraId="658C419B">
            <w:pPr>
              <w:pStyle w:val="71"/>
              <w:spacing w:before="24" w:after="24"/>
              <w:rPr>
                <w:rFonts w:cs="Times New Roman"/>
              </w:rPr>
            </w:pPr>
            <w:r>
              <w:rPr>
                <w:rFonts w:cs="Times New Roman"/>
              </w:rPr>
              <w:t>服务大厅、营业厅</w:t>
            </w:r>
          </w:p>
        </w:tc>
        <w:tc>
          <w:tcPr>
            <w:tcW w:w="924" w:type="dxa"/>
            <w:tcBorders>
              <w:top w:val="single" w:color="000000" w:sz="4" w:space="0"/>
              <w:left w:val="nil"/>
              <w:bottom w:val="single" w:color="000000" w:sz="4" w:space="0"/>
              <w:right w:val="single" w:color="000000" w:sz="4" w:space="0"/>
            </w:tcBorders>
            <w:vAlign w:val="center"/>
          </w:tcPr>
          <w:p w14:paraId="50BDB292">
            <w:pPr>
              <w:pStyle w:val="71"/>
              <w:spacing w:before="24" w:after="24"/>
              <w:rPr>
                <w:rFonts w:cs="Times New Roman"/>
              </w:rPr>
            </w:pPr>
            <w:r>
              <w:rPr>
                <w:rFonts w:cs="Times New Roman"/>
              </w:rPr>
              <w:t xml:space="preserve">300 </w:t>
            </w:r>
          </w:p>
        </w:tc>
        <w:tc>
          <w:tcPr>
            <w:tcW w:w="1477" w:type="dxa"/>
            <w:tcBorders>
              <w:top w:val="single" w:color="000000" w:sz="4" w:space="0"/>
              <w:left w:val="nil"/>
              <w:bottom w:val="single" w:color="000000" w:sz="4" w:space="0"/>
              <w:right w:val="single" w:color="000000" w:sz="4" w:space="0"/>
            </w:tcBorders>
            <w:vAlign w:val="center"/>
          </w:tcPr>
          <w:p w14:paraId="18786E06">
            <w:pPr>
              <w:pStyle w:val="71"/>
              <w:spacing w:before="24" w:after="24"/>
              <w:rPr>
                <w:rFonts w:cs="Times New Roman"/>
              </w:rPr>
            </w:pPr>
            <w:r>
              <w:rPr>
                <w:rFonts w:cs="Times New Roman"/>
              </w:rPr>
              <w:t>≤10.0</w:t>
            </w:r>
          </w:p>
        </w:tc>
        <w:tc>
          <w:tcPr>
            <w:tcW w:w="1448" w:type="dxa"/>
            <w:tcBorders>
              <w:top w:val="single" w:color="000000" w:sz="4" w:space="0"/>
              <w:left w:val="nil"/>
              <w:bottom w:val="single" w:color="000000" w:sz="4" w:space="0"/>
              <w:right w:val="single" w:color="000000" w:sz="4" w:space="0"/>
            </w:tcBorders>
            <w:vAlign w:val="center"/>
          </w:tcPr>
          <w:p w14:paraId="5F218DA1">
            <w:pPr>
              <w:pStyle w:val="71"/>
              <w:spacing w:before="24" w:after="24"/>
              <w:rPr>
                <w:rFonts w:cs="Times New Roman"/>
              </w:rPr>
            </w:pPr>
            <w:r>
              <w:rPr>
                <w:rFonts w:cs="Times New Roman"/>
              </w:rPr>
              <w:t xml:space="preserve">22 </w:t>
            </w:r>
          </w:p>
        </w:tc>
        <w:tc>
          <w:tcPr>
            <w:tcW w:w="1459" w:type="dxa"/>
            <w:tcBorders>
              <w:top w:val="single" w:color="000000" w:sz="4" w:space="0"/>
              <w:left w:val="nil"/>
              <w:bottom w:val="single" w:color="000000" w:sz="4" w:space="0"/>
              <w:right w:val="single" w:color="000000" w:sz="4" w:space="0"/>
            </w:tcBorders>
            <w:vAlign w:val="center"/>
          </w:tcPr>
          <w:p w14:paraId="25435532">
            <w:pPr>
              <w:pStyle w:val="71"/>
              <w:spacing w:before="24" w:after="24"/>
              <w:rPr>
                <w:rFonts w:cs="Times New Roman"/>
              </w:rPr>
            </w:pPr>
            <w:r>
              <w:rPr>
                <w:rFonts w:cs="Times New Roman"/>
              </w:rPr>
              <w:t xml:space="preserve">0.40 </w:t>
            </w:r>
          </w:p>
        </w:tc>
        <w:tc>
          <w:tcPr>
            <w:tcW w:w="1463" w:type="dxa"/>
            <w:tcBorders>
              <w:top w:val="single" w:color="000000" w:sz="4" w:space="0"/>
              <w:left w:val="nil"/>
              <w:bottom w:val="single" w:color="000000" w:sz="4" w:space="0"/>
              <w:right w:val="single" w:color="000000" w:sz="4" w:space="0"/>
            </w:tcBorders>
            <w:vAlign w:val="center"/>
          </w:tcPr>
          <w:p w14:paraId="232834BC">
            <w:pPr>
              <w:pStyle w:val="71"/>
              <w:spacing w:before="24" w:after="24"/>
              <w:rPr>
                <w:rFonts w:cs="Times New Roman"/>
              </w:rPr>
            </w:pPr>
            <w:r>
              <w:rPr>
                <w:rFonts w:cs="Times New Roman"/>
              </w:rPr>
              <w:t xml:space="preserve">80 </w:t>
            </w:r>
          </w:p>
        </w:tc>
      </w:tr>
      <w:tr w14:paraId="7E194B93">
        <w:tblPrEx>
          <w:tblCellMar>
            <w:top w:w="0" w:type="dxa"/>
            <w:left w:w="108" w:type="dxa"/>
            <w:bottom w:w="0" w:type="dxa"/>
            <w:right w:w="108" w:type="dxa"/>
          </w:tblCellMar>
        </w:tblPrEx>
        <w:trPr>
          <w:trHeight w:val="525" w:hRule="atLeast"/>
        </w:trPr>
        <w:tc>
          <w:tcPr>
            <w:tcW w:w="2788" w:type="dxa"/>
            <w:tcBorders>
              <w:top w:val="single" w:color="000000" w:sz="4" w:space="0"/>
              <w:left w:val="single" w:color="000000" w:sz="4" w:space="0"/>
              <w:bottom w:val="single" w:color="000000" w:sz="4" w:space="0"/>
              <w:right w:val="single" w:color="000000" w:sz="4" w:space="0"/>
            </w:tcBorders>
            <w:vAlign w:val="center"/>
          </w:tcPr>
          <w:p w14:paraId="219077E5">
            <w:pPr>
              <w:pStyle w:val="71"/>
              <w:spacing w:before="24" w:after="24"/>
              <w:rPr>
                <w:rFonts w:cs="Times New Roman"/>
              </w:rPr>
            </w:pPr>
            <w:r>
              <w:rPr>
                <w:rFonts w:cs="Times New Roman"/>
              </w:rPr>
              <w:t>设计室</w:t>
            </w:r>
          </w:p>
        </w:tc>
        <w:tc>
          <w:tcPr>
            <w:tcW w:w="924" w:type="dxa"/>
            <w:tcBorders>
              <w:top w:val="single" w:color="000000" w:sz="4" w:space="0"/>
              <w:left w:val="nil"/>
              <w:bottom w:val="single" w:color="000000" w:sz="4" w:space="0"/>
              <w:right w:val="single" w:color="000000" w:sz="4" w:space="0"/>
            </w:tcBorders>
            <w:vAlign w:val="center"/>
          </w:tcPr>
          <w:p w14:paraId="3E544510">
            <w:pPr>
              <w:pStyle w:val="71"/>
              <w:spacing w:before="24" w:after="24"/>
              <w:rPr>
                <w:rFonts w:cs="Times New Roman"/>
              </w:rPr>
            </w:pPr>
            <w:r>
              <w:rPr>
                <w:rFonts w:cs="Times New Roman"/>
              </w:rPr>
              <w:t xml:space="preserve">500 </w:t>
            </w:r>
          </w:p>
        </w:tc>
        <w:tc>
          <w:tcPr>
            <w:tcW w:w="1477" w:type="dxa"/>
            <w:tcBorders>
              <w:top w:val="single" w:color="000000" w:sz="4" w:space="0"/>
              <w:left w:val="nil"/>
              <w:bottom w:val="single" w:color="000000" w:sz="4" w:space="0"/>
              <w:right w:val="single" w:color="000000" w:sz="4" w:space="0"/>
            </w:tcBorders>
            <w:vAlign w:val="center"/>
          </w:tcPr>
          <w:p w14:paraId="41EA4B7B">
            <w:pPr>
              <w:pStyle w:val="71"/>
              <w:spacing w:before="24" w:after="24"/>
              <w:rPr>
                <w:rFonts w:cs="Times New Roman"/>
              </w:rPr>
            </w:pPr>
            <w:r>
              <w:rPr>
                <w:rFonts w:cs="Times New Roman"/>
              </w:rPr>
              <w:t>≤13.5</w:t>
            </w:r>
          </w:p>
        </w:tc>
        <w:tc>
          <w:tcPr>
            <w:tcW w:w="1448" w:type="dxa"/>
            <w:tcBorders>
              <w:top w:val="single" w:color="000000" w:sz="4" w:space="0"/>
              <w:left w:val="nil"/>
              <w:bottom w:val="single" w:color="000000" w:sz="4" w:space="0"/>
              <w:right w:val="single" w:color="000000" w:sz="4" w:space="0"/>
            </w:tcBorders>
            <w:vAlign w:val="center"/>
          </w:tcPr>
          <w:p w14:paraId="545E9143">
            <w:pPr>
              <w:pStyle w:val="71"/>
              <w:spacing w:before="24" w:after="24"/>
              <w:rPr>
                <w:rFonts w:cs="Times New Roman"/>
              </w:rPr>
            </w:pPr>
            <w:r>
              <w:rPr>
                <w:rFonts w:cs="Times New Roman"/>
              </w:rPr>
              <w:t xml:space="preserve">19 </w:t>
            </w:r>
          </w:p>
        </w:tc>
        <w:tc>
          <w:tcPr>
            <w:tcW w:w="1459" w:type="dxa"/>
            <w:tcBorders>
              <w:top w:val="single" w:color="000000" w:sz="4" w:space="0"/>
              <w:left w:val="nil"/>
              <w:bottom w:val="single" w:color="000000" w:sz="4" w:space="0"/>
              <w:right w:val="single" w:color="000000" w:sz="4" w:space="0"/>
            </w:tcBorders>
            <w:vAlign w:val="center"/>
          </w:tcPr>
          <w:p w14:paraId="4AF7A08A">
            <w:pPr>
              <w:pStyle w:val="71"/>
              <w:spacing w:before="24" w:after="24"/>
              <w:rPr>
                <w:rFonts w:cs="Times New Roman"/>
              </w:rPr>
            </w:pPr>
            <w:r>
              <w:rPr>
                <w:rFonts w:cs="Times New Roman"/>
              </w:rPr>
              <w:t xml:space="preserve">0.60 </w:t>
            </w:r>
          </w:p>
        </w:tc>
        <w:tc>
          <w:tcPr>
            <w:tcW w:w="1463" w:type="dxa"/>
            <w:tcBorders>
              <w:top w:val="single" w:color="000000" w:sz="4" w:space="0"/>
              <w:left w:val="nil"/>
              <w:bottom w:val="single" w:color="000000" w:sz="4" w:space="0"/>
              <w:right w:val="single" w:color="000000" w:sz="4" w:space="0"/>
            </w:tcBorders>
            <w:vAlign w:val="center"/>
          </w:tcPr>
          <w:p w14:paraId="18D6A8E0">
            <w:pPr>
              <w:pStyle w:val="71"/>
              <w:spacing w:before="24" w:after="24"/>
              <w:rPr>
                <w:rFonts w:cs="Times New Roman"/>
              </w:rPr>
            </w:pPr>
            <w:r>
              <w:rPr>
                <w:rFonts w:cs="Times New Roman"/>
              </w:rPr>
              <w:t xml:space="preserve">80 </w:t>
            </w:r>
          </w:p>
        </w:tc>
      </w:tr>
      <w:tr w14:paraId="24168894">
        <w:tblPrEx>
          <w:tblCellMar>
            <w:top w:w="0" w:type="dxa"/>
            <w:left w:w="108" w:type="dxa"/>
            <w:bottom w:w="0" w:type="dxa"/>
            <w:right w:w="108" w:type="dxa"/>
          </w:tblCellMar>
        </w:tblPrEx>
        <w:trPr>
          <w:trHeight w:val="525" w:hRule="atLeast"/>
        </w:trPr>
        <w:tc>
          <w:tcPr>
            <w:tcW w:w="2788" w:type="dxa"/>
            <w:tcBorders>
              <w:top w:val="single" w:color="000000" w:sz="4" w:space="0"/>
              <w:left w:val="single" w:color="000000" w:sz="4" w:space="0"/>
              <w:bottom w:val="single" w:color="000000" w:sz="4" w:space="0"/>
              <w:right w:val="single" w:color="000000" w:sz="4" w:space="0"/>
            </w:tcBorders>
            <w:vAlign w:val="center"/>
          </w:tcPr>
          <w:p w14:paraId="2B753B11">
            <w:pPr>
              <w:pStyle w:val="71"/>
              <w:spacing w:before="24" w:after="24"/>
              <w:rPr>
                <w:rFonts w:cs="Times New Roman"/>
              </w:rPr>
            </w:pPr>
            <w:r>
              <w:rPr>
                <w:rFonts w:cs="Times New Roman"/>
              </w:rPr>
              <w:t>文件整理、复印、发行室</w:t>
            </w:r>
          </w:p>
        </w:tc>
        <w:tc>
          <w:tcPr>
            <w:tcW w:w="924" w:type="dxa"/>
            <w:tcBorders>
              <w:top w:val="single" w:color="000000" w:sz="4" w:space="0"/>
              <w:left w:val="nil"/>
              <w:bottom w:val="single" w:color="000000" w:sz="4" w:space="0"/>
              <w:right w:val="single" w:color="000000" w:sz="4" w:space="0"/>
            </w:tcBorders>
            <w:vAlign w:val="center"/>
          </w:tcPr>
          <w:p w14:paraId="4B67CDF9">
            <w:pPr>
              <w:pStyle w:val="71"/>
              <w:spacing w:before="24" w:after="24"/>
              <w:rPr>
                <w:rFonts w:cs="Times New Roman"/>
              </w:rPr>
            </w:pPr>
            <w:r>
              <w:rPr>
                <w:rFonts w:cs="Times New Roman"/>
              </w:rPr>
              <w:t xml:space="preserve">300 </w:t>
            </w:r>
          </w:p>
        </w:tc>
        <w:tc>
          <w:tcPr>
            <w:tcW w:w="1477" w:type="dxa"/>
            <w:tcBorders>
              <w:top w:val="single" w:color="000000" w:sz="4" w:space="0"/>
              <w:left w:val="nil"/>
              <w:bottom w:val="single" w:color="000000" w:sz="4" w:space="0"/>
              <w:right w:val="single" w:color="000000" w:sz="4" w:space="0"/>
            </w:tcBorders>
            <w:vAlign w:val="center"/>
          </w:tcPr>
          <w:p w14:paraId="68559848">
            <w:pPr>
              <w:pStyle w:val="71"/>
              <w:spacing w:before="24" w:after="24"/>
              <w:rPr>
                <w:rFonts w:cs="Times New Roman"/>
              </w:rPr>
            </w:pPr>
            <w:r>
              <w:rPr>
                <w:rFonts w:cs="Times New Roman"/>
              </w:rPr>
              <w:t>≤10.0</w:t>
            </w:r>
          </w:p>
        </w:tc>
        <w:tc>
          <w:tcPr>
            <w:tcW w:w="1448" w:type="dxa"/>
            <w:tcBorders>
              <w:top w:val="single" w:color="000000" w:sz="4" w:space="0"/>
              <w:left w:val="nil"/>
              <w:bottom w:val="single" w:color="000000" w:sz="4" w:space="0"/>
              <w:right w:val="single" w:color="000000" w:sz="4" w:space="0"/>
            </w:tcBorders>
            <w:vAlign w:val="center"/>
          </w:tcPr>
          <w:p w14:paraId="36BFDF4B">
            <w:pPr>
              <w:pStyle w:val="71"/>
              <w:spacing w:before="24" w:after="24"/>
              <w:rPr>
                <w:rFonts w:cs="Times New Roman"/>
              </w:rPr>
            </w:pPr>
            <w:r>
              <w:rPr>
                <w:rFonts w:cs="Times New Roman"/>
              </w:rPr>
              <w:t>/</w:t>
            </w:r>
          </w:p>
        </w:tc>
        <w:tc>
          <w:tcPr>
            <w:tcW w:w="1459" w:type="dxa"/>
            <w:tcBorders>
              <w:top w:val="single" w:color="000000" w:sz="4" w:space="0"/>
              <w:left w:val="nil"/>
              <w:bottom w:val="single" w:color="000000" w:sz="4" w:space="0"/>
              <w:right w:val="single" w:color="000000" w:sz="4" w:space="0"/>
            </w:tcBorders>
            <w:vAlign w:val="center"/>
          </w:tcPr>
          <w:p w14:paraId="79E6119D">
            <w:pPr>
              <w:pStyle w:val="71"/>
              <w:spacing w:before="24" w:after="24"/>
              <w:rPr>
                <w:rFonts w:cs="Times New Roman"/>
              </w:rPr>
            </w:pPr>
            <w:r>
              <w:rPr>
                <w:rFonts w:cs="Times New Roman"/>
              </w:rPr>
              <w:t xml:space="preserve">0.40 </w:t>
            </w:r>
          </w:p>
        </w:tc>
        <w:tc>
          <w:tcPr>
            <w:tcW w:w="1463" w:type="dxa"/>
            <w:tcBorders>
              <w:top w:val="single" w:color="000000" w:sz="4" w:space="0"/>
              <w:left w:val="nil"/>
              <w:bottom w:val="single" w:color="000000" w:sz="4" w:space="0"/>
              <w:right w:val="single" w:color="000000" w:sz="4" w:space="0"/>
            </w:tcBorders>
            <w:vAlign w:val="center"/>
          </w:tcPr>
          <w:p w14:paraId="0A3EBE48">
            <w:pPr>
              <w:pStyle w:val="71"/>
              <w:spacing w:before="24" w:after="24"/>
              <w:rPr>
                <w:rFonts w:cs="Times New Roman"/>
              </w:rPr>
            </w:pPr>
            <w:r>
              <w:rPr>
                <w:rFonts w:cs="Times New Roman"/>
              </w:rPr>
              <w:t xml:space="preserve">80 </w:t>
            </w:r>
          </w:p>
        </w:tc>
      </w:tr>
      <w:tr w14:paraId="5F728C9E">
        <w:tblPrEx>
          <w:tblCellMar>
            <w:top w:w="0" w:type="dxa"/>
            <w:left w:w="108" w:type="dxa"/>
            <w:bottom w:w="0" w:type="dxa"/>
            <w:right w:w="108" w:type="dxa"/>
          </w:tblCellMar>
        </w:tblPrEx>
        <w:trPr>
          <w:trHeight w:val="557" w:hRule="atLeast"/>
        </w:trPr>
        <w:tc>
          <w:tcPr>
            <w:tcW w:w="2788" w:type="dxa"/>
            <w:tcBorders>
              <w:top w:val="single" w:color="000000" w:sz="4" w:space="0"/>
              <w:left w:val="single" w:color="000000" w:sz="4" w:space="0"/>
              <w:bottom w:val="single" w:color="000000" w:sz="4" w:space="0"/>
              <w:right w:val="single" w:color="000000" w:sz="4" w:space="0"/>
            </w:tcBorders>
            <w:vAlign w:val="center"/>
          </w:tcPr>
          <w:p w14:paraId="0F8266FE">
            <w:pPr>
              <w:pStyle w:val="71"/>
              <w:spacing w:before="24" w:after="24"/>
              <w:rPr>
                <w:rFonts w:cs="Times New Roman"/>
              </w:rPr>
            </w:pPr>
            <w:r>
              <w:rPr>
                <w:rFonts w:cs="Times New Roman"/>
              </w:rPr>
              <w:t>资料、档案存放室</w:t>
            </w:r>
          </w:p>
        </w:tc>
        <w:tc>
          <w:tcPr>
            <w:tcW w:w="924" w:type="dxa"/>
            <w:tcBorders>
              <w:top w:val="single" w:color="000000" w:sz="4" w:space="0"/>
              <w:left w:val="nil"/>
              <w:bottom w:val="single" w:color="000000" w:sz="4" w:space="0"/>
              <w:right w:val="single" w:color="000000" w:sz="4" w:space="0"/>
            </w:tcBorders>
            <w:vAlign w:val="center"/>
          </w:tcPr>
          <w:p w14:paraId="18B5CDDB">
            <w:pPr>
              <w:pStyle w:val="71"/>
              <w:spacing w:before="24" w:after="24"/>
              <w:rPr>
                <w:rFonts w:cs="Times New Roman"/>
              </w:rPr>
            </w:pPr>
            <w:r>
              <w:rPr>
                <w:rFonts w:cs="Times New Roman"/>
              </w:rPr>
              <w:t xml:space="preserve">200 </w:t>
            </w:r>
          </w:p>
        </w:tc>
        <w:tc>
          <w:tcPr>
            <w:tcW w:w="1477" w:type="dxa"/>
            <w:tcBorders>
              <w:top w:val="single" w:color="000000" w:sz="4" w:space="0"/>
              <w:left w:val="nil"/>
              <w:bottom w:val="single" w:color="000000" w:sz="4" w:space="0"/>
              <w:right w:val="single" w:color="000000" w:sz="4" w:space="0"/>
            </w:tcBorders>
            <w:vAlign w:val="center"/>
          </w:tcPr>
          <w:p w14:paraId="11A70B26">
            <w:pPr>
              <w:pStyle w:val="71"/>
              <w:spacing w:before="24" w:after="24"/>
              <w:rPr>
                <w:rFonts w:cs="Times New Roman"/>
              </w:rPr>
            </w:pPr>
            <w:r>
              <w:rPr>
                <w:rFonts w:cs="Times New Roman"/>
              </w:rPr>
              <w:t>≤8.0</w:t>
            </w:r>
          </w:p>
        </w:tc>
        <w:tc>
          <w:tcPr>
            <w:tcW w:w="1448" w:type="dxa"/>
            <w:tcBorders>
              <w:top w:val="single" w:color="000000" w:sz="4" w:space="0"/>
              <w:left w:val="nil"/>
              <w:bottom w:val="single" w:color="000000" w:sz="4" w:space="0"/>
              <w:right w:val="single" w:color="000000" w:sz="4" w:space="0"/>
            </w:tcBorders>
            <w:vAlign w:val="center"/>
          </w:tcPr>
          <w:p w14:paraId="50637A4F">
            <w:pPr>
              <w:pStyle w:val="71"/>
              <w:spacing w:before="24" w:after="24"/>
              <w:rPr>
                <w:rFonts w:cs="Times New Roman"/>
              </w:rPr>
            </w:pPr>
            <w:r>
              <w:rPr>
                <w:rFonts w:cs="Times New Roman"/>
              </w:rPr>
              <w:t>/</w:t>
            </w:r>
          </w:p>
        </w:tc>
        <w:tc>
          <w:tcPr>
            <w:tcW w:w="1459" w:type="dxa"/>
            <w:tcBorders>
              <w:top w:val="single" w:color="000000" w:sz="4" w:space="0"/>
              <w:left w:val="nil"/>
              <w:bottom w:val="single" w:color="000000" w:sz="4" w:space="0"/>
              <w:right w:val="single" w:color="000000" w:sz="4" w:space="0"/>
            </w:tcBorders>
            <w:vAlign w:val="center"/>
          </w:tcPr>
          <w:p w14:paraId="135809CF">
            <w:pPr>
              <w:pStyle w:val="71"/>
              <w:spacing w:before="24" w:after="24"/>
              <w:rPr>
                <w:rFonts w:cs="Times New Roman"/>
              </w:rPr>
            </w:pPr>
            <w:r>
              <w:rPr>
                <w:rFonts w:cs="Times New Roman"/>
              </w:rPr>
              <w:t xml:space="preserve">0.40 </w:t>
            </w:r>
          </w:p>
        </w:tc>
        <w:tc>
          <w:tcPr>
            <w:tcW w:w="1463" w:type="dxa"/>
            <w:tcBorders>
              <w:top w:val="single" w:color="000000" w:sz="4" w:space="0"/>
              <w:left w:val="nil"/>
              <w:bottom w:val="single" w:color="000000" w:sz="4" w:space="0"/>
              <w:right w:val="single" w:color="000000" w:sz="4" w:space="0"/>
            </w:tcBorders>
            <w:vAlign w:val="center"/>
          </w:tcPr>
          <w:p w14:paraId="337D0D43">
            <w:pPr>
              <w:pStyle w:val="71"/>
              <w:spacing w:before="24" w:after="24"/>
              <w:rPr>
                <w:rFonts w:cs="Times New Roman"/>
              </w:rPr>
            </w:pPr>
            <w:r>
              <w:rPr>
                <w:rFonts w:cs="Times New Roman"/>
              </w:rPr>
              <w:t xml:space="preserve">80 </w:t>
            </w:r>
          </w:p>
        </w:tc>
      </w:tr>
    </w:tbl>
    <w:p w14:paraId="48897BF7">
      <w:pPr>
        <w:pStyle w:val="64"/>
        <w:spacing w:before="240" w:beforeLines="100" w:after="0" w:afterLines="0"/>
        <w:rPr>
          <w:rFonts w:cs="Times New Roman"/>
        </w:rPr>
      </w:pPr>
      <w:bookmarkStart w:id="21" w:name="_Toc221894066"/>
      <w:r>
        <w:rPr>
          <w:rFonts w:cs="Times New Roman"/>
        </w:rPr>
        <w:t>7、精装修指标</w:t>
      </w:r>
      <w:bookmarkEnd w:id="21"/>
    </w:p>
    <w:p w14:paraId="5D658227">
      <w:pPr>
        <w:pStyle w:val="54"/>
        <w:spacing w:before="24" w:after="24"/>
      </w:pPr>
      <w:r>
        <w:t>7.1装修材料质量指标</w:t>
      </w:r>
    </w:p>
    <w:p w14:paraId="1A3F00B1">
      <w:pPr>
        <w:pStyle w:val="54"/>
        <w:spacing w:before="24" w:after="24"/>
      </w:pPr>
      <w:r>
        <w:t>7.1.1确保所使用的装修材料符合国家和地方的质量标准，无劣质、假冒产品。</w:t>
      </w:r>
    </w:p>
    <w:p w14:paraId="7E0A36B3">
      <w:pPr>
        <w:pStyle w:val="54"/>
        <w:spacing w:before="24" w:after="24"/>
      </w:pPr>
      <w:r>
        <w:t>7.1.2装饰装修材料的燃烧性能等级、耐火极限，应符合现行《建筑内部装修设计防火规范》GB50222-2017及《建筑设计防火规范》GB50016-2014（2018版）的有关规定。</w:t>
      </w:r>
    </w:p>
    <w:p w14:paraId="68E17E44">
      <w:pPr>
        <w:pStyle w:val="54"/>
        <w:spacing w:before="24" w:after="24"/>
      </w:pPr>
      <w:r>
        <w:t>7.1.3本工程选用的所有建筑材料和装饰材料必须符合《民用建筑工程室内环境污染控制标准》GB50325-2020和国家有关建筑材料和装修材料有害物质限量标准的有关规定。建材供应商应提供材料有害物质检测报告。</w:t>
      </w:r>
    </w:p>
    <w:p w14:paraId="2DB5DFAE">
      <w:pPr>
        <w:pStyle w:val="54"/>
        <w:spacing w:before="24" w:after="24"/>
      </w:pPr>
      <w:r>
        <w:t>7.2设计风格符合度</w:t>
      </w:r>
    </w:p>
    <w:p w14:paraId="3552DC0C">
      <w:pPr>
        <w:pStyle w:val="54"/>
        <w:spacing w:before="24" w:after="24"/>
      </w:pPr>
      <w:r>
        <w:t>评估装修效果与设计方案的契合度，确保装修风格一致色彩搭配和谐度。</w:t>
      </w:r>
    </w:p>
    <w:p w14:paraId="46D076ED">
      <w:pPr>
        <w:pStyle w:val="64"/>
        <w:spacing w:before="24" w:after="24"/>
        <w:rPr>
          <w:rFonts w:cs="Times New Roman"/>
        </w:rPr>
      </w:pPr>
      <w:bookmarkStart w:id="22" w:name="_Toc221894067"/>
      <w:r>
        <w:rPr>
          <w:rFonts w:cs="Times New Roman"/>
        </w:rPr>
        <w:t>8、建筑风貌及外立面要求</w:t>
      </w:r>
      <w:bookmarkEnd w:id="22"/>
    </w:p>
    <w:p w14:paraId="466F2F46">
      <w:pPr>
        <w:pStyle w:val="54"/>
        <w:spacing w:before="24" w:after="24"/>
      </w:pPr>
      <w:r>
        <w:t>8.1建筑风貌塑造原则</w:t>
      </w:r>
    </w:p>
    <w:p w14:paraId="32756DB7">
      <w:pPr>
        <w:pStyle w:val="54"/>
        <w:spacing w:before="24" w:after="24"/>
      </w:pPr>
      <w:r>
        <w:t>传承城市空间基因，突出地域特点、时代特征和民族特色，塑造“以白为底、平坡结合、现代本土、多元融合”的总体建筑风貌。</w:t>
      </w:r>
    </w:p>
    <w:p w14:paraId="5DFEE4CA">
      <w:pPr>
        <w:pStyle w:val="54"/>
        <w:spacing w:before="24" w:after="24"/>
      </w:pPr>
      <w:r>
        <w:t>其中，基于温润气候和山地地形，结合当地传统建筑特点，确定建筑以“坡屋顶、米白墙、石勒脚”为基本构型，并通过平行和垂直等高线的屋顶组合，形成纵横交错的第五立面。建筑采用绿色环保材料，运用石材、木材、砖瓦等当地传统材料和玻璃、钢材、人工石等现代材料组合，建筑色彩以白为主，局部点缀红、黑、灰等色彩，建筑细节上融入民族题材和吉祥文化元素，体现融合特色。</w:t>
      </w:r>
    </w:p>
    <w:p w14:paraId="169BF506">
      <w:pPr>
        <w:pStyle w:val="54"/>
        <w:spacing w:before="24" w:after="24"/>
      </w:pPr>
      <w:r>
        <w:t>8.2建筑分类指引</w:t>
      </w:r>
    </w:p>
    <w:p w14:paraId="7813A046">
      <w:pPr>
        <w:pStyle w:val="54"/>
        <w:spacing w:before="24" w:after="24"/>
      </w:pPr>
      <w:r>
        <w:t>8.2.1行政办公类建筑</w:t>
      </w:r>
    </w:p>
    <w:p w14:paraId="23F88701">
      <w:pPr>
        <w:pStyle w:val="54"/>
        <w:spacing w:before="24" w:after="24"/>
      </w:pPr>
      <w:r>
        <w:t>（1）屋顶：建筑屋顶宜以坡屋顶为主，体量较大单体宜采用四坡顶，坡度1:4-1:5之间。</w:t>
      </w:r>
    </w:p>
    <w:p w14:paraId="106008A8">
      <w:pPr>
        <w:pStyle w:val="54"/>
        <w:spacing w:before="24" w:after="24"/>
      </w:pPr>
      <w:r>
        <w:t>（2）立面材质与色彩：鼓励采用当地材质，颜色以白色为主色调，灰色等为次要色彩，红色、黑色等吉祥色彩可在窗框内部、门檐等细部作为点缀色彩。</w:t>
      </w:r>
    </w:p>
    <w:p w14:paraId="4F38DFF5">
      <w:pPr>
        <w:pStyle w:val="54"/>
        <w:spacing w:before="24" w:after="24"/>
      </w:pPr>
      <w:r>
        <w:t>（3）建筑细部：窗檐细部可局部使用“巴苏”装饰，立面、梁柱可采用吉祥元素做点缀。</w:t>
      </w:r>
    </w:p>
    <w:p w14:paraId="53F4AC6B">
      <w:pPr>
        <w:pStyle w:val="54"/>
        <w:spacing w:before="24" w:after="24"/>
      </w:pPr>
      <w:r>
        <w:t>8.2.2学校类建筑</w:t>
      </w:r>
    </w:p>
    <w:p w14:paraId="6C876CB8">
      <w:pPr>
        <w:pStyle w:val="54"/>
        <w:spacing w:before="24" w:after="24"/>
      </w:pPr>
      <w:r>
        <w:t>（1）屋顶：建筑屋顶宜以坡屋顶为主，平坡相结合。</w:t>
      </w:r>
    </w:p>
    <w:p w14:paraId="2262C59B">
      <w:pPr>
        <w:pStyle w:val="54"/>
        <w:spacing w:before="24" w:after="24"/>
      </w:pPr>
      <w:r>
        <w:t>（2）立面材质与色彩：鼓励采用当地材质，以白色为主色调，木制纹、灰色等作为次要色彩，红色、黑色等吉祥色彩点缀辅助。</w:t>
      </w:r>
    </w:p>
    <w:p w14:paraId="4243A167">
      <w:pPr>
        <w:pStyle w:val="54"/>
        <w:spacing w:before="24" w:after="24"/>
      </w:pPr>
      <w:r>
        <w:t>（3）建筑细部：窗檐细部可局部使用藏式“窗套”元素，檐口下可采用线脚装饰或少量“巴苏”装饰，立面上可采用吉祥元素做点缀。</w:t>
      </w:r>
    </w:p>
    <w:p w14:paraId="3793BAF2">
      <w:pPr>
        <w:pStyle w:val="54"/>
        <w:spacing w:before="24" w:after="24"/>
      </w:pPr>
      <w:r>
        <w:t>8.2.3公共文化建筑</w:t>
      </w:r>
    </w:p>
    <w:p w14:paraId="3977972D">
      <w:pPr>
        <w:pStyle w:val="54"/>
        <w:spacing w:before="24" w:after="24"/>
      </w:pPr>
      <w:r>
        <w:t>（1）屋顶：建筑屋顶宜以坡屋顶为主，平坡相结合。</w:t>
      </w:r>
    </w:p>
    <w:p w14:paraId="3BEF7B34">
      <w:pPr>
        <w:pStyle w:val="54"/>
        <w:spacing w:before="24" w:after="24"/>
      </w:pPr>
      <w:r>
        <w:t>（2）立面材质与色彩：鼓励采用当地材质，结合现代工艺建设；以白色为主色调，木制纹、灰色等作为次要色彩，红色、黄色等吉祥色彩点缀辅助。</w:t>
      </w:r>
    </w:p>
    <w:p w14:paraId="6D565C45">
      <w:pPr>
        <w:pStyle w:val="54"/>
        <w:spacing w:before="24" w:after="24"/>
      </w:pPr>
      <w:r>
        <w:t>（3）建筑细部：窗檐细部可局部使用藏式“窗套”元素，檐口下可采用线脚装饰或少量“巴苏”装饰，立面上可采用吉祥元素做点缀。</w:t>
      </w:r>
    </w:p>
    <w:p w14:paraId="251EAFDD">
      <w:pPr>
        <w:pStyle w:val="54"/>
        <w:spacing w:before="24" w:after="24"/>
      </w:pPr>
      <w:r>
        <w:t>8.2.4其他建筑</w:t>
      </w:r>
    </w:p>
    <w:p w14:paraId="254D813C">
      <w:pPr>
        <w:pStyle w:val="54"/>
        <w:spacing w:before="24" w:after="24"/>
      </w:pPr>
      <w:r>
        <w:t>（1）屋顶：建筑屋顶宜以坡屋顶为主，平坡相结合。</w:t>
      </w:r>
    </w:p>
    <w:p w14:paraId="2963AD5F">
      <w:pPr>
        <w:pStyle w:val="54"/>
        <w:spacing w:before="24" w:after="24"/>
      </w:pPr>
      <w:r>
        <w:t>（2）立面材质与色彩：鼓励采用当地材质，结合现代工艺建设；以白色为主色调，红色、黑色、黄色等吉祥色彩点缀辅助。</w:t>
      </w:r>
    </w:p>
    <w:p w14:paraId="6FFECF6E">
      <w:pPr>
        <w:pStyle w:val="64"/>
        <w:spacing w:before="24" w:after="24"/>
        <w:ind w:firstLine="560"/>
        <w:outlineLvl w:val="9"/>
        <w:rPr>
          <w:rFonts w:cs="Times New Roman"/>
        </w:rPr>
      </w:pPr>
      <w:r>
        <w:rPr>
          <w:rFonts w:cs="Times New Roman"/>
          <w:b w:val="0"/>
          <w:bCs/>
          <w:color w:val="232222" w:themeColor="background2" w:themeTint="F2"/>
          <w14:textFill>
            <w14:solidFill>
              <w14:schemeClr w14:val="bg2">
                <w14:lumMod w14:val="10000"/>
                <w14:lumMod w14:val="95000"/>
                <w14:lumOff w14:val="5000"/>
              </w14:schemeClr>
            </w14:solidFill>
          </w14:textFill>
        </w:rPr>
        <w:t>（3）</w:t>
      </w:r>
      <w:r>
        <w:rPr>
          <w:rFonts w:cs="Times New Roman"/>
          <w:b w:val="0"/>
          <w:bCs/>
        </w:rPr>
        <w:t>建筑细部：窗檐细部，檐口下可点缀少量特色民族建筑设计元素；建筑立面可用历史文化、吉祥文化提炼元素装饰。</w:t>
      </w:r>
    </w:p>
    <w:p w14:paraId="1D689876">
      <w:pPr>
        <w:pStyle w:val="64"/>
        <w:spacing w:before="24" w:after="24"/>
        <w:rPr>
          <w:rFonts w:cs="Times New Roman"/>
        </w:rPr>
      </w:pPr>
      <w:bookmarkStart w:id="23" w:name="_Toc221894068"/>
      <w:r>
        <w:rPr>
          <w:rFonts w:cs="Times New Roman"/>
        </w:rPr>
        <w:t>9、景观绿化指标</w:t>
      </w:r>
      <w:bookmarkEnd w:id="23"/>
    </w:p>
    <w:p w14:paraId="50ADB71D">
      <w:pPr>
        <w:pStyle w:val="54"/>
        <w:spacing w:before="24" w:after="24"/>
      </w:pPr>
      <w:r>
        <w:t>9.1 绿地指标应符合德钦新县城（叶枝镇镇区）国土空间详细规划地块开发细则及城市绿地管理的有关规定。</w:t>
      </w:r>
    </w:p>
    <w:p w14:paraId="3356C1FB">
      <w:pPr>
        <w:pStyle w:val="54"/>
        <w:spacing w:before="24" w:after="24"/>
      </w:pPr>
      <w:r>
        <w:t>9.2根据《云南省住房和城乡建设厅关于德钦新县城建筑热工设计分区的批复》，本项目热工分区为温和A区，植物配置应根据当地气候、土壤和环境等条件确定。（关于热工分区的批复详附件二）</w:t>
      </w:r>
    </w:p>
    <w:p w14:paraId="225C89FC">
      <w:pPr>
        <w:pStyle w:val="54"/>
        <w:spacing w:before="24" w:after="24"/>
      </w:pPr>
      <w:r>
        <w:t xml:space="preserve">9.3植物与建（构）筑物的最小间距应符合下表的规定： </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79"/>
        <w:gridCol w:w="1355"/>
        <w:gridCol w:w="3237"/>
        <w:gridCol w:w="2997"/>
      </w:tblGrid>
      <w:tr w14:paraId="64A0D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34" w:type="dxa"/>
            <w:gridSpan w:val="2"/>
            <w:vMerge w:val="restart"/>
            <w:vAlign w:val="center"/>
          </w:tcPr>
          <w:p w14:paraId="53264D2E">
            <w:pPr>
              <w:pStyle w:val="71"/>
              <w:spacing w:before="24" w:after="24"/>
              <w:rPr>
                <w:rFonts w:cs="Times New Roman"/>
              </w:rPr>
            </w:pPr>
            <w:r>
              <w:rPr>
                <w:rFonts w:cs="Times New Roman"/>
              </w:rPr>
              <w:t>建（构）筑物名称</w:t>
            </w:r>
          </w:p>
        </w:tc>
        <w:tc>
          <w:tcPr>
            <w:tcW w:w="6234" w:type="dxa"/>
            <w:gridSpan w:val="2"/>
            <w:vAlign w:val="center"/>
          </w:tcPr>
          <w:p w14:paraId="7F6BC63B">
            <w:pPr>
              <w:pStyle w:val="71"/>
              <w:spacing w:before="24" w:after="24"/>
              <w:rPr>
                <w:rFonts w:cs="Times New Roman"/>
              </w:rPr>
            </w:pPr>
            <w:r>
              <w:rPr>
                <w:rFonts w:cs="Times New Roman"/>
              </w:rPr>
              <w:t>最小间距（m）</w:t>
            </w:r>
          </w:p>
        </w:tc>
      </w:tr>
      <w:tr w14:paraId="729A4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34" w:type="dxa"/>
            <w:gridSpan w:val="2"/>
            <w:vMerge w:val="continue"/>
            <w:vAlign w:val="center"/>
          </w:tcPr>
          <w:p w14:paraId="0906D64E">
            <w:pPr>
              <w:pStyle w:val="71"/>
              <w:spacing w:before="24" w:after="24"/>
              <w:rPr>
                <w:rFonts w:cs="Times New Roman"/>
              </w:rPr>
            </w:pPr>
          </w:p>
        </w:tc>
        <w:tc>
          <w:tcPr>
            <w:tcW w:w="3237" w:type="dxa"/>
            <w:vAlign w:val="center"/>
          </w:tcPr>
          <w:p w14:paraId="665820D6">
            <w:pPr>
              <w:pStyle w:val="71"/>
              <w:spacing w:before="24" w:after="24"/>
              <w:rPr>
                <w:rFonts w:cs="Times New Roman"/>
              </w:rPr>
            </w:pPr>
            <w:r>
              <w:rPr>
                <w:rFonts w:cs="Times New Roman"/>
              </w:rPr>
              <w:t>至乔木中心</w:t>
            </w:r>
          </w:p>
        </w:tc>
        <w:tc>
          <w:tcPr>
            <w:tcW w:w="2997" w:type="dxa"/>
            <w:vAlign w:val="center"/>
          </w:tcPr>
          <w:p w14:paraId="5DF09BEA">
            <w:pPr>
              <w:pStyle w:val="71"/>
              <w:spacing w:before="24" w:after="24"/>
              <w:rPr>
                <w:rFonts w:cs="Times New Roman"/>
              </w:rPr>
            </w:pPr>
            <w:r>
              <w:rPr>
                <w:rFonts w:cs="Times New Roman"/>
              </w:rPr>
              <w:t>至灌木中心</w:t>
            </w:r>
          </w:p>
        </w:tc>
      </w:tr>
      <w:tr w14:paraId="5D206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79" w:type="dxa"/>
            <w:vMerge w:val="restart"/>
            <w:vAlign w:val="center"/>
          </w:tcPr>
          <w:p w14:paraId="23E05207">
            <w:pPr>
              <w:pStyle w:val="71"/>
              <w:spacing w:before="24" w:after="24"/>
              <w:rPr>
                <w:rFonts w:cs="Times New Roman"/>
              </w:rPr>
            </w:pPr>
            <w:r>
              <w:rPr>
                <w:rFonts w:cs="Times New Roman"/>
              </w:rPr>
              <w:t>建筑物外墙</w:t>
            </w:r>
          </w:p>
        </w:tc>
        <w:tc>
          <w:tcPr>
            <w:tcW w:w="1355" w:type="dxa"/>
            <w:vAlign w:val="center"/>
          </w:tcPr>
          <w:p w14:paraId="6FB7A9C9">
            <w:pPr>
              <w:pStyle w:val="71"/>
              <w:spacing w:before="24" w:after="24"/>
              <w:rPr>
                <w:rFonts w:cs="Times New Roman"/>
              </w:rPr>
            </w:pPr>
            <w:r>
              <w:rPr>
                <w:rFonts w:cs="Times New Roman"/>
              </w:rPr>
              <w:t>南窗</w:t>
            </w:r>
          </w:p>
        </w:tc>
        <w:tc>
          <w:tcPr>
            <w:tcW w:w="3237" w:type="dxa"/>
            <w:vAlign w:val="center"/>
          </w:tcPr>
          <w:p w14:paraId="73F97CA7">
            <w:pPr>
              <w:pStyle w:val="71"/>
              <w:spacing w:before="24" w:after="24"/>
              <w:rPr>
                <w:rFonts w:cs="Times New Roman"/>
              </w:rPr>
            </w:pPr>
            <w:r>
              <w:rPr>
                <w:rFonts w:cs="Times New Roman"/>
              </w:rPr>
              <w:t>5.5</w:t>
            </w:r>
          </w:p>
        </w:tc>
        <w:tc>
          <w:tcPr>
            <w:tcW w:w="2997" w:type="dxa"/>
            <w:vAlign w:val="center"/>
          </w:tcPr>
          <w:p w14:paraId="452FFD97">
            <w:pPr>
              <w:pStyle w:val="71"/>
              <w:spacing w:before="24" w:after="24"/>
              <w:rPr>
                <w:rFonts w:cs="Times New Roman"/>
              </w:rPr>
            </w:pPr>
            <w:r>
              <w:rPr>
                <w:rFonts w:cs="Times New Roman"/>
              </w:rPr>
              <w:t>1.5</w:t>
            </w:r>
          </w:p>
        </w:tc>
      </w:tr>
      <w:tr w14:paraId="3C162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79" w:type="dxa"/>
            <w:vMerge w:val="continue"/>
            <w:vAlign w:val="center"/>
          </w:tcPr>
          <w:p w14:paraId="3FC867E3">
            <w:pPr>
              <w:pStyle w:val="71"/>
              <w:spacing w:before="24" w:after="24"/>
              <w:rPr>
                <w:rFonts w:cs="Times New Roman"/>
              </w:rPr>
            </w:pPr>
          </w:p>
        </w:tc>
        <w:tc>
          <w:tcPr>
            <w:tcW w:w="1355" w:type="dxa"/>
            <w:vAlign w:val="center"/>
          </w:tcPr>
          <w:p w14:paraId="06464244">
            <w:pPr>
              <w:pStyle w:val="71"/>
              <w:spacing w:before="24" w:after="24"/>
              <w:rPr>
                <w:rFonts w:cs="Times New Roman"/>
              </w:rPr>
            </w:pPr>
            <w:r>
              <w:rPr>
                <w:rFonts w:cs="Times New Roman"/>
              </w:rPr>
              <w:t>其余窗</w:t>
            </w:r>
          </w:p>
        </w:tc>
        <w:tc>
          <w:tcPr>
            <w:tcW w:w="3237" w:type="dxa"/>
            <w:vAlign w:val="center"/>
          </w:tcPr>
          <w:p w14:paraId="5068D32A">
            <w:pPr>
              <w:pStyle w:val="71"/>
              <w:spacing w:before="24" w:after="24"/>
              <w:rPr>
                <w:rFonts w:cs="Times New Roman"/>
              </w:rPr>
            </w:pPr>
            <w:r>
              <w:rPr>
                <w:rFonts w:cs="Times New Roman"/>
              </w:rPr>
              <w:t>3.0</w:t>
            </w:r>
          </w:p>
        </w:tc>
        <w:tc>
          <w:tcPr>
            <w:tcW w:w="2997" w:type="dxa"/>
            <w:vAlign w:val="center"/>
          </w:tcPr>
          <w:p w14:paraId="6079CF64">
            <w:pPr>
              <w:pStyle w:val="71"/>
              <w:spacing w:before="24" w:after="24"/>
              <w:rPr>
                <w:rFonts w:cs="Times New Roman"/>
              </w:rPr>
            </w:pPr>
            <w:r>
              <w:rPr>
                <w:rFonts w:cs="Times New Roman"/>
              </w:rPr>
              <w:t>1.5</w:t>
            </w:r>
          </w:p>
        </w:tc>
      </w:tr>
      <w:tr w14:paraId="2A1A4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79" w:type="dxa"/>
            <w:vMerge w:val="continue"/>
            <w:vAlign w:val="center"/>
          </w:tcPr>
          <w:p w14:paraId="38E574B1">
            <w:pPr>
              <w:pStyle w:val="71"/>
              <w:spacing w:before="24" w:after="24"/>
              <w:rPr>
                <w:rFonts w:cs="Times New Roman"/>
              </w:rPr>
            </w:pPr>
          </w:p>
        </w:tc>
        <w:tc>
          <w:tcPr>
            <w:tcW w:w="1355" w:type="dxa"/>
            <w:vAlign w:val="center"/>
          </w:tcPr>
          <w:p w14:paraId="55BA8902">
            <w:pPr>
              <w:pStyle w:val="71"/>
              <w:spacing w:before="24" w:after="24"/>
              <w:rPr>
                <w:rFonts w:cs="Times New Roman"/>
              </w:rPr>
            </w:pPr>
            <w:r>
              <w:rPr>
                <w:rFonts w:cs="Times New Roman"/>
              </w:rPr>
              <w:t>无窗</w:t>
            </w:r>
          </w:p>
        </w:tc>
        <w:tc>
          <w:tcPr>
            <w:tcW w:w="3237" w:type="dxa"/>
            <w:vAlign w:val="center"/>
          </w:tcPr>
          <w:p w14:paraId="70270257">
            <w:pPr>
              <w:pStyle w:val="71"/>
              <w:spacing w:before="24" w:after="24"/>
              <w:rPr>
                <w:rFonts w:cs="Times New Roman"/>
              </w:rPr>
            </w:pPr>
            <w:r>
              <w:rPr>
                <w:rFonts w:cs="Times New Roman"/>
              </w:rPr>
              <w:t>2.0</w:t>
            </w:r>
          </w:p>
        </w:tc>
        <w:tc>
          <w:tcPr>
            <w:tcW w:w="2997" w:type="dxa"/>
            <w:vAlign w:val="center"/>
          </w:tcPr>
          <w:p w14:paraId="2391C409">
            <w:pPr>
              <w:pStyle w:val="71"/>
              <w:spacing w:before="24" w:after="24"/>
              <w:rPr>
                <w:rFonts w:cs="Times New Roman"/>
              </w:rPr>
            </w:pPr>
            <w:r>
              <w:rPr>
                <w:rFonts w:cs="Times New Roman"/>
              </w:rPr>
              <w:t>1.5</w:t>
            </w:r>
          </w:p>
        </w:tc>
      </w:tr>
      <w:tr w14:paraId="6340B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34" w:type="dxa"/>
            <w:gridSpan w:val="2"/>
            <w:vAlign w:val="center"/>
          </w:tcPr>
          <w:p w14:paraId="4E211AD0">
            <w:pPr>
              <w:pStyle w:val="71"/>
              <w:spacing w:before="24" w:after="24"/>
              <w:rPr>
                <w:rFonts w:cs="Times New Roman"/>
              </w:rPr>
            </w:pPr>
            <w:r>
              <w:rPr>
                <w:rFonts w:cs="Times New Roman"/>
              </w:rPr>
              <w:t>挡土墙顶内和墙角外</w:t>
            </w:r>
          </w:p>
        </w:tc>
        <w:tc>
          <w:tcPr>
            <w:tcW w:w="3237" w:type="dxa"/>
            <w:vAlign w:val="center"/>
          </w:tcPr>
          <w:p w14:paraId="670E8B08">
            <w:pPr>
              <w:pStyle w:val="71"/>
              <w:spacing w:before="24" w:after="24"/>
              <w:rPr>
                <w:rFonts w:cs="Times New Roman"/>
              </w:rPr>
            </w:pPr>
            <w:r>
              <w:rPr>
                <w:rFonts w:cs="Times New Roman"/>
              </w:rPr>
              <w:t>2.0</w:t>
            </w:r>
          </w:p>
        </w:tc>
        <w:tc>
          <w:tcPr>
            <w:tcW w:w="2997" w:type="dxa"/>
            <w:vAlign w:val="center"/>
          </w:tcPr>
          <w:p w14:paraId="33F89A35">
            <w:pPr>
              <w:pStyle w:val="71"/>
              <w:spacing w:before="24" w:after="24"/>
              <w:rPr>
                <w:rFonts w:cs="Times New Roman"/>
              </w:rPr>
            </w:pPr>
            <w:r>
              <w:rPr>
                <w:rFonts w:cs="Times New Roman"/>
              </w:rPr>
              <w:t>0.5</w:t>
            </w:r>
          </w:p>
        </w:tc>
      </w:tr>
      <w:tr w14:paraId="11000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34" w:type="dxa"/>
            <w:gridSpan w:val="2"/>
            <w:vAlign w:val="center"/>
          </w:tcPr>
          <w:p w14:paraId="44BD1DBD">
            <w:pPr>
              <w:pStyle w:val="71"/>
              <w:spacing w:before="24" w:after="24"/>
              <w:rPr>
                <w:rFonts w:cs="Times New Roman"/>
              </w:rPr>
            </w:pPr>
            <w:r>
              <w:rPr>
                <w:rFonts w:cs="Times New Roman"/>
              </w:rPr>
              <w:t>围墙（2m高以下）</w:t>
            </w:r>
          </w:p>
        </w:tc>
        <w:tc>
          <w:tcPr>
            <w:tcW w:w="3237" w:type="dxa"/>
            <w:vAlign w:val="center"/>
          </w:tcPr>
          <w:p w14:paraId="262AA577">
            <w:pPr>
              <w:pStyle w:val="71"/>
              <w:spacing w:before="24" w:after="24"/>
              <w:rPr>
                <w:rFonts w:cs="Times New Roman"/>
              </w:rPr>
            </w:pPr>
            <w:r>
              <w:rPr>
                <w:rFonts w:cs="Times New Roman"/>
              </w:rPr>
              <w:t>1.0</w:t>
            </w:r>
          </w:p>
        </w:tc>
        <w:tc>
          <w:tcPr>
            <w:tcW w:w="2997" w:type="dxa"/>
            <w:vAlign w:val="center"/>
          </w:tcPr>
          <w:p w14:paraId="4D1A9CD9">
            <w:pPr>
              <w:pStyle w:val="71"/>
              <w:spacing w:before="24" w:after="24"/>
              <w:rPr>
                <w:rFonts w:cs="Times New Roman"/>
              </w:rPr>
            </w:pPr>
            <w:r>
              <w:rPr>
                <w:rFonts w:cs="Times New Roman"/>
              </w:rPr>
              <w:t>0.75</w:t>
            </w:r>
          </w:p>
        </w:tc>
      </w:tr>
      <w:tr w14:paraId="019E2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34" w:type="dxa"/>
            <w:gridSpan w:val="2"/>
            <w:vAlign w:val="center"/>
          </w:tcPr>
          <w:p w14:paraId="4983BBB5">
            <w:pPr>
              <w:pStyle w:val="71"/>
              <w:spacing w:before="24" w:after="24"/>
              <w:rPr>
                <w:rFonts w:cs="Times New Roman"/>
              </w:rPr>
            </w:pPr>
            <w:r>
              <w:rPr>
                <w:rFonts w:cs="Times New Roman"/>
              </w:rPr>
              <w:t>道路路边缘</w:t>
            </w:r>
          </w:p>
        </w:tc>
        <w:tc>
          <w:tcPr>
            <w:tcW w:w="3237" w:type="dxa"/>
            <w:vAlign w:val="center"/>
          </w:tcPr>
          <w:p w14:paraId="5DC4F33B">
            <w:pPr>
              <w:pStyle w:val="71"/>
              <w:spacing w:before="24" w:after="24"/>
              <w:rPr>
                <w:rFonts w:cs="Times New Roman"/>
              </w:rPr>
            </w:pPr>
            <w:r>
              <w:rPr>
                <w:rFonts w:cs="Times New Roman"/>
              </w:rPr>
              <w:t>0.75</w:t>
            </w:r>
          </w:p>
        </w:tc>
        <w:tc>
          <w:tcPr>
            <w:tcW w:w="2997" w:type="dxa"/>
            <w:vAlign w:val="center"/>
          </w:tcPr>
          <w:p w14:paraId="67B40E86">
            <w:pPr>
              <w:pStyle w:val="71"/>
              <w:spacing w:before="24" w:after="24"/>
              <w:rPr>
                <w:rFonts w:cs="Times New Roman"/>
              </w:rPr>
            </w:pPr>
            <w:r>
              <w:rPr>
                <w:rFonts w:cs="Times New Roman"/>
              </w:rPr>
              <w:t>0.5</w:t>
            </w:r>
          </w:p>
        </w:tc>
      </w:tr>
      <w:tr w14:paraId="0F3D1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3334" w:type="dxa"/>
            <w:gridSpan w:val="2"/>
            <w:vAlign w:val="center"/>
          </w:tcPr>
          <w:p w14:paraId="2A59035D">
            <w:pPr>
              <w:pStyle w:val="71"/>
              <w:spacing w:before="24" w:after="24"/>
              <w:rPr>
                <w:rFonts w:cs="Times New Roman"/>
              </w:rPr>
            </w:pPr>
            <w:r>
              <w:rPr>
                <w:rFonts w:cs="Times New Roman"/>
              </w:rPr>
              <w:t>人行道路面边缘</w:t>
            </w:r>
          </w:p>
        </w:tc>
        <w:tc>
          <w:tcPr>
            <w:tcW w:w="3237" w:type="dxa"/>
            <w:vAlign w:val="center"/>
          </w:tcPr>
          <w:p w14:paraId="33E2D131">
            <w:pPr>
              <w:pStyle w:val="71"/>
              <w:spacing w:before="24" w:after="24"/>
              <w:rPr>
                <w:rFonts w:cs="Times New Roman"/>
              </w:rPr>
            </w:pPr>
            <w:r>
              <w:rPr>
                <w:rFonts w:cs="Times New Roman"/>
              </w:rPr>
              <w:t>0.75</w:t>
            </w:r>
          </w:p>
        </w:tc>
        <w:tc>
          <w:tcPr>
            <w:tcW w:w="2997" w:type="dxa"/>
            <w:vAlign w:val="center"/>
          </w:tcPr>
          <w:p w14:paraId="1F8011F1">
            <w:pPr>
              <w:pStyle w:val="71"/>
              <w:spacing w:before="24" w:after="24"/>
              <w:rPr>
                <w:rFonts w:cs="Times New Roman"/>
              </w:rPr>
            </w:pPr>
            <w:r>
              <w:rPr>
                <w:rFonts w:cs="Times New Roman"/>
              </w:rPr>
              <w:t>0.5</w:t>
            </w:r>
          </w:p>
        </w:tc>
      </w:tr>
      <w:tr w14:paraId="253B7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34" w:type="dxa"/>
            <w:gridSpan w:val="2"/>
            <w:vAlign w:val="center"/>
          </w:tcPr>
          <w:p w14:paraId="34C8932C">
            <w:pPr>
              <w:pStyle w:val="71"/>
              <w:spacing w:before="24" w:after="24"/>
              <w:rPr>
                <w:rFonts w:cs="Times New Roman"/>
              </w:rPr>
            </w:pPr>
            <w:r>
              <w:rPr>
                <w:rFonts w:cs="Times New Roman"/>
              </w:rPr>
              <w:t>排水沟边缘</w:t>
            </w:r>
          </w:p>
        </w:tc>
        <w:tc>
          <w:tcPr>
            <w:tcW w:w="3237" w:type="dxa"/>
            <w:vAlign w:val="center"/>
          </w:tcPr>
          <w:p w14:paraId="0DC2DA70">
            <w:pPr>
              <w:pStyle w:val="71"/>
              <w:spacing w:before="24" w:after="24"/>
              <w:rPr>
                <w:rFonts w:cs="Times New Roman"/>
              </w:rPr>
            </w:pPr>
            <w:r>
              <w:rPr>
                <w:rFonts w:cs="Times New Roman"/>
              </w:rPr>
              <w:t>1</w:t>
            </w:r>
          </w:p>
        </w:tc>
        <w:tc>
          <w:tcPr>
            <w:tcW w:w="2997" w:type="dxa"/>
            <w:vAlign w:val="center"/>
          </w:tcPr>
          <w:p w14:paraId="0742B58C">
            <w:pPr>
              <w:pStyle w:val="71"/>
              <w:spacing w:before="24" w:after="24"/>
              <w:rPr>
                <w:rFonts w:cs="Times New Roman"/>
              </w:rPr>
            </w:pPr>
            <w:r>
              <w:rPr>
                <w:rFonts w:cs="Times New Roman"/>
              </w:rPr>
              <w:t>0.3</w:t>
            </w:r>
          </w:p>
        </w:tc>
      </w:tr>
      <w:tr w14:paraId="73E71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34" w:type="dxa"/>
            <w:gridSpan w:val="2"/>
            <w:vAlign w:val="center"/>
          </w:tcPr>
          <w:p w14:paraId="75320C14">
            <w:pPr>
              <w:pStyle w:val="71"/>
              <w:spacing w:before="24" w:after="24"/>
              <w:rPr>
                <w:rFonts w:cs="Times New Roman"/>
              </w:rPr>
            </w:pPr>
            <w:r>
              <w:rPr>
                <w:rFonts w:cs="Times New Roman"/>
              </w:rPr>
              <w:t>体育用场地</w:t>
            </w:r>
          </w:p>
        </w:tc>
        <w:tc>
          <w:tcPr>
            <w:tcW w:w="3237" w:type="dxa"/>
            <w:vAlign w:val="center"/>
          </w:tcPr>
          <w:p w14:paraId="1C064E65">
            <w:pPr>
              <w:pStyle w:val="71"/>
              <w:spacing w:before="24" w:after="24"/>
              <w:rPr>
                <w:rFonts w:cs="Times New Roman"/>
              </w:rPr>
            </w:pPr>
            <w:r>
              <w:rPr>
                <w:rFonts w:cs="Times New Roman"/>
              </w:rPr>
              <w:t>3.0</w:t>
            </w:r>
          </w:p>
        </w:tc>
        <w:tc>
          <w:tcPr>
            <w:tcW w:w="2997" w:type="dxa"/>
            <w:vAlign w:val="center"/>
          </w:tcPr>
          <w:p w14:paraId="38FA42F2">
            <w:pPr>
              <w:pStyle w:val="71"/>
              <w:spacing w:before="24" w:after="24"/>
              <w:rPr>
                <w:rFonts w:cs="Times New Roman"/>
              </w:rPr>
            </w:pPr>
            <w:r>
              <w:rPr>
                <w:rFonts w:cs="Times New Roman"/>
              </w:rPr>
              <w:t>3.0</w:t>
            </w:r>
          </w:p>
        </w:tc>
      </w:tr>
    </w:tbl>
    <w:p w14:paraId="038FB867">
      <w:pPr>
        <w:pStyle w:val="54"/>
        <w:spacing w:before="24" w:after="24"/>
      </w:pPr>
      <w:r>
        <w:t>9.4应保护自然生态环境，并应对古树名木采取保护措施。</w:t>
      </w:r>
    </w:p>
    <w:p w14:paraId="3BA1EE28">
      <w:pPr>
        <w:pStyle w:val="54"/>
        <w:spacing w:before="24" w:after="24"/>
      </w:pPr>
      <w:r>
        <w:t>9.5中小学校应设置集中绿地。集中绿地的宽度不应小于8m。</w:t>
      </w:r>
    </w:p>
    <w:p w14:paraId="4E3A4AD9">
      <w:pPr>
        <w:pStyle w:val="54"/>
        <w:spacing w:before="24" w:after="24"/>
      </w:pPr>
      <w:r>
        <w:t>9.6绿化设计植物选用应参照《叶枝镇植物名录》，植物数量详见景观绿化施工图，绿化植物包括但不限于以下类型：</w:t>
      </w:r>
    </w:p>
    <w:tbl>
      <w:tblPr>
        <w:tblStyle w:val="30"/>
        <w:tblW w:w="93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7"/>
        <w:gridCol w:w="1971"/>
        <w:gridCol w:w="1634"/>
        <w:gridCol w:w="1687"/>
        <w:gridCol w:w="3128"/>
      </w:tblGrid>
      <w:tr w14:paraId="61872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957" w:type="dxa"/>
            <w:tcBorders>
              <w:top w:val="single" w:color="000000" w:sz="4" w:space="0"/>
              <w:left w:val="single" w:color="000000" w:sz="4" w:space="0"/>
              <w:bottom w:val="single" w:color="000000" w:sz="4" w:space="0"/>
              <w:right w:val="single" w:color="000000" w:sz="4" w:space="0"/>
            </w:tcBorders>
            <w:vAlign w:val="center"/>
          </w:tcPr>
          <w:p w14:paraId="2D564A43">
            <w:pPr>
              <w:pStyle w:val="71"/>
              <w:spacing w:before="24" w:after="24"/>
              <w:rPr>
                <w:rFonts w:cs="Times New Roman"/>
              </w:rPr>
            </w:pPr>
            <w:r>
              <w:rPr>
                <w:rFonts w:cs="Times New Roman"/>
              </w:rPr>
              <w:t>序号</w:t>
            </w:r>
          </w:p>
        </w:tc>
        <w:tc>
          <w:tcPr>
            <w:tcW w:w="1971" w:type="dxa"/>
            <w:tcBorders>
              <w:top w:val="single" w:color="000000" w:sz="4" w:space="0"/>
              <w:left w:val="single" w:color="000000" w:sz="4" w:space="0"/>
              <w:bottom w:val="single" w:color="000000" w:sz="4" w:space="0"/>
              <w:right w:val="single" w:color="000000" w:sz="4" w:space="0"/>
            </w:tcBorders>
            <w:vAlign w:val="center"/>
          </w:tcPr>
          <w:p w14:paraId="626BC79A">
            <w:pPr>
              <w:pStyle w:val="71"/>
              <w:spacing w:before="24" w:after="24"/>
              <w:rPr>
                <w:rFonts w:cs="Times New Roman"/>
              </w:rPr>
            </w:pPr>
            <w:r>
              <w:rPr>
                <w:rFonts w:cs="Times New Roman"/>
              </w:rPr>
              <w:t>苗木名称</w:t>
            </w:r>
          </w:p>
        </w:tc>
        <w:tc>
          <w:tcPr>
            <w:tcW w:w="1634" w:type="dxa"/>
            <w:tcBorders>
              <w:top w:val="single" w:color="000000" w:sz="4" w:space="0"/>
              <w:left w:val="single" w:color="000000" w:sz="4" w:space="0"/>
              <w:bottom w:val="single" w:color="000000" w:sz="4" w:space="0"/>
              <w:right w:val="single" w:color="000000" w:sz="4" w:space="0"/>
            </w:tcBorders>
            <w:vAlign w:val="center"/>
          </w:tcPr>
          <w:p w14:paraId="5BD541ED">
            <w:pPr>
              <w:pStyle w:val="71"/>
              <w:spacing w:before="24" w:after="24"/>
              <w:rPr>
                <w:rFonts w:cs="Times New Roman"/>
              </w:rPr>
            </w:pPr>
            <w:r>
              <w:rPr>
                <w:rFonts w:cs="Times New Roman"/>
              </w:rPr>
              <w:t>胸（地）径（cm）</w:t>
            </w:r>
          </w:p>
        </w:tc>
        <w:tc>
          <w:tcPr>
            <w:tcW w:w="1687" w:type="dxa"/>
            <w:tcBorders>
              <w:top w:val="single" w:color="000000" w:sz="4" w:space="0"/>
              <w:left w:val="single" w:color="000000" w:sz="4" w:space="0"/>
              <w:bottom w:val="single" w:color="000000" w:sz="4" w:space="0"/>
              <w:right w:val="single" w:color="000000" w:sz="4" w:space="0"/>
            </w:tcBorders>
            <w:vAlign w:val="center"/>
          </w:tcPr>
          <w:p w14:paraId="1F4EF8EA">
            <w:pPr>
              <w:pStyle w:val="71"/>
              <w:spacing w:before="24" w:after="24"/>
              <w:rPr>
                <w:rFonts w:cs="Times New Roman"/>
              </w:rPr>
            </w:pPr>
            <w:r>
              <w:rPr>
                <w:rFonts w:cs="Times New Roman"/>
              </w:rPr>
              <w:t>树高</w:t>
            </w:r>
          </w:p>
          <w:p w14:paraId="33AFFE5A">
            <w:pPr>
              <w:pStyle w:val="71"/>
              <w:spacing w:before="24" w:after="24"/>
              <w:rPr>
                <w:rFonts w:cs="Times New Roman"/>
              </w:rPr>
            </w:pPr>
            <w:r>
              <w:rPr>
                <w:rFonts w:cs="Times New Roman"/>
              </w:rPr>
              <w:t>（m）</w:t>
            </w:r>
          </w:p>
        </w:tc>
        <w:tc>
          <w:tcPr>
            <w:tcW w:w="3128" w:type="dxa"/>
            <w:tcBorders>
              <w:top w:val="single" w:color="000000" w:sz="4" w:space="0"/>
              <w:left w:val="single" w:color="000000" w:sz="4" w:space="0"/>
              <w:bottom w:val="single" w:color="000000" w:sz="4" w:space="0"/>
              <w:right w:val="single" w:color="000000" w:sz="4" w:space="0"/>
            </w:tcBorders>
            <w:vAlign w:val="center"/>
          </w:tcPr>
          <w:p w14:paraId="01BD9844">
            <w:pPr>
              <w:pStyle w:val="71"/>
              <w:spacing w:before="24" w:after="24"/>
              <w:rPr>
                <w:rFonts w:cs="Times New Roman"/>
              </w:rPr>
            </w:pPr>
            <w:r>
              <w:rPr>
                <w:rFonts w:cs="Times New Roman"/>
              </w:rPr>
              <w:t>备注</w:t>
            </w:r>
          </w:p>
        </w:tc>
      </w:tr>
      <w:tr w14:paraId="36198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8" w:hRule="atLeast"/>
          <w:jc w:val="center"/>
        </w:trPr>
        <w:tc>
          <w:tcPr>
            <w:tcW w:w="9377" w:type="dxa"/>
            <w:gridSpan w:val="5"/>
            <w:tcBorders>
              <w:top w:val="single" w:color="000000" w:sz="4" w:space="0"/>
              <w:left w:val="single" w:color="000000" w:sz="4" w:space="0"/>
              <w:bottom w:val="single" w:color="000000" w:sz="4" w:space="0"/>
              <w:right w:val="single" w:color="000000" w:sz="4" w:space="0"/>
            </w:tcBorders>
            <w:vAlign w:val="center"/>
          </w:tcPr>
          <w:p w14:paraId="19CF05AD">
            <w:pPr>
              <w:pStyle w:val="71"/>
              <w:spacing w:before="24" w:after="24"/>
              <w:rPr>
                <w:rFonts w:cs="Times New Roman"/>
              </w:rPr>
            </w:pPr>
            <w:r>
              <w:rPr>
                <w:rFonts w:cs="Times New Roman"/>
              </w:rPr>
              <w:t>乔木</w:t>
            </w:r>
          </w:p>
        </w:tc>
      </w:tr>
      <w:tr w14:paraId="5C3FC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7" w:type="dxa"/>
            <w:tcBorders>
              <w:top w:val="single" w:color="000000" w:sz="4" w:space="0"/>
              <w:left w:val="single" w:color="000000" w:sz="4" w:space="0"/>
              <w:bottom w:val="single" w:color="000000" w:sz="4" w:space="0"/>
              <w:right w:val="single" w:color="000000" w:sz="4" w:space="0"/>
            </w:tcBorders>
            <w:vAlign w:val="center"/>
          </w:tcPr>
          <w:p w14:paraId="0D5EBDD0">
            <w:pPr>
              <w:pStyle w:val="71"/>
              <w:spacing w:before="24" w:after="24"/>
              <w:rPr>
                <w:rFonts w:cs="Times New Roman"/>
              </w:rPr>
            </w:pPr>
            <w:r>
              <w:rPr>
                <w:rFonts w:cs="Times New Roman"/>
              </w:rPr>
              <w:t>1</w:t>
            </w:r>
          </w:p>
        </w:tc>
        <w:tc>
          <w:tcPr>
            <w:tcW w:w="1971" w:type="dxa"/>
            <w:tcBorders>
              <w:top w:val="single" w:color="000000" w:sz="4" w:space="0"/>
              <w:left w:val="single" w:color="000000" w:sz="4" w:space="0"/>
              <w:bottom w:val="single" w:color="000000" w:sz="4" w:space="0"/>
              <w:right w:val="single" w:color="000000" w:sz="4" w:space="0"/>
            </w:tcBorders>
            <w:vAlign w:val="center"/>
          </w:tcPr>
          <w:p w14:paraId="06A4929B">
            <w:pPr>
              <w:pStyle w:val="71"/>
              <w:spacing w:before="24" w:after="24"/>
              <w:rPr>
                <w:rFonts w:cs="Times New Roman"/>
              </w:rPr>
            </w:pPr>
            <w:r>
              <w:rPr>
                <w:rFonts w:cs="Times New Roman"/>
              </w:rPr>
              <w:t>滇朴</w:t>
            </w:r>
          </w:p>
        </w:tc>
        <w:tc>
          <w:tcPr>
            <w:tcW w:w="1634" w:type="dxa"/>
            <w:tcBorders>
              <w:top w:val="single" w:color="000000" w:sz="4" w:space="0"/>
              <w:left w:val="single" w:color="000000" w:sz="4" w:space="0"/>
              <w:bottom w:val="single" w:color="000000" w:sz="4" w:space="0"/>
              <w:right w:val="single" w:color="000000" w:sz="4" w:space="0"/>
            </w:tcBorders>
            <w:vAlign w:val="center"/>
          </w:tcPr>
          <w:p w14:paraId="72990711">
            <w:pPr>
              <w:pStyle w:val="71"/>
              <w:spacing w:before="24" w:after="24"/>
              <w:rPr>
                <w:rFonts w:cs="Times New Roman"/>
              </w:rPr>
            </w:pPr>
            <w:r>
              <w:rPr>
                <w:rFonts w:cs="Times New Roman"/>
              </w:rPr>
              <w:t>8.0-10.0</w:t>
            </w:r>
          </w:p>
        </w:tc>
        <w:tc>
          <w:tcPr>
            <w:tcW w:w="1687" w:type="dxa"/>
            <w:tcBorders>
              <w:top w:val="single" w:color="000000" w:sz="4" w:space="0"/>
              <w:left w:val="single" w:color="000000" w:sz="4" w:space="0"/>
              <w:bottom w:val="single" w:color="000000" w:sz="4" w:space="0"/>
              <w:right w:val="single" w:color="000000" w:sz="4" w:space="0"/>
            </w:tcBorders>
            <w:vAlign w:val="center"/>
          </w:tcPr>
          <w:p w14:paraId="73B1114E">
            <w:pPr>
              <w:pStyle w:val="71"/>
              <w:spacing w:before="24" w:after="24"/>
              <w:rPr>
                <w:rFonts w:cs="Times New Roman"/>
              </w:rPr>
            </w:pPr>
            <w:r>
              <w:rPr>
                <w:rFonts w:cs="Times New Roman"/>
              </w:rPr>
              <w:t>2.0-2.5</w:t>
            </w:r>
          </w:p>
        </w:tc>
        <w:tc>
          <w:tcPr>
            <w:tcW w:w="3128" w:type="dxa"/>
            <w:tcBorders>
              <w:top w:val="single" w:color="000000" w:sz="4" w:space="0"/>
              <w:left w:val="single" w:color="000000" w:sz="4" w:space="0"/>
              <w:bottom w:val="single" w:color="000000" w:sz="4" w:space="0"/>
              <w:right w:val="single" w:color="000000" w:sz="4" w:space="0"/>
            </w:tcBorders>
            <w:vAlign w:val="center"/>
          </w:tcPr>
          <w:p w14:paraId="6AF1E088">
            <w:pPr>
              <w:pStyle w:val="71"/>
              <w:spacing w:before="24" w:after="24"/>
              <w:rPr>
                <w:rFonts w:cs="Times New Roman"/>
              </w:rPr>
            </w:pPr>
            <w:r>
              <w:rPr>
                <w:rFonts w:cs="Times New Roman"/>
              </w:rPr>
              <w:t>全树冠精品树苗，树形优美</w:t>
            </w:r>
          </w:p>
        </w:tc>
      </w:tr>
      <w:tr w14:paraId="2012F7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7" w:type="dxa"/>
            <w:tcBorders>
              <w:top w:val="single" w:color="000000" w:sz="4" w:space="0"/>
              <w:left w:val="single" w:color="000000" w:sz="4" w:space="0"/>
              <w:bottom w:val="single" w:color="000000" w:sz="4" w:space="0"/>
              <w:right w:val="single" w:color="000000" w:sz="4" w:space="0"/>
            </w:tcBorders>
            <w:vAlign w:val="center"/>
          </w:tcPr>
          <w:p w14:paraId="1543CBCD">
            <w:pPr>
              <w:pStyle w:val="71"/>
              <w:spacing w:before="24" w:after="24"/>
              <w:rPr>
                <w:rFonts w:cs="Times New Roman"/>
              </w:rPr>
            </w:pPr>
            <w:r>
              <w:rPr>
                <w:rFonts w:cs="Times New Roman"/>
              </w:rPr>
              <w:t>2</w:t>
            </w:r>
          </w:p>
        </w:tc>
        <w:tc>
          <w:tcPr>
            <w:tcW w:w="1971" w:type="dxa"/>
            <w:tcBorders>
              <w:top w:val="single" w:color="000000" w:sz="4" w:space="0"/>
              <w:left w:val="single" w:color="000000" w:sz="4" w:space="0"/>
              <w:bottom w:val="single" w:color="000000" w:sz="4" w:space="0"/>
              <w:right w:val="single" w:color="000000" w:sz="4" w:space="0"/>
            </w:tcBorders>
            <w:vAlign w:val="center"/>
          </w:tcPr>
          <w:p w14:paraId="64EE312A">
            <w:pPr>
              <w:pStyle w:val="71"/>
              <w:spacing w:before="24" w:after="24"/>
              <w:rPr>
                <w:rFonts w:cs="Times New Roman"/>
              </w:rPr>
            </w:pPr>
            <w:r>
              <w:rPr>
                <w:rFonts w:cs="Times New Roman"/>
              </w:rPr>
              <w:t>球花石楠</w:t>
            </w:r>
          </w:p>
        </w:tc>
        <w:tc>
          <w:tcPr>
            <w:tcW w:w="1634" w:type="dxa"/>
            <w:tcBorders>
              <w:top w:val="single" w:color="000000" w:sz="4" w:space="0"/>
              <w:left w:val="single" w:color="000000" w:sz="4" w:space="0"/>
              <w:bottom w:val="single" w:color="000000" w:sz="4" w:space="0"/>
              <w:right w:val="single" w:color="000000" w:sz="4" w:space="0"/>
            </w:tcBorders>
            <w:vAlign w:val="center"/>
          </w:tcPr>
          <w:p w14:paraId="20E11338">
            <w:pPr>
              <w:pStyle w:val="71"/>
              <w:spacing w:before="24" w:after="24"/>
              <w:rPr>
                <w:rFonts w:cs="Times New Roman"/>
              </w:rPr>
            </w:pPr>
            <w:r>
              <w:rPr>
                <w:rFonts w:cs="Times New Roman"/>
              </w:rPr>
              <w:t>8.0-9.0</w:t>
            </w:r>
          </w:p>
        </w:tc>
        <w:tc>
          <w:tcPr>
            <w:tcW w:w="1687" w:type="dxa"/>
            <w:tcBorders>
              <w:top w:val="single" w:color="000000" w:sz="4" w:space="0"/>
              <w:left w:val="single" w:color="000000" w:sz="4" w:space="0"/>
              <w:bottom w:val="single" w:color="000000" w:sz="4" w:space="0"/>
              <w:right w:val="single" w:color="000000" w:sz="4" w:space="0"/>
            </w:tcBorders>
            <w:vAlign w:val="center"/>
          </w:tcPr>
          <w:p w14:paraId="75AB0197">
            <w:pPr>
              <w:pStyle w:val="71"/>
              <w:spacing w:before="24" w:after="24"/>
              <w:rPr>
                <w:rFonts w:cs="Times New Roman"/>
              </w:rPr>
            </w:pPr>
            <w:r>
              <w:rPr>
                <w:rFonts w:cs="Times New Roman"/>
              </w:rPr>
              <w:t>2.0-2.5</w:t>
            </w:r>
          </w:p>
        </w:tc>
        <w:tc>
          <w:tcPr>
            <w:tcW w:w="3128" w:type="dxa"/>
            <w:tcBorders>
              <w:top w:val="single" w:color="000000" w:sz="4" w:space="0"/>
              <w:left w:val="single" w:color="000000" w:sz="4" w:space="0"/>
              <w:bottom w:val="single" w:color="000000" w:sz="4" w:space="0"/>
              <w:right w:val="single" w:color="000000" w:sz="4" w:space="0"/>
            </w:tcBorders>
            <w:vAlign w:val="center"/>
          </w:tcPr>
          <w:p w14:paraId="3C68EB2D">
            <w:pPr>
              <w:pStyle w:val="71"/>
              <w:spacing w:before="24" w:after="24"/>
              <w:rPr>
                <w:rFonts w:cs="Times New Roman"/>
              </w:rPr>
            </w:pPr>
            <w:r>
              <w:rPr>
                <w:rFonts w:cs="Times New Roman"/>
              </w:rPr>
              <w:t>全树冠精品树苗，树形优美</w:t>
            </w:r>
          </w:p>
        </w:tc>
      </w:tr>
      <w:tr w14:paraId="3B1A2D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7" w:type="dxa"/>
            <w:tcBorders>
              <w:top w:val="single" w:color="000000" w:sz="4" w:space="0"/>
              <w:left w:val="single" w:color="000000" w:sz="4" w:space="0"/>
              <w:bottom w:val="single" w:color="000000" w:sz="4" w:space="0"/>
              <w:right w:val="single" w:color="000000" w:sz="4" w:space="0"/>
            </w:tcBorders>
            <w:vAlign w:val="center"/>
          </w:tcPr>
          <w:p w14:paraId="12B8BD14">
            <w:pPr>
              <w:pStyle w:val="71"/>
              <w:spacing w:before="24" w:after="24"/>
              <w:rPr>
                <w:rFonts w:cs="Times New Roman"/>
              </w:rPr>
            </w:pPr>
            <w:r>
              <w:rPr>
                <w:rFonts w:cs="Times New Roman"/>
              </w:rPr>
              <w:t>3</w:t>
            </w:r>
          </w:p>
        </w:tc>
        <w:tc>
          <w:tcPr>
            <w:tcW w:w="1971" w:type="dxa"/>
            <w:tcBorders>
              <w:top w:val="single" w:color="000000" w:sz="4" w:space="0"/>
              <w:left w:val="single" w:color="000000" w:sz="4" w:space="0"/>
              <w:bottom w:val="single" w:color="000000" w:sz="4" w:space="0"/>
              <w:right w:val="single" w:color="000000" w:sz="4" w:space="0"/>
            </w:tcBorders>
            <w:vAlign w:val="center"/>
          </w:tcPr>
          <w:p w14:paraId="543A60B0">
            <w:pPr>
              <w:pStyle w:val="71"/>
              <w:spacing w:before="24" w:after="24"/>
              <w:rPr>
                <w:rFonts w:cs="Times New Roman"/>
              </w:rPr>
            </w:pPr>
            <w:r>
              <w:rPr>
                <w:rFonts w:cs="Times New Roman"/>
              </w:rPr>
              <w:t>头状四照花</w:t>
            </w:r>
          </w:p>
        </w:tc>
        <w:tc>
          <w:tcPr>
            <w:tcW w:w="1634" w:type="dxa"/>
            <w:tcBorders>
              <w:top w:val="single" w:color="000000" w:sz="4" w:space="0"/>
              <w:left w:val="single" w:color="000000" w:sz="4" w:space="0"/>
              <w:bottom w:val="single" w:color="000000" w:sz="4" w:space="0"/>
              <w:right w:val="single" w:color="000000" w:sz="4" w:space="0"/>
            </w:tcBorders>
            <w:vAlign w:val="center"/>
          </w:tcPr>
          <w:p w14:paraId="5E9C1129">
            <w:pPr>
              <w:pStyle w:val="71"/>
              <w:spacing w:before="24" w:after="24"/>
              <w:rPr>
                <w:rFonts w:cs="Times New Roman"/>
              </w:rPr>
            </w:pPr>
            <w:r>
              <w:rPr>
                <w:rFonts w:cs="Times New Roman"/>
              </w:rPr>
              <w:t>8.0-9.0</w:t>
            </w:r>
          </w:p>
        </w:tc>
        <w:tc>
          <w:tcPr>
            <w:tcW w:w="1687" w:type="dxa"/>
            <w:tcBorders>
              <w:top w:val="single" w:color="000000" w:sz="4" w:space="0"/>
              <w:left w:val="single" w:color="000000" w:sz="4" w:space="0"/>
              <w:bottom w:val="single" w:color="000000" w:sz="4" w:space="0"/>
              <w:right w:val="single" w:color="000000" w:sz="4" w:space="0"/>
            </w:tcBorders>
            <w:vAlign w:val="center"/>
          </w:tcPr>
          <w:p w14:paraId="244B27D7">
            <w:pPr>
              <w:pStyle w:val="71"/>
              <w:spacing w:before="24" w:after="24"/>
              <w:rPr>
                <w:rFonts w:cs="Times New Roman"/>
              </w:rPr>
            </w:pPr>
            <w:r>
              <w:rPr>
                <w:rFonts w:cs="Times New Roman"/>
              </w:rPr>
              <w:t>2.0-2.5</w:t>
            </w:r>
          </w:p>
        </w:tc>
        <w:tc>
          <w:tcPr>
            <w:tcW w:w="3128" w:type="dxa"/>
            <w:tcBorders>
              <w:top w:val="single" w:color="000000" w:sz="4" w:space="0"/>
              <w:left w:val="single" w:color="000000" w:sz="4" w:space="0"/>
              <w:bottom w:val="single" w:color="000000" w:sz="4" w:space="0"/>
              <w:right w:val="single" w:color="000000" w:sz="4" w:space="0"/>
            </w:tcBorders>
            <w:vAlign w:val="center"/>
          </w:tcPr>
          <w:p w14:paraId="724423B1">
            <w:pPr>
              <w:pStyle w:val="71"/>
              <w:spacing w:before="24" w:after="24"/>
              <w:rPr>
                <w:rFonts w:cs="Times New Roman"/>
              </w:rPr>
            </w:pPr>
            <w:r>
              <w:rPr>
                <w:rFonts w:cs="Times New Roman"/>
              </w:rPr>
              <w:t>全树冠精品树苗，树形优美</w:t>
            </w:r>
          </w:p>
        </w:tc>
      </w:tr>
      <w:tr w14:paraId="7C1B7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7" w:type="dxa"/>
            <w:tcBorders>
              <w:top w:val="single" w:color="000000" w:sz="4" w:space="0"/>
              <w:left w:val="single" w:color="000000" w:sz="4" w:space="0"/>
              <w:bottom w:val="single" w:color="000000" w:sz="4" w:space="0"/>
              <w:right w:val="single" w:color="000000" w:sz="4" w:space="0"/>
            </w:tcBorders>
            <w:vAlign w:val="center"/>
          </w:tcPr>
          <w:p w14:paraId="7643ABCD">
            <w:pPr>
              <w:pStyle w:val="71"/>
              <w:spacing w:before="24" w:after="24"/>
              <w:rPr>
                <w:rFonts w:cs="Times New Roman"/>
              </w:rPr>
            </w:pPr>
            <w:r>
              <w:rPr>
                <w:rFonts w:cs="Times New Roman"/>
              </w:rPr>
              <w:t>4</w:t>
            </w:r>
          </w:p>
        </w:tc>
        <w:tc>
          <w:tcPr>
            <w:tcW w:w="1971" w:type="dxa"/>
            <w:tcBorders>
              <w:top w:val="single" w:color="000000" w:sz="4" w:space="0"/>
              <w:left w:val="single" w:color="000000" w:sz="4" w:space="0"/>
              <w:bottom w:val="single" w:color="000000" w:sz="4" w:space="0"/>
              <w:right w:val="single" w:color="000000" w:sz="4" w:space="0"/>
            </w:tcBorders>
            <w:vAlign w:val="center"/>
          </w:tcPr>
          <w:p w14:paraId="1D22C7DE">
            <w:pPr>
              <w:pStyle w:val="71"/>
              <w:spacing w:before="24" w:after="24"/>
              <w:rPr>
                <w:rFonts w:cs="Times New Roman"/>
              </w:rPr>
            </w:pPr>
            <w:r>
              <w:rPr>
                <w:rFonts w:cs="Times New Roman"/>
              </w:rPr>
              <w:t>金桂</w:t>
            </w:r>
          </w:p>
        </w:tc>
        <w:tc>
          <w:tcPr>
            <w:tcW w:w="1634" w:type="dxa"/>
            <w:tcBorders>
              <w:top w:val="single" w:color="000000" w:sz="4" w:space="0"/>
              <w:left w:val="single" w:color="000000" w:sz="4" w:space="0"/>
              <w:bottom w:val="single" w:color="000000" w:sz="4" w:space="0"/>
              <w:right w:val="single" w:color="000000" w:sz="4" w:space="0"/>
            </w:tcBorders>
            <w:vAlign w:val="center"/>
          </w:tcPr>
          <w:p w14:paraId="5A5A54CE">
            <w:pPr>
              <w:pStyle w:val="71"/>
              <w:spacing w:before="24" w:after="24"/>
              <w:rPr>
                <w:rFonts w:cs="Times New Roman"/>
              </w:rPr>
            </w:pPr>
            <w:r>
              <w:rPr>
                <w:rFonts w:cs="Times New Roman"/>
              </w:rPr>
              <w:t>8.0-9.0</w:t>
            </w:r>
          </w:p>
        </w:tc>
        <w:tc>
          <w:tcPr>
            <w:tcW w:w="1687" w:type="dxa"/>
            <w:tcBorders>
              <w:top w:val="single" w:color="000000" w:sz="4" w:space="0"/>
              <w:left w:val="single" w:color="000000" w:sz="4" w:space="0"/>
              <w:bottom w:val="single" w:color="000000" w:sz="4" w:space="0"/>
              <w:right w:val="single" w:color="000000" w:sz="4" w:space="0"/>
            </w:tcBorders>
            <w:vAlign w:val="center"/>
          </w:tcPr>
          <w:p w14:paraId="567455C6">
            <w:pPr>
              <w:pStyle w:val="71"/>
              <w:spacing w:before="24" w:after="24"/>
              <w:rPr>
                <w:rFonts w:cs="Times New Roman"/>
              </w:rPr>
            </w:pPr>
            <w:r>
              <w:rPr>
                <w:rFonts w:cs="Times New Roman"/>
              </w:rPr>
              <w:t>2.0-2.5</w:t>
            </w:r>
          </w:p>
        </w:tc>
        <w:tc>
          <w:tcPr>
            <w:tcW w:w="3128" w:type="dxa"/>
            <w:tcBorders>
              <w:top w:val="single" w:color="000000" w:sz="4" w:space="0"/>
              <w:left w:val="single" w:color="000000" w:sz="4" w:space="0"/>
              <w:bottom w:val="single" w:color="000000" w:sz="4" w:space="0"/>
              <w:right w:val="single" w:color="000000" w:sz="4" w:space="0"/>
            </w:tcBorders>
            <w:vAlign w:val="center"/>
          </w:tcPr>
          <w:p w14:paraId="480B7F32">
            <w:pPr>
              <w:pStyle w:val="71"/>
              <w:spacing w:before="24" w:after="24"/>
              <w:rPr>
                <w:rFonts w:cs="Times New Roman"/>
              </w:rPr>
            </w:pPr>
            <w:r>
              <w:rPr>
                <w:rFonts w:cs="Times New Roman"/>
              </w:rPr>
              <w:t>全树冠精品树苗，树形优美</w:t>
            </w:r>
          </w:p>
        </w:tc>
      </w:tr>
      <w:tr w14:paraId="53AD7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7" w:type="dxa"/>
            <w:tcBorders>
              <w:top w:val="single" w:color="000000" w:sz="4" w:space="0"/>
              <w:left w:val="single" w:color="000000" w:sz="4" w:space="0"/>
              <w:bottom w:val="single" w:color="000000" w:sz="4" w:space="0"/>
              <w:right w:val="single" w:color="000000" w:sz="4" w:space="0"/>
            </w:tcBorders>
            <w:vAlign w:val="center"/>
          </w:tcPr>
          <w:p w14:paraId="454D86E8">
            <w:pPr>
              <w:pStyle w:val="71"/>
              <w:spacing w:before="24" w:after="24"/>
              <w:rPr>
                <w:rFonts w:cs="Times New Roman"/>
              </w:rPr>
            </w:pPr>
            <w:r>
              <w:rPr>
                <w:rFonts w:cs="Times New Roman"/>
              </w:rPr>
              <w:t>5</w:t>
            </w:r>
          </w:p>
        </w:tc>
        <w:tc>
          <w:tcPr>
            <w:tcW w:w="1971" w:type="dxa"/>
            <w:tcBorders>
              <w:top w:val="single" w:color="000000" w:sz="4" w:space="0"/>
              <w:left w:val="single" w:color="000000" w:sz="4" w:space="0"/>
              <w:bottom w:val="single" w:color="000000" w:sz="4" w:space="0"/>
              <w:right w:val="single" w:color="000000" w:sz="4" w:space="0"/>
            </w:tcBorders>
            <w:vAlign w:val="center"/>
          </w:tcPr>
          <w:p w14:paraId="4A3D47A0">
            <w:pPr>
              <w:pStyle w:val="71"/>
              <w:spacing w:before="24" w:after="24"/>
              <w:rPr>
                <w:rFonts w:cs="Times New Roman"/>
              </w:rPr>
            </w:pPr>
            <w:r>
              <w:rPr>
                <w:rFonts w:cs="Times New Roman"/>
              </w:rPr>
              <w:t>枫香</w:t>
            </w:r>
          </w:p>
        </w:tc>
        <w:tc>
          <w:tcPr>
            <w:tcW w:w="1634" w:type="dxa"/>
            <w:tcBorders>
              <w:top w:val="single" w:color="000000" w:sz="4" w:space="0"/>
              <w:left w:val="single" w:color="000000" w:sz="4" w:space="0"/>
              <w:bottom w:val="single" w:color="000000" w:sz="4" w:space="0"/>
              <w:right w:val="single" w:color="000000" w:sz="4" w:space="0"/>
            </w:tcBorders>
            <w:vAlign w:val="center"/>
          </w:tcPr>
          <w:p w14:paraId="2BF19AB2">
            <w:pPr>
              <w:pStyle w:val="71"/>
              <w:spacing w:before="24" w:after="24"/>
              <w:rPr>
                <w:rFonts w:cs="Times New Roman"/>
              </w:rPr>
            </w:pPr>
            <w:r>
              <w:rPr>
                <w:rFonts w:cs="Times New Roman"/>
              </w:rPr>
              <w:t>12.0-13.0</w:t>
            </w:r>
          </w:p>
        </w:tc>
        <w:tc>
          <w:tcPr>
            <w:tcW w:w="1687" w:type="dxa"/>
            <w:tcBorders>
              <w:top w:val="single" w:color="000000" w:sz="4" w:space="0"/>
              <w:left w:val="single" w:color="000000" w:sz="4" w:space="0"/>
              <w:bottom w:val="single" w:color="000000" w:sz="4" w:space="0"/>
              <w:right w:val="single" w:color="000000" w:sz="4" w:space="0"/>
            </w:tcBorders>
            <w:vAlign w:val="center"/>
          </w:tcPr>
          <w:p w14:paraId="6EC862C5">
            <w:pPr>
              <w:pStyle w:val="71"/>
              <w:spacing w:before="24" w:after="24"/>
              <w:rPr>
                <w:rFonts w:cs="Times New Roman"/>
              </w:rPr>
            </w:pPr>
            <w:r>
              <w:rPr>
                <w:rFonts w:cs="Times New Roman"/>
              </w:rPr>
              <w:t>3.5-4.0</w:t>
            </w:r>
          </w:p>
        </w:tc>
        <w:tc>
          <w:tcPr>
            <w:tcW w:w="3128" w:type="dxa"/>
            <w:tcBorders>
              <w:top w:val="single" w:color="000000" w:sz="4" w:space="0"/>
              <w:left w:val="single" w:color="000000" w:sz="4" w:space="0"/>
              <w:bottom w:val="single" w:color="000000" w:sz="4" w:space="0"/>
              <w:right w:val="single" w:color="000000" w:sz="4" w:space="0"/>
            </w:tcBorders>
            <w:vAlign w:val="center"/>
          </w:tcPr>
          <w:p w14:paraId="1882240B">
            <w:pPr>
              <w:pStyle w:val="71"/>
              <w:spacing w:before="24" w:after="24"/>
              <w:rPr>
                <w:rFonts w:cs="Times New Roman"/>
              </w:rPr>
            </w:pPr>
            <w:r>
              <w:rPr>
                <w:rFonts w:cs="Times New Roman"/>
              </w:rPr>
              <w:t>全树冠精品树苗，树形优美</w:t>
            </w:r>
          </w:p>
        </w:tc>
      </w:tr>
      <w:tr w14:paraId="2A681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7" w:type="dxa"/>
            <w:tcBorders>
              <w:top w:val="single" w:color="000000" w:sz="4" w:space="0"/>
              <w:left w:val="single" w:color="000000" w:sz="4" w:space="0"/>
              <w:bottom w:val="single" w:color="000000" w:sz="4" w:space="0"/>
              <w:right w:val="single" w:color="000000" w:sz="4" w:space="0"/>
            </w:tcBorders>
            <w:vAlign w:val="center"/>
          </w:tcPr>
          <w:p w14:paraId="401C8351">
            <w:pPr>
              <w:pStyle w:val="71"/>
              <w:spacing w:before="24" w:after="24"/>
              <w:rPr>
                <w:rFonts w:cs="Times New Roman"/>
              </w:rPr>
            </w:pPr>
            <w:r>
              <w:rPr>
                <w:rFonts w:cs="Times New Roman"/>
              </w:rPr>
              <w:t>6</w:t>
            </w:r>
          </w:p>
        </w:tc>
        <w:tc>
          <w:tcPr>
            <w:tcW w:w="1971" w:type="dxa"/>
            <w:tcBorders>
              <w:top w:val="single" w:color="000000" w:sz="4" w:space="0"/>
              <w:left w:val="single" w:color="000000" w:sz="4" w:space="0"/>
              <w:bottom w:val="single" w:color="000000" w:sz="4" w:space="0"/>
              <w:right w:val="single" w:color="000000" w:sz="4" w:space="0"/>
            </w:tcBorders>
            <w:vAlign w:val="center"/>
          </w:tcPr>
          <w:p w14:paraId="20E69E02">
            <w:pPr>
              <w:pStyle w:val="71"/>
              <w:spacing w:before="24" w:after="24"/>
              <w:rPr>
                <w:rFonts w:cs="Times New Roman"/>
              </w:rPr>
            </w:pPr>
            <w:r>
              <w:rPr>
                <w:rFonts w:cs="Times New Roman"/>
              </w:rPr>
              <w:t>黄连木</w:t>
            </w:r>
          </w:p>
        </w:tc>
        <w:tc>
          <w:tcPr>
            <w:tcW w:w="1634" w:type="dxa"/>
            <w:tcBorders>
              <w:top w:val="single" w:color="000000" w:sz="4" w:space="0"/>
              <w:left w:val="single" w:color="000000" w:sz="4" w:space="0"/>
              <w:bottom w:val="single" w:color="000000" w:sz="4" w:space="0"/>
              <w:right w:val="single" w:color="000000" w:sz="4" w:space="0"/>
            </w:tcBorders>
            <w:vAlign w:val="center"/>
          </w:tcPr>
          <w:p w14:paraId="4A487590">
            <w:pPr>
              <w:pStyle w:val="71"/>
              <w:spacing w:before="24" w:after="24"/>
              <w:rPr>
                <w:rFonts w:cs="Times New Roman"/>
              </w:rPr>
            </w:pPr>
            <w:r>
              <w:rPr>
                <w:rFonts w:cs="Times New Roman"/>
              </w:rPr>
              <w:t>10.0-12.0</w:t>
            </w:r>
          </w:p>
        </w:tc>
        <w:tc>
          <w:tcPr>
            <w:tcW w:w="1687" w:type="dxa"/>
            <w:tcBorders>
              <w:top w:val="single" w:color="000000" w:sz="4" w:space="0"/>
              <w:left w:val="single" w:color="000000" w:sz="4" w:space="0"/>
              <w:bottom w:val="single" w:color="000000" w:sz="4" w:space="0"/>
              <w:right w:val="single" w:color="000000" w:sz="4" w:space="0"/>
            </w:tcBorders>
            <w:vAlign w:val="center"/>
          </w:tcPr>
          <w:p w14:paraId="58D2F00D">
            <w:pPr>
              <w:pStyle w:val="71"/>
              <w:spacing w:before="24" w:after="24"/>
              <w:rPr>
                <w:rFonts w:cs="Times New Roman"/>
              </w:rPr>
            </w:pPr>
            <w:r>
              <w:rPr>
                <w:rFonts w:cs="Times New Roman"/>
              </w:rPr>
              <w:t>3.0-3.5</w:t>
            </w:r>
          </w:p>
        </w:tc>
        <w:tc>
          <w:tcPr>
            <w:tcW w:w="3128" w:type="dxa"/>
            <w:tcBorders>
              <w:top w:val="single" w:color="000000" w:sz="4" w:space="0"/>
              <w:left w:val="single" w:color="000000" w:sz="4" w:space="0"/>
              <w:bottom w:val="single" w:color="000000" w:sz="4" w:space="0"/>
              <w:right w:val="single" w:color="000000" w:sz="4" w:space="0"/>
            </w:tcBorders>
            <w:vAlign w:val="center"/>
          </w:tcPr>
          <w:p w14:paraId="2F4FFB4A">
            <w:pPr>
              <w:pStyle w:val="71"/>
              <w:spacing w:before="24" w:after="24"/>
              <w:rPr>
                <w:rFonts w:cs="Times New Roman"/>
              </w:rPr>
            </w:pPr>
            <w:r>
              <w:rPr>
                <w:rFonts w:cs="Times New Roman"/>
              </w:rPr>
              <w:t>全树冠精品树苗，树形优美</w:t>
            </w:r>
          </w:p>
        </w:tc>
      </w:tr>
      <w:tr w14:paraId="37F893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7" w:type="dxa"/>
            <w:tcBorders>
              <w:top w:val="single" w:color="000000" w:sz="4" w:space="0"/>
              <w:left w:val="single" w:color="000000" w:sz="4" w:space="0"/>
              <w:bottom w:val="single" w:color="000000" w:sz="4" w:space="0"/>
              <w:right w:val="single" w:color="000000" w:sz="4" w:space="0"/>
            </w:tcBorders>
            <w:vAlign w:val="center"/>
          </w:tcPr>
          <w:p w14:paraId="75DB21CB">
            <w:pPr>
              <w:pStyle w:val="71"/>
              <w:spacing w:before="24" w:after="24"/>
              <w:rPr>
                <w:rFonts w:cs="Times New Roman"/>
              </w:rPr>
            </w:pPr>
            <w:r>
              <w:rPr>
                <w:rFonts w:cs="Times New Roman"/>
              </w:rPr>
              <w:t>7</w:t>
            </w:r>
          </w:p>
        </w:tc>
        <w:tc>
          <w:tcPr>
            <w:tcW w:w="1971" w:type="dxa"/>
            <w:tcBorders>
              <w:top w:val="single" w:color="000000" w:sz="4" w:space="0"/>
              <w:left w:val="single" w:color="000000" w:sz="4" w:space="0"/>
              <w:bottom w:val="single" w:color="000000" w:sz="4" w:space="0"/>
              <w:right w:val="single" w:color="000000" w:sz="4" w:space="0"/>
            </w:tcBorders>
            <w:vAlign w:val="center"/>
          </w:tcPr>
          <w:p w14:paraId="72AC56F6">
            <w:pPr>
              <w:pStyle w:val="71"/>
              <w:spacing w:before="24" w:after="24"/>
              <w:rPr>
                <w:rFonts w:cs="Times New Roman"/>
              </w:rPr>
            </w:pPr>
            <w:r>
              <w:rPr>
                <w:rFonts w:cs="Times New Roman"/>
              </w:rPr>
              <w:t>鸡爪槭</w:t>
            </w:r>
          </w:p>
        </w:tc>
        <w:tc>
          <w:tcPr>
            <w:tcW w:w="1634" w:type="dxa"/>
            <w:tcBorders>
              <w:top w:val="single" w:color="000000" w:sz="4" w:space="0"/>
              <w:left w:val="single" w:color="000000" w:sz="4" w:space="0"/>
              <w:bottom w:val="single" w:color="000000" w:sz="4" w:space="0"/>
              <w:right w:val="single" w:color="000000" w:sz="4" w:space="0"/>
            </w:tcBorders>
            <w:vAlign w:val="center"/>
          </w:tcPr>
          <w:p w14:paraId="58912310">
            <w:pPr>
              <w:pStyle w:val="71"/>
              <w:spacing w:before="24" w:after="24"/>
              <w:rPr>
                <w:rFonts w:cs="Times New Roman"/>
              </w:rPr>
            </w:pPr>
            <w:r>
              <w:rPr>
                <w:rFonts w:cs="Times New Roman"/>
              </w:rPr>
              <w:t>10.0-12.0</w:t>
            </w:r>
          </w:p>
        </w:tc>
        <w:tc>
          <w:tcPr>
            <w:tcW w:w="1687" w:type="dxa"/>
            <w:tcBorders>
              <w:top w:val="single" w:color="000000" w:sz="4" w:space="0"/>
              <w:left w:val="single" w:color="000000" w:sz="4" w:space="0"/>
              <w:bottom w:val="single" w:color="000000" w:sz="4" w:space="0"/>
              <w:right w:val="single" w:color="000000" w:sz="4" w:space="0"/>
            </w:tcBorders>
            <w:vAlign w:val="center"/>
          </w:tcPr>
          <w:p w14:paraId="52FAF4DA">
            <w:pPr>
              <w:pStyle w:val="71"/>
              <w:spacing w:before="24" w:after="24"/>
              <w:rPr>
                <w:rFonts w:cs="Times New Roman"/>
              </w:rPr>
            </w:pPr>
            <w:r>
              <w:rPr>
                <w:rFonts w:cs="Times New Roman"/>
              </w:rPr>
              <w:t>2.0-2.5</w:t>
            </w:r>
          </w:p>
        </w:tc>
        <w:tc>
          <w:tcPr>
            <w:tcW w:w="3128" w:type="dxa"/>
            <w:tcBorders>
              <w:top w:val="single" w:color="000000" w:sz="4" w:space="0"/>
              <w:left w:val="single" w:color="000000" w:sz="4" w:space="0"/>
              <w:bottom w:val="single" w:color="000000" w:sz="4" w:space="0"/>
              <w:right w:val="single" w:color="000000" w:sz="4" w:space="0"/>
            </w:tcBorders>
            <w:vAlign w:val="center"/>
          </w:tcPr>
          <w:p w14:paraId="00903973">
            <w:pPr>
              <w:pStyle w:val="71"/>
              <w:spacing w:before="24" w:after="24"/>
              <w:rPr>
                <w:rFonts w:cs="Times New Roman"/>
              </w:rPr>
            </w:pPr>
            <w:r>
              <w:rPr>
                <w:rFonts w:cs="Times New Roman"/>
              </w:rPr>
              <w:t>全树冠精品树苗，树形优美</w:t>
            </w:r>
          </w:p>
        </w:tc>
      </w:tr>
      <w:tr w14:paraId="0476F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7" w:type="dxa"/>
            <w:tcBorders>
              <w:top w:val="single" w:color="000000" w:sz="4" w:space="0"/>
              <w:left w:val="single" w:color="000000" w:sz="4" w:space="0"/>
              <w:bottom w:val="single" w:color="000000" w:sz="4" w:space="0"/>
              <w:right w:val="single" w:color="000000" w:sz="4" w:space="0"/>
            </w:tcBorders>
            <w:vAlign w:val="center"/>
          </w:tcPr>
          <w:p w14:paraId="5643FFFF">
            <w:pPr>
              <w:pStyle w:val="71"/>
              <w:spacing w:before="24" w:after="24"/>
              <w:rPr>
                <w:rFonts w:cs="Times New Roman"/>
              </w:rPr>
            </w:pPr>
            <w:r>
              <w:rPr>
                <w:rFonts w:cs="Times New Roman"/>
              </w:rPr>
              <w:t>8</w:t>
            </w:r>
          </w:p>
        </w:tc>
        <w:tc>
          <w:tcPr>
            <w:tcW w:w="1971" w:type="dxa"/>
            <w:tcBorders>
              <w:top w:val="single" w:color="000000" w:sz="4" w:space="0"/>
              <w:left w:val="single" w:color="000000" w:sz="4" w:space="0"/>
              <w:bottom w:val="single" w:color="000000" w:sz="4" w:space="0"/>
              <w:right w:val="single" w:color="000000" w:sz="4" w:space="0"/>
            </w:tcBorders>
            <w:vAlign w:val="center"/>
          </w:tcPr>
          <w:p w14:paraId="09C0B8A6">
            <w:pPr>
              <w:pStyle w:val="71"/>
              <w:spacing w:before="24" w:after="24"/>
              <w:rPr>
                <w:rFonts w:cs="Times New Roman"/>
              </w:rPr>
            </w:pPr>
            <w:r>
              <w:rPr>
                <w:rFonts w:cs="Times New Roman"/>
              </w:rPr>
              <w:t>银杏</w:t>
            </w:r>
          </w:p>
        </w:tc>
        <w:tc>
          <w:tcPr>
            <w:tcW w:w="1634" w:type="dxa"/>
            <w:tcBorders>
              <w:top w:val="single" w:color="000000" w:sz="4" w:space="0"/>
              <w:left w:val="single" w:color="000000" w:sz="4" w:space="0"/>
              <w:bottom w:val="single" w:color="000000" w:sz="4" w:space="0"/>
              <w:right w:val="single" w:color="000000" w:sz="4" w:space="0"/>
            </w:tcBorders>
            <w:vAlign w:val="center"/>
          </w:tcPr>
          <w:p w14:paraId="41787812">
            <w:pPr>
              <w:pStyle w:val="71"/>
              <w:spacing w:before="24" w:after="24"/>
              <w:rPr>
                <w:rFonts w:cs="Times New Roman"/>
              </w:rPr>
            </w:pPr>
            <w:r>
              <w:rPr>
                <w:rFonts w:cs="Times New Roman"/>
              </w:rPr>
              <w:t>10.0-12.0</w:t>
            </w:r>
          </w:p>
        </w:tc>
        <w:tc>
          <w:tcPr>
            <w:tcW w:w="1687" w:type="dxa"/>
            <w:tcBorders>
              <w:top w:val="single" w:color="000000" w:sz="4" w:space="0"/>
              <w:left w:val="single" w:color="000000" w:sz="4" w:space="0"/>
              <w:bottom w:val="single" w:color="000000" w:sz="4" w:space="0"/>
              <w:right w:val="single" w:color="000000" w:sz="4" w:space="0"/>
            </w:tcBorders>
            <w:vAlign w:val="center"/>
          </w:tcPr>
          <w:p w14:paraId="45A3141E">
            <w:pPr>
              <w:pStyle w:val="71"/>
              <w:spacing w:before="24" w:after="24"/>
              <w:rPr>
                <w:rFonts w:cs="Times New Roman"/>
              </w:rPr>
            </w:pPr>
            <w:r>
              <w:rPr>
                <w:rFonts w:cs="Times New Roman"/>
              </w:rPr>
              <w:t>4.0-5.0</w:t>
            </w:r>
          </w:p>
        </w:tc>
        <w:tc>
          <w:tcPr>
            <w:tcW w:w="3128" w:type="dxa"/>
            <w:tcBorders>
              <w:top w:val="single" w:color="000000" w:sz="4" w:space="0"/>
              <w:left w:val="single" w:color="000000" w:sz="4" w:space="0"/>
              <w:bottom w:val="single" w:color="000000" w:sz="4" w:space="0"/>
              <w:right w:val="single" w:color="000000" w:sz="4" w:space="0"/>
            </w:tcBorders>
            <w:vAlign w:val="center"/>
          </w:tcPr>
          <w:p w14:paraId="1C47AAFA">
            <w:pPr>
              <w:pStyle w:val="71"/>
              <w:spacing w:before="24" w:after="24"/>
              <w:rPr>
                <w:rFonts w:cs="Times New Roman"/>
              </w:rPr>
            </w:pPr>
            <w:r>
              <w:rPr>
                <w:rFonts w:cs="Times New Roman"/>
              </w:rPr>
              <w:t>全树冠精品树苗，树形优美</w:t>
            </w:r>
          </w:p>
        </w:tc>
      </w:tr>
      <w:tr w14:paraId="1E50B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7" w:type="dxa"/>
            <w:tcBorders>
              <w:top w:val="single" w:color="000000" w:sz="4" w:space="0"/>
              <w:left w:val="single" w:color="000000" w:sz="4" w:space="0"/>
              <w:bottom w:val="single" w:color="000000" w:sz="4" w:space="0"/>
              <w:right w:val="single" w:color="000000" w:sz="4" w:space="0"/>
            </w:tcBorders>
            <w:vAlign w:val="center"/>
          </w:tcPr>
          <w:p w14:paraId="630BBD7E">
            <w:pPr>
              <w:pStyle w:val="71"/>
              <w:spacing w:before="24" w:after="24"/>
              <w:rPr>
                <w:rFonts w:cs="Times New Roman"/>
              </w:rPr>
            </w:pPr>
            <w:r>
              <w:rPr>
                <w:rFonts w:cs="Times New Roman"/>
              </w:rPr>
              <w:t>9</w:t>
            </w:r>
          </w:p>
        </w:tc>
        <w:tc>
          <w:tcPr>
            <w:tcW w:w="1971" w:type="dxa"/>
            <w:tcBorders>
              <w:top w:val="single" w:color="000000" w:sz="4" w:space="0"/>
              <w:left w:val="single" w:color="000000" w:sz="4" w:space="0"/>
              <w:bottom w:val="single" w:color="000000" w:sz="4" w:space="0"/>
              <w:right w:val="single" w:color="000000" w:sz="4" w:space="0"/>
            </w:tcBorders>
            <w:vAlign w:val="center"/>
          </w:tcPr>
          <w:p w14:paraId="547179D1">
            <w:pPr>
              <w:pStyle w:val="71"/>
              <w:spacing w:before="24" w:after="24"/>
              <w:rPr>
                <w:rFonts w:cs="Times New Roman"/>
              </w:rPr>
            </w:pPr>
            <w:r>
              <w:rPr>
                <w:rFonts w:cs="Times New Roman"/>
              </w:rPr>
              <w:t>冬樱花</w:t>
            </w:r>
          </w:p>
        </w:tc>
        <w:tc>
          <w:tcPr>
            <w:tcW w:w="1634" w:type="dxa"/>
            <w:tcBorders>
              <w:top w:val="single" w:color="000000" w:sz="4" w:space="0"/>
              <w:left w:val="single" w:color="000000" w:sz="4" w:space="0"/>
              <w:bottom w:val="single" w:color="000000" w:sz="4" w:space="0"/>
              <w:right w:val="single" w:color="000000" w:sz="4" w:space="0"/>
            </w:tcBorders>
            <w:vAlign w:val="center"/>
          </w:tcPr>
          <w:p w14:paraId="205B281C">
            <w:pPr>
              <w:pStyle w:val="71"/>
              <w:spacing w:before="24" w:after="24"/>
              <w:rPr>
                <w:rFonts w:cs="Times New Roman"/>
              </w:rPr>
            </w:pPr>
            <w:r>
              <w:rPr>
                <w:rFonts w:cs="Times New Roman"/>
              </w:rPr>
              <w:t>8.0-10.0</w:t>
            </w:r>
          </w:p>
        </w:tc>
        <w:tc>
          <w:tcPr>
            <w:tcW w:w="1687" w:type="dxa"/>
            <w:tcBorders>
              <w:top w:val="single" w:color="000000" w:sz="4" w:space="0"/>
              <w:left w:val="single" w:color="000000" w:sz="4" w:space="0"/>
              <w:bottom w:val="single" w:color="000000" w:sz="4" w:space="0"/>
              <w:right w:val="single" w:color="000000" w:sz="4" w:space="0"/>
            </w:tcBorders>
            <w:vAlign w:val="center"/>
          </w:tcPr>
          <w:p w14:paraId="641E8433">
            <w:pPr>
              <w:pStyle w:val="71"/>
              <w:spacing w:before="24" w:after="24"/>
              <w:rPr>
                <w:rFonts w:cs="Times New Roman"/>
              </w:rPr>
            </w:pPr>
            <w:r>
              <w:rPr>
                <w:rFonts w:cs="Times New Roman"/>
              </w:rPr>
              <w:t>3.0-4.0</w:t>
            </w:r>
          </w:p>
        </w:tc>
        <w:tc>
          <w:tcPr>
            <w:tcW w:w="3128" w:type="dxa"/>
            <w:tcBorders>
              <w:top w:val="single" w:color="000000" w:sz="4" w:space="0"/>
              <w:left w:val="single" w:color="000000" w:sz="4" w:space="0"/>
              <w:bottom w:val="single" w:color="000000" w:sz="4" w:space="0"/>
              <w:right w:val="single" w:color="000000" w:sz="4" w:space="0"/>
            </w:tcBorders>
            <w:vAlign w:val="center"/>
          </w:tcPr>
          <w:p w14:paraId="01C2840E">
            <w:pPr>
              <w:pStyle w:val="71"/>
              <w:spacing w:before="24" w:after="24"/>
              <w:rPr>
                <w:rFonts w:cs="Times New Roman"/>
              </w:rPr>
            </w:pPr>
            <w:r>
              <w:rPr>
                <w:rFonts w:cs="Times New Roman"/>
              </w:rPr>
              <w:t>全树冠精品树苗，树形优美</w:t>
            </w:r>
          </w:p>
        </w:tc>
      </w:tr>
      <w:tr w14:paraId="3F111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7" w:type="dxa"/>
            <w:tcBorders>
              <w:top w:val="single" w:color="000000" w:sz="4" w:space="0"/>
              <w:left w:val="single" w:color="000000" w:sz="4" w:space="0"/>
              <w:bottom w:val="single" w:color="000000" w:sz="4" w:space="0"/>
              <w:right w:val="single" w:color="000000" w:sz="4" w:space="0"/>
            </w:tcBorders>
            <w:vAlign w:val="center"/>
          </w:tcPr>
          <w:p w14:paraId="18FB5CE1">
            <w:pPr>
              <w:pStyle w:val="71"/>
              <w:spacing w:before="24" w:after="24"/>
              <w:rPr>
                <w:rFonts w:cs="Times New Roman"/>
              </w:rPr>
            </w:pPr>
            <w:r>
              <w:rPr>
                <w:rFonts w:cs="Times New Roman"/>
              </w:rPr>
              <w:t>10</w:t>
            </w:r>
          </w:p>
        </w:tc>
        <w:tc>
          <w:tcPr>
            <w:tcW w:w="1971" w:type="dxa"/>
            <w:tcBorders>
              <w:top w:val="single" w:color="000000" w:sz="4" w:space="0"/>
              <w:left w:val="single" w:color="000000" w:sz="4" w:space="0"/>
              <w:bottom w:val="single" w:color="000000" w:sz="4" w:space="0"/>
              <w:right w:val="single" w:color="000000" w:sz="4" w:space="0"/>
            </w:tcBorders>
            <w:vAlign w:val="center"/>
          </w:tcPr>
          <w:p w14:paraId="7E26EE4A">
            <w:pPr>
              <w:pStyle w:val="71"/>
              <w:spacing w:before="24" w:after="24"/>
              <w:rPr>
                <w:rFonts w:cs="Times New Roman"/>
              </w:rPr>
            </w:pPr>
            <w:r>
              <w:rPr>
                <w:rFonts w:cs="Times New Roman"/>
              </w:rPr>
              <w:t>蓝花楹</w:t>
            </w:r>
          </w:p>
        </w:tc>
        <w:tc>
          <w:tcPr>
            <w:tcW w:w="1634" w:type="dxa"/>
            <w:tcBorders>
              <w:top w:val="single" w:color="000000" w:sz="4" w:space="0"/>
              <w:left w:val="single" w:color="000000" w:sz="4" w:space="0"/>
              <w:bottom w:val="single" w:color="000000" w:sz="4" w:space="0"/>
              <w:right w:val="single" w:color="000000" w:sz="4" w:space="0"/>
            </w:tcBorders>
            <w:vAlign w:val="center"/>
          </w:tcPr>
          <w:p w14:paraId="369082D2">
            <w:pPr>
              <w:pStyle w:val="71"/>
              <w:spacing w:before="24" w:after="24"/>
              <w:rPr>
                <w:rFonts w:cs="Times New Roman"/>
              </w:rPr>
            </w:pPr>
            <w:r>
              <w:rPr>
                <w:rFonts w:cs="Times New Roman"/>
              </w:rPr>
              <w:t>20.0-30.0</w:t>
            </w:r>
          </w:p>
        </w:tc>
        <w:tc>
          <w:tcPr>
            <w:tcW w:w="1687" w:type="dxa"/>
            <w:tcBorders>
              <w:top w:val="single" w:color="000000" w:sz="4" w:space="0"/>
              <w:left w:val="single" w:color="000000" w:sz="4" w:space="0"/>
              <w:bottom w:val="single" w:color="000000" w:sz="4" w:space="0"/>
              <w:right w:val="single" w:color="000000" w:sz="4" w:space="0"/>
            </w:tcBorders>
            <w:vAlign w:val="center"/>
          </w:tcPr>
          <w:p w14:paraId="60F78888">
            <w:pPr>
              <w:pStyle w:val="71"/>
              <w:spacing w:before="24" w:after="24"/>
              <w:rPr>
                <w:rFonts w:cs="Times New Roman"/>
              </w:rPr>
            </w:pPr>
            <w:r>
              <w:rPr>
                <w:rFonts w:cs="Times New Roman"/>
              </w:rPr>
              <w:t>5.0-6.0</w:t>
            </w:r>
          </w:p>
        </w:tc>
        <w:tc>
          <w:tcPr>
            <w:tcW w:w="3128" w:type="dxa"/>
            <w:tcBorders>
              <w:top w:val="single" w:color="000000" w:sz="4" w:space="0"/>
              <w:left w:val="single" w:color="000000" w:sz="4" w:space="0"/>
              <w:bottom w:val="single" w:color="000000" w:sz="4" w:space="0"/>
              <w:right w:val="single" w:color="000000" w:sz="4" w:space="0"/>
            </w:tcBorders>
            <w:vAlign w:val="center"/>
          </w:tcPr>
          <w:p w14:paraId="133DA5DF">
            <w:pPr>
              <w:pStyle w:val="71"/>
              <w:spacing w:before="24" w:after="24"/>
              <w:rPr>
                <w:rFonts w:cs="Times New Roman"/>
              </w:rPr>
            </w:pPr>
            <w:r>
              <w:rPr>
                <w:rFonts w:cs="Times New Roman"/>
              </w:rPr>
              <w:t>全树冠精品树苗，树形优美</w:t>
            </w:r>
          </w:p>
        </w:tc>
      </w:tr>
      <w:tr w14:paraId="6D068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7" w:type="dxa"/>
            <w:tcBorders>
              <w:top w:val="single" w:color="000000" w:sz="4" w:space="0"/>
              <w:left w:val="single" w:color="000000" w:sz="4" w:space="0"/>
              <w:bottom w:val="single" w:color="000000" w:sz="4" w:space="0"/>
              <w:right w:val="single" w:color="000000" w:sz="4" w:space="0"/>
            </w:tcBorders>
            <w:vAlign w:val="center"/>
          </w:tcPr>
          <w:p w14:paraId="0D60B684">
            <w:pPr>
              <w:pStyle w:val="71"/>
              <w:spacing w:before="24" w:after="24"/>
              <w:rPr>
                <w:rFonts w:cs="Times New Roman"/>
              </w:rPr>
            </w:pPr>
            <w:r>
              <w:rPr>
                <w:rFonts w:cs="Times New Roman"/>
              </w:rPr>
              <w:t>11</w:t>
            </w:r>
          </w:p>
        </w:tc>
        <w:tc>
          <w:tcPr>
            <w:tcW w:w="1971" w:type="dxa"/>
            <w:tcBorders>
              <w:top w:val="single" w:color="000000" w:sz="4" w:space="0"/>
              <w:left w:val="single" w:color="000000" w:sz="4" w:space="0"/>
              <w:bottom w:val="single" w:color="000000" w:sz="4" w:space="0"/>
              <w:right w:val="single" w:color="000000" w:sz="4" w:space="0"/>
            </w:tcBorders>
            <w:vAlign w:val="center"/>
          </w:tcPr>
          <w:p w14:paraId="52469AED">
            <w:pPr>
              <w:pStyle w:val="71"/>
              <w:spacing w:before="24" w:after="24"/>
              <w:rPr>
                <w:rFonts w:cs="Times New Roman"/>
              </w:rPr>
            </w:pPr>
            <w:r>
              <w:rPr>
                <w:rFonts w:cs="Times New Roman"/>
              </w:rPr>
              <w:t>叶子花</w:t>
            </w:r>
          </w:p>
        </w:tc>
        <w:tc>
          <w:tcPr>
            <w:tcW w:w="1634" w:type="dxa"/>
            <w:tcBorders>
              <w:top w:val="single" w:color="000000" w:sz="4" w:space="0"/>
              <w:left w:val="single" w:color="000000" w:sz="4" w:space="0"/>
              <w:bottom w:val="single" w:color="000000" w:sz="4" w:space="0"/>
              <w:right w:val="single" w:color="000000" w:sz="4" w:space="0"/>
            </w:tcBorders>
            <w:vAlign w:val="center"/>
          </w:tcPr>
          <w:p w14:paraId="79B2600B">
            <w:pPr>
              <w:pStyle w:val="71"/>
              <w:spacing w:before="24" w:after="24"/>
              <w:rPr>
                <w:rFonts w:cs="Times New Roman"/>
              </w:rPr>
            </w:pPr>
            <w:r>
              <w:rPr>
                <w:rFonts w:cs="Times New Roman"/>
              </w:rPr>
              <w:t>4.0-8.0</w:t>
            </w:r>
          </w:p>
        </w:tc>
        <w:tc>
          <w:tcPr>
            <w:tcW w:w="1687" w:type="dxa"/>
            <w:tcBorders>
              <w:top w:val="single" w:color="000000" w:sz="4" w:space="0"/>
              <w:left w:val="single" w:color="000000" w:sz="4" w:space="0"/>
              <w:bottom w:val="single" w:color="000000" w:sz="4" w:space="0"/>
              <w:right w:val="single" w:color="000000" w:sz="4" w:space="0"/>
            </w:tcBorders>
            <w:vAlign w:val="center"/>
          </w:tcPr>
          <w:p w14:paraId="4B1B800E">
            <w:pPr>
              <w:pStyle w:val="71"/>
              <w:spacing w:before="24" w:after="24"/>
              <w:rPr>
                <w:rFonts w:cs="Times New Roman"/>
              </w:rPr>
            </w:pPr>
            <w:r>
              <w:rPr>
                <w:rFonts w:cs="Times New Roman"/>
              </w:rPr>
              <w:t>1.0-2.5</w:t>
            </w:r>
          </w:p>
        </w:tc>
        <w:tc>
          <w:tcPr>
            <w:tcW w:w="3128" w:type="dxa"/>
            <w:tcBorders>
              <w:top w:val="single" w:color="000000" w:sz="4" w:space="0"/>
              <w:left w:val="single" w:color="000000" w:sz="4" w:space="0"/>
              <w:bottom w:val="single" w:color="000000" w:sz="4" w:space="0"/>
              <w:right w:val="single" w:color="000000" w:sz="4" w:space="0"/>
            </w:tcBorders>
            <w:vAlign w:val="center"/>
          </w:tcPr>
          <w:p w14:paraId="790C6EE0">
            <w:pPr>
              <w:pStyle w:val="71"/>
              <w:spacing w:before="24" w:after="24"/>
              <w:rPr>
                <w:rFonts w:cs="Times New Roman"/>
              </w:rPr>
            </w:pPr>
            <w:r>
              <w:rPr>
                <w:rFonts w:cs="Times New Roman"/>
              </w:rPr>
              <w:t>全树冠精品树苗，树形优美</w:t>
            </w:r>
          </w:p>
        </w:tc>
      </w:tr>
      <w:tr w14:paraId="3C3F1B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7" w:type="dxa"/>
            <w:tcBorders>
              <w:top w:val="single" w:color="000000" w:sz="4" w:space="0"/>
              <w:left w:val="single" w:color="000000" w:sz="4" w:space="0"/>
              <w:bottom w:val="single" w:color="000000" w:sz="4" w:space="0"/>
              <w:right w:val="single" w:color="000000" w:sz="4" w:space="0"/>
            </w:tcBorders>
            <w:vAlign w:val="center"/>
          </w:tcPr>
          <w:p w14:paraId="2E6C6BDD">
            <w:pPr>
              <w:pStyle w:val="71"/>
              <w:spacing w:before="24" w:after="24"/>
              <w:rPr>
                <w:rFonts w:cs="Times New Roman"/>
              </w:rPr>
            </w:pPr>
            <w:r>
              <w:rPr>
                <w:rFonts w:cs="Times New Roman"/>
              </w:rPr>
              <w:t>12</w:t>
            </w:r>
          </w:p>
        </w:tc>
        <w:tc>
          <w:tcPr>
            <w:tcW w:w="1971" w:type="dxa"/>
            <w:tcBorders>
              <w:top w:val="single" w:color="000000" w:sz="4" w:space="0"/>
              <w:left w:val="single" w:color="000000" w:sz="4" w:space="0"/>
              <w:bottom w:val="single" w:color="000000" w:sz="4" w:space="0"/>
              <w:right w:val="single" w:color="000000" w:sz="4" w:space="0"/>
            </w:tcBorders>
            <w:vAlign w:val="center"/>
          </w:tcPr>
          <w:p w14:paraId="1072B75C">
            <w:pPr>
              <w:pStyle w:val="71"/>
              <w:spacing w:before="24" w:after="24"/>
              <w:rPr>
                <w:rFonts w:cs="Times New Roman"/>
              </w:rPr>
            </w:pPr>
            <w:r>
              <w:rPr>
                <w:rFonts w:cs="Times New Roman"/>
              </w:rPr>
              <w:t>紫玉兰</w:t>
            </w:r>
          </w:p>
        </w:tc>
        <w:tc>
          <w:tcPr>
            <w:tcW w:w="1634" w:type="dxa"/>
            <w:tcBorders>
              <w:top w:val="single" w:color="000000" w:sz="4" w:space="0"/>
              <w:left w:val="single" w:color="000000" w:sz="4" w:space="0"/>
              <w:bottom w:val="single" w:color="000000" w:sz="4" w:space="0"/>
              <w:right w:val="single" w:color="000000" w:sz="4" w:space="0"/>
            </w:tcBorders>
            <w:vAlign w:val="center"/>
          </w:tcPr>
          <w:p w14:paraId="1BF0EF22">
            <w:pPr>
              <w:pStyle w:val="71"/>
              <w:spacing w:before="24" w:after="24"/>
              <w:rPr>
                <w:rFonts w:cs="Times New Roman"/>
              </w:rPr>
            </w:pPr>
            <w:r>
              <w:rPr>
                <w:rFonts w:cs="Times New Roman"/>
              </w:rPr>
              <w:t>6.0-15.0</w:t>
            </w:r>
          </w:p>
        </w:tc>
        <w:tc>
          <w:tcPr>
            <w:tcW w:w="1687" w:type="dxa"/>
            <w:tcBorders>
              <w:top w:val="single" w:color="000000" w:sz="4" w:space="0"/>
              <w:left w:val="single" w:color="000000" w:sz="4" w:space="0"/>
              <w:bottom w:val="single" w:color="000000" w:sz="4" w:space="0"/>
              <w:right w:val="single" w:color="000000" w:sz="4" w:space="0"/>
            </w:tcBorders>
            <w:vAlign w:val="center"/>
          </w:tcPr>
          <w:p w14:paraId="0512B35D">
            <w:pPr>
              <w:pStyle w:val="71"/>
              <w:spacing w:before="24" w:after="24"/>
              <w:rPr>
                <w:rFonts w:cs="Times New Roman"/>
              </w:rPr>
            </w:pPr>
            <w:r>
              <w:rPr>
                <w:rFonts w:cs="Times New Roman"/>
              </w:rPr>
              <w:t>3.0-4.5</w:t>
            </w:r>
          </w:p>
        </w:tc>
        <w:tc>
          <w:tcPr>
            <w:tcW w:w="3128" w:type="dxa"/>
            <w:tcBorders>
              <w:top w:val="single" w:color="000000" w:sz="4" w:space="0"/>
              <w:left w:val="single" w:color="000000" w:sz="4" w:space="0"/>
              <w:bottom w:val="single" w:color="000000" w:sz="4" w:space="0"/>
              <w:right w:val="single" w:color="000000" w:sz="4" w:space="0"/>
            </w:tcBorders>
            <w:vAlign w:val="center"/>
          </w:tcPr>
          <w:p w14:paraId="39779941">
            <w:pPr>
              <w:pStyle w:val="71"/>
              <w:spacing w:before="24" w:after="24"/>
              <w:rPr>
                <w:rFonts w:cs="Times New Roman"/>
              </w:rPr>
            </w:pPr>
            <w:r>
              <w:rPr>
                <w:rFonts w:cs="Times New Roman"/>
              </w:rPr>
              <w:t>全树冠精品树苗，树形优美</w:t>
            </w:r>
          </w:p>
        </w:tc>
      </w:tr>
      <w:tr w14:paraId="4BE59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7" w:type="dxa"/>
            <w:tcBorders>
              <w:top w:val="single" w:color="000000" w:sz="4" w:space="0"/>
              <w:left w:val="single" w:color="000000" w:sz="4" w:space="0"/>
              <w:bottom w:val="single" w:color="000000" w:sz="4" w:space="0"/>
              <w:right w:val="single" w:color="000000" w:sz="4" w:space="0"/>
            </w:tcBorders>
            <w:vAlign w:val="center"/>
          </w:tcPr>
          <w:p w14:paraId="5C09CD4C">
            <w:pPr>
              <w:pStyle w:val="71"/>
              <w:spacing w:before="24" w:after="24"/>
              <w:rPr>
                <w:rFonts w:cs="Times New Roman"/>
              </w:rPr>
            </w:pPr>
            <w:r>
              <w:rPr>
                <w:rFonts w:cs="Times New Roman"/>
              </w:rPr>
              <w:t>13</w:t>
            </w:r>
          </w:p>
        </w:tc>
        <w:tc>
          <w:tcPr>
            <w:tcW w:w="1971" w:type="dxa"/>
            <w:tcBorders>
              <w:top w:val="single" w:color="000000" w:sz="4" w:space="0"/>
              <w:left w:val="single" w:color="000000" w:sz="4" w:space="0"/>
              <w:bottom w:val="single" w:color="000000" w:sz="4" w:space="0"/>
              <w:right w:val="single" w:color="000000" w:sz="4" w:space="0"/>
            </w:tcBorders>
            <w:vAlign w:val="center"/>
          </w:tcPr>
          <w:p w14:paraId="7F15C8E1">
            <w:pPr>
              <w:pStyle w:val="71"/>
              <w:spacing w:before="24" w:after="24"/>
              <w:rPr>
                <w:rFonts w:cs="Times New Roman"/>
              </w:rPr>
            </w:pPr>
            <w:r>
              <w:rPr>
                <w:rFonts w:cs="Times New Roman"/>
              </w:rPr>
              <w:t>元宝槭</w:t>
            </w:r>
          </w:p>
        </w:tc>
        <w:tc>
          <w:tcPr>
            <w:tcW w:w="1634" w:type="dxa"/>
            <w:tcBorders>
              <w:top w:val="single" w:color="000000" w:sz="4" w:space="0"/>
              <w:left w:val="single" w:color="000000" w:sz="4" w:space="0"/>
              <w:bottom w:val="single" w:color="000000" w:sz="4" w:space="0"/>
              <w:right w:val="single" w:color="000000" w:sz="4" w:space="0"/>
            </w:tcBorders>
            <w:vAlign w:val="center"/>
          </w:tcPr>
          <w:p w14:paraId="01C84BA4">
            <w:pPr>
              <w:pStyle w:val="71"/>
              <w:spacing w:before="24" w:after="24"/>
              <w:rPr>
                <w:rFonts w:cs="Times New Roman"/>
              </w:rPr>
            </w:pPr>
            <w:r>
              <w:rPr>
                <w:rFonts w:cs="Times New Roman"/>
              </w:rPr>
              <w:t>10.0-20.0</w:t>
            </w:r>
          </w:p>
        </w:tc>
        <w:tc>
          <w:tcPr>
            <w:tcW w:w="1687" w:type="dxa"/>
            <w:tcBorders>
              <w:top w:val="single" w:color="000000" w:sz="4" w:space="0"/>
              <w:left w:val="single" w:color="000000" w:sz="4" w:space="0"/>
              <w:bottom w:val="single" w:color="000000" w:sz="4" w:space="0"/>
              <w:right w:val="single" w:color="000000" w:sz="4" w:space="0"/>
            </w:tcBorders>
            <w:vAlign w:val="center"/>
          </w:tcPr>
          <w:p w14:paraId="7C0A7544">
            <w:pPr>
              <w:pStyle w:val="71"/>
              <w:spacing w:before="24" w:after="24"/>
              <w:rPr>
                <w:rFonts w:cs="Times New Roman"/>
              </w:rPr>
            </w:pPr>
            <w:r>
              <w:rPr>
                <w:rFonts w:cs="Times New Roman"/>
              </w:rPr>
              <w:t>5.0-8.0</w:t>
            </w:r>
          </w:p>
        </w:tc>
        <w:tc>
          <w:tcPr>
            <w:tcW w:w="3128" w:type="dxa"/>
            <w:tcBorders>
              <w:top w:val="single" w:color="000000" w:sz="4" w:space="0"/>
              <w:left w:val="single" w:color="000000" w:sz="4" w:space="0"/>
              <w:bottom w:val="single" w:color="000000" w:sz="4" w:space="0"/>
              <w:right w:val="single" w:color="000000" w:sz="4" w:space="0"/>
            </w:tcBorders>
            <w:vAlign w:val="center"/>
          </w:tcPr>
          <w:p w14:paraId="3841B5BB">
            <w:pPr>
              <w:pStyle w:val="71"/>
              <w:spacing w:before="24" w:after="24"/>
              <w:rPr>
                <w:rFonts w:cs="Times New Roman"/>
              </w:rPr>
            </w:pPr>
            <w:r>
              <w:rPr>
                <w:rFonts w:cs="Times New Roman"/>
              </w:rPr>
              <w:t>全树冠精品树苗，树形优美</w:t>
            </w:r>
          </w:p>
        </w:tc>
      </w:tr>
      <w:tr w14:paraId="62510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7" w:type="dxa"/>
            <w:tcBorders>
              <w:top w:val="single" w:color="000000" w:sz="4" w:space="0"/>
              <w:left w:val="single" w:color="000000" w:sz="4" w:space="0"/>
              <w:bottom w:val="single" w:color="000000" w:sz="4" w:space="0"/>
              <w:right w:val="single" w:color="000000" w:sz="4" w:space="0"/>
            </w:tcBorders>
            <w:vAlign w:val="center"/>
          </w:tcPr>
          <w:p w14:paraId="4155F49F">
            <w:pPr>
              <w:pStyle w:val="71"/>
              <w:spacing w:before="24" w:after="24"/>
              <w:rPr>
                <w:rFonts w:cs="Times New Roman"/>
              </w:rPr>
            </w:pPr>
            <w:r>
              <w:rPr>
                <w:rFonts w:cs="Times New Roman"/>
              </w:rPr>
              <w:t>14</w:t>
            </w:r>
          </w:p>
        </w:tc>
        <w:tc>
          <w:tcPr>
            <w:tcW w:w="1971" w:type="dxa"/>
            <w:tcBorders>
              <w:top w:val="single" w:color="000000" w:sz="4" w:space="0"/>
              <w:left w:val="single" w:color="000000" w:sz="4" w:space="0"/>
              <w:bottom w:val="single" w:color="000000" w:sz="4" w:space="0"/>
              <w:right w:val="single" w:color="000000" w:sz="4" w:space="0"/>
            </w:tcBorders>
            <w:vAlign w:val="center"/>
          </w:tcPr>
          <w:p w14:paraId="199655CD">
            <w:pPr>
              <w:pStyle w:val="71"/>
              <w:spacing w:before="24" w:after="24"/>
              <w:rPr>
                <w:rFonts w:cs="Times New Roman"/>
              </w:rPr>
            </w:pPr>
            <w:r>
              <w:rPr>
                <w:rFonts w:cs="Times New Roman"/>
              </w:rPr>
              <w:t>紫薇</w:t>
            </w:r>
          </w:p>
        </w:tc>
        <w:tc>
          <w:tcPr>
            <w:tcW w:w="1634" w:type="dxa"/>
            <w:tcBorders>
              <w:top w:val="single" w:color="000000" w:sz="4" w:space="0"/>
              <w:left w:val="single" w:color="000000" w:sz="4" w:space="0"/>
              <w:bottom w:val="single" w:color="000000" w:sz="4" w:space="0"/>
              <w:right w:val="single" w:color="000000" w:sz="4" w:space="0"/>
            </w:tcBorders>
            <w:vAlign w:val="center"/>
          </w:tcPr>
          <w:p w14:paraId="37664B60">
            <w:pPr>
              <w:pStyle w:val="71"/>
              <w:spacing w:before="24" w:after="24"/>
              <w:rPr>
                <w:rFonts w:cs="Times New Roman"/>
              </w:rPr>
            </w:pPr>
            <w:r>
              <w:rPr>
                <w:rFonts w:cs="Times New Roman"/>
              </w:rPr>
              <w:t>5.0-15.0</w:t>
            </w:r>
          </w:p>
        </w:tc>
        <w:tc>
          <w:tcPr>
            <w:tcW w:w="1687" w:type="dxa"/>
            <w:tcBorders>
              <w:top w:val="single" w:color="000000" w:sz="4" w:space="0"/>
              <w:left w:val="single" w:color="000000" w:sz="4" w:space="0"/>
              <w:bottom w:val="single" w:color="000000" w:sz="4" w:space="0"/>
              <w:right w:val="single" w:color="000000" w:sz="4" w:space="0"/>
            </w:tcBorders>
            <w:vAlign w:val="center"/>
          </w:tcPr>
          <w:p w14:paraId="6A667AAA">
            <w:pPr>
              <w:pStyle w:val="71"/>
              <w:spacing w:before="24" w:after="24"/>
              <w:rPr>
                <w:rFonts w:cs="Times New Roman"/>
              </w:rPr>
            </w:pPr>
            <w:r>
              <w:rPr>
                <w:rFonts w:cs="Times New Roman"/>
              </w:rPr>
              <w:t>3.0-8.0</w:t>
            </w:r>
          </w:p>
        </w:tc>
        <w:tc>
          <w:tcPr>
            <w:tcW w:w="3128" w:type="dxa"/>
            <w:tcBorders>
              <w:top w:val="single" w:color="000000" w:sz="4" w:space="0"/>
              <w:left w:val="single" w:color="000000" w:sz="4" w:space="0"/>
              <w:bottom w:val="single" w:color="000000" w:sz="4" w:space="0"/>
              <w:right w:val="single" w:color="000000" w:sz="4" w:space="0"/>
            </w:tcBorders>
            <w:vAlign w:val="center"/>
          </w:tcPr>
          <w:p w14:paraId="787CAEF6">
            <w:pPr>
              <w:pStyle w:val="71"/>
              <w:spacing w:before="24" w:after="24"/>
              <w:rPr>
                <w:rFonts w:cs="Times New Roman"/>
              </w:rPr>
            </w:pPr>
            <w:r>
              <w:rPr>
                <w:rFonts w:cs="Times New Roman"/>
              </w:rPr>
              <w:t>全树冠精品树苗，树形优美</w:t>
            </w:r>
          </w:p>
        </w:tc>
      </w:tr>
      <w:tr w14:paraId="575D0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377" w:type="dxa"/>
            <w:gridSpan w:val="5"/>
            <w:tcBorders>
              <w:top w:val="single" w:color="000000" w:sz="4" w:space="0"/>
              <w:left w:val="single" w:color="000000" w:sz="4" w:space="0"/>
              <w:bottom w:val="single" w:color="000000" w:sz="4" w:space="0"/>
              <w:right w:val="single" w:color="000000" w:sz="4" w:space="0"/>
            </w:tcBorders>
            <w:vAlign w:val="center"/>
          </w:tcPr>
          <w:p w14:paraId="587D3B69">
            <w:pPr>
              <w:pStyle w:val="71"/>
              <w:spacing w:before="24" w:after="24"/>
              <w:rPr>
                <w:rFonts w:cs="Times New Roman"/>
              </w:rPr>
            </w:pPr>
            <w:r>
              <w:rPr>
                <w:rFonts w:cs="Times New Roman"/>
              </w:rPr>
              <w:t>灌木球</w:t>
            </w:r>
          </w:p>
        </w:tc>
      </w:tr>
      <w:tr w14:paraId="34038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7" w:type="dxa"/>
            <w:tcBorders>
              <w:top w:val="single" w:color="000000" w:sz="4" w:space="0"/>
              <w:left w:val="single" w:color="000000" w:sz="4" w:space="0"/>
              <w:bottom w:val="single" w:color="000000" w:sz="4" w:space="0"/>
              <w:right w:val="single" w:color="000000" w:sz="4" w:space="0"/>
            </w:tcBorders>
            <w:vAlign w:val="center"/>
          </w:tcPr>
          <w:p w14:paraId="2727A2A0">
            <w:pPr>
              <w:pStyle w:val="71"/>
              <w:spacing w:before="24" w:after="24"/>
              <w:rPr>
                <w:rFonts w:cs="Times New Roman"/>
              </w:rPr>
            </w:pPr>
            <w:r>
              <w:rPr>
                <w:rFonts w:cs="Times New Roman"/>
              </w:rPr>
              <w:t>1</w:t>
            </w:r>
          </w:p>
        </w:tc>
        <w:tc>
          <w:tcPr>
            <w:tcW w:w="1971" w:type="dxa"/>
            <w:tcBorders>
              <w:top w:val="single" w:color="000000" w:sz="4" w:space="0"/>
              <w:left w:val="single" w:color="000000" w:sz="4" w:space="0"/>
              <w:bottom w:val="single" w:color="000000" w:sz="4" w:space="0"/>
              <w:right w:val="single" w:color="000000" w:sz="4" w:space="0"/>
            </w:tcBorders>
            <w:vAlign w:val="center"/>
          </w:tcPr>
          <w:p w14:paraId="36969B28">
            <w:pPr>
              <w:pStyle w:val="71"/>
              <w:spacing w:before="24" w:after="24"/>
              <w:rPr>
                <w:rFonts w:cs="Times New Roman"/>
              </w:rPr>
            </w:pPr>
            <w:r>
              <w:rPr>
                <w:rFonts w:cs="Times New Roman"/>
              </w:rPr>
              <w:t>尖叶木樨榄球</w:t>
            </w:r>
          </w:p>
        </w:tc>
        <w:tc>
          <w:tcPr>
            <w:tcW w:w="1634" w:type="dxa"/>
            <w:tcBorders>
              <w:top w:val="single" w:color="000000" w:sz="4" w:space="0"/>
              <w:left w:val="single" w:color="000000" w:sz="4" w:space="0"/>
              <w:bottom w:val="single" w:color="000000" w:sz="4" w:space="0"/>
              <w:right w:val="single" w:color="000000" w:sz="4" w:space="0"/>
            </w:tcBorders>
            <w:vAlign w:val="center"/>
          </w:tcPr>
          <w:p w14:paraId="4ACB2EDD">
            <w:pPr>
              <w:pStyle w:val="71"/>
              <w:spacing w:before="24" w:after="24"/>
              <w:rPr>
                <w:rFonts w:cs="Times New Roman"/>
              </w:rPr>
            </w:pPr>
            <w:r>
              <w:rPr>
                <w:rFonts w:cs="Times New Roman"/>
              </w:rPr>
              <w:t>/</w:t>
            </w:r>
          </w:p>
        </w:tc>
        <w:tc>
          <w:tcPr>
            <w:tcW w:w="1687" w:type="dxa"/>
            <w:tcBorders>
              <w:top w:val="single" w:color="000000" w:sz="4" w:space="0"/>
              <w:left w:val="single" w:color="000000" w:sz="4" w:space="0"/>
              <w:bottom w:val="single" w:color="000000" w:sz="4" w:space="0"/>
              <w:right w:val="single" w:color="000000" w:sz="4" w:space="0"/>
            </w:tcBorders>
            <w:vAlign w:val="center"/>
          </w:tcPr>
          <w:p w14:paraId="6FD1AC40">
            <w:pPr>
              <w:pStyle w:val="71"/>
              <w:spacing w:before="24" w:after="24"/>
              <w:rPr>
                <w:rFonts w:cs="Times New Roman"/>
              </w:rPr>
            </w:pPr>
            <w:r>
              <w:rPr>
                <w:rFonts w:cs="Times New Roman"/>
              </w:rPr>
              <w:t>0.6-0.8</w:t>
            </w:r>
          </w:p>
        </w:tc>
        <w:tc>
          <w:tcPr>
            <w:tcW w:w="3128" w:type="dxa"/>
            <w:tcBorders>
              <w:top w:val="single" w:color="000000" w:sz="4" w:space="0"/>
              <w:left w:val="single" w:color="000000" w:sz="4" w:space="0"/>
              <w:bottom w:val="single" w:color="000000" w:sz="4" w:space="0"/>
              <w:right w:val="single" w:color="000000" w:sz="4" w:space="0"/>
            </w:tcBorders>
            <w:vAlign w:val="center"/>
          </w:tcPr>
          <w:p w14:paraId="59C9F687">
            <w:pPr>
              <w:pStyle w:val="71"/>
              <w:spacing w:before="24" w:after="24"/>
              <w:rPr>
                <w:rFonts w:cs="Times New Roman"/>
              </w:rPr>
            </w:pPr>
            <w:r>
              <w:rPr>
                <w:rFonts w:cs="Times New Roman"/>
              </w:rPr>
              <w:t>球形饱满，树形优美</w:t>
            </w:r>
          </w:p>
        </w:tc>
      </w:tr>
      <w:tr w14:paraId="2EF69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7" w:type="dxa"/>
            <w:tcBorders>
              <w:top w:val="single" w:color="000000" w:sz="4" w:space="0"/>
              <w:left w:val="single" w:color="000000" w:sz="4" w:space="0"/>
              <w:bottom w:val="single" w:color="000000" w:sz="4" w:space="0"/>
              <w:right w:val="single" w:color="000000" w:sz="4" w:space="0"/>
            </w:tcBorders>
            <w:vAlign w:val="center"/>
          </w:tcPr>
          <w:p w14:paraId="073DAD08">
            <w:pPr>
              <w:pStyle w:val="71"/>
              <w:spacing w:before="24" w:after="24"/>
              <w:rPr>
                <w:rFonts w:cs="Times New Roman"/>
              </w:rPr>
            </w:pPr>
            <w:r>
              <w:rPr>
                <w:rFonts w:cs="Times New Roman"/>
              </w:rPr>
              <w:t>2</w:t>
            </w:r>
          </w:p>
        </w:tc>
        <w:tc>
          <w:tcPr>
            <w:tcW w:w="1971" w:type="dxa"/>
            <w:tcBorders>
              <w:top w:val="single" w:color="000000" w:sz="4" w:space="0"/>
              <w:left w:val="single" w:color="000000" w:sz="4" w:space="0"/>
              <w:bottom w:val="single" w:color="000000" w:sz="4" w:space="0"/>
              <w:right w:val="single" w:color="000000" w:sz="4" w:space="0"/>
            </w:tcBorders>
            <w:vAlign w:val="center"/>
          </w:tcPr>
          <w:p w14:paraId="6423B87D">
            <w:pPr>
              <w:pStyle w:val="71"/>
              <w:spacing w:before="24" w:after="24"/>
              <w:rPr>
                <w:rFonts w:cs="Times New Roman"/>
              </w:rPr>
            </w:pPr>
            <w:r>
              <w:rPr>
                <w:rFonts w:cs="Times New Roman"/>
              </w:rPr>
              <w:t>红叶石楠球</w:t>
            </w:r>
          </w:p>
        </w:tc>
        <w:tc>
          <w:tcPr>
            <w:tcW w:w="1634" w:type="dxa"/>
            <w:tcBorders>
              <w:top w:val="single" w:color="000000" w:sz="4" w:space="0"/>
              <w:left w:val="single" w:color="000000" w:sz="4" w:space="0"/>
              <w:bottom w:val="single" w:color="000000" w:sz="4" w:space="0"/>
              <w:right w:val="single" w:color="000000" w:sz="4" w:space="0"/>
            </w:tcBorders>
            <w:vAlign w:val="center"/>
          </w:tcPr>
          <w:p w14:paraId="4969702C">
            <w:pPr>
              <w:pStyle w:val="71"/>
              <w:spacing w:before="24" w:after="24"/>
              <w:rPr>
                <w:rFonts w:cs="Times New Roman"/>
              </w:rPr>
            </w:pPr>
            <w:r>
              <w:rPr>
                <w:rFonts w:cs="Times New Roman"/>
              </w:rPr>
              <w:t>/</w:t>
            </w:r>
          </w:p>
        </w:tc>
        <w:tc>
          <w:tcPr>
            <w:tcW w:w="1687" w:type="dxa"/>
            <w:tcBorders>
              <w:top w:val="single" w:color="000000" w:sz="4" w:space="0"/>
              <w:left w:val="single" w:color="000000" w:sz="4" w:space="0"/>
              <w:bottom w:val="single" w:color="000000" w:sz="4" w:space="0"/>
              <w:right w:val="single" w:color="000000" w:sz="4" w:space="0"/>
            </w:tcBorders>
            <w:vAlign w:val="center"/>
          </w:tcPr>
          <w:p w14:paraId="6D011CE0">
            <w:pPr>
              <w:pStyle w:val="71"/>
              <w:spacing w:before="24" w:after="24"/>
              <w:rPr>
                <w:rFonts w:cs="Times New Roman"/>
              </w:rPr>
            </w:pPr>
            <w:r>
              <w:rPr>
                <w:rFonts w:cs="Times New Roman"/>
              </w:rPr>
              <w:t>0.6-0.8</w:t>
            </w:r>
          </w:p>
        </w:tc>
        <w:tc>
          <w:tcPr>
            <w:tcW w:w="3128" w:type="dxa"/>
            <w:tcBorders>
              <w:top w:val="single" w:color="000000" w:sz="4" w:space="0"/>
              <w:left w:val="single" w:color="000000" w:sz="4" w:space="0"/>
              <w:bottom w:val="single" w:color="000000" w:sz="4" w:space="0"/>
              <w:right w:val="single" w:color="000000" w:sz="4" w:space="0"/>
            </w:tcBorders>
            <w:vAlign w:val="center"/>
          </w:tcPr>
          <w:p w14:paraId="5EBDB5DC">
            <w:pPr>
              <w:pStyle w:val="71"/>
              <w:spacing w:before="24" w:after="24"/>
              <w:rPr>
                <w:rFonts w:cs="Times New Roman"/>
              </w:rPr>
            </w:pPr>
            <w:r>
              <w:rPr>
                <w:rFonts w:cs="Times New Roman"/>
              </w:rPr>
              <w:t>球形饱满，树形优美</w:t>
            </w:r>
          </w:p>
        </w:tc>
      </w:tr>
      <w:tr w14:paraId="77B2E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7" w:type="dxa"/>
            <w:tcBorders>
              <w:top w:val="single" w:color="000000" w:sz="4" w:space="0"/>
              <w:left w:val="single" w:color="000000" w:sz="4" w:space="0"/>
              <w:bottom w:val="single" w:color="000000" w:sz="4" w:space="0"/>
              <w:right w:val="single" w:color="000000" w:sz="4" w:space="0"/>
            </w:tcBorders>
            <w:vAlign w:val="center"/>
          </w:tcPr>
          <w:p w14:paraId="44DC0F57">
            <w:pPr>
              <w:pStyle w:val="71"/>
              <w:spacing w:before="24" w:after="24"/>
              <w:rPr>
                <w:rFonts w:cs="Times New Roman"/>
              </w:rPr>
            </w:pPr>
            <w:r>
              <w:rPr>
                <w:rFonts w:cs="Times New Roman"/>
              </w:rPr>
              <w:t>3</w:t>
            </w:r>
          </w:p>
        </w:tc>
        <w:tc>
          <w:tcPr>
            <w:tcW w:w="1971" w:type="dxa"/>
            <w:tcBorders>
              <w:top w:val="single" w:color="000000" w:sz="4" w:space="0"/>
              <w:left w:val="single" w:color="000000" w:sz="4" w:space="0"/>
              <w:bottom w:val="single" w:color="000000" w:sz="4" w:space="0"/>
              <w:right w:val="single" w:color="000000" w:sz="4" w:space="0"/>
            </w:tcBorders>
            <w:vAlign w:val="center"/>
          </w:tcPr>
          <w:p w14:paraId="49454A9B">
            <w:pPr>
              <w:pStyle w:val="71"/>
              <w:spacing w:before="24" w:after="24"/>
              <w:rPr>
                <w:rFonts w:cs="Times New Roman"/>
              </w:rPr>
            </w:pPr>
            <w:r>
              <w:rPr>
                <w:rFonts w:cs="Times New Roman"/>
              </w:rPr>
              <w:t>金森女贞球</w:t>
            </w:r>
          </w:p>
        </w:tc>
        <w:tc>
          <w:tcPr>
            <w:tcW w:w="1634" w:type="dxa"/>
            <w:tcBorders>
              <w:top w:val="single" w:color="000000" w:sz="4" w:space="0"/>
              <w:left w:val="single" w:color="000000" w:sz="4" w:space="0"/>
              <w:bottom w:val="single" w:color="000000" w:sz="4" w:space="0"/>
              <w:right w:val="single" w:color="000000" w:sz="4" w:space="0"/>
            </w:tcBorders>
            <w:vAlign w:val="center"/>
          </w:tcPr>
          <w:p w14:paraId="024BF986">
            <w:pPr>
              <w:pStyle w:val="71"/>
              <w:spacing w:before="24" w:after="24"/>
              <w:rPr>
                <w:rFonts w:cs="Times New Roman"/>
              </w:rPr>
            </w:pPr>
            <w:r>
              <w:rPr>
                <w:rFonts w:cs="Times New Roman"/>
              </w:rPr>
              <w:t>/</w:t>
            </w:r>
          </w:p>
        </w:tc>
        <w:tc>
          <w:tcPr>
            <w:tcW w:w="1687" w:type="dxa"/>
            <w:tcBorders>
              <w:top w:val="single" w:color="000000" w:sz="4" w:space="0"/>
              <w:left w:val="single" w:color="000000" w:sz="4" w:space="0"/>
              <w:bottom w:val="single" w:color="000000" w:sz="4" w:space="0"/>
              <w:right w:val="single" w:color="000000" w:sz="4" w:space="0"/>
            </w:tcBorders>
            <w:vAlign w:val="center"/>
          </w:tcPr>
          <w:p w14:paraId="37B03BA8">
            <w:pPr>
              <w:pStyle w:val="71"/>
              <w:spacing w:before="24" w:after="24"/>
              <w:rPr>
                <w:rFonts w:cs="Times New Roman"/>
              </w:rPr>
            </w:pPr>
            <w:r>
              <w:rPr>
                <w:rFonts w:cs="Times New Roman"/>
              </w:rPr>
              <w:t>0.6-0.8</w:t>
            </w:r>
          </w:p>
        </w:tc>
        <w:tc>
          <w:tcPr>
            <w:tcW w:w="3128" w:type="dxa"/>
            <w:tcBorders>
              <w:top w:val="single" w:color="000000" w:sz="4" w:space="0"/>
              <w:left w:val="single" w:color="000000" w:sz="4" w:space="0"/>
              <w:bottom w:val="single" w:color="000000" w:sz="4" w:space="0"/>
              <w:right w:val="single" w:color="000000" w:sz="4" w:space="0"/>
            </w:tcBorders>
            <w:vAlign w:val="center"/>
          </w:tcPr>
          <w:p w14:paraId="7EED7BCA">
            <w:pPr>
              <w:pStyle w:val="71"/>
              <w:spacing w:before="24" w:after="24"/>
              <w:rPr>
                <w:rFonts w:cs="Times New Roman"/>
              </w:rPr>
            </w:pPr>
            <w:r>
              <w:rPr>
                <w:rFonts w:cs="Times New Roman"/>
              </w:rPr>
              <w:t>球形饱满，树形优美</w:t>
            </w:r>
          </w:p>
        </w:tc>
      </w:tr>
      <w:tr w14:paraId="7BA44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7" w:type="dxa"/>
            <w:tcBorders>
              <w:top w:val="single" w:color="000000" w:sz="4" w:space="0"/>
              <w:left w:val="single" w:color="000000" w:sz="4" w:space="0"/>
              <w:bottom w:val="single" w:color="000000" w:sz="4" w:space="0"/>
              <w:right w:val="single" w:color="000000" w:sz="4" w:space="0"/>
            </w:tcBorders>
            <w:vAlign w:val="center"/>
          </w:tcPr>
          <w:p w14:paraId="25D9E1A0">
            <w:pPr>
              <w:pStyle w:val="71"/>
              <w:spacing w:before="24" w:after="24"/>
              <w:rPr>
                <w:rFonts w:cs="Times New Roman"/>
              </w:rPr>
            </w:pPr>
            <w:r>
              <w:rPr>
                <w:rFonts w:cs="Times New Roman"/>
              </w:rPr>
              <w:t>4</w:t>
            </w:r>
          </w:p>
        </w:tc>
        <w:tc>
          <w:tcPr>
            <w:tcW w:w="1971" w:type="dxa"/>
            <w:tcBorders>
              <w:top w:val="single" w:color="000000" w:sz="4" w:space="0"/>
              <w:left w:val="single" w:color="000000" w:sz="4" w:space="0"/>
              <w:bottom w:val="single" w:color="000000" w:sz="4" w:space="0"/>
              <w:right w:val="single" w:color="000000" w:sz="4" w:space="0"/>
            </w:tcBorders>
            <w:vAlign w:val="center"/>
          </w:tcPr>
          <w:p w14:paraId="32B17D7C">
            <w:pPr>
              <w:pStyle w:val="71"/>
              <w:spacing w:before="24" w:after="24"/>
              <w:rPr>
                <w:rFonts w:cs="Times New Roman"/>
              </w:rPr>
            </w:pPr>
            <w:r>
              <w:rPr>
                <w:rFonts w:cs="Times New Roman"/>
              </w:rPr>
              <w:t>小叶女贞球</w:t>
            </w:r>
          </w:p>
        </w:tc>
        <w:tc>
          <w:tcPr>
            <w:tcW w:w="1634" w:type="dxa"/>
            <w:tcBorders>
              <w:top w:val="single" w:color="000000" w:sz="4" w:space="0"/>
              <w:left w:val="single" w:color="000000" w:sz="4" w:space="0"/>
              <w:bottom w:val="single" w:color="000000" w:sz="4" w:space="0"/>
              <w:right w:val="single" w:color="000000" w:sz="4" w:space="0"/>
            </w:tcBorders>
            <w:vAlign w:val="center"/>
          </w:tcPr>
          <w:p w14:paraId="5E27C707">
            <w:pPr>
              <w:pStyle w:val="71"/>
              <w:spacing w:before="24" w:after="24"/>
              <w:rPr>
                <w:rFonts w:cs="Times New Roman"/>
              </w:rPr>
            </w:pPr>
            <w:r>
              <w:rPr>
                <w:rFonts w:cs="Times New Roman"/>
              </w:rPr>
              <w:t>/</w:t>
            </w:r>
          </w:p>
        </w:tc>
        <w:tc>
          <w:tcPr>
            <w:tcW w:w="1687" w:type="dxa"/>
            <w:tcBorders>
              <w:top w:val="single" w:color="000000" w:sz="4" w:space="0"/>
              <w:left w:val="single" w:color="000000" w:sz="4" w:space="0"/>
              <w:bottom w:val="single" w:color="000000" w:sz="4" w:space="0"/>
              <w:right w:val="single" w:color="000000" w:sz="4" w:space="0"/>
            </w:tcBorders>
            <w:vAlign w:val="center"/>
          </w:tcPr>
          <w:p w14:paraId="370B2E3C">
            <w:pPr>
              <w:pStyle w:val="71"/>
              <w:spacing w:before="24" w:after="24"/>
              <w:rPr>
                <w:rFonts w:cs="Times New Roman"/>
              </w:rPr>
            </w:pPr>
            <w:r>
              <w:rPr>
                <w:rFonts w:cs="Times New Roman"/>
              </w:rPr>
              <w:t>0.8-1.0</w:t>
            </w:r>
          </w:p>
        </w:tc>
        <w:tc>
          <w:tcPr>
            <w:tcW w:w="3128" w:type="dxa"/>
            <w:tcBorders>
              <w:top w:val="single" w:color="000000" w:sz="4" w:space="0"/>
              <w:left w:val="single" w:color="000000" w:sz="4" w:space="0"/>
              <w:bottom w:val="single" w:color="000000" w:sz="4" w:space="0"/>
              <w:right w:val="single" w:color="000000" w:sz="4" w:space="0"/>
            </w:tcBorders>
            <w:vAlign w:val="center"/>
          </w:tcPr>
          <w:p w14:paraId="42F993B5">
            <w:pPr>
              <w:pStyle w:val="71"/>
              <w:spacing w:before="24" w:after="24"/>
              <w:rPr>
                <w:rFonts w:cs="Times New Roman"/>
              </w:rPr>
            </w:pPr>
            <w:r>
              <w:rPr>
                <w:rFonts w:cs="Times New Roman"/>
              </w:rPr>
              <w:t>球形饱满，树形优美</w:t>
            </w:r>
          </w:p>
        </w:tc>
      </w:tr>
      <w:tr w14:paraId="14D57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7" w:type="dxa"/>
            <w:tcBorders>
              <w:top w:val="single" w:color="000000" w:sz="4" w:space="0"/>
              <w:left w:val="single" w:color="000000" w:sz="4" w:space="0"/>
              <w:bottom w:val="single" w:color="000000" w:sz="4" w:space="0"/>
              <w:right w:val="single" w:color="000000" w:sz="4" w:space="0"/>
            </w:tcBorders>
            <w:vAlign w:val="center"/>
          </w:tcPr>
          <w:p w14:paraId="693A99FF">
            <w:pPr>
              <w:pStyle w:val="71"/>
              <w:spacing w:before="24" w:after="24"/>
              <w:rPr>
                <w:rFonts w:cs="Times New Roman"/>
              </w:rPr>
            </w:pPr>
            <w:r>
              <w:rPr>
                <w:rFonts w:cs="Times New Roman"/>
              </w:rPr>
              <w:t>5</w:t>
            </w:r>
          </w:p>
        </w:tc>
        <w:tc>
          <w:tcPr>
            <w:tcW w:w="1971" w:type="dxa"/>
            <w:tcBorders>
              <w:top w:val="single" w:color="000000" w:sz="4" w:space="0"/>
              <w:left w:val="single" w:color="000000" w:sz="4" w:space="0"/>
              <w:bottom w:val="single" w:color="000000" w:sz="4" w:space="0"/>
              <w:right w:val="single" w:color="000000" w:sz="4" w:space="0"/>
            </w:tcBorders>
            <w:vAlign w:val="center"/>
          </w:tcPr>
          <w:p w14:paraId="0832B85D">
            <w:pPr>
              <w:pStyle w:val="71"/>
              <w:spacing w:before="24" w:after="24"/>
              <w:rPr>
                <w:rFonts w:cs="Times New Roman"/>
              </w:rPr>
            </w:pPr>
            <w:r>
              <w:rPr>
                <w:rFonts w:cs="Times New Roman"/>
              </w:rPr>
              <w:t>金边黄杨球</w:t>
            </w:r>
          </w:p>
        </w:tc>
        <w:tc>
          <w:tcPr>
            <w:tcW w:w="1634" w:type="dxa"/>
            <w:tcBorders>
              <w:top w:val="single" w:color="000000" w:sz="4" w:space="0"/>
              <w:left w:val="single" w:color="000000" w:sz="4" w:space="0"/>
              <w:bottom w:val="single" w:color="000000" w:sz="4" w:space="0"/>
              <w:right w:val="single" w:color="000000" w:sz="4" w:space="0"/>
            </w:tcBorders>
            <w:vAlign w:val="center"/>
          </w:tcPr>
          <w:p w14:paraId="1CD76A68">
            <w:pPr>
              <w:pStyle w:val="71"/>
              <w:spacing w:before="24" w:after="24"/>
              <w:rPr>
                <w:rFonts w:cs="Times New Roman"/>
              </w:rPr>
            </w:pPr>
            <w:r>
              <w:rPr>
                <w:rFonts w:cs="Times New Roman"/>
              </w:rPr>
              <w:t>/</w:t>
            </w:r>
          </w:p>
        </w:tc>
        <w:tc>
          <w:tcPr>
            <w:tcW w:w="1687" w:type="dxa"/>
            <w:tcBorders>
              <w:top w:val="single" w:color="000000" w:sz="4" w:space="0"/>
              <w:left w:val="single" w:color="000000" w:sz="4" w:space="0"/>
              <w:bottom w:val="single" w:color="000000" w:sz="4" w:space="0"/>
              <w:right w:val="single" w:color="000000" w:sz="4" w:space="0"/>
            </w:tcBorders>
            <w:vAlign w:val="center"/>
          </w:tcPr>
          <w:p w14:paraId="0F19C81D">
            <w:pPr>
              <w:pStyle w:val="71"/>
              <w:spacing w:before="24" w:after="24"/>
              <w:rPr>
                <w:rFonts w:cs="Times New Roman"/>
              </w:rPr>
            </w:pPr>
            <w:r>
              <w:rPr>
                <w:rFonts w:cs="Times New Roman"/>
              </w:rPr>
              <w:t>1.2-1.5</w:t>
            </w:r>
          </w:p>
        </w:tc>
        <w:tc>
          <w:tcPr>
            <w:tcW w:w="3128" w:type="dxa"/>
            <w:tcBorders>
              <w:top w:val="single" w:color="000000" w:sz="4" w:space="0"/>
              <w:left w:val="single" w:color="000000" w:sz="4" w:space="0"/>
              <w:bottom w:val="single" w:color="000000" w:sz="4" w:space="0"/>
              <w:right w:val="single" w:color="000000" w:sz="4" w:space="0"/>
            </w:tcBorders>
            <w:vAlign w:val="center"/>
          </w:tcPr>
          <w:p w14:paraId="6B1EBA14">
            <w:pPr>
              <w:pStyle w:val="71"/>
              <w:spacing w:before="24" w:after="24"/>
              <w:rPr>
                <w:rFonts w:cs="Times New Roman"/>
              </w:rPr>
            </w:pPr>
            <w:r>
              <w:rPr>
                <w:rFonts w:cs="Times New Roman"/>
              </w:rPr>
              <w:t>球形饱满，树形优美</w:t>
            </w:r>
          </w:p>
        </w:tc>
      </w:tr>
      <w:tr w14:paraId="780A57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377" w:type="dxa"/>
            <w:gridSpan w:val="5"/>
            <w:tcBorders>
              <w:top w:val="single" w:color="000000" w:sz="4" w:space="0"/>
              <w:left w:val="single" w:color="000000" w:sz="4" w:space="0"/>
              <w:bottom w:val="single" w:color="000000" w:sz="4" w:space="0"/>
              <w:right w:val="single" w:color="000000" w:sz="4" w:space="0"/>
            </w:tcBorders>
            <w:vAlign w:val="center"/>
          </w:tcPr>
          <w:p w14:paraId="5D5A9B72">
            <w:pPr>
              <w:pStyle w:val="71"/>
              <w:spacing w:before="24" w:after="24"/>
              <w:rPr>
                <w:rFonts w:cs="Times New Roman"/>
              </w:rPr>
            </w:pPr>
            <w:r>
              <w:rPr>
                <w:rFonts w:cs="Times New Roman"/>
              </w:rPr>
              <w:t>灌木地被</w:t>
            </w:r>
          </w:p>
        </w:tc>
      </w:tr>
      <w:tr w14:paraId="4A9E18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7" w:type="dxa"/>
            <w:tcBorders>
              <w:top w:val="single" w:color="000000" w:sz="4" w:space="0"/>
              <w:left w:val="single" w:color="000000" w:sz="4" w:space="0"/>
              <w:bottom w:val="single" w:color="000000" w:sz="4" w:space="0"/>
              <w:right w:val="single" w:color="000000" w:sz="4" w:space="0"/>
            </w:tcBorders>
            <w:vAlign w:val="center"/>
          </w:tcPr>
          <w:p w14:paraId="3FDD08ED">
            <w:pPr>
              <w:pStyle w:val="71"/>
              <w:spacing w:before="24" w:after="24"/>
              <w:rPr>
                <w:rFonts w:cs="Times New Roman"/>
              </w:rPr>
            </w:pPr>
            <w:r>
              <w:rPr>
                <w:rFonts w:cs="Times New Roman"/>
              </w:rPr>
              <w:t>1</w:t>
            </w:r>
          </w:p>
        </w:tc>
        <w:tc>
          <w:tcPr>
            <w:tcW w:w="1971" w:type="dxa"/>
            <w:tcBorders>
              <w:top w:val="single" w:color="000000" w:sz="4" w:space="0"/>
              <w:left w:val="single" w:color="000000" w:sz="4" w:space="0"/>
              <w:bottom w:val="single" w:color="000000" w:sz="4" w:space="0"/>
              <w:right w:val="single" w:color="000000" w:sz="4" w:space="0"/>
            </w:tcBorders>
            <w:vAlign w:val="center"/>
          </w:tcPr>
          <w:p w14:paraId="1DAC4B7C">
            <w:pPr>
              <w:pStyle w:val="71"/>
              <w:spacing w:before="24" w:after="24"/>
              <w:rPr>
                <w:rFonts w:cs="Times New Roman"/>
              </w:rPr>
            </w:pPr>
            <w:r>
              <w:rPr>
                <w:rFonts w:cs="Times New Roman"/>
              </w:rPr>
              <w:t>马缨杜鹃</w:t>
            </w:r>
          </w:p>
        </w:tc>
        <w:tc>
          <w:tcPr>
            <w:tcW w:w="1634" w:type="dxa"/>
            <w:tcBorders>
              <w:top w:val="single" w:color="000000" w:sz="4" w:space="0"/>
              <w:left w:val="single" w:color="000000" w:sz="4" w:space="0"/>
              <w:bottom w:val="single" w:color="000000" w:sz="4" w:space="0"/>
              <w:right w:val="single" w:color="000000" w:sz="4" w:space="0"/>
            </w:tcBorders>
            <w:vAlign w:val="center"/>
          </w:tcPr>
          <w:p w14:paraId="75D89049">
            <w:pPr>
              <w:pStyle w:val="71"/>
              <w:spacing w:before="24" w:after="24"/>
              <w:rPr>
                <w:rFonts w:cs="Times New Roman"/>
              </w:rPr>
            </w:pPr>
            <w:r>
              <w:rPr>
                <w:rFonts w:cs="Times New Roman"/>
              </w:rPr>
              <w:t>/</w:t>
            </w:r>
          </w:p>
        </w:tc>
        <w:tc>
          <w:tcPr>
            <w:tcW w:w="1687" w:type="dxa"/>
            <w:tcBorders>
              <w:top w:val="single" w:color="000000" w:sz="4" w:space="0"/>
              <w:left w:val="single" w:color="000000" w:sz="4" w:space="0"/>
              <w:bottom w:val="single" w:color="000000" w:sz="4" w:space="0"/>
              <w:right w:val="single" w:color="000000" w:sz="4" w:space="0"/>
            </w:tcBorders>
            <w:vAlign w:val="center"/>
          </w:tcPr>
          <w:p w14:paraId="10244239">
            <w:pPr>
              <w:pStyle w:val="71"/>
              <w:spacing w:before="24" w:after="24"/>
              <w:rPr>
                <w:rFonts w:cs="Times New Roman"/>
              </w:rPr>
            </w:pPr>
            <w:r>
              <w:rPr>
                <w:rFonts w:cs="Times New Roman"/>
              </w:rPr>
              <w:t>0.4-0.45</w:t>
            </w:r>
          </w:p>
        </w:tc>
        <w:tc>
          <w:tcPr>
            <w:tcW w:w="3128" w:type="dxa"/>
            <w:tcBorders>
              <w:top w:val="single" w:color="000000" w:sz="4" w:space="0"/>
              <w:left w:val="single" w:color="000000" w:sz="4" w:space="0"/>
              <w:bottom w:val="single" w:color="000000" w:sz="4" w:space="0"/>
              <w:right w:val="single" w:color="000000" w:sz="4" w:space="0"/>
            </w:tcBorders>
            <w:vAlign w:val="center"/>
          </w:tcPr>
          <w:p w14:paraId="5A0D485E">
            <w:pPr>
              <w:pStyle w:val="71"/>
              <w:spacing w:before="24" w:after="24"/>
              <w:rPr>
                <w:rFonts w:cs="Times New Roman"/>
              </w:rPr>
            </w:pPr>
            <w:r>
              <w:rPr>
                <w:rFonts w:cs="Times New Roman"/>
              </w:rPr>
              <w:t>喜光，稍耐阴，25株/㎡</w:t>
            </w:r>
          </w:p>
        </w:tc>
      </w:tr>
      <w:tr w14:paraId="45163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7" w:type="dxa"/>
            <w:tcBorders>
              <w:top w:val="single" w:color="000000" w:sz="4" w:space="0"/>
              <w:left w:val="single" w:color="000000" w:sz="4" w:space="0"/>
              <w:bottom w:val="single" w:color="000000" w:sz="4" w:space="0"/>
              <w:right w:val="single" w:color="000000" w:sz="4" w:space="0"/>
            </w:tcBorders>
            <w:vAlign w:val="center"/>
          </w:tcPr>
          <w:p w14:paraId="2E2AB529">
            <w:pPr>
              <w:pStyle w:val="71"/>
              <w:spacing w:before="24" w:after="24"/>
              <w:rPr>
                <w:rFonts w:cs="Times New Roman"/>
              </w:rPr>
            </w:pPr>
            <w:r>
              <w:rPr>
                <w:rFonts w:cs="Times New Roman"/>
              </w:rPr>
              <w:t>2</w:t>
            </w:r>
          </w:p>
        </w:tc>
        <w:tc>
          <w:tcPr>
            <w:tcW w:w="1971" w:type="dxa"/>
            <w:tcBorders>
              <w:top w:val="single" w:color="000000" w:sz="4" w:space="0"/>
              <w:left w:val="single" w:color="000000" w:sz="4" w:space="0"/>
              <w:bottom w:val="single" w:color="000000" w:sz="4" w:space="0"/>
              <w:right w:val="single" w:color="000000" w:sz="4" w:space="0"/>
            </w:tcBorders>
            <w:vAlign w:val="center"/>
          </w:tcPr>
          <w:p w14:paraId="3774B851">
            <w:pPr>
              <w:pStyle w:val="71"/>
              <w:spacing w:before="24" w:after="24"/>
              <w:rPr>
                <w:rFonts w:cs="Times New Roman"/>
              </w:rPr>
            </w:pPr>
            <w:r>
              <w:rPr>
                <w:rFonts w:cs="Times New Roman"/>
              </w:rPr>
              <w:t>小叶黄杨</w:t>
            </w:r>
          </w:p>
        </w:tc>
        <w:tc>
          <w:tcPr>
            <w:tcW w:w="1634" w:type="dxa"/>
            <w:tcBorders>
              <w:top w:val="single" w:color="000000" w:sz="4" w:space="0"/>
              <w:left w:val="single" w:color="000000" w:sz="4" w:space="0"/>
              <w:bottom w:val="single" w:color="000000" w:sz="4" w:space="0"/>
              <w:right w:val="single" w:color="000000" w:sz="4" w:space="0"/>
            </w:tcBorders>
            <w:vAlign w:val="center"/>
          </w:tcPr>
          <w:p w14:paraId="13CFCDC6">
            <w:pPr>
              <w:pStyle w:val="71"/>
              <w:spacing w:before="24" w:after="24"/>
              <w:rPr>
                <w:rFonts w:cs="Times New Roman"/>
              </w:rPr>
            </w:pPr>
            <w:r>
              <w:rPr>
                <w:rFonts w:cs="Times New Roman"/>
              </w:rPr>
              <w:t>/</w:t>
            </w:r>
          </w:p>
        </w:tc>
        <w:tc>
          <w:tcPr>
            <w:tcW w:w="1687" w:type="dxa"/>
            <w:tcBorders>
              <w:top w:val="single" w:color="000000" w:sz="4" w:space="0"/>
              <w:left w:val="single" w:color="000000" w:sz="4" w:space="0"/>
              <w:bottom w:val="single" w:color="000000" w:sz="4" w:space="0"/>
              <w:right w:val="single" w:color="000000" w:sz="4" w:space="0"/>
            </w:tcBorders>
            <w:vAlign w:val="center"/>
          </w:tcPr>
          <w:p w14:paraId="2615F04F">
            <w:pPr>
              <w:pStyle w:val="71"/>
              <w:spacing w:before="24" w:after="24"/>
              <w:rPr>
                <w:rFonts w:cs="Times New Roman"/>
              </w:rPr>
            </w:pPr>
            <w:r>
              <w:rPr>
                <w:rFonts w:cs="Times New Roman"/>
              </w:rPr>
              <w:t>0.35-0.4</w:t>
            </w:r>
          </w:p>
        </w:tc>
        <w:tc>
          <w:tcPr>
            <w:tcW w:w="3128" w:type="dxa"/>
            <w:tcBorders>
              <w:top w:val="single" w:color="000000" w:sz="4" w:space="0"/>
              <w:left w:val="single" w:color="000000" w:sz="4" w:space="0"/>
              <w:bottom w:val="single" w:color="000000" w:sz="4" w:space="0"/>
              <w:right w:val="single" w:color="000000" w:sz="4" w:space="0"/>
            </w:tcBorders>
            <w:vAlign w:val="center"/>
          </w:tcPr>
          <w:p w14:paraId="32B0D633">
            <w:pPr>
              <w:pStyle w:val="71"/>
              <w:spacing w:before="24" w:after="24"/>
              <w:rPr>
                <w:rFonts w:cs="Times New Roman"/>
              </w:rPr>
            </w:pPr>
            <w:r>
              <w:rPr>
                <w:rFonts w:cs="Times New Roman"/>
              </w:rPr>
              <w:t>喜光，耐半阴，25株/㎡</w:t>
            </w:r>
          </w:p>
        </w:tc>
      </w:tr>
      <w:tr w14:paraId="06E297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7" w:type="dxa"/>
            <w:tcBorders>
              <w:top w:val="single" w:color="000000" w:sz="4" w:space="0"/>
              <w:left w:val="single" w:color="000000" w:sz="4" w:space="0"/>
              <w:bottom w:val="single" w:color="000000" w:sz="4" w:space="0"/>
              <w:right w:val="single" w:color="000000" w:sz="4" w:space="0"/>
            </w:tcBorders>
            <w:vAlign w:val="center"/>
          </w:tcPr>
          <w:p w14:paraId="7F7BA64F">
            <w:pPr>
              <w:pStyle w:val="71"/>
              <w:spacing w:before="24" w:after="24"/>
              <w:rPr>
                <w:rFonts w:cs="Times New Roman"/>
              </w:rPr>
            </w:pPr>
            <w:r>
              <w:rPr>
                <w:rFonts w:cs="Times New Roman"/>
              </w:rPr>
              <w:t>3</w:t>
            </w:r>
          </w:p>
        </w:tc>
        <w:tc>
          <w:tcPr>
            <w:tcW w:w="1971" w:type="dxa"/>
            <w:tcBorders>
              <w:top w:val="single" w:color="000000" w:sz="4" w:space="0"/>
              <w:left w:val="single" w:color="000000" w:sz="4" w:space="0"/>
              <w:bottom w:val="single" w:color="000000" w:sz="4" w:space="0"/>
              <w:right w:val="single" w:color="000000" w:sz="4" w:space="0"/>
            </w:tcBorders>
            <w:vAlign w:val="center"/>
          </w:tcPr>
          <w:p w14:paraId="45A83250">
            <w:pPr>
              <w:pStyle w:val="71"/>
              <w:spacing w:before="24" w:after="24"/>
              <w:rPr>
                <w:rFonts w:cs="Times New Roman"/>
              </w:rPr>
            </w:pPr>
            <w:r>
              <w:rPr>
                <w:rFonts w:cs="Times New Roman"/>
              </w:rPr>
              <w:t>冬青卫矛</w:t>
            </w:r>
          </w:p>
        </w:tc>
        <w:tc>
          <w:tcPr>
            <w:tcW w:w="1634" w:type="dxa"/>
            <w:tcBorders>
              <w:top w:val="single" w:color="000000" w:sz="4" w:space="0"/>
              <w:left w:val="single" w:color="000000" w:sz="4" w:space="0"/>
              <w:bottom w:val="single" w:color="000000" w:sz="4" w:space="0"/>
              <w:right w:val="single" w:color="000000" w:sz="4" w:space="0"/>
            </w:tcBorders>
            <w:vAlign w:val="center"/>
          </w:tcPr>
          <w:p w14:paraId="609F0C97">
            <w:pPr>
              <w:pStyle w:val="71"/>
              <w:spacing w:before="24" w:after="24"/>
              <w:rPr>
                <w:rFonts w:cs="Times New Roman"/>
              </w:rPr>
            </w:pPr>
            <w:r>
              <w:rPr>
                <w:rFonts w:cs="Times New Roman"/>
              </w:rPr>
              <w:t>/</w:t>
            </w:r>
          </w:p>
        </w:tc>
        <w:tc>
          <w:tcPr>
            <w:tcW w:w="1687" w:type="dxa"/>
            <w:tcBorders>
              <w:top w:val="single" w:color="000000" w:sz="4" w:space="0"/>
              <w:left w:val="single" w:color="000000" w:sz="4" w:space="0"/>
              <w:bottom w:val="single" w:color="000000" w:sz="4" w:space="0"/>
              <w:right w:val="single" w:color="000000" w:sz="4" w:space="0"/>
            </w:tcBorders>
            <w:vAlign w:val="center"/>
          </w:tcPr>
          <w:p w14:paraId="50B2DB6A">
            <w:pPr>
              <w:pStyle w:val="71"/>
              <w:spacing w:before="24" w:after="24"/>
              <w:rPr>
                <w:rFonts w:cs="Times New Roman"/>
              </w:rPr>
            </w:pPr>
            <w:r>
              <w:rPr>
                <w:rFonts w:cs="Times New Roman"/>
              </w:rPr>
              <w:t>0.35-0.3</w:t>
            </w:r>
          </w:p>
        </w:tc>
        <w:tc>
          <w:tcPr>
            <w:tcW w:w="3128" w:type="dxa"/>
            <w:tcBorders>
              <w:top w:val="single" w:color="000000" w:sz="4" w:space="0"/>
              <w:left w:val="single" w:color="000000" w:sz="4" w:space="0"/>
              <w:bottom w:val="single" w:color="000000" w:sz="4" w:space="0"/>
              <w:right w:val="single" w:color="000000" w:sz="4" w:space="0"/>
            </w:tcBorders>
            <w:vAlign w:val="center"/>
          </w:tcPr>
          <w:p w14:paraId="7898542F">
            <w:pPr>
              <w:pStyle w:val="71"/>
              <w:spacing w:before="24" w:after="24"/>
              <w:rPr>
                <w:rFonts w:cs="Times New Roman"/>
              </w:rPr>
            </w:pPr>
            <w:r>
              <w:rPr>
                <w:rFonts w:cs="Times New Roman"/>
              </w:rPr>
              <w:t>喜光，耐阴，25株/㎡</w:t>
            </w:r>
          </w:p>
        </w:tc>
      </w:tr>
      <w:tr w14:paraId="32AEF1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7" w:type="dxa"/>
            <w:tcBorders>
              <w:top w:val="single" w:color="000000" w:sz="4" w:space="0"/>
              <w:left w:val="single" w:color="000000" w:sz="4" w:space="0"/>
              <w:bottom w:val="single" w:color="000000" w:sz="4" w:space="0"/>
              <w:right w:val="single" w:color="000000" w:sz="4" w:space="0"/>
            </w:tcBorders>
            <w:vAlign w:val="center"/>
          </w:tcPr>
          <w:p w14:paraId="3DE439DA">
            <w:pPr>
              <w:pStyle w:val="71"/>
              <w:spacing w:before="24" w:after="24"/>
              <w:rPr>
                <w:rFonts w:cs="Times New Roman"/>
              </w:rPr>
            </w:pPr>
            <w:r>
              <w:rPr>
                <w:rFonts w:cs="Times New Roman"/>
              </w:rPr>
              <w:t>4</w:t>
            </w:r>
          </w:p>
        </w:tc>
        <w:tc>
          <w:tcPr>
            <w:tcW w:w="1971" w:type="dxa"/>
            <w:tcBorders>
              <w:top w:val="single" w:color="000000" w:sz="4" w:space="0"/>
              <w:left w:val="single" w:color="000000" w:sz="4" w:space="0"/>
              <w:bottom w:val="single" w:color="000000" w:sz="4" w:space="0"/>
              <w:right w:val="single" w:color="000000" w:sz="4" w:space="0"/>
            </w:tcBorders>
            <w:vAlign w:val="center"/>
          </w:tcPr>
          <w:p w14:paraId="778C3443">
            <w:pPr>
              <w:pStyle w:val="71"/>
              <w:spacing w:before="24" w:after="24"/>
              <w:rPr>
                <w:rFonts w:cs="Times New Roman"/>
              </w:rPr>
            </w:pPr>
            <w:r>
              <w:rPr>
                <w:rFonts w:cs="Times New Roman"/>
              </w:rPr>
              <w:t>紫柳</w:t>
            </w:r>
          </w:p>
        </w:tc>
        <w:tc>
          <w:tcPr>
            <w:tcW w:w="1634" w:type="dxa"/>
            <w:tcBorders>
              <w:top w:val="single" w:color="000000" w:sz="4" w:space="0"/>
              <w:left w:val="single" w:color="000000" w:sz="4" w:space="0"/>
              <w:bottom w:val="single" w:color="000000" w:sz="4" w:space="0"/>
              <w:right w:val="single" w:color="000000" w:sz="4" w:space="0"/>
            </w:tcBorders>
            <w:vAlign w:val="center"/>
          </w:tcPr>
          <w:p w14:paraId="58BDE6E6">
            <w:pPr>
              <w:pStyle w:val="71"/>
              <w:spacing w:before="24" w:after="24"/>
              <w:rPr>
                <w:rFonts w:cs="Times New Roman"/>
              </w:rPr>
            </w:pPr>
            <w:r>
              <w:rPr>
                <w:rFonts w:cs="Times New Roman"/>
              </w:rPr>
              <w:t>/</w:t>
            </w:r>
          </w:p>
        </w:tc>
        <w:tc>
          <w:tcPr>
            <w:tcW w:w="1687" w:type="dxa"/>
            <w:tcBorders>
              <w:top w:val="single" w:color="000000" w:sz="4" w:space="0"/>
              <w:left w:val="single" w:color="000000" w:sz="4" w:space="0"/>
              <w:bottom w:val="single" w:color="000000" w:sz="4" w:space="0"/>
              <w:right w:val="single" w:color="000000" w:sz="4" w:space="0"/>
            </w:tcBorders>
            <w:vAlign w:val="center"/>
          </w:tcPr>
          <w:p w14:paraId="084FE970">
            <w:pPr>
              <w:pStyle w:val="71"/>
              <w:spacing w:before="24" w:after="24"/>
              <w:rPr>
                <w:rFonts w:cs="Times New Roman"/>
              </w:rPr>
            </w:pPr>
            <w:r>
              <w:rPr>
                <w:rFonts w:cs="Times New Roman"/>
              </w:rPr>
              <w:t>0.3-0.35</w:t>
            </w:r>
          </w:p>
        </w:tc>
        <w:tc>
          <w:tcPr>
            <w:tcW w:w="3128" w:type="dxa"/>
            <w:tcBorders>
              <w:top w:val="single" w:color="000000" w:sz="4" w:space="0"/>
              <w:left w:val="single" w:color="000000" w:sz="4" w:space="0"/>
              <w:bottom w:val="single" w:color="000000" w:sz="4" w:space="0"/>
              <w:right w:val="single" w:color="000000" w:sz="4" w:space="0"/>
            </w:tcBorders>
            <w:vAlign w:val="center"/>
          </w:tcPr>
          <w:p w14:paraId="7CBB2608">
            <w:pPr>
              <w:pStyle w:val="71"/>
              <w:spacing w:before="24" w:after="24"/>
              <w:rPr>
                <w:rFonts w:cs="Times New Roman"/>
              </w:rPr>
            </w:pPr>
            <w:r>
              <w:rPr>
                <w:rFonts w:cs="Times New Roman"/>
              </w:rPr>
              <w:t>喜光，25株/㎡</w:t>
            </w:r>
          </w:p>
        </w:tc>
      </w:tr>
      <w:tr w14:paraId="017FA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7" w:type="dxa"/>
            <w:tcBorders>
              <w:top w:val="single" w:color="000000" w:sz="4" w:space="0"/>
              <w:left w:val="single" w:color="000000" w:sz="4" w:space="0"/>
              <w:bottom w:val="single" w:color="000000" w:sz="4" w:space="0"/>
              <w:right w:val="single" w:color="000000" w:sz="4" w:space="0"/>
            </w:tcBorders>
            <w:vAlign w:val="center"/>
          </w:tcPr>
          <w:p w14:paraId="7C747BD1">
            <w:pPr>
              <w:pStyle w:val="71"/>
              <w:spacing w:before="24" w:after="24"/>
              <w:rPr>
                <w:rFonts w:cs="Times New Roman"/>
              </w:rPr>
            </w:pPr>
            <w:r>
              <w:rPr>
                <w:rFonts w:cs="Times New Roman"/>
              </w:rPr>
              <w:t>5</w:t>
            </w:r>
          </w:p>
        </w:tc>
        <w:tc>
          <w:tcPr>
            <w:tcW w:w="1971" w:type="dxa"/>
            <w:tcBorders>
              <w:top w:val="single" w:color="000000" w:sz="4" w:space="0"/>
              <w:left w:val="single" w:color="000000" w:sz="4" w:space="0"/>
              <w:bottom w:val="single" w:color="000000" w:sz="4" w:space="0"/>
              <w:right w:val="single" w:color="000000" w:sz="4" w:space="0"/>
            </w:tcBorders>
            <w:vAlign w:val="center"/>
          </w:tcPr>
          <w:p w14:paraId="1BBEEE79">
            <w:pPr>
              <w:pStyle w:val="71"/>
              <w:spacing w:before="24" w:after="24"/>
              <w:rPr>
                <w:rFonts w:cs="Times New Roman"/>
              </w:rPr>
            </w:pPr>
            <w:r>
              <w:rPr>
                <w:rFonts w:cs="Times New Roman"/>
              </w:rPr>
              <w:t>金叶过路黄</w:t>
            </w:r>
          </w:p>
        </w:tc>
        <w:tc>
          <w:tcPr>
            <w:tcW w:w="1634" w:type="dxa"/>
            <w:tcBorders>
              <w:top w:val="single" w:color="000000" w:sz="4" w:space="0"/>
              <w:left w:val="single" w:color="000000" w:sz="4" w:space="0"/>
              <w:bottom w:val="single" w:color="000000" w:sz="4" w:space="0"/>
              <w:right w:val="single" w:color="000000" w:sz="4" w:space="0"/>
            </w:tcBorders>
            <w:vAlign w:val="center"/>
          </w:tcPr>
          <w:p w14:paraId="06CF6104">
            <w:pPr>
              <w:pStyle w:val="71"/>
              <w:spacing w:before="24" w:after="24"/>
              <w:rPr>
                <w:rFonts w:cs="Times New Roman"/>
              </w:rPr>
            </w:pPr>
            <w:r>
              <w:rPr>
                <w:rFonts w:cs="Times New Roman"/>
              </w:rPr>
              <w:t>/</w:t>
            </w:r>
          </w:p>
        </w:tc>
        <w:tc>
          <w:tcPr>
            <w:tcW w:w="1687" w:type="dxa"/>
            <w:tcBorders>
              <w:top w:val="single" w:color="000000" w:sz="4" w:space="0"/>
              <w:left w:val="single" w:color="000000" w:sz="4" w:space="0"/>
              <w:bottom w:val="single" w:color="000000" w:sz="4" w:space="0"/>
              <w:right w:val="single" w:color="000000" w:sz="4" w:space="0"/>
            </w:tcBorders>
            <w:vAlign w:val="center"/>
          </w:tcPr>
          <w:p w14:paraId="5CC98DC0">
            <w:pPr>
              <w:pStyle w:val="71"/>
              <w:spacing w:before="24" w:after="24"/>
              <w:rPr>
                <w:rFonts w:cs="Times New Roman"/>
              </w:rPr>
            </w:pPr>
            <w:r>
              <w:rPr>
                <w:rFonts w:cs="Times New Roman"/>
              </w:rPr>
              <w:t>0.1-0.2</w:t>
            </w:r>
          </w:p>
        </w:tc>
        <w:tc>
          <w:tcPr>
            <w:tcW w:w="3128" w:type="dxa"/>
            <w:tcBorders>
              <w:top w:val="single" w:color="000000" w:sz="4" w:space="0"/>
              <w:left w:val="single" w:color="000000" w:sz="4" w:space="0"/>
              <w:bottom w:val="single" w:color="000000" w:sz="4" w:space="0"/>
              <w:right w:val="single" w:color="000000" w:sz="4" w:space="0"/>
            </w:tcBorders>
            <w:vAlign w:val="center"/>
          </w:tcPr>
          <w:p w14:paraId="3B4FDA8A">
            <w:pPr>
              <w:pStyle w:val="71"/>
              <w:spacing w:before="24" w:after="24"/>
              <w:rPr>
                <w:rFonts w:cs="Times New Roman"/>
              </w:rPr>
            </w:pPr>
            <w:r>
              <w:rPr>
                <w:rFonts w:cs="Times New Roman"/>
              </w:rPr>
              <w:t>喜光，25株/㎡</w:t>
            </w:r>
          </w:p>
        </w:tc>
      </w:tr>
      <w:tr w14:paraId="66D06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7" w:type="dxa"/>
            <w:tcBorders>
              <w:top w:val="single" w:color="000000" w:sz="4" w:space="0"/>
              <w:left w:val="single" w:color="000000" w:sz="4" w:space="0"/>
              <w:bottom w:val="single" w:color="000000" w:sz="4" w:space="0"/>
              <w:right w:val="single" w:color="000000" w:sz="4" w:space="0"/>
            </w:tcBorders>
            <w:vAlign w:val="center"/>
          </w:tcPr>
          <w:p w14:paraId="193CD798">
            <w:pPr>
              <w:pStyle w:val="71"/>
              <w:spacing w:before="24" w:after="24"/>
              <w:rPr>
                <w:rFonts w:cs="Times New Roman"/>
              </w:rPr>
            </w:pPr>
            <w:r>
              <w:rPr>
                <w:rFonts w:cs="Times New Roman"/>
              </w:rPr>
              <w:t>6</w:t>
            </w:r>
          </w:p>
        </w:tc>
        <w:tc>
          <w:tcPr>
            <w:tcW w:w="1971" w:type="dxa"/>
            <w:tcBorders>
              <w:top w:val="single" w:color="000000" w:sz="4" w:space="0"/>
              <w:left w:val="single" w:color="000000" w:sz="4" w:space="0"/>
              <w:bottom w:val="single" w:color="000000" w:sz="4" w:space="0"/>
              <w:right w:val="single" w:color="000000" w:sz="4" w:space="0"/>
            </w:tcBorders>
            <w:vAlign w:val="center"/>
          </w:tcPr>
          <w:p w14:paraId="4E2793D2">
            <w:pPr>
              <w:pStyle w:val="71"/>
              <w:spacing w:before="24" w:after="24"/>
              <w:rPr>
                <w:rFonts w:cs="Times New Roman"/>
              </w:rPr>
            </w:pPr>
            <w:r>
              <w:rPr>
                <w:rFonts w:cs="Times New Roman"/>
              </w:rPr>
              <w:t>中华景天</w:t>
            </w:r>
          </w:p>
        </w:tc>
        <w:tc>
          <w:tcPr>
            <w:tcW w:w="1634" w:type="dxa"/>
            <w:tcBorders>
              <w:top w:val="single" w:color="000000" w:sz="4" w:space="0"/>
              <w:left w:val="single" w:color="000000" w:sz="4" w:space="0"/>
              <w:bottom w:val="single" w:color="000000" w:sz="4" w:space="0"/>
              <w:right w:val="single" w:color="000000" w:sz="4" w:space="0"/>
            </w:tcBorders>
            <w:vAlign w:val="center"/>
          </w:tcPr>
          <w:p w14:paraId="5F5ECE12">
            <w:pPr>
              <w:pStyle w:val="71"/>
              <w:spacing w:before="24" w:after="24"/>
              <w:rPr>
                <w:rFonts w:cs="Times New Roman"/>
              </w:rPr>
            </w:pPr>
            <w:r>
              <w:rPr>
                <w:rFonts w:cs="Times New Roman"/>
              </w:rPr>
              <w:t>/</w:t>
            </w:r>
          </w:p>
        </w:tc>
        <w:tc>
          <w:tcPr>
            <w:tcW w:w="1687" w:type="dxa"/>
            <w:tcBorders>
              <w:top w:val="single" w:color="000000" w:sz="4" w:space="0"/>
              <w:left w:val="single" w:color="000000" w:sz="4" w:space="0"/>
              <w:bottom w:val="single" w:color="000000" w:sz="4" w:space="0"/>
              <w:right w:val="single" w:color="000000" w:sz="4" w:space="0"/>
            </w:tcBorders>
            <w:vAlign w:val="center"/>
          </w:tcPr>
          <w:p w14:paraId="5314648D">
            <w:pPr>
              <w:pStyle w:val="71"/>
              <w:spacing w:before="24" w:after="24"/>
              <w:rPr>
                <w:rFonts w:cs="Times New Roman"/>
              </w:rPr>
            </w:pPr>
            <w:r>
              <w:rPr>
                <w:rFonts w:cs="Times New Roman"/>
              </w:rPr>
              <w:t>0.1-0.2</w:t>
            </w:r>
          </w:p>
        </w:tc>
        <w:tc>
          <w:tcPr>
            <w:tcW w:w="3128" w:type="dxa"/>
            <w:tcBorders>
              <w:top w:val="single" w:color="000000" w:sz="4" w:space="0"/>
              <w:left w:val="single" w:color="000000" w:sz="4" w:space="0"/>
              <w:bottom w:val="single" w:color="000000" w:sz="4" w:space="0"/>
              <w:right w:val="single" w:color="000000" w:sz="4" w:space="0"/>
            </w:tcBorders>
            <w:vAlign w:val="center"/>
          </w:tcPr>
          <w:p w14:paraId="50625129">
            <w:pPr>
              <w:pStyle w:val="71"/>
              <w:spacing w:before="24" w:after="24"/>
              <w:rPr>
                <w:rFonts w:cs="Times New Roman"/>
              </w:rPr>
            </w:pPr>
            <w:r>
              <w:rPr>
                <w:rFonts w:cs="Times New Roman"/>
              </w:rPr>
              <w:t>喜光，稍耐阴，25株/㎡</w:t>
            </w:r>
          </w:p>
        </w:tc>
      </w:tr>
      <w:tr w14:paraId="0466CD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7" w:type="dxa"/>
            <w:tcBorders>
              <w:top w:val="single" w:color="000000" w:sz="4" w:space="0"/>
              <w:left w:val="single" w:color="000000" w:sz="4" w:space="0"/>
              <w:bottom w:val="single" w:color="000000" w:sz="4" w:space="0"/>
              <w:right w:val="single" w:color="000000" w:sz="4" w:space="0"/>
            </w:tcBorders>
            <w:vAlign w:val="center"/>
          </w:tcPr>
          <w:p w14:paraId="6407055F">
            <w:pPr>
              <w:pStyle w:val="71"/>
              <w:spacing w:before="24" w:after="24"/>
              <w:rPr>
                <w:rFonts w:cs="Times New Roman"/>
              </w:rPr>
            </w:pPr>
            <w:r>
              <w:rPr>
                <w:rFonts w:cs="Times New Roman"/>
              </w:rPr>
              <w:t>7</w:t>
            </w:r>
          </w:p>
        </w:tc>
        <w:tc>
          <w:tcPr>
            <w:tcW w:w="1971" w:type="dxa"/>
            <w:tcBorders>
              <w:top w:val="single" w:color="000000" w:sz="4" w:space="0"/>
              <w:left w:val="single" w:color="000000" w:sz="4" w:space="0"/>
              <w:bottom w:val="single" w:color="000000" w:sz="4" w:space="0"/>
              <w:right w:val="single" w:color="000000" w:sz="4" w:space="0"/>
            </w:tcBorders>
            <w:vAlign w:val="center"/>
          </w:tcPr>
          <w:p w14:paraId="7C660C96">
            <w:pPr>
              <w:pStyle w:val="71"/>
              <w:spacing w:before="24" w:after="24"/>
              <w:rPr>
                <w:rFonts w:cs="Times New Roman"/>
              </w:rPr>
            </w:pPr>
            <w:r>
              <w:rPr>
                <w:rFonts w:cs="Times New Roman"/>
              </w:rPr>
              <w:t>成品混播草皮</w:t>
            </w:r>
          </w:p>
        </w:tc>
        <w:tc>
          <w:tcPr>
            <w:tcW w:w="1634" w:type="dxa"/>
            <w:tcBorders>
              <w:top w:val="single" w:color="000000" w:sz="4" w:space="0"/>
              <w:left w:val="single" w:color="000000" w:sz="4" w:space="0"/>
              <w:bottom w:val="single" w:color="000000" w:sz="4" w:space="0"/>
              <w:right w:val="single" w:color="000000" w:sz="4" w:space="0"/>
            </w:tcBorders>
            <w:vAlign w:val="center"/>
          </w:tcPr>
          <w:p w14:paraId="71FDD917">
            <w:pPr>
              <w:pStyle w:val="71"/>
              <w:spacing w:before="24" w:after="24"/>
              <w:rPr>
                <w:rFonts w:cs="Times New Roman"/>
              </w:rPr>
            </w:pPr>
            <w:r>
              <w:rPr>
                <w:rFonts w:cs="Times New Roman"/>
              </w:rPr>
              <w:t>/</w:t>
            </w:r>
          </w:p>
        </w:tc>
        <w:tc>
          <w:tcPr>
            <w:tcW w:w="1687" w:type="dxa"/>
            <w:tcBorders>
              <w:top w:val="single" w:color="000000" w:sz="4" w:space="0"/>
              <w:left w:val="single" w:color="000000" w:sz="4" w:space="0"/>
              <w:bottom w:val="single" w:color="000000" w:sz="4" w:space="0"/>
              <w:right w:val="single" w:color="000000" w:sz="4" w:space="0"/>
            </w:tcBorders>
            <w:vAlign w:val="center"/>
          </w:tcPr>
          <w:p w14:paraId="327E3846">
            <w:pPr>
              <w:pStyle w:val="71"/>
              <w:spacing w:before="24" w:after="24"/>
              <w:rPr>
                <w:rFonts w:cs="Times New Roman"/>
              </w:rPr>
            </w:pPr>
            <w:r>
              <w:rPr>
                <w:rFonts w:cs="Times New Roman"/>
              </w:rPr>
              <w:t>/</w:t>
            </w:r>
          </w:p>
        </w:tc>
        <w:tc>
          <w:tcPr>
            <w:tcW w:w="3128" w:type="dxa"/>
            <w:tcBorders>
              <w:top w:val="single" w:color="000000" w:sz="4" w:space="0"/>
              <w:left w:val="single" w:color="000000" w:sz="4" w:space="0"/>
              <w:bottom w:val="single" w:color="000000" w:sz="4" w:space="0"/>
              <w:right w:val="single" w:color="000000" w:sz="4" w:space="0"/>
            </w:tcBorders>
            <w:vAlign w:val="center"/>
          </w:tcPr>
          <w:p w14:paraId="2F41A514">
            <w:pPr>
              <w:pStyle w:val="71"/>
              <w:spacing w:before="24" w:after="24"/>
              <w:rPr>
                <w:rFonts w:cs="Times New Roman"/>
              </w:rPr>
            </w:pPr>
            <w:r>
              <w:rPr>
                <w:rFonts w:cs="Times New Roman"/>
              </w:rPr>
              <w:t>/</w:t>
            </w:r>
          </w:p>
        </w:tc>
      </w:tr>
    </w:tbl>
    <w:p w14:paraId="76DFD9EB">
      <w:pPr>
        <w:pStyle w:val="64"/>
        <w:spacing w:before="24" w:after="24"/>
        <w:rPr>
          <w:rFonts w:cs="Times New Roman"/>
        </w:rPr>
      </w:pPr>
      <w:bookmarkStart w:id="24" w:name="_Toc221894069"/>
      <w:r>
        <w:rPr>
          <w:rFonts w:cs="Times New Roman"/>
        </w:rPr>
        <w:t>10、市政道路指标</w:t>
      </w:r>
      <w:bookmarkEnd w:id="24"/>
    </w:p>
    <w:p w14:paraId="04B7F460">
      <w:pPr>
        <w:pStyle w:val="66"/>
        <w:rPr>
          <w:rFonts w:cs="Times New Roman"/>
        </w:rPr>
      </w:pPr>
      <w:r>
        <w:rPr>
          <w:rFonts w:cs="Times New Roman"/>
        </w:rPr>
        <w:t>10.1 道路及交通工程</w:t>
      </w:r>
    </w:p>
    <w:p w14:paraId="2026BED9">
      <w:pPr>
        <w:pStyle w:val="54"/>
        <w:spacing w:before="24" w:after="24"/>
      </w:pPr>
      <w:r>
        <w:t>10.1.1 道路等级及设计速度</w:t>
      </w:r>
    </w:p>
    <w:p w14:paraId="0974589C">
      <w:pPr>
        <w:pStyle w:val="54"/>
        <w:spacing w:before="24" w:after="24"/>
      </w:pPr>
      <w:r>
        <w:t>根据《德钦新县城（叶枝镇镇区）国土空间详细规划（2021-2035 年）》及《德钦新县城市政道路及配套基础设施建设项目可行性研究报告》，本次发包范围内市政道路按红线宽度及交通通行需求划分道路等级。</w:t>
      </w:r>
    </w:p>
    <w:p w14:paraId="4F7820FA">
      <w:pPr>
        <w:pStyle w:val="54"/>
        <w:spacing w:before="24" w:after="24"/>
      </w:pPr>
      <w:r>
        <w:t>1.红线宽度为27米、30米：道路等级为主干道，设计速度采用30Km/h；</w:t>
      </w:r>
    </w:p>
    <w:tbl>
      <w:tblPr>
        <w:tblStyle w:val="31"/>
        <w:tblW w:w="89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4"/>
        <w:gridCol w:w="1807"/>
        <w:gridCol w:w="1803"/>
        <w:gridCol w:w="1409"/>
        <w:gridCol w:w="2403"/>
      </w:tblGrid>
      <w:tr w14:paraId="153E9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blHeader/>
          <w:jc w:val="center"/>
        </w:trPr>
        <w:tc>
          <w:tcPr>
            <w:tcW w:w="1554" w:type="dxa"/>
            <w:tcBorders>
              <w:top w:val="single" w:color="auto" w:sz="4" w:space="0"/>
              <w:left w:val="single" w:color="auto" w:sz="4" w:space="0"/>
              <w:bottom w:val="single" w:color="auto" w:sz="4" w:space="0"/>
              <w:right w:val="single" w:color="auto" w:sz="4" w:space="0"/>
            </w:tcBorders>
            <w:vAlign w:val="center"/>
          </w:tcPr>
          <w:p w14:paraId="4E95FB86">
            <w:pPr>
              <w:pStyle w:val="71"/>
              <w:spacing w:before="24" w:after="24"/>
              <w:rPr>
                <w:rFonts w:cs="Times New Roman"/>
              </w:rPr>
            </w:pPr>
            <w:r>
              <w:rPr>
                <w:rFonts w:cs="Times New Roman"/>
              </w:rPr>
              <w:t>道路编号</w:t>
            </w:r>
          </w:p>
        </w:tc>
        <w:tc>
          <w:tcPr>
            <w:tcW w:w="1807" w:type="dxa"/>
            <w:tcBorders>
              <w:top w:val="single" w:color="auto" w:sz="4" w:space="0"/>
              <w:left w:val="single" w:color="auto" w:sz="4" w:space="0"/>
              <w:bottom w:val="single" w:color="auto" w:sz="4" w:space="0"/>
              <w:right w:val="single" w:color="auto" w:sz="4" w:space="0"/>
            </w:tcBorders>
            <w:vAlign w:val="center"/>
          </w:tcPr>
          <w:p w14:paraId="6ADF2250">
            <w:pPr>
              <w:pStyle w:val="71"/>
              <w:spacing w:before="24" w:after="24"/>
              <w:rPr>
                <w:rFonts w:cs="Times New Roman"/>
              </w:rPr>
            </w:pPr>
            <w:r>
              <w:rPr>
                <w:rFonts w:cs="Times New Roman"/>
              </w:rPr>
              <w:t>道路宽度（m）</w:t>
            </w:r>
          </w:p>
        </w:tc>
        <w:tc>
          <w:tcPr>
            <w:tcW w:w="1803" w:type="dxa"/>
            <w:tcBorders>
              <w:top w:val="single" w:color="auto" w:sz="4" w:space="0"/>
              <w:left w:val="single" w:color="auto" w:sz="4" w:space="0"/>
              <w:bottom w:val="single" w:color="auto" w:sz="4" w:space="0"/>
              <w:right w:val="single" w:color="auto" w:sz="4" w:space="0"/>
            </w:tcBorders>
            <w:vAlign w:val="center"/>
          </w:tcPr>
          <w:p w14:paraId="0D3440B7">
            <w:pPr>
              <w:pStyle w:val="71"/>
              <w:spacing w:before="24" w:after="24"/>
              <w:rPr>
                <w:rFonts w:cs="Times New Roman"/>
              </w:rPr>
            </w:pPr>
            <w:r>
              <w:rPr>
                <w:rFonts w:cs="Times New Roman"/>
              </w:rPr>
              <w:t>道路长度（m）</w:t>
            </w:r>
          </w:p>
        </w:tc>
        <w:tc>
          <w:tcPr>
            <w:tcW w:w="1409" w:type="dxa"/>
            <w:tcBorders>
              <w:top w:val="single" w:color="auto" w:sz="4" w:space="0"/>
              <w:left w:val="single" w:color="auto" w:sz="4" w:space="0"/>
              <w:bottom w:val="single" w:color="auto" w:sz="4" w:space="0"/>
              <w:right w:val="single" w:color="auto" w:sz="4" w:space="0"/>
            </w:tcBorders>
            <w:vAlign w:val="center"/>
          </w:tcPr>
          <w:p w14:paraId="28A36474">
            <w:pPr>
              <w:pStyle w:val="71"/>
              <w:spacing w:before="24" w:after="24"/>
              <w:rPr>
                <w:rFonts w:cs="Times New Roman"/>
              </w:rPr>
            </w:pPr>
            <w:r>
              <w:rPr>
                <w:rFonts w:cs="Times New Roman"/>
              </w:rPr>
              <w:t>道路等级</w:t>
            </w:r>
          </w:p>
        </w:tc>
        <w:tc>
          <w:tcPr>
            <w:tcW w:w="2403" w:type="dxa"/>
            <w:tcBorders>
              <w:top w:val="single" w:color="auto" w:sz="4" w:space="0"/>
              <w:left w:val="single" w:color="auto" w:sz="4" w:space="0"/>
              <w:bottom w:val="single" w:color="auto" w:sz="4" w:space="0"/>
              <w:right w:val="single" w:color="auto" w:sz="4" w:space="0"/>
            </w:tcBorders>
            <w:vAlign w:val="center"/>
          </w:tcPr>
          <w:p w14:paraId="1F5183EB">
            <w:pPr>
              <w:pStyle w:val="71"/>
              <w:spacing w:before="24" w:after="24"/>
              <w:rPr>
                <w:rFonts w:cs="Times New Roman"/>
              </w:rPr>
            </w:pPr>
            <w:r>
              <w:rPr>
                <w:rFonts w:cs="Times New Roman"/>
              </w:rPr>
              <w:t>设计速度（Km/h）</w:t>
            </w:r>
          </w:p>
        </w:tc>
      </w:tr>
      <w:tr w14:paraId="12B3B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1554" w:type="dxa"/>
            <w:tcBorders>
              <w:top w:val="single" w:color="auto" w:sz="4" w:space="0"/>
              <w:left w:val="single" w:color="auto" w:sz="4" w:space="0"/>
              <w:bottom w:val="single" w:color="auto" w:sz="4" w:space="0"/>
              <w:right w:val="single" w:color="auto" w:sz="4" w:space="0"/>
            </w:tcBorders>
            <w:vAlign w:val="center"/>
          </w:tcPr>
          <w:p w14:paraId="1D274F8E">
            <w:pPr>
              <w:pStyle w:val="71"/>
              <w:spacing w:before="24" w:after="24"/>
              <w:rPr>
                <w:rFonts w:cs="Times New Roman"/>
              </w:rPr>
            </w:pPr>
            <w:r>
              <w:rPr>
                <w:rFonts w:cs="Times New Roman"/>
              </w:rPr>
              <w:t>Z4</w:t>
            </w:r>
          </w:p>
        </w:tc>
        <w:tc>
          <w:tcPr>
            <w:tcW w:w="1807" w:type="dxa"/>
            <w:tcBorders>
              <w:top w:val="single" w:color="auto" w:sz="4" w:space="0"/>
              <w:left w:val="single" w:color="auto" w:sz="4" w:space="0"/>
              <w:bottom w:val="single" w:color="auto" w:sz="4" w:space="0"/>
              <w:right w:val="single" w:color="auto" w:sz="4" w:space="0"/>
            </w:tcBorders>
            <w:vAlign w:val="center"/>
          </w:tcPr>
          <w:p w14:paraId="0823B2DC">
            <w:pPr>
              <w:pStyle w:val="71"/>
              <w:spacing w:before="24" w:after="24"/>
              <w:rPr>
                <w:rFonts w:cs="Times New Roman"/>
              </w:rPr>
            </w:pPr>
            <w:r>
              <w:rPr>
                <w:rFonts w:cs="Times New Roman"/>
              </w:rPr>
              <w:t>27/30</w:t>
            </w:r>
          </w:p>
        </w:tc>
        <w:tc>
          <w:tcPr>
            <w:tcW w:w="1803" w:type="dxa"/>
            <w:tcBorders>
              <w:top w:val="single" w:color="auto" w:sz="4" w:space="0"/>
              <w:left w:val="single" w:color="auto" w:sz="4" w:space="0"/>
              <w:bottom w:val="single" w:color="auto" w:sz="4" w:space="0"/>
              <w:right w:val="single" w:color="auto" w:sz="4" w:space="0"/>
            </w:tcBorders>
            <w:vAlign w:val="center"/>
          </w:tcPr>
          <w:p w14:paraId="5C916535">
            <w:pPr>
              <w:pStyle w:val="71"/>
              <w:spacing w:before="24" w:after="24"/>
              <w:rPr>
                <w:rFonts w:cs="Times New Roman"/>
              </w:rPr>
            </w:pPr>
            <w:r>
              <w:rPr>
                <w:rFonts w:cs="Times New Roman"/>
              </w:rPr>
              <w:t>6000.75</w:t>
            </w:r>
          </w:p>
        </w:tc>
        <w:tc>
          <w:tcPr>
            <w:tcW w:w="1409" w:type="dxa"/>
            <w:tcBorders>
              <w:top w:val="single" w:color="auto" w:sz="4" w:space="0"/>
              <w:left w:val="single" w:color="auto" w:sz="4" w:space="0"/>
              <w:bottom w:val="single" w:color="auto" w:sz="4" w:space="0"/>
              <w:right w:val="single" w:color="auto" w:sz="4" w:space="0"/>
            </w:tcBorders>
            <w:vAlign w:val="center"/>
          </w:tcPr>
          <w:p w14:paraId="50E48070">
            <w:pPr>
              <w:pStyle w:val="71"/>
              <w:spacing w:before="24" w:after="24"/>
              <w:rPr>
                <w:rFonts w:cs="Times New Roman"/>
              </w:rPr>
            </w:pPr>
            <w:r>
              <w:rPr>
                <w:rFonts w:cs="Times New Roman"/>
              </w:rPr>
              <w:t>主干道</w:t>
            </w:r>
          </w:p>
        </w:tc>
        <w:tc>
          <w:tcPr>
            <w:tcW w:w="2403" w:type="dxa"/>
            <w:tcBorders>
              <w:top w:val="single" w:color="auto" w:sz="4" w:space="0"/>
              <w:left w:val="single" w:color="auto" w:sz="4" w:space="0"/>
              <w:bottom w:val="single" w:color="auto" w:sz="4" w:space="0"/>
              <w:right w:val="single" w:color="auto" w:sz="4" w:space="0"/>
            </w:tcBorders>
            <w:vAlign w:val="center"/>
          </w:tcPr>
          <w:p w14:paraId="69202EE3">
            <w:pPr>
              <w:pStyle w:val="71"/>
              <w:spacing w:before="24" w:after="24"/>
              <w:rPr>
                <w:rFonts w:cs="Times New Roman"/>
              </w:rPr>
            </w:pPr>
            <w:r>
              <w:rPr>
                <w:rFonts w:cs="Times New Roman"/>
              </w:rPr>
              <w:t>30</w:t>
            </w:r>
          </w:p>
        </w:tc>
      </w:tr>
      <w:tr w14:paraId="27D51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1554" w:type="dxa"/>
            <w:tcBorders>
              <w:top w:val="single" w:color="auto" w:sz="4" w:space="0"/>
              <w:left w:val="single" w:color="auto" w:sz="4" w:space="0"/>
              <w:bottom w:val="single" w:color="auto" w:sz="4" w:space="0"/>
              <w:right w:val="single" w:color="auto" w:sz="4" w:space="0"/>
            </w:tcBorders>
            <w:vAlign w:val="center"/>
          </w:tcPr>
          <w:p w14:paraId="12A893D5">
            <w:pPr>
              <w:pStyle w:val="71"/>
              <w:spacing w:before="24" w:after="24"/>
              <w:rPr>
                <w:rFonts w:cs="Times New Roman"/>
              </w:rPr>
            </w:pPr>
            <w:r>
              <w:rPr>
                <w:rFonts w:cs="Times New Roman"/>
              </w:rPr>
              <w:t>NZ1</w:t>
            </w:r>
          </w:p>
        </w:tc>
        <w:tc>
          <w:tcPr>
            <w:tcW w:w="1807" w:type="dxa"/>
            <w:tcBorders>
              <w:top w:val="single" w:color="auto" w:sz="4" w:space="0"/>
              <w:left w:val="single" w:color="auto" w:sz="4" w:space="0"/>
              <w:bottom w:val="single" w:color="auto" w:sz="4" w:space="0"/>
              <w:right w:val="single" w:color="auto" w:sz="4" w:space="0"/>
            </w:tcBorders>
            <w:vAlign w:val="center"/>
          </w:tcPr>
          <w:p w14:paraId="683C11B1">
            <w:pPr>
              <w:pStyle w:val="71"/>
              <w:spacing w:before="24" w:after="24"/>
              <w:rPr>
                <w:rFonts w:cs="Times New Roman"/>
              </w:rPr>
            </w:pPr>
            <w:r>
              <w:rPr>
                <w:rFonts w:cs="Times New Roman"/>
              </w:rPr>
              <w:t>27/30</w:t>
            </w:r>
          </w:p>
        </w:tc>
        <w:tc>
          <w:tcPr>
            <w:tcW w:w="1803" w:type="dxa"/>
            <w:tcBorders>
              <w:top w:val="single" w:color="auto" w:sz="4" w:space="0"/>
              <w:left w:val="single" w:color="auto" w:sz="4" w:space="0"/>
              <w:bottom w:val="single" w:color="auto" w:sz="4" w:space="0"/>
              <w:right w:val="single" w:color="auto" w:sz="4" w:space="0"/>
            </w:tcBorders>
            <w:vAlign w:val="center"/>
          </w:tcPr>
          <w:p w14:paraId="637F9FCC">
            <w:pPr>
              <w:pStyle w:val="71"/>
              <w:spacing w:before="24" w:after="24"/>
              <w:rPr>
                <w:rFonts w:cs="Times New Roman"/>
              </w:rPr>
            </w:pPr>
            <w:r>
              <w:rPr>
                <w:rFonts w:cs="Times New Roman"/>
              </w:rPr>
              <w:t>2343.291</w:t>
            </w:r>
          </w:p>
        </w:tc>
        <w:tc>
          <w:tcPr>
            <w:tcW w:w="1409" w:type="dxa"/>
            <w:tcBorders>
              <w:top w:val="single" w:color="auto" w:sz="4" w:space="0"/>
              <w:left w:val="single" w:color="auto" w:sz="4" w:space="0"/>
              <w:bottom w:val="single" w:color="auto" w:sz="4" w:space="0"/>
              <w:right w:val="single" w:color="auto" w:sz="4" w:space="0"/>
            </w:tcBorders>
            <w:vAlign w:val="center"/>
          </w:tcPr>
          <w:p w14:paraId="32222F8D">
            <w:pPr>
              <w:pStyle w:val="71"/>
              <w:spacing w:before="24" w:after="24"/>
              <w:rPr>
                <w:rFonts w:cs="Times New Roman"/>
              </w:rPr>
            </w:pPr>
            <w:r>
              <w:rPr>
                <w:rFonts w:cs="Times New Roman"/>
              </w:rPr>
              <w:t>主干道</w:t>
            </w:r>
          </w:p>
        </w:tc>
        <w:tc>
          <w:tcPr>
            <w:tcW w:w="2403" w:type="dxa"/>
            <w:tcBorders>
              <w:top w:val="single" w:color="auto" w:sz="4" w:space="0"/>
              <w:left w:val="single" w:color="auto" w:sz="4" w:space="0"/>
              <w:bottom w:val="single" w:color="auto" w:sz="4" w:space="0"/>
              <w:right w:val="single" w:color="auto" w:sz="4" w:space="0"/>
            </w:tcBorders>
            <w:vAlign w:val="center"/>
          </w:tcPr>
          <w:p w14:paraId="6486F0EA">
            <w:pPr>
              <w:pStyle w:val="71"/>
              <w:spacing w:before="24" w:after="24"/>
              <w:rPr>
                <w:rFonts w:cs="Times New Roman"/>
              </w:rPr>
            </w:pPr>
            <w:r>
              <w:rPr>
                <w:rFonts w:cs="Times New Roman"/>
              </w:rPr>
              <w:t>30</w:t>
            </w:r>
          </w:p>
        </w:tc>
      </w:tr>
    </w:tbl>
    <w:p w14:paraId="36317FF8">
      <w:pPr>
        <w:pStyle w:val="54"/>
        <w:spacing w:before="24" w:after="24"/>
      </w:pPr>
      <w:r>
        <w:t>10.1.2 道路最小净高</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2392"/>
        <w:gridCol w:w="2393"/>
      </w:tblGrid>
      <w:tr w14:paraId="40386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92" w:type="dxa"/>
            <w:tcBorders>
              <w:top w:val="single" w:color="auto" w:sz="4" w:space="0"/>
              <w:left w:val="single" w:color="auto" w:sz="4" w:space="0"/>
              <w:bottom w:val="single" w:color="auto" w:sz="4" w:space="0"/>
              <w:right w:val="single" w:color="auto" w:sz="4" w:space="0"/>
            </w:tcBorders>
            <w:vAlign w:val="center"/>
          </w:tcPr>
          <w:p w14:paraId="2407230A">
            <w:pPr>
              <w:pStyle w:val="71"/>
              <w:spacing w:before="24" w:after="24"/>
              <w:rPr>
                <w:rFonts w:cs="Times New Roman"/>
              </w:rPr>
            </w:pPr>
            <w:r>
              <w:rPr>
                <w:rFonts w:cs="Times New Roman"/>
              </w:rPr>
              <w:t>部位</w:t>
            </w:r>
          </w:p>
        </w:tc>
        <w:tc>
          <w:tcPr>
            <w:tcW w:w="2392" w:type="dxa"/>
            <w:tcBorders>
              <w:top w:val="single" w:color="auto" w:sz="4" w:space="0"/>
              <w:left w:val="single" w:color="auto" w:sz="4" w:space="0"/>
              <w:bottom w:val="single" w:color="auto" w:sz="4" w:space="0"/>
              <w:right w:val="single" w:color="auto" w:sz="4" w:space="0"/>
            </w:tcBorders>
            <w:vAlign w:val="center"/>
          </w:tcPr>
          <w:p w14:paraId="40D7F739">
            <w:pPr>
              <w:pStyle w:val="71"/>
              <w:spacing w:before="24" w:after="24"/>
              <w:rPr>
                <w:rFonts w:cs="Times New Roman"/>
              </w:rPr>
            </w:pPr>
            <w:r>
              <w:rPr>
                <w:rFonts w:cs="Times New Roman"/>
              </w:rPr>
              <w:t>行驶车辆类型</w:t>
            </w:r>
          </w:p>
        </w:tc>
        <w:tc>
          <w:tcPr>
            <w:tcW w:w="2393" w:type="dxa"/>
            <w:tcBorders>
              <w:top w:val="single" w:color="auto" w:sz="4" w:space="0"/>
              <w:left w:val="single" w:color="auto" w:sz="4" w:space="0"/>
              <w:bottom w:val="single" w:color="auto" w:sz="4" w:space="0"/>
              <w:right w:val="single" w:color="auto" w:sz="4" w:space="0"/>
            </w:tcBorders>
            <w:vAlign w:val="center"/>
          </w:tcPr>
          <w:p w14:paraId="38340F36">
            <w:pPr>
              <w:pStyle w:val="71"/>
              <w:spacing w:before="24" w:after="24"/>
              <w:rPr>
                <w:rFonts w:cs="Times New Roman"/>
              </w:rPr>
            </w:pPr>
            <w:r>
              <w:rPr>
                <w:rFonts w:cs="Times New Roman"/>
              </w:rPr>
              <w:t>最小净高（m）</w:t>
            </w:r>
          </w:p>
        </w:tc>
      </w:tr>
      <w:tr w14:paraId="02DB0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92" w:type="dxa"/>
            <w:tcBorders>
              <w:top w:val="single" w:color="auto" w:sz="4" w:space="0"/>
              <w:left w:val="single" w:color="auto" w:sz="4" w:space="0"/>
              <w:bottom w:val="single" w:color="auto" w:sz="4" w:space="0"/>
              <w:right w:val="single" w:color="auto" w:sz="4" w:space="0"/>
            </w:tcBorders>
            <w:vAlign w:val="center"/>
          </w:tcPr>
          <w:p w14:paraId="4F8981A1">
            <w:pPr>
              <w:pStyle w:val="71"/>
              <w:spacing w:before="24" w:after="24"/>
              <w:rPr>
                <w:rFonts w:cs="Times New Roman"/>
              </w:rPr>
            </w:pPr>
            <w:r>
              <w:rPr>
                <w:rFonts w:cs="Times New Roman"/>
              </w:rPr>
              <w:t>机动车道</w:t>
            </w:r>
          </w:p>
        </w:tc>
        <w:tc>
          <w:tcPr>
            <w:tcW w:w="2392" w:type="dxa"/>
            <w:tcBorders>
              <w:top w:val="single" w:color="auto" w:sz="4" w:space="0"/>
              <w:left w:val="single" w:color="auto" w:sz="4" w:space="0"/>
              <w:bottom w:val="single" w:color="auto" w:sz="4" w:space="0"/>
              <w:right w:val="single" w:color="auto" w:sz="4" w:space="0"/>
            </w:tcBorders>
            <w:vAlign w:val="center"/>
          </w:tcPr>
          <w:p w14:paraId="693EED21">
            <w:pPr>
              <w:pStyle w:val="71"/>
              <w:spacing w:before="24" w:after="24"/>
              <w:rPr>
                <w:rFonts w:cs="Times New Roman"/>
              </w:rPr>
            </w:pPr>
            <w:r>
              <w:rPr>
                <w:rFonts w:cs="Times New Roman"/>
              </w:rPr>
              <w:t>各种机动车</w:t>
            </w:r>
          </w:p>
        </w:tc>
        <w:tc>
          <w:tcPr>
            <w:tcW w:w="2393" w:type="dxa"/>
            <w:tcBorders>
              <w:top w:val="single" w:color="auto" w:sz="4" w:space="0"/>
              <w:left w:val="single" w:color="auto" w:sz="4" w:space="0"/>
              <w:bottom w:val="single" w:color="auto" w:sz="4" w:space="0"/>
              <w:right w:val="single" w:color="auto" w:sz="4" w:space="0"/>
            </w:tcBorders>
            <w:vAlign w:val="center"/>
          </w:tcPr>
          <w:p w14:paraId="2E1BFD8E">
            <w:pPr>
              <w:pStyle w:val="71"/>
              <w:spacing w:before="24" w:after="24"/>
              <w:rPr>
                <w:rFonts w:cs="Times New Roman"/>
              </w:rPr>
            </w:pPr>
            <w:r>
              <w:rPr>
                <w:rFonts w:cs="Times New Roman"/>
              </w:rPr>
              <w:t>4.5</w:t>
            </w:r>
          </w:p>
        </w:tc>
      </w:tr>
      <w:tr w14:paraId="3C973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92" w:type="dxa"/>
            <w:tcBorders>
              <w:top w:val="single" w:color="auto" w:sz="4" w:space="0"/>
              <w:left w:val="single" w:color="auto" w:sz="4" w:space="0"/>
              <w:bottom w:val="single" w:color="auto" w:sz="4" w:space="0"/>
              <w:right w:val="single" w:color="auto" w:sz="4" w:space="0"/>
            </w:tcBorders>
            <w:vAlign w:val="center"/>
          </w:tcPr>
          <w:p w14:paraId="269C3B3F">
            <w:pPr>
              <w:pStyle w:val="71"/>
              <w:spacing w:before="24" w:after="24"/>
              <w:rPr>
                <w:rFonts w:cs="Times New Roman"/>
              </w:rPr>
            </w:pPr>
            <w:r>
              <w:rPr>
                <w:rFonts w:cs="Times New Roman"/>
              </w:rPr>
              <w:t>非机动车道</w:t>
            </w:r>
          </w:p>
        </w:tc>
        <w:tc>
          <w:tcPr>
            <w:tcW w:w="2392" w:type="dxa"/>
            <w:tcBorders>
              <w:top w:val="single" w:color="auto" w:sz="4" w:space="0"/>
              <w:left w:val="single" w:color="auto" w:sz="4" w:space="0"/>
              <w:bottom w:val="single" w:color="auto" w:sz="4" w:space="0"/>
              <w:right w:val="single" w:color="auto" w:sz="4" w:space="0"/>
            </w:tcBorders>
            <w:vAlign w:val="center"/>
          </w:tcPr>
          <w:p w14:paraId="5299B6A8">
            <w:pPr>
              <w:pStyle w:val="71"/>
              <w:spacing w:before="24" w:after="24"/>
              <w:rPr>
                <w:rFonts w:cs="Times New Roman"/>
              </w:rPr>
            </w:pPr>
            <w:r>
              <w:rPr>
                <w:rFonts w:cs="Times New Roman"/>
              </w:rPr>
              <w:t>自行车、三轮车</w:t>
            </w:r>
          </w:p>
        </w:tc>
        <w:tc>
          <w:tcPr>
            <w:tcW w:w="2393" w:type="dxa"/>
            <w:tcBorders>
              <w:top w:val="single" w:color="auto" w:sz="4" w:space="0"/>
              <w:left w:val="single" w:color="auto" w:sz="4" w:space="0"/>
              <w:bottom w:val="single" w:color="auto" w:sz="4" w:space="0"/>
              <w:right w:val="single" w:color="auto" w:sz="4" w:space="0"/>
            </w:tcBorders>
            <w:vAlign w:val="center"/>
          </w:tcPr>
          <w:p w14:paraId="6E01228C">
            <w:pPr>
              <w:pStyle w:val="71"/>
              <w:spacing w:before="24" w:after="24"/>
              <w:rPr>
                <w:rFonts w:cs="Times New Roman"/>
              </w:rPr>
            </w:pPr>
            <w:r>
              <w:rPr>
                <w:rFonts w:cs="Times New Roman"/>
              </w:rPr>
              <w:t>2.5</w:t>
            </w:r>
          </w:p>
        </w:tc>
      </w:tr>
      <w:tr w14:paraId="78FB1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92" w:type="dxa"/>
            <w:tcBorders>
              <w:top w:val="single" w:color="auto" w:sz="4" w:space="0"/>
              <w:left w:val="single" w:color="auto" w:sz="4" w:space="0"/>
              <w:bottom w:val="single" w:color="auto" w:sz="4" w:space="0"/>
              <w:right w:val="single" w:color="auto" w:sz="4" w:space="0"/>
            </w:tcBorders>
            <w:vAlign w:val="center"/>
          </w:tcPr>
          <w:p w14:paraId="0FCD506E">
            <w:pPr>
              <w:pStyle w:val="71"/>
              <w:spacing w:before="24" w:after="24"/>
              <w:rPr>
                <w:rFonts w:cs="Times New Roman"/>
              </w:rPr>
            </w:pPr>
            <w:r>
              <w:rPr>
                <w:rFonts w:cs="Times New Roman"/>
              </w:rPr>
              <w:t>人行道</w:t>
            </w:r>
          </w:p>
        </w:tc>
        <w:tc>
          <w:tcPr>
            <w:tcW w:w="2392" w:type="dxa"/>
            <w:tcBorders>
              <w:top w:val="single" w:color="auto" w:sz="4" w:space="0"/>
              <w:left w:val="single" w:color="auto" w:sz="4" w:space="0"/>
              <w:bottom w:val="single" w:color="auto" w:sz="4" w:space="0"/>
              <w:right w:val="single" w:color="auto" w:sz="4" w:space="0"/>
            </w:tcBorders>
            <w:vAlign w:val="center"/>
          </w:tcPr>
          <w:p w14:paraId="5293558A">
            <w:pPr>
              <w:pStyle w:val="71"/>
              <w:spacing w:before="24" w:after="24"/>
              <w:rPr>
                <w:rFonts w:cs="Times New Roman"/>
              </w:rPr>
            </w:pPr>
            <w:r>
              <w:rPr>
                <w:rFonts w:cs="Times New Roman"/>
              </w:rPr>
              <w:t>行人</w:t>
            </w:r>
          </w:p>
        </w:tc>
        <w:tc>
          <w:tcPr>
            <w:tcW w:w="2393" w:type="dxa"/>
            <w:tcBorders>
              <w:top w:val="single" w:color="auto" w:sz="4" w:space="0"/>
              <w:left w:val="single" w:color="auto" w:sz="4" w:space="0"/>
              <w:bottom w:val="single" w:color="auto" w:sz="4" w:space="0"/>
              <w:right w:val="single" w:color="auto" w:sz="4" w:space="0"/>
            </w:tcBorders>
            <w:vAlign w:val="center"/>
          </w:tcPr>
          <w:p w14:paraId="79457734">
            <w:pPr>
              <w:pStyle w:val="71"/>
              <w:spacing w:before="24" w:after="24"/>
              <w:rPr>
                <w:rFonts w:cs="Times New Roman"/>
              </w:rPr>
            </w:pPr>
            <w:r>
              <w:rPr>
                <w:rFonts w:cs="Times New Roman"/>
              </w:rPr>
              <w:t>2.5</w:t>
            </w:r>
          </w:p>
        </w:tc>
      </w:tr>
    </w:tbl>
    <w:p w14:paraId="52DD649A">
      <w:pPr>
        <w:pStyle w:val="54"/>
        <w:spacing w:before="24" w:after="24"/>
      </w:pPr>
      <w:r>
        <w:t>注：道路设计中应做好与城郊公路及不同净高要求的道路间的衔接过渡，城区主要货运通道最小净高应为5.0m。</w:t>
      </w:r>
    </w:p>
    <w:p w14:paraId="12695711">
      <w:pPr>
        <w:pStyle w:val="54"/>
        <w:spacing w:before="24" w:after="24"/>
      </w:pPr>
      <w:r>
        <w:t>10.1.3 设计基准期</w:t>
      </w:r>
    </w:p>
    <w:p w14:paraId="6E3DE8F6">
      <w:pPr>
        <w:pStyle w:val="54"/>
        <w:spacing w:before="24" w:after="24"/>
      </w:pPr>
      <w:r>
        <w:t>1.道路设计交通量达到饱和状态时的设计基准期：主干路应为20年；</w:t>
      </w:r>
    </w:p>
    <w:p w14:paraId="581F11A3">
      <w:pPr>
        <w:pStyle w:val="54"/>
        <w:spacing w:before="24" w:after="24"/>
      </w:pPr>
      <w:r>
        <w:t>2.沥青混凝土路面结构的设计基准期：主干路为15年。</w:t>
      </w:r>
    </w:p>
    <w:p w14:paraId="3AF48630">
      <w:pPr>
        <w:pStyle w:val="54"/>
        <w:spacing w:before="24" w:after="24"/>
      </w:pPr>
      <w:r>
        <w:t>10.1.4 荷载标准</w:t>
      </w:r>
    </w:p>
    <w:p w14:paraId="51CCAF76">
      <w:pPr>
        <w:pStyle w:val="54"/>
        <w:spacing w:before="24" w:after="24"/>
      </w:pPr>
      <w:r>
        <w:t>1.路面结构设计标准轴载：BZZ-100；</w:t>
      </w:r>
    </w:p>
    <w:p w14:paraId="34741B68">
      <w:pPr>
        <w:pStyle w:val="54"/>
        <w:spacing w:before="24" w:after="24"/>
      </w:pPr>
      <w:r>
        <w:t>2.桥、涵设计荷载：次干路采用城-A级。</w:t>
      </w:r>
    </w:p>
    <w:p w14:paraId="654C40F1">
      <w:pPr>
        <w:pStyle w:val="54"/>
        <w:spacing w:before="24" w:after="24"/>
      </w:pPr>
      <w:r>
        <w:t>10.1.5 抗震设防标准</w:t>
      </w:r>
    </w:p>
    <w:p w14:paraId="3964476D">
      <w:pPr>
        <w:pStyle w:val="54"/>
        <w:spacing w:before="24" w:after="24"/>
      </w:pPr>
      <w:r>
        <w:t>本项目地处云南省迪庆州德钦县，抗震设防烈度为7度，设计基本地震加速度值为0.15g，第二组。</w:t>
      </w:r>
    </w:p>
    <w:p w14:paraId="5714ED53">
      <w:pPr>
        <w:pStyle w:val="66"/>
        <w:rPr>
          <w:rFonts w:cs="Times New Roman"/>
        </w:rPr>
      </w:pPr>
      <w:r>
        <w:rPr>
          <w:rFonts w:cs="Times New Roman"/>
        </w:rPr>
        <w:t>10.2 道路照明工程</w:t>
      </w:r>
    </w:p>
    <w:p w14:paraId="58E162FD">
      <w:pPr>
        <w:pStyle w:val="54"/>
        <w:spacing w:before="24" w:after="24"/>
        <w:jc w:val="center"/>
      </w:pPr>
      <w:r>
        <w:t>机动车道照明标准值</w:t>
      </w:r>
    </w:p>
    <w:p w14:paraId="599F7BF2">
      <w:pPr>
        <w:pStyle w:val="54"/>
        <w:spacing w:before="24" w:after="24"/>
      </w:pPr>
      <w:r>
        <w:drawing>
          <wp:inline distT="0" distB="0" distL="114300" distR="114300">
            <wp:extent cx="4599305" cy="2447290"/>
            <wp:effectExtent l="0" t="0" r="10795" b="381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icPr>
                  <pic:blipFill>
                    <a:blip r:embed="rId13"/>
                    <a:stretch>
                      <a:fillRect/>
                    </a:stretch>
                  </pic:blipFill>
                  <pic:spPr>
                    <a:xfrm>
                      <a:off x="0" y="0"/>
                      <a:ext cx="4599305" cy="2447290"/>
                    </a:xfrm>
                    <a:prstGeom prst="rect">
                      <a:avLst/>
                    </a:prstGeom>
                    <a:noFill/>
                    <a:ln w="9525">
                      <a:noFill/>
                    </a:ln>
                  </pic:spPr>
                </pic:pic>
              </a:graphicData>
            </a:graphic>
          </wp:inline>
        </w:drawing>
      </w:r>
    </w:p>
    <w:p w14:paraId="5662CC4D">
      <w:pPr>
        <w:pStyle w:val="66"/>
        <w:rPr>
          <w:rFonts w:cs="Times New Roman"/>
        </w:rPr>
      </w:pPr>
      <w:r>
        <w:rPr>
          <w:rFonts w:cs="Times New Roman"/>
        </w:rPr>
        <w:t>10.3 绿化工程</w:t>
      </w:r>
    </w:p>
    <w:p w14:paraId="27449A90">
      <w:pPr>
        <w:pStyle w:val="54"/>
        <w:spacing w:before="24" w:after="24"/>
      </w:pPr>
      <w:r>
        <w:t>道路红线宽度＜30.0m，绿地率不应＜15%。</w:t>
      </w:r>
    </w:p>
    <w:p w14:paraId="0DEA5212">
      <w:pPr>
        <w:pStyle w:val="66"/>
        <w:rPr>
          <w:rFonts w:cs="Times New Roman"/>
        </w:rPr>
      </w:pPr>
      <w:r>
        <w:rPr>
          <w:rFonts w:cs="Times New Roman"/>
        </w:rPr>
        <w:t>10.4 桥涵工程</w:t>
      </w:r>
    </w:p>
    <w:p w14:paraId="715B2226">
      <w:pPr>
        <w:pStyle w:val="54"/>
        <w:spacing w:before="24" w:after="24"/>
      </w:pPr>
      <w:r>
        <w:t>设计荷载：次干道采用城-A级，支路采用城-B级，人群荷载采用3.0KN/㎡；</w:t>
      </w:r>
    </w:p>
    <w:p w14:paraId="503A130D">
      <w:pPr>
        <w:pStyle w:val="54"/>
        <w:spacing w:before="24" w:after="24"/>
      </w:pPr>
      <w:r>
        <w:t>设计车速：30Km/h；</w:t>
      </w:r>
    </w:p>
    <w:p w14:paraId="5EF9AE51">
      <w:pPr>
        <w:pStyle w:val="54"/>
        <w:spacing w:before="24" w:after="24"/>
      </w:pPr>
      <w:r>
        <w:t>桥梁、涵洞结构设计基准期：100年；</w:t>
      </w:r>
    </w:p>
    <w:p w14:paraId="2BA1360A">
      <w:pPr>
        <w:pStyle w:val="54"/>
        <w:spacing w:before="24" w:after="24"/>
      </w:pPr>
      <w:r>
        <w:t>桥梁规模：中、小桥；</w:t>
      </w:r>
    </w:p>
    <w:p w14:paraId="62A2E497">
      <w:pPr>
        <w:pStyle w:val="54"/>
        <w:spacing w:before="24" w:after="24"/>
      </w:pPr>
      <w:r>
        <w:t>桥梁设计使用年限：50年；</w:t>
      </w:r>
    </w:p>
    <w:p w14:paraId="1E284F39">
      <w:pPr>
        <w:pStyle w:val="54"/>
        <w:spacing w:before="24" w:after="24"/>
      </w:pPr>
      <w:r>
        <w:t>涵洞设计使用年限：50年；</w:t>
      </w:r>
    </w:p>
    <w:p w14:paraId="0B73F36F">
      <w:pPr>
        <w:pStyle w:val="54"/>
        <w:spacing w:before="24" w:after="24"/>
      </w:pPr>
      <w:r>
        <w:t>设计地震烈度：7度设防，地震动峰值加速度0.15g，反应谱特征周期0.4/s；</w:t>
      </w:r>
    </w:p>
    <w:p w14:paraId="7A4EA5DD">
      <w:pPr>
        <w:pStyle w:val="54"/>
        <w:spacing w:before="24" w:after="24"/>
      </w:pPr>
      <w:r>
        <w:t>环境类别：Ⅰ类；</w:t>
      </w:r>
    </w:p>
    <w:p w14:paraId="363E067F">
      <w:pPr>
        <w:pStyle w:val="54"/>
        <w:spacing w:before="24" w:after="24"/>
      </w:pPr>
      <w:r>
        <w:t>桥梁安全等级：一级；</w:t>
      </w:r>
    </w:p>
    <w:p w14:paraId="048C0FAE">
      <w:pPr>
        <w:pStyle w:val="54"/>
        <w:spacing w:before="24" w:after="24"/>
      </w:pPr>
      <w:r>
        <w:t>桥梁设计防洪频率：20年一遇。</w:t>
      </w:r>
    </w:p>
    <w:p w14:paraId="0C423C03">
      <w:pPr>
        <w:pStyle w:val="66"/>
        <w:rPr>
          <w:rFonts w:cs="Times New Roman"/>
        </w:rPr>
      </w:pPr>
      <w:r>
        <w:rPr>
          <w:rFonts w:cs="Times New Roman"/>
        </w:rPr>
        <w:t>10.5电气工程</w:t>
      </w:r>
    </w:p>
    <w:p w14:paraId="64050299">
      <w:pPr>
        <w:pStyle w:val="54"/>
        <w:spacing w:before="24" w:after="24"/>
      </w:pPr>
    </w:p>
    <w:p w14:paraId="2F419AAC">
      <w:pPr>
        <w:pStyle w:val="54"/>
        <w:spacing w:before="24" w:after="24"/>
        <w:jc w:val="center"/>
      </w:pPr>
      <w:r>
        <w:t>工程管线的最小覆土深度（m）</w:t>
      </w:r>
    </w:p>
    <w:p w14:paraId="02D79254">
      <w:pPr>
        <w:pStyle w:val="54"/>
        <w:spacing w:before="24" w:after="24"/>
      </w:pPr>
      <w:r>
        <w:drawing>
          <wp:inline distT="0" distB="0" distL="114300" distR="114300">
            <wp:extent cx="5505450" cy="2705100"/>
            <wp:effectExtent l="0" t="0" r="6350" b="0"/>
            <wp:docPr id="5"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IMG_257"/>
                    <pic:cNvPicPr>
                      <a:picLocks noChangeAspect="1"/>
                    </pic:cNvPicPr>
                  </pic:nvPicPr>
                  <pic:blipFill>
                    <a:blip r:embed="rId14"/>
                    <a:stretch>
                      <a:fillRect/>
                    </a:stretch>
                  </pic:blipFill>
                  <pic:spPr>
                    <a:xfrm>
                      <a:off x="0" y="0"/>
                      <a:ext cx="5505450" cy="2705100"/>
                    </a:xfrm>
                    <a:prstGeom prst="rect">
                      <a:avLst/>
                    </a:prstGeom>
                    <a:noFill/>
                    <a:ln w="9525">
                      <a:noFill/>
                    </a:ln>
                  </pic:spPr>
                </pic:pic>
              </a:graphicData>
            </a:graphic>
          </wp:inline>
        </w:drawing>
      </w:r>
    </w:p>
    <w:p w14:paraId="23154BD4">
      <w:pPr>
        <w:spacing w:before="24" w:after="24"/>
        <w:rPr>
          <w:rFonts w:ascii="Times New Roman" w:hAnsi="Times New Roman" w:cs="Times New Roman"/>
          <w:b/>
          <w:bCs/>
        </w:rPr>
      </w:pPr>
      <w:r>
        <w:rPr>
          <w:rFonts w:ascii="Times New Roman" w:hAnsi="Times New Roman" w:cs="Times New Roman"/>
          <w:b/>
          <w:bCs/>
        </w:rPr>
        <w:br w:type="page"/>
      </w:r>
    </w:p>
    <w:p w14:paraId="030AB70C">
      <w:pPr>
        <w:pStyle w:val="54"/>
        <w:spacing w:before="24" w:after="24"/>
      </w:pPr>
      <w:r>
        <w:t>工程管线之间及其与建（构）筑物之间的最小水平净距（m）</w:t>
      </w:r>
    </w:p>
    <w:p w14:paraId="4D1D0639">
      <w:pPr>
        <w:pStyle w:val="54"/>
        <w:spacing w:before="24" w:after="24"/>
      </w:pPr>
      <w:r>
        <w:drawing>
          <wp:inline distT="0" distB="0" distL="114300" distR="114300">
            <wp:extent cx="5276850" cy="3162300"/>
            <wp:effectExtent l="0" t="0" r="6350" b="0"/>
            <wp:docPr id="9"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IMG_258"/>
                    <pic:cNvPicPr>
                      <a:picLocks noChangeAspect="1"/>
                    </pic:cNvPicPr>
                  </pic:nvPicPr>
                  <pic:blipFill>
                    <a:blip r:embed="rId15"/>
                    <a:stretch>
                      <a:fillRect/>
                    </a:stretch>
                  </pic:blipFill>
                  <pic:spPr>
                    <a:xfrm>
                      <a:off x="0" y="0"/>
                      <a:ext cx="5276850" cy="3162300"/>
                    </a:xfrm>
                    <a:prstGeom prst="rect">
                      <a:avLst/>
                    </a:prstGeom>
                    <a:noFill/>
                    <a:ln w="9525">
                      <a:noFill/>
                    </a:ln>
                  </pic:spPr>
                </pic:pic>
              </a:graphicData>
            </a:graphic>
          </wp:inline>
        </w:drawing>
      </w:r>
      <w:r>
        <w:t xml:space="preserve"> </w:t>
      </w:r>
    </w:p>
    <w:p w14:paraId="6D84A1C2">
      <w:pPr>
        <w:pStyle w:val="54"/>
        <w:spacing w:before="24" w:after="24"/>
      </w:pPr>
      <w:r>
        <w:drawing>
          <wp:inline distT="0" distB="0" distL="114300" distR="114300">
            <wp:extent cx="5276850" cy="2266950"/>
            <wp:effectExtent l="0" t="0" r="6350" b="6350"/>
            <wp:docPr id="2"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IMG_259"/>
                    <pic:cNvPicPr>
                      <a:picLocks noChangeAspect="1"/>
                    </pic:cNvPicPr>
                  </pic:nvPicPr>
                  <pic:blipFill>
                    <a:blip r:embed="rId16"/>
                    <a:stretch>
                      <a:fillRect/>
                    </a:stretch>
                  </pic:blipFill>
                  <pic:spPr>
                    <a:xfrm>
                      <a:off x="0" y="0"/>
                      <a:ext cx="5276850" cy="2266950"/>
                    </a:xfrm>
                    <a:prstGeom prst="rect">
                      <a:avLst/>
                    </a:prstGeom>
                    <a:noFill/>
                    <a:ln w="9525">
                      <a:noFill/>
                    </a:ln>
                  </pic:spPr>
                </pic:pic>
              </a:graphicData>
            </a:graphic>
          </wp:inline>
        </w:drawing>
      </w:r>
      <w:r>
        <w:t xml:space="preserve"> </w:t>
      </w:r>
    </w:p>
    <w:p w14:paraId="143E7349">
      <w:pPr>
        <w:pStyle w:val="54"/>
        <w:spacing w:before="24" w:after="24"/>
      </w:pPr>
      <w:r>
        <w:drawing>
          <wp:inline distT="0" distB="0" distL="114300" distR="114300">
            <wp:extent cx="5276850" cy="1685925"/>
            <wp:effectExtent l="0" t="0" r="6350" b="3175"/>
            <wp:docPr id="8"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descr="IMG_260"/>
                    <pic:cNvPicPr>
                      <a:picLocks noChangeAspect="1"/>
                    </pic:cNvPicPr>
                  </pic:nvPicPr>
                  <pic:blipFill>
                    <a:blip r:embed="rId17"/>
                    <a:stretch>
                      <a:fillRect/>
                    </a:stretch>
                  </pic:blipFill>
                  <pic:spPr>
                    <a:xfrm>
                      <a:off x="0" y="0"/>
                      <a:ext cx="5276850" cy="1685925"/>
                    </a:xfrm>
                    <a:prstGeom prst="rect">
                      <a:avLst/>
                    </a:prstGeom>
                    <a:noFill/>
                    <a:ln w="9525">
                      <a:noFill/>
                    </a:ln>
                  </pic:spPr>
                </pic:pic>
              </a:graphicData>
            </a:graphic>
          </wp:inline>
        </w:drawing>
      </w:r>
      <w:r>
        <w:t xml:space="preserve"> </w:t>
      </w:r>
    </w:p>
    <w:p w14:paraId="3AD968E6">
      <w:pPr>
        <w:pStyle w:val="54"/>
        <w:spacing w:before="24" w:after="24"/>
      </w:pPr>
    </w:p>
    <w:p w14:paraId="419A0DEE">
      <w:pPr>
        <w:spacing w:before="24" w:after="24"/>
        <w:rPr>
          <w:rFonts w:ascii="Times New Roman" w:hAnsi="Times New Roman" w:cs="Times New Roman"/>
        </w:rPr>
      </w:pPr>
      <w:r>
        <w:rPr>
          <w:rFonts w:ascii="Times New Roman" w:hAnsi="Times New Roman" w:cs="Times New Roman"/>
        </w:rPr>
        <w:br w:type="page"/>
      </w:r>
    </w:p>
    <w:p w14:paraId="4E153D26">
      <w:pPr>
        <w:pStyle w:val="54"/>
        <w:spacing w:before="24" w:after="24"/>
      </w:pPr>
      <w:r>
        <w:t>工程管线交叉时的最小垂直净距（m）</w:t>
      </w:r>
    </w:p>
    <w:p w14:paraId="1FD7C4E8">
      <w:pPr>
        <w:pStyle w:val="54"/>
        <w:spacing w:before="24" w:after="24"/>
      </w:pPr>
      <w:r>
        <w:drawing>
          <wp:inline distT="0" distB="0" distL="114300" distR="114300">
            <wp:extent cx="5057775" cy="2371725"/>
            <wp:effectExtent l="0" t="0" r="9525" b="3175"/>
            <wp:docPr id="4"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descr="IMG_261"/>
                    <pic:cNvPicPr>
                      <a:picLocks noChangeAspect="1"/>
                    </pic:cNvPicPr>
                  </pic:nvPicPr>
                  <pic:blipFill>
                    <a:blip r:embed="rId18"/>
                    <a:stretch>
                      <a:fillRect/>
                    </a:stretch>
                  </pic:blipFill>
                  <pic:spPr>
                    <a:xfrm>
                      <a:off x="0" y="0"/>
                      <a:ext cx="5057775" cy="2371725"/>
                    </a:xfrm>
                    <a:prstGeom prst="rect">
                      <a:avLst/>
                    </a:prstGeom>
                    <a:noFill/>
                    <a:ln w="9525">
                      <a:noFill/>
                    </a:ln>
                  </pic:spPr>
                </pic:pic>
              </a:graphicData>
            </a:graphic>
          </wp:inline>
        </w:drawing>
      </w:r>
    </w:p>
    <w:p w14:paraId="33A9B38D">
      <w:pPr>
        <w:pStyle w:val="54"/>
        <w:spacing w:before="24" w:after="24"/>
      </w:pPr>
      <w:r>
        <w:drawing>
          <wp:inline distT="0" distB="0" distL="114300" distR="114300">
            <wp:extent cx="5057775" cy="2752725"/>
            <wp:effectExtent l="0" t="0" r="9525" b="3175"/>
            <wp:docPr id="1"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 descr="IMG_262"/>
                    <pic:cNvPicPr>
                      <a:picLocks noChangeAspect="1"/>
                    </pic:cNvPicPr>
                  </pic:nvPicPr>
                  <pic:blipFill>
                    <a:blip r:embed="rId19"/>
                    <a:stretch>
                      <a:fillRect/>
                    </a:stretch>
                  </pic:blipFill>
                  <pic:spPr>
                    <a:xfrm>
                      <a:off x="0" y="0"/>
                      <a:ext cx="5057775" cy="2752725"/>
                    </a:xfrm>
                    <a:prstGeom prst="rect">
                      <a:avLst/>
                    </a:prstGeom>
                    <a:noFill/>
                    <a:ln w="9525">
                      <a:noFill/>
                    </a:ln>
                  </pic:spPr>
                </pic:pic>
              </a:graphicData>
            </a:graphic>
          </wp:inline>
        </w:drawing>
      </w:r>
    </w:p>
    <w:p w14:paraId="1059F5B4">
      <w:pPr>
        <w:pStyle w:val="66"/>
        <w:rPr>
          <w:rFonts w:cs="Times New Roman"/>
        </w:rPr>
      </w:pPr>
      <w:r>
        <w:rPr>
          <w:rFonts w:cs="Times New Roman"/>
        </w:rPr>
        <w:t>10.6 给排水工程</w:t>
      </w:r>
    </w:p>
    <w:p w14:paraId="6633A6D2">
      <w:pPr>
        <w:pStyle w:val="54"/>
        <w:spacing w:before="24" w:after="24"/>
        <w:rPr>
          <w:color w:val="auto"/>
        </w:rPr>
      </w:pPr>
      <w:r>
        <w:rPr>
          <w:color w:val="auto"/>
        </w:rPr>
        <w:t>10.6.1 给水工程指标</w:t>
      </w:r>
    </w:p>
    <w:p w14:paraId="6693BB7A">
      <w:pPr>
        <w:spacing w:before="24" w:after="24"/>
        <w:ind w:firstLine="560" w:firstLineChars="200"/>
        <w:rPr>
          <w:rFonts w:ascii="Times New Roman" w:hAnsi="Times New Roman" w:cs="Times New Roman"/>
        </w:rPr>
      </w:pPr>
      <w:r>
        <w:rPr>
          <w:rFonts w:ascii="Times New Roman" w:hAnsi="Times New Roman" w:cs="Times New Roman"/>
        </w:rPr>
        <w:t>1.本项目所在地属于二区Ⅱ型小城市，最高日综合生活用水定额按220[L/（人·d）]。</w:t>
      </w:r>
    </w:p>
    <w:p w14:paraId="4C8C1475">
      <w:pPr>
        <w:spacing w:before="24" w:after="24"/>
        <w:ind w:firstLine="560" w:firstLineChars="200"/>
        <w:rPr>
          <w:rFonts w:ascii="Times New Roman" w:hAnsi="Times New Roman" w:cs="Times New Roman"/>
        </w:rPr>
      </w:pPr>
      <w:r>
        <w:rPr>
          <w:rFonts w:ascii="Times New Roman" w:hAnsi="Times New Roman" w:cs="Times New Roman"/>
        </w:rPr>
        <w:t>2.工业企业用水量按照综合生活用水量的30%计算。</w:t>
      </w:r>
    </w:p>
    <w:p w14:paraId="34F99DE1">
      <w:pPr>
        <w:spacing w:before="24" w:after="24"/>
        <w:ind w:firstLine="560" w:firstLineChars="200"/>
        <w:rPr>
          <w:rFonts w:ascii="Times New Roman" w:hAnsi="Times New Roman" w:cs="Times New Roman"/>
        </w:rPr>
      </w:pPr>
      <w:r>
        <w:rPr>
          <w:rFonts w:ascii="Times New Roman" w:hAnsi="Times New Roman" w:cs="Times New Roman"/>
        </w:rPr>
        <w:t>3.城镇市政消防同一时间内的火灾起数为2次，一次火灾灭火设计流量为30L/s。</w:t>
      </w:r>
    </w:p>
    <w:p w14:paraId="672A7E41">
      <w:pPr>
        <w:spacing w:before="24" w:after="24"/>
        <w:ind w:firstLine="560" w:firstLineChars="200"/>
        <w:rPr>
          <w:rFonts w:ascii="Times New Roman" w:hAnsi="Times New Roman" w:cs="Times New Roman"/>
        </w:rPr>
      </w:pPr>
      <w:r>
        <w:rPr>
          <w:rFonts w:ascii="Times New Roman" w:hAnsi="Times New Roman" w:cs="Times New Roman"/>
        </w:rPr>
        <w:t>4.城镇配水管网的管网漏损水量按综合生活用水、工业企业用水之和的1</w:t>
      </w:r>
      <w:r>
        <w:rPr>
          <w:rFonts w:hint="eastAsia" w:ascii="Times New Roman" w:hAnsi="Times New Roman" w:cs="Times New Roman"/>
        </w:rPr>
        <w:t>0</w:t>
      </w:r>
      <w:r>
        <w:rPr>
          <w:rFonts w:ascii="Times New Roman" w:hAnsi="Times New Roman" w:cs="Times New Roman"/>
        </w:rPr>
        <w:t>％计算。</w:t>
      </w:r>
    </w:p>
    <w:p w14:paraId="643A6252">
      <w:pPr>
        <w:spacing w:before="24" w:after="24"/>
        <w:ind w:firstLine="560" w:firstLineChars="200"/>
        <w:rPr>
          <w:rFonts w:ascii="Times New Roman" w:hAnsi="Times New Roman" w:cs="Times New Roman"/>
        </w:rPr>
      </w:pPr>
      <w:r>
        <w:rPr>
          <w:rFonts w:ascii="Times New Roman" w:hAnsi="Times New Roman" w:cs="Times New Roman"/>
        </w:rPr>
        <w:t>5.未预见水量应根据水量预测时难以预见因素的程度确定，宜采用综合生活用水、工业企业用水、管网漏损水量之和的10％。</w:t>
      </w:r>
    </w:p>
    <w:p w14:paraId="2EDAD468">
      <w:pPr>
        <w:spacing w:before="24" w:after="24"/>
        <w:ind w:firstLine="560" w:firstLineChars="200"/>
        <w:rPr>
          <w:rFonts w:ascii="Times New Roman" w:hAnsi="Times New Roman" w:cs="Times New Roman"/>
        </w:rPr>
      </w:pPr>
      <w:r>
        <w:rPr>
          <w:rFonts w:ascii="Times New Roman" w:hAnsi="Times New Roman" w:cs="Times New Roman"/>
        </w:rPr>
        <w:t>6.最高日城市综合用水的时变化系数宜采用1.2～1.6，日变化系数宜采用1.1～1.5。</w:t>
      </w:r>
    </w:p>
    <w:p w14:paraId="1C1373D9">
      <w:pPr>
        <w:spacing w:before="24" w:after="24"/>
        <w:ind w:firstLine="560" w:firstLineChars="200"/>
        <w:rPr>
          <w:rFonts w:ascii="Times New Roman" w:hAnsi="Times New Roman" w:cs="Times New Roman"/>
        </w:rPr>
      </w:pPr>
      <w:r>
        <w:rPr>
          <w:rFonts w:ascii="Times New Roman" w:hAnsi="Times New Roman" w:cs="Times New Roman"/>
        </w:rPr>
        <w:t>10.6.2 再生水工程指标</w:t>
      </w:r>
    </w:p>
    <w:p w14:paraId="31500C0C">
      <w:pPr>
        <w:spacing w:before="24" w:after="24"/>
        <w:ind w:firstLine="560" w:firstLineChars="200"/>
        <w:rPr>
          <w:rFonts w:ascii="Times New Roman" w:hAnsi="Times New Roman" w:cs="Times New Roman"/>
        </w:rPr>
      </w:pPr>
      <w:r>
        <w:rPr>
          <w:rFonts w:ascii="Times New Roman" w:hAnsi="Times New Roman" w:cs="Times New Roman"/>
        </w:rPr>
        <w:t>1.绿化用水</w:t>
      </w:r>
    </w:p>
    <w:p w14:paraId="66EAF562">
      <w:pPr>
        <w:spacing w:before="24" w:after="24"/>
        <w:ind w:firstLine="560" w:firstLineChars="200"/>
        <w:rPr>
          <w:rFonts w:ascii="Times New Roman" w:hAnsi="Times New Roman" w:cs="Times New Roman"/>
        </w:rPr>
      </w:pPr>
      <w:r>
        <w:rPr>
          <w:rFonts w:ascii="Times New Roman" w:hAnsi="Times New Roman" w:cs="Times New Roman"/>
        </w:rPr>
        <w:t>根据《云南省用水定额》（2019年版经云水发〔2019〕122号发布），每平方米绿地每天需水量为3L/（㎡·次），按旱季每一天一次计算。</w:t>
      </w:r>
    </w:p>
    <w:p w14:paraId="5ED4A650">
      <w:pPr>
        <w:spacing w:before="24" w:after="24"/>
        <w:ind w:firstLine="560" w:firstLineChars="200"/>
        <w:rPr>
          <w:rFonts w:ascii="Times New Roman" w:hAnsi="Times New Roman" w:cs="Times New Roman"/>
        </w:rPr>
      </w:pPr>
      <w:r>
        <w:rPr>
          <w:rFonts w:ascii="Times New Roman" w:hAnsi="Times New Roman" w:cs="Times New Roman"/>
        </w:rPr>
        <w:t>2.硬化地面浇洒用水</w:t>
      </w:r>
    </w:p>
    <w:p w14:paraId="1EFD329E">
      <w:pPr>
        <w:spacing w:before="24" w:after="24"/>
        <w:ind w:firstLine="560" w:firstLineChars="200"/>
        <w:rPr>
          <w:rFonts w:ascii="Times New Roman" w:hAnsi="Times New Roman" w:cs="Times New Roman"/>
        </w:rPr>
      </w:pPr>
      <w:r>
        <w:rPr>
          <w:rFonts w:ascii="Times New Roman" w:hAnsi="Times New Roman" w:cs="Times New Roman"/>
        </w:rPr>
        <w:t>根据《云南省用水定额》（2019年版经云水发〔2019〕122号发布），道路、亭廊等硬化地面环境浇洒用水定额为2L/（㎡·次），根据实际情况，按旱季每七天一次计算。</w:t>
      </w:r>
    </w:p>
    <w:p w14:paraId="728B8BEC">
      <w:pPr>
        <w:spacing w:before="24" w:after="24"/>
        <w:ind w:firstLine="560" w:firstLineChars="200"/>
        <w:rPr>
          <w:rFonts w:ascii="Times New Roman" w:hAnsi="Times New Roman" w:cs="Times New Roman"/>
        </w:rPr>
      </w:pPr>
      <w:r>
        <w:rPr>
          <w:rFonts w:ascii="Times New Roman" w:hAnsi="Times New Roman" w:cs="Times New Roman"/>
        </w:rPr>
        <w:t>3.公共卫生间</w:t>
      </w:r>
    </w:p>
    <w:p w14:paraId="6E83C33C">
      <w:pPr>
        <w:spacing w:before="24" w:after="24"/>
        <w:ind w:firstLine="560" w:firstLineChars="200"/>
        <w:rPr>
          <w:rFonts w:ascii="Times New Roman" w:hAnsi="Times New Roman" w:cs="Times New Roman"/>
        </w:rPr>
      </w:pPr>
      <w:r>
        <w:rPr>
          <w:rFonts w:ascii="Times New Roman" w:hAnsi="Times New Roman" w:cs="Times New Roman"/>
        </w:rPr>
        <w:t>根据《云南省用水定额》（2019年版经云水发〔2019〕122号发布）中大城市市内公厕用水定额，公共卫生间用水量按7L/（人·次）计算，根据项目情况，每天使用时间8小时。</w:t>
      </w:r>
    </w:p>
    <w:p w14:paraId="4FE5C138">
      <w:pPr>
        <w:spacing w:before="24" w:after="24"/>
        <w:ind w:firstLine="560" w:firstLineChars="200"/>
        <w:rPr>
          <w:rFonts w:ascii="Times New Roman" w:hAnsi="Times New Roman" w:cs="Times New Roman"/>
        </w:rPr>
      </w:pPr>
      <w:r>
        <w:rPr>
          <w:rFonts w:ascii="Times New Roman" w:hAnsi="Times New Roman" w:cs="Times New Roman"/>
        </w:rPr>
        <w:t>4.停车场、设备用房清扫用水</w:t>
      </w:r>
    </w:p>
    <w:p w14:paraId="3C3254E4">
      <w:pPr>
        <w:spacing w:before="24" w:after="24"/>
        <w:ind w:firstLine="560" w:firstLineChars="200"/>
        <w:rPr>
          <w:rFonts w:ascii="Times New Roman" w:hAnsi="Times New Roman" w:cs="Times New Roman"/>
        </w:rPr>
      </w:pPr>
      <w:r>
        <w:rPr>
          <w:rFonts w:ascii="Times New Roman" w:hAnsi="Times New Roman" w:cs="Times New Roman"/>
        </w:rPr>
        <w:t>根据《民用建筑节水设计标准》（GB/50555-2010），停车库地面清扫水按每平方米每次用水2~3L计，根据实际使用率，地下车库、设备用房冲洗以干清扫为主，此处取2L/（㎡·次），用水清洁采用每十五天浇洒一次计。</w:t>
      </w:r>
    </w:p>
    <w:p w14:paraId="71EF769B">
      <w:pPr>
        <w:spacing w:before="24" w:after="24"/>
        <w:ind w:firstLine="560" w:firstLineChars="200"/>
        <w:rPr>
          <w:rFonts w:ascii="Times New Roman" w:hAnsi="Times New Roman" w:cs="Times New Roman"/>
        </w:rPr>
      </w:pPr>
      <w:r>
        <w:rPr>
          <w:rFonts w:ascii="Times New Roman" w:hAnsi="Times New Roman" w:cs="Times New Roman"/>
        </w:rPr>
        <w:t>5.城镇再生水配水管网的漏损水量宜按再生水利用水量的10％～12％确定。</w:t>
      </w:r>
    </w:p>
    <w:p w14:paraId="0AA618F7">
      <w:pPr>
        <w:spacing w:before="24" w:after="24"/>
        <w:ind w:firstLine="560" w:firstLineChars="200"/>
        <w:rPr>
          <w:rFonts w:ascii="Times New Roman" w:hAnsi="Times New Roman" w:cs="Times New Roman"/>
        </w:rPr>
      </w:pPr>
      <w:r>
        <w:rPr>
          <w:rFonts w:ascii="Times New Roman" w:hAnsi="Times New Roman" w:cs="Times New Roman"/>
        </w:rPr>
        <w:t>6.未预见用水量可按再生水利用水量与配水管网的漏损水量之和的8％～12％确定。</w:t>
      </w:r>
    </w:p>
    <w:p w14:paraId="21186A90">
      <w:pPr>
        <w:spacing w:before="24" w:after="24"/>
        <w:ind w:firstLine="560" w:firstLineChars="200"/>
        <w:rPr>
          <w:rFonts w:ascii="Times New Roman" w:hAnsi="Times New Roman" w:cs="Times New Roman"/>
        </w:rPr>
      </w:pPr>
      <w:r>
        <w:rPr>
          <w:rFonts w:ascii="Times New Roman" w:hAnsi="Times New Roman" w:cs="Times New Roman"/>
        </w:rPr>
        <w:t>7.时变化系数宜采用1.2～1.6，日变化系数宜采用1.1～1.5。</w:t>
      </w:r>
    </w:p>
    <w:p w14:paraId="40BCDDF2">
      <w:pPr>
        <w:spacing w:before="24" w:after="24"/>
        <w:ind w:firstLine="560" w:firstLineChars="200"/>
        <w:rPr>
          <w:rFonts w:ascii="Times New Roman" w:hAnsi="Times New Roman" w:cs="Times New Roman"/>
        </w:rPr>
      </w:pPr>
      <w:r>
        <w:rPr>
          <w:rFonts w:ascii="Times New Roman" w:hAnsi="Times New Roman" w:cs="Times New Roman"/>
        </w:rPr>
        <w:t>10.6.3 雨水工程指标</w:t>
      </w:r>
    </w:p>
    <w:p w14:paraId="289B5945">
      <w:pPr>
        <w:spacing w:before="24" w:after="24"/>
        <w:ind w:firstLine="560" w:firstLineChars="200"/>
        <w:rPr>
          <w:rFonts w:ascii="Times New Roman" w:hAnsi="Times New Roman" w:cs="Times New Roman"/>
        </w:rPr>
      </w:pPr>
      <w:r>
        <w:rPr>
          <w:rFonts w:ascii="Times New Roman" w:hAnsi="Times New Roman" w:cs="Times New Roman"/>
        </w:rPr>
        <w:t>1.雨水管渠设计重现期应满足下表规定：</w:t>
      </w:r>
    </w:p>
    <w:tbl>
      <w:tblPr>
        <w:tblStyle w:val="30"/>
        <w:tblW w:w="5000" w:type="pct"/>
        <w:tblInd w:w="135" w:type="dxa"/>
        <w:tblLayout w:type="autofit"/>
        <w:tblCellMar>
          <w:top w:w="0" w:type="dxa"/>
          <w:left w:w="108" w:type="dxa"/>
          <w:bottom w:w="0" w:type="dxa"/>
          <w:right w:w="108" w:type="dxa"/>
        </w:tblCellMar>
      </w:tblPr>
      <w:tblGrid>
        <w:gridCol w:w="1370"/>
        <w:gridCol w:w="1497"/>
        <w:gridCol w:w="2524"/>
        <w:gridCol w:w="3895"/>
      </w:tblGrid>
      <w:tr w14:paraId="58314317">
        <w:tblPrEx>
          <w:tblCellMar>
            <w:top w:w="0" w:type="dxa"/>
            <w:left w:w="108" w:type="dxa"/>
            <w:bottom w:w="0" w:type="dxa"/>
            <w:right w:w="108" w:type="dxa"/>
          </w:tblCellMar>
        </w:tblPrEx>
        <w:trPr>
          <w:trHeight w:val="90" w:hRule="atLeast"/>
        </w:trPr>
        <w:tc>
          <w:tcPr>
            <w:tcW w:w="5000" w:type="pct"/>
            <w:gridSpan w:val="4"/>
            <w:tcBorders>
              <w:top w:val="single" w:color="000000" w:sz="4" w:space="0"/>
              <w:left w:val="single" w:color="000000" w:sz="4" w:space="0"/>
              <w:bottom w:val="single" w:color="000000" w:sz="4" w:space="0"/>
              <w:right w:val="single" w:color="000000" w:sz="4" w:space="0"/>
            </w:tcBorders>
            <w:vAlign w:val="center"/>
          </w:tcPr>
          <w:p w14:paraId="6ABC6310">
            <w:pPr>
              <w:pStyle w:val="27"/>
              <w:spacing w:before="24" w:after="24" w:line="288" w:lineRule="auto"/>
              <w:jc w:val="center"/>
              <w:rPr>
                <w:rFonts w:ascii="Times New Roman" w:hAnsi="Times New Roman" w:cs="Times New Roman"/>
                <w:szCs w:val="24"/>
              </w:rPr>
            </w:pPr>
            <w:r>
              <w:rPr>
                <w:rFonts w:ascii="Times New Roman" w:hAnsi="Times New Roman" w:cs="Times New Roman"/>
                <w:b/>
                <w:bCs/>
                <w:szCs w:val="24"/>
                <w:lang w:bidi="ar"/>
              </w:rPr>
              <w:t>城区类型</w:t>
            </w:r>
          </w:p>
        </w:tc>
      </w:tr>
      <w:tr w14:paraId="1428DDD8">
        <w:tblPrEx>
          <w:tblCellMar>
            <w:top w:w="0" w:type="dxa"/>
            <w:left w:w="108" w:type="dxa"/>
            <w:bottom w:w="0" w:type="dxa"/>
            <w:right w:w="108" w:type="dxa"/>
          </w:tblCellMar>
        </w:tblPrEx>
        <w:trPr>
          <w:trHeight w:val="800" w:hRule="atLeast"/>
        </w:trPr>
        <w:tc>
          <w:tcPr>
            <w:tcW w:w="738" w:type="pct"/>
            <w:tcBorders>
              <w:top w:val="single" w:color="000000" w:sz="4" w:space="0"/>
              <w:left w:val="single" w:color="000000" w:sz="4" w:space="0"/>
              <w:bottom w:val="single" w:color="000000" w:sz="4" w:space="0"/>
              <w:right w:val="single" w:color="000000" w:sz="4" w:space="0"/>
            </w:tcBorders>
            <w:vAlign w:val="center"/>
          </w:tcPr>
          <w:p w14:paraId="74E7A0DE">
            <w:pPr>
              <w:pStyle w:val="27"/>
              <w:spacing w:before="24" w:after="24" w:line="288" w:lineRule="auto"/>
              <w:jc w:val="center"/>
              <w:rPr>
                <w:rFonts w:ascii="Times New Roman" w:hAnsi="Times New Roman" w:cs="Times New Roman"/>
                <w:szCs w:val="24"/>
              </w:rPr>
            </w:pPr>
            <w:r>
              <w:rPr>
                <w:rFonts w:ascii="Times New Roman" w:hAnsi="Times New Roman" w:cs="Times New Roman"/>
                <w:szCs w:val="24"/>
                <w:lang w:bidi="ar"/>
              </w:rPr>
              <w:t>中心城区</w:t>
            </w:r>
          </w:p>
        </w:tc>
        <w:tc>
          <w:tcPr>
            <w:tcW w:w="806" w:type="pct"/>
            <w:tcBorders>
              <w:top w:val="single" w:color="000000" w:sz="4" w:space="0"/>
              <w:left w:val="nil"/>
              <w:bottom w:val="single" w:color="000000" w:sz="4" w:space="0"/>
              <w:right w:val="single" w:color="000000" w:sz="4" w:space="0"/>
            </w:tcBorders>
            <w:vAlign w:val="center"/>
          </w:tcPr>
          <w:p w14:paraId="75136AD8">
            <w:pPr>
              <w:pStyle w:val="27"/>
              <w:spacing w:before="24" w:after="24" w:line="288" w:lineRule="auto"/>
              <w:jc w:val="center"/>
              <w:rPr>
                <w:rFonts w:ascii="Times New Roman" w:hAnsi="Times New Roman" w:cs="Times New Roman"/>
                <w:szCs w:val="24"/>
              </w:rPr>
            </w:pPr>
            <w:r>
              <w:rPr>
                <w:rFonts w:ascii="Times New Roman" w:hAnsi="Times New Roman" w:cs="Times New Roman"/>
                <w:szCs w:val="24"/>
                <w:lang w:bidi="ar"/>
              </w:rPr>
              <w:t>非中心城区</w:t>
            </w:r>
          </w:p>
        </w:tc>
        <w:tc>
          <w:tcPr>
            <w:tcW w:w="1359" w:type="pct"/>
            <w:tcBorders>
              <w:top w:val="single" w:color="000000" w:sz="4" w:space="0"/>
              <w:left w:val="nil"/>
              <w:bottom w:val="single" w:color="000000" w:sz="4" w:space="0"/>
              <w:right w:val="single" w:color="000000" w:sz="4" w:space="0"/>
            </w:tcBorders>
            <w:vAlign w:val="center"/>
          </w:tcPr>
          <w:p w14:paraId="04F6C69A">
            <w:pPr>
              <w:pStyle w:val="27"/>
              <w:spacing w:before="24" w:after="24" w:line="288" w:lineRule="auto"/>
              <w:jc w:val="center"/>
              <w:rPr>
                <w:rFonts w:ascii="Times New Roman" w:hAnsi="Times New Roman" w:cs="Times New Roman"/>
                <w:szCs w:val="24"/>
              </w:rPr>
            </w:pPr>
            <w:r>
              <w:rPr>
                <w:rFonts w:ascii="Times New Roman" w:hAnsi="Times New Roman" w:cs="Times New Roman"/>
                <w:szCs w:val="24"/>
                <w:lang w:bidi="ar"/>
              </w:rPr>
              <w:t>中心城区的重要地区</w:t>
            </w:r>
          </w:p>
        </w:tc>
        <w:tc>
          <w:tcPr>
            <w:tcW w:w="2096" w:type="pct"/>
            <w:tcBorders>
              <w:top w:val="single" w:color="000000" w:sz="4" w:space="0"/>
              <w:left w:val="nil"/>
              <w:bottom w:val="single" w:color="000000" w:sz="4" w:space="0"/>
              <w:right w:val="single" w:color="000000" w:sz="4" w:space="0"/>
            </w:tcBorders>
            <w:vAlign w:val="center"/>
          </w:tcPr>
          <w:p w14:paraId="0A2DA53D">
            <w:pPr>
              <w:pStyle w:val="27"/>
              <w:spacing w:before="24" w:after="24" w:line="288" w:lineRule="auto"/>
              <w:jc w:val="center"/>
              <w:rPr>
                <w:rFonts w:ascii="Times New Roman" w:hAnsi="Times New Roman" w:cs="Times New Roman"/>
                <w:szCs w:val="24"/>
              </w:rPr>
            </w:pPr>
            <w:r>
              <w:rPr>
                <w:rFonts w:ascii="Times New Roman" w:hAnsi="Times New Roman" w:cs="Times New Roman"/>
                <w:szCs w:val="24"/>
                <w:lang w:bidi="ar"/>
              </w:rPr>
              <w:t>中心城区地下通道和下沉式广场等</w:t>
            </w:r>
          </w:p>
        </w:tc>
      </w:tr>
      <w:tr w14:paraId="454B5E6E">
        <w:tblPrEx>
          <w:tblCellMar>
            <w:top w:w="0" w:type="dxa"/>
            <w:left w:w="108" w:type="dxa"/>
            <w:bottom w:w="0" w:type="dxa"/>
            <w:right w:w="108" w:type="dxa"/>
          </w:tblCellMar>
        </w:tblPrEx>
        <w:trPr>
          <w:trHeight w:val="355" w:hRule="atLeast"/>
        </w:trPr>
        <w:tc>
          <w:tcPr>
            <w:tcW w:w="738" w:type="pct"/>
            <w:tcBorders>
              <w:top w:val="single" w:color="000000" w:sz="4" w:space="0"/>
              <w:left w:val="single" w:color="000000" w:sz="4" w:space="0"/>
              <w:bottom w:val="single" w:color="000000" w:sz="4" w:space="0"/>
              <w:right w:val="single" w:color="000000" w:sz="4" w:space="0"/>
            </w:tcBorders>
            <w:vAlign w:val="center"/>
          </w:tcPr>
          <w:p w14:paraId="7ED36249">
            <w:pPr>
              <w:pStyle w:val="27"/>
              <w:spacing w:before="24" w:after="24" w:line="288" w:lineRule="auto"/>
              <w:jc w:val="center"/>
              <w:rPr>
                <w:rFonts w:ascii="Times New Roman" w:hAnsi="Times New Roman" w:cs="Times New Roman"/>
                <w:szCs w:val="24"/>
              </w:rPr>
            </w:pPr>
            <w:r>
              <w:rPr>
                <w:rFonts w:ascii="Times New Roman" w:hAnsi="Times New Roman" w:cs="Times New Roman"/>
                <w:szCs w:val="24"/>
                <w:lang w:bidi="ar"/>
              </w:rPr>
              <w:t>2～3年</w:t>
            </w:r>
          </w:p>
        </w:tc>
        <w:tc>
          <w:tcPr>
            <w:tcW w:w="806" w:type="pct"/>
            <w:tcBorders>
              <w:top w:val="single" w:color="000000" w:sz="4" w:space="0"/>
              <w:left w:val="nil"/>
              <w:bottom w:val="single" w:color="000000" w:sz="4" w:space="0"/>
              <w:right w:val="single" w:color="000000" w:sz="4" w:space="0"/>
            </w:tcBorders>
            <w:vAlign w:val="center"/>
          </w:tcPr>
          <w:p w14:paraId="0E6E7AEA">
            <w:pPr>
              <w:pStyle w:val="27"/>
              <w:spacing w:before="24" w:after="24" w:line="288" w:lineRule="auto"/>
              <w:jc w:val="center"/>
              <w:rPr>
                <w:rFonts w:ascii="Times New Roman" w:hAnsi="Times New Roman" w:cs="Times New Roman"/>
                <w:szCs w:val="24"/>
              </w:rPr>
            </w:pPr>
            <w:r>
              <w:rPr>
                <w:rFonts w:ascii="Times New Roman" w:hAnsi="Times New Roman" w:cs="Times New Roman"/>
                <w:szCs w:val="24"/>
                <w:lang w:bidi="ar"/>
              </w:rPr>
              <w:t>2～3年</w:t>
            </w:r>
          </w:p>
        </w:tc>
        <w:tc>
          <w:tcPr>
            <w:tcW w:w="1359" w:type="pct"/>
            <w:tcBorders>
              <w:top w:val="single" w:color="000000" w:sz="4" w:space="0"/>
              <w:left w:val="nil"/>
              <w:bottom w:val="single" w:color="000000" w:sz="4" w:space="0"/>
              <w:right w:val="single" w:color="000000" w:sz="4" w:space="0"/>
            </w:tcBorders>
            <w:vAlign w:val="center"/>
          </w:tcPr>
          <w:p w14:paraId="3F6E282B">
            <w:pPr>
              <w:pStyle w:val="27"/>
              <w:spacing w:before="24" w:after="24" w:line="288" w:lineRule="auto"/>
              <w:jc w:val="center"/>
              <w:rPr>
                <w:rFonts w:ascii="Times New Roman" w:hAnsi="Times New Roman" w:cs="Times New Roman"/>
                <w:szCs w:val="24"/>
              </w:rPr>
            </w:pPr>
            <w:r>
              <w:rPr>
                <w:rFonts w:ascii="Times New Roman" w:hAnsi="Times New Roman" w:cs="Times New Roman"/>
                <w:szCs w:val="24"/>
                <w:lang w:bidi="ar"/>
              </w:rPr>
              <w:t>3～5年</w:t>
            </w:r>
          </w:p>
        </w:tc>
        <w:tc>
          <w:tcPr>
            <w:tcW w:w="2096" w:type="pct"/>
            <w:tcBorders>
              <w:top w:val="single" w:color="000000" w:sz="4" w:space="0"/>
              <w:left w:val="nil"/>
              <w:bottom w:val="single" w:color="000000" w:sz="4" w:space="0"/>
              <w:right w:val="single" w:color="000000" w:sz="4" w:space="0"/>
            </w:tcBorders>
            <w:vAlign w:val="center"/>
          </w:tcPr>
          <w:p w14:paraId="0007C634">
            <w:pPr>
              <w:pStyle w:val="27"/>
              <w:spacing w:before="24" w:after="24" w:line="288" w:lineRule="auto"/>
              <w:jc w:val="center"/>
              <w:rPr>
                <w:rFonts w:ascii="Times New Roman" w:hAnsi="Times New Roman" w:cs="Times New Roman"/>
                <w:szCs w:val="24"/>
              </w:rPr>
            </w:pPr>
            <w:r>
              <w:rPr>
                <w:rFonts w:ascii="Times New Roman" w:hAnsi="Times New Roman" w:cs="Times New Roman"/>
                <w:szCs w:val="24"/>
                <w:lang w:bidi="ar"/>
              </w:rPr>
              <w:t>10～20年</w:t>
            </w:r>
          </w:p>
        </w:tc>
      </w:tr>
    </w:tbl>
    <w:p w14:paraId="77727BE0">
      <w:pPr>
        <w:spacing w:before="24" w:after="24"/>
        <w:ind w:firstLine="560" w:firstLineChars="200"/>
        <w:rPr>
          <w:rFonts w:ascii="Times New Roman" w:hAnsi="Times New Roman" w:cs="Times New Roman"/>
        </w:rPr>
      </w:pPr>
      <w:r>
        <w:rPr>
          <w:rFonts w:ascii="Times New Roman" w:hAnsi="Times New Roman" w:cs="Times New Roman"/>
        </w:rPr>
        <w:t>2.内涝设计重现期20～30年，地面积水设计标准：</w:t>
      </w:r>
    </w:p>
    <w:p w14:paraId="7E0726A6">
      <w:pPr>
        <w:spacing w:before="24" w:after="24"/>
        <w:ind w:firstLine="560" w:firstLineChars="200"/>
        <w:rPr>
          <w:rFonts w:ascii="Times New Roman" w:hAnsi="Times New Roman" w:cs="Times New Roman"/>
        </w:rPr>
      </w:pPr>
      <w:r>
        <w:rPr>
          <w:rFonts w:ascii="Times New Roman" w:hAnsi="Times New Roman" w:cs="Times New Roman"/>
        </w:rPr>
        <w:t>（1）居民住宅和工商业建筑物的底层不进水；</w:t>
      </w:r>
    </w:p>
    <w:p w14:paraId="7362AC42">
      <w:pPr>
        <w:spacing w:before="24" w:after="24"/>
        <w:ind w:firstLine="560" w:firstLineChars="200"/>
        <w:rPr>
          <w:rFonts w:ascii="Times New Roman" w:hAnsi="Times New Roman" w:cs="Times New Roman"/>
        </w:rPr>
      </w:pPr>
      <w:r>
        <w:rPr>
          <w:rFonts w:ascii="Times New Roman" w:hAnsi="Times New Roman" w:cs="Times New Roman"/>
        </w:rPr>
        <w:t>（2）道路中一条车道的积水深度不超过15cm。</w:t>
      </w:r>
    </w:p>
    <w:p w14:paraId="2B7746DB">
      <w:pPr>
        <w:spacing w:before="24" w:after="24"/>
        <w:ind w:firstLine="560" w:firstLineChars="200"/>
        <w:rPr>
          <w:rFonts w:ascii="Times New Roman" w:hAnsi="Times New Roman" w:cs="Times New Roman"/>
        </w:rPr>
      </w:pPr>
      <w:r>
        <w:rPr>
          <w:rFonts w:ascii="Times New Roman" w:hAnsi="Times New Roman" w:cs="Times New Roman"/>
        </w:rPr>
        <w:t>3.径流系数按下垫面种类确定，按下表取值：</w:t>
      </w:r>
    </w:p>
    <w:tbl>
      <w:tblPr>
        <w:tblStyle w:val="30"/>
        <w:tblW w:w="4999" w:type="pct"/>
        <w:tblInd w:w="0" w:type="dxa"/>
        <w:tblLayout w:type="autofit"/>
        <w:tblCellMar>
          <w:top w:w="0" w:type="dxa"/>
          <w:left w:w="108" w:type="dxa"/>
          <w:bottom w:w="0" w:type="dxa"/>
          <w:right w:w="108" w:type="dxa"/>
        </w:tblCellMar>
      </w:tblPr>
      <w:tblGrid>
        <w:gridCol w:w="4994"/>
        <w:gridCol w:w="4290"/>
      </w:tblGrid>
      <w:tr w14:paraId="741491DA">
        <w:tblPrEx>
          <w:tblCellMar>
            <w:top w:w="0" w:type="dxa"/>
            <w:left w:w="108" w:type="dxa"/>
            <w:bottom w:w="0" w:type="dxa"/>
            <w:right w:w="108" w:type="dxa"/>
          </w:tblCellMar>
        </w:tblPrEx>
        <w:trPr>
          <w:trHeight w:val="505" w:hRule="atLeast"/>
        </w:trPr>
        <w:tc>
          <w:tcPr>
            <w:tcW w:w="2689" w:type="pct"/>
            <w:tcBorders>
              <w:top w:val="single" w:color="000000" w:sz="4" w:space="0"/>
              <w:left w:val="single" w:color="000000" w:sz="4" w:space="0"/>
              <w:bottom w:val="single" w:color="000000" w:sz="4" w:space="0"/>
              <w:right w:val="single" w:color="000000" w:sz="4" w:space="0"/>
            </w:tcBorders>
            <w:vAlign w:val="center"/>
          </w:tcPr>
          <w:p w14:paraId="19E6022C">
            <w:pPr>
              <w:spacing w:before="24" w:after="24" w:line="288" w:lineRule="auto"/>
              <w:jc w:val="center"/>
              <w:rPr>
                <w:rFonts w:ascii="Times New Roman" w:hAnsi="Times New Roman" w:cs="Times New Roman"/>
                <w:sz w:val="24"/>
              </w:rPr>
            </w:pPr>
            <w:r>
              <w:rPr>
                <w:rFonts w:ascii="Times New Roman" w:hAnsi="Times New Roman" w:cs="Times New Roman"/>
                <w:sz w:val="24"/>
              </w:rPr>
              <w:t>地面种类</w:t>
            </w:r>
          </w:p>
        </w:tc>
        <w:tc>
          <w:tcPr>
            <w:tcW w:w="2310" w:type="pct"/>
            <w:tcBorders>
              <w:top w:val="single" w:color="000000" w:sz="4" w:space="0"/>
              <w:left w:val="nil"/>
              <w:bottom w:val="single" w:color="000000" w:sz="4" w:space="0"/>
              <w:right w:val="single" w:color="000000" w:sz="4" w:space="0"/>
            </w:tcBorders>
            <w:vAlign w:val="center"/>
          </w:tcPr>
          <w:p w14:paraId="27EE17D2">
            <w:pPr>
              <w:spacing w:before="24" w:after="24" w:line="288" w:lineRule="auto"/>
              <w:jc w:val="center"/>
              <w:rPr>
                <w:rFonts w:ascii="Times New Roman" w:hAnsi="Times New Roman" w:cs="Times New Roman"/>
                <w:sz w:val="24"/>
              </w:rPr>
            </w:pPr>
            <w:r>
              <w:rPr>
                <w:rFonts w:ascii="Times New Roman" w:hAnsi="Times New Roman" w:cs="Times New Roman"/>
                <w:sz w:val="24"/>
              </w:rPr>
              <w:t>径流系数</w:t>
            </w:r>
          </w:p>
        </w:tc>
      </w:tr>
      <w:tr w14:paraId="4F8D1B2E">
        <w:tblPrEx>
          <w:tblCellMar>
            <w:top w:w="0" w:type="dxa"/>
            <w:left w:w="108" w:type="dxa"/>
            <w:bottom w:w="0" w:type="dxa"/>
            <w:right w:w="108" w:type="dxa"/>
          </w:tblCellMar>
        </w:tblPrEx>
        <w:trPr>
          <w:trHeight w:val="490" w:hRule="atLeast"/>
        </w:trPr>
        <w:tc>
          <w:tcPr>
            <w:tcW w:w="2689" w:type="pct"/>
            <w:tcBorders>
              <w:top w:val="single" w:color="000000" w:sz="4" w:space="0"/>
              <w:left w:val="single" w:color="000000" w:sz="4" w:space="0"/>
              <w:bottom w:val="single" w:color="000000" w:sz="4" w:space="0"/>
              <w:right w:val="single" w:color="000000" w:sz="4" w:space="0"/>
            </w:tcBorders>
            <w:vAlign w:val="center"/>
          </w:tcPr>
          <w:p w14:paraId="542C4BBC">
            <w:pPr>
              <w:spacing w:before="24" w:after="24" w:line="288" w:lineRule="auto"/>
              <w:jc w:val="center"/>
              <w:rPr>
                <w:rFonts w:ascii="Times New Roman" w:hAnsi="Times New Roman" w:cs="Times New Roman"/>
                <w:sz w:val="24"/>
              </w:rPr>
            </w:pPr>
            <w:r>
              <w:rPr>
                <w:rFonts w:ascii="Times New Roman" w:hAnsi="Times New Roman" w:cs="Times New Roman"/>
                <w:sz w:val="24"/>
              </w:rPr>
              <w:t>各种屋面、混凝土或沥青路面</w:t>
            </w:r>
          </w:p>
        </w:tc>
        <w:tc>
          <w:tcPr>
            <w:tcW w:w="2310" w:type="pct"/>
            <w:tcBorders>
              <w:top w:val="single" w:color="000000" w:sz="4" w:space="0"/>
              <w:left w:val="nil"/>
              <w:bottom w:val="single" w:color="000000" w:sz="4" w:space="0"/>
              <w:right w:val="single" w:color="000000" w:sz="4" w:space="0"/>
            </w:tcBorders>
            <w:vAlign w:val="center"/>
          </w:tcPr>
          <w:p w14:paraId="426248BC">
            <w:pPr>
              <w:spacing w:before="24" w:after="24" w:line="288" w:lineRule="auto"/>
              <w:jc w:val="center"/>
              <w:rPr>
                <w:rFonts w:ascii="Times New Roman" w:hAnsi="Times New Roman" w:cs="Times New Roman"/>
                <w:sz w:val="24"/>
              </w:rPr>
            </w:pPr>
            <w:r>
              <w:rPr>
                <w:rFonts w:ascii="Times New Roman" w:hAnsi="Times New Roman" w:cs="Times New Roman"/>
                <w:sz w:val="24"/>
              </w:rPr>
              <w:t>0.85～0.95</w:t>
            </w:r>
          </w:p>
        </w:tc>
      </w:tr>
      <w:tr w14:paraId="186836FD">
        <w:tblPrEx>
          <w:tblCellMar>
            <w:top w:w="0" w:type="dxa"/>
            <w:left w:w="108" w:type="dxa"/>
            <w:bottom w:w="0" w:type="dxa"/>
            <w:right w:w="108" w:type="dxa"/>
          </w:tblCellMar>
        </w:tblPrEx>
        <w:trPr>
          <w:trHeight w:val="500" w:hRule="atLeast"/>
        </w:trPr>
        <w:tc>
          <w:tcPr>
            <w:tcW w:w="2689" w:type="pct"/>
            <w:tcBorders>
              <w:top w:val="single" w:color="000000" w:sz="4" w:space="0"/>
              <w:left w:val="single" w:color="000000" w:sz="4" w:space="0"/>
              <w:bottom w:val="single" w:color="000000" w:sz="4" w:space="0"/>
              <w:right w:val="single" w:color="000000" w:sz="4" w:space="0"/>
            </w:tcBorders>
            <w:vAlign w:val="center"/>
          </w:tcPr>
          <w:p w14:paraId="7358871A">
            <w:pPr>
              <w:spacing w:before="24" w:after="24" w:line="288" w:lineRule="auto"/>
              <w:jc w:val="center"/>
              <w:rPr>
                <w:rFonts w:ascii="Times New Roman" w:hAnsi="Times New Roman" w:cs="Times New Roman"/>
                <w:sz w:val="24"/>
              </w:rPr>
            </w:pPr>
            <w:r>
              <w:rPr>
                <w:rFonts w:ascii="Times New Roman" w:hAnsi="Times New Roman" w:cs="Times New Roman"/>
                <w:sz w:val="24"/>
              </w:rPr>
              <w:t>大块石铺砌路面或沥青表面各种的碎石路面</w:t>
            </w:r>
          </w:p>
        </w:tc>
        <w:tc>
          <w:tcPr>
            <w:tcW w:w="2310" w:type="pct"/>
            <w:tcBorders>
              <w:top w:val="single" w:color="000000" w:sz="4" w:space="0"/>
              <w:left w:val="nil"/>
              <w:bottom w:val="single" w:color="000000" w:sz="4" w:space="0"/>
              <w:right w:val="single" w:color="000000" w:sz="4" w:space="0"/>
            </w:tcBorders>
            <w:vAlign w:val="center"/>
          </w:tcPr>
          <w:p w14:paraId="2643F705">
            <w:pPr>
              <w:spacing w:before="24" w:after="24" w:line="288" w:lineRule="auto"/>
              <w:jc w:val="center"/>
              <w:rPr>
                <w:rFonts w:ascii="Times New Roman" w:hAnsi="Times New Roman" w:cs="Times New Roman"/>
                <w:sz w:val="24"/>
              </w:rPr>
            </w:pPr>
            <w:r>
              <w:rPr>
                <w:rFonts w:ascii="Times New Roman" w:hAnsi="Times New Roman" w:cs="Times New Roman"/>
                <w:sz w:val="24"/>
              </w:rPr>
              <w:t>0.55～0.65</w:t>
            </w:r>
          </w:p>
        </w:tc>
      </w:tr>
      <w:tr w14:paraId="5EC612A9">
        <w:tblPrEx>
          <w:tblCellMar>
            <w:top w:w="0" w:type="dxa"/>
            <w:left w:w="108" w:type="dxa"/>
            <w:bottom w:w="0" w:type="dxa"/>
            <w:right w:w="108" w:type="dxa"/>
          </w:tblCellMar>
        </w:tblPrEx>
        <w:trPr>
          <w:trHeight w:val="510" w:hRule="atLeast"/>
        </w:trPr>
        <w:tc>
          <w:tcPr>
            <w:tcW w:w="2689" w:type="pct"/>
            <w:tcBorders>
              <w:top w:val="single" w:color="000000" w:sz="4" w:space="0"/>
              <w:left w:val="single" w:color="000000" w:sz="4" w:space="0"/>
              <w:bottom w:val="single" w:color="000000" w:sz="4" w:space="0"/>
              <w:right w:val="single" w:color="000000" w:sz="4" w:space="0"/>
            </w:tcBorders>
            <w:vAlign w:val="center"/>
          </w:tcPr>
          <w:p w14:paraId="711235EA">
            <w:pPr>
              <w:spacing w:before="24" w:after="24" w:line="288" w:lineRule="auto"/>
              <w:jc w:val="center"/>
              <w:rPr>
                <w:rFonts w:ascii="Times New Roman" w:hAnsi="Times New Roman" w:cs="Times New Roman"/>
                <w:sz w:val="24"/>
              </w:rPr>
            </w:pPr>
            <w:r>
              <w:rPr>
                <w:rFonts w:ascii="Times New Roman" w:hAnsi="Times New Roman" w:cs="Times New Roman"/>
                <w:sz w:val="24"/>
              </w:rPr>
              <w:t>级配碎石路面</w:t>
            </w:r>
          </w:p>
        </w:tc>
        <w:tc>
          <w:tcPr>
            <w:tcW w:w="2310" w:type="pct"/>
            <w:tcBorders>
              <w:top w:val="single" w:color="000000" w:sz="4" w:space="0"/>
              <w:left w:val="nil"/>
              <w:bottom w:val="single" w:color="000000" w:sz="4" w:space="0"/>
              <w:right w:val="single" w:color="000000" w:sz="4" w:space="0"/>
            </w:tcBorders>
            <w:vAlign w:val="center"/>
          </w:tcPr>
          <w:p w14:paraId="62AB4013">
            <w:pPr>
              <w:spacing w:before="24" w:after="24" w:line="288" w:lineRule="auto"/>
              <w:jc w:val="center"/>
              <w:rPr>
                <w:rFonts w:ascii="Times New Roman" w:hAnsi="Times New Roman" w:cs="Times New Roman"/>
                <w:sz w:val="24"/>
              </w:rPr>
            </w:pPr>
            <w:r>
              <w:rPr>
                <w:rFonts w:ascii="Times New Roman" w:hAnsi="Times New Roman" w:cs="Times New Roman"/>
                <w:sz w:val="24"/>
              </w:rPr>
              <w:t>0.40～0.50</w:t>
            </w:r>
          </w:p>
        </w:tc>
      </w:tr>
      <w:tr w14:paraId="4D46DFC4">
        <w:tblPrEx>
          <w:tblCellMar>
            <w:top w:w="0" w:type="dxa"/>
            <w:left w:w="108" w:type="dxa"/>
            <w:bottom w:w="0" w:type="dxa"/>
            <w:right w:w="108" w:type="dxa"/>
          </w:tblCellMar>
        </w:tblPrEx>
        <w:trPr>
          <w:trHeight w:val="500" w:hRule="atLeast"/>
        </w:trPr>
        <w:tc>
          <w:tcPr>
            <w:tcW w:w="2689" w:type="pct"/>
            <w:tcBorders>
              <w:top w:val="single" w:color="000000" w:sz="4" w:space="0"/>
              <w:left w:val="single" w:color="000000" w:sz="4" w:space="0"/>
              <w:bottom w:val="single" w:color="000000" w:sz="4" w:space="0"/>
              <w:right w:val="single" w:color="000000" w:sz="4" w:space="0"/>
            </w:tcBorders>
            <w:vAlign w:val="center"/>
          </w:tcPr>
          <w:p w14:paraId="6FC6BD9A">
            <w:pPr>
              <w:spacing w:before="24" w:after="24" w:line="288" w:lineRule="auto"/>
              <w:jc w:val="center"/>
              <w:rPr>
                <w:rFonts w:ascii="Times New Roman" w:hAnsi="Times New Roman" w:cs="Times New Roman"/>
                <w:sz w:val="24"/>
              </w:rPr>
            </w:pPr>
            <w:r>
              <w:rPr>
                <w:rFonts w:ascii="Times New Roman" w:hAnsi="Times New Roman" w:cs="Times New Roman"/>
                <w:sz w:val="24"/>
              </w:rPr>
              <w:t>干砌砖石或碎石路面</w:t>
            </w:r>
          </w:p>
        </w:tc>
        <w:tc>
          <w:tcPr>
            <w:tcW w:w="2310" w:type="pct"/>
            <w:tcBorders>
              <w:top w:val="single" w:color="000000" w:sz="4" w:space="0"/>
              <w:left w:val="nil"/>
              <w:bottom w:val="single" w:color="000000" w:sz="4" w:space="0"/>
              <w:right w:val="single" w:color="000000" w:sz="4" w:space="0"/>
            </w:tcBorders>
            <w:vAlign w:val="center"/>
          </w:tcPr>
          <w:p w14:paraId="36649F7A">
            <w:pPr>
              <w:spacing w:before="24" w:after="24" w:line="288" w:lineRule="auto"/>
              <w:jc w:val="center"/>
              <w:rPr>
                <w:rFonts w:ascii="Times New Roman" w:hAnsi="Times New Roman" w:cs="Times New Roman"/>
                <w:sz w:val="24"/>
              </w:rPr>
            </w:pPr>
            <w:r>
              <w:rPr>
                <w:rFonts w:ascii="Times New Roman" w:hAnsi="Times New Roman" w:cs="Times New Roman"/>
                <w:sz w:val="24"/>
              </w:rPr>
              <w:t>0.35～0.40</w:t>
            </w:r>
          </w:p>
        </w:tc>
      </w:tr>
      <w:tr w14:paraId="1AEC2ECE">
        <w:tblPrEx>
          <w:tblCellMar>
            <w:top w:w="0" w:type="dxa"/>
            <w:left w:w="108" w:type="dxa"/>
            <w:bottom w:w="0" w:type="dxa"/>
            <w:right w:w="108" w:type="dxa"/>
          </w:tblCellMar>
        </w:tblPrEx>
        <w:trPr>
          <w:trHeight w:val="490" w:hRule="atLeast"/>
        </w:trPr>
        <w:tc>
          <w:tcPr>
            <w:tcW w:w="2689" w:type="pct"/>
            <w:tcBorders>
              <w:top w:val="single" w:color="000000" w:sz="4" w:space="0"/>
              <w:left w:val="single" w:color="000000" w:sz="4" w:space="0"/>
              <w:bottom w:val="single" w:color="000000" w:sz="4" w:space="0"/>
              <w:right w:val="single" w:color="000000" w:sz="4" w:space="0"/>
            </w:tcBorders>
            <w:vAlign w:val="center"/>
          </w:tcPr>
          <w:p w14:paraId="330330E1">
            <w:pPr>
              <w:spacing w:before="24" w:after="24" w:line="288" w:lineRule="auto"/>
              <w:jc w:val="center"/>
              <w:rPr>
                <w:rFonts w:ascii="Times New Roman" w:hAnsi="Times New Roman" w:cs="Times New Roman"/>
                <w:sz w:val="24"/>
              </w:rPr>
            </w:pPr>
            <w:r>
              <w:rPr>
                <w:rFonts w:ascii="Times New Roman" w:hAnsi="Times New Roman" w:cs="Times New Roman"/>
                <w:sz w:val="24"/>
              </w:rPr>
              <w:t>非铺砌土路面</w:t>
            </w:r>
          </w:p>
        </w:tc>
        <w:tc>
          <w:tcPr>
            <w:tcW w:w="2310" w:type="pct"/>
            <w:tcBorders>
              <w:top w:val="single" w:color="000000" w:sz="4" w:space="0"/>
              <w:left w:val="nil"/>
              <w:bottom w:val="single" w:color="000000" w:sz="4" w:space="0"/>
              <w:right w:val="single" w:color="000000" w:sz="4" w:space="0"/>
            </w:tcBorders>
            <w:vAlign w:val="center"/>
          </w:tcPr>
          <w:p w14:paraId="1C76F6F1">
            <w:pPr>
              <w:spacing w:before="24" w:after="24" w:line="288" w:lineRule="auto"/>
              <w:jc w:val="center"/>
              <w:rPr>
                <w:rFonts w:ascii="Times New Roman" w:hAnsi="Times New Roman" w:cs="Times New Roman"/>
                <w:sz w:val="24"/>
              </w:rPr>
            </w:pPr>
            <w:r>
              <w:rPr>
                <w:rFonts w:ascii="Times New Roman" w:hAnsi="Times New Roman" w:cs="Times New Roman"/>
                <w:sz w:val="24"/>
              </w:rPr>
              <w:t>0.25～0.35</w:t>
            </w:r>
          </w:p>
        </w:tc>
      </w:tr>
      <w:tr w14:paraId="6E67AE47">
        <w:tblPrEx>
          <w:tblCellMar>
            <w:top w:w="0" w:type="dxa"/>
            <w:left w:w="108" w:type="dxa"/>
            <w:bottom w:w="0" w:type="dxa"/>
            <w:right w:w="108" w:type="dxa"/>
          </w:tblCellMar>
        </w:tblPrEx>
        <w:trPr>
          <w:trHeight w:val="505" w:hRule="atLeast"/>
        </w:trPr>
        <w:tc>
          <w:tcPr>
            <w:tcW w:w="2689" w:type="pct"/>
            <w:tcBorders>
              <w:top w:val="single" w:color="000000" w:sz="4" w:space="0"/>
              <w:left w:val="single" w:color="000000" w:sz="4" w:space="0"/>
              <w:bottom w:val="single" w:color="000000" w:sz="4" w:space="0"/>
              <w:right w:val="single" w:color="000000" w:sz="4" w:space="0"/>
            </w:tcBorders>
            <w:vAlign w:val="center"/>
          </w:tcPr>
          <w:p w14:paraId="71CC519A">
            <w:pPr>
              <w:spacing w:before="24" w:after="24" w:line="288" w:lineRule="auto"/>
              <w:jc w:val="center"/>
              <w:rPr>
                <w:rFonts w:ascii="Times New Roman" w:hAnsi="Times New Roman" w:cs="Times New Roman"/>
                <w:sz w:val="24"/>
              </w:rPr>
            </w:pPr>
            <w:r>
              <w:rPr>
                <w:rFonts w:ascii="Times New Roman" w:hAnsi="Times New Roman" w:cs="Times New Roman"/>
                <w:sz w:val="24"/>
              </w:rPr>
              <w:t>公园或绿地</w:t>
            </w:r>
          </w:p>
        </w:tc>
        <w:tc>
          <w:tcPr>
            <w:tcW w:w="2310" w:type="pct"/>
            <w:tcBorders>
              <w:top w:val="single" w:color="000000" w:sz="4" w:space="0"/>
              <w:left w:val="nil"/>
              <w:bottom w:val="single" w:color="000000" w:sz="4" w:space="0"/>
              <w:right w:val="single" w:color="000000" w:sz="4" w:space="0"/>
            </w:tcBorders>
            <w:vAlign w:val="center"/>
          </w:tcPr>
          <w:p w14:paraId="466366B3">
            <w:pPr>
              <w:spacing w:before="24" w:after="24" w:line="288" w:lineRule="auto"/>
              <w:jc w:val="center"/>
              <w:rPr>
                <w:rFonts w:ascii="Times New Roman" w:hAnsi="Times New Roman" w:cs="Times New Roman"/>
                <w:sz w:val="24"/>
              </w:rPr>
            </w:pPr>
            <w:r>
              <w:rPr>
                <w:rFonts w:ascii="Times New Roman" w:hAnsi="Times New Roman" w:cs="Times New Roman"/>
                <w:sz w:val="24"/>
              </w:rPr>
              <w:t>0.10～0.20</w:t>
            </w:r>
          </w:p>
        </w:tc>
      </w:tr>
    </w:tbl>
    <w:p w14:paraId="1A95BE0D">
      <w:pPr>
        <w:spacing w:before="24" w:after="24"/>
        <w:ind w:firstLine="560" w:firstLineChars="200"/>
        <w:rPr>
          <w:rFonts w:ascii="Times New Roman" w:hAnsi="Times New Roman" w:cs="Times New Roman"/>
        </w:rPr>
      </w:pPr>
      <w:r>
        <w:rPr>
          <w:rFonts w:ascii="Times New Roman" w:hAnsi="Times New Roman" w:cs="Times New Roman"/>
        </w:rPr>
        <w:t>4.综合径流系数应严格按规划确定，按下表取值：</w:t>
      </w:r>
    </w:p>
    <w:tbl>
      <w:tblPr>
        <w:tblStyle w:val="30"/>
        <w:tblW w:w="4999" w:type="pct"/>
        <w:tblInd w:w="0" w:type="dxa"/>
        <w:tblLayout w:type="autofit"/>
        <w:tblCellMar>
          <w:top w:w="0" w:type="dxa"/>
          <w:left w:w="108" w:type="dxa"/>
          <w:bottom w:w="0" w:type="dxa"/>
          <w:right w:w="108" w:type="dxa"/>
        </w:tblCellMar>
      </w:tblPr>
      <w:tblGrid>
        <w:gridCol w:w="4994"/>
        <w:gridCol w:w="4290"/>
      </w:tblGrid>
      <w:tr w14:paraId="1CF2ADE2">
        <w:tblPrEx>
          <w:tblCellMar>
            <w:top w:w="0" w:type="dxa"/>
            <w:left w:w="108" w:type="dxa"/>
            <w:bottom w:w="0" w:type="dxa"/>
            <w:right w:w="108" w:type="dxa"/>
          </w:tblCellMar>
        </w:tblPrEx>
        <w:trPr>
          <w:trHeight w:val="505" w:hRule="atLeast"/>
        </w:trPr>
        <w:tc>
          <w:tcPr>
            <w:tcW w:w="2689" w:type="pct"/>
            <w:tcBorders>
              <w:top w:val="single" w:color="000000" w:sz="4" w:space="0"/>
              <w:left w:val="single" w:color="000000" w:sz="4" w:space="0"/>
              <w:bottom w:val="single" w:color="000000" w:sz="4" w:space="0"/>
              <w:right w:val="single" w:color="000000" w:sz="4" w:space="0"/>
            </w:tcBorders>
            <w:vAlign w:val="center"/>
          </w:tcPr>
          <w:p w14:paraId="7DA8ADB2">
            <w:pPr>
              <w:spacing w:before="24" w:after="24" w:line="288" w:lineRule="auto"/>
              <w:jc w:val="center"/>
              <w:rPr>
                <w:rFonts w:ascii="Times New Roman" w:hAnsi="Times New Roman" w:cs="Times New Roman"/>
                <w:sz w:val="24"/>
              </w:rPr>
            </w:pPr>
            <w:r>
              <w:rPr>
                <w:rFonts w:ascii="Times New Roman" w:hAnsi="Times New Roman" w:cs="Times New Roman"/>
                <w:sz w:val="24"/>
              </w:rPr>
              <w:t>区域情况</w:t>
            </w:r>
          </w:p>
        </w:tc>
        <w:tc>
          <w:tcPr>
            <w:tcW w:w="2310" w:type="pct"/>
            <w:tcBorders>
              <w:top w:val="single" w:color="000000" w:sz="4" w:space="0"/>
              <w:left w:val="nil"/>
              <w:bottom w:val="single" w:color="000000" w:sz="4" w:space="0"/>
              <w:right w:val="single" w:color="000000" w:sz="4" w:space="0"/>
            </w:tcBorders>
            <w:vAlign w:val="center"/>
          </w:tcPr>
          <w:p w14:paraId="4B1C6F9D">
            <w:pPr>
              <w:spacing w:before="24" w:after="24" w:line="288" w:lineRule="auto"/>
              <w:jc w:val="center"/>
              <w:rPr>
                <w:rFonts w:ascii="Times New Roman" w:hAnsi="Times New Roman" w:cs="Times New Roman"/>
                <w:sz w:val="24"/>
              </w:rPr>
            </w:pPr>
            <w:r>
              <w:rPr>
                <w:rFonts w:ascii="Times New Roman" w:hAnsi="Times New Roman" w:cs="Times New Roman"/>
                <w:sz w:val="24"/>
              </w:rPr>
              <w:t>综合径流系数</w:t>
            </w:r>
          </w:p>
        </w:tc>
      </w:tr>
      <w:tr w14:paraId="3D38AEC1">
        <w:tblPrEx>
          <w:tblCellMar>
            <w:top w:w="0" w:type="dxa"/>
            <w:left w:w="108" w:type="dxa"/>
            <w:bottom w:w="0" w:type="dxa"/>
            <w:right w:w="108" w:type="dxa"/>
          </w:tblCellMar>
        </w:tblPrEx>
        <w:trPr>
          <w:trHeight w:val="500" w:hRule="atLeast"/>
        </w:trPr>
        <w:tc>
          <w:tcPr>
            <w:tcW w:w="2689" w:type="pct"/>
            <w:tcBorders>
              <w:top w:val="single" w:color="000000" w:sz="4" w:space="0"/>
              <w:left w:val="single" w:color="000000" w:sz="4" w:space="0"/>
              <w:bottom w:val="single" w:color="000000" w:sz="4" w:space="0"/>
              <w:right w:val="single" w:color="000000" w:sz="4" w:space="0"/>
            </w:tcBorders>
            <w:vAlign w:val="center"/>
          </w:tcPr>
          <w:p w14:paraId="25057465">
            <w:pPr>
              <w:spacing w:before="24" w:after="24" w:line="288" w:lineRule="auto"/>
              <w:jc w:val="center"/>
              <w:rPr>
                <w:rFonts w:ascii="Times New Roman" w:hAnsi="Times New Roman" w:cs="Times New Roman"/>
                <w:sz w:val="24"/>
              </w:rPr>
            </w:pPr>
            <w:r>
              <w:rPr>
                <w:rFonts w:ascii="Times New Roman" w:hAnsi="Times New Roman" w:cs="Times New Roman"/>
                <w:sz w:val="24"/>
              </w:rPr>
              <w:t>城镇建筑密集区</w:t>
            </w:r>
          </w:p>
        </w:tc>
        <w:tc>
          <w:tcPr>
            <w:tcW w:w="2310" w:type="pct"/>
            <w:tcBorders>
              <w:top w:val="single" w:color="000000" w:sz="4" w:space="0"/>
              <w:left w:val="nil"/>
              <w:bottom w:val="single" w:color="000000" w:sz="4" w:space="0"/>
              <w:right w:val="single" w:color="000000" w:sz="4" w:space="0"/>
            </w:tcBorders>
            <w:vAlign w:val="center"/>
          </w:tcPr>
          <w:p w14:paraId="5D4F107F">
            <w:pPr>
              <w:spacing w:before="24" w:after="24" w:line="288" w:lineRule="auto"/>
              <w:jc w:val="center"/>
              <w:rPr>
                <w:rFonts w:ascii="Times New Roman" w:hAnsi="Times New Roman" w:cs="Times New Roman"/>
                <w:sz w:val="24"/>
              </w:rPr>
            </w:pPr>
            <w:r>
              <w:rPr>
                <w:rFonts w:ascii="Times New Roman" w:hAnsi="Times New Roman" w:cs="Times New Roman"/>
                <w:sz w:val="24"/>
              </w:rPr>
              <w:t>0.60～0.70</w:t>
            </w:r>
          </w:p>
        </w:tc>
      </w:tr>
      <w:tr w14:paraId="2E908CC4">
        <w:tblPrEx>
          <w:tblCellMar>
            <w:top w:w="0" w:type="dxa"/>
            <w:left w:w="108" w:type="dxa"/>
            <w:bottom w:w="0" w:type="dxa"/>
            <w:right w:w="108" w:type="dxa"/>
          </w:tblCellMar>
        </w:tblPrEx>
        <w:trPr>
          <w:trHeight w:val="500" w:hRule="atLeast"/>
        </w:trPr>
        <w:tc>
          <w:tcPr>
            <w:tcW w:w="2689" w:type="pct"/>
            <w:tcBorders>
              <w:top w:val="single" w:color="000000" w:sz="4" w:space="0"/>
              <w:left w:val="single" w:color="000000" w:sz="4" w:space="0"/>
              <w:bottom w:val="single" w:color="000000" w:sz="4" w:space="0"/>
              <w:right w:val="single" w:color="000000" w:sz="4" w:space="0"/>
            </w:tcBorders>
            <w:vAlign w:val="center"/>
          </w:tcPr>
          <w:p w14:paraId="4294FB0E">
            <w:pPr>
              <w:spacing w:before="24" w:after="24" w:line="288" w:lineRule="auto"/>
              <w:jc w:val="center"/>
              <w:rPr>
                <w:rFonts w:ascii="Times New Roman" w:hAnsi="Times New Roman" w:cs="Times New Roman"/>
                <w:sz w:val="24"/>
              </w:rPr>
            </w:pPr>
            <w:r>
              <w:rPr>
                <w:rFonts w:ascii="Times New Roman" w:hAnsi="Times New Roman" w:cs="Times New Roman"/>
                <w:sz w:val="24"/>
              </w:rPr>
              <w:t>城镇建筑较密集区</w:t>
            </w:r>
          </w:p>
        </w:tc>
        <w:tc>
          <w:tcPr>
            <w:tcW w:w="2310" w:type="pct"/>
            <w:tcBorders>
              <w:top w:val="single" w:color="000000" w:sz="4" w:space="0"/>
              <w:left w:val="nil"/>
              <w:bottom w:val="single" w:color="000000" w:sz="4" w:space="0"/>
              <w:right w:val="single" w:color="000000" w:sz="4" w:space="0"/>
            </w:tcBorders>
            <w:vAlign w:val="center"/>
          </w:tcPr>
          <w:p w14:paraId="687012DD">
            <w:pPr>
              <w:spacing w:before="24" w:after="24" w:line="288" w:lineRule="auto"/>
              <w:jc w:val="center"/>
              <w:rPr>
                <w:rFonts w:ascii="Times New Roman" w:hAnsi="Times New Roman" w:cs="Times New Roman"/>
                <w:sz w:val="24"/>
              </w:rPr>
            </w:pPr>
            <w:r>
              <w:rPr>
                <w:rFonts w:ascii="Times New Roman" w:hAnsi="Times New Roman" w:cs="Times New Roman"/>
                <w:sz w:val="24"/>
              </w:rPr>
              <w:t>0.45～0.60</w:t>
            </w:r>
          </w:p>
        </w:tc>
      </w:tr>
      <w:tr w14:paraId="395D4318">
        <w:tblPrEx>
          <w:tblCellMar>
            <w:top w:w="0" w:type="dxa"/>
            <w:left w:w="108" w:type="dxa"/>
            <w:bottom w:w="0" w:type="dxa"/>
            <w:right w:w="108" w:type="dxa"/>
          </w:tblCellMar>
        </w:tblPrEx>
        <w:trPr>
          <w:trHeight w:val="505" w:hRule="atLeast"/>
        </w:trPr>
        <w:tc>
          <w:tcPr>
            <w:tcW w:w="2689" w:type="pct"/>
            <w:tcBorders>
              <w:top w:val="single" w:color="000000" w:sz="4" w:space="0"/>
              <w:left w:val="single" w:color="000000" w:sz="4" w:space="0"/>
              <w:bottom w:val="single" w:color="000000" w:sz="4" w:space="0"/>
              <w:right w:val="single" w:color="000000" w:sz="4" w:space="0"/>
            </w:tcBorders>
            <w:vAlign w:val="center"/>
          </w:tcPr>
          <w:p w14:paraId="7A7504EE">
            <w:pPr>
              <w:spacing w:before="24" w:after="24" w:line="288" w:lineRule="auto"/>
              <w:jc w:val="center"/>
              <w:rPr>
                <w:rFonts w:ascii="Times New Roman" w:hAnsi="Times New Roman" w:cs="Times New Roman"/>
                <w:sz w:val="24"/>
              </w:rPr>
            </w:pPr>
            <w:r>
              <w:rPr>
                <w:rFonts w:ascii="Times New Roman" w:hAnsi="Times New Roman" w:cs="Times New Roman"/>
                <w:sz w:val="24"/>
              </w:rPr>
              <w:t>城镇建筑稀疏区</w:t>
            </w:r>
          </w:p>
        </w:tc>
        <w:tc>
          <w:tcPr>
            <w:tcW w:w="2310" w:type="pct"/>
            <w:tcBorders>
              <w:top w:val="single" w:color="000000" w:sz="4" w:space="0"/>
              <w:left w:val="nil"/>
              <w:bottom w:val="single" w:color="000000" w:sz="4" w:space="0"/>
              <w:right w:val="single" w:color="000000" w:sz="4" w:space="0"/>
            </w:tcBorders>
            <w:vAlign w:val="center"/>
          </w:tcPr>
          <w:p w14:paraId="764B1478">
            <w:pPr>
              <w:spacing w:before="24" w:after="24" w:line="288" w:lineRule="auto"/>
              <w:jc w:val="center"/>
              <w:rPr>
                <w:rFonts w:ascii="Times New Roman" w:hAnsi="Times New Roman" w:cs="Times New Roman"/>
                <w:sz w:val="24"/>
              </w:rPr>
            </w:pPr>
            <w:r>
              <w:rPr>
                <w:rFonts w:ascii="Times New Roman" w:hAnsi="Times New Roman" w:cs="Times New Roman"/>
                <w:sz w:val="24"/>
              </w:rPr>
              <w:t>0.20～0.45</w:t>
            </w:r>
          </w:p>
        </w:tc>
      </w:tr>
    </w:tbl>
    <w:p w14:paraId="49E3C12A">
      <w:pPr>
        <w:spacing w:before="24" w:after="24"/>
        <w:ind w:firstLine="560" w:firstLineChars="200"/>
        <w:rPr>
          <w:rFonts w:ascii="Times New Roman" w:hAnsi="Times New Roman" w:cs="Times New Roman"/>
        </w:rPr>
      </w:pPr>
      <w:r>
        <w:rPr>
          <w:rFonts w:ascii="Times New Roman" w:hAnsi="Times New Roman" w:cs="Times New Roman"/>
        </w:rPr>
        <w:t>10.6.4 污水工程指标</w:t>
      </w:r>
    </w:p>
    <w:p w14:paraId="4176531B">
      <w:pPr>
        <w:spacing w:before="24" w:after="24"/>
        <w:ind w:firstLine="560" w:firstLineChars="200"/>
        <w:rPr>
          <w:rFonts w:ascii="Times New Roman" w:hAnsi="Times New Roman" w:cs="Times New Roman"/>
        </w:rPr>
      </w:pPr>
      <w:r>
        <w:rPr>
          <w:rFonts w:ascii="Times New Roman" w:hAnsi="Times New Roman" w:cs="Times New Roman"/>
        </w:rPr>
        <w:t>1.综合生活污水定额应根据当地采用的用水定额，结合建筑内部给排水设施水平确定，可按当地相关用水定额的90％采用。</w:t>
      </w:r>
    </w:p>
    <w:p w14:paraId="735F0D65">
      <w:pPr>
        <w:spacing w:before="24" w:after="24"/>
        <w:ind w:firstLine="560" w:firstLineChars="200"/>
        <w:rPr>
          <w:rFonts w:ascii="Times New Roman" w:hAnsi="Times New Roman" w:cs="Times New Roman"/>
        </w:rPr>
      </w:pPr>
      <w:r>
        <w:rPr>
          <w:rFonts w:ascii="Times New Roman" w:hAnsi="Times New Roman" w:cs="Times New Roman"/>
        </w:rPr>
        <w:t>2.入渗地下水量应根据地下水位情况和管渠性质经测算后研究确定。</w:t>
      </w:r>
    </w:p>
    <w:p w14:paraId="2091CCAF">
      <w:pPr>
        <w:spacing w:before="24" w:after="24"/>
        <w:ind w:firstLine="560" w:firstLineChars="200"/>
        <w:rPr>
          <w:rFonts w:ascii="Times New Roman" w:hAnsi="Times New Roman" w:cs="Times New Roman"/>
        </w:rPr>
      </w:pPr>
      <w:r>
        <w:rPr>
          <w:rFonts w:ascii="Times New Roman" w:hAnsi="Times New Roman" w:cs="Times New Roman"/>
        </w:rPr>
        <w:t>3.综合生活污水量变化系数</w:t>
      </w:r>
    </w:p>
    <w:tbl>
      <w:tblPr>
        <w:tblStyle w:val="3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1001"/>
        <w:gridCol w:w="1019"/>
        <w:gridCol w:w="639"/>
        <w:gridCol w:w="639"/>
        <w:gridCol w:w="806"/>
        <w:gridCol w:w="806"/>
        <w:gridCol w:w="806"/>
        <w:gridCol w:w="1313"/>
      </w:tblGrid>
      <w:tr w14:paraId="47B7B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2" w:type="pct"/>
          </w:tcPr>
          <w:p w14:paraId="14662C1F">
            <w:pPr>
              <w:spacing w:before="24" w:after="24"/>
              <w:jc w:val="center"/>
              <w:rPr>
                <w:rFonts w:ascii="Times New Roman" w:hAnsi="Times New Roman" w:cs="Times New Roman"/>
                <w:sz w:val="24"/>
                <w:szCs w:val="24"/>
              </w:rPr>
            </w:pPr>
            <w:r>
              <w:rPr>
                <w:rFonts w:ascii="Times New Roman" w:hAnsi="Times New Roman" w:cs="Times New Roman"/>
                <w:sz w:val="24"/>
                <w:szCs w:val="24"/>
              </w:rPr>
              <w:t>平均日流量（L/s）</w:t>
            </w:r>
          </w:p>
        </w:tc>
        <w:tc>
          <w:tcPr>
            <w:tcW w:w="539" w:type="pct"/>
          </w:tcPr>
          <w:p w14:paraId="2EB74CDF">
            <w:pPr>
              <w:spacing w:before="24" w:after="24"/>
              <w:jc w:val="center"/>
              <w:rPr>
                <w:rFonts w:ascii="Times New Roman" w:hAnsi="Times New Roman" w:cs="Times New Roman"/>
                <w:sz w:val="24"/>
                <w:szCs w:val="24"/>
              </w:rPr>
            </w:pPr>
            <w:r>
              <w:rPr>
                <w:rFonts w:ascii="Times New Roman" w:hAnsi="Times New Roman" w:cs="Times New Roman"/>
                <w:sz w:val="24"/>
                <w:szCs w:val="24"/>
              </w:rPr>
              <w:t>5</w:t>
            </w:r>
          </w:p>
        </w:tc>
        <w:tc>
          <w:tcPr>
            <w:tcW w:w="549" w:type="pct"/>
          </w:tcPr>
          <w:p w14:paraId="490CD5E9">
            <w:pPr>
              <w:spacing w:before="24" w:after="24"/>
              <w:jc w:val="center"/>
              <w:rPr>
                <w:rFonts w:ascii="Times New Roman" w:hAnsi="Times New Roman" w:cs="Times New Roman"/>
                <w:sz w:val="24"/>
                <w:szCs w:val="24"/>
              </w:rPr>
            </w:pPr>
            <w:r>
              <w:rPr>
                <w:rFonts w:ascii="Times New Roman" w:hAnsi="Times New Roman" w:cs="Times New Roman"/>
                <w:sz w:val="24"/>
                <w:szCs w:val="24"/>
              </w:rPr>
              <w:t>15</w:t>
            </w:r>
          </w:p>
        </w:tc>
        <w:tc>
          <w:tcPr>
            <w:tcW w:w="344" w:type="pct"/>
          </w:tcPr>
          <w:p w14:paraId="0C772FC1">
            <w:pPr>
              <w:spacing w:before="24" w:after="24"/>
              <w:jc w:val="center"/>
              <w:rPr>
                <w:rFonts w:ascii="Times New Roman" w:hAnsi="Times New Roman" w:cs="Times New Roman"/>
                <w:sz w:val="24"/>
                <w:szCs w:val="24"/>
              </w:rPr>
            </w:pPr>
            <w:r>
              <w:rPr>
                <w:rFonts w:ascii="Times New Roman" w:hAnsi="Times New Roman" w:cs="Times New Roman"/>
                <w:sz w:val="24"/>
                <w:szCs w:val="24"/>
              </w:rPr>
              <w:t>40</w:t>
            </w:r>
          </w:p>
        </w:tc>
        <w:tc>
          <w:tcPr>
            <w:tcW w:w="344" w:type="pct"/>
          </w:tcPr>
          <w:p w14:paraId="536FA600">
            <w:pPr>
              <w:spacing w:before="24" w:after="24"/>
              <w:jc w:val="center"/>
              <w:rPr>
                <w:rFonts w:ascii="Times New Roman" w:hAnsi="Times New Roman" w:cs="Times New Roman"/>
                <w:sz w:val="24"/>
                <w:szCs w:val="24"/>
              </w:rPr>
            </w:pPr>
            <w:r>
              <w:rPr>
                <w:rFonts w:ascii="Times New Roman" w:hAnsi="Times New Roman" w:cs="Times New Roman"/>
                <w:sz w:val="24"/>
                <w:szCs w:val="24"/>
              </w:rPr>
              <w:t>70</w:t>
            </w:r>
          </w:p>
        </w:tc>
        <w:tc>
          <w:tcPr>
            <w:tcW w:w="434" w:type="pct"/>
          </w:tcPr>
          <w:p w14:paraId="7D403240">
            <w:pPr>
              <w:spacing w:before="24" w:after="24"/>
              <w:jc w:val="center"/>
              <w:rPr>
                <w:rFonts w:ascii="Times New Roman" w:hAnsi="Times New Roman" w:cs="Times New Roman"/>
                <w:sz w:val="24"/>
                <w:szCs w:val="24"/>
              </w:rPr>
            </w:pPr>
            <w:r>
              <w:rPr>
                <w:rFonts w:ascii="Times New Roman" w:hAnsi="Times New Roman" w:cs="Times New Roman"/>
                <w:sz w:val="24"/>
                <w:szCs w:val="24"/>
              </w:rPr>
              <w:t>100</w:t>
            </w:r>
          </w:p>
        </w:tc>
        <w:tc>
          <w:tcPr>
            <w:tcW w:w="434" w:type="pct"/>
          </w:tcPr>
          <w:p w14:paraId="22D4C2CE">
            <w:pPr>
              <w:spacing w:before="24" w:after="24"/>
              <w:jc w:val="center"/>
              <w:rPr>
                <w:rFonts w:ascii="Times New Roman" w:hAnsi="Times New Roman" w:cs="Times New Roman"/>
                <w:sz w:val="24"/>
                <w:szCs w:val="24"/>
              </w:rPr>
            </w:pPr>
            <w:r>
              <w:rPr>
                <w:rFonts w:ascii="Times New Roman" w:hAnsi="Times New Roman" w:cs="Times New Roman"/>
                <w:sz w:val="24"/>
                <w:szCs w:val="24"/>
              </w:rPr>
              <w:t>200</w:t>
            </w:r>
          </w:p>
        </w:tc>
        <w:tc>
          <w:tcPr>
            <w:tcW w:w="434" w:type="pct"/>
          </w:tcPr>
          <w:p w14:paraId="57420E8F">
            <w:pPr>
              <w:spacing w:before="24" w:after="24"/>
              <w:jc w:val="center"/>
              <w:rPr>
                <w:rFonts w:ascii="Times New Roman" w:hAnsi="Times New Roman" w:cs="Times New Roman"/>
                <w:sz w:val="24"/>
                <w:szCs w:val="24"/>
              </w:rPr>
            </w:pPr>
            <w:r>
              <w:rPr>
                <w:rFonts w:ascii="Times New Roman" w:hAnsi="Times New Roman" w:cs="Times New Roman"/>
                <w:sz w:val="24"/>
                <w:szCs w:val="24"/>
              </w:rPr>
              <w:t>500</w:t>
            </w:r>
          </w:p>
        </w:tc>
        <w:tc>
          <w:tcPr>
            <w:tcW w:w="707" w:type="pct"/>
          </w:tcPr>
          <w:p w14:paraId="1C3566DB">
            <w:pPr>
              <w:spacing w:before="24" w:after="24"/>
              <w:jc w:val="center"/>
              <w:rPr>
                <w:rFonts w:ascii="Times New Roman" w:hAnsi="Times New Roman" w:cs="Times New Roman"/>
                <w:sz w:val="24"/>
                <w:szCs w:val="24"/>
              </w:rPr>
            </w:pPr>
            <w:r>
              <w:rPr>
                <w:rFonts w:ascii="Times New Roman" w:hAnsi="Times New Roman" w:cs="Times New Roman"/>
                <w:sz w:val="24"/>
                <w:szCs w:val="24"/>
              </w:rPr>
              <w:t>≥1000</w:t>
            </w:r>
          </w:p>
        </w:tc>
      </w:tr>
      <w:tr w14:paraId="1C28F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2" w:type="pct"/>
          </w:tcPr>
          <w:p w14:paraId="6CF75F3E">
            <w:pPr>
              <w:spacing w:before="24" w:after="24"/>
              <w:ind w:firstLine="480" w:firstLineChars="200"/>
              <w:jc w:val="center"/>
              <w:rPr>
                <w:rFonts w:ascii="Times New Roman" w:hAnsi="Times New Roman" w:cs="Times New Roman"/>
                <w:sz w:val="24"/>
                <w:szCs w:val="24"/>
              </w:rPr>
            </w:pPr>
            <w:r>
              <w:rPr>
                <w:rFonts w:ascii="Times New Roman" w:hAnsi="Times New Roman" w:cs="Times New Roman"/>
                <w:sz w:val="24"/>
                <w:szCs w:val="24"/>
              </w:rPr>
              <w:t>变化系数</w:t>
            </w:r>
          </w:p>
        </w:tc>
        <w:tc>
          <w:tcPr>
            <w:tcW w:w="539" w:type="pct"/>
          </w:tcPr>
          <w:p w14:paraId="690DC914">
            <w:pPr>
              <w:spacing w:before="24" w:after="24"/>
              <w:jc w:val="center"/>
              <w:rPr>
                <w:rFonts w:ascii="Times New Roman" w:hAnsi="Times New Roman" w:cs="Times New Roman"/>
                <w:sz w:val="24"/>
                <w:szCs w:val="24"/>
              </w:rPr>
            </w:pPr>
            <w:r>
              <w:rPr>
                <w:rFonts w:ascii="Times New Roman" w:hAnsi="Times New Roman" w:cs="Times New Roman"/>
                <w:sz w:val="24"/>
                <w:szCs w:val="24"/>
              </w:rPr>
              <w:t>2.7</w:t>
            </w:r>
          </w:p>
        </w:tc>
        <w:tc>
          <w:tcPr>
            <w:tcW w:w="549" w:type="pct"/>
          </w:tcPr>
          <w:p w14:paraId="50E7F256">
            <w:pPr>
              <w:spacing w:before="24" w:after="24"/>
              <w:jc w:val="center"/>
              <w:rPr>
                <w:rFonts w:ascii="Times New Roman" w:hAnsi="Times New Roman" w:cs="Times New Roman"/>
                <w:sz w:val="24"/>
                <w:szCs w:val="24"/>
              </w:rPr>
            </w:pPr>
            <w:r>
              <w:rPr>
                <w:rFonts w:ascii="Times New Roman" w:hAnsi="Times New Roman" w:cs="Times New Roman"/>
                <w:sz w:val="24"/>
                <w:szCs w:val="24"/>
              </w:rPr>
              <w:t>2.4</w:t>
            </w:r>
          </w:p>
        </w:tc>
        <w:tc>
          <w:tcPr>
            <w:tcW w:w="344" w:type="pct"/>
          </w:tcPr>
          <w:p w14:paraId="6D48A08F">
            <w:pPr>
              <w:spacing w:before="24" w:after="24"/>
              <w:jc w:val="center"/>
              <w:rPr>
                <w:rFonts w:ascii="Times New Roman" w:hAnsi="Times New Roman" w:cs="Times New Roman"/>
                <w:sz w:val="24"/>
                <w:szCs w:val="24"/>
              </w:rPr>
            </w:pPr>
            <w:r>
              <w:rPr>
                <w:rFonts w:ascii="Times New Roman" w:hAnsi="Times New Roman" w:cs="Times New Roman"/>
                <w:sz w:val="24"/>
                <w:szCs w:val="24"/>
              </w:rPr>
              <w:t>2.1</w:t>
            </w:r>
          </w:p>
        </w:tc>
        <w:tc>
          <w:tcPr>
            <w:tcW w:w="344" w:type="pct"/>
          </w:tcPr>
          <w:p w14:paraId="16448D8E">
            <w:pPr>
              <w:spacing w:before="24" w:after="24"/>
              <w:jc w:val="center"/>
              <w:rPr>
                <w:rFonts w:ascii="Times New Roman" w:hAnsi="Times New Roman" w:cs="Times New Roman"/>
                <w:sz w:val="24"/>
                <w:szCs w:val="24"/>
              </w:rPr>
            </w:pPr>
            <w:r>
              <w:rPr>
                <w:rFonts w:ascii="Times New Roman" w:hAnsi="Times New Roman" w:cs="Times New Roman"/>
                <w:sz w:val="24"/>
                <w:szCs w:val="24"/>
              </w:rPr>
              <w:t>2.0</w:t>
            </w:r>
          </w:p>
        </w:tc>
        <w:tc>
          <w:tcPr>
            <w:tcW w:w="434" w:type="pct"/>
          </w:tcPr>
          <w:p w14:paraId="5EF740F3">
            <w:pPr>
              <w:spacing w:before="24" w:after="24"/>
              <w:jc w:val="center"/>
              <w:rPr>
                <w:rFonts w:ascii="Times New Roman" w:hAnsi="Times New Roman" w:cs="Times New Roman"/>
                <w:sz w:val="24"/>
                <w:szCs w:val="24"/>
              </w:rPr>
            </w:pPr>
            <w:r>
              <w:rPr>
                <w:rFonts w:ascii="Times New Roman" w:hAnsi="Times New Roman" w:cs="Times New Roman"/>
                <w:sz w:val="24"/>
                <w:szCs w:val="24"/>
              </w:rPr>
              <w:t>1.9</w:t>
            </w:r>
          </w:p>
        </w:tc>
        <w:tc>
          <w:tcPr>
            <w:tcW w:w="434" w:type="pct"/>
          </w:tcPr>
          <w:p w14:paraId="4E83853D">
            <w:pPr>
              <w:spacing w:before="24" w:after="24"/>
              <w:jc w:val="center"/>
              <w:rPr>
                <w:rFonts w:ascii="Times New Roman" w:hAnsi="Times New Roman" w:cs="Times New Roman"/>
                <w:sz w:val="24"/>
                <w:szCs w:val="24"/>
              </w:rPr>
            </w:pPr>
            <w:r>
              <w:rPr>
                <w:rFonts w:ascii="Times New Roman" w:hAnsi="Times New Roman" w:cs="Times New Roman"/>
                <w:sz w:val="24"/>
                <w:szCs w:val="24"/>
              </w:rPr>
              <w:t>1.8</w:t>
            </w:r>
          </w:p>
        </w:tc>
        <w:tc>
          <w:tcPr>
            <w:tcW w:w="434" w:type="pct"/>
          </w:tcPr>
          <w:p w14:paraId="269B62A2">
            <w:pPr>
              <w:spacing w:before="24" w:after="24"/>
              <w:jc w:val="center"/>
              <w:rPr>
                <w:rFonts w:ascii="Times New Roman" w:hAnsi="Times New Roman" w:cs="Times New Roman"/>
                <w:sz w:val="24"/>
                <w:szCs w:val="24"/>
              </w:rPr>
            </w:pPr>
            <w:r>
              <w:rPr>
                <w:rFonts w:ascii="Times New Roman" w:hAnsi="Times New Roman" w:cs="Times New Roman"/>
                <w:sz w:val="24"/>
                <w:szCs w:val="24"/>
              </w:rPr>
              <w:t>1.6</w:t>
            </w:r>
          </w:p>
        </w:tc>
        <w:tc>
          <w:tcPr>
            <w:tcW w:w="707" w:type="pct"/>
          </w:tcPr>
          <w:p w14:paraId="3223A2CA">
            <w:pPr>
              <w:spacing w:before="24" w:after="24"/>
              <w:jc w:val="center"/>
              <w:rPr>
                <w:rFonts w:ascii="Times New Roman" w:hAnsi="Times New Roman" w:cs="Times New Roman"/>
                <w:sz w:val="24"/>
                <w:szCs w:val="24"/>
              </w:rPr>
            </w:pPr>
            <w:r>
              <w:rPr>
                <w:rFonts w:ascii="Times New Roman" w:hAnsi="Times New Roman" w:cs="Times New Roman"/>
                <w:sz w:val="24"/>
                <w:szCs w:val="24"/>
              </w:rPr>
              <w:t>1.5</w:t>
            </w:r>
          </w:p>
        </w:tc>
      </w:tr>
    </w:tbl>
    <w:p w14:paraId="6A07DBB9">
      <w:pPr>
        <w:spacing w:before="24" w:after="24"/>
        <w:ind w:firstLine="560" w:firstLineChars="200"/>
        <w:rPr>
          <w:rFonts w:ascii="Times New Roman" w:hAnsi="Times New Roman" w:cs="Times New Roman"/>
        </w:rPr>
      </w:pPr>
      <w:r>
        <w:rPr>
          <w:rFonts w:ascii="Times New Roman" w:hAnsi="Times New Roman" w:cs="Times New Roman"/>
        </w:rPr>
        <w:t>注：当污水平均日流量为中间数值时，变化系数可用内插法求得。</w:t>
      </w:r>
    </w:p>
    <w:p w14:paraId="4A853860">
      <w:pPr>
        <w:numPr>
          <w:ilvl w:val="0"/>
          <w:numId w:val="3"/>
        </w:numPr>
        <w:spacing w:before="24" w:after="24"/>
        <w:ind w:firstLine="560" w:firstLineChars="200"/>
        <w:rPr>
          <w:rFonts w:ascii="Times New Roman" w:hAnsi="Times New Roman" w:cs="Times New Roman"/>
        </w:rPr>
      </w:pPr>
      <w:r>
        <w:rPr>
          <w:rFonts w:ascii="Times New Roman" w:hAnsi="Times New Roman" w:cs="Times New Roman"/>
        </w:rPr>
        <w:t>重力流污水管道应按非满流计算，其最大设计充满度应按下表的规定取值。</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3"/>
        <w:gridCol w:w="4643"/>
      </w:tblGrid>
      <w:tr w14:paraId="4419A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3" w:type="dxa"/>
          </w:tcPr>
          <w:p w14:paraId="73D0917D">
            <w:pPr>
              <w:spacing w:before="24" w:after="24"/>
              <w:ind w:firstLine="480" w:firstLineChars="200"/>
              <w:jc w:val="center"/>
              <w:rPr>
                <w:rFonts w:ascii="Times New Roman" w:hAnsi="Times New Roman" w:cs="Times New Roman"/>
                <w:sz w:val="24"/>
                <w:szCs w:val="24"/>
              </w:rPr>
            </w:pPr>
            <w:r>
              <w:rPr>
                <w:rFonts w:ascii="Times New Roman" w:hAnsi="Times New Roman" w:cs="Times New Roman"/>
                <w:sz w:val="24"/>
                <w:szCs w:val="24"/>
              </w:rPr>
              <w:t>管径或渠高（mm）</w:t>
            </w:r>
          </w:p>
        </w:tc>
        <w:tc>
          <w:tcPr>
            <w:tcW w:w="4643" w:type="dxa"/>
          </w:tcPr>
          <w:p w14:paraId="236A67B7">
            <w:pPr>
              <w:spacing w:before="24" w:after="24"/>
              <w:ind w:firstLine="480" w:firstLineChars="200"/>
              <w:jc w:val="center"/>
              <w:rPr>
                <w:rFonts w:ascii="Times New Roman" w:hAnsi="Times New Roman" w:cs="Times New Roman"/>
                <w:sz w:val="24"/>
                <w:szCs w:val="24"/>
              </w:rPr>
            </w:pPr>
            <w:r>
              <w:rPr>
                <w:rFonts w:ascii="Times New Roman" w:hAnsi="Times New Roman" w:cs="Times New Roman"/>
                <w:sz w:val="24"/>
                <w:szCs w:val="24"/>
              </w:rPr>
              <w:t>最大设计充满度</w:t>
            </w:r>
          </w:p>
        </w:tc>
      </w:tr>
      <w:tr w14:paraId="282D1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3" w:type="dxa"/>
          </w:tcPr>
          <w:p w14:paraId="26758254">
            <w:pPr>
              <w:spacing w:before="24" w:after="24"/>
              <w:ind w:firstLine="480" w:firstLineChars="200"/>
              <w:jc w:val="center"/>
              <w:rPr>
                <w:rFonts w:ascii="Times New Roman" w:hAnsi="Times New Roman" w:cs="Times New Roman"/>
                <w:sz w:val="24"/>
                <w:szCs w:val="24"/>
              </w:rPr>
            </w:pPr>
            <w:r>
              <w:rPr>
                <w:rFonts w:ascii="Times New Roman" w:hAnsi="Times New Roman" w:cs="Times New Roman"/>
                <w:sz w:val="24"/>
                <w:szCs w:val="24"/>
              </w:rPr>
              <w:t>200～300</w:t>
            </w:r>
          </w:p>
        </w:tc>
        <w:tc>
          <w:tcPr>
            <w:tcW w:w="4643" w:type="dxa"/>
          </w:tcPr>
          <w:p w14:paraId="05159621">
            <w:pPr>
              <w:spacing w:before="24" w:after="24"/>
              <w:ind w:firstLine="480" w:firstLineChars="200"/>
              <w:jc w:val="center"/>
              <w:rPr>
                <w:rFonts w:ascii="Times New Roman" w:hAnsi="Times New Roman" w:cs="Times New Roman"/>
                <w:sz w:val="24"/>
                <w:szCs w:val="24"/>
              </w:rPr>
            </w:pPr>
            <w:r>
              <w:rPr>
                <w:rFonts w:ascii="Times New Roman" w:hAnsi="Times New Roman" w:cs="Times New Roman"/>
                <w:sz w:val="24"/>
                <w:szCs w:val="24"/>
              </w:rPr>
              <w:t>0.55</w:t>
            </w:r>
          </w:p>
        </w:tc>
      </w:tr>
      <w:tr w14:paraId="01CBD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3" w:type="dxa"/>
          </w:tcPr>
          <w:p w14:paraId="653DCED8">
            <w:pPr>
              <w:spacing w:before="24" w:after="24"/>
              <w:ind w:firstLine="480" w:firstLineChars="200"/>
              <w:jc w:val="center"/>
              <w:rPr>
                <w:rFonts w:ascii="Times New Roman" w:hAnsi="Times New Roman" w:cs="Times New Roman"/>
                <w:sz w:val="24"/>
                <w:szCs w:val="24"/>
              </w:rPr>
            </w:pPr>
            <w:r>
              <w:rPr>
                <w:rFonts w:ascii="Times New Roman" w:hAnsi="Times New Roman" w:cs="Times New Roman"/>
                <w:sz w:val="24"/>
                <w:szCs w:val="24"/>
              </w:rPr>
              <w:t>350～450</w:t>
            </w:r>
          </w:p>
        </w:tc>
        <w:tc>
          <w:tcPr>
            <w:tcW w:w="4643" w:type="dxa"/>
          </w:tcPr>
          <w:p w14:paraId="0F3510A2">
            <w:pPr>
              <w:spacing w:before="24" w:after="24"/>
              <w:ind w:firstLine="480" w:firstLineChars="200"/>
              <w:jc w:val="center"/>
              <w:rPr>
                <w:rFonts w:ascii="Times New Roman" w:hAnsi="Times New Roman" w:cs="Times New Roman"/>
                <w:sz w:val="24"/>
                <w:szCs w:val="24"/>
              </w:rPr>
            </w:pPr>
            <w:r>
              <w:rPr>
                <w:rFonts w:ascii="Times New Roman" w:hAnsi="Times New Roman" w:cs="Times New Roman"/>
                <w:sz w:val="24"/>
                <w:szCs w:val="24"/>
              </w:rPr>
              <w:t>0.65</w:t>
            </w:r>
          </w:p>
        </w:tc>
      </w:tr>
      <w:tr w14:paraId="0A40F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3" w:type="dxa"/>
          </w:tcPr>
          <w:p w14:paraId="0484EE84">
            <w:pPr>
              <w:spacing w:before="24" w:after="24"/>
              <w:ind w:firstLine="480" w:firstLineChars="200"/>
              <w:jc w:val="center"/>
              <w:rPr>
                <w:rFonts w:ascii="Times New Roman" w:hAnsi="Times New Roman" w:cs="Times New Roman"/>
                <w:sz w:val="24"/>
                <w:szCs w:val="24"/>
              </w:rPr>
            </w:pPr>
            <w:r>
              <w:rPr>
                <w:rFonts w:ascii="Times New Roman" w:hAnsi="Times New Roman" w:cs="Times New Roman"/>
                <w:sz w:val="24"/>
                <w:szCs w:val="24"/>
              </w:rPr>
              <w:t>500～900</w:t>
            </w:r>
          </w:p>
        </w:tc>
        <w:tc>
          <w:tcPr>
            <w:tcW w:w="4643" w:type="dxa"/>
          </w:tcPr>
          <w:p w14:paraId="7ABEF16E">
            <w:pPr>
              <w:spacing w:before="24" w:after="24"/>
              <w:ind w:firstLine="480" w:firstLineChars="200"/>
              <w:jc w:val="center"/>
              <w:rPr>
                <w:rFonts w:ascii="Times New Roman" w:hAnsi="Times New Roman" w:cs="Times New Roman"/>
                <w:sz w:val="24"/>
                <w:szCs w:val="24"/>
              </w:rPr>
            </w:pPr>
            <w:r>
              <w:rPr>
                <w:rFonts w:ascii="Times New Roman" w:hAnsi="Times New Roman" w:cs="Times New Roman"/>
                <w:sz w:val="24"/>
                <w:szCs w:val="24"/>
              </w:rPr>
              <w:t>0.70</w:t>
            </w:r>
          </w:p>
        </w:tc>
      </w:tr>
      <w:tr w14:paraId="47215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3" w:type="dxa"/>
          </w:tcPr>
          <w:p w14:paraId="78826E99">
            <w:pPr>
              <w:spacing w:before="24" w:after="24"/>
              <w:ind w:firstLine="480" w:firstLineChars="200"/>
              <w:jc w:val="center"/>
              <w:rPr>
                <w:rFonts w:ascii="Times New Roman" w:hAnsi="Times New Roman" w:cs="Times New Roman"/>
                <w:sz w:val="24"/>
                <w:szCs w:val="24"/>
              </w:rPr>
            </w:pPr>
            <w:r>
              <w:rPr>
                <w:rFonts w:ascii="Times New Roman" w:hAnsi="Times New Roman" w:cs="Times New Roman"/>
                <w:sz w:val="24"/>
                <w:szCs w:val="24"/>
              </w:rPr>
              <w:t>≥1000</w:t>
            </w:r>
          </w:p>
        </w:tc>
        <w:tc>
          <w:tcPr>
            <w:tcW w:w="4643" w:type="dxa"/>
          </w:tcPr>
          <w:p w14:paraId="3ED9DDDE">
            <w:pPr>
              <w:spacing w:before="24" w:after="24"/>
              <w:ind w:firstLine="480" w:firstLineChars="200"/>
              <w:jc w:val="center"/>
              <w:rPr>
                <w:rFonts w:ascii="Times New Roman" w:hAnsi="Times New Roman" w:cs="Times New Roman"/>
                <w:sz w:val="24"/>
                <w:szCs w:val="24"/>
              </w:rPr>
            </w:pPr>
            <w:r>
              <w:rPr>
                <w:rFonts w:ascii="Times New Roman" w:hAnsi="Times New Roman" w:cs="Times New Roman"/>
                <w:sz w:val="24"/>
                <w:szCs w:val="24"/>
              </w:rPr>
              <w:t>0.75</w:t>
            </w:r>
          </w:p>
        </w:tc>
      </w:tr>
    </w:tbl>
    <w:p w14:paraId="64501D53">
      <w:pPr>
        <w:pStyle w:val="66"/>
        <w:rPr>
          <w:rFonts w:cs="Times New Roman"/>
        </w:rPr>
      </w:pPr>
      <w:r>
        <w:rPr>
          <w:rFonts w:cs="Times New Roman"/>
        </w:rPr>
        <w:t>10.7燃气工程</w:t>
      </w:r>
    </w:p>
    <w:p w14:paraId="7081F68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10.7.1天然气气质参数</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9"/>
        <w:gridCol w:w="2831"/>
        <w:gridCol w:w="2682"/>
        <w:gridCol w:w="2224"/>
      </w:tblGrid>
      <w:tr w14:paraId="507AB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9" w:type="dxa"/>
            <w:tcBorders>
              <w:top w:val="single" w:color="auto" w:sz="4" w:space="0"/>
              <w:left w:val="single" w:color="auto" w:sz="4" w:space="0"/>
              <w:bottom w:val="single" w:color="auto" w:sz="4" w:space="0"/>
              <w:right w:val="single" w:color="auto" w:sz="4" w:space="0"/>
            </w:tcBorders>
            <w:vAlign w:val="center"/>
          </w:tcPr>
          <w:p w14:paraId="44DAAEA5">
            <w:pPr>
              <w:spacing w:before="24" w:after="24" w:line="240" w:lineRule="atLeast"/>
              <w:jc w:val="center"/>
              <w:rPr>
                <w:rFonts w:ascii="Times New Roman" w:hAnsi="Times New Roman" w:cs="Times New Roman"/>
                <w:b/>
                <w:sz w:val="24"/>
                <w:szCs w:val="24"/>
              </w:rPr>
            </w:pPr>
            <w:r>
              <w:rPr>
                <w:rFonts w:ascii="Times New Roman" w:hAnsi="Times New Roman" w:cs="Times New Roman"/>
                <w:sz w:val="24"/>
                <w:szCs w:val="24"/>
              </w:rPr>
              <w:t>序号</w:t>
            </w:r>
          </w:p>
        </w:tc>
        <w:tc>
          <w:tcPr>
            <w:tcW w:w="2831" w:type="dxa"/>
            <w:tcBorders>
              <w:top w:val="single" w:color="auto" w:sz="4" w:space="0"/>
              <w:left w:val="single" w:color="auto" w:sz="4" w:space="0"/>
              <w:bottom w:val="single" w:color="auto" w:sz="4" w:space="0"/>
              <w:right w:val="single" w:color="auto" w:sz="4" w:space="0"/>
            </w:tcBorders>
            <w:vAlign w:val="center"/>
          </w:tcPr>
          <w:p w14:paraId="146ACC7B">
            <w:pPr>
              <w:spacing w:before="24" w:after="24" w:line="240" w:lineRule="atLeast"/>
              <w:ind w:firstLine="200"/>
              <w:jc w:val="center"/>
              <w:rPr>
                <w:rFonts w:ascii="Times New Roman" w:hAnsi="Times New Roman" w:cs="Times New Roman"/>
                <w:b/>
                <w:sz w:val="24"/>
                <w:szCs w:val="24"/>
              </w:rPr>
            </w:pPr>
            <w:r>
              <w:rPr>
                <w:rFonts w:ascii="Times New Roman" w:hAnsi="Times New Roman" w:cs="Times New Roman"/>
                <w:sz w:val="24"/>
                <w:szCs w:val="24"/>
              </w:rPr>
              <w:t>项目</w:t>
            </w:r>
          </w:p>
        </w:tc>
        <w:tc>
          <w:tcPr>
            <w:tcW w:w="2682" w:type="dxa"/>
            <w:tcBorders>
              <w:top w:val="single" w:color="auto" w:sz="4" w:space="0"/>
              <w:left w:val="single" w:color="auto" w:sz="4" w:space="0"/>
              <w:bottom w:val="single" w:color="auto" w:sz="4" w:space="0"/>
              <w:right w:val="single" w:color="auto" w:sz="4" w:space="0"/>
            </w:tcBorders>
            <w:vAlign w:val="center"/>
          </w:tcPr>
          <w:p w14:paraId="60334AAC">
            <w:pPr>
              <w:spacing w:before="24" w:after="24" w:line="240" w:lineRule="atLeast"/>
              <w:ind w:firstLine="200"/>
              <w:jc w:val="center"/>
              <w:rPr>
                <w:rFonts w:ascii="Times New Roman" w:hAnsi="Times New Roman" w:cs="Times New Roman"/>
                <w:b/>
                <w:sz w:val="24"/>
                <w:szCs w:val="24"/>
              </w:rPr>
            </w:pPr>
            <w:r>
              <w:rPr>
                <w:rFonts w:ascii="Times New Roman" w:hAnsi="Times New Roman" w:cs="Times New Roman"/>
                <w:sz w:val="24"/>
                <w:szCs w:val="24"/>
              </w:rPr>
              <w:t>参数</w:t>
            </w:r>
          </w:p>
        </w:tc>
        <w:tc>
          <w:tcPr>
            <w:tcW w:w="2224" w:type="dxa"/>
            <w:tcBorders>
              <w:top w:val="single" w:color="auto" w:sz="4" w:space="0"/>
              <w:left w:val="single" w:color="auto" w:sz="4" w:space="0"/>
              <w:bottom w:val="single" w:color="auto" w:sz="4" w:space="0"/>
              <w:right w:val="single" w:color="auto" w:sz="4" w:space="0"/>
            </w:tcBorders>
            <w:vAlign w:val="center"/>
          </w:tcPr>
          <w:p w14:paraId="2AC486F8">
            <w:pPr>
              <w:spacing w:before="24" w:after="24" w:line="240" w:lineRule="atLeast"/>
              <w:ind w:firstLine="200"/>
              <w:jc w:val="center"/>
              <w:rPr>
                <w:rFonts w:ascii="Times New Roman" w:hAnsi="Times New Roman" w:cs="Times New Roman"/>
                <w:b/>
                <w:sz w:val="24"/>
                <w:szCs w:val="24"/>
              </w:rPr>
            </w:pPr>
            <w:r>
              <w:rPr>
                <w:rFonts w:ascii="Times New Roman" w:hAnsi="Times New Roman" w:cs="Times New Roman"/>
                <w:sz w:val="24"/>
                <w:szCs w:val="24"/>
              </w:rPr>
              <w:t>备注</w:t>
            </w:r>
          </w:p>
        </w:tc>
      </w:tr>
      <w:tr w14:paraId="2B0CB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9" w:type="dxa"/>
            <w:tcBorders>
              <w:top w:val="single" w:color="auto" w:sz="4" w:space="0"/>
              <w:left w:val="single" w:color="auto" w:sz="4" w:space="0"/>
              <w:bottom w:val="single" w:color="auto" w:sz="4" w:space="0"/>
              <w:right w:val="single" w:color="auto" w:sz="4" w:space="0"/>
            </w:tcBorders>
            <w:vAlign w:val="center"/>
          </w:tcPr>
          <w:p w14:paraId="0E50CC44">
            <w:pPr>
              <w:spacing w:before="24" w:after="24" w:line="240" w:lineRule="atLeast"/>
              <w:jc w:val="center"/>
              <w:rPr>
                <w:rFonts w:ascii="Times New Roman" w:hAnsi="Times New Roman" w:cs="Times New Roman"/>
                <w:b/>
                <w:sz w:val="24"/>
                <w:szCs w:val="24"/>
              </w:rPr>
            </w:pPr>
            <w:r>
              <w:rPr>
                <w:rFonts w:ascii="Times New Roman" w:hAnsi="Times New Roman" w:cs="Times New Roman"/>
                <w:sz w:val="24"/>
                <w:szCs w:val="24"/>
              </w:rPr>
              <w:t>1</w:t>
            </w:r>
          </w:p>
        </w:tc>
        <w:tc>
          <w:tcPr>
            <w:tcW w:w="2831" w:type="dxa"/>
            <w:tcBorders>
              <w:top w:val="single" w:color="auto" w:sz="4" w:space="0"/>
              <w:left w:val="single" w:color="auto" w:sz="4" w:space="0"/>
              <w:bottom w:val="single" w:color="auto" w:sz="4" w:space="0"/>
              <w:right w:val="single" w:color="auto" w:sz="4" w:space="0"/>
            </w:tcBorders>
            <w:vAlign w:val="center"/>
          </w:tcPr>
          <w:p w14:paraId="4CB90BCB">
            <w:pPr>
              <w:spacing w:before="24" w:after="24" w:line="240" w:lineRule="atLeast"/>
              <w:ind w:firstLine="200"/>
              <w:jc w:val="center"/>
              <w:rPr>
                <w:rFonts w:ascii="Times New Roman" w:hAnsi="Times New Roman" w:cs="Times New Roman"/>
                <w:b/>
                <w:sz w:val="24"/>
                <w:szCs w:val="24"/>
              </w:rPr>
            </w:pPr>
            <w:r>
              <w:rPr>
                <w:rFonts w:ascii="Times New Roman" w:hAnsi="Times New Roman" w:cs="Times New Roman"/>
                <w:sz w:val="24"/>
                <w:szCs w:val="24"/>
              </w:rPr>
              <w:t>低热值（MJ/Nm</w:t>
            </w:r>
            <w:r>
              <w:rPr>
                <w:rFonts w:ascii="Times New Roman" w:hAnsi="Times New Roman" w:cs="Times New Roman"/>
                <w:sz w:val="24"/>
                <w:szCs w:val="24"/>
                <w:vertAlign w:val="superscript"/>
              </w:rPr>
              <w:t>3</w:t>
            </w:r>
            <w:r>
              <w:rPr>
                <w:rFonts w:ascii="Times New Roman" w:hAnsi="Times New Roman" w:cs="Times New Roman"/>
                <w:sz w:val="24"/>
                <w:szCs w:val="24"/>
              </w:rPr>
              <w:t>）</w:t>
            </w:r>
          </w:p>
        </w:tc>
        <w:tc>
          <w:tcPr>
            <w:tcW w:w="2682" w:type="dxa"/>
            <w:tcBorders>
              <w:top w:val="single" w:color="auto" w:sz="4" w:space="0"/>
              <w:left w:val="single" w:color="auto" w:sz="4" w:space="0"/>
              <w:bottom w:val="single" w:color="auto" w:sz="4" w:space="0"/>
              <w:right w:val="single" w:color="auto" w:sz="4" w:space="0"/>
            </w:tcBorders>
            <w:vAlign w:val="center"/>
          </w:tcPr>
          <w:p w14:paraId="72064256">
            <w:pPr>
              <w:spacing w:before="24" w:after="24" w:line="240" w:lineRule="atLeast"/>
              <w:ind w:firstLine="200"/>
              <w:jc w:val="center"/>
              <w:rPr>
                <w:rFonts w:ascii="Times New Roman" w:hAnsi="Times New Roman" w:cs="Times New Roman"/>
                <w:b/>
                <w:sz w:val="24"/>
                <w:szCs w:val="24"/>
              </w:rPr>
            </w:pPr>
            <w:r>
              <w:rPr>
                <w:rFonts w:ascii="Times New Roman" w:hAnsi="Times New Roman" w:cs="Times New Roman"/>
                <w:sz w:val="24"/>
                <w:szCs w:val="24"/>
              </w:rPr>
              <w:t>35.81</w:t>
            </w:r>
          </w:p>
        </w:tc>
        <w:tc>
          <w:tcPr>
            <w:tcW w:w="2224" w:type="dxa"/>
            <w:tcBorders>
              <w:top w:val="single" w:color="auto" w:sz="4" w:space="0"/>
              <w:left w:val="single" w:color="auto" w:sz="4" w:space="0"/>
              <w:bottom w:val="single" w:color="auto" w:sz="4" w:space="0"/>
              <w:right w:val="single" w:color="auto" w:sz="4" w:space="0"/>
            </w:tcBorders>
            <w:vAlign w:val="center"/>
          </w:tcPr>
          <w:p w14:paraId="752BC40A">
            <w:pPr>
              <w:spacing w:before="24" w:after="24" w:line="240" w:lineRule="atLeast"/>
              <w:ind w:firstLine="200"/>
              <w:jc w:val="center"/>
              <w:rPr>
                <w:rFonts w:ascii="Times New Roman" w:hAnsi="Times New Roman" w:cs="Times New Roman"/>
                <w:b/>
                <w:sz w:val="24"/>
                <w:szCs w:val="24"/>
              </w:rPr>
            </w:pPr>
            <w:r>
              <w:rPr>
                <w:rFonts w:ascii="Times New Roman" w:hAnsi="Times New Roman" w:cs="Times New Roman"/>
                <w:sz w:val="24"/>
                <w:szCs w:val="24"/>
              </w:rPr>
              <w:t>8568kcal/Nm</w:t>
            </w:r>
            <w:r>
              <w:rPr>
                <w:rFonts w:ascii="Times New Roman" w:hAnsi="Times New Roman" w:cs="Times New Roman"/>
                <w:sz w:val="24"/>
                <w:szCs w:val="24"/>
                <w:vertAlign w:val="superscript"/>
              </w:rPr>
              <w:t>3</w:t>
            </w:r>
          </w:p>
        </w:tc>
      </w:tr>
      <w:tr w14:paraId="2F68A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9" w:type="dxa"/>
            <w:tcBorders>
              <w:top w:val="single" w:color="auto" w:sz="4" w:space="0"/>
              <w:left w:val="single" w:color="auto" w:sz="4" w:space="0"/>
              <w:bottom w:val="single" w:color="auto" w:sz="4" w:space="0"/>
              <w:right w:val="single" w:color="auto" w:sz="4" w:space="0"/>
            </w:tcBorders>
            <w:vAlign w:val="center"/>
          </w:tcPr>
          <w:p w14:paraId="22925C86">
            <w:pPr>
              <w:spacing w:before="24" w:after="24" w:line="240" w:lineRule="atLeast"/>
              <w:jc w:val="center"/>
              <w:rPr>
                <w:rFonts w:ascii="Times New Roman" w:hAnsi="Times New Roman" w:cs="Times New Roman"/>
                <w:b/>
                <w:sz w:val="24"/>
                <w:szCs w:val="24"/>
              </w:rPr>
            </w:pPr>
            <w:r>
              <w:rPr>
                <w:rFonts w:ascii="Times New Roman" w:hAnsi="Times New Roman" w:cs="Times New Roman"/>
                <w:sz w:val="24"/>
                <w:szCs w:val="24"/>
              </w:rPr>
              <w:t>2</w:t>
            </w:r>
          </w:p>
        </w:tc>
        <w:tc>
          <w:tcPr>
            <w:tcW w:w="2831" w:type="dxa"/>
            <w:tcBorders>
              <w:top w:val="single" w:color="auto" w:sz="4" w:space="0"/>
              <w:left w:val="single" w:color="auto" w:sz="4" w:space="0"/>
              <w:bottom w:val="single" w:color="auto" w:sz="4" w:space="0"/>
              <w:right w:val="single" w:color="auto" w:sz="4" w:space="0"/>
            </w:tcBorders>
            <w:vAlign w:val="center"/>
          </w:tcPr>
          <w:p w14:paraId="63F449F5">
            <w:pPr>
              <w:spacing w:before="24" w:after="24" w:line="240" w:lineRule="atLeast"/>
              <w:ind w:firstLine="200"/>
              <w:jc w:val="center"/>
              <w:rPr>
                <w:rFonts w:ascii="Times New Roman" w:hAnsi="Times New Roman" w:cs="Times New Roman"/>
                <w:b/>
                <w:sz w:val="24"/>
                <w:szCs w:val="24"/>
              </w:rPr>
            </w:pPr>
            <w:r>
              <w:rPr>
                <w:rFonts w:ascii="Times New Roman" w:hAnsi="Times New Roman" w:cs="Times New Roman"/>
                <w:sz w:val="24"/>
                <w:szCs w:val="24"/>
              </w:rPr>
              <w:t>高热值（MJ/Nm</w:t>
            </w:r>
            <w:r>
              <w:rPr>
                <w:rFonts w:ascii="Times New Roman" w:hAnsi="Times New Roman" w:cs="Times New Roman"/>
                <w:sz w:val="24"/>
                <w:szCs w:val="24"/>
                <w:vertAlign w:val="superscript"/>
              </w:rPr>
              <w:t>3</w:t>
            </w:r>
            <w:r>
              <w:rPr>
                <w:rFonts w:ascii="Times New Roman" w:hAnsi="Times New Roman" w:cs="Times New Roman"/>
                <w:sz w:val="24"/>
                <w:szCs w:val="24"/>
              </w:rPr>
              <w:t>）</w:t>
            </w:r>
          </w:p>
        </w:tc>
        <w:tc>
          <w:tcPr>
            <w:tcW w:w="2682" w:type="dxa"/>
            <w:tcBorders>
              <w:top w:val="single" w:color="auto" w:sz="4" w:space="0"/>
              <w:left w:val="single" w:color="auto" w:sz="4" w:space="0"/>
              <w:bottom w:val="single" w:color="auto" w:sz="4" w:space="0"/>
              <w:right w:val="single" w:color="auto" w:sz="4" w:space="0"/>
            </w:tcBorders>
            <w:vAlign w:val="center"/>
          </w:tcPr>
          <w:p w14:paraId="2DC62E92">
            <w:pPr>
              <w:spacing w:before="24" w:after="24" w:line="240" w:lineRule="atLeast"/>
              <w:ind w:firstLine="200"/>
              <w:jc w:val="center"/>
              <w:rPr>
                <w:rFonts w:ascii="Times New Roman" w:hAnsi="Times New Roman" w:cs="Times New Roman"/>
                <w:b/>
                <w:sz w:val="24"/>
                <w:szCs w:val="24"/>
              </w:rPr>
            </w:pPr>
            <w:r>
              <w:rPr>
                <w:rFonts w:ascii="Times New Roman" w:hAnsi="Times New Roman" w:cs="Times New Roman"/>
                <w:sz w:val="24"/>
                <w:szCs w:val="24"/>
              </w:rPr>
              <w:t>39.73</w:t>
            </w:r>
          </w:p>
        </w:tc>
        <w:tc>
          <w:tcPr>
            <w:tcW w:w="2224" w:type="dxa"/>
            <w:tcBorders>
              <w:top w:val="single" w:color="auto" w:sz="4" w:space="0"/>
              <w:left w:val="single" w:color="auto" w:sz="4" w:space="0"/>
              <w:bottom w:val="single" w:color="auto" w:sz="4" w:space="0"/>
              <w:right w:val="single" w:color="auto" w:sz="4" w:space="0"/>
            </w:tcBorders>
            <w:vAlign w:val="center"/>
          </w:tcPr>
          <w:p w14:paraId="26F56677">
            <w:pPr>
              <w:spacing w:before="24" w:after="24" w:line="240" w:lineRule="atLeast"/>
              <w:ind w:firstLine="200"/>
              <w:jc w:val="center"/>
              <w:rPr>
                <w:rFonts w:ascii="Times New Roman" w:hAnsi="Times New Roman" w:cs="Times New Roman"/>
                <w:b/>
                <w:sz w:val="24"/>
                <w:szCs w:val="24"/>
              </w:rPr>
            </w:pPr>
            <w:r>
              <w:rPr>
                <w:rFonts w:ascii="Times New Roman" w:hAnsi="Times New Roman" w:cs="Times New Roman"/>
                <w:sz w:val="24"/>
                <w:szCs w:val="24"/>
              </w:rPr>
              <w:t>9489kcal/Nm</w:t>
            </w:r>
            <w:r>
              <w:rPr>
                <w:rFonts w:ascii="Times New Roman" w:hAnsi="Times New Roman" w:cs="Times New Roman"/>
                <w:sz w:val="24"/>
                <w:szCs w:val="24"/>
                <w:vertAlign w:val="superscript"/>
              </w:rPr>
              <w:t>3</w:t>
            </w:r>
          </w:p>
        </w:tc>
      </w:tr>
      <w:tr w14:paraId="02228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9" w:type="dxa"/>
            <w:tcBorders>
              <w:top w:val="single" w:color="auto" w:sz="4" w:space="0"/>
              <w:left w:val="single" w:color="auto" w:sz="4" w:space="0"/>
              <w:bottom w:val="single" w:color="auto" w:sz="4" w:space="0"/>
              <w:right w:val="single" w:color="auto" w:sz="4" w:space="0"/>
            </w:tcBorders>
            <w:vAlign w:val="center"/>
          </w:tcPr>
          <w:p w14:paraId="5D83CBBB">
            <w:pPr>
              <w:spacing w:before="24" w:after="24" w:line="240" w:lineRule="atLeast"/>
              <w:jc w:val="center"/>
              <w:rPr>
                <w:rFonts w:ascii="Times New Roman" w:hAnsi="Times New Roman" w:cs="Times New Roman"/>
                <w:b/>
                <w:sz w:val="24"/>
                <w:szCs w:val="24"/>
              </w:rPr>
            </w:pPr>
            <w:r>
              <w:rPr>
                <w:rFonts w:ascii="Times New Roman" w:hAnsi="Times New Roman" w:cs="Times New Roman"/>
                <w:sz w:val="24"/>
                <w:szCs w:val="24"/>
              </w:rPr>
              <w:t>3</w:t>
            </w:r>
          </w:p>
        </w:tc>
        <w:tc>
          <w:tcPr>
            <w:tcW w:w="2831" w:type="dxa"/>
            <w:tcBorders>
              <w:top w:val="single" w:color="auto" w:sz="4" w:space="0"/>
              <w:left w:val="single" w:color="auto" w:sz="4" w:space="0"/>
              <w:bottom w:val="single" w:color="auto" w:sz="4" w:space="0"/>
              <w:right w:val="single" w:color="auto" w:sz="4" w:space="0"/>
            </w:tcBorders>
            <w:vAlign w:val="center"/>
          </w:tcPr>
          <w:p w14:paraId="242BABD0">
            <w:pPr>
              <w:spacing w:before="24" w:after="24" w:line="240" w:lineRule="atLeast"/>
              <w:ind w:firstLine="200"/>
              <w:jc w:val="center"/>
              <w:rPr>
                <w:rFonts w:ascii="Times New Roman" w:hAnsi="Times New Roman" w:cs="Times New Roman"/>
                <w:b/>
                <w:sz w:val="24"/>
                <w:szCs w:val="24"/>
              </w:rPr>
            </w:pPr>
            <w:r>
              <w:rPr>
                <w:rFonts w:ascii="Times New Roman" w:hAnsi="Times New Roman" w:cs="Times New Roman"/>
                <w:sz w:val="24"/>
                <w:szCs w:val="24"/>
              </w:rPr>
              <w:t>平均密度（kg/Nm</w:t>
            </w:r>
            <w:r>
              <w:rPr>
                <w:rFonts w:ascii="Times New Roman" w:hAnsi="Times New Roman" w:cs="Times New Roman"/>
                <w:sz w:val="24"/>
                <w:szCs w:val="24"/>
                <w:vertAlign w:val="superscript"/>
              </w:rPr>
              <w:t>3</w:t>
            </w:r>
            <w:r>
              <w:rPr>
                <w:rFonts w:ascii="Times New Roman" w:hAnsi="Times New Roman" w:cs="Times New Roman"/>
                <w:sz w:val="24"/>
                <w:szCs w:val="24"/>
              </w:rPr>
              <w:t>）</w:t>
            </w:r>
          </w:p>
        </w:tc>
        <w:tc>
          <w:tcPr>
            <w:tcW w:w="2682" w:type="dxa"/>
            <w:tcBorders>
              <w:top w:val="single" w:color="auto" w:sz="4" w:space="0"/>
              <w:left w:val="single" w:color="auto" w:sz="4" w:space="0"/>
              <w:bottom w:val="single" w:color="auto" w:sz="4" w:space="0"/>
              <w:right w:val="single" w:color="auto" w:sz="4" w:space="0"/>
            </w:tcBorders>
            <w:vAlign w:val="center"/>
          </w:tcPr>
          <w:p w14:paraId="3A6B0D19">
            <w:pPr>
              <w:spacing w:before="24" w:after="24" w:line="240" w:lineRule="atLeast"/>
              <w:ind w:firstLine="200"/>
              <w:jc w:val="center"/>
              <w:rPr>
                <w:rFonts w:ascii="Times New Roman" w:hAnsi="Times New Roman" w:cs="Times New Roman"/>
                <w:b/>
                <w:sz w:val="24"/>
                <w:szCs w:val="24"/>
              </w:rPr>
            </w:pPr>
            <w:r>
              <w:rPr>
                <w:rFonts w:ascii="Times New Roman" w:hAnsi="Times New Roman" w:cs="Times New Roman"/>
                <w:sz w:val="24"/>
                <w:szCs w:val="24"/>
              </w:rPr>
              <w:t>0.729</w:t>
            </w:r>
          </w:p>
        </w:tc>
        <w:tc>
          <w:tcPr>
            <w:tcW w:w="2224" w:type="dxa"/>
            <w:tcBorders>
              <w:top w:val="single" w:color="auto" w:sz="4" w:space="0"/>
              <w:left w:val="single" w:color="auto" w:sz="4" w:space="0"/>
              <w:bottom w:val="single" w:color="auto" w:sz="4" w:space="0"/>
              <w:right w:val="single" w:color="auto" w:sz="4" w:space="0"/>
            </w:tcBorders>
            <w:vAlign w:val="center"/>
          </w:tcPr>
          <w:p w14:paraId="37E25D50">
            <w:pPr>
              <w:spacing w:before="24" w:after="24" w:line="240" w:lineRule="atLeast"/>
              <w:ind w:firstLine="200"/>
              <w:jc w:val="center"/>
              <w:rPr>
                <w:rFonts w:ascii="Times New Roman" w:hAnsi="Times New Roman" w:cs="Times New Roman"/>
                <w:b/>
                <w:sz w:val="24"/>
                <w:szCs w:val="24"/>
              </w:rPr>
            </w:pPr>
          </w:p>
        </w:tc>
      </w:tr>
      <w:tr w14:paraId="6EF6E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9" w:type="dxa"/>
            <w:tcBorders>
              <w:top w:val="single" w:color="auto" w:sz="4" w:space="0"/>
              <w:left w:val="single" w:color="auto" w:sz="4" w:space="0"/>
              <w:bottom w:val="single" w:color="auto" w:sz="4" w:space="0"/>
              <w:right w:val="single" w:color="auto" w:sz="4" w:space="0"/>
            </w:tcBorders>
            <w:vAlign w:val="center"/>
          </w:tcPr>
          <w:p w14:paraId="01E4FA8E">
            <w:pPr>
              <w:spacing w:before="24" w:after="24" w:line="240" w:lineRule="atLeast"/>
              <w:jc w:val="center"/>
              <w:rPr>
                <w:rFonts w:ascii="Times New Roman" w:hAnsi="Times New Roman" w:cs="Times New Roman"/>
                <w:b/>
                <w:sz w:val="24"/>
                <w:szCs w:val="24"/>
              </w:rPr>
            </w:pPr>
            <w:r>
              <w:rPr>
                <w:rFonts w:ascii="Times New Roman" w:hAnsi="Times New Roman" w:cs="Times New Roman"/>
                <w:sz w:val="24"/>
                <w:szCs w:val="24"/>
              </w:rPr>
              <w:t>4</w:t>
            </w:r>
          </w:p>
        </w:tc>
        <w:tc>
          <w:tcPr>
            <w:tcW w:w="2831" w:type="dxa"/>
            <w:tcBorders>
              <w:top w:val="single" w:color="auto" w:sz="4" w:space="0"/>
              <w:left w:val="single" w:color="auto" w:sz="4" w:space="0"/>
              <w:bottom w:val="single" w:color="auto" w:sz="4" w:space="0"/>
              <w:right w:val="single" w:color="auto" w:sz="4" w:space="0"/>
            </w:tcBorders>
            <w:vAlign w:val="center"/>
          </w:tcPr>
          <w:p w14:paraId="486CD408">
            <w:pPr>
              <w:spacing w:before="24" w:after="24" w:line="240" w:lineRule="atLeast"/>
              <w:ind w:firstLine="200"/>
              <w:jc w:val="center"/>
              <w:rPr>
                <w:rFonts w:ascii="Times New Roman" w:hAnsi="Times New Roman" w:cs="Times New Roman"/>
                <w:b/>
                <w:sz w:val="24"/>
                <w:szCs w:val="24"/>
              </w:rPr>
            </w:pPr>
            <w:r>
              <w:rPr>
                <w:rFonts w:ascii="Times New Roman" w:hAnsi="Times New Roman" w:cs="Times New Roman"/>
                <w:sz w:val="24"/>
                <w:szCs w:val="24"/>
              </w:rPr>
              <w:t>相对密度</w:t>
            </w:r>
          </w:p>
        </w:tc>
        <w:tc>
          <w:tcPr>
            <w:tcW w:w="2682" w:type="dxa"/>
            <w:tcBorders>
              <w:top w:val="single" w:color="auto" w:sz="4" w:space="0"/>
              <w:left w:val="single" w:color="auto" w:sz="4" w:space="0"/>
              <w:bottom w:val="single" w:color="auto" w:sz="4" w:space="0"/>
              <w:right w:val="single" w:color="auto" w:sz="4" w:space="0"/>
            </w:tcBorders>
            <w:vAlign w:val="center"/>
          </w:tcPr>
          <w:p w14:paraId="120F1B75">
            <w:pPr>
              <w:spacing w:before="24" w:after="24" w:line="240" w:lineRule="atLeast"/>
              <w:ind w:firstLine="200"/>
              <w:jc w:val="center"/>
              <w:rPr>
                <w:rFonts w:ascii="Times New Roman" w:hAnsi="Times New Roman" w:cs="Times New Roman"/>
                <w:b/>
                <w:sz w:val="24"/>
                <w:szCs w:val="24"/>
              </w:rPr>
            </w:pPr>
            <w:r>
              <w:rPr>
                <w:rFonts w:ascii="Times New Roman" w:hAnsi="Times New Roman" w:cs="Times New Roman"/>
                <w:sz w:val="24"/>
                <w:szCs w:val="24"/>
              </w:rPr>
              <w:t>0.564</w:t>
            </w:r>
          </w:p>
        </w:tc>
        <w:tc>
          <w:tcPr>
            <w:tcW w:w="2224" w:type="dxa"/>
            <w:tcBorders>
              <w:top w:val="single" w:color="auto" w:sz="4" w:space="0"/>
              <w:left w:val="single" w:color="auto" w:sz="4" w:space="0"/>
              <w:bottom w:val="single" w:color="auto" w:sz="4" w:space="0"/>
              <w:right w:val="single" w:color="auto" w:sz="4" w:space="0"/>
            </w:tcBorders>
            <w:vAlign w:val="center"/>
          </w:tcPr>
          <w:p w14:paraId="689D208F">
            <w:pPr>
              <w:spacing w:before="24" w:after="24" w:line="240" w:lineRule="atLeast"/>
              <w:ind w:firstLine="200"/>
              <w:jc w:val="center"/>
              <w:rPr>
                <w:rFonts w:ascii="Times New Roman" w:hAnsi="Times New Roman" w:cs="Times New Roman"/>
                <w:b/>
                <w:sz w:val="24"/>
                <w:szCs w:val="24"/>
              </w:rPr>
            </w:pPr>
            <w:r>
              <w:rPr>
                <w:rFonts w:ascii="Times New Roman" w:hAnsi="Times New Roman" w:cs="Times New Roman"/>
                <w:sz w:val="24"/>
                <w:szCs w:val="24"/>
              </w:rPr>
              <w:t>空气为1.0</w:t>
            </w:r>
          </w:p>
        </w:tc>
      </w:tr>
      <w:tr w14:paraId="2F208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9" w:type="dxa"/>
            <w:tcBorders>
              <w:top w:val="single" w:color="auto" w:sz="4" w:space="0"/>
              <w:left w:val="single" w:color="auto" w:sz="4" w:space="0"/>
              <w:bottom w:val="single" w:color="auto" w:sz="4" w:space="0"/>
              <w:right w:val="single" w:color="auto" w:sz="4" w:space="0"/>
            </w:tcBorders>
            <w:vAlign w:val="center"/>
          </w:tcPr>
          <w:p w14:paraId="11B99B76">
            <w:pPr>
              <w:spacing w:before="24" w:after="24" w:line="240" w:lineRule="atLeast"/>
              <w:jc w:val="center"/>
              <w:rPr>
                <w:rFonts w:ascii="Times New Roman" w:hAnsi="Times New Roman" w:cs="Times New Roman"/>
                <w:b/>
                <w:sz w:val="24"/>
                <w:szCs w:val="24"/>
              </w:rPr>
            </w:pPr>
            <w:r>
              <w:rPr>
                <w:rFonts w:ascii="Times New Roman" w:hAnsi="Times New Roman" w:cs="Times New Roman"/>
                <w:sz w:val="24"/>
                <w:szCs w:val="24"/>
              </w:rPr>
              <w:t>5</w:t>
            </w:r>
          </w:p>
        </w:tc>
        <w:tc>
          <w:tcPr>
            <w:tcW w:w="2831" w:type="dxa"/>
            <w:tcBorders>
              <w:top w:val="single" w:color="auto" w:sz="4" w:space="0"/>
              <w:left w:val="single" w:color="auto" w:sz="4" w:space="0"/>
              <w:bottom w:val="single" w:color="auto" w:sz="4" w:space="0"/>
              <w:right w:val="single" w:color="auto" w:sz="4" w:space="0"/>
            </w:tcBorders>
            <w:vAlign w:val="center"/>
          </w:tcPr>
          <w:p w14:paraId="188DC4FA">
            <w:pPr>
              <w:spacing w:before="24" w:after="24" w:line="240" w:lineRule="atLeast"/>
              <w:ind w:firstLine="200"/>
              <w:jc w:val="center"/>
              <w:rPr>
                <w:rFonts w:ascii="Times New Roman" w:hAnsi="Times New Roman" w:cs="Times New Roman"/>
                <w:b/>
                <w:sz w:val="24"/>
                <w:szCs w:val="24"/>
              </w:rPr>
            </w:pPr>
            <w:r>
              <w:rPr>
                <w:rFonts w:ascii="Times New Roman" w:hAnsi="Times New Roman" w:cs="Times New Roman"/>
                <w:sz w:val="24"/>
                <w:szCs w:val="24"/>
              </w:rPr>
              <w:t>运动粘度（m</w:t>
            </w:r>
            <w:r>
              <w:rPr>
                <w:rFonts w:ascii="Times New Roman" w:hAnsi="Times New Roman" w:cs="Times New Roman"/>
                <w:sz w:val="24"/>
                <w:szCs w:val="24"/>
                <w:vertAlign w:val="superscript"/>
              </w:rPr>
              <w:t>2</w:t>
            </w:r>
            <w:r>
              <w:rPr>
                <w:rFonts w:ascii="Times New Roman" w:hAnsi="Times New Roman" w:cs="Times New Roman"/>
                <w:sz w:val="24"/>
                <w:szCs w:val="24"/>
              </w:rPr>
              <w:t>/s）</w:t>
            </w:r>
          </w:p>
        </w:tc>
        <w:tc>
          <w:tcPr>
            <w:tcW w:w="2682" w:type="dxa"/>
            <w:tcBorders>
              <w:top w:val="single" w:color="auto" w:sz="4" w:space="0"/>
              <w:left w:val="single" w:color="auto" w:sz="4" w:space="0"/>
              <w:bottom w:val="single" w:color="auto" w:sz="4" w:space="0"/>
              <w:right w:val="single" w:color="auto" w:sz="4" w:space="0"/>
            </w:tcBorders>
            <w:vAlign w:val="center"/>
          </w:tcPr>
          <w:p w14:paraId="11CA6CC3">
            <w:pPr>
              <w:spacing w:before="24" w:after="24" w:line="240" w:lineRule="atLeast"/>
              <w:ind w:firstLine="200"/>
              <w:jc w:val="center"/>
              <w:rPr>
                <w:rFonts w:ascii="Times New Roman" w:hAnsi="Times New Roman" w:cs="Times New Roman"/>
                <w:b/>
                <w:sz w:val="24"/>
                <w:szCs w:val="24"/>
              </w:rPr>
            </w:pPr>
            <w:r>
              <w:rPr>
                <w:rFonts w:ascii="Times New Roman" w:hAnsi="Times New Roman" w:cs="Times New Roman"/>
                <w:sz w:val="24"/>
                <w:szCs w:val="24"/>
              </w:rPr>
              <w:t>13.69×10-6</w:t>
            </w:r>
          </w:p>
        </w:tc>
        <w:tc>
          <w:tcPr>
            <w:tcW w:w="2224" w:type="dxa"/>
            <w:tcBorders>
              <w:top w:val="single" w:color="auto" w:sz="4" w:space="0"/>
              <w:left w:val="single" w:color="auto" w:sz="4" w:space="0"/>
              <w:bottom w:val="single" w:color="auto" w:sz="4" w:space="0"/>
              <w:right w:val="single" w:color="auto" w:sz="4" w:space="0"/>
            </w:tcBorders>
            <w:vAlign w:val="center"/>
          </w:tcPr>
          <w:p w14:paraId="1DBB2253">
            <w:pPr>
              <w:spacing w:before="24" w:after="24" w:line="240" w:lineRule="atLeast"/>
              <w:ind w:firstLine="200"/>
              <w:jc w:val="center"/>
              <w:rPr>
                <w:rFonts w:ascii="Times New Roman" w:hAnsi="Times New Roman" w:cs="Times New Roman"/>
                <w:b/>
                <w:sz w:val="24"/>
                <w:szCs w:val="24"/>
              </w:rPr>
            </w:pPr>
          </w:p>
        </w:tc>
      </w:tr>
      <w:tr w14:paraId="2B74B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49" w:type="dxa"/>
            <w:tcBorders>
              <w:top w:val="single" w:color="auto" w:sz="4" w:space="0"/>
              <w:left w:val="single" w:color="auto" w:sz="4" w:space="0"/>
              <w:bottom w:val="single" w:color="auto" w:sz="4" w:space="0"/>
              <w:right w:val="single" w:color="auto" w:sz="4" w:space="0"/>
            </w:tcBorders>
            <w:vAlign w:val="center"/>
          </w:tcPr>
          <w:p w14:paraId="0DF8EA39">
            <w:pPr>
              <w:spacing w:before="24" w:after="24" w:line="240" w:lineRule="atLeast"/>
              <w:jc w:val="center"/>
              <w:rPr>
                <w:rFonts w:ascii="Times New Roman" w:hAnsi="Times New Roman" w:cs="Times New Roman"/>
                <w:b/>
                <w:sz w:val="24"/>
                <w:szCs w:val="24"/>
              </w:rPr>
            </w:pPr>
            <w:r>
              <w:rPr>
                <w:rFonts w:ascii="Times New Roman" w:hAnsi="Times New Roman" w:cs="Times New Roman"/>
                <w:sz w:val="24"/>
                <w:szCs w:val="24"/>
              </w:rPr>
              <w:t>6</w:t>
            </w:r>
          </w:p>
        </w:tc>
        <w:tc>
          <w:tcPr>
            <w:tcW w:w="2831" w:type="dxa"/>
            <w:tcBorders>
              <w:top w:val="single" w:color="auto" w:sz="4" w:space="0"/>
              <w:left w:val="single" w:color="auto" w:sz="4" w:space="0"/>
              <w:bottom w:val="single" w:color="auto" w:sz="4" w:space="0"/>
              <w:right w:val="single" w:color="auto" w:sz="4" w:space="0"/>
            </w:tcBorders>
            <w:vAlign w:val="center"/>
          </w:tcPr>
          <w:p w14:paraId="213E3CF7">
            <w:pPr>
              <w:spacing w:before="24" w:after="24" w:line="240" w:lineRule="atLeast"/>
              <w:ind w:firstLine="200"/>
              <w:jc w:val="center"/>
              <w:rPr>
                <w:rFonts w:ascii="Times New Roman" w:hAnsi="Times New Roman" w:cs="Times New Roman"/>
                <w:b/>
                <w:sz w:val="24"/>
                <w:szCs w:val="24"/>
              </w:rPr>
            </w:pPr>
            <w:r>
              <w:rPr>
                <w:rFonts w:ascii="Times New Roman" w:hAnsi="Times New Roman" w:cs="Times New Roman"/>
                <w:sz w:val="24"/>
                <w:szCs w:val="24"/>
              </w:rPr>
              <w:t>华白数（MJ/Nm</w:t>
            </w:r>
            <w:r>
              <w:rPr>
                <w:rFonts w:ascii="Times New Roman" w:hAnsi="Times New Roman" w:cs="Times New Roman"/>
                <w:sz w:val="24"/>
                <w:szCs w:val="24"/>
                <w:vertAlign w:val="superscript"/>
              </w:rPr>
              <w:t>3</w:t>
            </w:r>
            <w:r>
              <w:rPr>
                <w:rFonts w:ascii="Times New Roman" w:hAnsi="Times New Roman" w:cs="Times New Roman"/>
                <w:sz w:val="24"/>
                <w:szCs w:val="24"/>
              </w:rPr>
              <w:t>）</w:t>
            </w:r>
          </w:p>
        </w:tc>
        <w:tc>
          <w:tcPr>
            <w:tcW w:w="2682" w:type="dxa"/>
            <w:tcBorders>
              <w:top w:val="single" w:color="auto" w:sz="4" w:space="0"/>
              <w:left w:val="single" w:color="auto" w:sz="4" w:space="0"/>
              <w:bottom w:val="single" w:color="auto" w:sz="4" w:space="0"/>
              <w:right w:val="single" w:color="auto" w:sz="4" w:space="0"/>
            </w:tcBorders>
            <w:vAlign w:val="center"/>
          </w:tcPr>
          <w:p w14:paraId="6BB5824E">
            <w:pPr>
              <w:spacing w:before="24" w:after="24" w:line="240" w:lineRule="atLeast"/>
              <w:ind w:firstLine="200"/>
              <w:jc w:val="center"/>
              <w:rPr>
                <w:rFonts w:ascii="Times New Roman" w:hAnsi="Times New Roman" w:cs="Times New Roman"/>
                <w:b/>
                <w:sz w:val="24"/>
                <w:szCs w:val="24"/>
              </w:rPr>
            </w:pPr>
            <w:r>
              <w:rPr>
                <w:rFonts w:ascii="Times New Roman" w:hAnsi="Times New Roman" w:cs="Times New Roman"/>
                <w:sz w:val="24"/>
                <w:szCs w:val="24"/>
              </w:rPr>
              <w:t>47.75</w:t>
            </w:r>
          </w:p>
        </w:tc>
        <w:tc>
          <w:tcPr>
            <w:tcW w:w="2224" w:type="dxa"/>
            <w:tcBorders>
              <w:top w:val="single" w:color="auto" w:sz="4" w:space="0"/>
              <w:left w:val="single" w:color="auto" w:sz="4" w:space="0"/>
              <w:bottom w:val="single" w:color="auto" w:sz="4" w:space="0"/>
              <w:right w:val="single" w:color="auto" w:sz="4" w:space="0"/>
            </w:tcBorders>
            <w:vAlign w:val="center"/>
          </w:tcPr>
          <w:p w14:paraId="2D54DB7B">
            <w:pPr>
              <w:spacing w:before="24" w:after="24" w:line="240" w:lineRule="atLeast"/>
              <w:ind w:firstLine="200"/>
              <w:jc w:val="center"/>
              <w:rPr>
                <w:rFonts w:ascii="Times New Roman" w:hAnsi="Times New Roman" w:cs="Times New Roman"/>
                <w:b/>
                <w:sz w:val="24"/>
                <w:szCs w:val="24"/>
              </w:rPr>
            </w:pPr>
          </w:p>
        </w:tc>
      </w:tr>
      <w:tr w14:paraId="56E1B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9" w:type="dxa"/>
            <w:tcBorders>
              <w:top w:val="single" w:color="auto" w:sz="4" w:space="0"/>
              <w:left w:val="single" w:color="auto" w:sz="4" w:space="0"/>
              <w:bottom w:val="single" w:color="auto" w:sz="4" w:space="0"/>
              <w:right w:val="single" w:color="auto" w:sz="4" w:space="0"/>
            </w:tcBorders>
            <w:vAlign w:val="center"/>
          </w:tcPr>
          <w:p w14:paraId="385B30F2">
            <w:pPr>
              <w:spacing w:before="24" w:after="24" w:line="240" w:lineRule="atLeast"/>
              <w:jc w:val="center"/>
              <w:rPr>
                <w:rFonts w:ascii="Times New Roman" w:hAnsi="Times New Roman" w:cs="Times New Roman"/>
                <w:b/>
                <w:sz w:val="24"/>
                <w:szCs w:val="24"/>
              </w:rPr>
            </w:pPr>
            <w:r>
              <w:rPr>
                <w:rFonts w:ascii="Times New Roman" w:hAnsi="Times New Roman" w:cs="Times New Roman"/>
                <w:sz w:val="24"/>
                <w:szCs w:val="24"/>
              </w:rPr>
              <w:t>7</w:t>
            </w:r>
          </w:p>
        </w:tc>
        <w:tc>
          <w:tcPr>
            <w:tcW w:w="2831" w:type="dxa"/>
            <w:tcBorders>
              <w:top w:val="single" w:color="auto" w:sz="4" w:space="0"/>
              <w:left w:val="single" w:color="auto" w:sz="4" w:space="0"/>
              <w:bottom w:val="single" w:color="auto" w:sz="4" w:space="0"/>
              <w:right w:val="single" w:color="auto" w:sz="4" w:space="0"/>
            </w:tcBorders>
            <w:vAlign w:val="center"/>
          </w:tcPr>
          <w:p w14:paraId="1D717B53">
            <w:pPr>
              <w:spacing w:before="24" w:after="24" w:line="240" w:lineRule="atLeast"/>
              <w:ind w:firstLine="200"/>
              <w:jc w:val="center"/>
              <w:rPr>
                <w:rFonts w:ascii="Times New Roman" w:hAnsi="Times New Roman" w:cs="Times New Roman"/>
                <w:b/>
                <w:sz w:val="24"/>
                <w:szCs w:val="24"/>
              </w:rPr>
            </w:pPr>
            <w:r>
              <w:rPr>
                <w:rFonts w:ascii="Times New Roman" w:hAnsi="Times New Roman" w:cs="Times New Roman"/>
                <w:sz w:val="24"/>
                <w:szCs w:val="24"/>
              </w:rPr>
              <w:t>燃烧势</w:t>
            </w:r>
          </w:p>
        </w:tc>
        <w:tc>
          <w:tcPr>
            <w:tcW w:w="2682" w:type="dxa"/>
            <w:tcBorders>
              <w:top w:val="single" w:color="auto" w:sz="4" w:space="0"/>
              <w:left w:val="single" w:color="auto" w:sz="4" w:space="0"/>
              <w:bottom w:val="single" w:color="auto" w:sz="4" w:space="0"/>
              <w:right w:val="single" w:color="auto" w:sz="4" w:space="0"/>
            </w:tcBorders>
            <w:vAlign w:val="center"/>
          </w:tcPr>
          <w:p w14:paraId="2594D69A">
            <w:pPr>
              <w:spacing w:before="24" w:after="24" w:line="240" w:lineRule="atLeast"/>
              <w:ind w:firstLine="200"/>
              <w:jc w:val="center"/>
              <w:rPr>
                <w:rFonts w:ascii="Times New Roman" w:hAnsi="Times New Roman" w:cs="Times New Roman"/>
                <w:b/>
                <w:sz w:val="24"/>
                <w:szCs w:val="24"/>
              </w:rPr>
            </w:pPr>
            <w:r>
              <w:rPr>
                <w:rFonts w:ascii="Times New Roman" w:hAnsi="Times New Roman" w:cs="Times New Roman"/>
                <w:sz w:val="24"/>
                <w:szCs w:val="24"/>
              </w:rPr>
              <w:t>39.72</w:t>
            </w:r>
          </w:p>
        </w:tc>
        <w:tc>
          <w:tcPr>
            <w:tcW w:w="2224" w:type="dxa"/>
            <w:tcBorders>
              <w:top w:val="single" w:color="auto" w:sz="4" w:space="0"/>
              <w:left w:val="single" w:color="auto" w:sz="4" w:space="0"/>
              <w:bottom w:val="single" w:color="auto" w:sz="4" w:space="0"/>
              <w:right w:val="single" w:color="auto" w:sz="4" w:space="0"/>
            </w:tcBorders>
            <w:vAlign w:val="center"/>
          </w:tcPr>
          <w:p w14:paraId="59F9954E">
            <w:pPr>
              <w:spacing w:before="24" w:after="24" w:line="240" w:lineRule="atLeast"/>
              <w:ind w:firstLine="200"/>
              <w:jc w:val="center"/>
              <w:rPr>
                <w:rFonts w:ascii="Times New Roman" w:hAnsi="Times New Roman" w:cs="Times New Roman"/>
                <w:b/>
                <w:sz w:val="24"/>
                <w:szCs w:val="24"/>
              </w:rPr>
            </w:pPr>
          </w:p>
        </w:tc>
      </w:tr>
      <w:tr w14:paraId="7FE3F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49" w:type="dxa"/>
            <w:tcBorders>
              <w:top w:val="single" w:color="auto" w:sz="4" w:space="0"/>
              <w:left w:val="single" w:color="auto" w:sz="4" w:space="0"/>
              <w:bottom w:val="single" w:color="auto" w:sz="4" w:space="0"/>
              <w:right w:val="single" w:color="auto" w:sz="4" w:space="0"/>
            </w:tcBorders>
            <w:vAlign w:val="center"/>
          </w:tcPr>
          <w:p w14:paraId="2C22BB7E">
            <w:pPr>
              <w:spacing w:before="24" w:after="24" w:line="240" w:lineRule="atLeast"/>
              <w:jc w:val="center"/>
              <w:rPr>
                <w:rFonts w:ascii="Times New Roman" w:hAnsi="Times New Roman" w:cs="Times New Roman"/>
                <w:b/>
                <w:sz w:val="24"/>
                <w:szCs w:val="24"/>
              </w:rPr>
            </w:pPr>
            <w:r>
              <w:rPr>
                <w:rFonts w:ascii="Times New Roman" w:hAnsi="Times New Roman" w:cs="Times New Roman"/>
                <w:sz w:val="24"/>
                <w:szCs w:val="24"/>
              </w:rPr>
              <w:t>8</w:t>
            </w:r>
          </w:p>
        </w:tc>
        <w:tc>
          <w:tcPr>
            <w:tcW w:w="2831" w:type="dxa"/>
            <w:tcBorders>
              <w:top w:val="single" w:color="auto" w:sz="4" w:space="0"/>
              <w:left w:val="single" w:color="auto" w:sz="4" w:space="0"/>
              <w:bottom w:val="single" w:color="auto" w:sz="4" w:space="0"/>
              <w:right w:val="single" w:color="auto" w:sz="4" w:space="0"/>
            </w:tcBorders>
            <w:vAlign w:val="center"/>
          </w:tcPr>
          <w:p w14:paraId="4B7FA1B2">
            <w:pPr>
              <w:spacing w:before="24" w:after="24" w:line="240" w:lineRule="atLeast"/>
              <w:ind w:firstLine="200"/>
              <w:jc w:val="center"/>
              <w:rPr>
                <w:rFonts w:ascii="Times New Roman" w:hAnsi="Times New Roman" w:cs="Times New Roman"/>
                <w:b/>
                <w:sz w:val="24"/>
                <w:szCs w:val="24"/>
              </w:rPr>
            </w:pPr>
            <w:r>
              <w:rPr>
                <w:rFonts w:ascii="Times New Roman" w:hAnsi="Times New Roman" w:cs="Times New Roman"/>
                <w:sz w:val="24"/>
                <w:szCs w:val="24"/>
              </w:rPr>
              <w:t>爆炸极限（%）</w:t>
            </w:r>
          </w:p>
        </w:tc>
        <w:tc>
          <w:tcPr>
            <w:tcW w:w="2682" w:type="dxa"/>
            <w:tcBorders>
              <w:top w:val="single" w:color="auto" w:sz="4" w:space="0"/>
              <w:left w:val="single" w:color="auto" w:sz="4" w:space="0"/>
              <w:bottom w:val="single" w:color="auto" w:sz="4" w:space="0"/>
              <w:right w:val="single" w:color="auto" w:sz="4" w:space="0"/>
            </w:tcBorders>
            <w:vAlign w:val="center"/>
          </w:tcPr>
          <w:p w14:paraId="7A6B0A18">
            <w:pPr>
              <w:spacing w:before="24" w:after="24" w:line="240" w:lineRule="atLeast"/>
              <w:ind w:firstLine="200"/>
              <w:jc w:val="center"/>
              <w:rPr>
                <w:rFonts w:ascii="Times New Roman" w:hAnsi="Times New Roman" w:cs="Times New Roman"/>
                <w:b/>
                <w:sz w:val="24"/>
                <w:szCs w:val="24"/>
              </w:rPr>
            </w:pPr>
            <w:r>
              <w:rPr>
                <w:rFonts w:ascii="Times New Roman" w:hAnsi="Times New Roman" w:cs="Times New Roman"/>
                <w:sz w:val="24"/>
                <w:szCs w:val="24"/>
              </w:rPr>
              <w:t>4.98～14.98</w:t>
            </w:r>
          </w:p>
        </w:tc>
        <w:tc>
          <w:tcPr>
            <w:tcW w:w="2224" w:type="dxa"/>
            <w:tcBorders>
              <w:top w:val="single" w:color="auto" w:sz="4" w:space="0"/>
              <w:left w:val="single" w:color="auto" w:sz="4" w:space="0"/>
              <w:bottom w:val="single" w:color="auto" w:sz="4" w:space="0"/>
              <w:right w:val="single" w:color="auto" w:sz="4" w:space="0"/>
            </w:tcBorders>
            <w:vAlign w:val="center"/>
          </w:tcPr>
          <w:p w14:paraId="776F3227">
            <w:pPr>
              <w:spacing w:before="24" w:after="24" w:line="240" w:lineRule="atLeast"/>
              <w:ind w:firstLine="200"/>
              <w:jc w:val="center"/>
              <w:rPr>
                <w:rFonts w:ascii="Times New Roman" w:hAnsi="Times New Roman" w:cs="Times New Roman"/>
                <w:b/>
                <w:sz w:val="24"/>
                <w:szCs w:val="24"/>
              </w:rPr>
            </w:pPr>
            <w:r>
              <w:rPr>
                <w:rFonts w:ascii="Times New Roman" w:hAnsi="Times New Roman" w:cs="Times New Roman"/>
                <w:sz w:val="24"/>
                <w:szCs w:val="24"/>
              </w:rPr>
              <w:t>20℃</w:t>
            </w:r>
          </w:p>
        </w:tc>
      </w:tr>
    </w:tbl>
    <w:p w14:paraId="669566C7">
      <w:pPr>
        <w:spacing w:before="24" w:after="24"/>
        <w:ind w:firstLine="560" w:firstLineChars="200"/>
        <w:rPr>
          <w:rFonts w:ascii="Times New Roman" w:hAnsi="Times New Roman" w:cs="Times New Roman"/>
        </w:rPr>
      </w:pPr>
      <w:r>
        <w:rPr>
          <w:rFonts w:ascii="Times New Roman" w:hAnsi="Times New Roman" w:cs="Times New Roman"/>
        </w:rPr>
        <w:t>10.7.2地下燃气管道与构筑物或相邻管道之间水平净距（m）</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2"/>
        <w:gridCol w:w="1445"/>
        <w:gridCol w:w="1261"/>
        <w:gridCol w:w="1261"/>
        <w:gridCol w:w="1260"/>
        <w:gridCol w:w="1305"/>
        <w:gridCol w:w="1261"/>
      </w:tblGrid>
      <w:tr w14:paraId="7F1AA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837" w:type="dxa"/>
            <w:gridSpan w:val="2"/>
            <w:vMerge w:val="restart"/>
            <w:vAlign w:val="center"/>
          </w:tcPr>
          <w:p w14:paraId="0C94CE37">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项目</w:t>
            </w:r>
          </w:p>
        </w:tc>
        <w:tc>
          <w:tcPr>
            <w:tcW w:w="6348" w:type="dxa"/>
            <w:gridSpan w:val="5"/>
            <w:vAlign w:val="center"/>
          </w:tcPr>
          <w:p w14:paraId="43B7D95D">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地下燃气管道</w:t>
            </w:r>
          </w:p>
        </w:tc>
      </w:tr>
      <w:tr w14:paraId="5EFCF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837" w:type="dxa"/>
            <w:gridSpan w:val="2"/>
            <w:vMerge w:val="continue"/>
            <w:vAlign w:val="center"/>
          </w:tcPr>
          <w:p w14:paraId="3C69649B">
            <w:pPr>
              <w:spacing w:before="24" w:after="24" w:line="240" w:lineRule="atLeast"/>
              <w:ind w:firstLine="200"/>
              <w:jc w:val="center"/>
              <w:rPr>
                <w:rFonts w:ascii="Times New Roman" w:hAnsi="Times New Roman" w:cs="Times New Roman"/>
                <w:sz w:val="24"/>
                <w:szCs w:val="24"/>
              </w:rPr>
            </w:pPr>
          </w:p>
        </w:tc>
        <w:tc>
          <w:tcPr>
            <w:tcW w:w="1261" w:type="dxa"/>
            <w:vMerge w:val="restart"/>
            <w:vAlign w:val="center"/>
          </w:tcPr>
          <w:p w14:paraId="32456959">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低压</w:t>
            </w:r>
          </w:p>
        </w:tc>
        <w:tc>
          <w:tcPr>
            <w:tcW w:w="2521" w:type="dxa"/>
            <w:gridSpan w:val="2"/>
            <w:vAlign w:val="center"/>
          </w:tcPr>
          <w:p w14:paraId="2BE74969">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中压</w:t>
            </w:r>
          </w:p>
        </w:tc>
        <w:tc>
          <w:tcPr>
            <w:tcW w:w="2566" w:type="dxa"/>
            <w:gridSpan w:val="2"/>
            <w:vAlign w:val="center"/>
          </w:tcPr>
          <w:p w14:paraId="62F7FEF5">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次高压</w:t>
            </w:r>
          </w:p>
        </w:tc>
      </w:tr>
      <w:tr w14:paraId="50BCA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837" w:type="dxa"/>
            <w:gridSpan w:val="2"/>
            <w:vMerge w:val="continue"/>
            <w:vAlign w:val="center"/>
          </w:tcPr>
          <w:p w14:paraId="29B315A0">
            <w:pPr>
              <w:spacing w:before="24" w:after="24" w:line="240" w:lineRule="atLeast"/>
              <w:ind w:firstLine="200"/>
              <w:jc w:val="center"/>
              <w:rPr>
                <w:rFonts w:ascii="Times New Roman" w:hAnsi="Times New Roman" w:cs="Times New Roman"/>
                <w:sz w:val="24"/>
                <w:szCs w:val="24"/>
              </w:rPr>
            </w:pPr>
          </w:p>
        </w:tc>
        <w:tc>
          <w:tcPr>
            <w:tcW w:w="1261" w:type="dxa"/>
            <w:vMerge w:val="continue"/>
            <w:vAlign w:val="center"/>
          </w:tcPr>
          <w:p w14:paraId="565176B0">
            <w:pPr>
              <w:spacing w:before="24" w:after="24" w:line="240" w:lineRule="atLeast"/>
              <w:ind w:firstLine="200"/>
              <w:jc w:val="center"/>
              <w:rPr>
                <w:rFonts w:ascii="Times New Roman" w:hAnsi="Times New Roman" w:cs="Times New Roman"/>
                <w:sz w:val="24"/>
                <w:szCs w:val="24"/>
              </w:rPr>
            </w:pPr>
          </w:p>
        </w:tc>
        <w:tc>
          <w:tcPr>
            <w:tcW w:w="1261" w:type="dxa"/>
            <w:vAlign w:val="center"/>
          </w:tcPr>
          <w:p w14:paraId="0E43166E">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B</w:t>
            </w:r>
          </w:p>
        </w:tc>
        <w:tc>
          <w:tcPr>
            <w:tcW w:w="1260" w:type="dxa"/>
            <w:vAlign w:val="center"/>
          </w:tcPr>
          <w:p w14:paraId="3EC0414B">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A</w:t>
            </w:r>
          </w:p>
        </w:tc>
        <w:tc>
          <w:tcPr>
            <w:tcW w:w="1305" w:type="dxa"/>
            <w:vAlign w:val="center"/>
          </w:tcPr>
          <w:p w14:paraId="7095B116">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B</w:t>
            </w:r>
          </w:p>
        </w:tc>
        <w:tc>
          <w:tcPr>
            <w:tcW w:w="1261" w:type="dxa"/>
            <w:vAlign w:val="center"/>
          </w:tcPr>
          <w:p w14:paraId="39B786D6">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A</w:t>
            </w:r>
          </w:p>
        </w:tc>
      </w:tr>
      <w:tr w14:paraId="24253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0" w:hRule="atLeast"/>
          <w:jc w:val="center"/>
        </w:trPr>
        <w:tc>
          <w:tcPr>
            <w:tcW w:w="1392" w:type="dxa"/>
            <w:vMerge w:val="restart"/>
            <w:vAlign w:val="center"/>
          </w:tcPr>
          <w:p w14:paraId="700627A8">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建筑物的</w:t>
            </w:r>
          </w:p>
        </w:tc>
        <w:tc>
          <w:tcPr>
            <w:tcW w:w="1445" w:type="dxa"/>
            <w:vAlign w:val="center"/>
          </w:tcPr>
          <w:p w14:paraId="372C5BAE">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基础</w:t>
            </w:r>
          </w:p>
        </w:tc>
        <w:tc>
          <w:tcPr>
            <w:tcW w:w="1261" w:type="dxa"/>
            <w:vAlign w:val="center"/>
          </w:tcPr>
          <w:p w14:paraId="3BC60198">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0.7</w:t>
            </w:r>
          </w:p>
        </w:tc>
        <w:tc>
          <w:tcPr>
            <w:tcW w:w="1261" w:type="dxa"/>
            <w:vAlign w:val="center"/>
          </w:tcPr>
          <w:p w14:paraId="363806D3">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1.0</w:t>
            </w:r>
          </w:p>
        </w:tc>
        <w:tc>
          <w:tcPr>
            <w:tcW w:w="1260" w:type="dxa"/>
            <w:vAlign w:val="center"/>
          </w:tcPr>
          <w:p w14:paraId="1E6AA7FE">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1.5</w:t>
            </w:r>
          </w:p>
        </w:tc>
        <w:tc>
          <w:tcPr>
            <w:tcW w:w="1305" w:type="dxa"/>
            <w:vAlign w:val="center"/>
          </w:tcPr>
          <w:p w14:paraId="7CBB7EDB">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w:t>
            </w:r>
          </w:p>
        </w:tc>
        <w:tc>
          <w:tcPr>
            <w:tcW w:w="1261" w:type="dxa"/>
            <w:vAlign w:val="center"/>
          </w:tcPr>
          <w:p w14:paraId="3FFE919E">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w:t>
            </w:r>
          </w:p>
        </w:tc>
      </w:tr>
      <w:tr w14:paraId="76209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392" w:type="dxa"/>
            <w:vMerge w:val="continue"/>
            <w:vAlign w:val="center"/>
          </w:tcPr>
          <w:p w14:paraId="41B6A0D1">
            <w:pPr>
              <w:spacing w:before="24" w:after="24" w:line="240" w:lineRule="atLeast"/>
              <w:ind w:firstLine="200"/>
              <w:jc w:val="center"/>
              <w:rPr>
                <w:rFonts w:ascii="Times New Roman" w:hAnsi="Times New Roman" w:cs="Times New Roman"/>
                <w:sz w:val="24"/>
                <w:szCs w:val="24"/>
              </w:rPr>
            </w:pPr>
          </w:p>
        </w:tc>
        <w:tc>
          <w:tcPr>
            <w:tcW w:w="1445" w:type="dxa"/>
            <w:vAlign w:val="center"/>
          </w:tcPr>
          <w:p w14:paraId="164443AD">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外墙面（出地面处）</w:t>
            </w:r>
          </w:p>
        </w:tc>
        <w:tc>
          <w:tcPr>
            <w:tcW w:w="1261" w:type="dxa"/>
            <w:vAlign w:val="center"/>
          </w:tcPr>
          <w:p w14:paraId="53E4FDD7">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w:t>
            </w:r>
          </w:p>
        </w:tc>
        <w:tc>
          <w:tcPr>
            <w:tcW w:w="1261" w:type="dxa"/>
            <w:vAlign w:val="center"/>
          </w:tcPr>
          <w:p w14:paraId="12EB1193">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w:t>
            </w:r>
          </w:p>
        </w:tc>
        <w:tc>
          <w:tcPr>
            <w:tcW w:w="1260" w:type="dxa"/>
            <w:vAlign w:val="center"/>
          </w:tcPr>
          <w:p w14:paraId="5F0E0087">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w:t>
            </w:r>
          </w:p>
        </w:tc>
        <w:tc>
          <w:tcPr>
            <w:tcW w:w="1305" w:type="dxa"/>
            <w:vAlign w:val="center"/>
          </w:tcPr>
          <w:p w14:paraId="373729DD">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5.0</w:t>
            </w:r>
          </w:p>
        </w:tc>
        <w:tc>
          <w:tcPr>
            <w:tcW w:w="1261" w:type="dxa"/>
            <w:vAlign w:val="center"/>
          </w:tcPr>
          <w:p w14:paraId="5A4DCF90">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13.5</w:t>
            </w:r>
          </w:p>
        </w:tc>
      </w:tr>
      <w:tr w14:paraId="72075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837" w:type="dxa"/>
            <w:gridSpan w:val="2"/>
            <w:vAlign w:val="center"/>
          </w:tcPr>
          <w:p w14:paraId="5C4EECCA">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给水管</w:t>
            </w:r>
          </w:p>
        </w:tc>
        <w:tc>
          <w:tcPr>
            <w:tcW w:w="1261" w:type="dxa"/>
            <w:vAlign w:val="center"/>
          </w:tcPr>
          <w:p w14:paraId="5ADED886">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0.5</w:t>
            </w:r>
          </w:p>
        </w:tc>
        <w:tc>
          <w:tcPr>
            <w:tcW w:w="1261" w:type="dxa"/>
            <w:vAlign w:val="center"/>
          </w:tcPr>
          <w:p w14:paraId="32257009">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0.5</w:t>
            </w:r>
          </w:p>
        </w:tc>
        <w:tc>
          <w:tcPr>
            <w:tcW w:w="1260" w:type="dxa"/>
            <w:vAlign w:val="center"/>
          </w:tcPr>
          <w:p w14:paraId="6147DD90">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0.5</w:t>
            </w:r>
          </w:p>
        </w:tc>
        <w:tc>
          <w:tcPr>
            <w:tcW w:w="1305" w:type="dxa"/>
            <w:vAlign w:val="center"/>
          </w:tcPr>
          <w:p w14:paraId="1D0BC46B">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1.0</w:t>
            </w:r>
          </w:p>
        </w:tc>
        <w:tc>
          <w:tcPr>
            <w:tcW w:w="1261" w:type="dxa"/>
            <w:vAlign w:val="center"/>
          </w:tcPr>
          <w:p w14:paraId="677AEDF2">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1.5</w:t>
            </w:r>
          </w:p>
        </w:tc>
      </w:tr>
      <w:tr w14:paraId="4FE18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837" w:type="dxa"/>
            <w:gridSpan w:val="2"/>
            <w:vAlign w:val="center"/>
          </w:tcPr>
          <w:p w14:paraId="1F66BB41">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污水、雨水排水管</w:t>
            </w:r>
          </w:p>
        </w:tc>
        <w:tc>
          <w:tcPr>
            <w:tcW w:w="1261" w:type="dxa"/>
            <w:vAlign w:val="center"/>
          </w:tcPr>
          <w:p w14:paraId="432A6EED">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1.0</w:t>
            </w:r>
          </w:p>
        </w:tc>
        <w:tc>
          <w:tcPr>
            <w:tcW w:w="1261" w:type="dxa"/>
            <w:vAlign w:val="center"/>
          </w:tcPr>
          <w:p w14:paraId="4DEE4A6C">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1.2</w:t>
            </w:r>
          </w:p>
        </w:tc>
        <w:tc>
          <w:tcPr>
            <w:tcW w:w="1260" w:type="dxa"/>
            <w:vAlign w:val="center"/>
          </w:tcPr>
          <w:p w14:paraId="49A9E049">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1.2</w:t>
            </w:r>
          </w:p>
        </w:tc>
        <w:tc>
          <w:tcPr>
            <w:tcW w:w="1305" w:type="dxa"/>
            <w:vAlign w:val="center"/>
          </w:tcPr>
          <w:p w14:paraId="150E1C33">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1.5</w:t>
            </w:r>
          </w:p>
        </w:tc>
        <w:tc>
          <w:tcPr>
            <w:tcW w:w="1261" w:type="dxa"/>
            <w:vAlign w:val="center"/>
          </w:tcPr>
          <w:p w14:paraId="595C9589">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2.0</w:t>
            </w:r>
          </w:p>
        </w:tc>
      </w:tr>
      <w:tr w14:paraId="6B650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392" w:type="dxa"/>
            <w:vMerge w:val="restart"/>
            <w:vAlign w:val="center"/>
          </w:tcPr>
          <w:p w14:paraId="1B08B914">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电力电缆（含电车电缆）</w:t>
            </w:r>
          </w:p>
        </w:tc>
        <w:tc>
          <w:tcPr>
            <w:tcW w:w="1445" w:type="dxa"/>
            <w:vAlign w:val="center"/>
          </w:tcPr>
          <w:p w14:paraId="38B0E711">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直埋</w:t>
            </w:r>
          </w:p>
        </w:tc>
        <w:tc>
          <w:tcPr>
            <w:tcW w:w="1261" w:type="dxa"/>
            <w:vAlign w:val="center"/>
          </w:tcPr>
          <w:p w14:paraId="759D56DB">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0.5</w:t>
            </w:r>
          </w:p>
        </w:tc>
        <w:tc>
          <w:tcPr>
            <w:tcW w:w="1261" w:type="dxa"/>
            <w:vAlign w:val="center"/>
          </w:tcPr>
          <w:p w14:paraId="301A0E0A">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0.5</w:t>
            </w:r>
          </w:p>
        </w:tc>
        <w:tc>
          <w:tcPr>
            <w:tcW w:w="1260" w:type="dxa"/>
            <w:vAlign w:val="center"/>
          </w:tcPr>
          <w:p w14:paraId="7299607C">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0.5</w:t>
            </w:r>
          </w:p>
        </w:tc>
        <w:tc>
          <w:tcPr>
            <w:tcW w:w="1305" w:type="dxa"/>
            <w:vAlign w:val="center"/>
          </w:tcPr>
          <w:p w14:paraId="01176080">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1.0</w:t>
            </w:r>
          </w:p>
        </w:tc>
        <w:tc>
          <w:tcPr>
            <w:tcW w:w="1261" w:type="dxa"/>
            <w:vAlign w:val="center"/>
          </w:tcPr>
          <w:p w14:paraId="78DDADE4">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1.5</w:t>
            </w:r>
          </w:p>
        </w:tc>
      </w:tr>
      <w:tr w14:paraId="71393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392" w:type="dxa"/>
            <w:vMerge w:val="continue"/>
            <w:vAlign w:val="center"/>
          </w:tcPr>
          <w:p w14:paraId="1DF69D02">
            <w:pPr>
              <w:spacing w:before="24" w:after="24" w:line="240" w:lineRule="atLeast"/>
              <w:ind w:firstLine="200"/>
              <w:jc w:val="center"/>
              <w:rPr>
                <w:rFonts w:ascii="Times New Roman" w:hAnsi="Times New Roman" w:cs="Times New Roman"/>
                <w:sz w:val="24"/>
                <w:szCs w:val="24"/>
              </w:rPr>
            </w:pPr>
          </w:p>
        </w:tc>
        <w:tc>
          <w:tcPr>
            <w:tcW w:w="1445" w:type="dxa"/>
            <w:vAlign w:val="center"/>
          </w:tcPr>
          <w:p w14:paraId="18F20B4E">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在导管内</w:t>
            </w:r>
          </w:p>
        </w:tc>
        <w:tc>
          <w:tcPr>
            <w:tcW w:w="1261" w:type="dxa"/>
            <w:vAlign w:val="center"/>
          </w:tcPr>
          <w:p w14:paraId="18A85DF2">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1.0</w:t>
            </w:r>
          </w:p>
        </w:tc>
        <w:tc>
          <w:tcPr>
            <w:tcW w:w="1261" w:type="dxa"/>
            <w:vAlign w:val="center"/>
          </w:tcPr>
          <w:p w14:paraId="0E28BFA5">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1.0</w:t>
            </w:r>
          </w:p>
        </w:tc>
        <w:tc>
          <w:tcPr>
            <w:tcW w:w="1260" w:type="dxa"/>
            <w:vAlign w:val="center"/>
          </w:tcPr>
          <w:p w14:paraId="4C4CCF4B">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1.0</w:t>
            </w:r>
          </w:p>
        </w:tc>
        <w:tc>
          <w:tcPr>
            <w:tcW w:w="1305" w:type="dxa"/>
            <w:vAlign w:val="center"/>
          </w:tcPr>
          <w:p w14:paraId="39B94C7C">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1.0</w:t>
            </w:r>
          </w:p>
        </w:tc>
        <w:tc>
          <w:tcPr>
            <w:tcW w:w="1261" w:type="dxa"/>
            <w:vAlign w:val="center"/>
          </w:tcPr>
          <w:p w14:paraId="14B7FB87">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1.5</w:t>
            </w:r>
          </w:p>
        </w:tc>
      </w:tr>
      <w:tr w14:paraId="15B25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392" w:type="dxa"/>
            <w:vMerge w:val="restart"/>
            <w:vAlign w:val="center"/>
          </w:tcPr>
          <w:p w14:paraId="3A58E485">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通信电缆</w:t>
            </w:r>
          </w:p>
        </w:tc>
        <w:tc>
          <w:tcPr>
            <w:tcW w:w="1445" w:type="dxa"/>
            <w:vAlign w:val="center"/>
          </w:tcPr>
          <w:p w14:paraId="7F439077">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直埋</w:t>
            </w:r>
          </w:p>
        </w:tc>
        <w:tc>
          <w:tcPr>
            <w:tcW w:w="1261" w:type="dxa"/>
            <w:vAlign w:val="center"/>
          </w:tcPr>
          <w:p w14:paraId="5E0A1060">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0.5</w:t>
            </w:r>
          </w:p>
        </w:tc>
        <w:tc>
          <w:tcPr>
            <w:tcW w:w="1261" w:type="dxa"/>
            <w:vAlign w:val="center"/>
          </w:tcPr>
          <w:p w14:paraId="4323297D">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0.5</w:t>
            </w:r>
          </w:p>
        </w:tc>
        <w:tc>
          <w:tcPr>
            <w:tcW w:w="1260" w:type="dxa"/>
            <w:vAlign w:val="center"/>
          </w:tcPr>
          <w:p w14:paraId="36FB687E">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0.5</w:t>
            </w:r>
          </w:p>
        </w:tc>
        <w:tc>
          <w:tcPr>
            <w:tcW w:w="1305" w:type="dxa"/>
            <w:vAlign w:val="center"/>
          </w:tcPr>
          <w:p w14:paraId="65E47992">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1.0</w:t>
            </w:r>
          </w:p>
        </w:tc>
        <w:tc>
          <w:tcPr>
            <w:tcW w:w="1261" w:type="dxa"/>
            <w:vAlign w:val="center"/>
          </w:tcPr>
          <w:p w14:paraId="0918C10A">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1.5</w:t>
            </w:r>
          </w:p>
        </w:tc>
      </w:tr>
      <w:tr w14:paraId="3408F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392" w:type="dxa"/>
            <w:vMerge w:val="continue"/>
            <w:vAlign w:val="center"/>
          </w:tcPr>
          <w:p w14:paraId="76EB7A7E">
            <w:pPr>
              <w:spacing w:before="24" w:after="24" w:line="240" w:lineRule="atLeast"/>
              <w:ind w:firstLine="200"/>
              <w:jc w:val="center"/>
              <w:rPr>
                <w:rFonts w:ascii="Times New Roman" w:hAnsi="Times New Roman" w:cs="Times New Roman"/>
                <w:sz w:val="24"/>
                <w:szCs w:val="24"/>
              </w:rPr>
            </w:pPr>
          </w:p>
        </w:tc>
        <w:tc>
          <w:tcPr>
            <w:tcW w:w="1445" w:type="dxa"/>
            <w:vAlign w:val="center"/>
          </w:tcPr>
          <w:p w14:paraId="42C7316E">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在导管内</w:t>
            </w:r>
          </w:p>
        </w:tc>
        <w:tc>
          <w:tcPr>
            <w:tcW w:w="1261" w:type="dxa"/>
            <w:vAlign w:val="center"/>
          </w:tcPr>
          <w:p w14:paraId="6EC013F6">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1.0</w:t>
            </w:r>
          </w:p>
        </w:tc>
        <w:tc>
          <w:tcPr>
            <w:tcW w:w="1261" w:type="dxa"/>
            <w:vAlign w:val="center"/>
          </w:tcPr>
          <w:p w14:paraId="59CABDC0">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1.0</w:t>
            </w:r>
          </w:p>
        </w:tc>
        <w:tc>
          <w:tcPr>
            <w:tcW w:w="1260" w:type="dxa"/>
            <w:vAlign w:val="center"/>
          </w:tcPr>
          <w:p w14:paraId="51DE527B">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1.0</w:t>
            </w:r>
          </w:p>
        </w:tc>
        <w:tc>
          <w:tcPr>
            <w:tcW w:w="1305" w:type="dxa"/>
            <w:vAlign w:val="center"/>
          </w:tcPr>
          <w:p w14:paraId="590F0975">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1.0</w:t>
            </w:r>
          </w:p>
        </w:tc>
        <w:tc>
          <w:tcPr>
            <w:tcW w:w="1261" w:type="dxa"/>
            <w:vAlign w:val="center"/>
          </w:tcPr>
          <w:p w14:paraId="30EAA000">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1.5</w:t>
            </w:r>
          </w:p>
        </w:tc>
      </w:tr>
      <w:tr w14:paraId="74B20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392" w:type="dxa"/>
            <w:vMerge w:val="restart"/>
            <w:vAlign w:val="center"/>
          </w:tcPr>
          <w:p w14:paraId="57515FAE">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其他燃气管道</w:t>
            </w:r>
          </w:p>
        </w:tc>
        <w:tc>
          <w:tcPr>
            <w:tcW w:w="1445" w:type="dxa"/>
            <w:vAlign w:val="center"/>
          </w:tcPr>
          <w:p w14:paraId="67D08C72">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dn≤300mm</w:t>
            </w:r>
          </w:p>
        </w:tc>
        <w:tc>
          <w:tcPr>
            <w:tcW w:w="1261" w:type="dxa"/>
            <w:vAlign w:val="center"/>
          </w:tcPr>
          <w:p w14:paraId="46A8E361">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0.4</w:t>
            </w:r>
          </w:p>
        </w:tc>
        <w:tc>
          <w:tcPr>
            <w:tcW w:w="1261" w:type="dxa"/>
            <w:vAlign w:val="center"/>
          </w:tcPr>
          <w:p w14:paraId="5827E4A4">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0.4</w:t>
            </w:r>
          </w:p>
        </w:tc>
        <w:tc>
          <w:tcPr>
            <w:tcW w:w="1260" w:type="dxa"/>
            <w:vAlign w:val="center"/>
          </w:tcPr>
          <w:p w14:paraId="0D7B50B5">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0.4</w:t>
            </w:r>
          </w:p>
        </w:tc>
        <w:tc>
          <w:tcPr>
            <w:tcW w:w="1305" w:type="dxa"/>
            <w:vAlign w:val="center"/>
          </w:tcPr>
          <w:p w14:paraId="4ED3DD29">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0.4</w:t>
            </w:r>
          </w:p>
        </w:tc>
        <w:tc>
          <w:tcPr>
            <w:tcW w:w="1261" w:type="dxa"/>
            <w:vAlign w:val="center"/>
          </w:tcPr>
          <w:p w14:paraId="30D84A95">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0.4</w:t>
            </w:r>
          </w:p>
        </w:tc>
      </w:tr>
      <w:tr w14:paraId="4D1EB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392" w:type="dxa"/>
            <w:vMerge w:val="continue"/>
            <w:vAlign w:val="center"/>
          </w:tcPr>
          <w:p w14:paraId="6C526353">
            <w:pPr>
              <w:spacing w:before="24" w:after="24" w:line="240" w:lineRule="atLeast"/>
              <w:ind w:firstLine="200"/>
              <w:jc w:val="center"/>
              <w:rPr>
                <w:rFonts w:ascii="Times New Roman" w:hAnsi="Times New Roman" w:cs="Times New Roman"/>
                <w:sz w:val="24"/>
                <w:szCs w:val="24"/>
              </w:rPr>
            </w:pPr>
          </w:p>
        </w:tc>
        <w:tc>
          <w:tcPr>
            <w:tcW w:w="1445" w:type="dxa"/>
            <w:vAlign w:val="center"/>
          </w:tcPr>
          <w:p w14:paraId="2FB96A0E">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dn＞300mm</w:t>
            </w:r>
          </w:p>
        </w:tc>
        <w:tc>
          <w:tcPr>
            <w:tcW w:w="1261" w:type="dxa"/>
            <w:vAlign w:val="center"/>
          </w:tcPr>
          <w:p w14:paraId="77265B26">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0.5</w:t>
            </w:r>
          </w:p>
        </w:tc>
        <w:tc>
          <w:tcPr>
            <w:tcW w:w="1261" w:type="dxa"/>
            <w:vAlign w:val="center"/>
          </w:tcPr>
          <w:p w14:paraId="1583A643">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0.5</w:t>
            </w:r>
          </w:p>
        </w:tc>
        <w:tc>
          <w:tcPr>
            <w:tcW w:w="1260" w:type="dxa"/>
            <w:vAlign w:val="center"/>
          </w:tcPr>
          <w:p w14:paraId="768E09B7">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0.5</w:t>
            </w:r>
          </w:p>
        </w:tc>
        <w:tc>
          <w:tcPr>
            <w:tcW w:w="1305" w:type="dxa"/>
            <w:vAlign w:val="center"/>
          </w:tcPr>
          <w:p w14:paraId="4217A638">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0.5</w:t>
            </w:r>
          </w:p>
        </w:tc>
        <w:tc>
          <w:tcPr>
            <w:tcW w:w="1261" w:type="dxa"/>
            <w:vAlign w:val="center"/>
          </w:tcPr>
          <w:p w14:paraId="20508C2F">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0.5</w:t>
            </w:r>
          </w:p>
        </w:tc>
      </w:tr>
      <w:tr w14:paraId="6F8C5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392" w:type="dxa"/>
            <w:vMerge w:val="restart"/>
            <w:vAlign w:val="center"/>
          </w:tcPr>
          <w:p w14:paraId="2EA250C7">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电杆（塔）的基础</w:t>
            </w:r>
          </w:p>
        </w:tc>
        <w:tc>
          <w:tcPr>
            <w:tcW w:w="1445" w:type="dxa"/>
            <w:vAlign w:val="center"/>
          </w:tcPr>
          <w:p w14:paraId="2401B085">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≤35kV</w:t>
            </w:r>
          </w:p>
        </w:tc>
        <w:tc>
          <w:tcPr>
            <w:tcW w:w="1261" w:type="dxa"/>
            <w:vAlign w:val="center"/>
          </w:tcPr>
          <w:p w14:paraId="6FDDAA11">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1.0</w:t>
            </w:r>
          </w:p>
        </w:tc>
        <w:tc>
          <w:tcPr>
            <w:tcW w:w="1261" w:type="dxa"/>
            <w:vAlign w:val="center"/>
          </w:tcPr>
          <w:p w14:paraId="25D24085">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1.0</w:t>
            </w:r>
          </w:p>
        </w:tc>
        <w:tc>
          <w:tcPr>
            <w:tcW w:w="1260" w:type="dxa"/>
            <w:vAlign w:val="center"/>
          </w:tcPr>
          <w:p w14:paraId="0E01E8FD">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1.0</w:t>
            </w:r>
          </w:p>
        </w:tc>
        <w:tc>
          <w:tcPr>
            <w:tcW w:w="1305" w:type="dxa"/>
            <w:vAlign w:val="center"/>
          </w:tcPr>
          <w:p w14:paraId="7A53EE00">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1.0</w:t>
            </w:r>
          </w:p>
        </w:tc>
        <w:tc>
          <w:tcPr>
            <w:tcW w:w="1261" w:type="dxa"/>
            <w:vAlign w:val="center"/>
          </w:tcPr>
          <w:p w14:paraId="00DE69C5">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1.0</w:t>
            </w:r>
          </w:p>
        </w:tc>
      </w:tr>
      <w:tr w14:paraId="2D08F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392" w:type="dxa"/>
            <w:vMerge w:val="continue"/>
            <w:vAlign w:val="center"/>
          </w:tcPr>
          <w:p w14:paraId="74E9F5B9">
            <w:pPr>
              <w:spacing w:before="24" w:after="24" w:line="240" w:lineRule="atLeast"/>
              <w:ind w:firstLine="200"/>
              <w:jc w:val="center"/>
              <w:rPr>
                <w:rFonts w:ascii="Times New Roman" w:hAnsi="Times New Roman" w:cs="Times New Roman"/>
                <w:sz w:val="24"/>
                <w:szCs w:val="24"/>
              </w:rPr>
            </w:pPr>
          </w:p>
        </w:tc>
        <w:tc>
          <w:tcPr>
            <w:tcW w:w="1445" w:type="dxa"/>
            <w:vAlign w:val="center"/>
          </w:tcPr>
          <w:p w14:paraId="4E849E63">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＞35kV</w:t>
            </w:r>
          </w:p>
        </w:tc>
        <w:tc>
          <w:tcPr>
            <w:tcW w:w="1261" w:type="dxa"/>
            <w:vAlign w:val="center"/>
          </w:tcPr>
          <w:p w14:paraId="50BD1042">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2.0</w:t>
            </w:r>
          </w:p>
        </w:tc>
        <w:tc>
          <w:tcPr>
            <w:tcW w:w="1261" w:type="dxa"/>
            <w:vAlign w:val="center"/>
          </w:tcPr>
          <w:p w14:paraId="00259B15">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2.0</w:t>
            </w:r>
          </w:p>
        </w:tc>
        <w:tc>
          <w:tcPr>
            <w:tcW w:w="1260" w:type="dxa"/>
            <w:vAlign w:val="center"/>
          </w:tcPr>
          <w:p w14:paraId="3DBB25B5">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2.0</w:t>
            </w:r>
          </w:p>
        </w:tc>
        <w:tc>
          <w:tcPr>
            <w:tcW w:w="1305" w:type="dxa"/>
            <w:vAlign w:val="center"/>
          </w:tcPr>
          <w:p w14:paraId="4FA2699F">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5.0</w:t>
            </w:r>
          </w:p>
        </w:tc>
        <w:tc>
          <w:tcPr>
            <w:tcW w:w="1261" w:type="dxa"/>
            <w:vAlign w:val="center"/>
          </w:tcPr>
          <w:p w14:paraId="24BACAF6">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5.0</w:t>
            </w:r>
          </w:p>
        </w:tc>
      </w:tr>
      <w:tr w14:paraId="550DE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837" w:type="dxa"/>
            <w:gridSpan w:val="2"/>
            <w:vAlign w:val="center"/>
          </w:tcPr>
          <w:p w14:paraId="4CD768F1">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通讯照明电杆（至电杆中心）</w:t>
            </w:r>
          </w:p>
        </w:tc>
        <w:tc>
          <w:tcPr>
            <w:tcW w:w="1261" w:type="dxa"/>
            <w:vAlign w:val="center"/>
          </w:tcPr>
          <w:p w14:paraId="7EE1B3EC">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1.0</w:t>
            </w:r>
          </w:p>
        </w:tc>
        <w:tc>
          <w:tcPr>
            <w:tcW w:w="1261" w:type="dxa"/>
            <w:vAlign w:val="center"/>
          </w:tcPr>
          <w:p w14:paraId="33C064CA">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1.0</w:t>
            </w:r>
          </w:p>
        </w:tc>
        <w:tc>
          <w:tcPr>
            <w:tcW w:w="1260" w:type="dxa"/>
            <w:vAlign w:val="center"/>
          </w:tcPr>
          <w:p w14:paraId="76E75D31">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1.0</w:t>
            </w:r>
          </w:p>
        </w:tc>
        <w:tc>
          <w:tcPr>
            <w:tcW w:w="1305" w:type="dxa"/>
            <w:vAlign w:val="center"/>
          </w:tcPr>
          <w:p w14:paraId="24EF0967">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1.0</w:t>
            </w:r>
          </w:p>
        </w:tc>
        <w:tc>
          <w:tcPr>
            <w:tcW w:w="1261" w:type="dxa"/>
            <w:vAlign w:val="center"/>
          </w:tcPr>
          <w:p w14:paraId="01487DC7">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1.0</w:t>
            </w:r>
          </w:p>
        </w:tc>
      </w:tr>
      <w:tr w14:paraId="3CF4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837" w:type="dxa"/>
            <w:gridSpan w:val="2"/>
            <w:vAlign w:val="center"/>
          </w:tcPr>
          <w:p w14:paraId="118DF8C1">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铁路路堤坡脚</w:t>
            </w:r>
          </w:p>
        </w:tc>
        <w:tc>
          <w:tcPr>
            <w:tcW w:w="1261" w:type="dxa"/>
            <w:vAlign w:val="center"/>
          </w:tcPr>
          <w:p w14:paraId="0E8CB1BF">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5.0</w:t>
            </w:r>
          </w:p>
        </w:tc>
        <w:tc>
          <w:tcPr>
            <w:tcW w:w="1261" w:type="dxa"/>
            <w:vAlign w:val="center"/>
          </w:tcPr>
          <w:p w14:paraId="468BB79D">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5.0</w:t>
            </w:r>
          </w:p>
        </w:tc>
        <w:tc>
          <w:tcPr>
            <w:tcW w:w="1260" w:type="dxa"/>
            <w:vAlign w:val="center"/>
          </w:tcPr>
          <w:p w14:paraId="790FE9F5">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5.0</w:t>
            </w:r>
          </w:p>
        </w:tc>
        <w:tc>
          <w:tcPr>
            <w:tcW w:w="1305" w:type="dxa"/>
            <w:vAlign w:val="center"/>
          </w:tcPr>
          <w:p w14:paraId="728F59BB">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5.0</w:t>
            </w:r>
          </w:p>
        </w:tc>
        <w:tc>
          <w:tcPr>
            <w:tcW w:w="1261" w:type="dxa"/>
            <w:vAlign w:val="center"/>
          </w:tcPr>
          <w:p w14:paraId="00725359">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5.0</w:t>
            </w:r>
          </w:p>
        </w:tc>
      </w:tr>
      <w:tr w14:paraId="56B89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837" w:type="dxa"/>
            <w:gridSpan w:val="2"/>
            <w:vAlign w:val="center"/>
          </w:tcPr>
          <w:p w14:paraId="7E6BCD98">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有轨电车钢轨</w:t>
            </w:r>
          </w:p>
        </w:tc>
        <w:tc>
          <w:tcPr>
            <w:tcW w:w="1261" w:type="dxa"/>
            <w:vAlign w:val="center"/>
          </w:tcPr>
          <w:p w14:paraId="08BB3B8E">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2.0</w:t>
            </w:r>
          </w:p>
        </w:tc>
        <w:tc>
          <w:tcPr>
            <w:tcW w:w="1261" w:type="dxa"/>
            <w:vAlign w:val="center"/>
          </w:tcPr>
          <w:p w14:paraId="11E86977">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2.0</w:t>
            </w:r>
          </w:p>
        </w:tc>
        <w:tc>
          <w:tcPr>
            <w:tcW w:w="1260" w:type="dxa"/>
            <w:vAlign w:val="center"/>
          </w:tcPr>
          <w:p w14:paraId="1C22BA85">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2.0</w:t>
            </w:r>
          </w:p>
        </w:tc>
        <w:tc>
          <w:tcPr>
            <w:tcW w:w="1305" w:type="dxa"/>
            <w:vAlign w:val="center"/>
          </w:tcPr>
          <w:p w14:paraId="7B5A544F">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2.0</w:t>
            </w:r>
          </w:p>
        </w:tc>
        <w:tc>
          <w:tcPr>
            <w:tcW w:w="1261" w:type="dxa"/>
            <w:vAlign w:val="center"/>
          </w:tcPr>
          <w:p w14:paraId="53614C4A">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2.0</w:t>
            </w:r>
          </w:p>
        </w:tc>
      </w:tr>
      <w:tr w14:paraId="7C07F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837" w:type="dxa"/>
            <w:gridSpan w:val="2"/>
            <w:vAlign w:val="center"/>
          </w:tcPr>
          <w:p w14:paraId="0317CE92">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街树（至树中心）</w:t>
            </w:r>
          </w:p>
        </w:tc>
        <w:tc>
          <w:tcPr>
            <w:tcW w:w="1261" w:type="dxa"/>
            <w:vAlign w:val="center"/>
          </w:tcPr>
          <w:p w14:paraId="435C6293">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0.75</w:t>
            </w:r>
          </w:p>
        </w:tc>
        <w:tc>
          <w:tcPr>
            <w:tcW w:w="1261" w:type="dxa"/>
            <w:vAlign w:val="center"/>
          </w:tcPr>
          <w:p w14:paraId="4A3E6956">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0.75</w:t>
            </w:r>
          </w:p>
        </w:tc>
        <w:tc>
          <w:tcPr>
            <w:tcW w:w="1260" w:type="dxa"/>
            <w:vAlign w:val="center"/>
          </w:tcPr>
          <w:p w14:paraId="575BE11B">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0.75</w:t>
            </w:r>
          </w:p>
        </w:tc>
        <w:tc>
          <w:tcPr>
            <w:tcW w:w="1305" w:type="dxa"/>
            <w:vAlign w:val="center"/>
          </w:tcPr>
          <w:p w14:paraId="7AD7B2FB">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1.20</w:t>
            </w:r>
          </w:p>
        </w:tc>
        <w:tc>
          <w:tcPr>
            <w:tcW w:w="1261" w:type="dxa"/>
            <w:vAlign w:val="center"/>
          </w:tcPr>
          <w:p w14:paraId="3FFA2FC9">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1.20</w:t>
            </w:r>
          </w:p>
        </w:tc>
      </w:tr>
    </w:tbl>
    <w:p w14:paraId="5943650B">
      <w:pPr>
        <w:spacing w:before="24" w:after="24"/>
        <w:ind w:firstLine="560" w:firstLineChars="200"/>
        <w:rPr>
          <w:rFonts w:ascii="Times New Roman" w:hAnsi="Times New Roman" w:cs="Times New Roman"/>
        </w:rPr>
      </w:pPr>
      <w:r>
        <w:rPr>
          <w:rFonts w:ascii="Times New Roman" w:hAnsi="Times New Roman" w:cs="Times New Roman"/>
        </w:rPr>
        <w:t>10.7.3地下燃气管道与构筑物或相邻管道之间垂直净距（m）</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59"/>
        <w:gridCol w:w="2260"/>
        <w:gridCol w:w="2025"/>
        <w:gridCol w:w="2526"/>
      </w:tblGrid>
      <w:tr w14:paraId="53C3A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6" w:hRule="atLeast"/>
          <w:jc w:val="center"/>
        </w:trPr>
        <w:tc>
          <w:tcPr>
            <w:tcW w:w="2259" w:type="dxa"/>
            <w:vAlign w:val="center"/>
          </w:tcPr>
          <w:p w14:paraId="098848D1">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序号</w:t>
            </w:r>
          </w:p>
        </w:tc>
        <w:tc>
          <w:tcPr>
            <w:tcW w:w="4285" w:type="dxa"/>
            <w:gridSpan w:val="2"/>
            <w:vAlign w:val="center"/>
          </w:tcPr>
          <w:p w14:paraId="4C5E2A08">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项      目</w:t>
            </w:r>
          </w:p>
        </w:tc>
        <w:tc>
          <w:tcPr>
            <w:tcW w:w="2526" w:type="dxa"/>
          </w:tcPr>
          <w:p w14:paraId="537F3FE9">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地下燃气管道（当有套管时以套管计）</w:t>
            </w:r>
          </w:p>
        </w:tc>
      </w:tr>
      <w:tr w14:paraId="2DC66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259" w:type="dxa"/>
          </w:tcPr>
          <w:p w14:paraId="12F77D7E">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w:t>
            </w:r>
          </w:p>
        </w:tc>
        <w:tc>
          <w:tcPr>
            <w:tcW w:w="4285" w:type="dxa"/>
            <w:gridSpan w:val="2"/>
            <w:vAlign w:val="center"/>
          </w:tcPr>
          <w:p w14:paraId="3B95F52F">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给水管排水管或其他燃气管道</w:t>
            </w:r>
          </w:p>
        </w:tc>
        <w:tc>
          <w:tcPr>
            <w:tcW w:w="2526" w:type="dxa"/>
          </w:tcPr>
          <w:p w14:paraId="02EBDE93">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0.15</w:t>
            </w:r>
          </w:p>
        </w:tc>
      </w:tr>
      <w:tr w14:paraId="04EF0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259" w:type="dxa"/>
          </w:tcPr>
          <w:p w14:paraId="2E6B4A52">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2</w:t>
            </w:r>
          </w:p>
        </w:tc>
        <w:tc>
          <w:tcPr>
            <w:tcW w:w="4285" w:type="dxa"/>
            <w:gridSpan w:val="2"/>
            <w:vAlign w:val="center"/>
          </w:tcPr>
          <w:p w14:paraId="650EEC4D">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热力管的管沟底（或顶）</w:t>
            </w:r>
          </w:p>
        </w:tc>
        <w:tc>
          <w:tcPr>
            <w:tcW w:w="2526" w:type="dxa"/>
          </w:tcPr>
          <w:p w14:paraId="088C2EE0">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0.15</w:t>
            </w:r>
          </w:p>
        </w:tc>
      </w:tr>
      <w:tr w14:paraId="45B60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259" w:type="dxa"/>
          </w:tcPr>
          <w:p w14:paraId="60CF3B35">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3</w:t>
            </w:r>
          </w:p>
        </w:tc>
        <w:tc>
          <w:tcPr>
            <w:tcW w:w="2260" w:type="dxa"/>
            <w:vMerge w:val="restart"/>
            <w:vAlign w:val="center"/>
          </w:tcPr>
          <w:p w14:paraId="091F536C">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电缆</w:t>
            </w:r>
          </w:p>
        </w:tc>
        <w:tc>
          <w:tcPr>
            <w:tcW w:w="2025" w:type="dxa"/>
            <w:vAlign w:val="center"/>
          </w:tcPr>
          <w:p w14:paraId="11D010AE">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直埋</w:t>
            </w:r>
          </w:p>
        </w:tc>
        <w:tc>
          <w:tcPr>
            <w:tcW w:w="2526" w:type="dxa"/>
          </w:tcPr>
          <w:p w14:paraId="761CB0C2">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0.50</w:t>
            </w:r>
          </w:p>
        </w:tc>
      </w:tr>
      <w:tr w14:paraId="32807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259" w:type="dxa"/>
          </w:tcPr>
          <w:p w14:paraId="728EBF29">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4</w:t>
            </w:r>
          </w:p>
        </w:tc>
        <w:tc>
          <w:tcPr>
            <w:tcW w:w="2260" w:type="dxa"/>
            <w:vMerge w:val="continue"/>
            <w:vAlign w:val="center"/>
          </w:tcPr>
          <w:p w14:paraId="69487357">
            <w:pPr>
              <w:spacing w:before="24" w:after="24" w:line="240" w:lineRule="atLeast"/>
              <w:ind w:firstLine="200"/>
              <w:jc w:val="center"/>
              <w:rPr>
                <w:rFonts w:ascii="Times New Roman" w:hAnsi="Times New Roman" w:cs="Times New Roman"/>
                <w:sz w:val="24"/>
                <w:szCs w:val="24"/>
              </w:rPr>
            </w:pPr>
          </w:p>
        </w:tc>
        <w:tc>
          <w:tcPr>
            <w:tcW w:w="2025" w:type="dxa"/>
            <w:vAlign w:val="center"/>
          </w:tcPr>
          <w:p w14:paraId="1B7DBCBB">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在导管内</w:t>
            </w:r>
          </w:p>
        </w:tc>
        <w:tc>
          <w:tcPr>
            <w:tcW w:w="2526" w:type="dxa"/>
          </w:tcPr>
          <w:p w14:paraId="41BE0988">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0.15</w:t>
            </w:r>
          </w:p>
        </w:tc>
      </w:tr>
      <w:tr w14:paraId="2A967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259" w:type="dxa"/>
          </w:tcPr>
          <w:p w14:paraId="057D114E">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5</w:t>
            </w:r>
          </w:p>
        </w:tc>
        <w:tc>
          <w:tcPr>
            <w:tcW w:w="4285" w:type="dxa"/>
            <w:gridSpan w:val="2"/>
            <w:vAlign w:val="center"/>
          </w:tcPr>
          <w:p w14:paraId="2A0D99CE">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铁路轨底</w:t>
            </w:r>
          </w:p>
        </w:tc>
        <w:tc>
          <w:tcPr>
            <w:tcW w:w="2526" w:type="dxa"/>
          </w:tcPr>
          <w:p w14:paraId="66D23DB7">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1.20</w:t>
            </w:r>
          </w:p>
        </w:tc>
      </w:tr>
      <w:tr w14:paraId="7A993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259" w:type="dxa"/>
          </w:tcPr>
          <w:p w14:paraId="68C927FE">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6</w:t>
            </w:r>
          </w:p>
        </w:tc>
        <w:tc>
          <w:tcPr>
            <w:tcW w:w="4285" w:type="dxa"/>
            <w:gridSpan w:val="2"/>
            <w:vAlign w:val="center"/>
          </w:tcPr>
          <w:p w14:paraId="08102CCB">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有轨电车轨底</w:t>
            </w:r>
          </w:p>
        </w:tc>
        <w:tc>
          <w:tcPr>
            <w:tcW w:w="2526" w:type="dxa"/>
          </w:tcPr>
          <w:p w14:paraId="6F932256">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1.00</w:t>
            </w:r>
          </w:p>
        </w:tc>
      </w:tr>
    </w:tbl>
    <w:p w14:paraId="64164D50">
      <w:pPr>
        <w:spacing w:before="24" w:after="24"/>
        <w:rPr>
          <w:rFonts w:ascii="Times New Roman" w:hAnsi="Times New Roman" w:cs="Times New Roman"/>
        </w:rPr>
      </w:pPr>
      <w:r>
        <w:rPr>
          <w:rFonts w:ascii="Times New Roman" w:hAnsi="Times New Roman" w:cs="Times New Roman"/>
        </w:rPr>
        <w:br w:type="page"/>
      </w:r>
    </w:p>
    <w:p w14:paraId="46A0EEEC">
      <w:pPr>
        <w:pStyle w:val="62"/>
      </w:pPr>
      <w:bookmarkStart w:id="25" w:name="_Toc221894070"/>
      <w:r>
        <w:t>（四）产能保证指标</w:t>
      </w:r>
      <w:bookmarkEnd w:id="25"/>
    </w:p>
    <w:p w14:paraId="26FAAD0D">
      <w:pPr>
        <w:pStyle w:val="64"/>
        <w:spacing w:before="24" w:after="24"/>
        <w:rPr>
          <w:rFonts w:cs="Times New Roman"/>
        </w:rPr>
      </w:pPr>
      <w:bookmarkStart w:id="26" w:name="_Toc221894071"/>
      <w:r>
        <w:rPr>
          <w:rFonts w:cs="Times New Roman"/>
        </w:rPr>
        <w:t>1、垃圾焚烧处理厂</w:t>
      </w:r>
      <w:bookmarkEnd w:id="26"/>
    </w:p>
    <w:p w14:paraId="79CD92F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1.1本项目生活垃圾处理量为50吨/日，年处理量1.825万吨，配置1条50吨/天的焚烧线、余热锅炉系统和烟气净化系统。</w:t>
      </w:r>
    </w:p>
    <w:p w14:paraId="5E8C770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1.2烟气排放指标表</w:t>
      </w:r>
    </w:p>
    <w:tbl>
      <w:tblPr>
        <w:tblStyle w:val="3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1461"/>
        <w:gridCol w:w="1567"/>
        <w:gridCol w:w="1381"/>
        <w:gridCol w:w="1342"/>
        <w:gridCol w:w="1213"/>
        <w:gridCol w:w="1513"/>
      </w:tblGrid>
      <w:tr w14:paraId="7F833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800" w:type="dxa"/>
            <w:vMerge w:val="restart"/>
            <w:vAlign w:val="center"/>
          </w:tcPr>
          <w:p w14:paraId="4DC04634">
            <w:pPr>
              <w:pStyle w:val="71"/>
              <w:spacing w:before="24" w:after="24"/>
              <w:rPr>
                <w:rFonts w:cs="Times New Roman"/>
              </w:rPr>
            </w:pPr>
            <w:r>
              <w:rPr>
                <w:rFonts w:cs="Times New Roman"/>
              </w:rPr>
              <w:t>序号</w:t>
            </w:r>
          </w:p>
        </w:tc>
        <w:tc>
          <w:tcPr>
            <w:tcW w:w="1462" w:type="dxa"/>
            <w:vMerge w:val="restart"/>
            <w:vAlign w:val="center"/>
          </w:tcPr>
          <w:p w14:paraId="645204DE">
            <w:pPr>
              <w:pStyle w:val="71"/>
              <w:spacing w:before="24" w:after="24"/>
              <w:rPr>
                <w:rFonts w:cs="Times New Roman"/>
              </w:rPr>
            </w:pPr>
            <w:r>
              <w:rPr>
                <w:rFonts w:cs="Times New Roman"/>
              </w:rPr>
              <w:t>污染物名称</w:t>
            </w:r>
          </w:p>
        </w:tc>
        <w:tc>
          <w:tcPr>
            <w:tcW w:w="1569" w:type="dxa"/>
            <w:vMerge w:val="restart"/>
            <w:vAlign w:val="center"/>
          </w:tcPr>
          <w:p w14:paraId="39919988">
            <w:pPr>
              <w:pStyle w:val="71"/>
              <w:spacing w:before="24" w:after="24"/>
              <w:rPr>
                <w:rFonts w:cs="Times New Roman"/>
              </w:rPr>
            </w:pPr>
            <w:r>
              <w:rPr>
                <w:rFonts w:cs="Times New Roman"/>
              </w:rPr>
              <w:t>单位</w:t>
            </w:r>
          </w:p>
        </w:tc>
        <w:tc>
          <w:tcPr>
            <w:tcW w:w="2724" w:type="dxa"/>
            <w:gridSpan w:val="2"/>
            <w:vAlign w:val="center"/>
          </w:tcPr>
          <w:p w14:paraId="21BBCAED">
            <w:pPr>
              <w:pStyle w:val="71"/>
              <w:spacing w:before="24" w:after="24"/>
              <w:rPr>
                <w:rFonts w:cs="Times New Roman"/>
              </w:rPr>
            </w:pPr>
            <w:r>
              <w:rPr>
                <w:rFonts w:cs="Times New Roman"/>
              </w:rPr>
              <w:t>国标GB18485-2014</w:t>
            </w:r>
          </w:p>
        </w:tc>
        <w:tc>
          <w:tcPr>
            <w:tcW w:w="2727" w:type="dxa"/>
            <w:gridSpan w:val="2"/>
            <w:vAlign w:val="center"/>
          </w:tcPr>
          <w:p w14:paraId="3C64BBBE">
            <w:pPr>
              <w:pStyle w:val="71"/>
              <w:spacing w:before="24" w:after="24"/>
              <w:rPr>
                <w:rFonts w:cs="Times New Roman"/>
              </w:rPr>
            </w:pPr>
            <w:r>
              <w:rPr>
                <w:rFonts w:cs="Times New Roman"/>
              </w:rPr>
              <w:t>本工程保证值</w:t>
            </w:r>
          </w:p>
        </w:tc>
      </w:tr>
      <w:tr w14:paraId="46E8A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800" w:type="dxa"/>
            <w:vMerge w:val="continue"/>
            <w:vAlign w:val="center"/>
          </w:tcPr>
          <w:p w14:paraId="674C466F">
            <w:pPr>
              <w:pStyle w:val="71"/>
              <w:spacing w:before="24" w:after="24"/>
              <w:rPr>
                <w:rFonts w:cs="Times New Roman"/>
              </w:rPr>
            </w:pPr>
          </w:p>
        </w:tc>
        <w:tc>
          <w:tcPr>
            <w:tcW w:w="1462" w:type="dxa"/>
            <w:vMerge w:val="continue"/>
            <w:vAlign w:val="center"/>
          </w:tcPr>
          <w:p w14:paraId="7436F001">
            <w:pPr>
              <w:pStyle w:val="71"/>
              <w:spacing w:before="24" w:after="24"/>
              <w:rPr>
                <w:rFonts w:cs="Times New Roman"/>
              </w:rPr>
            </w:pPr>
          </w:p>
        </w:tc>
        <w:tc>
          <w:tcPr>
            <w:tcW w:w="1569" w:type="dxa"/>
            <w:vMerge w:val="continue"/>
            <w:vAlign w:val="center"/>
          </w:tcPr>
          <w:p w14:paraId="7AA254D7">
            <w:pPr>
              <w:pStyle w:val="71"/>
              <w:spacing w:before="24" w:after="24"/>
              <w:rPr>
                <w:rFonts w:cs="Times New Roman"/>
              </w:rPr>
            </w:pPr>
          </w:p>
        </w:tc>
        <w:tc>
          <w:tcPr>
            <w:tcW w:w="1382" w:type="dxa"/>
            <w:vAlign w:val="center"/>
          </w:tcPr>
          <w:p w14:paraId="409DAD53">
            <w:pPr>
              <w:pStyle w:val="71"/>
              <w:spacing w:before="24" w:after="24"/>
              <w:rPr>
                <w:rFonts w:cs="Times New Roman"/>
              </w:rPr>
            </w:pPr>
            <w:r>
              <w:rPr>
                <w:rFonts w:cs="Times New Roman"/>
              </w:rPr>
              <w:t>日平均</w:t>
            </w:r>
          </w:p>
        </w:tc>
        <w:tc>
          <w:tcPr>
            <w:tcW w:w="1342" w:type="dxa"/>
            <w:vAlign w:val="center"/>
          </w:tcPr>
          <w:p w14:paraId="7C0F0E4F">
            <w:pPr>
              <w:pStyle w:val="71"/>
              <w:spacing w:before="24" w:after="24"/>
              <w:rPr>
                <w:rFonts w:cs="Times New Roman"/>
              </w:rPr>
            </w:pPr>
            <w:r>
              <w:rPr>
                <w:rFonts w:cs="Times New Roman"/>
              </w:rPr>
              <w:t>小时平均</w:t>
            </w:r>
          </w:p>
        </w:tc>
        <w:tc>
          <w:tcPr>
            <w:tcW w:w="1213" w:type="dxa"/>
            <w:vAlign w:val="center"/>
          </w:tcPr>
          <w:p w14:paraId="68A4DFA3">
            <w:pPr>
              <w:pStyle w:val="71"/>
              <w:spacing w:before="24" w:after="24"/>
              <w:rPr>
                <w:rFonts w:cs="Times New Roman"/>
              </w:rPr>
            </w:pPr>
            <w:r>
              <w:rPr>
                <w:rFonts w:cs="Times New Roman"/>
              </w:rPr>
              <w:t>日平均</w:t>
            </w:r>
          </w:p>
        </w:tc>
        <w:tc>
          <w:tcPr>
            <w:tcW w:w="1514" w:type="dxa"/>
            <w:vAlign w:val="center"/>
          </w:tcPr>
          <w:p w14:paraId="182462A2">
            <w:pPr>
              <w:pStyle w:val="71"/>
              <w:spacing w:before="24" w:after="24"/>
              <w:rPr>
                <w:rFonts w:cs="Times New Roman"/>
              </w:rPr>
            </w:pPr>
            <w:r>
              <w:rPr>
                <w:rFonts w:cs="Times New Roman"/>
              </w:rPr>
              <w:t>小时平均</w:t>
            </w:r>
          </w:p>
        </w:tc>
      </w:tr>
      <w:tr w14:paraId="4C86C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vAlign w:val="center"/>
          </w:tcPr>
          <w:p w14:paraId="65A8B400">
            <w:pPr>
              <w:pStyle w:val="71"/>
              <w:spacing w:before="24" w:after="24"/>
              <w:rPr>
                <w:rFonts w:cs="Times New Roman"/>
              </w:rPr>
            </w:pPr>
            <w:r>
              <w:rPr>
                <w:rFonts w:cs="Times New Roman"/>
              </w:rPr>
              <w:t>1</w:t>
            </w:r>
          </w:p>
        </w:tc>
        <w:tc>
          <w:tcPr>
            <w:tcW w:w="1462" w:type="dxa"/>
            <w:vAlign w:val="center"/>
          </w:tcPr>
          <w:p w14:paraId="140E6062">
            <w:pPr>
              <w:pStyle w:val="71"/>
              <w:spacing w:before="24" w:after="24"/>
              <w:rPr>
                <w:rFonts w:cs="Times New Roman"/>
              </w:rPr>
            </w:pPr>
            <w:r>
              <w:rPr>
                <w:rFonts w:cs="Times New Roman"/>
              </w:rPr>
              <w:t>颗粒物</w:t>
            </w:r>
          </w:p>
        </w:tc>
        <w:tc>
          <w:tcPr>
            <w:tcW w:w="1569" w:type="dxa"/>
            <w:vAlign w:val="center"/>
          </w:tcPr>
          <w:p w14:paraId="06945729">
            <w:pPr>
              <w:pStyle w:val="71"/>
              <w:spacing w:before="24" w:after="24"/>
              <w:rPr>
                <w:rFonts w:cs="Times New Roman"/>
              </w:rPr>
            </w:pPr>
            <w:r>
              <w:rPr>
                <w:rFonts w:cs="Times New Roman"/>
              </w:rPr>
              <w:t>mg/Nm</w:t>
            </w:r>
            <w:r>
              <w:rPr>
                <w:rFonts w:cs="Times New Roman"/>
                <w:vertAlign w:val="superscript"/>
              </w:rPr>
              <w:t>3</w:t>
            </w:r>
          </w:p>
        </w:tc>
        <w:tc>
          <w:tcPr>
            <w:tcW w:w="1382" w:type="dxa"/>
            <w:vAlign w:val="center"/>
          </w:tcPr>
          <w:p w14:paraId="03E08548">
            <w:pPr>
              <w:pStyle w:val="71"/>
              <w:spacing w:before="24" w:after="24"/>
              <w:rPr>
                <w:rFonts w:cs="Times New Roman"/>
              </w:rPr>
            </w:pPr>
            <w:r>
              <w:rPr>
                <w:rFonts w:cs="Times New Roman"/>
              </w:rPr>
              <w:t>20</w:t>
            </w:r>
          </w:p>
        </w:tc>
        <w:tc>
          <w:tcPr>
            <w:tcW w:w="1342" w:type="dxa"/>
            <w:vAlign w:val="center"/>
          </w:tcPr>
          <w:p w14:paraId="5765D646">
            <w:pPr>
              <w:pStyle w:val="71"/>
              <w:spacing w:before="24" w:after="24"/>
              <w:rPr>
                <w:rFonts w:cs="Times New Roman"/>
              </w:rPr>
            </w:pPr>
            <w:r>
              <w:rPr>
                <w:rFonts w:cs="Times New Roman"/>
              </w:rPr>
              <w:t>30</w:t>
            </w:r>
          </w:p>
        </w:tc>
        <w:tc>
          <w:tcPr>
            <w:tcW w:w="1213" w:type="dxa"/>
            <w:vAlign w:val="center"/>
          </w:tcPr>
          <w:p w14:paraId="78DA2154">
            <w:pPr>
              <w:pStyle w:val="71"/>
              <w:spacing w:before="24" w:after="24"/>
              <w:rPr>
                <w:rFonts w:cs="Times New Roman"/>
              </w:rPr>
            </w:pPr>
            <w:r>
              <w:rPr>
                <w:rFonts w:cs="Times New Roman"/>
              </w:rPr>
              <w:t>20</w:t>
            </w:r>
          </w:p>
        </w:tc>
        <w:tc>
          <w:tcPr>
            <w:tcW w:w="1514" w:type="dxa"/>
            <w:vAlign w:val="center"/>
          </w:tcPr>
          <w:p w14:paraId="633D94EA">
            <w:pPr>
              <w:pStyle w:val="71"/>
              <w:spacing w:before="24" w:after="24"/>
              <w:rPr>
                <w:rFonts w:cs="Times New Roman"/>
              </w:rPr>
            </w:pPr>
            <w:r>
              <w:rPr>
                <w:rFonts w:cs="Times New Roman"/>
              </w:rPr>
              <w:t>30</w:t>
            </w:r>
          </w:p>
        </w:tc>
      </w:tr>
      <w:tr w14:paraId="2732B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vAlign w:val="center"/>
          </w:tcPr>
          <w:p w14:paraId="69EDDE76">
            <w:pPr>
              <w:pStyle w:val="71"/>
              <w:spacing w:before="24" w:after="24"/>
              <w:rPr>
                <w:rFonts w:cs="Times New Roman"/>
              </w:rPr>
            </w:pPr>
            <w:r>
              <w:rPr>
                <w:rFonts w:cs="Times New Roman"/>
              </w:rPr>
              <w:t>2</w:t>
            </w:r>
          </w:p>
        </w:tc>
        <w:tc>
          <w:tcPr>
            <w:tcW w:w="1462" w:type="dxa"/>
            <w:vAlign w:val="center"/>
          </w:tcPr>
          <w:p w14:paraId="657C4B54">
            <w:pPr>
              <w:pStyle w:val="71"/>
              <w:spacing w:before="24" w:after="24"/>
              <w:rPr>
                <w:rFonts w:cs="Times New Roman"/>
              </w:rPr>
            </w:pPr>
            <w:r>
              <w:rPr>
                <w:rFonts w:cs="Times New Roman"/>
              </w:rPr>
              <w:t>HCl</w:t>
            </w:r>
          </w:p>
        </w:tc>
        <w:tc>
          <w:tcPr>
            <w:tcW w:w="1569" w:type="dxa"/>
            <w:vAlign w:val="center"/>
          </w:tcPr>
          <w:p w14:paraId="6C62B605">
            <w:pPr>
              <w:pStyle w:val="71"/>
              <w:spacing w:before="24" w:after="24"/>
              <w:rPr>
                <w:rFonts w:cs="Times New Roman"/>
              </w:rPr>
            </w:pPr>
            <w:r>
              <w:rPr>
                <w:rFonts w:cs="Times New Roman"/>
              </w:rPr>
              <w:t>mg/Nm</w:t>
            </w:r>
            <w:r>
              <w:rPr>
                <w:rFonts w:cs="Times New Roman"/>
                <w:vertAlign w:val="superscript"/>
              </w:rPr>
              <w:t>3</w:t>
            </w:r>
          </w:p>
        </w:tc>
        <w:tc>
          <w:tcPr>
            <w:tcW w:w="1382" w:type="dxa"/>
            <w:vAlign w:val="center"/>
          </w:tcPr>
          <w:p w14:paraId="21EDDC39">
            <w:pPr>
              <w:pStyle w:val="71"/>
              <w:spacing w:before="24" w:after="24"/>
              <w:rPr>
                <w:rFonts w:cs="Times New Roman"/>
              </w:rPr>
            </w:pPr>
            <w:r>
              <w:rPr>
                <w:rFonts w:cs="Times New Roman"/>
              </w:rPr>
              <w:t>50</w:t>
            </w:r>
          </w:p>
        </w:tc>
        <w:tc>
          <w:tcPr>
            <w:tcW w:w="1342" w:type="dxa"/>
            <w:vAlign w:val="center"/>
          </w:tcPr>
          <w:p w14:paraId="3D263AAB">
            <w:pPr>
              <w:pStyle w:val="71"/>
              <w:spacing w:before="24" w:after="24"/>
              <w:rPr>
                <w:rFonts w:cs="Times New Roman"/>
              </w:rPr>
            </w:pPr>
            <w:r>
              <w:rPr>
                <w:rFonts w:cs="Times New Roman"/>
              </w:rPr>
              <w:t>60</w:t>
            </w:r>
          </w:p>
        </w:tc>
        <w:tc>
          <w:tcPr>
            <w:tcW w:w="1213" w:type="dxa"/>
            <w:vAlign w:val="center"/>
          </w:tcPr>
          <w:p w14:paraId="7EA5824A">
            <w:pPr>
              <w:pStyle w:val="71"/>
              <w:spacing w:before="24" w:after="24"/>
              <w:rPr>
                <w:rFonts w:cs="Times New Roman"/>
              </w:rPr>
            </w:pPr>
            <w:r>
              <w:rPr>
                <w:rFonts w:cs="Times New Roman"/>
              </w:rPr>
              <w:t>50</w:t>
            </w:r>
          </w:p>
        </w:tc>
        <w:tc>
          <w:tcPr>
            <w:tcW w:w="1514" w:type="dxa"/>
            <w:vAlign w:val="center"/>
          </w:tcPr>
          <w:p w14:paraId="2E845EB9">
            <w:pPr>
              <w:pStyle w:val="71"/>
              <w:spacing w:before="24" w:after="24"/>
              <w:rPr>
                <w:rFonts w:cs="Times New Roman"/>
              </w:rPr>
            </w:pPr>
            <w:r>
              <w:rPr>
                <w:rFonts w:cs="Times New Roman"/>
              </w:rPr>
              <w:t>60</w:t>
            </w:r>
          </w:p>
        </w:tc>
      </w:tr>
      <w:tr w14:paraId="3DF14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vAlign w:val="center"/>
          </w:tcPr>
          <w:p w14:paraId="5F119D1E">
            <w:pPr>
              <w:pStyle w:val="71"/>
              <w:spacing w:before="24" w:after="24"/>
              <w:rPr>
                <w:rFonts w:cs="Times New Roman"/>
              </w:rPr>
            </w:pPr>
            <w:r>
              <w:rPr>
                <w:rFonts w:cs="Times New Roman"/>
              </w:rPr>
              <w:t>3</w:t>
            </w:r>
          </w:p>
        </w:tc>
        <w:tc>
          <w:tcPr>
            <w:tcW w:w="1462" w:type="dxa"/>
            <w:vAlign w:val="center"/>
          </w:tcPr>
          <w:p w14:paraId="41C56FD3">
            <w:pPr>
              <w:pStyle w:val="71"/>
              <w:spacing w:before="24" w:after="24"/>
              <w:rPr>
                <w:rFonts w:cs="Times New Roman"/>
              </w:rPr>
            </w:pPr>
            <w:r>
              <w:rPr>
                <w:rFonts w:cs="Times New Roman"/>
              </w:rPr>
              <w:t>SO2</w:t>
            </w:r>
          </w:p>
        </w:tc>
        <w:tc>
          <w:tcPr>
            <w:tcW w:w="1569" w:type="dxa"/>
            <w:vAlign w:val="center"/>
          </w:tcPr>
          <w:p w14:paraId="4E5FC905">
            <w:pPr>
              <w:pStyle w:val="71"/>
              <w:spacing w:before="24" w:after="24"/>
              <w:rPr>
                <w:rFonts w:cs="Times New Roman"/>
              </w:rPr>
            </w:pPr>
            <w:r>
              <w:rPr>
                <w:rFonts w:cs="Times New Roman"/>
              </w:rPr>
              <w:t>mg/Nm</w:t>
            </w:r>
            <w:r>
              <w:rPr>
                <w:rFonts w:cs="Times New Roman"/>
                <w:vertAlign w:val="superscript"/>
              </w:rPr>
              <w:t>3</w:t>
            </w:r>
          </w:p>
        </w:tc>
        <w:tc>
          <w:tcPr>
            <w:tcW w:w="1382" w:type="dxa"/>
            <w:vAlign w:val="center"/>
          </w:tcPr>
          <w:p w14:paraId="4BAF96B6">
            <w:pPr>
              <w:pStyle w:val="71"/>
              <w:spacing w:before="24" w:after="24"/>
              <w:rPr>
                <w:rFonts w:cs="Times New Roman"/>
              </w:rPr>
            </w:pPr>
            <w:r>
              <w:rPr>
                <w:rFonts w:cs="Times New Roman"/>
              </w:rPr>
              <w:t>80</w:t>
            </w:r>
          </w:p>
        </w:tc>
        <w:tc>
          <w:tcPr>
            <w:tcW w:w="1342" w:type="dxa"/>
            <w:vAlign w:val="center"/>
          </w:tcPr>
          <w:p w14:paraId="2A35B26A">
            <w:pPr>
              <w:pStyle w:val="71"/>
              <w:spacing w:before="24" w:after="24"/>
              <w:rPr>
                <w:rFonts w:cs="Times New Roman"/>
              </w:rPr>
            </w:pPr>
            <w:r>
              <w:rPr>
                <w:rFonts w:cs="Times New Roman"/>
              </w:rPr>
              <w:t>100</w:t>
            </w:r>
          </w:p>
        </w:tc>
        <w:tc>
          <w:tcPr>
            <w:tcW w:w="1213" w:type="dxa"/>
            <w:vAlign w:val="center"/>
          </w:tcPr>
          <w:p w14:paraId="690A4E5E">
            <w:pPr>
              <w:pStyle w:val="71"/>
              <w:spacing w:before="24" w:after="24"/>
              <w:rPr>
                <w:rFonts w:cs="Times New Roman"/>
              </w:rPr>
            </w:pPr>
            <w:r>
              <w:rPr>
                <w:rFonts w:cs="Times New Roman"/>
              </w:rPr>
              <w:t>80</w:t>
            </w:r>
          </w:p>
        </w:tc>
        <w:tc>
          <w:tcPr>
            <w:tcW w:w="1514" w:type="dxa"/>
            <w:vAlign w:val="center"/>
          </w:tcPr>
          <w:p w14:paraId="4B6D5F63">
            <w:pPr>
              <w:pStyle w:val="71"/>
              <w:spacing w:before="24" w:after="24"/>
              <w:rPr>
                <w:rFonts w:cs="Times New Roman"/>
              </w:rPr>
            </w:pPr>
            <w:r>
              <w:rPr>
                <w:rFonts w:cs="Times New Roman"/>
              </w:rPr>
              <w:t>100</w:t>
            </w:r>
          </w:p>
        </w:tc>
      </w:tr>
      <w:tr w14:paraId="7D1CC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vAlign w:val="center"/>
          </w:tcPr>
          <w:p w14:paraId="6B4D8273">
            <w:pPr>
              <w:pStyle w:val="71"/>
              <w:spacing w:before="24" w:after="24"/>
              <w:rPr>
                <w:rFonts w:cs="Times New Roman"/>
              </w:rPr>
            </w:pPr>
            <w:r>
              <w:rPr>
                <w:rFonts w:cs="Times New Roman"/>
              </w:rPr>
              <w:t>4</w:t>
            </w:r>
          </w:p>
        </w:tc>
        <w:tc>
          <w:tcPr>
            <w:tcW w:w="1462" w:type="dxa"/>
            <w:vAlign w:val="center"/>
          </w:tcPr>
          <w:p w14:paraId="17927648">
            <w:pPr>
              <w:pStyle w:val="71"/>
              <w:spacing w:before="24" w:after="24"/>
              <w:rPr>
                <w:rFonts w:cs="Times New Roman"/>
              </w:rPr>
            </w:pPr>
            <w:r>
              <w:rPr>
                <w:rFonts w:cs="Times New Roman"/>
              </w:rPr>
              <w:t>NOx</w:t>
            </w:r>
          </w:p>
        </w:tc>
        <w:tc>
          <w:tcPr>
            <w:tcW w:w="1569" w:type="dxa"/>
            <w:vAlign w:val="center"/>
          </w:tcPr>
          <w:p w14:paraId="68D06F69">
            <w:pPr>
              <w:pStyle w:val="71"/>
              <w:spacing w:before="24" w:after="24"/>
              <w:rPr>
                <w:rFonts w:cs="Times New Roman"/>
              </w:rPr>
            </w:pPr>
            <w:r>
              <w:rPr>
                <w:rFonts w:cs="Times New Roman"/>
              </w:rPr>
              <w:t>mg/Nm</w:t>
            </w:r>
            <w:r>
              <w:rPr>
                <w:rFonts w:cs="Times New Roman"/>
                <w:vertAlign w:val="superscript"/>
              </w:rPr>
              <w:t>3</w:t>
            </w:r>
          </w:p>
        </w:tc>
        <w:tc>
          <w:tcPr>
            <w:tcW w:w="1382" w:type="dxa"/>
            <w:vAlign w:val="center"/>
          </w:tcPr>
          <w:p w14:paraId="1F4F0562">
            <w:pPr>
              <w:pStyle w:val="71"/>
              <w:spacing w:before="24" w:after="24"/>
              <w:rPr>
                <w:rFonts w:cs="Times New Roman"/>
              </w:rPr>
            </w:pPr>
            <w:r>
              <w:rPr>
                <w:rFonts w:cs="Times New Roman"/>
              </w:rPr>
              <w:t>250</w:t>
            </w:r>
          </w:p>
        </w:tc>
        <w:tc>
          <w:tcPr>
            <w:tcW w:w="1342" w:type="dxa"/>
            <w:vAlign w:val="center"/>
          </w:tcPr>
          <w:p w14:paraId="358E4C35">
            <w:pPr>
              <w:pStyle w:val="71"/>
              <w:spacing w:before="24" w:after="24"/>
              <w:rPr>
                <w:rFonts w:cs="Times New Roman"/>
              </w:rPr>
            </w:pPr>
            <w:r>
              <w:rPr>
                <w:rFonts w:cs="Times New Roman"/>
              </w:rPr>
              <w:t>300</w:t>
            </w:r>
          </w:p>
        </w:tc>
        <w:tc>
          <w:tcPr>
            <w:tcW w:w="1213" w:type="dxa"/>
            <w:vAlign w:val="center"/>
          </w:tcPr>
          <w:p w14:paraId="2F0E4B4C">
            <w:pPr>
              <w:pStyle w:val="71"/>
              <w:spacing w:before="24" w:after="24"/>
              <w:rPr>
                <w:rFonts w:cs="Times New Roman"/>
              </w:rPr>
            </w:pPr>
            <w:r>
              <w:rPr>
                <w:rFonts w:cs="Times New Roman"/>
              </w:rPr>
              <w:t>250</w:t>
            </w:r>
          </w:p>
        </w:tc>
        <w:tc>
          <w:tcPr>
            <w:tcW w:w="1514" w:type="dxa"/>
            <w:vAlign w:val="center"/>
          </w:tcPr>
          <w:p w14:paraId="526B655F">
            <w:pPr>
              <w:pStyle w:val="71"/>
              <w:spacing w:before="24" w:after="24"/>
              <w:rPr>
                <w:rFonts w:cs="Times New Roman"/>
              </w:rPr>
            </w:pPr>
            <w:r>
              <w:rPr>
                <w:rFonts w:cs="Times New Roman"/>
              </w:rPr>
              <w:t>300</w:t>
            </w:r>
          </w:p>
        </w:tc>
      </w:tr>
      <w:tr w14:paraId="5F521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vAlign w:val="center"/>
          </w:tcPr>
          <w:p w14:paraId="532FC3D7">
            <w:pPr>
              <w:pStyle w:val="71"/>
              <w:spacing w:before="24" w:after="24"/>
              <w:rPr>
                <w:rFonts w:cs="Times New Roman"/>
              </w:rPr>
            </w:pPr>
            <w:r>
              <w:rPr>
                <w:rFonts w:cs="Times New Roman"/>
              </w:rPr>
              <w:t>5</w:t>
            </w:r>
          </w:p>
        </w:tc>
        <w:tc>
          <w:tcPr>
            <w:tcW w:w="1462" w:type="dxa"/>
            <w:vAlign w:val="center"/>
          </w:tcPr>
          <w:p w14:paraId="6A790378">
            <w:pPr>
              <w:pStyle w:val="71"/>
              <w:spacing w:before="24" w:after="24"/>
              <w:rPr>
                <w:rFonts w:cs="Times New Roman"/>
              </w:rPr>
            </w:pPr>
            <w:r>
              <w:rPr>
                <w:rFonts w:cs="Times New Roman"/>
              </w:rPr>
              <w:t>CO</w:t>
            </w:r>
          </w:p>
        </w:tc>
        <w:tc>
          <w:tcPr>
            <w:tcW w:w="1569" w:type="dxa"/>
            <w:vAlign w:val="center"/>
          </w:tcPr>
          <w:p w14:paraId="3F86EFCE">
            <w:pPr>
              <w:pStyle w:val="71"/>
              <w:spacing w:before="24" w:after="24"/>
              <w:rPr>
                <w:rFonts w:cs="Times New Roman"/>
              </w:rPr>
            </w:pPr>
            <w:r>
              <w:rPr>
                <w:rFonts w:cs="Times New Roman"/>
              </w:rPr>
              <w:t>mg/Nm</w:t>
            </w:r>
            <w:r>
              <w:rPr>
                <w:rFonts w:cs="Times New Roman"/>
                <w:vertAlign w:val="superscript"/>
              </w:rPr>
              <w:t>3</w:t>
            </w:r>
          </w:p>
        </w:tc>
        <w:tc>
          <w:tcPr>
            <w:tcW w:w="1382" w:type="dxa"/>
            <w:vAlign w:val="center"/>
          </w:tcPr>
          <w:p w14:paraId="36AA8A2D">
            <w:pPr>
              <w:pStyle w:val="71"/>
              <w:spacing w:before="24" w:after="24"/>
              <w:rPr>
                <w:rFonts w:cs="Times New Roman"/>
              </w:rPr>
            </w:pPr>
            <w:r>
              <w:rPr>
                <w:rFonts w:cs="Times New Roman"/>
              </w:rPr>
              <w:t>80</w:t>
            </w:r>
          </w:p>
        </w:tc>
        <w:tc>
          <w:tcPr>
            <w:tcW w:w="1342" w:type="dxa"/>
            <w:vAlign w:val="center"/>
          </w:tcPr>
          <w:p w14:paraId="4783C01B">
            <w:pPr>
              <w:pStyle w:val="71"/>
              <w:spacing w:before="24" w:after="24"/>
              <w:rPr>
                <w:rFonts w:cs="Times New Roman"/>
              </w:rPr>
            </w:pPr>
            <w:r>
              <w:rPr>
                <w:rFonts w:cs="Times New Roman"/>
              </w:rPr>
              <w:t>100</w:t>
            </w:r>
          </w:p>
        </w:tc>
        <w:tc>
          <w:tcPr>
            <w:tcW w:w="1213" w:type="dxa"/>
            <w:vAlign w:val="center"/>
          </w:tcPr>
          <w:p w14:paraId="246DAAE5">
            <w:pPr>
              <w:pStyle w:val="71"/>
              <w:spacing w:before="24" w:after="24"/>
              <w:rPr>
                <w:rFonts w:cs="Times New Roman"/>
              </w:rPr>
            </w:pPr>
            <w:r>
              <w:rPr>
                <w:rFonts w:cs="Times New Roman"/>
              </w:rPr>
              <w:t>80</w:t>
            </w:r>
          </w:p>
        </w:tc>
        <w:tc>
          <w:tcPr>
            <w:tcW w:w="1514" w:type="dxa"/>
            <w:vAlign w:val="center"/>
          </w:tcPr>
          <w:p w14:paraId="1E41D9ED">
            <w:pPr>
              <w:pStyle w:val="71"/>
              <w:spacing w:before="24" w:after="24"/>
              <w:rPr>
                <w:rFonts w:cs="Times New Roman"/>
              </w:rPr>
            </w:pPr>
            <w:r>
              <w:rPr>
                <w:rFonts w:cs="Times New Roman"/>
              </w:rPr>
              <w:t>100</w:t>
            </w:r>
          </w:p>
        </w:tc>
      </w:tr>
      <w:tr w14:paraId="382D2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vAlign w:val="center"/>
          </w:tcPr>
          <w:p w14:paraId="6C6B1609">
            <w:pPr>
              <w:pStyle w:val="71"/>
              <w:spacing w:before="24" w:after="24"/>
              <w:rPr>
                <w:rFonts w:cs="Times New Roman"/>
              </w:rPr>
            </w:pPr>
            <w:r>
              <w:rPr>
                <w:rFonts w:cs="Times New Roman"/>
              </w:rPr>
              <w:t>6</w:t>
            </w:r>
          </w:p>
        </w:tc>
        <w:tc>
          <w:tcPr>
            <w:tcW w:w="1462" w:type="dxa"/>
            <w:vAlign w:val="center"/>
          </w:tcPr>
          <w:p w14:paraId="6339390D">
            <w:pPr>
              <w:pStyle w:val="71"/>
              <w:spacing w:before="24" w:after="24"/>
              <w:rPr>
                <w:rFonts w:cs="Times New Roman"/>
              </w:rPr>
            </w:pPr>
            <w:r>
              <w:rPr>
                <w:rFonts w:cs="Times New Roman"/>
              </w:rPr>
              <w:t>Hg</w:t>
            </w:r>
          </w:p>
        </w:tc>
        <w:tc>
          <w:tcPr>
            <w:tcW w:w="1569" w:type="dxa"/>
            <w:vAlign w:val="center"/>
          </w:tcPr>
          <w:p w14:paraId="254E8336">
            <w:pPr>
              <w:pStyle w:val="71"/>
              <w:spacing w:before="24" w:after="24"/>
              <w:rPr>
                <w:rFonts w:cs="Times New Roman"/>
              </w:rPr>
            </w:pPr>
            <w:r>
              <w:rPr>
                <w:rFonts w:cs="Times New Roman"/>
              </w:rPr>
              <w:t>mg/Nm</w:t>
            </w:r>
            <w:r>
              <w:rPr>
                <w:rFonts w:cs="Times New Roman"/>
                <w:vertAlign w:val="superscript"/>
              </w:rPr>
              <w:t>3</w:t>
            </w:r>
          </w:p>
        </w:tc>
        <w:tc>
          <w:tcPr>
            <w:tcW w:w="2724" w:type="dxa"/>
            <w:gridSpan w:val="2"/>
            <w:vAlign w:val="center"/>
          </w:tcPr>
          <w:p w14:paraId="500C8023">
            <w:pPr>
              <w:pStyle w:val="71"/>
              <w:spacing w:before="24" w:after="24"/>
              <w:rPr>
                <w:rFonts w:cs="Times New Roman"/>
              </w:rPr>
            </w:pPr>
            <w:r>
              <w:rPr>
                <w:rFonts w:cs="Times New Roman"/>
              </w:rPr>
              <w:t>0.05（测定均值）</w:t>
            </w:r>
          </w:p>
        </w:tc>
        <w:tc>
          <w:tcPr>
            <w:tcW w:w="2727" w:type="dxa"/>
            <w:gridSpan w:val="2"/>
            <w:vAlign w:val="center"/>
          </w:tcPr>
          <w:p w14:paraId="0A9CB089">
            <w:pPr>
              <w:pStyle w:val="71"/>
              <w:spacing w:before="24" w:after="24"/>
              <w:rPr>
                <w:rFonts w:cs="Times New Roman"/>
              </w:rPr>
            </w:pPr>
            <w:r>
              <w:rPr>
                <w:rFonts w:cs="Times New Roman"/>
              </w:rPr>
              <w:t>0.05（测定均值）</w:t>
            </w:r>
          </w:p>
        </w:tc>
      </w:tr>
      <w:tr w14:paraId="6474A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vAlign w:val="center"/>
          </w:tcPr>
          <w:p w14:paraId="375F8761">
            <w:pPr>
              <w:pStyle w:val="71"/>
              <w:spacing w:before="24" w:after="24"/>
              <w:rPr>
                <w:rFonts w:cs="Times New Roman"/>
              </w:rPr>
            </w:pPr>
            <w:r>
              <w:rPr>
                <w:rFonts w:cs="Times New Roman"/>
              </w:rPr>
              <w:t>7</w:t>
            </w:r>
          </w:p>
        </w:tc>
        <w:tc>
          <w:tcPr>
            <w:tcW w:w="1462" w:type="dxa"/>
            <w:vAlign w:val="center"/>
          </w:tcPr>
          <w:p w14:paraId="66D96742">
            <w:pPr>
              <w:pStyle w:val="71"/>
              <w:spacing w:before="24" w:after="24"/>
              <w:rPr>
                <w:rFonts w:cs="Times New Roman"/>
              </w:rPr>
            </w:pPr>
            <w:r>
              <w:rPr>
                <w:rFonts w:cs="Times New Roman"/>
              </w:rPr>
              <w:t>Cd+T1</w:t>
            </w:r>
          </w:p>
        </w:tc>
        <w:tc>
          <w:tcPr>
            <w:tcW w:w="1569" w:type="dxa"/>
            <w:vAlign w:val="center"/>
          </w:tcPr>
          <w:p w14:paraId="3D5B32B5">
            <w:pPr>
              <w:pStyle w:val="71"/>
              <w:spacing w:before="24" w:after="24"/>
              <w:rPr>
                <w:rFonts w:cs="Times New Roman"/>
              </w:rPr>
            </w:pPr>
            <w:r>
              <w:rPr>
                <w:rFonts w:cs="Times New Roman"/>
              </w:rPr>
              <w:t>mg/Nm</w:t>
            </w:r>
            <w:r>
              <w:rPr>
                <w:rFonts w:cs="Times New Roman"/>
                <w:vertAlign w:val="superscript"/>
              </w:rPr>
              <w:t>3</w:t>
            </w:r>
          </w:p>
        </w:tc>
        <w:tc>
          <w:tcPr>
            <w:tcW w:w="2724" w:type="dxa"/>
            <w:gridSpan w:val="2"/>
            <w:vAlign w:val="center"/>
          </w:tcPr>
          <w:p w14:paraId="6EB51A86">
            <w:pPr>
              <w:pStyle w:val="71"/>
              <w:spacing w:before="24" w:after="24"/>
              <w:rPr>
                <w:rFonts w:cs="Times New Roman"/>
              </w:rPr>
            </w:pPr>
            <w:r>
              <w:rPr>
                <w:rFonts w:cs="Times New Roman"/>
              </w:rPr>
              <w:t>0.1（测定均值）</w:t>
            </w:r>
          </w:p>
        </w:tc>
        <w:tc>
          <w:tcPr>
            <w:tcW w:w="2727" w:type="dxa"/>
            <w:gridSpan w:val="2"/>
            <w:vAlign w:val="center"/>
          </w:tcPr>
          <w:p w14:paraId="34C77F8A">
            <w:pPr>
              <w:pStyle w:val="71"/>
              <w:spacing w:before="24" w:after="24"/>
              <w:rPr>
                <w:rFonts w:cs="Times New Roman"/>
              </w:rPr>
            </w:pPr>
            <w:r>
              <w:rPr>
                <w:rFonts w:cs="Times New Roman"/>
              </w:rPr>
              <w:t>0.1（测定均值）</w:t>
            </w:r>
          </w:p>
        </w:tc>
      </w:tr>
      <w:tr w14:paraId="23056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vAlign w:val="center"/>
          </w:tcPr>
          <w:p w14:paraId="6ABEA4E7">
            <w:pPr>
              <w:pStyle w:val="71"/>
              <w:spacing w:before="24" w:after="24"/>
              <w:rPr>
                <w:rFonts w:cs="Times New Roman"/>
              </w:rPr>
            </w:pPr>
            <w:r>
              <w:rPr>
                <w:rFonts w:cs="Times New Roman"/>
              </w:rPr>
              <w:t>8</w:t>
            </w:r>
          </w:p>
        </w:tc>
        <w:tc>
          <w:tcPr>
            <w:tcW w:w="1462" w:type="dxa"/>
            <w:vAlign w:val="center"/>
          </w:tcPr>
          <w:p w14:paraId="2EC92409">
            <w:pPr>
              <w:pStyle w:val="71"/>
              <w:spacing w:before="24" w:after="24"/>
              <w:rPr>
                <w:rFonts w:cs="Times New Roman"/>
              </w:rPr>
            </w:pPr>
            <w:r>
              <w:rPr>
                <w:rFonts w:cs="Times New Roman"/>
              </w:rPr>
              <w:t>Pb+Cr等其他重金属</w:t>
            </w:r>
          </w:p>
        </w:tc>
        <w:tc>
          <w:tcPr>
            <w:tcW w:w="1569" w:type="dxa"/>
            <w:vAlign w:val="center"/>
          </w:tcPr>
          <w:p w14:paraId="7578393E">
            <w:pPr>
              <w:pStyle w:val="71"/>
              <w:spacing w:before="24" w:after="24"/>
              <w:rPr>
                <w:rFonts w:cs="Times New Roman"/>
              </w:rPr>
            </w:pPr>
            <w:r>
              <w:rPr>
                <w:rFonts w:cs="Times New Roman"/>
              </w:rPr>
              <w:t>mg/Nm</w:t>
            </w:r>
            <w:r>
              <w:rPr>
                <w:rFonts w:cs="Times New Roman"/>
                <w:vertAlign w:val="superscript"/>
              </w:rPr>
              <w:t>3</w:t>
            </w:r>
          </w:p>
        </w:tc>
        <w:tc>
          <w:tcPr>
            <w:tcW w:w="2724" w:type="dxa"/>
            <w:gridSpan w:val="2"/>
            <w:vAlign w:val="center"/>
          </w:tcPr>
          <w:p w14:paraId="203906C5">
            <w:pPr>
              <w:pStyle w:val="71"/>
              <w:spacing w:before="24" w:after="24"/>
              <w:rPr>
                <w:rFonts w:cs="Times New Roman"/>
              </w:rPr>
            </w:pPr>
            <w:r>
              <w:rPr>
                <w:rFonts w:cs="Times New Roman"/>
              </w:rPr>
              <w:t>1.0（测定均值）</w:t>
            </w:r>
          </w:p>
        </w:tc>
        <w:tc>
          <w:tcPr>
            <w:tcW w:w="2727" w:type="dxa"/>
            <w:gridSpan w:val="2"/>
            <w:vAlign w:val="center"/>
          </w:tcPr>
          <w:p w14:paraId="46C58829">
            <w:pPr>
              <w:pStyle w:val="71"/>
              <w:spacing w:before="24" w:after="24"/>
              <w:rPr>
                <w:rFonts w:cs="Times New Roman"/>
              </w:rPr>
            </w:pPr>
            <w:r>
              <w:rPr>
                <w:rFonts w:cs="Times New Roman"/>
              </w:rPr>
              <w:t>1.0（测定均值）</w:t>
            </w:r>
          </w:p>
        </w:tc>
      </w:tr>
      <w:tr w14:paraId="747E9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vAlign w:val="center"/>
          </w:tcPr>
          <w:p w14:paraId="21AD6730">
            <w:pPr>
              <w:pStyle w:val="71"/>
              <w:spacing w:before="24" w:after="24"/>
              <w:rPr>
                <w:rFonts w:cs="Times New Roman"/>
              </w:rPr>
            </w:pPr>
            <w:r>
              <w:rPr>
                <w:rFonts w:cs="Times New Roman"/>
              </w:rPr>
              <w:t>9</w:t>
            </w:r>
          </w:p>
        </w:tc>
        <w:tc>
          <w:tcPr>
            <w:tcW w:w="1462" w:type="dxa"/>
            <w:vAlign w:val="center"/>
          </w:tcPr>
          <w:p w14:paraId="145C5071">
            <w:pPr>
              <w:pStyle w:val="71"/>
              <w:spacing w:before="24" w:after="24"/>
              <w:rPr>
                <w:rFonts w:cs="Times New Roman"/>
              </w:rPr>
            </w:pPr>
            <w:r>
              <w:rPr>
                <w:rFonts w:cs="Times New Roman"/>
              </w:rPr>
              <w:t>二噁英类（TEQ）</w:t>
            </w:r>
          </w:p>
        </w:tc>
        <w:tc>
          <w:tcPr>
            <w:tcW w:w="1569" w:type="dxa"/>
            <w:vAlign w:val="center"/>
          </w:tcPr>
          <w:p w14:paraId="3486B4C7">
            <w:pPr>
              <w:pStyle w:val="71"/>
              <w:spacing w:before="24" w:after="24"/>
              <w:rPr>
                <w:rFonts w:cs="Times New Roman"/>
              </w:rPr>
            </w:pPr>
            <w:r>
              <w:rPr>
                <w:rFonts w:cs="Times New Roman"/>
              </w:rPr>
              <w:t>Ng-TEQ/Nm</w:t>
            </w:r>
            <w:r>
              <w:rPr>
                <w:rFonts w:cs="Times New Roman"/>
                <w:vertAlign w:val="superscript"/>
              </w:rPr>
              <w:t>3</w:t>
            </w:r>
          </w:p>
        </w:tc>
        <w:tc>
          <w:tcPr>
            <w:tcW w:w="2724" w:type="dxa"/>
            <w:gridSpan w:val="2"/>
            <w:vAlign w:val="center"/>
          </w:tcPr>
          <w:p w14:paraId="2ED1F2D6">
            <w:pPr>
              <w:pStyle w:val="71"/>
              <w:spacing w:before="24" w:after="24"/>
              <w:rPr>
                <w:rFonts w:cs="Times New Roman"/>
              </w:rPr>
            </w:pPr>
            <w:r>
              <w:rPr>
                <w:rFonts w:cs="Times New Roman"/>
              </w:rPr>
              <w:t>0.1（测定均值）</w:t>
            </w:r>
          </w:p>
        </w:tc>
        <w:tc>
          <w:tcPr>
            <w:tcW w:w="2727" w:type="dxa"/>
            <w:gridSpan w:val="2"/>
            <w:vAlign w:val="center"/>
          </w:tcPr>
          <w:p w14:paraId="475DCC97">
            <w:pPr>
              <w:pStyle w:val="71"/>
              <w:spacing w:before="24" w:after="24"/>
              <w:rPr>
                <w:rFonts w:cs="Times New Roman"/>
              </w:rPr>
            </w:pPr>
            <w:r>
              <w:rPr>
                <w:rFonts w:cs="Times New Roman"/>
              </w:rPr>
              <w:t>0.1（测定均值）</w:t>
            </w:r>
          </w:p>
        </w:tc>
      </w:tr>
    </w:tbl>
    <w:p w14:paraId="37599CFC">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1.3臭气污染物厂界标准值</w:t>
      </w:r>
    </w:p>
    <w:tbl>
      <w:tblPr>
        <w:tblStyle w:val="3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209"/>
        <w:gridCol w:w="1213"/>
        <w:gridCol w:w="1280"/>
        <w:gridCol w:w="1281"/>
        <w:gridCol w:w="1213"/>
        <w:gridCol w:w="1190"/>
        <w:gridCol w:w="1091"/>
      </w:tblGrid>
      <w:tr w14:paraId="77404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800" w:type="dxa"/>
            <w:vMerge w:val="restart"/>
            <w:vAlign w:val="center"/>
          </w:tcPr>
          <w:p w14:paraId="03E83742">
            <w:pPr>
              <w:pStyle w:val="71"/>
              <w:spacing w:before="24" w:after="24"/>
              <w:rPr>
                <w:rFonts w:cs="Times New Roman"/>
              </w:rPr>
            </w:pPr>
            <w:r>
              <w:rPr>
                <w:rFonts w:cs="Times New Roman"/>
              </w:rPr>
              <w:t>序号</w:t>
            </w:r>
          </w:p>
        </w:tc>
        <w:tc>
          <w:tcPr>
            <w:tcW w:w="1210" w:type="dxa"/>
            <w:vMerge w:val="restart"/>
            <w:vAlign w:val="center"/>
          </w:tcPr>
          <w:p w14:paraId="7E9C8BEE">
            <w:pPr>
              <w:pStyle w:val="71"/>
              <w:spacing w:before="24" w:after="24"/>
              <w:rPr>
                <w:rFonts w:cs="Times New Roman"/>
              </w:rPr>
            </w:pPr>
            <w:r>
              <w:rPr>
                <w:rFonts w:cs="Times New Roman"/>
              </w:rPr>
              <w:t>控制项目</w:t>
            </w:r>
          </w:p>
        </w:tc>
        <w:tc>
          <w:tcPr>
            <w:tcW w:w="1214" w:type="dxa"/>
            <w:vMerge w:val="restart"/>
            <w:vAlign w:val="center"/>
          </w:tcPr>
          <w:p w14:paraId="56B12910">
            <w:pPr>
              <w:pStyle w:val="71"/>
              <w:spacing w:before="24" w:after="24"/>
              <w:rPr>
                <w:rFonts w:cs="Times New Roman"/>
              </w:rPr>
            </w:pPr>
            <w:r>
              <w:rPr>
                <w:rFonts w:cs="Times New Roman"/>
              </w:rPr>
              <w:t>单位</w:t>
            </w:r>
          </w:p>
        </w:tc>
        <w:tc>
          <w:tcPr>
            <w:tcW w:w="1281" w:type="dxa"/>
            <w:vMerge w:val="restart"/>
            <w:vAlign w:val="center"/>
          </w:tcPr>
          <w:p w14:paraId="6581318A">
            <w:pPr>
              <w:pStyle w:val="71"/>
              <w:spacing w:before="24" w:after="24"/>
              <w:rPr>
                <w:rFonts w:cs="Times New Roman"/>
              </w:rPr>
            </w:pPr>
            <w:r>
              <w:rPr>
                <w:rFonts w:cs="Times New Roman"/>
              </w:rPr>
              <w:t>一级</w:t>
            </w:r>
          </w:p>
        </w:tc>
        <w:tc>
          <w:tcPr>
            <w:tcW w:w="2496" w:type="dxa"/>
            <w:gridSpan w:val="2"/>
            <w:vAlign w:val="center"/>
          </w:tcPr>
          <w:p w14:paraId="28565619">
            <w:pPr>
              <w:pStyle w:val="71"/>
              <w:spacing w:before="24" w:after="24"/>
              <w:rPr>
                <w:rFonts w:cs="Times New Roman"/>
              </w:rPr>
            </w:pPr>
            <w:r>
              <w:rPr>
                <w:rFonts w:cs="Times New Roman"/>
              </w:rPr>
              <w:t>二级</w:t>
            </w:r>
          </w:p>
        </w:tc>
        <w:tc>
          <w:tcPr>
            <w:tcW w:w="2281" w:type="dxa"/>
            <w:gridSpan w:val="2"/>
            <w:vAlign w:val="center"/>
          </w:tcPr>
          <w:p w14:paraId="1331C431">
            <w:pPr>
              <w:pStyle w:val="71"/>
              <w:spacing w:before="24" w:after="24"/>
              <w:rPr>
                <w:rFonts w:cs="Times New Roman"/>
              </w:rPr>
            </w:pPr>
            <w:r>
              <w:rPr>
                <w:rFonts w:cs="Times New Roman"/>
              </w:rPr>
              <w:t>三级</w:t>
            </w:r>
          </w:p>
        </w:tc>
      </w:tr>
      <w:tr w14:paraId="5FF4B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800" w:type="dxa"/>
            <w:vMerge w:val="continue"/>
            <w:vAlign w:val="center"/>
          </w:tcPr>
          <w:p w14:paraId="78F31F80">
            <w:pPr>
              <w:pStyle w:val="71"/>
              <w:spacing w:before="24" w:after="24"/>
              <w:rPr>
                <w:rFonts w:cs="Times New Roman"/>
              </w:rPr>
            </w:pPr>
          </w:p>
        </w:tc>
        <w:tc>
          <w:tcPr>
            <w:tcW w:w="1210" w:type="dxa"/>
            <w:vMerge w:val="continue"/>
            <w:vAlign w:val="center"/>
          </w:tcPr>
          <w:p w14:paraId="220C7B98">
            <w:pPr>
              <w:pStyle w:val="71"/>
              <w:spacing w:before="24" w:after="24"/>
              <w:rPr>
                <w:rFonts w:cs="Times New Roman"/>
              </w:rPr>
            </w:pPr>
          </w:p>
        </w:tc>
        <w:tc>
          <w:tcPr>
            <w:tcW w:w="1214" w:type="dxa"/>
            <w:vMerge w:val="continue"/>
            <w:vAlign w:val="center"/>
          </w:tcPr>
          <w:p w14:paraId="53EE4711">
            <w:pPr>
              <w:pStyle w:val="71"/>
              <w:spacing w:before="24" w:after="24"/>
              <w:rPr>
                <w:rFonts w:cs="Times New Roman"/>
              </w:rPr>
            </w:pPr>
          </w:p>
        </w:tc>
        <w:tc>
          <w:tcPr>
            <w:tcW w:w="1281" w:type="dxa"/>
            <w:vMerge w:val="continue"/>
            <w:vAlign w:val="center"/>
          </w:tcPr>
          <w:p w14:paraId="772930A3">
            <w:pPr>
              <w:pStyle w:val="71"/>
              <w:spacing w:before="24" w:after="24"/>
              <w:rPr>
                <w:rFonts w:cs="Times New Roman"/>
              </w:rPr>
            </w:pPr>
          </w:p>
        </w:tc>
        <w:tc>
          <w:tcPr>
            <w:tcW w:w="1282" w:type="dxa"/>
            <w:vAlign w:val="center"/>
          </w:tcPr>
          <w:p w14:paraId="023BD8C7">
            <w:pPr>
              <w:pStyle w:val="71"/>
              <w:spacing w:before="24" w:after="24"/>
              <w:rPr>
                <w:rFonts w:cs="Times New Roman"/>
              </w:rPr>
            </w:pPr>
            <w:r>
              <w:rPr>
                <w:rFonts w:cs="Times New Roman"/>
              </w:rPr>
              <w:t>新扩改建</w:t>
            </w:r>
          </w:p>
        </w:tc>
        <w:tc>
          <w:tcPr>
            <w:tcW w:w="1214" w:type="dxa"/>
            <w:vAlign w:val="center"/>
          </w:tcPr>
          <w:p w14:paraId="4CF7EBA3">
            <w:pPr>
              <w:pStyle w:val="71"/>
              <w:spacing w:before="24" w:after="24"/>
              <w:rPr>
                <w:rFonts w:cs="Times New Roman"/>
              </w:rPr>
            </w:pPr>
            <w:r>
              <w:rPr>
                <w:rFonts w:cs="Times New Roman"/>
              </w:rPr>
              <w:t>现有</w:t>
            </w:r>
          </w:p>
        </w:tc>
        <w:tc>
          <w:tcPr>
            <w:tcW w:w="1190" w:type="dxa"/>
            <w:vAlign w:val="center"/>
          </w:tcPr>
          <w:p w14:paraId="5E179F89">
            <w:pPr>
              <w:pStyle w:val="71"/>
              <w:spacing w:before="24" w:after="24"/>
              <w:rPr>
                <w:rFonts w:cs="Times New Roman"/>
              </w:rPr>
            </w:pPr>
            <w:r>
              <w:rPr>
                <w:rFonts w:cs="Times New Roman"/>
              </w:rPr>
              <w:t>新扩改建</w:t>
            </w:r>
          </w:p>
        </w:tc>
        <w:tc>
          <w:tcPr>
            <w:tcW w:w="1091" w:type="dxa"/>
            <w:vAlign w:val="center"/>
          </w:tcPr>
          <w:p w14:paraId="4B503B03">
            <w:pPr>
              <w:pStyle w:val="71"/>
              <w:spacing w:before="24" w:after="24"/>
              <w:rPr>
                <w:rFonts w:cs="Times New Roman"/>
              </w:rPr>
            </w:pPr>
            <w:r>
              <w:rPr>
                <w:rFonts w:cs="Times New Roman"/>
              </w:rPr>
              <w:t>现有</w:t>
            </w:r>
          </w:p>
        </w:tc>
      </w:tr>
      <w:tr w14:paraId="5CDB5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vAlign w:val="center"/>
          </w:tcPr>
          <w:p w14:paraId="4B6A24AB">
            <w:pPr>
              <w:pStyle w:val="71"/>
              <w:spacing w:before="24" w:after="24"/>
              <w:rPr>
                <w:rFonts w:cs="Times New Roman"/>
              </w:rPr>
            </w:pPr>
            <w:r>
              <w:rPr>
                <w:rFonts w:cs="Times New Roman"/>
              </w:rPr>
              <w:t>1</w:t>
            </w:r>
          </w:p>
        </w:tc>
        <w:tc>
          <w:tcPr>
            <w:tcW w:w="1210" w:type="dxa"/>
            <w:vAlign w:val="center"/>
          </w:tcPr>
          <w:p w14:paraId="420D7F46">
            <w:pPr>
              <w:pStyle w:val="71"/>
              <w:spacing w:before="24" w:after="24"/>
              <w:rPr>
                <w:rFonts w:cs="Times New Roman"/>
              </w:rPr>
            </w:pPr>
            <w:r>
              <w:rPr>
                <w:rFonts w:cs="Times New Roman"/>
              </w:rPr>
              <w:t>氨</w:t>
            </w:r>
          </w:p>
        </w:tc>
        <w:tc>
          <w:tcPr>
            <w:tcW w:w="1214" w:type="dxa"/>
            <w:vAlign w:val="center"/>
          </w:tcPr>
          <w:p w14:paraId="1AD88164">
            <w:pPr>
              <w:pStyle w:val="71"/>
              <w:spacing w:before="24" w:after="24"/>
              <w:rPr>
                <w:rFonts w:cs="Times New Roman"/>
              </w:rPr>
            </w:pPr>
            <w:r>
              <w:rPr>
                <w:rFonts w:cs="Times New Roman"/>
              </w:rPr>
              <w:t>mg/m</w:t>
            </w:r>
            <w:r>
              <w:rPr>
                <w:rFonts w:cs="Times New Roman"/>
                <w:vertAlign w:val="superscript"/>
              </w:rPr>
              <w:t>3</w:t>
            </w:r>
          </w:p>
        </w:tc>
        <w:tc>
          <w:tcPr>
            <w:tcW w:w="1281" w:type="dxa"/>
            <w:vAlign w:val="center"/>
          </w:tcPr>
          <w:p w14:paraId="7EE88E73">
            <w:pPr>
              <w:pStyle w:val="71"/>
              <w:spacing w:before="24" w:after="24"/>
              <w:rPr>
                <w:rFonts w:cs="Times New Roman"/>
              </w:rPr>
            </w:pPr>
            <w:r>
              <w:rPr>
                <w:rFonts w:cs="Times New Roman"/>
              </w:rPr>
              <w:t>1.0</w:t>
            </w:r>
          </w:p>
        </w:tc>
        <w:tc>
          <w:tcPr>
            <w:tcW w:w="1282" w:type="dxa"/>
            <w:vAlign w:val="center"/>
          </w:tcPr>
          <w:p w14:paraId="3AADC9AA">
            <w:pPr>
              <w:pStyle w:val="71"/>
              <w:spacing w:before="24" w:after="24"/>
              <w:rPr>
                <w:rFonts w:cs="Times New Roman"/>
              </w:rPr>
            </w:pPr>
            <w:r>
              <w:rPr>
                <w:rFonts w:cs="Times New Roman"/>
              </w:rPr>
              <w:t>1.5</w:t>
            </w:r>
          </w:p>
        </w:tc>
        <w:tc>
          <w:tcPr>
            <w:tcW w:w="1214" w:type="dxa"/>
            <w:vAlign w:val="center"/>
          </w:tcPr>
          <w:p w14:paraId="381E4A36">
            <w:pPr>
              <w:pStyle w:val="71"/>
              <w:spacing w:before="24" w:after="24"/>
              <w:rPr>
                <w:rFonts w:cs="Times New Roman"/>
              </w:rPr>
            </w:pPr>
            <w:r>
              <w:rPr>
                <w:rFonts w:cs="Times New Roman"/>
              </w:rPr>
              <w:t>2.0</w:t>
            </w:r>
          </w:p>
        </w:tc>
        <w:tc>
          <w:tcPr>
            <w:tcW w:w="1190" w:type="dxa"/>
            <w:vAlign w:val="center"/>
          </w:tcPr>
          <w:p w14:paraId="7D11D015">
            <w:pPr>
              <w:pStyle w:val="71"/>
              <w:spacing w:before="24" w:after="24"/>
              <w:rPr>
                <w:rFonts w:cs="Times New Roman"/>
              </w:rPr>
            </w:pPr>
            <w:r>
              <w:rPr>
                <w:rFonts w:cs="Times New Roman"/>
              </w:rPr>
              <w:t>4.0</w:t>
            </w:r>
          </w:p>
        </w:tc>
        <w:tc>
          <w:tcPr>
            <w:tcW w:w="1091" w:type="dxa"/>
            <w:vAlign w:val="center"/>
          </w:tcPr>
          <w:p w14:paraId="2F68A6FF">
            <w:pPr>
              <w:pStyle w:val="71"/>
              <w:spacing w:before="24" w:after="24"/>
              <w:rPr>
                <w:rFonts w:cs="Times New Roman"/>
              </w:rPr>
            </w:pPr>
            <w:r>
              <w:rPr>
                <w:rFonts w:cs="Times New Roman"/>
              </w:rPr>
              <w:t>5.0</w:t>
            </w:r>
          </w:p>
        </w:tc>
      </w:tr>
      <w:tr w14:paraId="456CF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vAlign w:val="center"/>
          </w:tcPr>
          <w:p w14:paraId="65C18BA1">
            <w:pPr>
              <w:pStyle w:val="71"/>
              <w:spacing w:before="24" w:after="24"/>
              <w:rPr>
                <w:rFonts w:cs="Times New Roman"/>
              </w:rPr>
            </w:pPr>
            <w:r>
              <w:rPr>
                <w:rFonts w:cs="Times New Roman"/>
              </w:rPr>
              <w:t>2</w:t>
            </w:r>
          </w:p>
        </w:tc>
        <w:tc>
          <w:tcPr>
            <w:tcW w:w="1210" w:type="dxa"/>
            <w:vAlign w:val="center"/>
          </w:tcPr>
          <w:p w14:paraId="4D169281">
            <w:pPr>
              <w:pStyle w:val="71"/>
              <w:spacing w:before="24" w:after="24"/>
              <w:rPr>
                <w:rFonts w:cs="Times New Roman"/>
              </w:rPr>
            </w:pPr>
            <w:r>
              <w:rPr>
                <w:rFonts w:cs="Times New Roman"/>
              </w:rPr>
              <w:t>三甲胺</w:t>
            </w:r>
          </w:p>
        </w:tc>
        <w:tc>
          <w:tcPr>
            <w:tcW w:w="1214" w:type="dxa"/>
            <w:vAlign w:val="center"/>
          </w:tcPr>
          <w:p w14:paraId="75FF31BB">
            <w:pPr>
              <w:pStyle w:val="71"/>
              <w:spacing w:before="24" w:after="24"/>
              <w:rPr>
                <w:rFonts w:cs="Times New Roman"/>
              </w:rPr>
            </w:pPr>
            <w:r>
              <w:rPr>
                <w:rFonts w:cs="Times New Roman"/>
              </w:rPr>
              <w:t>mg/m</w:t>
            </w:r>
            <w:r>
              <w:rPr>
                <w:rFonts w:cs="Times New Roman"/>
                <w:vertAlign w:val="superscript"/>
              </w:rPr>
              <w:t>3</w:t>
            </w:r>
          </w:p>
        </w:tc>
        <w:tc>
          <w:tcPr>
            <w:tcW w:w="1281" w:type="dxa"/>
            <w:vAlign w:val="center"/>
          </w:tcPr>
          <w:p w14:paraId="5A23CF17">
            <w:pPr>
              <w:pStyle w:val="71"/>
              <w:spacing w:before="24" w:after="24"/>
              <w:rPr>
                <w:rFonts w:cs="Times New Roman"/>
              </w:rPr>
            </w:pPr>
            <w:r>
              <w:rPr>
                <w:rFonts w:cs="Times New Roman"/>
              </w:rPr>
              <w:t>0.05</w:t>
            </w:r>
          </w:p>
        </w:tc>
        <w:tc>
          <w:tcPr>
            <w:tcW w:w="1282" w:type="dxa"/>
            <w:vAlign w:val="center"/>
          </w:tcPr>
          <w:p w14:paraId="2ACC7E72">
            <w:pPr>
              <w:pStyle w:val="71"/>
              <w:spacing w:before="24" w:after="24"/>
              <w:rPr>
                <w:rFonts w:cs="Times New Roman"/>
              </w:rPr>
            </w:pPr>
            <w:r>
              <w:rPr>
                <w:rFonts w:cs="Times New Roman"/>
              </w:rPr>
              <w:t>0.08</w:t>
            </w:r>
          </w:p>
        </w:tc>
        <w:tc>
          <w:tcPr>
            <w:tcW w:w="1214" w:type="dxa"/>
            <w:vAlign w:val="center"/>
          </w:tcPr>
          <w:p w14:paraId="021BB422">
            <w:pPr>
              <w:pStyle w:val="71"/>
              <w:spacing w:before="24" w:after="24"/>
              <w:rPr>
                <w:rFonts w:cs="Times New Roman"/>
              </w:rPr>
            </w:pPr>
            <w:r>
              <w:rPr>
                <w:rFonts w:cs="Times New Roman"/>
              </w:rPr>
              <w:t>0.15</w:t>
            </w:r>
          </w:p>
        </w:tc>
        <w:tc>
          <w:tcPr>
            <w:tcW w:w="1190" w:type="dxa"/>
            <w:vAlign w:val="center"/>
          </w:tcPr>
          <w:p w14:paraId="7BDA3239">
            <w:pPr>
              <w:pStyle w:val="71"/>
              <w:spacing w:before="24" w:after="24"/>
              <w:rPr>
                <w:rFonts w:cs="Times New Roman"/>
              </w:rPr>
            </w:pPr>
            <w:r>
              <w:rPr>
                <w:rFonts w:cs="Times New Roman"/>
              </w:rPr>
              <w:t>0.45</w:t>
            </w:r>
          </w:p>
        </w:tc>
        <w:tc>
          <w:tcPr>
            <w:tcW w:w="1091" w:type="dxa"/>
            <w:vAlign w:val="center"/>
          </w:tcPr>
          <w:p w14:paraId="7CC5A58C">
            <w:pPr>
              <w:pStyle w:val="71"/>
              <w:spacing w:before="24" w:after="24"/>
              <w:rPr>
                <w:rFonts w:cs="Times New Roman"/>
              </w:rPr>
            </w:pPr>
            <w:r>
              <w:rPr>
                <w:rFonts w:cs="Times New Roman"/>
              </w:rPr>
              <w:t>0.80</w:t>
            </w:r>
          </w:p>
        </w:tc>
      </w:tr>
      <w:tr w14:paraId="067C4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vAlign w:val="center"/>
          </w:tcPr>
          <w:p w14:paraId="7F892978">
            <w:pPr>
              <w:pStyle w:val="71"/>
              <w:spacing w:before="24" w:after="24"/>
              <w:rPr>
                <w:rFonts w:cs="Times New Roman"/>
              </w:rPr>
            </w:pPr>
            <w:r>
              <w:rPr>
                <w:rFonts w:cs="Times New Roman"/>
              </w:rPr>
              <w:t>3</w:t>
            </w:r>
          </w:p>
        </w:tc>
        <w:tc>
          <w:tcPr>
            <w:tcW w:w="1210" w:type="dxa"/>
            <w:vAlign w:val="center"/>
          </w:tcPr>
          <w:p w14:paraId="4C08D8C7">
            <w:pPr>
              <w:pStyle w:val="71"/>
              <w:spacing w:before="24" w:after="24"/>
              <w:rPr>
                <w:rFonts w:cs="Times New Roman"/>
              </w:rPr>
            </w:pPr>
            <w:r>
              <w:rPr>
                <w:rFonts w:cs="Times New Roman"/>
              </w:rPr>
              <w:t>硫化氢</w:t>
            </w:r>
          </w:p>
        </w:tc>
        <w:tc>
          <w:tcPr>
            <w:tcW w:w="1214" w:type="dxa"/>
            <w:vAlign w:val="center"/>
          </w:tcPr>
          <w:p w14:paraId="0A71319F">
            <w:pPr>
              <w:pStyle w:val="71"/>
              <w:spacing w:before="24" w:after="24"/>
              <w:rPr>
                <w:rFonts w:cs="Times New Roman"/>
              </w:rPr>
            </w:pPr>
            <w:r>
              <w:rPr>
                <w:rFonts w:cs="Times New Roman"/>
              </w:rPr>
              <w:t>mg/m</w:t>
            </w:r>
            <w:r>
              <w:rPr>
                <w:rFonts w:cs="Times New Roman"/>
                <w:vertAlign w:val="superscript"/>
              </w:rPr>
              <w:t>3</w:t>
            </w:r>
          </w:p>
        </w:tc>
        <w:tc>
          <w:tcPr>
            <w:tcW w:w="1281" w:type="dxa"/>
            <w:vAlign w:val="center"/>
          </w:tcPr>
          <w:p w14:paraId="338966BF">
            <w:pPr>
              <w:pStyle w:val="71"/>
              <w:spacing w:before="24" w:after="24"/>
              <w:rPr>
                <w:rFonts w:cs="Times New Roman"/>
              </w:rPr>
            </w:pPr>
            <w:r>
              <w:rPr>
                <w:rFonts w:cs="Times New Roman"/>
              </w:rPr>
              <w:t>0.03</w:t>
            </w:r>
          </w:p>
        </w:tc>
        <w:tc>
          <w:tcPr>
            <w:tcW w:w="1282" w:type="dxa"/>
            <w:vAlign w:val="center"/>
          </w:tcPr>
          <w:p w14:paraId="393779E4">
            <w:pPr>
              <w:pStyle w:val="71"/>
              <w:spacing w:before="24" w:after="24"/>
              <w:rPr>
                <w:rFonts w:cs="Times New Roman"/>
              </w:rPr>
            </w:pPr>
            <w:r>
              <w:rPr>
                <w:rFonts w:cs="Times New Roman"/>
              </w:rPr>
              <w:t>0.06</w:t>
            </w:r>
          </w:p>
        </w:tc>
        <w:tc>
          <w:tcPr>
            <w:tcW w:w="1214" w:type="dxa"/>
            <w:vAlign w:val="center"/>
          </w:tcPr>
          <w:p w14:paraId="204BE4C4">
            <w:pPr>
              <w:pStyle w:val="71"/>
              <w:spacing w:before="24" w:after="24"/>
              <w:rPr>
                <w:rFonts w:cs="Times New Roman"/>
              </w:rPr>
            </w:pPr>
            <w:r>
              <w:rPr>
                <w:rFonts w:cs="Times New Roman"/>
              </w:rPr>
              <w:t>0.10</w:t>
            </w:r>
          </w:p>
        </w:tc>
        <w:tc>
          <w:tcPr>
            <w:tcW w:w="1190" w:type="dxa"/>
            <w:vAlign w:val="center"/>
          </w:tcPr>
          <w:p w14:paraId="1A93EAE1">
            <w:pPr>
              <w:pStyle w:val="71"/>
              <w:spacing w:before="24" w:after="24"/>
              <w:rPr>
                <w:rFonts w:cs="Times New Roman"/>
              </w:rPr>
            </w:pPr>
            <w:r>
              <w:rPr>
                <w:rFonts w:cs="Times New Roman"/>
              </w:rPr>
              <w:t>0.32</w:t>
            </w:r>
          </w:p>
        </w:tc>
        <w:tc>
          <w:tcPr>
            <w:tcW w:w="1091" w:type="dxa"/>
            <w:vAlign w:val="center"/>
          </w:tcPr>
          <w:p w14:paraId="37A66BA4">
            <w:pPr>
              <w:pStyle w:val="71"/>
              <w:spacing w:before="24" w:after="24"/>
              <w:rPr>
                <w:rFonts w:cs="Times New Roman"/>
              </w:rPr>
            </w:pPr>
            <w:r>
              <w:rPr>
                <w:rFonts w:cs="Times New Roman"/>
              </w:rPr>
              <w:t>0.60</w:t>
            </w:r>
          </w:p>
        </w:tc>
      </w:tr>
      <w:tr w14:paraId="1C02F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vAlign w:val="center"/>
          </w:tcPr>
          <w:p w14:paraId="6964385A">
            <w:pPr>
              <w:pStyle w:val="71"/>
              <w:spacing w:before="24" w:after="24"/>
              <w:rPr>
                <w:rFonts w:cs="Times New Roman"/>
              </w:rPr>
            </w:pPr>
            <w:r>
              <w:rPr>
                <w:rFonts w:cs="Times New Roman"/>
              </w:rPr>
              <w:t>4</w:t>
            </w:r>
          </w:p>
        </w:tc>
        <w:tc>
          <w:tcPr>
            <w:tcW w:w="1210" w:type="dxa"/>
            <w:vAlign w:val="center"/>
          </w:tcPr>
          <w:p w14:paraId="44D2C16B">
            <w:pPr>
              <w:pStyle w:val="71"/>
              <w:spacing w:before="24" w:after="24"/>
              <w:rPr>
                <w:rFonts w:cs="Times New Roman"/>
              </w:rPr>
            </w:pPr>
            <w:r>
              <w:rPr>
                <w:rFonts w:cs="Times New Roman"/>
              </w:rPr>
              <w:t>甲硫醇</w:t>
            </w:r>
          </w:p>
        </w:tc>
        <w:tc>
          <w:tcPr>
            <w:tcW w:w="1214" w:type="dxa"/>
            <w:vAlign w:val="center"/>
          </w:tcPr>
          <w:p w14:paraId="6452EED9">
            <w:pPr>
              <w:pStyle w:val="71"/>
              <w:spacing w:before="24" w:after="24"/>
              <w:rPr>
                <w:rFonts w:cs="Times New Roman"/>
              </w:rPr>
            </w:pPr>
            <w:r>
              <w:rPr>
                <w:rFonts w:cs="Times New Roman"/>
              </w:rPr>
              <w:t>mg/m</w:t>
            </w:r>
            <w:r>
              <w:rPr>
                <w:rFonts w:cs="Times New Roman"/>
                <w:vertAlign w:val="superscript"/>
              </w:rPr>
              <w:t>3</w:t>
            </w:r>
          </w:p>
        </w:tc>
        <w:tc>
          <w:tcPr>
            <w:tcW w:w="1281" w:type="dxa"/>
            <w:vAlign w:val="center"/>
          </w:tcPr>
          <w:p w14:paraId="5CA1F7E3">
            <w:pPr>
              <w:pStyle w:val="71"/>
              <w:spacing w:before="24" w:after="24"/>
              <w:rPr>
                <w:rFonts w:cs="Times New Roman"/>
              </w:rPr>
            </w:pPr>
            <w:r>
              <w:rPr>
                <w:rFonts w:cs="Times New Roman"/>
              </w:rPr>
              <w:t>0.004</w:t>
            </w:r>
          </w:p>
        </w:tc>
        <w:tc>
          <w:tcPr>
            <w:tcW w:w="1282" w:type="dxa"/>
            <w:vAlign w:val="center"/>
          </w:tcPr>
          <w:p w14:paraId="4CAF9F5F">
            <w:pPr>
              <w:pStyle w:val="71"/>
              <w:spacing w:before="24" w:after="24"/>
              <w:rPr>
                <w:rFonts w:cs="Times New Roman"/>
              </w:rPr>
            </w:pPr>
            <w:r>
              <w:rPr>
                <w:rFonts w:cs="Times New Roman"/>
              </w:rPr>
              <w:t>0.007</w:t>
            </w:r>
          </w:p>
        </w:tc>
        <w:tc>
          <w:tcPr>
            <w:tcW w:w="1214" w:type="dxa"/>
            <w:vAlign w:val="center"/>
          </w:tcPr>
          <w:p w14:paraId="0881EC89">
            <w:pPr>
              <w:pStyle w:val="71"/>
              <w:spacing w:before="24" w:after="24"/>
              <w:rPr>
                <w:rFonts w:cs="Times New Roman"/>
              </w:rPr>
            </w:pPr>
            <w:r>
              <w:rPr>
                <w:rFonts w:cs="Times New Roman"/>
              </w:rPr>
              <w:t>0.010</w:t>
            </w:r>
          </w:p>
        </w:tc>
        <w:tc>
          <w:tcPr>
            <w:tcW w:w="1190" w:type="dxa"/>
            <w:vAlign w:val="center"/>
          </w:tcPr>
          <w:p w14:paraId="7B5C0242">
            <w:pPr>
              <w:pStyle w:val="71"/>
              <w:spacing w:before="24" w:after="24"/>
              <w:rPr>
                <w:rFonts w:cs="Times New Roman"/>
              </w:rPr>
            </w:pPr>
            <w:r>
              <w:rPr>
                <w:rFonts w:cs="Times New Roman"/>
              </w:rPr>
              <w:t>0.020</w:t>
            </w:r>
          </w:p>
        </w:tc>
        <w:tc>
          <w:tcPr>
            <w:tcW w:w="1091" w:type="dxa"/>
            <w:vAlign w:val="center"/>
          </w:tcPr>
          <w:p w14:paraId="13CF8A8D">
            <w:pPr>
              <w:pStyle w:val="71"/>
              <w:spacing w:before="24" w:after="24"/>
              <w:rPr>
                <w:rFonts w:cs="Times New Roman"/>
              </w:rPr>
            </w:pPr>
            <w:r>
              <w:rPr>
                <w:rFonts w:cs="Times New Roman"/>
              </w:rPr>
              <w:t>0.035</w:t>
            </w:r>
          </w:p>
        </w:tc>
      </w:tr>
      <w:tr w14:paraId="31FEA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vAlign w:val="center"/>
          </w:tcPr>
          <w:p w14:paraId="39E43582">
            <w:pPr>
              <w:pStyle w:val="71"/>
              <w:spacing w:before="24" w:after="24"/>
              <w:rPr>
                <w:rFonts w:cs="Times New Roman"/>
              </w:rPr>
            </w:pPr>
            <w:r>
              <w:rPr>
                <w:rFonts w:cs="Times New Roman"/>
              </w:rPr>
              <w:t>5</w:t>
            </w:r>
          </w:p>
        </w:tc>
        <w:tc>
          <w:tcPr>
            <w:tcW w:w="1210" w:type="dxa"/>
            <w:vAlign w:val="center"/>
          </w:tcPr>
          <w:p w14:paraId="02E59745">
            <w:pPr>
              <w:pStyle w:val="71"/>
              <w:spacing w:before="24" w:after="24"/>
              <w:rPr>
                <w:rFonts w:cs="Times New Roman"/>
              </w:rPr>
            </w:pPr>
            <w:r>
              <w:rPr>
                <w:rFonts w:cs="Times New Roman"/>
              </w:rPr>
              <w:t>甲硫醚</w:t>
            </w:r>
          </w:p>
        </w:tc>
        <w:tc>
          <w:tcPr>
            <w:tcW w:w="1214" w:type="dxa"/>
            <w:vAlign w:val="center"/>
          </w:tcPr>
          <w:p w14:paraId="3CE8D9C7">
            <w:pPr>
              <w:pStyle w:val="71"/>
              <w:spacing w:before="24" w:after="24"/>
              <w:rPr>
                <w:rFonts w:cs="Times New Roman"/>
              </w:rPr>
            </w:pPr>
            <w:r>
              <w:rPr>
                <w:rFonts w:cs="Times New Roman"/>
              </w:rPr>
              <w:t>mg/m</w:t>
            </w:r>
            <w:r>
              <w:rPr>
                <w:rFonts w:cs="Times New Roman"/>
                <w:vertAlign w:val="superscript"/>
              </w:rPr>
              <w:t>3</w:t>
            </w:r>
          </w:p>
        </w:tc>
        <w:tc>
          <w:tcPr>
            <w:tcW w:w="1281" w:type="dxa"/>
            <w:vAlign w:val="center"/>
          </w:tcPr>
          <w:p w14:paraId="4BF78B79">
            <w:pPr>
              <w:pStyle w:val="71"/>
              <w:spacing w:before="24" w:after="24"/>
              <w:rPr>
                <w:rFonts w:cs="Times New Roman"/>
              </w:rPr>
            </w:pPr>
            <w:r>
              <w:rPr>
                <w:rFonts w:cs="Times New Roman"/>
              </w:rPr>
              <w:t>0.03</w:t>
            </w:r>
          </w:p>
        </w:tc>
        <w:tc>
          <w:tcPr>
            <w:tcW w:w="1282" w:type="dxa"/>
            <w:vAlign w:val="center"/>
          </w:tcPr>
          <w:p w14:paraId="72AE8C2D">
            <w:pPr>
              <w:pStyle w:val="71"/>
              <w:spacing w:before="24" w:after="24"/>
              <w:rPr>
                <w:rFonts w:cs="Times New Roman"/>
              </w:rPr>
            </w:pPr>
            <w:r>
              <w:rPr>
                <w:rFonts w:cs="Times New Roman"/>
              </w:rPr>
              <w:t>0.07</w:t>
            </w:r>
          </w:p>
        </w:tc>
        <w:tc>
          <w:tcPr>
            <w:tcW w:w="1214" w:type="dxa"/>
            <w:vAlign w:val="center"/>
          </w:tcPr>
          <w:p w14:paraId="2D4497C7">
            <w:pPr>
              <w:pStyle w:val="71"/>
              <w:spacing w:before="24" w:after="24"/>
              <w:rPr>
                <w:rFonts w:cs="Times New Roman"/>
              </w:rPr>
            </w:pPr>
            <w:r>
              <w:rPr>
                <w:rFonts w:cs="Times New Roman"/>
              </w:rPr>
              <w:t>0.15</w:t>
            </w:r>
          </w:p>
        </w:tc>
        <w:tc>
          <w:tcPr>
            <w:tcW w:w="1190" w:type="dxa"/>
            <w:vAlign w:val="center"/>
          </w:tcPr>
          <w:p w14:paraId="3B7F89D4">
            <w:pPr>
              <w:pStyle w:val="71"/>
              <w:spacing w:before="24" w:after="24"/>
              <w:rPr>
                <w:rFonts w:cs="Times New Roman"/>
              </w:rPr>
            </w:pPr>
            <w:r>
              <w:rPr>
                <w:rFonts w:cs="Times New Roman"/>
              </w:rPr>
              <w:t>0.55</w:t>
            </w:r>
          </w:p>
        </w:tc>
        <w:tc>
          <w:tcPr>
            <w:tcW w:w="1091" w:type="dxa"/>
            <w:vAlign w:val="center"/>
          </w:tcPr>
          <w:p w14:paraId="26D7705F">
            <w:pPr>
              <w:pStyle w:val="71"/>
              <w:spacing w:before="24" w:after="24"/>
              <w:rPr>
                <w:rFonts w:cs="Times New Roman"/>
              </w:rPr>
            </w:pPr>
            <w:r>
              <w:rPr>
                <w:rFonts w:cs="Times New Roman"/>
              </w:rPr>
              <w:t>1.10</w:t>
            </w:r>
          </w:p>
        </w:tc>
      </w:tr>
      <w:tr w14:paraId="2850F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vAlign w:val="center"/>
          </w:tcPr>
          <w:p w14:paraId="10FEB691">
            <w:pPr>
              <w:pStyle w:val="71"/>
              <w:spacing w:before="24" w:after="24"/>
              <w:rPr>
                <w:rFonts w:cs="Times New Roman"/>
              </w:rPr>
            </w:pPr>
            <w:r>
              <w:rPr>
                <w:rFonts w:cs="Times New Roman"/>
              </w:rPr>
              <w:t>6</w:t>
            </w:r>
          </w:p>
        </w:tc>
        <w:tc>
          <w:tcPr>
            <w:tcW w:w="1210" w:type="dxa"/>
            <w:vAlign w:val="center"/>
          </w:tcPr>
          <w:p w14:paraId="16AE98BE">
            <w:pPr>
              <w:pStyle w:val="71"/>
              <w:spacing w:before="24" w:after="24"/>
              <w:rPr>
                <w:rFonts w:cs="Times New Roman"/>
              </w:rPr>
            </w:pPr>
            <w:r>
              <w:rPr>
                <w:rFonts w:cs="Times New Roman"/>
              </w:rPr>
              <w:t>二甲二硫</w:t>
            </w:r>
          </w:p>
        </w:tc>
        <w:tc>
          <w:tcPr>
            <w:tcW w:w="1214" w:type="dxa"/>
            <w:vAlign w:val="center"/>
          </w:tcPr>
          <w:p w14:paraId="4326701D">
            <w:pPr>
              <w:pStyle w:val="71"/>
              <w:spacing w:before="24" w:after="24"/>
              <w:rPr>
                <w:rFonts w:cs="Times New Roman"/>
              </w:rPr>
            </w:pPr>
            <w:r>
              <w:rPr>
                <w:rFonts w:cs="Times New Roman"/>
              </w:rPr>
              <w:t>mg/m</w:t>
            </w:r>
            <w:r>
              <w:rPr>
                <w:rFonts w:cs="Times New Roman"/>
                <w:vertAlign w:val="superscript"/>
              </w:rPr>
              <w:t>3</w:t>
            </w:r>
          </w:p>
        </w:tc>
        <w:tc>
          <w:tcPr>
            <w:tcW w:w="1281" w:type="dxa"/>
            <w:vAlign w:val="center"/>
          </w:tcPr>
          <w:p w14:paraId="34A7E021">
            <w:pPr>
              <w:pStyle w:val="71"/>
              <w:spacing w:before="24" w:after="24"/>
              <w:rPr>
                <w:rFonts w:cs="Times New Roman"/>
              </w:rPr>
            </w:pPr>
            <w:r>
              <w:rPr>
                <w:rFonts w:cs="Times New Roman"/>
              </w:rPr>
              <w:t>0.03</w:t>
            </w:r>
          </w:p>
        </w:tc>
        <w:tc>
          <w:tcPr>
            <w:tcW w:w="1282" w:type="dxa"/>
            <w:vAlign w:val="center"/>
          </w:tcPr>
          <w:p w14:paraId="274E126E">
            <w:pPr>
              <w:pStyle w:val="71"/>
              <w:spacing w:before="24" w:after="24"/>
              <w:rPr>
                <w:rFonts w:cs="Times New Roman"/>
              </w:rPr>
            </w:pPr>
            <w:r>
              <w:rPr>
                <w:rFonts w:cs="Times New Roman"/>
              </w:rPr>
              <w:t>0.06</w:t>
            </w:r>
          </w:p>
        </w:tc>
        <w:tc>
          <w:tcPr>
            <w:tcW w:w="1214" w:type="dxa"/>
            <w:vAlign w:val="center"/>
          </w:tcPr>
          <w:p w14:paraId="7925C187">
            <w:pPr>
              <w:pStyle w:val="71"/>
              <w:spacing w:before="24" w:after="24"/>
              <w:rPr>
                <w:rFonts w:cs="Times New Roman"/>
              </w:rPr>
            </w:pPr>
            <w:r>
              <w:rPr>
                <w:rFonts w:cs="Times New Roman"/>
              </w:rPr>
              <w:t>0.13</w:t>
            </w:r>
          </w:p>
        </w:tc>
        <w:tc>
          <w:tcPr>
            <w:tcW w:w="1190" w:type="dxa"/>
            <w:vAlign w:val="center"/>
          </w:tcPr>
          <w:p w14:paraId="387E4165">
            <w:pPr>
              <w:pStyle w:val="71"/>
              <w:spacing w:before="24" w:after="24"/>
              <w:rPr>
                <w:rFonts w:cs="Times New Roman"/>
              </w:rPr>
            </w:pPr>
            <w:r>
              <w:rPr>
                <w:rFonts w:cs="Times New Roman"/>
              </w:rPr>
              <w:t>0.42</w:t>
            </w:r>
          </w:p>
        </w:tc>
        <w:tc>
          <w:tcPr>
            <w:tcW w:w="1091" w:type="dxa"/>
            <w:vAlign w:val="center"/>
          </w:tcPr>
          <w:p w14:paraId="5E9F8227">
            <w:pPr>
              <w:pStyle w:val="71"/>
              <w:spacing w:before="24" w:after="24"/>
              <w:rPr>
                <w:rFonts w:cs="Times New Roman"/>
              </w:rPr>
            </w:pPr>
            <w:r>
              <w:rPr>
                <w:rFonts w:cs="Times New Roman"/>
              </w:rPr>
              <w:t>0.71</w:t>
            </w:r>
          </w:p>
        </w:tc>
      </w:tr>
      <w:tr w14:paraId="4503C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vAlign w:val="center"/>
          </w:tcPr>
          <w:p w14:paraId="442472C5">
            <w:pPr>
              <w:pStyle w:val="71"/>
              <w:spacing w:before="24" w:after="24"/>
              <w:rPr>
                <w:rFonts w:cs="Times New Roman"/>
              </w:rPr>
            </w:pPr>
            <w:r>
              <w:rPr>
                <w:rFonts w:cs="Times New Roman"/>
              </w:rPr>
              <w:t>7</w:t>
            </w:r>
          </w:p>
        </w:tc>
        <w:tc>
          <w:tcPr>
            <w:tcW w:w="1210" w:type="dxa"/>
            <w:vAlign w:val="center"/>
          </w:tcPr>
          <w:p w14:paraId="4553BBFE">
            <w:pPr>
              <w:pStyle w:val="71"/>
              <w:spacing w:before="24" w:after="24"/>
              <w:rPr>
                <w:rFonts w:cs="Times New Roman"/>
              </w:rPr>
            </w:pPr>
            <w:r>
              <w:rPr>
                <w:rFonts w:cs="Times New Roman"/>
              </w:rPr>
              <w:t>二硫化碳</w:t>
            </w:r>
          </w:p>
        </w:tc>
        <w:tc>
          <w:tcPr>
            <w:tcW w:w="1214" w:type="dxa"/>
            <w:vAlign w:val="center"/>
          </w:tcPr>
          <w:p w14:paraId="385FE39A">
            <w:pPr>
              <w:pStyle w:val="71"/>
              <w:spacing w:before="24" w:after="24"/>
              <w:rPr>
                <w:rFonts w:cs="Times New Roman"/>
              </w:rPr>
            </w:pPr>
            <w:r>
              <w:rPr>
                <w:rFonts w:cs="Times New Roman"/>
              </w:rPr>
              <w:t>mg/m</w:t>
            </w:r>
            <w:r>
              <w:rPr>
                <w:rFonts w:cs="Times New Roman"/>
                <w:vertAlign w:val="superscript"/>
              </w:rPr>
              <w:t>3</w:t>
            </w:r>
          </w:p>
        </w:tc>
        <w:tc>
          <w:tcPr>
            <w:tcW w:w="1281" w:type="dxa"/>
            <w:vAlign w:val="center"/>
          </w:tcPr>
          <w:p w14:paraId="51AB6D1A">
            <w:pPr>
              <w:pStyle w:val="71"/>
              <w:spacing w:before="24" w:after="24"/>
              <w:rPr>
                <w:rFonts w:cs="Times New Roman"/>
              </w:rPr>
            </w:pPr>
            <w:r>
              <w:rPr>
                <w:rFonts w:cs="Times New Roman"/>
              </w:rPr>
              <w:t>2.0</w:t>
            </w:r>
          </w:p>
        </w:tc>
        <w:tc>
          <w:tcPr>
            <w:tcW w:w="1282" w:type="dxa"/>
            <w:vAlign w:val="center"/>
          </w:tcPr>
          <w:p w14:paraId="38855656">
            <w:pPr>
              <w:pStyle w:val="71"/>
              <w:spacing w:before="24" w:after="24"/>
              <w:rPr>
                <w:rFonts w:cs="Times New Roman"/>
              </w:rPr>
            </w:pPr>
            <w:r>
              <w:rPr>
                <w:rFonts w:cs="Times New Roman"/>
              </w:rPr>
              <w:t>3.0</w:t>
            </w:r>
          </w:p>
        </w:tc>
        <w:tc>
          <w:tcPr>
            <w:tcW w:w="1214" w:type="dxa"/>
            <w:vAlign w:val="center"/>
          </w:tcPr>
          <w:p w14:paraId="6E4DFD8D">
            <w:pPr>
              <w:pStyle w:val="71"/>
              <w:spacing w:before="24" w:after="24"/>
              <w:rPr>
                <w:rFonts w:cs="Times New Roman"/>
              </w:rPr>
            </w:pPr>
            <w:r>
              <w:rPr>
                <w:rFonts w:cs="Times New Roman"/>
              </w:rPr>
              <w:t>5.0</w:t>
            </w:r>
          </w:p>
        </w:tc>
        <w:tc>
          <w:tcPr>
            <w:tcW w:w="1190" w:type="dxa"/>
            <w:vAlign w:val="center"/>
          </w:tcPr>
          <w:p w14:paraId="41050209">
            <w:pPr>
              <w:pStyle w:val="71"/>
              <w:spacing w:before="24" w:after="24"/>
              <w:rPr>
                <w:rFonts w:cs="Times New Roman"/>
              </w:rPr>
            </w:pPr>
            <w:r>
              <w:rPr>
                <w:rFonts w:cs="Times New Roman"/>
              </w:rPr>
              <w:t>8.0</w:t>
            </w:r>
          </w:p>
        </w:tc>
        <w:tc>
          <w:tcPr>
            <w:tcW w:w="1091" w:type="dxa"/>
            <w:vAlign w:val="center"/>
          </w:tcPr>
          <w:p w14:paraId="782BD7D3">
            <w:pPr>
              <w:pStyle w:val="71"/>
              <w:spacing w:before="24" w:after="24"/>
              <w:rPr>
                <w:rFonts w:cs="Times New Roman"/>
              </w:rPr>
            </w:pPr>
            <w:r>
              <w:rPr>
                <w:rFonts w:cs="Times New Roman"/>
              </w:rPr>
              <w:t>10</w:t>
            </w:r>
          </w:p>
        </w:tc>
      </w:tr>
      <w:tr w14:paraId="591C2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vAlign w:val="center"/>
          </w:tcPr>
          <w:p w14:paraId="3C25EB0F">
            <w:pPr>
              <w:pStyle w:val="71"/>
              <w:spacing w:before="24" w:after="24"/>
              <w:rPr>
                <w:rFonts w:cs="Times New Roman"/>
              </w:rPr>
            </w:pPr>
            <w:r>
              <w:rPr>
                <w:rFonts w:cs="Times New Roman"/>
              </w:rPr>
              <w:t>8</w:t>
            </w:r>
          </w:p>
        </w:tc>
        <w:tc>
          <w:tcPr>
            <w:tcW w:w="1210" w:type="dxa"/>
            <w:vAlign w:val="center"/>
          </w:tcPr>
          <w:p w14:paraId="15B7834E">
            <w:pPr>
              <w:pStyle w:val="71"/>
              <w:spacing w:before="24" w:after="24"/>
              <w:rPr>
                <w:rFonts w:cs="Times New Roman"/>
              </w:rPr>
            </w:pPr>
            <w:r>
              <w:rPr>
                <w:rFonts w:cs="Times New Roman"/>
              </w:rPr>
              <w:t>苯乙烯</w:t>
            </w:r>
          </w:p>
        </w:tc>
        <w:tc>
          <w:tcPr>
            <w:tcW w:w="1214" w:type="dxa"/>
            <w:vAlign w:val="center"/>
          </w:tcPr>
          <w:p w14:paraId="3C350D8B">
            <w:pPr>
              <w:pStyle w:val="71"/>
              <w:spacing w:before="24" w:after="24"/>
              <w:rPr>
                <w:rFonts w:cs="Times New Roman"/>
              </w:rPr>
            </w:pPr>
            <w:r>
              <w:rPr>
                <w:rFonts w:cs="Times New Roman"/>
              </w:rPr>
              <w:t>mg/m</w:t>
            </w:r>
            <w:r>
              <w:rPr>
                <w:rFonts w:cs="Times New Roman"/>
                <w:vertAlign w:val="superscript"/>
              </w:rPr>
              <w:t>3</w:t>
            </w:r>
          </w:p>
        </w:tc>
        <w:tc>
          <w:tcPr>
            <w:tcW w:w="1281" w:type="dxa"/>
            <w:vAlign w:val="center"/>
          </w:tcPr>
          <w:p w14:paraId="5A556EE7">
            <w:pPr>
              <w:pStyle w:val="71"/>
              <w:spacing w:before="24" w:after="24"/>
              <w:rPr>
                <w:rFonts w:cs="Times New Roman"/>
              </w:rPr>
            </w:pPr>
            <w:r>
              <w:rPr>
                <w:rFonts w:cs="Times New Roman"/>
              </w:rPr>
              <w:t>3.0</w:t>
            </w:r>
          </w:p>
        </w:tc>
        <w:tc>
          <w:tcPr>
            <w:tcW w:w="1282" w:type="dxa"/>
            <w:vAlign w:val="center"/>
          </w:tcPr>
          <w:p w14:paraId="1A8C72DB">
            <w:pPr>
              <w:pStyle w:val="71"/>
              <w:spacing w:before="24" w:after="24"/>
              <w:rPr>
                <w:rFonts w:cs="Times New Roman"/>
              </w:rPr>
            </w:pPr>
            <w:r>
              <w:rPr>
                <w:rFonts w:cs="Times New Roman"/>
              </w:rPr>
              <w:t>5.0</w:t>
            </w:r>
          </w:p>
        </w:tc>
        <w:tc>
          <w:tcPr>
            <w:tcW w:w="1214" w:type="dxa"/>
            <w:vAlign w:val="center"/>
          </w:tcPr>
          <w:p w14:paraId="191EF45B">
            <w:pPr>
              <w:pStyle w:val="71"/>
              <w:spacing w:before="24" w:after="24"/>
              <w:rPr>
                <w:rFonts w:cs="Times New Roman"/>
              </w:rPr>
            </w:pPr>
            <w:r>
              <w:rPr>
                <w:rFonts w:cs="Times New Roman"/>
              </w:rPr>
              <w:t>7.0</w:t>
            </w:r>
          </w:p>
        </w:tc>
        <w:tc>
          <w:tcPr>
            <w:tcW w:w="1190" w:type="dxa"/>
            <w:vAlign w:val="center"/>
          </w:tcPr>
          <w:p w14:paraId="539114C2">
            <w:pPr>
              <w:pStyle w:val="71"/>
              <w:spacing w:before="24" w:after="24"/>
              <w:rPr>
                <w:rFonts w:cs="Times New Roman"/>
              </w:rPr>
            </w:pPr>
            <w:r>
              <w:rPr>
                <w:rFonts w:cs="Times New Roman"/>
              </w:rPr>
              <w:t>14</w:t>
            </w:r>
          </w:p>
        </w:tc>
        <w:tc>
          <w:tcPr>
            <w:tcW w:w="1091" w:type="dxa"/>
            <w:vAlign w:val="center"/>
          </w:tcPr>
          <w:p w14:paraId="7FD63E2C">
            <w:pPr>
              <w:pStyle w:val="71"/>
              <w:spacing w:before="24" w:after="24"/>
              <w:rPr>
                <w:rFonts w:cs="Times New Roman"/>
              </w:rPr>
            </w:pPr>
            <w:r>
              <w:rPr>
                <w:rFonts w:cs="Times New Roman"/>
              </w:rPr>
              <w:t>19</w:t>
            </w:r>
          </w:p>
        </w:tc>
      </w:tr>
      <w:tr w14:paraId="1EEA3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vAlign w:val="center"/>
          </w:tcPr>
          <w:p w14:paraId="28FDCF52">
            <w:pPr>
              <w:pStyle w:val="71"/>
              <w:spacing w:before="24" w:after="24"/>
              <w:rPr>
                <w:rFonts w:cs="Times New Roman"/>
              </w:rPr>
            </w:pPr>
            <w:r>
              <w:rPr>
                <w:rFonts w:cs="Times New Roman"/>
              </w:rPr>
              <w:t>9</w:t>
            </w:r>
          </w:p>
        </w:tc>
        <w:tc>
          <w:tcPr>
            <w:tcW w:w="1210" w:type="dxa"/>
            <w:vAlign w:val="center"/>
          </w:tcPr>
          <w:p w14:paraId="2C074A91">
            <w:pPr>
              <w:pStyle w:val="71"/>
              <w:spacing w:before="24" w:after="24"/>
              <w:rPr>
                <w:rFonts w:cs="Times New Roman"/>
              </w:rPr>
            </w:pPr>
            <w:r>
              <w:rPr>
                <w:rFonts w:cs="Times New Roman"/>
              </w:rPr>
              <w:t>臭气浓度</w:t>
            </w:r>
          </w:p>
        </w:tc>
        <w:tc>
          <w:tcPr>
            <w:tcW w:w="1214" w:type="dxa"/>
            <w:vAlign w:val="center"/>
          </w:tcPr>
          <w:p w14:paraId="2EC464FC">
            <w:pPr>
              <w:pStyle w:val="71"/>
              <w:spacing w:before="24" w:after="24"/>
              <w:rPr>
                <w:rFonts w:cs="Times New Roman"/>
              </w:rPr>
            </w:pPr>
            <w:r>
              <w:rPr>
                <w:rFonts w:cs="Times New Roman"/>
              </w:rPr>
              <w:t>无量纲</w:t>
            </w:r>
          </w:p>
        </w:tc>
        <w:tc>
          <w:tcPr>
            <w:tcW w:w="1281" w:type="dxa"/>
            <w:vAlign w:val="center"/>
          </w:tcPr>
          <w:p w14:paraId="3F62D5E3">
            <w:pPr>
              <w:pStyle w:val="71"/>
              <w:spacing w:before="24" w:after="24"/>
              <w:rPr>
                <w:rFonts w:cs="Times New Roman"/>
              </w:rPr>
            </w:pPr>
            <w:r>
              <w:rPr>
                <w:rFonts w:cs="Times New Roman"/>
              </w:rPr>
              <w:t>10</w:t>
            </w:r>
          </w:p>
        </w:tc>
        <w:tc>
          <w:tcPr>
            <w:tcW w:w="1282" w:type="dxa"/>
            <w:vAlign w:val="center"/>
          </w:tcPr>
          <w:p w14:paraId="4DB44419">
            <w:pPr>
              <w:pStyle w:val="71"/>
              <w:spacing w:before="24" w:after="24"/>
              <w:rPr>
                <w:rFonts w:cs="Times New Roman"/>
              </w:rPr>
            </w:pPr>
            <w:r>
              <w:rPr>
                <w:rFonts w:cs="Times New Roman"/>
              </w:rPr>
              <w:t>20</w:t>
            </w:r>
          </w:p>
        </w:tc>
        <w:tc>
          <w:tcPr>
            <w:tcW w:w="1214" w:type="dxa"/>
            <w:vAlign w:val="center"/>
          </w:tcPr>
          <w:p w14:paraId="17A55CBC">
            <w:pPr>
              <w:pStyle w:val="71"/>
              <w:spacing w:before="24" w:after="24"/>
              <w:rPr>
                <w:rFonts w:cs="Times New Roman"/>
              </w:rPr>
            </w:pPr>
            <w:r>
              <w:rPr>
                <w:rFonts w:cs="Times New Roman"/>
              </w:rPr>
              <w:t>30</w:t>
            </w:r>
          </w:p>
        </w:tc>
        <w:tc>
          <w:tcPr>
            <w:tcW w:w="1190" w:type="dxa"/>
            <w:vAlign w:val="center"/>
          </w:tcPr>
          <w:p w14:paraId="3DE3501E">
            <w:pPr>
              <w:pStyle w:val="71"/>
              <w:spacing w:before="24" w:after="24"/>
              <w:rPr>
                <w:rFonts w:cs="Times New Roman"/>
              </w:rPr>
            </w:pPr>
            <w:r>
              <w:rPr>
                <w:rFonts w:cs="Times New Roman"/>
              </w:rPr>
              <w:t>60</w:t>
            </w:r>
          </w:p>
        </w:tc>
        <w:tc>
          <w:tcPr>
            <w:tcW w:w="1091" w:type="dxa"/>
            <w:vAlign w:val="center"/>
          </w:tcPr>
          <w:p w14:paraId="5485751A">
            <w:pPr>
              <w:pStyle w:val="71"/>
              <w:spacing w:before="24" w:after="24"/>
              <w:rPr>
                <w:rFonts w:cs="Times New Roman"/>
              </w:rPr>
            </w:pPr>
            <w:r>
              <w:rPr>
                <w:rFonts w:cs="Times New Roman"/>
              </w:rPr>
              <w:t>70</w:t>
            </w:r>
          </w:p>
        </w:tc>
      </w:tr>
    </w:tbl>
    <w:p w14:paraId="1A4C923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1.4渗滤液处理站出水水质标准</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80"/>
        <w:gridCol w:w="4906"/>
      </w:tblGrid>
      <w:tr w14:paraId="6D27D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0" w:type="dxa"/>
            <w:tcBorders>
              <w:top w:val="single" w:color="auto" w:sz="4" w:space="0"/>
              <w:left w:val="single" w:color="auto" w:sz="4" w:space="0"/>
              <w:bottom w:val="single" w:color="auto" w:sz="4" w:space="0"/>
              <w:right w:val="single" w:color="auto" w:sz="4" w:space="0"/>
            </w:tcBorders>
            <w:vAlign w:val="center"/>
          </w:tcPr>
          <w:p w14:paraId="0692A0C0">
            <w:pPr>
              <w:pStyle w:val="71"/>
              <w:spacing w:before="24" w:after="24"/>
              <w:rPr>
                <w:rFonts w:cs="Times New Roman"/>
              </w:rPr>
            </w:pPr>
            <w:r>
              <w:rPr>
                <w:rFonts w:cs="Times New Roman"/>
              </w:rPr>
              <w:t>污水水质指标</w:t>
            </w:r>
          </w:p>
        </w:tc>
        <w:tc>
          <w:tcPr>
            <w:tcW w:w="4906" w:type="dxa"/>
            <w:tcBorders>
              <w:top w:val="single" w:color="auto" w:sz="4" w:space="0"/>
              <w:left w:val="single" w:color="auto" w:sz="4" w:space="0"/>
              <w:bottom w:val="single" w:color="auto" w:sz="4" w:space="0"/>
              <w:right w:val="single" w:color="auto" w:sz="4" w:space="0"/>
            </w:tcBorders>
            <w:vAlign w:val="center"/>
          </w:tcPr>
          <w:p w14:paraId="422DABE2">
            <w:pPr>
              <w:pStyle w:val="71"/>
              <w:spacing w:before="24" w:after="24"/>
              <w:rPr>
                <w:rFonts w:cs="Times New Roman"/>
              </w:rPr>
            </w:pPr>
            <w:r>
              <w:rPr>
                <w:rFonts w:cs="Times New Roman"/>
              </w:rPr>
              <w:t>进水水质设计值（mg/L）</w:t>
            </w:r>
          </w:p>
        </w:tc>
      </w:tr>
      <w:tr w14:paraId="26EBF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0" w:type="dxa"/>
            <w:tcBorders>
              <w:top w:val="single" w:color="auto" w:sz="4" w:space="0"/>
              <w:left w:val="single" w:color="auto" w:sz="4" w:space="0"/>
              <w:bottom w:val="single" w:color="auto" w:sz="4" w:space="0"/>
              <w:right w:val="single" w:color="auto" w:sz="4" w:space="0"/>
            </w:tcBorders>
            <w:vAlign w:val="center"/>
          </w:tcPr>
          <w:p w14:paraId="2C84AC31">
            <w:pPr>
              <w:pStyle w:val="71"/>
              <w:spacing w:before="24" w:after="24"/>
              <w:rPr>
                <w:rFonts w:cs="Times New Roman"/>
              </w:rPr>
            </w:pPr>
            <w:r>
              <w:rPr>
                <w:rFonts w:cs="Times New Roman"/>
              </w:rPr>
              <w:t>PH</w:t>
            </w:r>
          </w:p>
        </w:tc>
        <w:tc>
          <w:tcPr>
            <w:tcW w:w="4906" w:type="dxa"/>
            <w:tcBorders>
              <w:top w:val="single" w:color="auto" w:sz="4" w:space="0"/>
              <w:left w:val="single" w:color="auto" w:sz="4" w:space="0"/>
              <w:bottom w:val="single" w:color="auto" w:sz="4" w:space="0"/>
              <w:right w:val="single" w:color="auto" w:sz="4" w:space="0"/>
            </w:tcBorders>
            <w:vAlign w:val="center"/>
          </w:tcPr>
          <w:p w14:paraId="78CE8C5E">
            <w:pPr>
              <w:pStyle w:val="71"/>
              <w:spacing w:before="24" w:after="24"/>
              <w:rPr>
                <w:rFonts w:cs="Times New Roman"/>
              </w:rPr>
            </w:pPr>
            <w:r>
              <w:rPr>
                <w:rFonts w:cs="Times New Roman"/>
              </w:rPr>
              <w:t>6~9</w:t>
            </w:r>
          </w:p>
        </w:tc>
      </w:tr>
      <w:tr w14:paraId="2D045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0" w:type="dxa"/>
            <w:tcBorders>
              <w:top w:val="single" w:color="auto" w:sz="4" w:space="0"/>
              <w:left w:val="single" w:color="auto" w:sz="4" w:space="0"/>
              <w:bottom w:val="single" w:color="auto" w:sz="4" w:space="0"/>
              <w:right w:val="single" w:color="auto" w:sz="4" w:space="0"/>
            </w:tcBorders>
            <w:vAlign w:val="center"/>
          </w:tcPr>
          <w:p w14:paraId="45894F56">
            <w:pPr>
              <w:pStyle w:val="71"/>
              <w:spacing w:before="24" w:after="24"/>
              <w:rPr>
                <w:rFonts w:cs="Times New Roman"/>
              </w:rPr>
            </w:pPr>
            <w:r>
              <w:rPr>
                <w:rFonts w:cs="Times New Roman"/>
              </w:rPr>
              <w:t>CODCr</w:t>
            </w:r>
          </w:p>
        </w:tc>
        <w:tc>
          <w:tcPr>
            <w:tcW w:w="4906" w:type="dxa"/>
            <w:tcBorders>
              <w:top w:val="single" w:color="auto" w:sz="4" w:space="0"/>
              <w:left w:val="single" w:color="auto" w:sz="4" w:space="0"/>
              <w:bottom w:val="single" w:color="auto" w:sz="4" w:space="0"/>
              <w:right w:val="single" w:color="auto" w:sz="4" w:space="0"/>
            </w:tcBorders>
            <w:vAlign w:val="center"/>
          </w:tcPr>
          <w:p w14:paraId="3FB56584">
            <w:pPr>
              <w:pStyle w:val="71"/>
              <w:spacing w:before="24" w:after="24"/>
              <w:rPr>
                <w:rFonts w:cs="Times New Roman"/>
              </w:rPr>
            </w:pPr>
            <w:r>
              <w:rPr>
                <w:rFonts w:cs="Times New Roman"/>
              </w:rPr>
              <w:t>≤500</w:t>
            </w:r>
          </w:p>
        </w:tc>
      </w:tr>
      <w:tr w14:paraId="0216A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0" w:type="dxa"/>
            <w:tcBorders>
              <w:top w:val="single" w:color="auto" w:sz="4" w:space="0"/>
              <w:left w:val="single" w:color="auto" w:sz="4" w:space="0"/>
              <w:bottom w:val="single" w:color="auto" w:sz="4" w:space="0"/>
              <w:right w:val="single" w:color="auto" w:sz="4" w:space="0"/>
            </w:tcBorders>
            <w:vAlign w:val="center"/>
          </w:tcPr>
          <w:p w14:paraId="1AEBBBC8">
            <w:pPr>
              <w:pStyle w:val="71"/>
              <w:spacing w:before="24" w:after="24"/>
              <w:rPr>
                <w:rFonts w:cs="Times New Roman"/>
              </w:rPr>
            </w:pPr>
            <w:r>
              <w:rPr>
                <w:rFonts w:cs="Times New Roman"/>
              </w:rPr>
              <w:t>BOD5</w:t>
            </w:r>
          </w:p>
        </w:tc>
        <w:tc>
          <w:tcPr>
            <w:tcW w:w="4906" w:type="dxa"/>
            <w:tcBorders>
              <w:top w:val="single" w:color="auto" w:sz="4" w:space="0"/>
              <w:left w:val="single" w:color="auto" w:sz="4" w:space="0"/>
              <w:bottom w:val="single" w:color="auto" w:sz="4" w:space="0"/>
              <w:right w:val="single" w:color="auto" w:sz="4" w:space="0"/>
            </w:tcBorders>
            <w:vAlign w:val="center"/>
          </w:tcPr>
          <w:p w14:paraId="608FA76B">
            <w:pPr>
              <w:pStyle w:val="71"/>
              <w:spacing w:before="24" w:after="24"/>
              <w:rPr>
                <w:rFonts w:cs="Times New Roman"/>
              </w:rPr>
            </w:pPr>
            <w:r>
              <w:rPr>
                <w:rFonts w:cs="Times New Roman"/>
              </w:rPr>
              <w:t>≤300</w:t>
            </w:r>
          </w:p>
        </w:tc>
      </w:tr>
      <w:tr w14:paraId="2146B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0" w:type="dxa"/>
            <w:tcBorders>
              <w:top w:val="single" w:color="auto" w:sz="4" w:space="0"/>
              <w:left w:val="single" w:color="auto" w:sz="4" w:space="0"/>
              <w:bottom w:val="single" w:color="auto" w:sz="4" w:space="0"/>
              <w:right w:val="single" w:color="auto" w:sz="4" w:space="0"/>
            </w:tcBorders>
            <w:vAlign w:val="center"/>
          </w:tcPr>
          <w:p w14:paraId="39974AA3">
            <w:pPr>
              <w:pStyle w:val="71"/>
              <w:spacing w:before="24" w:after="24"/>
              <w:rPr>
                <w:rFonts w:cs="Times New Roman"/>
              </w:rPr>
            </w:pPr>
            <w:r>
              <w:rPr>
                <w:rFonts w:cs="Times New Roman"/>
              </w:rPr>
              <w:t>氨氮</w:t>
            </w:r>
          </w:p>
        </w:tc>
        <w:tc>
          <w:tcPr>
            <w:tcW w:w="4906" w:type="dxa"/>
            <w:tcBorders>
              <w:top w:val="single" w:color="auto" w:sz="4" w:space="0"/>
              <w:left w:val="single" w:color="auto" w:sz="4" w:space="0"/>
              <w:bottom w:val="single" w:color="auto" w:sz="4" w:space="0"/>
              <w:right w:val="single" w:color="auto" w:sz="4" w:space="0"/>
            </w:tcBorders>
            <w:vAlign w:val="center"/>
          </w:tcPr>
          <w:p w14:paraId="7C173484">
            <w:pPr>
              <w:pStyle w:val="71"/>
              <w:spacing w:before="24" w:after="24"/>
              <w:rPr>
                <w:rFonts w:cs="Times New Roman"/>
              </w:rPr>
            </w:pPr>
            <w:r>
              <w:rPr>
                <w:rFonts w:cs="Times New Roman"/>
              </w:rPr>
              <w:t>≤25</w:t>
            </w:r>
          </w:p>
        </w:tc>
      </w:tr>
      <w:tr w14:paraId="00B32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0" w:type="dxa"/>
            <w:tcBorders>
              <w:top w:val="single" w:color="auto" w:sz="4" w:space="0"/>
              <w:left w:val="single" w:color="auto" w:sz="4" w:space="0"/>
              <w:bottom w:val="single" w:color="auto" w:sz="4" w:space="0"/>
              <w:right w:val="single" w:color="auto" w:sz="4" w:space="0"/>
            </w:tcBorders>
            <w:vAlign w:val="center"/>
          </w:tcPr>
          <w:p w14:paraId="304CE096">
            <w:pPr>
              <w:pStyle w:val="71"/>
              <w:spacing w:before="24" w:after="24"/>
              <w:rPr>
                <w:rFonts w:cs="Times New Roman"/>
              </w:rPr>
            </w:pPr>
            <w:r>
              <w:rPr>
                <w:rFonts w:cs="Times New Roman"/>
              </w:rPr>
              <w:t>SS</w:t>
            </w:r>
          </w:p>
        </w:tc>
        <w:tc>
          <w:tcPr>
            <w:tcW w:w="4906" w:type="dxa"/>
            <w:tcBorders>
              <w:top w:val="single" w:color="auto" w:sz="4" w:space="0"/>
              <w:left w:val="single" w:color="auto" w:sz="4" w:space="0"/>
              <w:bottom w:val="single" w:color="auto" w:sz="4" w:space="0"/>
              <w:right w:val="single" w:color="auto" w:sz="4" w:space="0"/>
            </w:tcBorders>
            <w:vAlign w:val="center"/>
          </w:tcPr>
          <w:p w14:paraId="1050A413">
            <w:pPr>
              <w:pStyle w:val="71"/>
              <w:spacing w:before="24" w:after="24"/>
              <w:rPr>
                <w:rFonts w:cs="Times New Roman"/>
              </w:rPr>
            </w:pPr>
            <w:r>
              <w:rPr>
                <w:rFonts w:cs="Times New Roman"/>
              </w:rPr>
              <w:t>≤400</w:t>
            </w:r>
          </w:p>
        </w:tc>
      </w:tr>
    </w:tbl>
    <w:p w14:paraId="75102256">
      <w:pPr>
        <w:pStyle w:val="54"/>
        <w:spacing w:before="24" w:after="24"/>
      </w:pPr>
      <w:r>
        <w:t>1.5灰渣控制标准</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1459"/>
        <w:gridCol w:w="3450"/>
        <w:gridCol w:w="3389"/>
      </w:tblGrid>
      <w:tr w14:paraId="3EA02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Merge w:val="restart"/>
            <w:tcBorders>
              <w:top w:val="single" w:color="auto" w:sz="4" w:space="0"/>
              <w:left w:val="single" w:color="auto" w:sz="4" w:space="0"/>
              <w:right w:val="single" w:color="auto" w:sz="4" w:space="0"/>
            </w:tcBorders>
            <w:vAlign w:val="center"/>
          </w:tcPr>
          <w:p w14:paraId="07022D44">
            <w:pPr>
              <w:pStyle w:val="71"/>
              <w:spacing w:before="24" w:after="24"/>
              <w:rPr>
                <w:rFonts w:cs="Times New Roman"/>
              </w:rPr>
            </w:pPr>
            <w:r>
              <w:rPr>
                <w:rFonts w:cs="Times New Roman"/>
              </w:rPr>
              <w:t>序号</w:t>
            </w:r>
          </w:p>
        </w:tc>
        <w:tc>
          <w:tcPr>
            <w:tcW w:w="1459" w:type="dxa"/>
            <w:vMerge w:val="restart"/>
            <w:tcBorders>
              <w:top w:val="single" w:color="auto" w:sz="4" w:space="0"/>
              <w:left w:val="single" w:color="auto" w:sz="4" w:space="0"/>
              <w:right w:val="single" w:color="auto" w:sz="4" w:space="0"/>
            </w:tcBorders>
            <w:vAlign w:val="center"/>
          </w:tcPr>
          <w:p w14:paraId="798F37A2">
            <w:pPr>
              <w:pStyle w:val="71"/>
              <w:spacing w:before="24" w:after="24"/>
              <w:rPr>
                <w:rFonts w:cs="Times New Roman"/>
              </w:rPr>
            </w:pPr>
            <w:r>
              <w:rPr>
                <w:rFonts w:cs="Times New Roman"/>
              </w:rPr>
              <w:t>指标</w:t>
            </w:r>
          </w:p>
        </w:tc>
        <w:tc>
          <w:tcPr>
            <w:tcW w:w="3450" w:type="dxa"/>
            <w:tcBorders>
              <w:top w:val="single" w:color="auto" w:sz="4" w:space="0"/>
              <w:left w:val="single" w:color="auto" w:sz="4" w:space="0"/>
              <w:bottom w:val="single" w:color="auto" w:sz="4" w:space="0"/>
              <w:right w:val="single" w:color="auto" w:sz="4" w:space="0"/>
            </w:tcBorders>
            <w:vAlign w:val="center"/>
          </w:tcPr>
          <w:p w14:paraId="065628F5">
            <w:pPr>
              <w:pStyle w:val="71"/>
              <w:spacing w:before="24" w:after="24"/>
              <w:rPr>
                <w:rFonts w:cs="Times New Roman"/>
              </w:rPr>
            </w:pPr>
            <w:r>
              <w:rPr>
                <w:rFonts w:cs="Times New Roman"/>
              </w:rPr>
              <w:t>危险废物鉴别标准－浸出毒性鉴别（GB5085.3-2007）</w:t>
            </w:r>
          </w:p>
        </w:tc>
        <w:tc>
          <w:tcPr>
            <w:tcW w:w="3389" w:type="dxa"/>
            <w:tcBorders>
              <w:top w:val="single" w:color="auto" w:sz="4" w:space="0"/>
              <w:left w:val="single" w:color="auto" w:sz="4" w:space="0"/>
              <w:bottom w:val="single" w:color="auto" w:sz="4" w:space="0"/>
              <w:right w:val="single" w:color="auto" w:sz="4" w:space="0"/>
            </w:tcBorders>
            <w:vAlign w:val="center"/>
          </w:tcPr>
          <w:p w14:paraId="326DF015">
            <w:pPr>
              <w:pStyle w:val="71"/>
              <w:spacing w:before="24" w:after="24"/>
              <w:rPr>
                <w:rFonts w:cs="Times New Roman"/>
              </w:rPr>
            </w:pPr>
            <w:r>
              <w:rPr>
                <w:rFonts w:cs="Times New Roman"/>
              </w:rPr>
              <w:t>《生活垃圾填埋场污染控制标准》（GB 16889—2008）</w:t>
            </w:r>
          </w:p>
        </w:tc>
      </w:tr>
      <w:tr w14:paraId="08E58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Merge w:val="continue"/>
            <w:tcBorders>
              <w:left w:val="single" w:color="auto" w:sz="4" w:space="0"/>
              <w:bottom w:val="single" w:color="auto" w:sz="4" w:space="0"/>
              <w:right w:val="single" w:color="auto" w:sz="4" w:space="0"/>
            </w:tcBorders>
            <w:vAlign w:val="center"/>
          </w:tcPr>
          <w:p w14:paraId="222481F3">
            <w:pPr>
              <w:pStyle w:val="71"/>
              <w:spacing w:before="24" w:after="24"/>
              <w:rPr>
                <w:rFonts w:cs="Times New Roman"/>
              </w:rPr>
            </w:pPr>
          </w:p>
        </w:tc>
        <w:tc>
          <w:tcPr>
            <w:tcW w:w="1459" w:type="dxa"/>
            <w:vMerge w:val="continue"/>
            <w:tcBorders>
              <w:left w:val="single" w:color="auto" w:sz="4" w:space="0"/>
              <w:bottom w:val="single" w:color="auto" w:sz="4" w:space="0"/>
              <w:right w:val="single" w:color="auto" w:sz="4" w:space="0"/>
            </w:tcBorders>
            <w:vAlign w:val="center"/>
          </w:tcPr>
          <w:p w14:paraId="6D9A0983">
            <w:pPr>
              <w:pStyle w:val="71"/>
              <w:spacing w:before="24" w:after="24"/>
              <w:rPr>
                <w:rFonts w:cs="Times New Roman"/>
              </w:rPr>
            </w:pPr>
          </w:p>
        </w:tc>
        <w:tc>
          <w:tcPr>
            <w:tcW w:w="3450" w:type="dxa"/>
            <w:tcBorders>
              <w:top w:val="single" w:color="auto" w:sz="4" w:space="0"/>
              <w:left w:val="single" w:color="auto" w:sz="4" w:space="0"/>
              <w:bottom w:val="single" w:color="auto" w:sz="4" w:space="0"/>
              <w:right w:val="single" w:color="auto" w:sz="4" w:space="0"/>
            </w:tcBorders>
            <w:vAlign w:val="center"/>
          </w:tcPr>
          <w:p w14:paraId="496BD64F">
            <w:pPr>
              <w:pStyle w:val="71"/>
              <w:spacing w:before="24" w:after="24"/>
              <w:rPr>
                <w:rFonts w:cs="Times New Roman"/>
              </w:rPr>
            </w:pPr>
            <w:r>
              <w:rPr>
                <w:rFonts w:cs="Times New Roman"/>
              </w:rPr>
              <w:t>mg/L</w:t>
            </w:r>
          </w:p>
        </w:tc>
        <w:tc>
          <w:tcPr>
            <w:tcW w:w="3389" w:type="dxa"/>
            <w:tcBorders>
              <w:top w:val="single" w:color="auto" w:sz="4" w:space="0"/>
              <w:left w:val="single" w:color="auto" w:sz="4" w:space="0"/>
              <w:bottom w:val="single" w:color="auto" w:sz="4" w:space="0"/>
              <w:right w:val="single" w:color="auto" w:sz="4" w:space="0"/>
            </w:tcBorders>
            <w:vAlign w:val="center"/>
          </w:tcPr>
          <w:p w14:paraId="490967F2">
            <w:pPr>
              <w:pStyle w:val="71"/>
              <w:spacing w:before="24" w:after="24"/>
              <w:rPr>
                <w:rFonts w:cs="Times New Roman"/>
              </w:rPr>
            </w:pPr>
            <w:r>
              <w:rPr>
                <w:rFonts w:cs="Times New Roman"/>
              </w:rPr>
              <w:t>mg/L</w:t>
            </w:r>
          </w:p>
        </w:tc>
      </w:tr>
      <w:tr w14:paraId="0E1EE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Borders>
              <w:top w:val="single" w:color="auto" w:sz="4" w:space="0"/>
              <w:left w:val="single" w:color="auto" w:sz="4" w:space="0"/>
              <w:bottom w:val="single" w:color="auto" w:sz="4" w:space="0"/>
              <w:right w:val="single" w:color="auto" w:sz="4" w:space="0"/>
            </w:tcBorders>
            <w:vAlign w:val="center"/>
          </w:tcPr>
          <w:p w14:paraId="6799D2D8">
            <w:pPr>
              <w:pStyle w:val="71"/>
              <w:spacing w:before="24" w:after="24"/>
              <w:rPr>
                <w:rFonts w:cs="Times New Roman"/>
              </w:rPr>
            </w:pPr>
            <w:r>
              <w:rPr>
                <w:rFonts w:cs="Times New Roman"/>
              </w:rPr>
              <w:t>1</w:t>
            </w:r>
          </w:p>
        </w:tc>
        <w:tc>
          <w:tcPr>
            <w:tcW w:w="1459" w:type="dxa"/>
            <w:tcBorders>
              <w:top w:val="single" w:color="auto" w:sz="4" w:space="0"/>
              <w:left w:val="single" w:color="auto" w:sz="4" w:space="0"/>
              <w:bottom w:val="single" w:color="auto" w:sz="4" w:space="0"/>
              <w:right w:val="single" w:color="auto" w:sz="4" w:space="0"/>
            </w:tcBorders>
            <w:vAlign w:val="center"/>
          </w:tcPr>
          <w:p w14:paraId="133AA274">
            <w:pPr>
              <w:pStyle w:val="71"/>
              <w:spacing w:before="24" w:after="24"/>
              <w:rPr>
                <w:rFonts w:cs="Times New Roman"/>
              </w:rPr>
            </w:pPr>
            <w:r>
              <w:rPr>
                <w:rFonts w:cs="Times New Roman"/>
              </w:rPr>
              <w:t>Pb</w:t>
            </w:r>
          </w:p>
        </w:tc>
        <w:tc>
          <w:tcPr>
            <w:tcW w:w="3450" w:type="dxa"/>
            <w:tcBorders>
              <w:top w:val="single" w:color="auto" w:sz="4" w:space="0"/>
              <w:left w:val="single" w:color="auto" w:sz="4" w:space="0"/>
              <w:bottom w:val="single" w:color="auto" w:sz="4" w:space="0"/>
              <w:right w:val="single" w:color="auto" w:sz="4" w:space="0"/>
            </w:tcBorders>
            <w:vAlign w:val="center"/>
          </w:tcPr>
          <w:p w14:paraId="4B770AE4">
            <w:pPr>
              <w:pStyle w:val="71"/>
              <w:spacing w:before="24" w:after="24"/>
              <w:rPr>
                <w:rFonts w:cs="Times New Roman"/>
              </w:rPr>
            </w:pPr>
            <w:r>
              <w:rPr>
                <w:rFonts w:cs="Times New Roman"/>
              </w:rPr>
              <w:t>5</w:t>
            </w:r>
          </w:p>
        </w:tc>
        <w:tc>
          <w:tcPr>
            <w:tcW w:w="3389" w:type="dxa"/>
            <w:tcBorders>
              <w:top w:val="single" w:color="auto" w:sz="4" w:space="0"/>
              <w:left w:val="single" w:color="auto" w:sz="4" w:space="0"/>
              <w:bottom w:val="single" w:color="auto" w:sz="4" w:space="0"/>
              <w:right w:val="single" w:color="auto" w:sz="4" w:space="0"/>
            </w:tcBorders>
            <w:vAlign w:val="center"/>
          </w:tcPr>
          <w:p w14:paraId="30E9A2FF">
            <w:pPr>
              <w:pStyle w:val="71"/>
              <w:spacing w:before="24" w:after="24"/>
              <w:rPr>
                <w:rFonts w:cs="Times New Roman"/>
              </w:rPr>
            </w:pPr>
            <w:r>
              <w:rPr>
                <w:rFonts w:cs="Times New Roman"/>
              </w:rPr>
              <w:t>0.25</w:t>
            </w:r>
          </w:p>
        </w:tc>
      </w:tr>
      <w:tr w14:paraId="15ED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Borders>
              <w:top w:val="single" w:color="auto" w:sz="4" w:space="0"/>
              <w:left w:val="single" w:color="auto" w:sz="4" w:space="0"/>
              <w:bottom w:val="single" w:color="auto" w:sz="4" w:space="0"/>
              <w:right w:val="single" w:color="auto" w:sz="4" w:space="0"/>
            </w:tcBorders>
            <w:vAlign w:val="center"/>
          </w:tcPr>
          <w:p w14:paraId="526F637E">
            <w:pPr>
              <w:pStyle w:val="71"/>
              <w:spacing w:before="24" w:after="24"/>
              <w:rPr>
                <w:rFonts w:cs="Times New Roman"/>
              </w:rPr>
            </w:pPr>
            <w:r>
              <w:rPr>
                <w:rFonts w:cs="Times New Roman"/>
              </w:rPr>
              <w:t>2</w:t>
            </w:r>
          </w:p>
        </w:tc>
        <w:tc>
          <w:tcPr>
            <w:tcW w:w="1459" w:type="dxa"/>
            <w:tcBorders>
              <w:top w:val="single" w:color="auto" w:sz="4" w:space="0"/>
              <w:left w:val="single" w:color="auto" w:sz="4" w:space="0"/>
              <w:bottom w:val="single" w:color="auto" w:sz="4" w:space="0"/>
              <w:right w:val="single" w:color="auto" w:sz="4" w:space="0"/>
            </w:tcBorders>
            <w:vAlign w:val="center"/>
          </w:tcPr>
          <w:p w14:paraId="1648BB02">
            <w:pPr>
              <w:pStyle w:val="71"/>
              <w:spacing w:before="24" w:after="24"/>
              <w:rPr>
                <w:rFonts w:cs="Times New Roman"/>
              </w:rPr>
            </w:pPr>
            <w:r>
              <w:rPr>
                <w:rFonts w:cs="Times New Roman"/>
              </w:rPr>
              <w:t>Cd</w:t>
            </w:r>
          </w:p>
        </w:tc>
        <w:tc>
          <w:tcPr>
            <w:tcW w:w="3450" w:type="dxa"/>
            <w:tcBorders>
              <w:top w:val="single" w:color="auto" w:sz="4" w:space="0"/>
              <w:left w:val="single" w:color="auto" w:sz="4" w:space="0"/>
              <w:bottom w:val="single" w:color="auto" w:sz="4" w:space="0"/>
              <w:right w:val="single" w:color="auto" w:sz="4" w:space="0"/>
            </w:tcBorders>
            <w:vAlign w:val="center"/>
          </w:tcPr>
          <w:p w14:paraId="7F3AF438">
            <w:pPr>
              <w:pStyle w:val="71"/>
              <w:spacing w:before="24" w:after="24"/>
              <w:rPr>
                <w:rFonts w:cs="Times New Roman"/>
              </w:rPr>
            </w:pPr>
            <w:r>
              <w:rPr>
                <w:rFonts w:cs="Times New Roman"/>
              </w:rPr>
              <w:t>1</w:t>
            </w:r>
          </w:p>
        </w:tc>
        <w:tc>
          <w:tcPr>
            <w:tcW w:w="3389" w:type="dxa"/>
            <w:tcBorders>
              <w:top w:val="single" w:color="auto" w:sz="4" w:space="0"/>
              <w:left w:val="single" w:color="auto" w:sz="4" w:space="0"/>
              <w:bottom w:val="single" w:color="auto" w:sz="4" w:space="0"/>
              <w:right w:val="single" w:color="auto" w:sz="4" w:space="0"/>
            </w:tcBorders>
            <w:vAlign w:val="center"/>
          </w:tcPr>
          <w:p w14:paraId="13B806E7">
            <w:pPr>
              <w:pStyle w:val="71"/>
              <w:spacing w:before="24" w:after="24"/>
              <w:rPr>
                <w:rFonts w:cs="Times New Roman"/>
              </w:rPr>
            </w:pPr>
            <w:r>
              <w:rPr>
                <w:rFonts w:cs="Times New Roman"/>
              </w:rPr>
              <w:t>0.15</w:t>
            </w:r>
          </w:p>
        </w:tc>
      </w:tr>
      <w:tr w14:paraId="55175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Borders>
              <w:top w:val="single" w:color="auto" w:sz="4" w:space="0"/>
              <w:left w:val="single" w:color="auto" w:sz="4" w:space="0"/>
              <w:bottom w:val="single" w:color="auto" w:sz="4" w:space="0"/>
              <w:right w:val="single" w:color="auto" w:sz="4" w:space="0"/>
            </w:tcBorders>
            <w:vAlign w:val="center"/>
          </w:tcPr>
          <w:p w14:paraId="520C6512">
            <w:pPr>
              <w:pStyle w:val="71"/>
              <w:spacing w:before="24" w:after="24"/>
              <w:rPr>
                <w:rFonts w:cs="Times New Roman"/>
              </w:rPr>
            </w:pPr>
            <w:r>
              <w:rPr>
                <w:rFonts w:cs="Times New Roman"/>
              </w:rPr>
              <w:t>3</w:t>
            </w:r>
          </w:p>
        </w:tc>
        <w:tc>
          <w:tcPr>
            <w:tcW w:w="1459" w:type="dxa"/>
            <w:tcBorders>
              <w:top w:val="single" w:color="auto" w:sz="4" w:space="0"/>
              <w:left w:val="single" w:color="auto" w:sz="4" w:space="0"/>
              <w:bottom w:val="single" w:color="auto" w:sz="4" w:space="0"/>
              <w:right w:val="single" w:color="auto" w:sz="4" w:space="0"/>
            </w:tcBorders>
            <w:vAlign w:val="center"/>
          </w:tcPr>
          <w:p w14:paraId="408E4BC4">
            <w:pPr>
              <w:pStyle w:val="71"/>
              <w:spacing w:before="24" w:after="24"/>
              <w:rPr>
                <w:rFonts w:cs="Times New Roman"/>
              </w:rPr>
            </w:pPr>
            <w:r>
              <w:rPr>
                <w:rFonts w:cs="Times New Roman"/>
              </w:rPr>
              <w:t>Cu</w:t>
            </w:r>
          </w:p>
        </w:tc>
        <w:tc>
          <w:tcPr>
            <w:tcW w:w="3450" w:type="dxa"/>
            <w:tcBorders>
              <w:top w:val="single" w:color="auto" w:sz="4" w:space="0"/>
              <w:left w:val="single" w:color="auto" w:sz="4" w:space="0"/>
              <w:bottom w:val="single" w:color="auto" w:sz="4" w:space="0"/>
              <w:right w:val="single" w:color="auto" w:sz="4" w:space="0"/>
            </w:tcBorders>
            <w:vAlign w:val="center"/>
          </w:tcPr>
          <w:p w14:paraId="2DFD6B15">
            <w:pPr>
              <w:pStyle w:val="71"/>
              <w:spacing w:before="24" w:after="24"/>
              <w:rPr>
                <w:rFonts w:cs="Times New Roman"/>
              </w:rPr>
            </w:pPr>
            <w:r>
              <w:rPr>
                <w:rFonts w:cs="Times New Roman"/>
              </w:rPr>
              <w:t>100</w:t>
            </w:r>
          </w:p>
        </w:tc>
        <w:tc>
          <w:tcPr>
            <w:tcW w:w="3389" w:type="dxa"/>
            <w:tcBorders>
              <w:top w:val="single" w:color="auto" w:sz="4" w:space="0"/>
              <w:left w:val="single" w:color="auto" w:sz="4" w:space="0"/>
              <w:bottom w:val="single" w:color="auto" w:sz="4" w:space="0"/>
              <w:right w:val="single" w:color="auto" w:sz="4" w:space="0"/>
            </w:tcBorders>
            <w:vAlign w:val="center"/>
          </w:tcPr>
          <w:p w14:paraId="6E01C60A">
            <w:pPr>
              <w:pStyle w:val="71"/>
              <w:spacing w:before="24" w:after="24"/>
              <w:rPr>
                <w:rFonts w:cs="Times New Roman"/>
              </w:rPr>
            </w:pPr>
            <w:r>
              <w:rPr>
                <w:rFonts w:cs="Times New Roman"/>
              </w:rPr>
              <w:t>40</w:t>
            </w:r>
          </w:p>
        </w:tc>
      </w:tr>
      <w:tr w14:paraId="433B6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Borders>
              <w:top w:val="single" w:color="auto" w:sz="4" w:space="0"/>
              <w:left w:val="single" w:color="auto" w:sz="4" w:space="0"/>
              <w:bottom w:val="single" w:color="auto" w:sz="4" w:space="0"/>
              <w:right w:val="single" w:color="auto" w:sz="4" w:space="0"/>
            </w:tcBorders>
            <w:vAlign w:val="center"/>
          </w:tcPr>
          <w:p w14:paraId="7C67F8BC">
            <w:pPr>
              <w:pStyle w:val="71"/>
              <w:spacing w:before="24" w:after="24"/>
              <w:rPr>
                <w:rFonts w:cs="Times New Roman"/>
              </w:rPr>
            </w:pPr>
            <w:r>
              <w:rPr>
                <w:rFonts w:cs="Times New Roman"/>
              </w:rPr>
              <w:t>4</w:t>
            </w:r>
          </w:p>
        </w:tc>
        <w:tc>
          <w:tcPr>
            <w:tcW w:w="1459" w:type="dxa"/>
            <w:tcBorders>
              <w:top w:val="single" w:color="auto" w:sz="4" w:space="0"/>
              <w:left w:val="single" w:color="auto" w:sz="4" w:space="0"/>
              <w:bottom w:val="single" w:color="auto" w:sz="4" w:space="0"/>
              <w:right w:val="single" w:color="auto" w:sz="4" w:space="0"/>
            </w:tcBorders>
            <w:vAlign w:val="center"/>
          </w:tcPr>
          <w:p w14:paraId="3BBE31D8">
            <w:pPr>
              <w:pStyle w:val="71"/>
              <w:spacing w:before="24" w:after="24"/>
              <w:rPr>
                <w:rFonts w:cs="Times New Roman"/>
              </w:rPr>
            </w:pPr>
            <w:r>
              <w:rPr>
                <w:rFonts w:cs="Times New Roman"/>
              </w:rPr>
              <w:t>Zn</w:t>
            </w:r>
          </w:p>
        </w:tc>
        <w:tc>
          <w:tcPr>
            <w:tcW w:w="3450" w:type="dxa"/>
            <w:tcBorders>
              <w:top w:val="single" w:color="auto" w:sz="4" w:space="0"/>
              <w:left w:val="single" w:color="auto" w:sz="4" w:space="0"/>
              <w:bottom w:val="single" w:color="auto" w:sz="4" w:space="0"/>
              <w:right w:val="single" w:color="auto" w:sz="4" w:space="0"/>
            </w:tcBorders>
            <w:vAlign w:val="center"/>
          </w:tcPr>
          <w:p w14:paraId="0A8AF487">
            <w:pPr>
              <w:pStyle w:val="71"/>
              <w:spacing w:before="24" w:after="24"/>
              <w:rPr>
                <w:rFonts w:cs="Times New Roman"/>
              </w:rPr>
            </w:pPr>
            <w:r>
              <w:rPr>
                <w:rFonts w:cs="Times New Roman"/>
              </w:rPr>
              <w:t>100</w:t>
            </w:r>
          </w:p>
        </w:tc>
        <w:tc>
          <w:tcPr>
            <w:tcW w:w="3389" w:type="dxa"/>
            <w:tcBorders>
              <w:top w:val="single" w:color="auto" w:sz="4" w:space="0"/>
              <w:left w:val="single" w:color="auto" w:sz="4" w:space="0"/>
              <w:bottom w:val="single" w:color="auto" w:sz="4" w:space="0"/>
              <w:right w:val="single" w:color="auto" w:sz="4" w:space="0"/>
            </w:tcBorders>
            <w:vAlign w:val="center"/>
          </w:tcPr>
          <w:p w14:paraId="0FD39658">
            <w:pPr>
              <w:pStyle w:val="71"/>
              <w:spacing w:before="24" w:after="24"/>
              <w:rPr>
                <w:rFonts w:cs="Times New Roman"/>
              </w:rPr>
            </w:pPr>
            <w:r>
              <w:rPr>
                <w:rFonts w:cs="Times New Roman"/>
              </w:rPr>
              <w:t>100</w:t>
            </w:r>
          </w:p>
        </w:tc>
      </w:tr>
      <w:tr w14:paraId="3EC3A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Borders>
              <w:top w:val="single" w:color="auto" w:sz="4" w:space="0"/>
              <w:left w:val="single" w:color="auto" w:sz="4" w:space="0"/>
              <w:bottom w:val="single" w:color="auto" w:sz="4" w:space="0"/>
              <w:right w:val="single" w:color="auto" w:sz="4" w:space="0"/>
            </w:tcBorders>
            <w:vAlign w:val="center"/>
          </w:tcPr>
          <w:p w14:paraId="5860E0B9">
            <w:pPr>
              <w:pStyle w:val="71"/>
              <w:spacing w:before="24" w:after="24"/>
              <w:rPr>
                <w:rFonts w:cs="Times New Roman"/>
              </w:rPr>
            </w:pPr>
            <w:r>
              <w:rPr>
                <w:rFonts w:cs="Times New Roman"/>
              </w:rPr>
              <w:t>5</w:t>
            </w:r>
          </w:p>
        </w:tc>
        <w:tc>
          <w:tcPr>
            <w:tcW w:w="1459" w:type="dxa"/>
            <w:tcBorders>
              <w:top w:val="single" w:color="auto" w:sz="4" w:space="0"/>
              <w:left w:val="single" w:color="auto" w:sz="4" w:space="0"/>
              <w:bottom w:val="single" w:color="auto" w:sz="4" w:space="0"/>
              <w:right w:val="single" w:color="auto" w:sz="4" w:space="0"/>
            </w:tcBorders>
            <w:vAlign w:val="center"/>
          </w:tcPr>
          <w:p w14:paraId="1799FA8B">
            <w:pPr>
              <w:pStyle w:val="71"/>
              <w:spacing w:before="24" w:after="24"/>
              <w:rPr>
                <w:rFonts w:cs="Times New Roman"/>
              </w:rPr>
            </w:pPr>
            <w:r>
              <w:rPr>
                <w:rFonts w:cs="Times New Roman"/>
              </w:rPr>
              <w:t>Ni</w:t>
            </w:r>
          </w:p>
        </w:tc>
        <w:tc>
          <w:tcPr>
            <w:tcW w:w="3450" w:type="dxa"/>
            <w:tcBorders>
              <w:top w:val="single" w:color="auto" w:sz="4" w:space="0"/>
              <w:left w:val="single" w:color="auto" w:sz="4" w:space="0"/>
              <w:bottom w:val="single" w:color="auto" w:sz="4" w:space="0"/>
              <w:right w:val="single" w:color="auto" w:sz="4" w:space="0"/>
            </w:tcBorders>
            <w:vAlign w:val="center"/>
          </w:tcPr>
          <w:p w14:paraId="092D581A">
            <w:pPr>
              <w:pStyle w:val="71"/>
              <w:spacing w:before="24" w:after="24"/>
              <w:rPr>
                <w:rFonts w:cs="Times New Roman"/>
              </w:rPr>
            </w:pPr>
            <w:r>
              <w:rPr>
                <w:rFonts w:cs="Times New Roman"/>
              </w:rPr>
              <w:t>5</w:t>
            </w:r>
          </w:p>
        </w:tc>
        <w:tc>
          <w:tcPr>
            <w:tcW w:w="3389" w:type="dxa"/>
            <w:tcBorders>
              <w:top w:val="single" w:color="auto" w:sz="4" w:space="0"/>
              <w:left w:val="single" w:color="auto" w:sz="4" w:space="0"/>
              <w:bottom w:val="single" w:color="auto" w:sz="4" w:space="0"/>
              <w:right w:val="single" w:color="auto" w:sz="4" w:space="0"/>
            </w:tcBorders>
            <w:vAlign w:val="center"/>
          </w:tcPr>
          <w:p w14:paraId="2B999A5D">
            <w:pPr>
              <w:pStyle w:val="71"/>
              <w:spacing w:before="24" w:after="24"/>
              <w:rPr>
                <w:rFonts w:cs="Times New Roman"/>
              </w:rPr>
            </w:pPr>
            <w:r>
              <w:rPr>
                <w:rFonts w:cs="Times New Roman"/>
              </w:rPr>
              <w:t>0.5</w:t>
            </w:r>
          </w:p>
        </w:tc>
      </w:tr>
      <w:tr w14:paraId="7EF15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Borders>
              <w:top w:val="single" w:color="auto" w:sz="4" w:space="0"/>
              <w:left w:val="single" w:color="auto" w:sz="4" w:space="0"/>
              <w:bottom w:val="single" w:color="auto" w:sz="4" w:space="0"/>
              <w:right w:val="single" w:color="auto" w:sz="4" w:space="0"/>
            </w:tcBorders>
            <w:vAlign w:val="center"/>
          </w:tcPr>
          <w:p w14:paraId="7421B064">
            <w:pPr>
              <w:pStyle w:val="71"/>
              <w:spacing w:before="24" w:after="24"/>
              <w:rPr>
                <w:rFonts w:cs="Times New Roman"/>
              </w:rPr>
            </w:pPr>
            <w:r>
              <w:rPr>
                <w:rFonts w:cs="Times New Roman"/>
              </w:rPr>
              <w:t>6</w:t>
            </w:r>
          </w:p>
        </w:tc>
        <w:tc>
          <w:tcPr>
            <w:tcW w:w="1459" w:type="dxa"/>
            <w:tcBorders>
              <w:top w:val="single" w:color="auto" w:sz="4" w:space="0"/>
              <w:left w:val="single" w:color="auto" w:sz="4" w:space="0"/>
              <w:bottom w:val="single" w:color="auto" w:sz="4" w:space="0"/>
              <w:right w:val="single" w:color="auto" w:sz="4" w:space="0"/>
            </w:tcBorders>
            <w:vAlign w:val="center"/>
          </w:tcPr>
          <w:p w14:paraId="4B78E9C2">
            <w:pPr>
              <w:pStyle w:val="71"/>
              <w:spacing w:before="24" w:after="24"/>
              <w:rPr>
                <w:rFonts w:cs="Times New Roman"/>
              </w:rPr>
            </w:pPr>
            <w:r>
              <w:rPr>
                <w:rFonts w:cs="Times New Roman"/>
              </w:rPr>
              <w:t>Cr</w:t>
            </w:r>
          </w:p>
        </w:tc>
        <w:tc>
          <w:tcPr>
            <w:tcW w:w="3450" w:type="dxa"/>
            <w:tcBorders>
              <w:top w:val="single" w:color="auto" w:sz="4" w:space="0"/>
              <w:left w:val="single" w:color="auto" w:sz="4" w:space="0"/>
              <w:bottom w:val="single" w:color="auto" w:sz="4" w:space="0"/>
              <w:right w:val="single" w:color="auto" w:sz="4" w:space="0"/>
            </w:tcBorders>
            <w:vAlign w:val="center"/>
          </w:tcPr>
          <w:p w14:paraId="78AC9403">
            <w:pPr>
              <w:pStyle w:val="71"/>
              <w:spacing w:before="24" w:after="24"/>
              <w:rPr>
                <w:rFonts w:cs="Times New Roman"/>
              </w:rPr>
            </w:pPr>
            <w:r>
              <w:rPr>
                <w:rFonts w:cs="Times New Roman"/>
              </w:rPr>
              <w:t>15</w:t>
            </w:r>
          </w:p>
        </w:tc>
        <w:tc>
          <w:tcPr>
            <w:tcW w:w="3389" w:type="dxa"/>
            <w:tcBorders>
              <w:top w:val="single" w:color="auto" w:sz="4" w:space="0"/>
              <w:left w:val="single" w:color="auto" w:sz="4" w:space="0"/>
              <w:bottom w:val="single" w:color="auto" w:sz="4" w:space="0"/>
              <w:right w:val="single" w:color="auto" w:sz="4" w:space="0"/>
            </w:tcBorders>
            <w:vAlign w:val="center"/>
          </w:tcPr>
          <w:p w14:paraId="0FB71D72">
            <w:pPr>
              <w:pStyle w:val="71"/>
              <w:spacing w:before="24" w:after="24"/>
              <w:rPr>
                <w:rFonts w:cs="Times New Roman"/>
              </w:rPr>
            </w:pPr>
            <w:r>
              <w:rPr>
                <w:rFonts w:cs="Times New Roman"/>
              </w:rPr>
              <w:t>4.5</w:t>
            </w:r>
          </w:p>
        </w:tc>
      </w:tr>
      <w:tr w14:paraId="48098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Borders>
              <w:top w:val="single" w:color="auto" w:sz="4" w:space="0"/>
              <w:left w:val="single" w:color="auto" w:sz="4" w:space="0"/>
              <w:bottom w:val="single" w:color="auto" w:sz="4" w:space="0"/>
              <w:right w:val="single" w:color="auto" w:sz="4" w:space="0"/>
            </w:tcBorders>
            <w:vAlign w:val="center"/>
          </w:tcPr>
          <w:p w14:paraId="0B97613A">
            <w:pPr>
              <w:pStyle w:val="71"/>
              <w:spacing w:before="24" w:after="24"/>
              <w:rPr>
                <w:rFonts w:cs="Times New Roman"/>
              </w:rPr>
            </w:pPr>
            <w:r>
              <w:rPr>
                <w:rFonts w:cs="Times New Roman"/>
              </w:rPr>
              <w:t>7</w:t>
            </w:r>
          </w:p>
        </w:tc>
        <w:tc>
          <w:tcPr>
            <w:tcW w:w="1459" w:type="dxa"/>
            <w:tcBorders>
              <w:top w:val="single" w:color="auto" w:sz="4" w:space="0"/>
              <w:left w:val="single" w:color="auto" w:sz="4" w:space="0"/>
              <w:bottom w:val="single" w:color="auto" w:sz="4" w:space="0"/>
              <w:right w:val="single" w:color="auto" w:sz="4" w:space="0"/>
            </w:tcBorders>
            <w:vAlign w:val="center"/>
          </w:tcPr>
          <w:p w14:paraId="4979A60B">
            <w:pPr>
              <w:pStyle w:val="71"/>
              <w:spacing w:before="24" w:after="24"/>
              <w:rPr>
                <w:rFonts w:cs="Times New Roman"/>
              </w:rPr>
            </w:pPr>
            <w:r>
              <w:rPr>
                <w:rFonts w:cs="Times New Roman"/>
              </w:rPr>
              <w:t>Cr（VI）</w:t>
            </w:r>
          </w:p>
        </w:tc>
        <w:tc>
          <w:tcPr>
            <w:tcW w:w="3450" w:type="dxa"/>
            <w:tcBorders>
              <w:top w:val="single" w:color="auto" w:sz="4" w:space="0"/>
              <w:left w:val="single" w:color="auto" w:sz="4" w:space="0"/>
              <w:bottom w:val="single" w:color="auto" w:sz="4" w:space="0"/>
              <w:right w:val="single" w:color="auto" w:sz="4" w:space="0"/>
            </w:tcBorders>
            <w:vAlign w:val="center"/>
          </w:tcPr>
          <w:p w14:paraId="5AE3C1C5">
            <w:pPr>
              <w:pStyle w:val="71"/>
              <w:spacing w:before="24" w:after="24"/>
              <w:rPr>
                <w:rFonts w:cs="Times New Roman"/>
              </w:rPr>
            </w:pPr>
            <w:r>
              <w:rPr>
                <w:rFonts w:cs="Times New Roman"/>
              </w:rPr>
              <w:t>5</w:t>
            </w:r>
          </w:p>
        </w:tc>
        <w:tc>
          <w:tcPr>
            <w:tcW w:w="3389" w:type="dxa"/>
            <w:tcBorders>
              <w:top w:val="single" w:color="auto" w:sz="4" w:space="0"/>
              <w:left w:val="single" w:color="auto" w:sz="4" w:space="0"/>
              <w:bottom w:val="single" w:color="auto" w:sz="4" w:space="0"/>
              <w:right w:val="single" w:color="auto" w:sz="4" w:space="0"/>
            </w:tcBorders>
            <w:vAlign w:val="center"/>
          </w:tcPr>
          <w:p w14:paraId="6E8D913C">
            <w:pPr>
              <w:pStyle w:val="71"/>
              <w:spacing w:before="24" w:after="24"/>
              <w:rPr>
                <w:rFonts w:cs="Times New Roman"/>
              </w:rPr>
            </w:pPr>
            <w:r>
              <w:rPr>
                <w:rFonts w:cs="Times New Roman"/>
              </w:rPr>
              <w:t>1.5</w:t>
            </w:r>
          </w:p>
        </w:tc>
      </w:tr>
      <w:tr w14:paraId="17495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Borders>
              <w:top w:val="single" w:color="auto" w:sz="4" w:space="0"/>
              <w:left w:val="single" w:color="auto" w:sz="4" w:space="0"/>
              <w:bottom w:val="single" w:color="auto" w:sz="4" w:space="0"/>
              <w:right w:val="single" w:color="auto" w:sz="4" w:space="0"/>
            </w:tcBorders>
            <w:vAlign w:val="center"/>
          </w:tcPr>
          <w:p w14:paraId="31D30023">
            <w:pPr>
              <w:pStyle w:val="71"/>
              <w:spacing w:before="24" w:after="24"/>
              <w:rPr>
                <w:rFonts w:cs="Times New Roman"/>
              </w:rPr>
            </w:pPr>
            <w:r>
              <w:rPr>
                <w:rFonts w:cs="Times New Roman"/>
              </w:rPr>
              <w:t>8</w:t>
            </w:r>
          </w:p>
        </w:tc>
        <w:tc>
          <w:tcPr>
            <w:tcW w:w="1459" w:type="dxa"/>
            <w:tcBorders>
              <w:top w:val="single" w:color="auto" w:sz="4" w:space="0"/>
              <w:left w:val="single" w:color="auto" w:sz="4" w:space="0"/>
              <w:bottom w:val="single" w:color="auto" w:sz="4" w:space="0"/>
              <w:right w:val="single" w:color="auto" w:sz="4" w:space="0"/>
            </w:tcBorders>
            <w:vAlign w:val="center"/>
          </w:tcPr>
          <w:p w14:paraId="06B90201">
            <w:pPr>
              <w:pStyle w:val="71"/>
              <w:spacing w:before="24" w:after="24"/>
              <w:rPr>
                <w:rFonts w:cs="Times New Roman"/>
              </w:rPr>
            </w:pPr>
            <w:r>
              <w:rPr>
                <w:rFonts w:cs="Times New Roman"/>
              </w:rPr>
              <w:t>Hg</w:t>
            </w:r>
          </w:p>
        </w:tc>
        <w:tc>
          <w:tcPr>
            <w:tcW w:w="3450" w:type="dxa"/>
            <w:tcBorders>
              <w:top w:val="single" w:color="auto" w:sz="4" w:space="0"/>
              <w:left w:val="single" w:color="auto" w:sz="4" w:space="0"/>
              <w:bottom w:val="single" w:color="auto" w:sz="4" w:space="0"/>
              <w:right w:val="single" w:color="auto" w:sz="4" w:space="0"/>
            </w:tcBorders>
            <w:vAlign w:val="center"/>
          </w:tcPr>
          <w:p w14:paraId="028E9830">
            <w:pPr>
              <w:pStyle w:val="71"/>
              <w:spacing w:before="24" w:after="24"/>
              <w:rPr>
                <w:rFonts w:cs="Times New Roman"/>
              </w:rPr>
            </w:pPr>
            <w:r>
              <w:rPr>
                <w:rFonts w:cs="Times New Roman"/>
              </w:rPr>
              <w:t>0.1</w:t>
            </w:r>
          </w:p>
        </w:tc>
        <w:tc>
          <w:tcPr>
            <w:tcW w:w="3389" w:type="dxa"/>
            <w:tcBorders>
              <w:top w:val="single" w:color="auto" w:sz="4" w:space="0"/>
              <w:left w:val="single" w:color="auto" w:sz="4" w:space="0"/>
              <w:bottom w:val="single" w:color="auto" w:sz="4" w:space="0"/>
              <w:right w:val="single" w:color="auto" w:sz="4" w:space="0"/>
            </w:tcBorders>
            <w:vAlign w:val="center"/>
          </w:tcPr>
          <w:p w14:paraId="33712947">
            <w:pPr>
              <w:pStyle w:val="71"/>
              <w:spacing w:before="24" w:after="24"/>
              <w:rPr>
                <w:rFonts w:cs="Times New Roman"/>
              </w:rPr>
            </w:pPr>
            <w:r>
              <w:rPr>
                <w:rFonts w:cs="Times New Roman"/>
              </w:rPr>
              <w:t>0.05</w:t>
            </w:r>
          </w:p>
        </w:tc>
      </w:tr>
    </w:tbl>
    <w:p w14:paraId="73F5598F">
      <w:pPr>
        <w:spacing w:before="24" w:after="24"/>
        <w:rPr>
          <w:rFonts w:ascii="Times New Roman" w:hAnsi="Times New Roman" w:cs="Times New Roman"/>
        </w:rPr>
      </w:pPr>
      <w:r>
        <w:rPr>
          <w:rFonts w:ascii="Times New Roman" w:hAnsi="Times New Roman" w:cs="Times New Roman"/>
        </w:rPr>
        <w:br w:type="page"/>
      </w:r>
    </w:p>
    <w:p w14:paraId="2679C5ED">
      <w:pPr>
        <w:pStyle w:val="53"/>
        <w:spacing w:before="24" w:after="24"/>
        <w:rPr>
          <w:rFonts w:cs="Times New Roman"/>
        </w:rPr>
      </w:pPr>
      <w:bookmarkStart w:id="27" w:name="_Toc221894072"/>
      <w:r>
        <w:rPr>
          <w:rFonts w:cs="Times New Roman"/>
        </w:rPr>
        <w:t>二、工程范围及工作内容</w:t>
      </w:r>
      <w:bookmarkEnd w:id="27"/>
    </w:p>
    <w:p w14:paraId="28AADC0E">
      <w:pPr>
        <w:pStyle w:val="62"/>
      </w:pPr>
      <w:bookmarkStart w:id="28" w:name="_Toc221894073"/>
      <w:r>
        <w:t>（一）工程周边条件</w:t>
      </w:r>
      <w:bookmarkEnd w:id="28"/>
    </w:p>
    <w:p w14:paraId="3DC8DF73">
      <w:pPr>
        <w:pStyle w:val="64"/>
        <w:spacing w:before="24" w:after="24"/>
        <w:rPr>
          <w:rFonts w:cs="Times New Roman"/>
        </w:rPr>
      </w:pPr>
      <w:bookmarkStart w:id="29" w:name="_Toc221894074"/>
      <w:r>
        <w:rPr>
          <w:rFonts w:cs="Times New Roman"/>
        </w:rPr>
        <w:t>1、项目周边现状</w:t>
      </w:r>
      <w:bookmarkEnd w:id="29"/>
    </w:p>
    <w:p w14:paraId="5E311ADD">
      <w:pPr>
        <w:pStyle w:val="54"/>
        <w:spacing w:before="24" w:after="24"/>
      </w:pPr>
      <w:r>
        <w:t>项目用地位于云南省迪庆藏族自治州德钦县叶枝镇，地势东高西低，西侧紧邻澜沧江，东侧紧靠山地，用地现状为耕地。</w:t>
      </w:r>
    </w:p>
    <w:p w14:paraId="1CE07331">
      <w:pPr>
        <w:pStyle w:val="54"/>
        <w:spacing w:before="24" w:after="24"/>
        <w:ind w:firstLine="0" w:firstLineChars="0"/>
        <w:jc w:val="center"/>
      </w:pPr>
      <w:r>
        <w:drawing>
          <wp:inline distT="0" distB="0" distL="0" distR="0">
            <wp:extent cx="5939790" cy="1680210"/>
            <wp:effectExtent l="0" t="0" r="3810" b="15240"/>
            <wp:docPr id="7" name="picture" descr="C:/Users/Administrator/Desktop/一期、二期建设项目分布图-模型GG_01.png一期、二期建设项目分布图-模型GG_01"/>
            <wp:cNvGraphicFramePr/>
            <a:graphic xmlns:a="http://schemas.openxmlformats.org/drawingml/2006/main">
              <a:graphicData uri="http://schemas.openxmlformats.org/drawingml/2006/picture">
                <pic:pic xmlns:pic="http://schemas.openxmlformats.org/drawingml/2006/picture">
                  <pic:nvPicPr>
                    <pic:cNvPr id="7" name="picture" descr="C:/Users/Administrator/Desktop/一期、二期建设项目分布图-模型GG_01.png一期、二期建设项目分布图-模型GG_01"/>
                    <pic:cNvPicPr/>
                  </pic:nvPicPr>
                  <pic:blipFill>
                    <a:blip r:embed="rId20"/>
                    <a:srcRect t="39074" b="39074"/>
                    <a:stretch>
                      <a:fillRect/>
                    </a:stretch>
                  </pic:blipFill>
                  <pic:spPr>
                    <a:xfrm>
                      <a:off x="0" y="0"/>
                      <a:ext cx="5939790" cy="1680767"/>
                    </a:xfrm>
                    <a:prstGeom prst="rect">
                      <a:avLst/>
                    </a:prstGeom>
                  </pic:spPr>
                </pic:pic>
              </a:graphicData>
            </a:graphic>
          </wp:inline>
        </w:drawing>
      </w:r>
    </w:p>
    <w:p w14:paraId="69AFEFA5">
      <w:pPr>
        <w:pStyle w:val="54"/>
        <w:spacing w:before="24" w:after="24"/>
        <w:ind w:firstLine="0" w:firstLineChars="0"/>
        <w:jc w:val="center"/>
        <w:rPr>
          <w:b/>
          <w:bCs/>
        </w:rPr>
      </w:pPr>
      <w:r>
        <w:rPr>
          <w:b/>
          <w:bCs/>
        </w:rPr>
        <w:t>规划范围土地影像图</w:t>
      </w:r>
    </w:p>
    <w:p w14:paraId="1D898CC6">
      <w:pPr>
        <w:pStyle w:val="64"/>
        <w:spacing w:before="24" w:after="24"/>
        <w:rPr>
          <w:rFonts w:cs="Times New Roman"/>
        </w:rPr>
      </w:pPr>
      <w:bookmarkStart w:id="30" w:name="_Toc221894075"/>
      <w:r>
        <w:rPr>
          <w:rFonts w:cs="Times New Roman"/>
        </w:rPr>
        <w:t>2、建设用地现状</w:t>
      </w:r>
      <w:bookmarkEnd w:id="30"/>
    </w:p>
    <w:p w14:paraId="40EA36C3">
      <w:pPr>
        <w:pStyle w:val="54"/>
        <w:widowControl/>
        <w:spacing w:before="24" w:after="24"/>
        <w:jc w:val="left"/>
      </w:pPr>
      <w:r>
        <w:t>现状用地以耕地为主，存在少量的建设用地，项目用地性质</w:t>
      </w:r>
      <w:r>
        <w:rPr>
          <w:lang w:bidi="ar"/>
        </w:rPr>
        <w:t>为</w:t>
      </w:r>
      <w:r>
        <w:t>中小学用地、社会福利用地、交通设施用地、公园绿地、公共设施用地、环卫用地、广场用地、机关团体用地等。</w:t>
      </w:r>
    </w:p>
    <w:p w14:paraId="74439E78">
      <w:pPr>
        <w:pStyle w:val="64"/>
        <w:spacing w:before="24" w:after="24"/>
        <w:rPr>
          <w:rFonts w:cs="Times New Roman"/>
        </w:rPr>
      </w:pPr>
      <w:bookmarkStart w:id="31" w:name="_Toc221894076"/>
      <w:r>
        <w:rPr>
          <w:rFonts w:cs="Times New Roman"/>
        </w:rPr>
        <w:t>3、建设用地配套基础设施条件</w:t>
      </w:r>
      <w:bookmarkEnd w:id="31"/>
    </w:p>
    <w:p w14:paraId="6123544F">
      <w:pPr>
        <w:pStyle w:val="54"/>
        <w:spacing w:before="24" w:after="24"/>
      </w:pPr>
      <w:r>
        <w:t>项目用地位于云南省迪庆藏族自治州德钦县叶枝镇，地势东高西低，西侧紧邻澜沧江，东侧紧靠山地，用地现状为耕地。规划用地紧邻城市干路，交通条件较好，市政供水、供电、雨污排水、通讯等配套设施不完整，需新建输水、给水、雨水、污水、再生水、电力、通信、燃气等管线满足新县城搬迁后使用需求。</w:t>
      </w:r>
    </w:p>
    <w:p w14:paraId="23663823">
      <w:pPr>
        <w:spacing w:before="24" w:after="24"/>
        <w:rPr>
          <w:rFonts w:ascii="Times New Roman" w:hAnsi="Times New Roman" w:cs="Times New Roman"/>
          <w:color w:val="EE0000"/>
          <w14:textFill>
            <w14:solidFill>
              <w14:srgbClr w14:val="EE0000">
                <w14:lumMod w14:val="95000"/>
                <w14:lumOff w14:val="5000"/>
              </w14:srgbClr>
            </w14:solidFill>
          </w14:textFill>
        </w:rPr>
      </w:pPr>
      <w:r>
        <w:rPr>
          <w:rFonts w:ascii="Times New Roman" w:hAnsi="Times New Roman" w:cs="Times New Roman"/>
          <w:color w:val="EE0000"/>
          <w14:textFill>
            <w14:solidFill>
              <w14:srgbClr w14:val="EE0000">
                <w14:lumMod w14:val="95000"/>
                <w14:lumOff w14:val="5000"/>
              </w14:srgbClr>
            </w14:solidFill>
          </w14:textFill>
        </w:rPr>
        <w:br w:type="page"/>
      </w:r>
    </w:p>
    <w:p w14:paraId="23845D99">
      <w:pPr>
        <w:pStyle w:val="62"/>
      </w:pPr>
      <w:bookmarkStart w:id="32" w:name="_Toc221894077"/>
      <w:r>
        <w:t>（二）EPC工程总承包的范围和工作内容</w:t>
      </w:r>
      <w:bookmarkEnd w:id="32"/>
    </w:p>
    <w:p w14:paraId="280789FB">
      <w:pPr>
        <w:pStyle w:val="64"/>
        <w:spacing w:before="24" w:after="24"/>
        <w:rPr>
          <w:rFonts w:cs="Times New Roman"/>
        </w:rPr>
      </w:pPr>
      <w:bookmarkStart w:id="33" w:name="_Toc221894078"/>
      <w:r>
        <w:rPr>
          <w:rFonts w:cs="Times New Roman"/>
        </w:rPr>
        <w:t>1、承包范围</w:t>
      </w:r>
      <w:bookmarkEnd w:id="33"/>
    </w:p>
    <w:p w14:paraId="44451C07">
      <w:pPr>
        <w:pStyle w:val="54"/>
        <w:spacing w:before="24" w:after="24"/>
      </w:pPr>
      <w:r>
        <w:t>完成德钦县城地质灾害避险搬迁近期建设项目二期的工程总承包工作，包括本项目所涉及的施工图设计（含工艺、设备、装饰、通信、景观、电力等专项或深化设计）、建筑安装工程施工、工艺设备采购安装、验收合格后整体移交及工程缺陷责任期和质量保修期内的保修工作等、BIM技术应用、智慧工地建设和信息化平台应用等。</w:t>
      </w:r>
    </w:p>
    <w:p w14:paraId="2A511B13">
      <w:pPr>
        <w:spacing w:before="24" w:after="24"/>
        <w:ind w:firstLine="562" w:firstLineChars="200"/>
        <w:outlineLvl w:val="2"/>
        <w:rPr>
          <w:rFonts w:ascii="Times New Roman" w:hAnsi="Times New Roman" w:cs="Times New Roman"/>
          <w:b/>
          <w:color w:val="0D0D0D" w:themeColor="text1" w:themeTint="F2"/>
          <w14:textFill>
            <w14:solidFill>
              <w14:schemeClr w14:val="tx1">
                <w14:lumMod w14:val="95000"/>
                <w14:lumOff w14:val="5000"/>
              </w14:schemeClr>
            </w14:solidFill>
          </w14:textFill>
        </w:rPr>
      </w:pPr>
      <w:bookmarkStart w:id="34" w:name="_Toc221894079"/>
      <w:r>
        <w:rPr>
          <w:rFonts w:ascii="Times New Roman" w:hAnsi="Times New Roman" w:cs="Times New Roman"/>
          <w:b/>
          <w:color w:val="0D0D0D" w:themeColor="text1" w:themeTint="F2"/>
          <w14:textFill>
            <w14:solidFill>
              <w14:schemeClr w14:val="tx1">
                <w14:lumMod w14:val="95000"/>
                <w14:lumOff w14:val="5000"/>
              </w14:schemeClr>
            </w14:solidFill>
          </w14:textFill>
        </w:rPr>
        <w:t>2、工作内容</w:t>
      </w:r>
      <w:bookmarkEnd w:id="34"/>
    </w:p>
    <w:p w14:paraId="04887C47">
      <w:pPr>
        <w:spacing w:before="24" w:after="24"/>
        <w:ind w:firstLine="562" w:firstLineChars="200"/>
        <w:outlineLvl w:val="3"/>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t>2.1设计工作内容</w:t>
      </w:r>
    </w:p>
    <w:p w14:paraId="03145124">
      <w:pPr>
        <w:spacing w:before="24" w:after="24"/>
        <w:ind w:firstLine="562" w:firstLineChars="200"/>
        <w:outlineLvl w:val="4"/>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t>2.1.1施工图（含二次深化）、总图工程设计与合规审查</w:t>
      </w:r>
    </w:p>
    <w:p w14:paraId="3D797F09">
      <w:pPr>
        <w:spacing w:before="24" w:after="24"/>
        <w:ind w:firstLine="560" w:firstLineChars="200"/>
        <w:rPr>
          <w:rFonts w:ascii="Times New Roman" w:hAnsi="Times New Roman" w:cs="Times New Roman"/>
          <w:color w:val="0D0D0D" w:themeColor="text1" w:themeTint="F2"/>
          <w14:textFill>
            <w14:solidFill>
              <w14:schemeClr w14:val="tx1">
                <w14:lumMod w14:val="95000"/>
                <w14:lumOff w14:val="5000"/>
              </w14:schemeClr>
            </w14:solidFill>
          </w14:textFill>
        </w:rPr>
      </w:pPr>
      <w:r>
        <w:rPr>
          <w:rFonts w:ascii="Times New Roman" w:hAnsi="Times New Roman" w:cs="Times New Roman"/>
          <w:color w:val="181717" w:themeColor="background2" w:themeShade="1A"/>
        </w:rPr>
        <w:t>（1）基于批准的初步设计完成建筑、结构、给排水、暖通、电气、智能化、装饰装修、消防工程、人防工程、电梯工程、工艺流程、仪器仪表、自动化工程及总图设计</w:t>
      </w:r>
      <w:r>
        <w:rPr>
          <w:rFonts w:ascii="Times New Roman" w:hAnsi="Times New Roman" w:cs="Times New Roman"/>
          <w:color w:val="0D0D0D" w:themeColor="text1" w:themeTint="F2"/>
          <w14:textFill>
            <w14:solidFill>
              <w14:schemeClr w14:val="tx1">
                <w14:lumMod w14:val="95000"/>
                <w14:lumOff w14:val="5000"/>
              </w14:schemeClr>
            </w14:solidFill>
          </w14:textFill>
        </w:rPr>
        <w:t>，确保设计深度满足现场施工需求。</w:t>
      </w:r>
    </w:p>
    <w:p w14:paraId="790B558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（2）基于批准的初步设计完成市政道路、步行绿道、公园、广场等的包括绿化工程、铺装工程、道路照明工程、挡墙工程、桥涵工程、道路交通设、水体工程、景观小品、公共服务设施等全专业施工图设计。</w:t>
      </w:r>
    </w:p>
    <w:p w14:paraId="42DC59E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（3）完成节能设计、绿色建筑设计、海绵城市设计等专项内容，编制相应技术报告。</w:t>
      </w:r>
    </w:p>
    <w:p w14:paraId="1A70FE1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（4）完成与本项目相关的所有深化设计。</w:t>
      </w:r>
    </w:p>
    <w:p w14:paraId="7BD124D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（5）完成设计全套成果资料制作，参与专家论证并通过专家评审，取得施工设计文件审查合格证。完成工程建设所需的报批报建、专家咨询、资料收集等相关工作。</w:t>
      </w:r>
    </w:p>
    <w:p w14:paraId="217EBCBF">
      <w:pPr>
        <w:spacing w:before="24" w:after="24"/>
        <w:ind w:firstLine="562" w:firstLineChars="200"/>
        <w:outlineLvl w:val="4"/>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t>2.1.2建设期间设计配合</w:t>
      </w:r>
    </w:p>
    <w:p w14:paraId="161BBC3D">
      <w:pPr>
        <w:spacing w:before="24" w:after="24"/>
        <w:ind w:firstLine="560" w:firstLineChars="200"/>
        <w:rPr>
          <w:rFonts w:ascii="Times New Roman" w:hAnsi="Times New Roman" w:cs="Times New Roman"/>
          <w:color w:val="0D0D0D" w:themeColor="text1" w:themeTint="F2"/>
          <w14:textFill>
            <w14:solidFill>
              <w14:schemeClr w14:val="tx1">
                <w14:lumMod w14:val="95000"/>
                <w14:lumOff w14:val="5000"/>
              </w14:schemeClr>
            </w14:solidFill>
          </w14:textFill>
        </w:rPr>
      </w:pPr>
      <w:r>
        <w:rPr>
          <w:rFonts w:ascii="Times New Roman" w:hAnsi="Times New Roman" w:cs="Times New Roman"/>
          <w:color w:val="0D0D0D" w:themeColor="text1" w:themeTint="F2"/>
          <w14:textFill>
            <w14:solidFill>
              <w14:schemeClr w14:val="tx1">
                <w14:lumMod w14:val="95000"/>
                <w14:lumOff w14:val="5000"/>
              </w14:schemeClr>
            </w14:solidFill>
          </w14:textFill>
        </w:rPr>
        <w:t>（１）配合采购阶段设备选型、材料规格的确认，审核详细技术参数（如电梯、空调、弱电设备等），确保采购成果与设计匹配。</w:t>
      </w:r>
    </w:p>
    <w:p w14:paraId="41112343">
      <w:pPr>
        <w:spacing w:before="24" w:after="24"/>
        <w:ind w:firstLine="560" w:firstLineChars="200"/>
        <w:rPr>
          <w:rFonts w:ascii="Times New Roman" w:hAnsi="Times New Roman" w:cs="Times New Roman"/>
          <w:color w:val="0D0D0D" w:themeColor="text1" w:themeTint="F2"/>
          <w14:textFill>
            <w14:solidFill>
              <w14:schemeClr w14:val="tx1">
                <w14:lumMod w14:val="95000"/>
                <w14:lumOff w14:val="5000"/>
              </w14:schemeClr>
            </w14:solidFill>
          </w14:textFill>
        </w:rPr>
      </w:pPr>
      <w:r>
        <w:rPr>
          <w:rFonts w:ascii="Times New Roman" w:hAnsi="Times New Roman" w:cs="Times New Roman"/>
          <w:color w:val="0D0D0D" w:themeColor="text1" w:themeTint="F2"/>
          <w14:textFill>
            <w14:solidFill>
              <w14:schemeClr w14:val="tx1">
                <w14:lumMod w14:val="95000"/>
                <w14:lumOff w14:val="5000"/>
              </w14:schemeClr>
            </w14:solidFill>
          </w14:textFill>
        </w:rPr>
        <w:t>（２）编制设计交底文件，负责项目设计交底工作，参与分析技术难点和质量控制点。</w:t>
      </w:r>
    </w:p>
    <w:p w14:paraId="49829688">
      <w:pPr>
        <w:spacing w:before="24" w:after="24"/>
        <w:ind w:firstLine="560" w:firstLineChars="200"/>
        <w:rPr>
          <w:rFonts w:ascii="Times New Roman" w:hAnsi="Times New Roman" w:cs="Times New Roman"/>
        </w:rPr>
      </w:pPr>
      <w:r>
        <w:rPr>
          <w:rFonts w:ascii="Times New Roman" w:hAnsi="Times New Roman" w:cs="Times New Roman"/>
          <w:color w:val="0D0D0D" w:themeColor="text1" w:themeTint="F2"/>
          <w14:textFill>
            <w14:solidFill>
              <w14:schemeClr w14:val="tx1">
                <w14:lumMod w14:val="95000"/>
                <w14:lumOff w14:val="5000"/>
              </w14:schemeClr>
            </w14:solidFill>
          </w14:textFill>
        </w:rPr>
        <w:t>（3）</w:t>
      </w:r>
      <w:r>
        <w:rPr>
          <w:rFonts w:ascii="Times New Roman" w:hAnsi="Times New Roman" w:cs="Times New Roman"/>
        </w:rPr>
        <w:t>根据设计及施工进度安排，自合同签订之日起，承包人应安排驻场人员不少于</w:t>
      </w:r>
      <w:r>
        <w:rPr>
          <w:rFonts w:hint="eastAsia" w:ascii="Times New Roman" w:hAnsi="Times New Roman" w:cs="Times New Roman"/>
        </w:rPr>
        <w:t>9</w:t>
      </w:r>
      <w:r>
        <w:rPr>
          <w:rFonts w:ascii="Times New Roman" w:hAnsi="Times New Roman" w:cs="Times New Roman"/>
        </w:rPr>
        <w:t>人（驻场专业根据项目进展合理调配），解答施工中的设计疑问，处理现场技术洽商。</w:t>
      </w:r>
    </w:p>
    <w:p w14:paraId="31D5CD6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w:t>
      </w:r>
      <w:r>
        <w:rPr>
          <w:rFonts w:hint="eastAsia" w:ascii="Times New Roman" w:hAnsi="Times New Roman" w:cs="Times New Roman"/>
          <w:color w:val="181717" w:themeColor="background2" w:themeShade="1A"/>
        </w:rPr>
        <w:t>4</w:t>
      </w:r>
      <w:r>
        <w:rPr>
          <w:rFonts w:ascii="Times New Roman" w:hAnsi="Times New Roman" w:cs="Times New Roman"/>
          <w:color w:val="181717" w:themeColor="background2" w:themeShade="1A"/>
        </w:rPr>
        <w:t>）审核技术变更需求，出具合法合规的设计变更文件，同步报发包人批准后实施。</w:t>
      </w:r>
    </w:p>
    <w:p w14:paraId="7235B4C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w:t>
      </w:r>
      <w:r>
        <w:rPr>
          <w:rFonts w:hint="eastAsia" w:ascii="Times New Roman" w:hAnsi="Times New Roman" w:cs="Times New Roman"/>
          <w:color w:val="181717" w:themeColor="background2" w:themeShade="1A"/>
        </w:rPr>
        <w:t>5</w:t>
      </w:r>
      <w:r>
        <w:rPr>
          <w:rFonts w:ascii="Times New Roman" w:hAnsi="Times New Roman" w:cs="Times New Roman"/>
          <w:color w:val="181717" w:themeColor="background2" w:themeShade="1A"/>
        </w:rPr>
        <w:t>）参与关键工序、重要分部工程验收，核对施工成果与设计文件的一致性。</w:t>
      </w:r>
    </w:p>
    <w:p w14:paraId="1164C6EE">
      <w:pPr>
        <w:spacing w:before="24" w:after="24"/>
        <w:ind w:firstLine="562" w:firstLineChars="200"/>
        <w:outlineLvl w:val="4"/>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t>2.1.3竣工验收设计工作</w:t>
      </w:r>
    </w:p>
    <w:p w14:paraId="6230588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（１）配合竣工验收，提供设计相关资料，协助完成消防、环保、规划等分部验收和专项验收。</w:t>
      </w:r>
    </w:p>
    <w:p w14:paraId="73C0F22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（２）整理全套设计档案（含电子文件），按发包人管理规定移交发包人及相关部门。</w:t>
      </w:r>
    </w:p>
    <w:p w14:paraId="4C15D9F1">
      <w:pPr>
        <w:spacing w:before="24" w:after="24"/>
        <w:ind w:firstLine="562" w:firstLineChars="200"/>
        <w:outlineLvl w:val="4"/>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t>2.1.4工程质量缺陷责任期内的跟踪服务。</w:t>
      </w:r>
    </w:p>
    <w:p w14:paraId="7D56D96D">
      <w:pPr>
        <w:spacing w:before="24" w:after="24"/>
        <w:ind w:firstLine="562" w:firstLineChars="200"/>
        <w:outlineLvl w:val="3"/>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t>2.2采购工作内容</w:t>
      </w:r>
    </w:p>
    <w:p w14:paraId="07E0138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2.2.1 建设工程材料及设施（设备）采购</w:t>
      </w:r>
    </w:p>
    <w:p w14:paraId="3A58D45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完成本期各建设项目各专业施工图设计范围内的材料、设施、构件的采购工作。</w:t>
      </w:r>
    </w:p>
    <w:p w14:paraId="7CD7DCD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2.2.2 垃圾焚烧及垃圾处理转运站专项设备作为专业暂估纳入招标范围，采购阶段按照合规方式进行采购。</w:t>
      </w:r>
    </w:p>
    <w:p w14:paraId="003FCA8C">
      <w:pPr>
        <w:spacing w:before="24" w:after="24"/>
        <w:ind w:firstLine="562" w:firstLineChars="200"/>
        <w:outlineLvl w:val="3"/>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t>2.3施工工作内容</w:t>
      </w:r>
    </w:p>
    <w:p w14:paraId="2A4A176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（1）完成经最终审核的施工图及深化设计包含的全部内容。</w:t>
      </w:r>
    </w:p>
    <w:p w14:paraId="776FB8C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（2）完成总图范围内供水、供电、通信、供气、排水等专项工程报装及验收审批手续。</w:t>
      </w:r>
    </w:p>
    <w:p w14:paraId="140FCE8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（3）完成项目所有竣工图汇编工作，并提供竣工蓝图电子版1套、纸质版6套。</w:t>
      </w:r>
    </w:p>
    <w:p w14:paraId="3D72179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（4）完成工程竣工验收、工程资料归档、使用交付。</w:t>
      </w:r>
    </w:p>
    <w:p w14:paraId="5CFF9E7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（5）配合办理工程建设相关行政审批。</w:t>
      </w:r>
    </w:p>
    <w:p w14:paraId="556F5EA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（6）工程保修期内的缺陷修复和保修工作。</w:t>
      </w:r>
    </w:p>
    <w:p w14:paraId="2C8EE637">
      <w:pPr>
        <w:spacing w:before="24" w:after="24"/>
        <w:ind w:firstLine="562" w:firstLineChars="200"/>
        <w:outlineLvl w:val="3"/>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t>2.4临时工程</w:t>
      </w:r>
    </w:p>
    <w:p w14:paraId="012292A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（1）施工红线范围内的施工用水、施工用电报装及费用缴纳。</w:t>
      </w:r>
    </w:p>
    <w:p w14:paraId="26605C1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（2）配合发包人完成红线范围外的施工临时道路接引、给水、排水、临电建设。</w:t>
      </w:r>
    </w:p>
    <w:p w14:paraId="59B8E4BF">
      <w:pPr>
        <w:spacing w:before="24" w:after="24"/>
        <w:ind w:firstLine="562" w:firstLineChars="200"/>
        <w:outlineLvl w:val="3"/>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t>2.5其他工作</w:t>
      </w:r>
    </w:p>
    <w:p w14:paraId="252C604C">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（1）配合发包人完成竣工决算、工程审计、产权登记、资产及资料移交。</w:t>
      </w:r>
    </w:p>
    <w:p w14:paraId="32770AC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（2）负责施工相关的四邻关系及维稳工作，针对安置搬迁、群众工作提出合理化建议。</w:t>
      </w:r>
    </w:p>
    <w:p w14:paraId="1BE5D6A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（3）完成项目信息化管控平台的全功能使用管理及信息录入工作。</w:t>
      </w:r>
    </w:p>
    <w:p w14:paraId="5B68946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（4）完成设计阶段、施工阶段、竣工交付阶段的所有BIM应用工作。</w:t>
      </w:r>
    </w:p>
    <w:p w14:paraId="5611A45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（5）完成项目的智慧工地部署及维护工作，且与信息化平台使用功能相链接。</w:t>
      </w:r>
    </w:p>
    <w:p w14:paraId="7DDB23B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（6）完成发包人安排与建设项目相关的其他工作。</w:t>
      </w:r>
    </w:p>
    <w:p w14:paraId="5AF598C4">
      <w:pPr>
        <w:pStyle w:val="62"/>
      </w:pPr>
      <w:bookmarkStart w:id="35" w:name="_Toc221894080"/>
      <w:r>
        <w:t>（三）各阶段内容及要求</w:t>
      </w:r>
      <w:bookmarkEnd w:id="35"/>
    </w:p>
    <w:p w14:paraId="1AF27218">
      <w:pPr>
        <w:pStyle w:val="64"/>
        <w:spacing w:before="24" w:after="24"/>
        <w:rPr>
          <w:rFonts w:cs="Times New Roman"/>
        </w:rPr>
      </w:pPr>
      <w:bookmarkStart w:id="36" w:name="_Toc221894081"/>
      <w:r>
        <w:rPr>
          <w:rFonts w:cs="Times New Roman"/>
        </w:rPr>
        <w:t>1、承包人需复核内容</w:t>
      </w:r>
      <w:bookmarkEnd w:id="36"/>
    </w:p>
    <w:p w14:paraId="620FC2DB">
      <w:pPr>
        <w:pStyle w:val="66"/>
        <w:rPr>
          <w:rFonts w:cs="Times New Roman"/>
        </w:rPr>
      </w:pPr>
      <w:r>
        <w:rPr>
          <w:rFonts w:cs="Times New Roman"/>
        </w:rPr>
        <w:t>1.1 合同条款复核</w:t>
      </w:r>
    </w:p>
    <w:p w14:paraId="11B337FC">
      <w:pPr>
        <w:pStyle w:val="54"/>
        <w:spacing w:before="24" w:after="24"/>
      </w:pPr>
      <w:r>
        <w:t>（1）合同范围：确认工程范围、交付标准、工期要求是否清晰，是否存在模糊条款。</w:t>
      </w:r>
    </w:p>
    <w:p w14:paraId="23776BA8">
      <w:pPr>
        <w:pStyle w:val="54"/>
        <w:spacing w:before="24" w:after="24"/>
      </w:pPr>
      <w:r>
        <w:t>（2）责任划分：明确发包人、总承包商、分包商的责任边界（如设计责任、移交条件等）。</w:t>
      </w:r>
    </w:p>
    <w:p w14:paraId="3769CCD8">
      <w:pPr>
        <w:pStyle w:val="54"/>
        <w:spacing w:before="24" w:after="24"/>
      </w:pPr>
      <w:r>
        <w:t>（3）付款条件：核查预付款、进度款、质保金等支付节点及条件。</w:t>
      </w:r>
    </w:p>
    <w:p w14:paraId="70E458E0">
      <w:pPr>
        <w:pStyle w:val="54"/>
        <w:spacing w:before="24" w:after="24"/>
      </w:pPr>
      <w:r>
        <w:t>（4）变更与索赔机制：确认变更流程、索赔条款的合理性。</w:t>
      </w:r>
    </w:p>
    <w:p w14:paraId="0332847C">
      <w:pPr>
        <w:pStyle w:val="54"/>
        <w:spacing w:before="24" w:after="24"/>
      </w:pPr>
      <w:r>
        <w:t>（5）争议解决方式：条款是否明确。</w:t>
      </w:r>
    </w:p>
    <w:p w14:paraId="44114D4E">
      <w:pPr>
        <w:pStyle w:val="66"/>
        <w:rPr>
          <w:rFonts w:cs="Times New Roman"/>
        </w:rPr>
      </w:pPr>
      <w:r>
        <w:rPr>
          <w:rFonts w:cs="Times New Roman"/>
        </w:rPr>
        <w:t>1.2 技术方案复核</w:t>
      </w:r>
    </w:p>
    <w:p w14:paraId="66CF9562">
      <w:pPr>
        <w:pStyle w:val="54"/>
        <w:spacing w:before="24" w:after="24"/>
      </w:pPr>
      <w:r>
        <w:t>（1）设计文件：检查初步设计文件内容是否满足发包人需求，是否存在技术矛盾或遗漏。</w:t>
      </w:r>
    </w:p>
    <w:p w14:paraId="44A2BE99">
      <w:pPr>
        <w:pStyle w:val="54"/>
        <w:spacing w:before="24" w:after="24"/>
      </w:pPr>
      <w:r>
        <w:t>（2）设备与材料参数：核对采购清单中的技术参数、品牌要求是否符合合同要求。</w:t>
      </w:r>
    </w:p>
    <w:p w14:paraId="3276BFEF">
      <w:pPr>
        <w:pStyle w:val="66"/>
        <w:rPr>
          <w:rFonts w:cs="Times New Roman"/>
        </w:rPr>
      </w:pPr>
      <w:r>
        <w:rPr>
          <w:rFonts w:cs="Times New Roman"/>
        </w:rPr>
        <w:t>1.3 预算与成本复核</w:t>
      </w:r>
    </w:p>
    <w:p w14:paraId="10AE1130">
      <w:pPr>
        <w:pStyle w:val="54"/>
        <w:spacing w:before="24" w:after="24"/>
      </w:pPr>
      <w:r>
        <w:t>（1）总承包价格合理性：对比市场价格和历史数据，核实总价是否覆盖成本与风险。</w:t>
      </w:r>
    </w:p>
    <w:p w14:paraId="00D61E5B">
      <w:pPr>
        <w:pStyle w:val="54"/>
        <w:spacing w:before="24" w:after="24"/>
      </w:pPr>
      <w:r>
        <w:t>（2）分项预算分解：检查各分项（设计、采购、施工）预算是否合理，是否存在漏项。</w:t>
      </w:r>
    </w:p>
    <w:p w14:paraId="31573A36">
      <w:pPr>
        <w:pStyle w:val="54"/>
        <w:spacing w:before="24" w:after="24"/>
      </w:pPr>
      <w:r>
        <w:t>（3）资金计划：确认项目资金到位情况，避免因资金问题导致工期延误。</w:t>
      </w:r>
    </w:p>
    <w:p w14:paraId="7A610973">
      <w:pPr>
        <w:pStyle w:val="66"/>
        <w:rPr>
          <w:rFonts w:cs="Times New Roman"/>
        </w:rPr>
      </w:pPr>
      <w:r>
        <w:rPr>
          <w:rFonts w:cs="Times New Roman"/>
        </w:rPr>
        <w:t>1.4 法规与合规性复核</w:t>
      </w:r>
    </w:p>
    <w:p w14:paraId="77B47254">
      <w:pPr>
        <w:pStyle w:val="54"/>
        <w:spacing w:before="24" w:after="24"/>
      </w:pPr>
      <w:r>
        <w:t>（1）工程合规性：确保项目符合国家及地方的建设法规、用地规划、环保要求</w:t>
      </w:r>
    </w:p>
    <w:p w14:paraId="6092F82D">
      <w:pPr>
        <w:pStyle w:val="54"/>
        <w:spacing w:before="24" w:after="24"/>
      </w:pPr>
      <w:r>
        <w:t>（2）行业标准：核查设计、施工是否符合相关行业标准（如居住建筑、办公建筑、垃圾焚烧、市政道路及地下管网等）</w:t>
      </w:r>
    </w:p>
    <w:p w14:paraId="0147B356">
      <w:pPr>
        <w:pStyle w:val="54"/>
        <w:spacing w:before="24" w:after="24"/>
      </w:pPr>
      <w:r>
        <w:t>（3）安全与环保要求：评估环境影响评价（EIA）、安全生产许可证等是否齐备。</w:t>
      </w:r>
    </w:p>
    <w:p w14:paraId="36B7ADAE">
      <w:pPr>
        <w:pStyle w:val="66"/>
        <w:rPr>
          <w:rFonts w:cs="Times New Roman"/>
        </w:rPr>
      </w:pPr>
      <w:r>
        <w:rPr>
          <w:rFonts w:cs="Times New Roman"/>
        </w:rPr>
        <w:t>1.5 资源与能力评估</w:t>
      </w:r>
    </w:p>
    <w:p w14:paraId="3F8EB1F8">
      <w:pPr>
        <w:pStyle w:val="54"/>
        <w:spacing w:before="24" w:after="24"/>
      </w:pPr>
      <w:r>
        <w:t>（1）团队能力：复核总承包商及分包商的技术团队、管理经验是否匹配项目需求。</w:t>
      </w:r>
    </w:p>
    <w:p w14:paraId="604E6084">
      <w:pPr>
        <w:pStyle w:val="54"/>
        <w:spacing w:before="24" w:after="24"/>
      </w:pPr>
      <w:r>
        <w:t>（2）供应链稳定性：评估关键设备供应商、材料供应商的资质和履约能力。</w:t>
      </w:r>
    </w:p>
    <w:p w14:paraId="39D99799">
      <w:pPr>
        <w:pStyle w:val="54"/>
        <w:spacing w:before="24" w:after="24"/>
      </w:pPr>
      <w:r>
        <w:t>（3）设备与材料储备：检查是否具备开工所需的设备、材料及临时设施。</w:t>
      </w:r>
    </w:p>
    <w:p w14:paraId="6B9994C8">
      <w:pPr>
        <w:pStyle w:val="66"/>
        <w:rPr>
          <w:rFonts w:cs="Times New Roman"/>
        </w:rPr>
      </w:pPr>
      <w:r>
        <w:rPr>
          <w:rFonts w:cs="Times New Roman"/>
        </w:rPr>
        <w:t>1.6 风险管理复核</w:t>
      </w:r>
    </w:p>
    <w:p w14:paraId="7DEDB271">
      <w:pPr>
        <w:pStyle w:val="54"/>
        <w:spacing w:before="24" w:after="24"/>
      </w:pPr>
      <w:r>
        <w:t>（1）风险识别：列出潜在风险（如设计变更、工期延误、成本超支、不可抗力等）。</w:t>
      </w:r>
    </w:p>
    <w:p w14:paraId="22E38792">
      <w:pPr>
        <w:pStyle w:val="54"/>
        <w:spacing w:before="24" w:after="24"/>
      </w:pPr>
      <w:r>
        <w:t>（2）应对措施：制定风险预案（如技术替代方案、保险覆盖范围）确认工程一切险、第三方责任险等是否覆盖项目全周期。</w:t>
      </w:r>
    </w:p>
    <w:p w14:paraId="0DD4C2E2">
      <w:pPr>
        <w:pStyle w:val="66"/>
        <w:rPr>
          <w:rFonts w:cs="Times New Roman"/>
        </w:rPr>
      </w:pPr>
      <w:r>
        <w:rPr>
          <w:rFonts w:cs="Times New Roman"/>
        </w:rPr>
        <w:t>1.7 利益相关者沟通</w:t>
      </w:r>
    </w:p>
    <w:p w14:paraId="36451F96">
      <w:pPr>
        <w:pStyle w:val="54"/>
        <w:spacing w:before="24" w:after="24"/>
      </w:pPr>
      <w:r>
        <w:t>（1）发包人需求确认：确认技术、质量、进度等核心要求。</w:t>
      </w:r>
    </w:p>
    <w:p w14:paraId="14D97BE9">
      <w:pPr>
        <w:pStyle w:val="54"/>
        <w:spacing w:before="24" w:after="24"/>
      </w:pPr>
      <w:r>
        <w:t>（2）政府与社区协调：核实是否需要与地方政府、周边社区进行前置沟通（如拆迁、交通管制）。</w:t>
      </w:r>
    </w:p>
    <w:p w14:paraId="767358E2">
      <w:pPr>
        <w:pStyle w:val="54"/>
        <w:spacing w:before="24" w:after="24"/>
      </w:pPr>
      <w:r>
        <w:t>（3）协作机制：建立与设计院、材料设备供应商、分包商的沟通流程和信息共享机制。</w:t>
      </w:r>
    </w:p>
    <w:p w14:paraId="4225BBA1">
      <w:pPr>
        <w:pStyle w:val="66"/>
        <w:rPr>
          <w:rFonts w:cs="Times New Roman"/>
        </w:rPr>
      </w:pPr>
      <w:r>
        <w:rPr>
          <w:rFonts w:cs="Times New Roman"/>
        </w:rPr>
        <w:t>1.8 现场条件复核</w:t>
      </w:r>
    </w:p>
    <w:p w14:paraId="3C9BEE20">
      <w:pPr>
        <w:pStyle w:val="54"/>
        <w:spacing w:before="24" w:after="24"/>
      </w:pPr>
      <w:r>
        <w:t>（1）地质与地形：核查地勘报告是否完整，是否需补充勘察。</w:t>
      </w:r>
    </w:p>
    <w:p w14:paraId="450B04E9">
      <w:pPr>
        <w:pStyle w:val="54"/>
        <w:spacing w:before="24" w:after="24"/>
      </w:pPr>
      <w:r>
        <w:t>（2）基础设施：检查水、电、道路等临时设施条件是否满足施工需求。</w:t>
      </w:r>
    </w:p>
    <w:p w14:paraId="52C83CD4">
      <w:pPr>
        <w:pStyle w:val="54"/>
        <w:spacing w:before="24" w:after="24"/>
      </w:pPr>
      <w:r>
        <w:t>（3）场地移交：确认发包人是否完成场地清理、拆迁。</w:t>
      </w:r>
    </w:p>
    <w:p w14:paraId="66D27737">
      <w:pPr>
        <w:pStyle w:val="66"/>
        <w:rPr>
          <w:rFonts w:cs="Times New Roman"/>
        </w:rPr>
      </w:pPr>
      <w:r>
        <w:rPr>
          <w:rFonts w:cs="Times New Roman"/>
        </w:rPr>
        <w:t>1.9 管理体系与流程复核</w:t>
      </w:r>
    </w:p>
    <w:p w14:paraId="33346FE5">
      <w:pPr>
        <w:pStyle w:val="54"/>
        <w:spacing w:before="24" w:after="24"/>
      </w:pPr>
      <w:r>
        <w:t>（1）质量管理体系：检查质量控制计划、验收标准是否明确。</w:t>
      </w:r>
    </w:p>
    <w:p w14:paraId="7DB561C7">
      <w:pPr>
        <w:pStyle w:val="54"/>
        <w:spacing w:before="24" w:after="24"/>
      </w:pPr>
      <w:r>
        <w:t>（2）HSE管理体系：评估安全、健康、环境管理方案是否符合规范。</w:t>
      </w:r>
    </w:p>
    <w:p w14:paraId="32751B56">
      <w:pPr>
        <w:pStyle w:val="54"/>
        <w:spacing w:before="24" w:after="24"/>
      </w:pPr>
      <w:r>
        <w:t>（3）核实总进度计划是否合理，关键路径是否清晰。</w:t>
      </w:r>
    </w:p>
    <w:p w14:paraId="51A67873">
      <w:pPr>
        <w:pStyle w:val="54"/>
        <w:spacing w:before="24" w:after="24"/>
      </w:pPr>
      <w:r>
        <w:t>（4）文件管理：确认图纸、规范、变更记录等文档的归档流程。</w:t>
      </w:r>
    </w:p>
    <w:p w14:paraId="7A67B52E">
      <w:pPr>
        <w:pStyle w:val="66"/>
        <w:rPr>
          <w:rFonts w:cs="Times New Roman"/>
        </w:rPr>
      </w:pPr>
      <w:r>
        <w:rPr>
          <w:rFonts w:cs="Times New Roman"/>
        </w:rPr>
        <w:t>1.10 审批与验收复核</w:t>
      </w:r>
    </w:p>
    <w:p w14:paraId="779EAB01">
      <w:pPr>
        <w:pStyle w:val="54"/>
        <w:spacing w:before="24" w:after="24"/>
      </w:pPr>
      <w:r>
        <w:t>（1）前置审批文件：确保已取得土地证、规划许可证、环评批复等。</w:t>
      </w:r>
    </w:p>
    <w:p w14:paraId="1D134AF6">
      <w:pPr>
        <w:pStyle w:val="54"/>
        <w:spacing w:before="24" w:after="24"/>
      </w:pPr>
      <w:r>
        <w:t>（2）居住建筑、办公建筑、市政道路、公园、步道、城市广场等明验收标准：明确各阶段验收程序及标准（如隐蔽工程验收、竣工验收）。</w:t>
      </w:r>
    </w:p>
    <w:p w14:paraId="082F941D">
      <w:pPr>
        <w:pStyle w:val="54"/>
        <w:spacing w:before="24" w:after="24"/>
      </w:pPr>
      <w:r>
        <w:t>（3）生产性工程（垃圾焚烧处理厂）验收：复核装置功能性试验（含单机试运行转）、联合试运转（时间不少于72小时）标准、装置移交前试运行（试运行详见“四、时间要求”）。</w:t>
      </w:r>
    </w:p>
    <w:p w14:paraId="2451E0B9">
      <w:pPr>
        <w:pStyle w:val="54"/>
        <w:spacing w:before="24" w:after="24"/>
      </w:pPr>
      <w:r>
        <w:t>（4）移交计划：复核工程移交清单、培训计划及质保期服务内容。</w:t>
      </w:r>
    </w:p>
    <w:p w14:paraId="7426D7EB">
      <w:pPr>
        <w:pStyle w:val="64"/>
        <w:spacing w:before="24" w:after="24"/>
        <w:rPr>
          <w:rFonts w:cs="Times New Roman"/>
        </w:rPr>
      </w:pPr>
      <w:bookmarkStart w:id="37" w:name="_Toc221894082"/>
      <w:r>
        <w:rPr>
          <w:rFonts w:cs="Times New Roman"/>
        </w:rPr>
        <w:t>2、永久工程的设计、采购、施工</w:t>
      </w:r>
      <w:bookmarkEnd w:id="37"/>
    </w:p>
    <w:p w14:paraId="113653DA">
      <w:pPr>
        <w:pStyle w:val="66"/>
        <w:rPr>
          <w:rFonts w:cs="Times New Roman"/>
        </w:rPr>
      </w:pPr>
      <w:r>
        <w:rPr>
          <w:rFonts w:cs="Times New Roman"/>
        </w:rPr>
        <w:t>2.1设计</w:t>
      </w:r>
    </w:p>
    <w:p w14:paraId="6C3B80E0">
      <w:pPr>
        <w:pStyle w:val="54"/>
        <w:spacing w:before="24" w:after="24"/>
      </w:pPr>
      <w:r>
        <w:t>2.1.1承包人应在批准的初步设计基础上，按照国家、地方现行设计规范、标准并参照行业及相关图集进行建设项目施工图设计，含项目涉及的施工图设计工作、二次深化设计、专项设计、工艺设计等。</w:t>
      </w:r>
    </w:p>
    <w:p w14:paraId="41CBF16F">
      <w:pPr>
        <w:pStyle w:val="54"/>
        <w:spacing w:before="24" w:after="24"/>
      </w:pPr>
      <w:r>
        <w:t>2.1.2审图公司、发包人和管理单位出具的审核意见应在七天内回复，并在设计成果中落实。</w:t>
      </w:r>
    </w:p>
    <w:p w14:paraId="47FA0411">
      <w:pPr>
        <w:pStyle w:val="54"/>
        <w:spacing w:before="24" w:after="24"/>
      </w:pPr>
      <w:r>
        <w:t>2.1.3承包人应按照经批准的初步设计概算工程费用进行限额设计。</w:t>
      </w:r>
    </w:p>
    <w:p w14:paraId="5D7AEAB9">
      <w:pPr>
        <w:pStyle w:val="54"/>
        <w:spacing w:before="24" w:after="24"/>
      </w:pPr>
      <w:r>
        <w:t>2.1.4承包人在进行施工图设计时，不得降低《发包人要求》规定的标准。</w:t>
      </w:r>
    </w:p>
    <w:p w14:paraId="4F8BA049">
      <w:pPr>
        <w:pStyle w:val="54"/>
        <w:spacing w:before="24" w:after="24"/>
      </w:pPr>
      <w:r>
        <w:t>2.1.5承包人在进行施工图设计时，应充分体现发包人的要求，其成果文件应得到发包人认可。</w:t>
      </w:r>
    </w:p>
    <w:p w14:paraId="3A90EBA2">
      <w:pPr>
        <w:pStyle w:val="54"/>
        <w:spacing w:before="24" w:after="24"/>
      </w:pPr>
      <w:r>
        <w:t>2.1.6承包人应负责工程设计的组织、协调、进度控制等所有相关设计工作，并负责对该工程的所有设计工作进行审查，对所有相关设计文件的正确性承担责任。并按合同中承包人提交文件的有关要求，提供全部的设计成果资料并归档。</w:t>
      </w:r>
    </w:p>
    <w:p w14:paraId="64AC7AE5">
      <w:pPr>
        <w:pStyle w:val="54"/>
        <w:spacing w:before="24" w:after="24"/>
      </w:pPr>
      <w:r>
        <w:t>2.1.7按双方约定的时间完成设计文件的中间审查和最终审查（含二次深化设计及专项设计的评审），并经发包人批准后实施。</w:t>
      </w:r>
    </w:p>
    <w:p w14:paraId="47F38340">
      <w:pPr>
        <w:pStyle w:val="54"/>
        <w:spacing w:before="24" w:after="24"/>
      </w:pPr>
      <w:r>
        <w:t>2.1.8承包人指派专人配合发包人完成项目全过程的各项审批手续。</w:t>
      </w:r>
    </w:p>
    <w:p w14:paraId="63FF02D8">
      <w:pPr>
        <w:pStyle w:val="54"/>
        <w:spacing w:before="24" w:after="24"/>
      </w:pPr>
      <w:r>
        <w:t>2.1.9承包人办理相关人防、消防、节能、绿色建筑、节水、各专项工程设计审批，相关费用及各类验收相关费用由承包人承担;由承包人配合办理施工图审查，施工许可证须按发包人提出的时间要求完成所需资料的整理、收集工作，如承包人未按发包人要求配合完成相关工作，按合同条款考核一定金额的违约金。</w:t>
      </w:r>
    </w:p>
    <w:p w14:paraId="491CF514">
      <w:pPr>
        <w:pStyle w:val="54"/>
        <w:spacing w:before="24" w:after="24"/>
      </w:pPr>
      <w:r>
        <w:t>2.1.10依据《中华人民共和国水土保持法》相关规定，落实好“三同时制度”，设计单位应对水土保持措施进行细化并落实到图纸中，满足项目运行期间的水土流失防治要求。涉及弃渣场时，设计单位应细化土石方量，保证渣场容量及位置满足堆渣要求，从而防止水土保持方案发生重大变更，影响后期水土保持设施自主验收工作。配合水土保持方案编制单位提供项目弃渣场、取料场、施工营场地、施工便道等水土保持设计相关要素的选址、占地面积、容量及图纸等相关资料。配合项目水土保持方案编制评审、自主验收备案等相关工作。</w:t>
      </w:r>
    </w:p>
    <w:p w14:paraId="76F2ED95">
      <w:pPr>
        <w:pStyle w:val="69"/>
        <w:rPr>
          <w:rFonts w:hint="eastAsia"/>
        </w:rPr>
      </w:pPr>
      <w:r>
        <w:t>各专业设计工作内容</w:t>
      </w:r>
    </w:p>
    <w:tbl>
      <w:tblPr>
        <w:tblStyle w:val="31"/>
        <w:tblW w:w="95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8"/>
        <w:gridCol w:w="6523"/>
        <w:gridCol w:w="2163"/>
      </w:tblGrid>
      <w:tr w14:paraId="6320CB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blHeader/>
        </w:trPr>
        <w:tc>
          <w:tcPr>
            <w:tcW w:w="878" w:type="dxa"/>
            <w:tcBorders>
              <w:top w:val="single" w:color="000000" w:sz="4" w:space="0"/>
              <w:left w:val="single" w:color="000000" w:sz="4" w:space="0"/>
              <w:bottom w:val="single" w:color="000000" w:sz="4" w:space="0"/>
              <w:right w:val="single" w:color="000000" w:sz="4" w:space="0"/>
            </w:tcBorders>
            <w:vAlign w:val="center"/>
          </w:tcPr>
          <w:p w14:paraId="60916DDB">
            <w:pPr>
              <w:pStyle w:val="71"/>
              <w:spacing w:before="24" w:after="24"/>
              <w:rPr>
                <w:rFonts w:cs="Times New Roman"/>
              </w:rPr>
            </w:pPr>
            <w:r>
              <w:rPr>
                <w:rFonts w:cs="Times New Roman"/>
              </w:rPr>
              <w:t>专业名称</w:t>
            </w:r>
          </w:p>
        </w:tc>
        <w:tc>
          <w:tcPr>
            <w:tcW w:w="6523" w:type="dxa"/>
            <w:tcBorders>
              <w:top w:val="single" w:color="000000" w:sz="4" w:space="0"/>
              <w:left w:val="single" w:color="000000" w:sz="4" w:space="0"/>
              <w:bottom w:val="single" w:color="000000" w:sz="4" w:space="0"/>
              <w:right w:val="single" w:color="000000" w:sz="4" w:space="0"/>
            </w:tcBorders>
            <w:vAlign w:val="center"/>
          </w:tcPr>
          <w:p w14:paraId="463046CC">
            <w:pPr>
              <w:pStyle w:val="71"/>
              <w:spacing w:before="24" w:after="24"/>
              <w:rPr>
                <w:rFonts w:cs="Times New Roman"/>
              </w:rPr>
            </w:pPr>
            <w:r>
              <w:rPr>
                <w:rFonts w:cs="Times New Roman"/>
              </w:rPr>
              <w:t>设计工作内容</w:t>
            </w:r>
          </w:p>
        </w:tc>
        <w:tc>
          <w:tcPr>
            <w:tcW w:w="2163" w:type="dxa"/>
            <w:tcBorders>
              <w:top w:val="single" w:color="000000" w:sz="4" w:space="0"/>
              <w:left w:val="single" w:color="000000" w:sz="4" w:space="0"/>
              <w:bottom w:val="single" w:color="000000" w:sz="4" w:space="0"/>
              <w:right w:val="single" w:color="000000" w:sz="4" w:space="0"/>
            </w:tcBorders>
            <w:vAlign w:val="center"/>
          </w:tcPr>
          <w:p w14:paraId="4518CA97">
            <w:pPr>
              <w:pStyle w:val="71"/>
              <w:spacing w:before="24" w:after="24"/>
              <w:rPr>
                <w:rFonts w:cs="Times New Roman"/>
              </w:rPr>
            </w:pPr>
            <w:r>
              <w:rPr>
                <w:rFonts w:cs="Times New Roman"/>
              </w:rPr>
              <w:t>专业协同</w:t>
            </w:r>
          </w:p>
        </w:tc>
      </w:tr>
      <w:tr w14:paraId="5FD1A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6" w:hRule="atLeast"/>
        </w:trPr>
        <w:tc>
          <w:tcPr>
            <w:tcW w:w="878" w:type="dxa"/>
            <w:tcBorders>
              <w:top w:val="single" w:color="000000" w:sz="4" w:space="0"/>
              <w:left w:val="single" w:color="000000" w:sz="4" w:space="0"/>
              <w:bottom w:val="single" w:color="000000" w:sz="4" w:space="0"/>
              <w:right w:val="single" w:color="000000" w:sz="4" w:space="0"/>
            </w:tcBorders>
            <w:vAlign w:val="center"/>
          </w:tcPr>
          <w:p w14:paraId="7C2A4814">
            <w:pPr>
              <w:pStyle w:val="71"/>
              <w:spacing w:before="24" w:after="24"/>
              <w:rPr>
                <w:rFonts w:cs="Times New Roman"/>
              </w:rPr>
            </w:pPr>
            <w:r>
              <w:rPr>
                <w:rFonts w:cs="Times New Roman"/>
              </w:rPr>
              <w:t>建筑</w:t>
            </w:r>
          </w:p>
        </w:tc>
        <w:tc>
          <w:tcPr>
            <w:tcW w:w="6523" w:type="dxa"/>
            <w:tcBorders>
              <w:top w:val="single" w:color="000000" w:sz="4" w:space="0"/>
              <w:left w:val="single" w:color="000000" w:sz="4" w:space="0"/>
              <w:bottom w:val="single" w:color="000000" w:sz="4" w:space="0"/>
              <w:right w:val="single" w:color="000000" w:sz="4" w:space="0"/>
            </w:tcBorders>
            <w:vAlign w:val="center"/>
          </w:tcPr>
          <w:p w14:paraId="7D1C1BC7">
            <w:pPr>
              <w:pStyle w:val="71"/>
              <w:spacing w:before="24" w:after="24"/>
              <w:jc w:val="both"/>
              <w:rPr>
                <w:rFonts w:cs="Times New Roman"/>
              </w:rPr>
            </w:pPr>
            <w:r>
              <w:rPr>
                <w:rFonts w:cs="Times New Roman"/>
              </w:rPr>
              <w:t>建筑施工图设计的主要内容：</w:t>
            </w:r>
          </w:p>
          <w:p w14:paraId="3A628C84">
            <w:pPr>
              <w:pStyle w:val="71"/>
              <w:spacing w:before="24" w:after="24"/>
              <w:jc w:val="both"/>
              <w:rPr>
                <w:rFonts w:cs="Times New Roman"/>
              </w:rPr>
            </w:pPr>
            <w:r>
              <w:rPr>
                <w:rFonts w:cs="Times New Roman"/>
              </w:rPr>
              <w:t>1、总平面图设计</w:t>
            </w:r>
          </w:p>
          <w:p w14:paraId="71B57B18">
            <w:pPr>
              <w:pStyle w:val="71"/>
              <w:spacing w:before="24" w:after="24"/>
              <w:jc w:val="both"/>
              <w:rPr>
                <w:rFonts w:cs="Times New Roman"/>
              </w:rPr>
            </w:pPr>
            <w:r>
              <w:rPr>
                <w:rFonts w:cs="Times New Roman"/>
              </w:rPr>
              <w:t>1）总平面设计内容：场地布置、建筑定位、间距、消防通道、道路、绿化、竖向设计、土方平衡、管综示意、停车位布置等。</w:t>
            </w:r>
          </w:p>
          <w:p w14:paraId="5A402B13">
            <w:pPr>
              <w:pStyle w:val="71"/>
              <w:spacing w:before="24" w:after="24"/>
              <w:jc w:val="both"/>
              <w:rPr>
                <w:rFonts w:cs="Times New Roman"/>
              </w:rPr>
            </w:pPr>
            <w:r>
              <w:rPr>
                <w:rFonts w:cs="Times New Roman"/>
              </w:rPr>
              <w:t>2）图纸内容：图纸目录、设计说明、总平面布置图、消防及登高场地示意图、道路及竖向布置图，场平图等。</w:t>
            </w:r>
          </w:p>
          <w:p w14:paraId="6AC14C58">
            <w:pPr>
              <w:pStyle w:val="71"/>
              <w:spacing w:before="24" w:after="24"/>
              <w:jc w:val="both"/>
              <w:rPr>
                <w:rFonts w:cs="Times New Roman"/>
              </w:rPr>
            </w:pPr>
            <w:r>
              <w:rPr>
                <w:rFonts w:cs="Times New Roman"/>
              </w:rPr>
              <w:t>2、建筑施工图设计总说明</w:t>
            </w:r>
          </w:p>
          <w:p w14:paraId="149AC102">
            <w:pPr>
              <w:pStyle w:val="71"/>
              <w:spacing w:before="24" w:after="24"/>
              <w:jc w:val="both"/>
              <w:rPr>
                <w:rFonts w:cs="Times New Roman"/>
              </w:rPr>
            </w:pPr>
            <w:r>
              <w:rPr>
                <w:rFonts w:cs="Times New Roman"/>
              </w:rPr>
              <w:t>1）内容：施工图设计的依据性文件、批文和相关规范、项目概况、建筑定位及设计标高、墙体工程、楼地面工程、屋面工程、外装修工程、内装修工程、门窗和幕墙工程、木作及油漆工程、安全防范设计、无障碍设计、消防设计、防水工程、节能、绿建专篇、室内外装修构造做法表等。</w:t>
            </w:r>
          </w:p>
          <w:p w14:paraId="0FEB38EE">
            <w:pPr>
              <w:pStyle w:val="71"/>
              <w:spacing w:before="24" w:after="24"/>
              <w:jc w:val="both"/>
              <w:rPr>
                <w:rFonts w:cs="Times New Roman"/>
              </w:rPr>
            </w:pPr>
            <w:r>
              <w:rPr>
                <w:rFonts w:cs="Times New Roman"/>
              </w:rPr>
              <w:t>3、各单体建筑平面图、立面图、剖面图、节点详图、门窗详图、楼电梯详图等内容：</w:t>
            </w:r>
          </w:p>
          <w:p w14:paraId="4DF3B5B6">
            <w:pPr>
              <w:pStyle w:val="71"/>
              <w:spacing w:before="24" w:after="24"/>
              <w:jc w:val="both"/>
              <w:rPr>
                <w:rFonts w:cs="Times New Roman"/>
              </w:rPr>
            </w:pPr>
            <w:r>
              <w:rPr>
                <w:rFonts w:cs="Times New Roman"/>
              </w:rPr>
              <w:t>1）平面图：标注轴线、房间功能、门窗洞口尺寸、墙体厚度、楼梯及电梯井道、管井位置、防火分区、保温示意图等。</w:t>
            </w:r>
          </w:p>
          <w:p w14:paraId="198EEA40">
            <w:pPr>
              <w:pStyle w:val="71"/>
              <w:spacing w:before="24" w:after="24"/>
              <w:jc w:val="both"/>
              <w:rPr>
                <w:rFonts w:cs="Times New Roman"/>
              </w:rPr>
            </w:pPr>
            <w:r>
              <w:rPr>
                <w:rFonts w:cs="Times New Roman"/>
              </w:rPr>
              <w:t>2）立面图：标注外立面材质（如涂料、石材、幕墙）、分缝线、门窗样式及开启方向、装饰构件尺寸。</w:t>
            </w:r>
          </w:p>
          <w:p w14:paraId="1ABD58A4">
            <w:pPr>
              <w:pStyle w:val="71"/>
              <w:spacing w:before="24" w:after="24"/>
              <w:jc w:val="both"/>
              <w:rPr>
                <w:rFonts w:cs="Times New Roman"/>
              </w:rPr>
            </w:pPr>
            <w:r>
              <w:rPr>
                <w:rFonts w:cs="Times New Roman"/>
              </w:rPr>
              <w:t>3）剖面图：明确层高、梁高、楼板厚度、屋顶构造、室内外高差、楼梯踏步及栏杆节点。</w:t>
            </w:r>
          </w:p>
          <w:p w14:paraId="6CFE58AD">
            <w:pPr>
              <w:pStyle w:val="71"/>
              <w:spacing w:before="24" w:after="24"/>
              <w:jc w:val="both"/>
              <w:rPr>
                <w:rFonts w:cs="Times New Roman"/>
              </w:rPr>
            </w:pPr>
            <w:r>
              <w:rPr>
                <w:rFonts w:cs="Times New Roman"/>
              </w:rPr>
              <w:t>4）节点详图：墙身大样（保温、防水构造）、门窗洞口收口、栏杆扶手、屋面檐口等细部构造。</w:t>
            </w:r>
          </w:p>
          <w:p w14:paraId="749CE187">
            <w:pPr>
              <w:pStyle w:val="71"/>
              <w:spacing w:before="24" w:after="24"/>
              <w:jc w:val="both"/>
              <w:rPr>
                <w:rFonts w:cs="Times New Roman"/>
              </w:rPr>
            </w:pPr>
            <w:r>
              <w:rPr>
                <w:rFonts w:cs="Times New Roman"/>
              </w:rPr>
              <w:t>5）门窗详图：含各部位门窗大样图、门窗统计表，并注明门窗规格尺寸、材料、开启方式、数量等。</w:t>
            </w:r>
          </w:p>
          <w:p w14:paraId="4184DB79">
            <w:pPr>
              <w:pStyle w:val="71"/>
              <w:spacing w:before="24" w:after="24"/>
              <w:jc w:val="both"/>
              <w:rPr>
                <w:rFonts w:cs="Times New Roman"/>
              </w:rPr>
            </w:pPr>
            <w:r>
              <w:rPr>
                <w:rFonts w:cs="Times New Roman"/>
              </w:rPr>
              <w:t>6）楼电梯详图：含各楼梯平面图、剖面图，电梯选项及参数配置表，并与各专业配合无误。</w:t>
            </w:r>
          </w:p>
          <w:p w14:paraId="20E48C4C">
            <w:pPr>
              <w:pStyle w:val="71"/>
              <w:spacing w:before="24" w:after="24"/>
              <w:jc w:val="both"/>
              <w:rPr>
                <w:rFonts w:cs="Times New Roman"/>
              </w:rPr>
            </w:pPr>
            <w:r>
              <w:rPr>
                <w:rFonts w:cs="Times New Roman"/>
              </w:rPr>
              <w:t>4、其他专项设计</w:t>
            </w:r>
          </w:p>
          <w:p w14:paraId="7AE70331">
            <w:pPr>
              <w:pStyle w:val="71"/>
              <w:spacing w:before="24" w:after="24"/>
              <w:jc w:val="both"/>
              <w:rPr>
                <w:rFonts w:cs="Times New Roman"/>
              </w:rPr>
            </w:pPr>
            <w:r>
              <w:rPr>
                <w:rFonts w:cs="Times New Roman"/>
              </w:rPr>
              <w:t>1）无障碍设计：建筑入口、公共走道、坡道、楼梯、电梯、无障碍住房等。</w:t>
            </w:r>
          </w:p>
          <w:p w14:paraId="0B7268DD">
            <w:pPr>
              <w:pStyle w:val="71"/>
              <w:spacing w:before="24" w:after="24"/>
              <w:jc w:val="both"/>
              <w:rPr>
                <w:rFonts w:cs="Times New Roman"/>
              </w:rPr>
            </w:pPr>
            <w:r>
              <w:rPr>
                <w:rFonts w:cs="Times New Roman"/>
              </w:rPr>
              <w:t>2）节能设计：根据项目所在地区进行节能设计，合理设计外墙、屋面、外窗等细部构造，在满足规范、使用功能的墙体下采用性价比高的材料，节约成本，并提供节能审查所需的报告。</w:t>
            </w:r>
          </w:p>
          <w:p w14:paraId="3F2D95B7">
            <w:pPr>
              <w:pStyle w:val="71"/>
              <w:spacing w:before="24" w:after="24"/>
              <w:jc w:val="both"/>
              <w:rPr>
                <w:rFonts w:cs="Times New Roman"/>
              </w:rPr>
            </w:pPr>
            <w:r>
              <w:rPr>
                <w:rFonts w:cs="Times New Roman"/>
              </w:rPr>
              <w:t>3）绿建设计：根据项目所在地区进行绿建设计，在满足规范、使用功能等前提下节约成本，并按项目绿建等级提供相应的绿建支撑文件。</w:t>
            </w:r>
          </w:p>
          <w:p w14:paraId="52D5667F">
            <w:pPr>
              <w:pStyle w:val="71"/>
              <w:spacing w:before="24" w:after="24"/>
              <w:jc w:val="both"/>
              <w:rPr>
                <w:rFonts w:cs="Times New Roman"/>
              </w:rPr>
            </w:pPr>
            <w:r>
              <w:rPr>
                <w:rFonts w:cs="Times New Roman"/>
              </w:rPr>
              <w:t>3）装配式设计：进行装配式设计，在满足规范、使用功能等前提下节约成本，并按项目装配率要求提供相应的支撑文件。</w:t>
            </w:r>
          </w:p>
        </w:tc>
        <w:tc>
          <w:tcPr>
            <w:tcW w:w="2163" w:type="dxa"/>
            <w:tcBorders>
              <w:top w:val="single" w:color="000000" w:sz="4" w:space="0"/>
              <w:left w:val="single" w:color="000000" w:sz="4" w:space="0"/>
              <w:bottom w:val="single" w:color="000000" w:sz="4" w:space="0"/>
              <w:right w:val="single" w:color="000000" w:sz="4" w:space="0"/>
            </w:tcBorders>
            <w:vAlign w:val="center"/>
          </w:tcPr>
          <w:p w14:paraId="5FC9E7E2">
            <w:pPr>
              <w:pStyle w:val="71"/>
              <w:spacing w:before="24" w:after="24"/>
              <w:jc w:val="both"/>
              <w:rPr>
                <w:rFonts w:cs="Times New Roman"/>
              </w:rPr>
            </w:pPr>
            <w:r>
              <w:rPr>
                <w:rFonts w:cs="Times New Roman"/>
              </w:rPr>
              <w:t>通过与结构、机电专业的配合，满足建筑使用功能、外立面造型等；和结构专业配合确定结构基础选型，住宅剪力墙/柱网布置、梁系布置等；配合机电专业对项目进行净高分析，运用BIM技术确认管综走向，保证各可用空间的净高，并对所用材料进行方案对比，使用符合规范、性价比高的材料。</w:t>
            </w:r>
          </w:p>
        </w:tc>
      </w:tr>
      <w:tr w14:paraId="420F3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78" w:type="dxa"/>
            <w:tcBorders>
              <w:top w:val="single" w:color="000000" w:sz="4" w:space="0"/>
              <w:left w:val="single" w:color="000000" w:sz="4" w:space="0"/>
              <w:bottom w:val="single" w:color="000000" w:sz="4" w:space="0"/>
              <w:right w:val="single" w:color="000000" w:sz="4" w:space="0"/>
            </w:tcBorders>
            <w:vAlign w:val="center"/>
          </w:tcPr>
          <w:p w14:paraId="095EDDFA">
            <w:pPr>
              <w:pStyle w:val="71"/>
              <w:spacing w:before="24" w:after="24"/>
              <w:rPr>
                <w:rFonts w:cs="Times New Roman"/>
              </w:rPr>
            </w:pPr>
            <w:r>
              <w:rPr>
                <w:rFonts w:cs="Times New Roman"/>
              </w:rPr>
              <w:t>结构</w:t>
            </w:r>
          </w:p>
        </w:tc>
        <w:tc>
          <w:tcPr>
            <w:tcW w:w="6523" w:type="dxa"/>
            <w:tcBorders>
              <w:top w:val="single" w:color="000000" w:sz="4" w:space="0"/>
              <w:left w:val="single" w:color="000000" w:sz="4" w:space="0"/>
              <w:bottom w:val="single" w:color="000000" w:sz="4" w:space="0"/>
              <w:right w:val="single" w:color="000000" w:sz="4" w:space="0"/>
            </w:tcBorders>
            <w:vAlign w:val="center"/>
          </w:tcPr>
          <w:p w14:paraId="17766596">
            <w:pPr>
              <w:pStyle w:val="71"/>
              <w:spacing w:before="24" w:after="24"/>
              <w:jc w:val="both"/>
              <w:rPr>
                <w:rFonts w:cs="Times New Roman"/>
              </w:rPr>
            </w:pPr>
            <w:r>
              <w:rPr>
                <w:rFonts w:cs="Times New Roman"/>
              </w:rPr>
              <w:t>1）计算与验算</w:t>
            </w:r>
          </w:p>
          <w:p w14:paraId="3423F3F3">
            <w:pPr>
              <w:pStyle w:val="71"/>
              <w:spacing w:before="24" w:after="24"/>
              <w:jc w:val="both"/>
              <w:rPr>
                <w:rFonts w:cs="Times New Roman"/>
              </w:rPr>
            </w:pPr>
            <w:r>
              <w:rPr>
                <w:rFonts w:cs="Times New Roman"/>
              </w:rPr>
              <w:t>结构整体计算：抗震验算、风荷载分析、基础沉降计算。</w:t>
            </w:r>
          </w:p>
          <w:p w14:paraId="62527D8D">
            <w:pPr>
              <w:pStyle w:val="71"/>
              <w:spacing w:before="24" w:after="24"/>
              <w:jc w:val="both"/>
              <w:rPr>
                <w:rFonts w:cs="Times New Roman"/>
              </w:rPr>
            </w:pPr>
            <w:r>
              <w:rPr>
                <w:rFonts w:cs="Times New Roman"/>
              </w:rPr>
              <w:t>构件承载力验算：梁、板、柱、剪力墙配筋及裂缝宽度控制，挡土墙截面尺寸及稳定性验算。</w:t>
            </w:r>
          </w:p>
          <w:p w14:paraId="11A786FB">
            <w:pPr>
              <w:pStyle w:val="71"/>
              <w:spacing w:before="24" w:after="24"/>
              <w:jc w:val="both"/>
              <w:rPr>
                <w:rFonts w:cs="Times New Roman"/>
              </w:rPr>
            </w:pPr>
            <w:r>
              <w:rPr>
                <w:rFonts w:cs="Times New Roman"/>
              </w:rPr>
              <w:t>2）图纸内容</w:t>
            </w:r>
          </w:p>
          <w:p w14:paraId="62F20F37">
            <w:pPr>
              <w:pStyle w:val="71"/>
              <w:spacing w:before="24" w:after="24"/>
              <w:jc w:val="both"/>
              <w:rPr>
                <w:rFonts w:cs="Times New Roman"/>
              </w:rPr>
            </w:pPr>
            <w:r>
              <w:rPr>
                <w:rFonts w:cs="Times New Roman"/>
              </w:rPr>
              <w:t>基础图：基础布置、基础梁尺寸及配筋。</w:t>
            </w:r>
          </w:p>
          <w:p w14:paraId="7B3EAE7B">
            <w:pPr>
              <w:pStyle w:val="71"/>
              <w:spacing w:before="24" w:after="24"/>
              <w:jc w:val="both"/>
              <w:rPr>
                <w:rFonts w:cs="Times New Roman"/>
              </w:rPr>
            </w:pPr>
            <w:r>
              <w:rPr>
                <w:rFonts w:cs="Times New Roman"/>
              </w:rPr>
              <w:t>梁板柱图：标注构件截面尺寸、钢筋规格（主筋、箍筋）、保护层厚度。</w:t>
            </w:r>
          </w:p>
          <w:p w14:paraId="2EB8AE67">
            <w:pPr>
              <w:pStyle w:val="71"/>
              <w:spacing w:before="24" w:after="24"/>
              <w:jc w:val="both"/>
              <w:rPr>
                <w:rFonts w:cs="Times New Roman"/>
              </w:rPr>
            </w:pPr>
            <w:r>
              <w:rPr>
                <w:rFonts w:cs="Times New Roman"/>
              </w:rPr>
              <w:t>剪力墙图：墙体厚度、边缘构件配筋、连梁配筋。</w:t>
            </w:r>
          </w:p>
          <w:p w14:paraId="7E0779DC">
            <w:pPr>
              <w:pStyle w:val="71"/>
              <w:spacing w:before="24" w:after="24"/>
              <w:jc w:val="both"/>
              <w:rPr>
                <w:rFonts w:cs="Times New Roman"/>
              </w:rPr>
            </w:pPr>
            <w:r>
              <w:rPr>
                <w:rFonts w:cs="Times New Roman"/>
              </w:rPr>
              <w:t>楼梯详图：梯板厚度、踏步配筋、平台梁构造。</w:t>
            </w:r>
          </w:p>
          <w:p w14:paraId="7FDAE1F5">
            <w:pPr>
              <w:pStyle w:val="71"/>
              <w:spacing w:before="24" w:after="24"/>
              <w:jc w:val="both"/>
              <w:rPr>
                <w:rFonts w:cs="Times New Roman"/>
              </w:rPr>
            </w:pPr>
            <w:r>
              <w:rPr>
                <w:rFonts w:cs="Times New Roman"/>
              </w:rPr>
              <w:t>挡土墙详图：挡土墙截面尺寸、挡土墙形式。</w:t>
            </w:r>
          </w:p>
          <w:p w14:paraId="0B1B69B8">
            <w:pPr>
              <w:pStyle w:val="71"/>
              <w:spacing w:before="24" w:after="24"/>
              <w:jc w:val="both"/>
              <w:rPr>
                <w:rFonts w:cs="Times New Roman"/>
              </w:rPr>
            </w:pPr>
            <w:r>
              <w:rPr>
                <w:rFonts w:cs="Times New Roman"/>
              </w:rPr>
              <w:t>结构节点详图：如女儿墙、雨篷、线条、坡道等的定位、尺寸、标高、配筋。</w:t>
            </w:r>
          </w:p>
          <w:p w14:paraId="35B3791B">
            <w:pPr>
              <w:pStyle w:val="71"/>
              <w:spacing w:before="24" w:after="24"/>
              <w:jc w:val="both"/>
              <w:rPr>
                <w:rFonts w:cs="Times New Roman"/>
              </w:rPr>
            </w:pPr>
            <w:r>
              <w:rPr>
                <w:rFonts w:cs="Times New Roman"/>
              </w:rPr>
              <w:t>3）特殊构造</w:t>
            </w:r>
          </w:p>
          <w:p w14:paraId="4139E2AA">
            <w:pPr>
              <w:pStyle w:val="71"/>
              <w:spacing w:before="24" w:after="24"/>
              <w:jc w:val="both"/>
              <w:rPr>
                <w:rFonts w:cs="Times New Roman"/>
              </w:rPr>
            </w:pPr>
            <w:r>
              <w:rPr>
                <w:rFonts w:cs="Times New Roman"/>
              </w:rPr>
              <w:t>设备预埋件（如电梯轨道、管道穿梁套管）。</w:t>
            </w:r>
          </w:p>
          <w:p w14:paraId="64B97623">
            <w:pPr>
              <w:pStyle w:val="71"/>
              <w:spacing w:before="24" w:after="24"/>
              <w:jc w:val="both"/>
              <w:rPr>
                <w:rFonts w:cs="Times New Roman"/>
              </w:rPr>
            </w:pPr>
            <w:r>
              <w:rPr>
                <w:rFonts w:cs="Times New Roman"/>
              </w:rPr>
              <w:t>后浇带、施工缝位置及处理措施。</w:t>
            </w:r>
          </w:p>
          <w:p w14:paraId="39F60983">
            <w:pPr>
              <w:pStyle w:val="71"/>
              <w:spacing w:before="24" w:after="24"/>
              <w:jc w:val="both"/>
              <w:rPr>
                <w:rFonts w:cs="Times New Roman"/>
              </w:rPr>
            </w:pPr>
            <w:r>
              <w:rPr>
                <w:rFonts w:cs="Times New Roman"/>
              </w:rPr>
              <w:t>4）现场配合</w:t>
            </w:r>
          </w:p>
          <w:p w14:paraId="2ED7B68A">
            <w:pPr>
              <w:pStyle w:val="71"/>
              <w:spacing w:before="24" w:after="24"/>
              <w:jc w:val="both"/>
              <w:rPr>
                <w:rFonts w:cs="Times New Roman"/>
              </w:rPr>
            </w:pPr>
            <w:r>
              <w:rPr>
                <w:rFonts w:cs="Times New Roman"/>
              </w:rPr>
              <w:t>施工阶段复核（如塔吊基础、临时支撑等）</w:t>
            </w:r>
          </w:p>
        </w:tc>
        <w:tc>
          <w:tcPr>
            <w:tcW w:w="2163" w:type="dxa"/>
            <w:tcBorders>
              <w:top w:val="single" w:color="000000" w:sz="4" w:space="0"/>
              <w:left w:val="single" w:color="000000" w:sz="4" w:space="0"/>
              <w:bottom w:val="single" w:color="000000" w:sz="4" w:space="0"/>
              <w:right w:val="single" w:color="000000" w:sz="4" w:space="0"/>
            </w:tcBorders>
            <w:vAlign w:val="center"/>
          </w:tcPr>
          <w:p w14:paraId="24829EB5">
            <w:pPr>
              <w:pStyle w:val="71"/>
              <w:spacing w:before="24" w:after="24"/>
              <w:jc w:val="both"/>
              <w:rPr>
                <w:rFonts w:cs="Times New Roman"/>
              </w:rPr>
            </w:pPr>
            <w:r>
              <w:rPr>
                <w:rFonts w:cs="Times New Roman"/>
              </w:rPr>
              <w:t>结构预留设备洞（如空调套管、排烟风管穿剪力墙）</w:t>
            </w:r>
          </w:p>
        </w:tc>
      </w:tr>
      <w:tr w14:paraId="06754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trPr>
        <w:tc>
          <w:tcPr>
            <w:tcW w:w="878" w:type="dxa"/>
            <w:tcBorders>
              <w:top w:val="single" w:color="000000" w:sz="4" w:space="0"/>
              <w:left w:val="single" w:color="000000" w:sz="4" w:space="0"/>
              <w:bottom w:val="single" w:color="000000" w:sz="4" w:space="0"/>
              <w:right w:val="single" w:color="000000" w:sz="4" w:space="0"/>
            </w:tcBorders>
            <w:vAlign w:val="center"/>
          </w:tcPr>
          <w:p w14:paraId="5E0A92FB">
            <w:pPr>
              <w:pStyle w:val="71"/>
              <w:spacing w:before="24" w:after="24"/>
              <w:rPr>
                <w:rFonts w:cs="Times New Roman"/>
              </w:rPr>
            </w:pPr>
            <w:r>
              <w:rPr>
                <w:rFonts w:cs="Times New Roman"/>
              </w:rPr>
              <w:t>给排水</w:t>
            </w:r>
          </w:p>
        </w:tc>
        <w:tc>
          <w:tcPr>
            <w:tcW w:w="6523" w:type="dxa"/>
            <w:tcBorders>
              <w:top w:val="single" w:color="000000" w:sz="4" w:space="0"/>
              <w:left w:val="single" w:color="000000" w:sz="4" w:space="0"/>
              <w:bottom w:val="single" w:color="000000" w:sz="4" w:space="0"/>
              <w:right w:val="single" w:color="000000" w:sz="4" w:space="0"/>
            </w:tcBorders>
            <w:vAlign w:val="center"/>
          </w:tcPr>
          <w:p w14:paraId="56B59DCB">
            <w:pPr>
              <w:pStyle w:val="71"/>
              <w:spacing w:before="24" w:after="24"/>
              <w:jc w:val="both"/>
              <w:rPr>
                <w:rFonts w:cs="Times New Roman"/>
              </w:rPr>
            </w:pPr>
            <w:r>
              <w:rPr>
                <w:rFonts w:cs="Times New Roman"/>
              </w:rPr>
              <w:t>1、施工图设计：</w:t>
            </w:r>
          </w:p>
          <w:p w14:paraId="10736332">
            <w:pPr>
              <w:pStyle w:val="71"/>
              <w:spacing w:before="24" w:after="24"/>
              <w:jc w:val="both"/>
              <w:rPr>
                <w:rFonts w:cs="Times New Roman"/>
              </w:rPr>
            </w:pPr>
            <w:r>
              <w:rPr>
                <w:rFonts w:cs="Times New Roman"/>
              </w:rPr>
              <w:t>1.1系统设计</w:t>
            </w:r>
          </w:p>
          <w:p w14:paraId="35B11E9A">
            <w:pPr>
              <w:pStyle w:val="71"/>
              <w:spacing w:before="24" w:after="24"/>
              <w:jc w:val="both"/>
              <w:rPr>
                <w:rFonts w:cs="Times New Roman"/>
              </w:rPr>
            </w:pPr>
            <w:r>
              <w:rPr>
                <w:rFonts w:cs="Times New Roman"/>
              </w:rPr>
              <w:t>给水系统：绘制供水管网平面图，标注管径、水表位置、加压泵参数。</w:t>
            </w:r>
          </w:p>
          <w:p w14:paraId="66EFBE94">
            <w:pPr>
              <w:pStyle w:val="71"/>
              <w:spacing w:before="24" w:after="24"/>
              <w:jc w:val="both"/>
              <w:rPr>
                <w:rFonts w:cs="Times New Roman"/>
              </w:rPr>
            </w:pPr>
            <w:r>
              <w:rPr>
                <w:rFonts w:cs="Times New Roman"/>
              </w:rPr>
              <w:t>排水系统：污水/废水/雨水立管及水平管布置，标注坡度、检查井位置。</w:t>
            </w:r>
          </w:p>
          <w:p w14:paraId="166F1C4B">
            <w:pPr>
              <w:pStyle w:val="71"/>
              <w:spacing w:before="24" w:after="24"/>
              <w:jc w:val="both"/>
              <w:rPr>
                <w:rFonts w:cs="Times New Roman"/>
              </w:rPr>
            </w:pPr>
            <w:r>
              <w:rPr>
                <w:rFonts w:cs="Times New Roman"/>
              </w:rPr>
              <w:t>消防系统：消火栓箱定位、喷淋管网（高层住宅）、消防水泵房设备选型。</w:t>
            </w:r>
          </w:p>
          <w:p w14:paraId="3F9D2BA2">
            <w:pPr>
              <w:pStyle w:val="71"/>
              <w:spacing w:before="24" w:after="24"/>
              <w:jc w:val="both"/>
              <w:rPr>
                <w:rFonts w:cs="Times New Roman"/>
              </w:rPr>
            </w:pPr>
            <w:r>
              <w:rPr>
                <w:rFonts w:cs="Times New Roman"/>
              </w:rPr>
              <w:t>1.2图纸内容</w:t>
            </w:r>
          </w:p>
          <w:p w14:paraId="0B9FBD26">
            <w:pPr>
              <w:pStyle w:val="71"/>
              <w:spacing w:before="24" w:after="24"/>
              <w:jc w:val="both"/>
              <w:rPr>
                <w:rFonts w:cs="Times New Roman"/>
              </w:rPr>
            </w:pPr>
            <w:r>
              <w:rPr>
                <w:rFonts w:cs="Times New Roman"/>
              </w:rPr>
              <w:t>平面图：户内厨卫给排水点位（如地漏、洗手盆排水管）。</w:t>
            </w:r>
          </w:p>
          <w:p w14:paraId="0A27FF60">
            <w:pPr>
              <w:pStyle w:val="71"/>
              <w:spacing w:before="24" w:after="24"/>
              <w:jc w:val="both"/>
              <w:rPr>
                <w:rFonts w:cs="Times New Roman"/>
              </w:rPr>
            </w:pPr>
            <w:r>
              <w:rPr>
                <w:rFonts w:cs="Times New Roman"/>
              </w:rPr>
              <w:t>系统图：给排水立管编号、管径变化、阀门及仪表位置。</w:t>
            </w:r>
          </w:p>
          <w:p w14:paraId="3B7CAB91">
            <w:pPr>
              <w:pStyle w:val="71"/>
              <w:spacing w:before="24" w:after="24"/>
              <w:jc w:val="both"/>
              <w:rPr>
                <w:rFonts w:cs="Times New Roman"/>
              </w:rPr>
            </w:pPr>
            <w:r>
              <w:rPr>
                <w:rFonts w:cs="Times New Roman"/>
              </w:rPr>
              <w:t>大样图：卫生间同层排水构造、管道穿墙防水节点。</w:t>
            </w:r>
          </w:p>
          <w:p w14:paraId="38CE9B2A">
            <w:pPr>
              <w:pStyle w:val="71"/>
              <w:spacing w:before="24" w:after="24"/>
              <w:jc w:val="both"/>
              <w:rPr>
                <w:rFonts w:cs="Times New Roman"/>
              </w:rPr>
            </w:pPr>
            <w:r>
              <w:rPr>
                <w:rFonts w:cs="Times New Roman"/>
              </w:rPr>
              <w:t>1.3设备选型</w:t>
            </w:r>
          </w:p>
          <w:p w14:paraId="69236AA7">
            <w:pPr>
              <w:pStyle w:val="71"/>
              <w:spacing w:before="24" w:after="24"/>
              <w:jc w:val="both"/>
              <w:rPr>
                <w:rFonts w:cs="Times New Roman"/>
              </w:rPr>
            </w:pPr>
            <w:r>
              <w:rPr>
                <w:rFonts w:cs="Times New Roman"/>
              </w:rPr>
              <w:t>水泵、水箱、化粪池规格及安装要求。</w:t>
            </w:r>
          </w:p>
          <w:p w14:paraId="0EBF850D">
            <w:pPr>
              <w:pStyle w:val="71"/>
              <w:spacing w:before="24" w:after="24"/>
              <w:jc w:val="both"/>
              <w:rPr>
                <w:rFonts w:cs="Times New Roman"/>
              </w:rPr>
            </w:pPr>
            <w:r>
              <w:rPr>
                <w:rFonts w:cs="Times New Roman"/>
              </w:rPr>
              <w:t>管材选择（如PPR给水管、UPVC排水管）</w:t>
            </w:r>
          </w:p>
          <w:p w14:paraId="64600B47">
            <w:pPr>
              <w:pStyle w:val="71"/>
              <w:spacing w:before="24" w:after="24"/>
              <w:jc w:val="both"/>
              <w:rPr>
                <w:rFonts w:cs="Times New Roman"/>
              </w:rPr>
            </w:pPr>
            <w:r>
              <w:rPr>
                <w:rFonts w:cs="Times New Roman"/>
              </w:rPr>
              <w:t>1.4海绵城市设计（雨水专项）：按国家规范及地方要求进行专业设计，依属地主管部门要求进行评审。通过后报发包人审批后实施。</w:t>
            </w:r>
          </w:p>
          <w:p w14:paraId="539D8E8A">
            <w:pPr>
              <w:pStyle w:val="71"/>
              <w:spacing w:before="24" w:after="24"/>
              <w:jc w:val="both"/>
              <w:rPr>
                <w:rFonts w:cs="Times New Roman"/>
              </w:rPr>
            </w:pPr>
            <w:r>
              <w:rPr>
                <w:rFonts w:cs="Times New Roman"/>
              </w:rPr>
              <w:t>1.5永久供水设计：按属地水司要求（如有），对市政接出考核总表至分户水表处的给水系统进行二次深化设计，经水司评审通过后，同预算一并报发包人审批后实施。</w:t>
            </w:r>
          </w:p>
          <w:p w14:paraId="5E72259D">
            <w:pPr>
              <w:pStyle w:val="71"/>
              <w:spacing w:before="24" w:after="24"/>
              <w:jc w:val="both"/>
              <w:rPr>
                <w:rFonts w:cs="Times New Roman"/>
              </w:rPr>
            </w:pPr>
            <w:r>
              <w:rPr>
                <w:rFonts w:cs="Times New Roman"/>
              </w:rPr>
              <w:t>1.6太阳能热水设计：根据节能及安装要求，委托专业厂家进行深化设计，设计成果由承包人负责审核，系统设计不得随意增加发包人投资，最后报发包人审核通过后实施。</w:t>
            </w:r>
          </w:p>
          <w:p w14:paraId="5C19DDF0">
            <w:pPr>
              <w:pStyle w:val="71"/>
              <w:spacing w:before="24" w:after="24"/>
              <w:jc w:val="both"/>
              <w:rPr>
                <w:rFonts w:cs="Times New Roman"/>
              </w:rPr>
            </w:pPr>
            <w:r>
              <w:rPr>
                <w:rFonts w:cs="Times New Roman"/>
              </w:rPr>
              <w:t>1.7抗震支吊架设计：根据机电抗震规范及安装要求，委托专业厂家进行深化设计，设计成果由承包人负责审核，系统设计不得随意增加发包人投资，最后报发包人审核通过后实施。</w:t>
            </w:r>
          </w:p>
        </w:tc>
        <w:tc>
          <w:tcPr>
            <w:tcW w:w="2163" w:type="dxa"/>
            <w:tcBorders>
              <w:top w:val="single" w:color="000000" w:sz="4" w:space="0"/>
              <w:left w:val="single" w:color="000000" w:sz="4" w:space="0"/>
              <w:bottom w:val="single" w:color="000000" w:sz="4" w:space="0"/>
              <w:right w:val="single" w:color="000000" w:sz="4" w:space="0"/>
            </w:tcBorders>
            <w:vAlign w:val="center"/>
          </w:tcPr>
          <w:p w14:paraId="67641B39">
            <w:pPr>
              <w:pStyle w:val="71"/>
              <w:spacing w:before="24" w:after="24"/>
              <w:jc w:val="both"/>
              <w:rPr>
                <w:rFonts w:cs="Times New Roman"/>
              </w:rPr>
            </w:pPr>
            <w:r>
              <w:rPr>
                <w:rFonts w:cs="Times New Roman"/>
              </w:rPr>
              <w:t>协调管道布置与建筑结构、门窗等的关系，协调管道穿墙、穿楼板的预留孔洞和预埋件，协调水泵、水箱等设备的电气控制要求，协调管井内各专业管线排列顺序及检修空间、给排水套管定位、通过BIM模型或二维叠图解决管线碰撞（如风管与梁、水管与桥架）、明确管线标高及交叉处翻弯处理</w:t>
            </w:r>
          </w:p>
        </w:tc>
      </w:tr>
      <w:tr w14:paraId="3CF71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trPr>
        <w:tc>
          <w:tcPr>
            <w:tcW w:w="878" w:type="dxa"/>
            <w:tcBorders>
              <w:top w:val="single" w:color="000000" w:sz="4" w:space="0"/>
              <w:left w:val="single" w:color="000000" w:sz="4" w:space="0"/>
              <w:bottom w:val="single" w:color="000000" w:sz="4" w:space="0"/>
              <w:right w:val="single" w:color="000000" w:sz="4" w:space="0"/>
            </w:tcBorders>
            <w:vAlign w:val="center"/>
          </w:tcPr>
          <w:p w14:paraId="5D43C59E">
            <w:pPr>
              <w:pStyle w:val="71"/>
              <w:spacing w:before="24" w:after="24"/>
              <w:rPr>
                <w:rFonts w:cs="Times New Roman"/>
              </w:rPr>
            </w:pPr>
            <w:r>
              <w:rPr>
                <w:rFonts w:cs="Times New Roman"/>
              </w:rPr>
              <w:t>电气</w:t>
            </w:r>
          </w:p>
        </w:tc>
        <w:tc>
          <w:tcPr>
            <w:tcW w:w="6523" w:type="dxa"/>
            <w:tcBorders>
              <w:top w:val="single" w:color="000000" w:sz="4" w:space="0"/>
              <w:left w:val="single" w:color="000000" w:sz="4" w:space="0"/>
              <w:bottom w:val="single" w:color="000000" w:sz="4" w:space="0"/>
              <w:right w:val="single" w:color="000000" w:sz="4" w:space="0"/>
            </w:tcBorders>
            <w:vAlign w:val="center"/>
          </w:tcPr>
          <w:p w14:paraId="0C0138FC">
            <w:pPr>
              <w:pStyle w:val="71"/>
              <w:spacing w:before="24" w:after="24"/>
              <w:jc w:val="both"/>
              <w:rPr>
                <w:rFonts w:cs="Times New Roman"/>
              </w:rPr>
            </w:pPr>
            <w:r>
              <w:rPr>
                <w:rFonts w:cs="Times New Roman"/>
              </w:rPr>
              <w:t>1、规划红线内所有建筑物、构筑物的电气设备，包括但不限于住宅、配套设施（如配建生鲜超市、一般商业网点等）、地下车库、门岗、物业和社区管理用房等设施，另外包含红线范围外本项目景观设计区域内的高低压进出线路由及系统相关内容；</w:t>
            </w:r>
          </w:p>
          <w:p w14:paraId="25F3D552">
            <w:pPr>
              <w:pStyle w:val="71"/>
              <w:spacing w:before="24" w:after="24"/>
              <w:jc w:val="both"/>
              <w:rPr>
                <w:rFonts w:cs="Times New Roman"/>
              </w:rPr>
            </w:pPr>
            <w:r>
              <w:rPr>
                <w:rFonts w:cs="Times New Roman"/>
              </w:rPr>
              <w:t>2、有特殊设备的场所（例如：中水机房、换热站、园林景观、雨水收集池、游泳池、生化池、景观电梯、太阳能、空气能等，可由承包人聘请的专业照明公司深化设计），设计时需预留至末端配电箱；</w:t>
            </w:r>
          </w:p>
          <w:p w14:paraId="164B5FFE">
            <w:pPr>
              <w:pStyle w:val="71"/>
              <w:spacing w:before="24" w:after="24"/>
              <w:jc w:val="both"/>
              <w:rPr>
                <w:rFonts w:cs="Times New Roman"/>
              </w:rPr>
            </w:pPr>
            <w:r>
              <w:rPr>
                <w:rFonts w:cs="Times New Roman"/>
              </w:rPr>
              <w:t>3、特殊场所的照明（例如：建筑立面照明、屋顶装饰照明、园林景观照明等，可由承包人聘请的专业照明公司深化设计），但设计阶段需预留电源至末端配电箱；</w:t>
            </w:r>
          </w:p>
          <w:p w14:paraId="64AE4566">
            <w:pPr>
              <w:pStyle w:val="71"/>
              <w:spacing w:before="24" w:after="24"/>
              <w:jc w:val="both"/>
              <w:rPr>
                <w:rFonts w:cs="Times New Roman"/>
              </w:rPr>
            </w:pPr>
            <w:r>
              <w:rPr>
                <w:rFonts w:cs="Times New Roman"/>
              </w:rPr>
              <w:t>4、按合同范围完成工程所涉的二次设计和深化设计（如市政供电设计、弱电智能化设计、泛光照明设计、抗震支架设计及厨房和精装修设计的电气部分），所有二次设计及其深化设计等均应符合现行相关规范的规定，并不可改变原土建施工图布局；不可改动消防设计、防火分隔、疏散路线及宽度等涉及安全的内容。如确需改动应由发包人确认后提出，并经原设计方同意后方可实施；</w:t>
            </w:r>
          </w:p>
          <w:p w14:paraId="0CA947C1">
            <w:pPr>
              <w:pStyle w:val="71"/>
              <w:spacing w:before="24" w:after="24"/>
              <w:jc w:val="both"/>
              <w:rPr>
                <w:rFonts w:cs="Times New Roman"/>
              </w:rPr>
            </w:pPr>
            <w:r>
              <w:rPr>
                <w:rFonts w:cs="Times New Roman"/>
              </w:rPr>
              <w:t>5、以上设计内容包括但不限于负荷计算书、总平面图、系统图、平面图、大样图等，图纸应能达到国家建设部《建筑工程设计文件编制深度规定》2016版要求的深度。</w:t>
            </w:r>
          </w:p>
        </w:tc>
        <w:tc>
          <w:tcPr>
            <w:tcW w:w="2163" w:type="dxa"/>
            <w:tcBorders>
              <w:top w:val="single" w:color="000000" w:sz="4" w:space="0"/>
              <w:left w:val="single" w:color="000000" w:sz="4" w:space="0"/>
              <w:bottom w:val="single" w:color="000000" w:sz="4" w:space="0"/>
              <w:right w:val="single" w:color="000000" w:sz="4" w:space="0"/>
            </w:tcBorders>
            <w:vAlign w:val="center"/>
          </w:tcPr>
          <w:p w14:paraId="55326797">
            <w:pPr>
              <w:pStyle w:val="71"/>
              <w:spacing w:before="24" w:after="24"/>
              <w:jc w:val="both"/>
              <w:rPr>
                <w:rFonts w:cs="Times New Roman"/>
              </w:rPr>
            </w:pPr>
            <w:r>
              <w:rPr>
                <w:rFonts w:cs="Times New Roman"/>
              </w:rPr>
              <w:t>1、电气设备房间方案提资；</w:t>
            </w:r>
          </w:p>
          <w:p w14:paraId="09BCF9B4">
            <w:pPr>
              <w:pStyle w:val="71"/>
              <w:spacing w:before="24" w:after="24"/>
              <w:jc w:val="both"/>
              <w:rPr>
                <w:rFonts w:cs="Times New Roman"/>
              </w:rPr>
            </w:pPr>
            <w:r>
              <w:rPr>
                <w:rFonts w:cs="Times New Roman"/>
              </w:rPr>
              <w:t>2、涉及结构开洞的电气预埋线管；</w:t>
            </w:r>
          </w:p>
          <w:p w14:paraId="31C42CCF">
            <w:pPr>
              <w:pStyle w:val="71"/>
              <w:spacing w:before="24" w:after="24"/>
              <w:jc w:val="both"/>
              <w:rPr>
                <w:rFonts w:cs="Times New Roman"/>
              </w:rPr>
            </w:pPr>
            <w:r>
              <w:rPr>
                <w:rFonts w:cs="Times New Roman"/>
              </w:rPr>
              <w:t>3、线缆保护管、桥架、母线、电缆沟等综合管网所需提资；</w:t>
            </w:r>
          </w:p>
          <w:p w14:paraId="4DF7C070">
            <w:pPr>
              <w:pStyle w:val="71"/>
              <w:spacing w:before="24" w:after="24"/>
              <w:jc w:val="both"/>
              <w:rPr>
                <w:rFonts w:cs="Times New Roman"/>
              </w:rPr>
            </w:pPr>
            <w:r>
              <w:rPr>
                <w:rFonts w:cs="Times New Roman"/>
              </w:rPr>
              <w:t>4、电气所涉二次设计和深化设计的设计条件提资。</w:t>
            </w:r>
          </w:p>
          <w:p w14:paraId="349E6E37">
            <w:pPr>
              <w:pStyle w:val="71"/>
              <w:spacing w:before="24" w:after="24"/>
              <w:jc w:val="both"/>
              <w:rPr>
                <w:rFonts w:cs="Times New Roman"/>
              </w:rPr>
            </w:pPr>
          </w:p>
        </w:tc>
      </w:tr>
      <w:tr w14:paraId="0BD6A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trPr>
        <w:tc>
          <w:tcPr>
            <w:tcW w:w="878" w:type="dxa"/>
            <w:tcBorders>
              <w:top w:val="single" w:color="000000" w:sz="4" w:space="0"/>
              <w:left w:val="single" w:color="000000" w:sz="4" w:space="0"/>
              <w:bottom w:val="single" w:color="000000" w:sz="4" w:space="0"/>
              <w:right w:val="single" w:color="000000" w:sz="4" w:space="0"/>
            </w:tcBorders>
            <w:vAlign w:val="center"/>
          </w:tcPr>
          <w:p w14:paraId="6D8F1AD0">
            <w:pPr>
              <w:pStyle w:val="71"/>
              <w:spacing w:before="24" w:after="24"/>
              <w:rPr>
                <w:rFonts w:cs="Times New Roman"/>
              </w:rPr>
            </w:pPr>
            <w:r>
              <w:rPr>
                <w:rFonts w:cs="Times New Roman"/>
              </w:rPr>
              <w:t>暖通</w:t>
            </w:r>
          </w:p>
        </w:tc>
        <w:tc>
          <w:tcPr>
            <w:tcW w:w="6523" w:type="dxa"/>
            <w:tcBorders>
              <w:top w:val="single" w:color="000000" w:sz="4" w:space="0"/>
              <w:left w:val="single" w:color="000000" w:sz="4" w:space="0"/>
              <w:bottom w:val="single" w:color="000000" w:sz="4" w:space="0"/>
              <w:right w:val="single" w:color="000000" w:sz="4" w:space="0"/>
            </w:tcBorders>
          </w:tcPr>
          <w:p w14:paraId="26047FDF">
            <w:pPr>
              <w:pStyle w:val="71"/>
              <w:spacing w:before="24" w:after="24"/>
              <w:jc w:val="both"/>
              <w:rPr>
                <w:rFonts w:cs="Times New Roman"/>
              </w:rPr>
            </w:pPr>
            <w:r>
              <w:rPr>
                <w:rFonts w:cs="Times New Roman"/>
              </w:rPr>
              <w:t>1、系统设计</w:t>
            </w:r>
          </w:p>
          <w:p w14:paraId="15AA4D7B">
            <w:pPr>
              <w:pStyle w:val="71"/>
              <w:spacing w:before="24" w:after="24"/>
              <w:jc w:val="both"/>
              <w:rPr>
                <w:rFonts w:cs="Times New Roman"/>
              </w:rPr>
            </w:pPr>
            <w:r>
              <w:rPr>
                <w:rFonts w:cs="Times New Roman"/>
              </w:rPr>
              <w:t>通风系统：设置通风的区域及通风系统形式；通风量或换气次数；通风系统设备选择和风量平衡。</w:t>
            </w:r>
          </w:p>
          <w:p w14:paraId="416B1564">
            <w:pPr>
              <w:pStyle w:val="71"/>
              <w:spacing w:before="24" w:after="24"/>
              <w:jc w:val="both"/>
              <w:rPr>
                <w:rFonts w:cs="Times New Roman"/>
              </w:rPr>
            </w:pPr>
            <w:r>
              <w:rPr>
                <w:rFonts w:cs="Times New Roman"/>
              </w:rPr>
              <w:t>空调系统：空调冷、热负荷，折合耗冷、耗热量指标；空调冷、热源设置情况等。</w:t>
            </w:r>
          </w:p>
          <w:p w14:paraId="44206F86">
            <w:pPr>
              <w:pStyle w:val="71"/>
              <w:spacing w:before="24" w:after="24"/>
              <w:jc w:val="both"/>
              <w:rPr>
                <w:rFonts w:cs="Times New Roman"/>
              </w:rPr>
            </w:pPr>
            <w:r>
              <w:rPr>
                <w:rFonts w:cs="Times New Roman"/>
              </w:rPr>
              <w:t>防排烟系统：设置防排烟的区域及其方式；防排烟系统风量确定；防排烟系统及其设施配置；控制方式及防火措施。</w:t>
            </w:r>
          </w:p>
          <w:p w14:paraId="2B634B7C">
            <w:pPr>
              <w:pStyle w:val="71"/>
              <w:spacing w:before="24" w:after="24"/>
              <w:jc w:val="both"/>
              <w:rPr>
                <w:rFonts w:cs="Times New Roman"/>
              </w:rPr>
            </w:pPr>
            <w:r>
              <w:rPr>
                <w:rFonts w:cs="Times New Roman"/>
              </w:rPr>
              <w:t>2、图纸内容</w:t>
            </w:r>
          </w:p>
          <w:p w14:paraId="1B53ABCA">
            <w:pPr>
              <w:pStyle w:val="71"/>
              <w:spacing w:before="24" w:after="24"/>
              <w:jc w:val="both"/>
              <w:rPr>
                <w:rFonts w:cs="Times New Roman"/>
              </w:rPr>
            </w:pPr>
            <w:r>
              <w:rPr>
                <w:rFonts w:cs="Times New Roman"/>
              </w:rPr>
              <w:t>通风、空调、防排烟图平面图：设备布置、管道系统、风口与末端设备、控制系统、其他标注等。</w:t>
            </w:r>
          </w:p>
          <w:p w14:paraId="73F232C1">
            <w:pPr>
              <w:pStyle w:val="71"/>
              <w:spacing w:before="24" w:after="24"/>
              <w:jc w:val="both"/>
              <w:rPr>
                <w:rFonts w:cs="Times New Roman"/>
              </w:rPr>
            </w:pPr>
            <w:r>
              <w:rPr>
                <w:rFonts w:cs="Times New Roman"/>
              </w:rPr>
              <w:t>剖面图：展示管道、风管、设备等在垂直方向上的布置和走向。如管道剖面、风管剖面、设备剖面、建筑剖面图等。</w:t>
            </w:r>
          </w:p>
          <w:p w14:paraId="2D92162B">
            <w:pPr>
              <w:pStyle w:val="71"/>
              <w:spacing w:before="24" w:after="24"/>
              <w:jc w:val="both"/>
              <w:rPr>
                <w:rFonts w:cs="Times New Roman"/>
              </w:rPr>
            </w:pPr>
            <w:r>
              <w:rPr>
                <w:rFonts w:cs="Times New Roman"/>
              </w:rPr>
              <w:t>系统图：系统的整体工作原理、设备连接关系以及管道、风管的走向和分布，包括系统组成、管道与风管、设备连接、阀门与附件、控制系统等。</w:t>
            </w:r>
          </w:p>
          <w:p w14:paraId="5869336E">
            <w:pPr>
              <w:pStyle w:val="71"/>
              <w:spacing w:before="24" w:after="24"/>
              <w:jc w:val="both"/>
              <w:rPr>
                <w:rFonts w:cs="Times New Roman"/>
              </w:rPr>
            </w:pPr>
            <w:r>
              <w:rPr>
                <w:rFonts w:cs="Times New Roman"/>
              </w:rPr>
              <w:t>大样图：展示复杂节点、设备安装或管道连接的细节，如管道大样、设备安装大样、风口大样、穿墙/穿楼板大样、支架大样图等。</w:t>
            </w:r>
          </w:p>
          <w:p w14:paraId="56E6EB8F">
            <w:pPr>
              <w:pStyle w:val="71"/>
              <w:spacing w:before="24" w:after="24"/>
              <w:jc w:val="both"/>
              <w:rPr>
                <w:rFonts w:cs="Times New Roman"/>
              </w:rPr>
            </w:pPr>
            <w:r>
              <w:rPr>
                <w:rFonts w:cs="Times New Roman"/>
              </w:rPr>
              <w:t>3、设备选型</w:t>
            </w:r>
          </w:p>
          <w:p w14:paraId="73E7BCAA">
            <w:pPr>
              <w:pStyle w:val="71"/>
              <w:spacing w:before="24" w:after="24"/>
              <w:jc w:val="both"/>
              <w:rPr>
                <w:rFonts w:cs="Times New Roman"/>
              </w:rPr>
            </w:pPr>
            <w:r>
              <w:rPr>
                <w:rFonts w:cs="Times New Roman"/>
              </w:rPr>
              <w:t>风机、阀门规格参数及安装要求。</w:t>
            </w:r>
          </w:p>
        </w:tc>
        <w:tc>
          <w:tcPr>
            <w:tcW w:w="2163" w:type="dxa"/>
            <w:tcBorders>
              <w:top w:val="single" w:color="000000" w:sz="4" w:space="0"/>
              <w:left w:val="single" w:color="000000" w:sz="4" w:space="0"/>
              <w:bottom w:val="single" w:color="000000" w:sz="4" w:space="0"/>
              <w:right w:val="single" w:color="000000" w:sz="4" w:space="0"/>
            </w:tcBorders>
            <w:vAlign w:val="center"/>
          </w:tcPr>
          <w:p w14:paraId="1C3DBF4B">
            <w:pPr>
              <w:pStyle w:val="71"/>
              <w:spacing w:before="24" w:after="24"/>
              <w:jc w:val="both"/>
              <w:rPr>
                <w:rFonts w:cs="Times New Roman"/>
              </w:rPr>
            </w:pPr>
            <w:r>
              <w:rPr>
                <w:rFonts w:cs="Times New Roman"/>
              </w:rPr>
              <w:t>1、与建筑专业的协同：确保暖通设备的安装空间与建筑布局协调。避免设备或管道占用使用空间或影响建筑美观。确保风管、管道穿墙或穿楼板时符合建筑防火分区的要求。</w:t>
            </w:r>
          </w:p>
          <w:p w14:paraId="07E06BB4">
            <w:pPr>
              <w:pStyle w:val="71"/>
              <w:spacing w:before="24" w:after="24"/>
              <w:jc w:val="both"/>
              <w:rPr>
                <w:rFonts w:cs="Times New Roman"/>
              </w:rPr>
            </w:pPr>
            <w:r>
              <w:rPr>
                <w:rFonts w:cs="Times New Roman"/>
              </w:rPr>
              <w:t>2、与结构专业的协同：提供暖通设备的重量和运行荷载，确保结构设计能够承受。协调管道、风管穿墙或穿楼板时的开洞位置和尺寸，避免影响结构安全。</w:t>
            </w:r>
          </w:p>
          <w:p w14:paraId="4790887F">
            <w:pPr>
              <w:pStyle w:val="71"/>
              <w:spacing w:before="24" w:after="24"/>
              <w:jc w:val="both"/>
              <w:rPr>
                <w:rFonts w:cs="Times New Roman"/>
              </w:rPr>
            </w:pPr>
            <w:r>
              <w:rPr>
                <w:rFonts w:cs="Times New Roman"/>
              </w:rPr>
              <w:t>3、与电气专业的协同：提供暖通设备的功率、电压和接线要求，确保电气设计满足设备供电需求。</w:t>
            </w:r>
          </w:p>
          <w:p w14:paraId="0ED13B25">
            <w:pPr>
              <w:pStyle w:val="71"/>
              <w:spacing w:before="24" w:after="24"/>
              <w:jc w:val="both"/>
              <w:rPr>
                <w:rFonts w:cs="Times New Roman"/>
              </w:rPr>
            </w:pPr>
            <w:r>
              <w:rPr>
                <w:rFonts w:cs="Times New Roman"/>
              </w:rPr>
              <w:t>4、与给排水专业的协同：协调水管与暖通风管的布置，避免空间冲突。</w:t>
            </w:r>
          </w:p>
        </w:tc>
      </w:tr>
      <w:tr w14:paraId="015BC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trPr>
        <w:tc>
          <w:tcPr>
            <w:tcW w:w="878" w:type="dxa"/>
            <w:tcBorders>
              <w:top w:val="single" w:color="000000" w:sz="4" w:space="0"/>
              <w:left w:val="single" w:color="000000" w:sz="4" w:space="0"/>
              <w:bottom w:val="single" w:color="000000" w:sz="4" w:space="0"/>
              <w:right w:val="single" w:color="000000" w:sz="4" w:space="0"/>
            </w:tcBorders>
            <w:vAlign w:val="center"/>
          </w:tcPr>
          <w:p w14:paraId="44D54DD0">
            <w:pPr>
              <w:pStyle w:val="71"/>
              <w:spacing w:before="24" w:after="24"/>
              <w:rPr>
                <w:rFonts w:cs="Times New Roman"/>
              </w:rPr>
            </w:pPr>
            <w:r>
              <w:rPr>
                <w:rFonts w:cs="Times New Roman"/>
              </w:rPr>
              <w:t>市政道路</w:t>
            </w:r>
          </w:p>
        </w:tc>
        <w:tc>
          <w:tcPr>
            <w:tcW w:w="6523" w:type="dxa"/>
            <w:tcBorders>
              <w:top w:val="single" w:color="000000" w:sz="4" w:space="0"/>
              <w:left w:val="single" w:color="000000" w:sz="4" w:space="0"/>
              <w:bottom w:val="single" w:color="000000" w:sz="4" w:space="0"/>
              <w:right w:val="single" w:color="000000" w:sz="4" w:space="0"/>
            </w:tcBorders>
          </w:tcPr>
          <w:p w14:paraId="4616F556">
            <w:pPr>
              <w:pStyle w:val="71"/>
              <w:spacing w:before="24" w:after="24"/>
              <w:jc w:val="both"/>
              <w:rPr>
                <w:rFonts w:cs="Times New Roman"/>
              </w:rPr>
            </w:pPr>
            <w:r>
              <w:rPr>
                <w:rFonts w:cs="Times New Roman"/>
              </w:rPr>
              <w:t>图纸：</w:t>
            </w:r>
          </w:p>
          <w:p w14:paraId="79CEB6BC">
            <w:pPr>
              <w:pStyle w:val="71"/>
              <w:spacing w:before="24" w:after="24"/>
              <w:jc w:val="both"/>
              <w:rPr>
                <w:rFonts w:cs="Times New Roman"/>
              </w:rPr>
            </w:pPr>
            <w:r>
              <w:rPr>
                <w:rFonts w:cs="Times New Roman"/>
              </w:rPr>
              <w:t>1、道路工程</w:t>
            </w:r>
          </w:p>
          <w:p w14:paraId="0A4549FA">
            <w:pPr>
              <w:pStyle w:val="71"/>
              <w:spacing w:before="24" w:after="24"/>
              <w:jc w:val="both"/>
              <w:rPr>
                <w:rFonts w:cs="Times New Roman"/>
              </w:rPr>
            </w:pPr>
            <w:r>
              <w:rPr>
                <w:rFonts w:cs="Times New Roman"/>
              </w:rPr>
              <w:t>1.1总说明</w:t>
            </w:r>
          </w:p>
          <w:p w14:paraId="1F33C314">
            <w:pPr>
              <w:pStyle w:val="71"/>
              <w:spacing w:before="24" w:after="24"/>
              <w:jc w:val="both"/>
              <w:rPr>
                <w:rFonts w:cs="Times New Roman"/>
              </w:rPr>
            </w:pPr>
            <w:r>
              <w:rPr>
                <w:rFonts w:cs="Times New Roman"/>
              </w:rPr>
              <w:t>1.2工程地理位置图</w:t>
            </w:r>
          </w:p>
          <w:p w14:paraId="1FCFA624">
            <w:pPr>
              <w:pStyle w:val="71"/>
              <w:spacing w:before="24" w:after="24"/>
              <w:jc w:val="both"/>
              <w:rPr>
                <w:rFonts w:cs="Times New Roman"/>
              </w:rPr>
            </w:pPr>
            <w:r>
              <w:rPr>
                <w:rFonts w:cs="Times New Roman"/>
              </w:rPr>
              <w:t>表示出道路工程在地区交通网络中的关系及沿线主要构筑物的概略位置。</w:t>
            </w:r>
          </w:p>
          <w:p w14:paraId="7C257EAD">
            <w:pPr>
              <w:pStyle w:val="71"/>
              <w:spacing w:before="24" w:after="24"/>
              <w:jc w:val="both"/>
              <w:rPr>
                <w:rFonts w:cs="Times New Roman"/>
              </w:rPr>
            </w:pPr>
            <w:r>
              <w:rPr>
                <w:rFonts w:cs="Times New Roman"/>
              </w:rPr>
              <w:t>1.3平面总体设计图</w:t>
            </w:r>
          </w:p>
          <w:p w14:paraId="4579BD9D">
            <w:pPr>
              <w:pStyle w:val="71"/>
              <w:spacing w:before="24" w:after="24"/>
              <w:jc w:val="both"/>
              <w:rPr>
                <w:rFonts w:cs="Times New Roman"/>
              </w:rPr>
            </w:pPr>
            <w:r>
              <w:rPr>
                <w:rFonts w:cs="Times New Roman"/>
              </w:rPr>
              <w:t>比尺1:2000～1:10000，包括设计道路在城市道路网中的位置，沿线规划布局和现状，重要建筑物、单位、文物古迹、立交、桥梁、涵洞及主要相交道路和附近道路系统。</w:t>
            </w:r>
          </w:p>
          <w:p w14:paraId="6A6C1928">
            <w:pPr>
              <w:pStyle w:val="71"/>
              <w:spacing w:before="24" w:after="24"/>
              <w:jc w:val="both"/>
              <w:rPr>
                <w:rFonts w:cs="Times New Roman"/>
              </w:rPr>
            </w:pPr>
            <w:r>
              <w:rPr>
                <w:rFonts w:cs="Times New Roman"/>
              </w:rPr>
              <w:t>1.4平面设计图</w:t>
            </w:r>
          </w:p>
          <w:p w14:paraId="500E0DAA">
            <w:pPr>
              <w:pStyle w:val="71"/>
              <w:spacing w:before="24" w:after="24"/>
              <w:jc w:val="both"/>
              <w:rPr>
                <w:rFonts w:cs="Times New Roman"/>
              </w:rPr>
            </w:pPr>
            <w:r>
              <w:rPr>
                <w:rFonts w:cs="Times New Roman"/>
              </w:rPr>
              <w:t>比例1:500，包含规划道路中线与施工中线坐标、平曲线要素、机动车道、辅路（非机动车道）、人行道（路肩）及道路各部位尺寸、公共汽车停靠站，道路与沿线相交道路及建筑进出口的处理方式，桥涵、立交的平面布置与尺寸，各种杆、管线和附属构筑物的位置和尺寸，拆迁房屋、挪移杆线、征地范围等。</w:t>
            </w:r>
          </w:p>
          <w:p w14:paraId="462F0F72">
            <w:pPr>
              <w:pStyle w:val="71"/>
              <w:spacing w:before="24" w:after="24"/>
              <w:jc w:val="both"/>
              <w:rPr>
                <w:rFonts w:cs="Times New Roman"/>
              </w:rPr>
            </w:pPr>
            <w:r>
              <w:rPr>
                <w:rFonts w:cs="Times New Roman"/>
              </w:rPr>
              <w:t>1.5纵断面设计图</w:t>
            </w:r>
          </w:p>
          <w:p w14:paraId="16705658">
            <w:pPr>
              <w:pStyle w:val="71"/>
              <w:spacing w:before="24" w:after="24"/>
              <w:jc w:val="both"/>
              <w:rPr>
                <w:rFonts w:cs="Times New Roman"/>
              </w:rPr>
            </w:pPr>
            <w:r>
              <w:rPr>
                <w:rFonts w:cs="Times New Roman"/>
              </w:rPr>
              <w:t>比例纵向1:50～1:100，横向1:500～1:1000，包含设计路面高程，交叉道路、新建桥隧中线位置及高程，边沟纵断设计线、坡度及变坡点高程，有关交叉管线位置、尺寸及高程、竖曲线及其参数等，立交设计应绘制匝道纵断面设计图。</w:t>
            </w:r>
          </w:p>
          <w:p w14:paraId="6EAD1DD8">
            <w:pPr>
              <w:pStyle w:val="71"/>
              <w:spacing w:before="24" w:after="24"/>
              <w:jc w:val="both"/>
              <w:rPr>
                <w:rFonts w:cs="Times New Roman"/>
              </w:rPr>
            </w:pPr>
            <w:r>
              <w:rPr>
                <w:rFonts w:cs="Times New Roman"/>
              </w:rPr>
              <w:t>1.6横断面设计图</w:t>
            </w:r>
          </w:p>
          <w:p w14:paraId="025EEA4C">
            <w:pPr>
              <w:pStyle w:val="71"/>
              <w:spacing w:before="24" w:after="24"/>
              <w:jc w:val="both"/>
              <w:rPr>
                <w:rFonts w:cs="Times New Roman"/>
              </w:rPr>
            </w:pPr>
            <w:r>
              <w:rPr>
                <w:rFonts w:cs="Times New Roman"/>
              </w:rPr>
              <w:t>比例1:100～1:200，应示出规划道路横断面图、设计横断面图（不同路段和立交各部）、现状路横断面图及相互关系，大填大挖方路基设计，地上杆线、地下管线位置，特殊横断面及边沟设计、路拱曲线大样图等。</w:t>
            </w:r>
          </w:p>
          <w:p w14:paraId="0E4F1EC8">
            <w:pPr>
              <w:pStyle w:val="71"/>
              <w:spacing w:before="24" w:after="24"/>
              <w:jc w:val="both"/>
              <w:rPr>
                <w:rFonts w:cs="Times New Roman"/>
              </w:rPr>
            </w:pPr>
            <w:r>
              <w:rPr>
                <w:rFonts w:cs="Times New Roman"/>
              </w:rPr>
              <w:t>1.7交叉口设计图</w:t>
            </w:r>
          </w:p>
          <w:p w14:paraId="0C5CA8D7">
            <w:pPr>
              <w:pStyle w:val="71"/>
              <w:spacing w:before="24" w:after="24"/>
              <w:jc w:val="both"/>
              <w:rPr>
                <w:rFonts w:cs="Times New Roman"/>
              </w:rPr>
            </w:pPr>
            <w:r>
              <w:rPr>
                <w:rFonts w:cs="Times New Roman"/>
              </w:rPr>
              <w:t>设计平面（地形）大样图比例1:200～1:500，示出平面各部位详细尺寸，设计等高线及方格点高程，雨水口位置。</w:t>
            </w:r>
          </w:p>
          <w:p w14:paraId="59C603D7">
            <w:pPr>
              <w:pStyle w:val="71"/>
              <w:spacing w:before="24" w:after="24"/>
              <w:jc w:val="both"/>
              <w:rPr>
                <w:rFonts w:cs="Times New Roman"/>
              </w:rPr>
            </w:pPr>
            <w:r>
              <w:rPr>
                <w:rFonts w:cs="Times New Roman"/>
              </w:rPr>
              <w:t>1.8路面结构设计图</w:t>
            </w:r>
          </w:p>
          <w:p w14:paraId="1C8E30BD">
            <w:pPr>
              <w:pStyle w:val="71"/>
              <w:spacing w:before="24" w:after="24"/>
              <w:jc w:val="both"/>
              <w:rPr>
                <w:rFonts w:cs="Times New Roman"/>
              </w:rPr>
            </w:pPr>
            <w:r>
              <w:rPr>
                <w:rFonts w:cs="Times New Roman"/>
              </w:rPr>
              <w:t>路面结构组合大样，构造大样及分块大样，特殊路段路面结构大样等。</w:t>
            </w:r>
          </w:p>
          <w:p w14:paraId="15F09024">
            <w:pPr>
              <w:pStyle w:val="71"/>
              <w:spacing w:before="24" w:after="24"/>
              <w:jc w:val="both"/>
              <w:rPr>
                <w:rFonts w:cs="Times New Roman"/>
              </w:rPr>
            </w:pPr>
            <w:r>
              <w:rPr>
                <w:rFonts w:cs="Times New Roman"/>
              </w:rPr>
              <w:t>1.9特殊路基处理设计图</w:t>
            </w:r>
          </w:p>
          <w:p w14:paraId="48D66183">
            <w:pPr>
              <w:pStyle w:val="71"/>
              <w:spacing w:before="24" w:after="24"/>
              <w:jc w:val="both"/>
              <w:rPr>
                <w:rFonts w:cs="Times New Roman"/>
              </w:rPr>
            </w:pPr>
            <w:r>
              <w:rPr>
                <w:rFonts w:cs="Times New Roman"/>
              </w:rPr>
              <w:t>需进行特殊处理、加固的路基设计图。</w:t>
            </w:r>
          </w:p>
          <w:p w14:paraId="6367AD6A">
            <w:pPr>
              <w:pStyle w:val="71"/>
              <w:spacing w:before="24" w:after="24"/>
              <w:jc w:val="both"/>
              <w:rPr>
                <w:rFonts w:cs="Times New Roman"/>
              </w:rPr>
            </w:pPr>
            <w:r>
              <w:rPr>
                <w:rFonts w:cs="Times New Roman"/>
              </w:rPr>
              <w:t>1.10附属构筑物详图</w:t>
            </w:r>
          </w:p>
          <w:p w14:paraId="1B7498A5">
            <w:pPr>
              <w:pStyle w:val="71"/>
              <w:spacing w:before="24" w:after="24"/>
              <w:jc w:val="both"/>
              <w:rPr>
                <w:rFonts w:cs="Times New Roman"/>
              </w:rPr>
            </w:pPr>
            <w:r>
              <w:rPr>
                <w:rFonts w:cs="Times New Roman"/>
              </w:rPr>
              <w:t>挡土墙、无障碍、路缘石等道路附属构筑物结构详图。</w:t>
            </w:r>
          </w:p>
          <w:p w14:paraId="6310C350">
            <w:pPr>
              <w:pStyle w:val="71"/>
              <w:spacing w:before="24" w:after="24"/>
              <w:jc w:val="both"/>
              <w:rPr>
                <w:rFonts w:cs="Times New Roman"/>
              </w:rPr>
            </w:pPr>
            <w:r>
              <w:rPr>
                <w:rFonts w:cs="Times New Roman"/>
              </w:rPr>
              <w:t>2、交通工程</w:t>
            </w:r>
          </w:p>
          <w:p w14:paraId="1521B7F2">
            <w:pPr>
              <w:pStyle w:val="71"/>
              <w:spacing w:before="24" w:after="24"/>
              <w:jc w:val="both"/>
              <w:rPr>
                <w:rFonts w:cs="Times New Roman"/>
              </w:rPr>
            </w:pPr>
            <w:r>
              <w:rPr>
                <w:rFonts w:cs="Times New Roman"/>
              </w:rPr>
              <w:t>包括交通工程设计说明、交通标志、标线、防护设施设计图，信号灯、监控设施布置图等。</w:t>
            </w:r>
          </w:p>
          <w:p w14:paraId="499A7743">
            <w:pPr>
              <w:pStyle w:val="71"/>
              <w:spacing w:before="24" w:after="24"/>
              <w:jc w:val="both"/>
              <w:rPr>
                <w:rFonts w:cs="Times New Roman"/>
              </w:rPr>
            </w:pPr>
            <w:r>
              <w:rPr>
                <w:rFonts w:cs="Times New Roman"/>
              </w:rPr>
              <w:t>3、照明工程</w:t>
            </w:r>
          </w:p>
          <w:p w14:paraId="45DE0F98">
            <w:pPr>
              <w:pStyle w:val="71"/>
              <w:spacing w:before="24" w:after="24"/>
              <w:jc w:val="both"/>
              <w:rPr>
                <w:rFonts w:cs="Times New Roman"/>
              </w:rPr>
            </w:pPr>
            <w:r>
              <w:rPr>
                <w:rFonts w:cs="Times New Roman"/>
              </w:rPr>
              <w:t>包括路灯设计说明、路灯平面布置图、路灯横断面布置图、电力系统图、接线及安装大样图等。</w:t>
            </w:r>
          </w:p>
          <w:p w14:paraId="73091448">
            <w:pPr>
              <w:pStyle w:val="71"/>
              <w:spacing w:before="24" w:after="24"/>
              <w:jc w:val="both"/>
              <w:rPr>
                <w:rFonts w:cs="Times New Roman"/>
              </w:rPr>
            </w:pPr>
            <w:r>
              <w:rPr>
                <w:rFonts w:cs="Times New Roman"/>
              </w:rPr>
              <w:t>4、绿化工程</w:t>
            </w:r>
          </w:p>
          <w:p w14:paraId="3E5BF4BC">
            <w:pPr>
              <w:pStyle w:val="71"/>
              <w:spacing w:before="24" w:after="24"/>
              <w:jc w:val="both"/>
              <w:rPr>
                <w:rFonts w:cs="Times New Roman"/>
              </w:rPr>
            </w:pPr>
            <w:r>
              <w:rPr>
                <w:rFonts w:cs="Times New Roman"/>
              </w:rPr>
              <w:t>包括绿化设计说明、绿化平面布置图、绿化横断面布置图、种植大样图等。</w:t>
            </w:r>
          </w:p>
          <w:p w14:paraId="68C89D65">
            <w:pPr>
              <w:pStyle w:val="71"/>
              <w:spacing w:before="24" w:after="24"/>
              <w:jc w:val="both"/>
              <w:rPr>
                <w:rFonts w:cs="Times New Roman"/>
              </w:rPr>
            </w:pPr>
            <w:r>
              <w:rPr>
                <w:rFonts w:cs="Times New Roman"/>
              </w:rPr>
              <w:t>5、桥涵工程</w:t>
            </w:r>
          </w:p>
          <w:p w14:paraId="734B285F">
            <w:pPr>
              <w:pStyle w:val="71"/>
              <w:spacing w:before="24" w:after="24"/>
              <w:jc w:val="both"/>
              <w:rPr>
                <w:rFonts w:cs="Times New Roman"/>
              </w:rPr>
            </w:pPr>
            <w:r>
              <w:rPr>
                <w:rFonts w:cs="Times New Roman"/>
              </w:rPr>
              <w:t>包括桥涵设计说明、平面布置图、纵断面布置图、结构及构造大样图等。</w:t>
            </w:r>
          </w:p>
          <w:p w14:paraId="2558A7F2">
            <w:pPr>
              <w:pStyle w:val="71"/>
              <w:spacing w:before="24" w:after="24"/>
              <w:jc w:val="both"/>
              <w:rPr>
                <w:rFonts w:cs="Times New Roman"/>
              </w:rPr>
            </w:pPr>
            <w:r>
              <w:rPr>
                <w:rFonts w:cs="Times New Roman"/>
              </w:rPr>
              <w:t>6、地下管网</w:t>
            </w:r>
          </w:p>
          <w:p w14:paraId="552FA3E3">
            <w:pPr>
              <w:pStyle w:val="71"/>
              <w:spacing w:before="24" w:after="24"/>
              <w:jc w:val="both"/>
              <w:rPr>
                <w:rFonts w:cs="Times New Roman"/>
              </w:rPr>
            </w:pPr>
            <w:r>
              <w:rPr>
                <w:rFonts w:cs="Times New Roman"/>
              </w:rPr>
              <w:t>包括各类地下管线设计说明、平面布置图、纵断面布置图、做法大样等。</w:t>
            </w:r>
          </w:p>
        </w:tc>
        <w:tc>
          <w:tcPr>
            <w:tcW w:w="2163" w:type="dxa"/>
            <w:tcBorders>
              <w:top w:val="single" w:color="000000" w:sz="4" w:space="0"/>
              <w:left w:val="single" w:color="000000" w:sz="4" w:space="0"/>
              <w:bottom w:val="single" w:color="000000" w:sz="4" w:space="0"/>
              <w:right w:val="single" w:color="000000" w:sz="4" w:space="0"/>
            </w:tcBorders>
            <w:vAlign w:val="center"/>
          </w:tcPr>
          <w:p w14:paraId="1FAF256A">
            <w:pPr>
              <w:pStyle w:val="71"/>
              <w:spacing w:before="24" w:after="24"/>
              <w:jc w:val="both"/>
              <w:rPr>
                <w:rFonts w:cs="Times New Roman"/>
              </w:rPr>
            </w:pPr>
            <w:r>
              <w:rPr>
                <w:rFonts w:cs="Times New Roman"/>
              </w:rPr>
              <w:t>1、道路竖向与周边地块及现状道路竖向相协调，确保新建道路竖向合理、行车舒适。</w:t>
            </w:r>
          </w:p>
          <w:p w14:paraId="1D3B2735">
            <w:pPr>
              <w:pStyle w:val="71"/>
              <w:spacing w:before="24" w:after="24"/>
              <w:jc w:val="both"/>
              <w:rPr>
                <w:rFonts w:cs="Times New Roman"/>
              </w:rPr>
            </w:pPr>
            <w:r>
              <w:rPr>
                <w:rFonts w:cs="Times New Roman"/>
              </w:rPr>
              <w:t>2、地下管网各类管线间相互协调，确保合理利用或预留地下空间</w:t>
            </w:r>
          </w:p>
        </w:tc>
      </w:tr>
    </w:tbl>
    <w:p w14:paraId="399EF1B8">
      <w:pPr>
        <w:pStyle w:val="66"/>
        <w:rPr>
          <w:rFonts w:cs="Times New Roman"/>
        </w:rPr>
      </w:pPr>
      <w:r>
        <w:rPr>
          <w:rFonts w:cs="Times New Roman"/>
        </w:rPr>
        <w:t>2.2采购</w:t>
      </w:r>
    </w:p>
    <w:p w14:paraId="21ABF5B7">
      <w:pPr>
        <w:pStyle w:val="54"/>
        <w:spacing w:before="24" w:after="24"/>
      </w:pPr>
      <w:r>
        <w:t>2.2.1本项目所需的材料和设备均由承包人负责采购、运输、保管、安装调试及验收。承包人应对其采购的材料和设备负责。</w:t>
      </w:r>
    </w:p>
    <w:p w14:paraId="5CFE3290">
      <w:pPr>
        <w:pStyle w:val="54"/>
        <w:spacing w:before="24" w:after="24"/>
      </w:pPr>
      <w:r>
        <w:t>2.2.2承包人须将各项材料和设备的供货人及品牌、技术要求、规格、数量和供货时间等报送发包人批准。承包人应向发包人提交其负责提供的材料和设备的质量证明文件，并满足合同约定的质量标准。承包人提供的主要材料、设备的技术参数及规格严格按照要求采购，若不在采购发包人要求范围内的材料、设备，须征得发包人的同意。</w:t>
      </w:r>
    </w:p>
    <w:p w14:paraId="1EE6AA49">
      <w:pPr>
        <w:pStyle w:val="54"/>
        <w:spacing w:before="24" w:after="24"/>
      </w:pPr>
      <w:r>
        <w:t>2.2.3承包人应按设计图纸规定的设备、材料的质量、规格、型号等进行采购。若需更改，必须经设计、发包人书面认可，由此增减的费用相应调整合同价款，但最终不超出经发包人审定的初步设计概算的“工程费用×（1-中标下浮率）+设计费×（1-中标下浮率）”。若因承包人原因引起的修改，由此增加的费用由承包人承担，减少的费用按实结算。</w:t>
      </w:r>
    </w:p>
    <w:p w14:paraId="121F828C">
      <w:pPr>
        <w:pStyle w:val="66"/>
        <w:rPr>
          <w:rFonts w:cs="Times New Roman"/>
        </w:rPr>
      </w:pPr>
      <w:r>
        <w:rPr>
          <w:rFonts w:cs="Times New Roman"/>
        </w:rPr>
        <w:t>2.3施工</w:t>
      </w:r>
    </w:p>
    <w:p w14:paraId="5DDFE809">
      <w:pPr>
        <w:pStyle w:val="54"/>
        <w:spacing w:before="24" w:after="24"/>
      </w:pPr>
      <w:r>
        <w:t>2.3.1根据本技术文件要求及双方约定的工程进度，承包人负责编制承包项目的《EPC项目实施方案》《施工组织设计》《工程总体进度计划及分项计划》和《施工安全技术措施》等相关技术文件，并签订安全协议，以满足施工过程中的投资、质量、安全和工期要求。</w:t>
      </w:r>
    </w:p>
    <w:p w14:paraId="71D57D6E">
      <w:pPr>
        <w:pStyle w:val="54"/>
        <w:spacing w:before="24" w:after="24"/>
      </w:pPr>
      <w:r>
        <w:t>2.3.2组织施工与安装，保证按计划实施。</w:t>
      </w:r>
    </w:p>
    <w:p w14:paraId="2639CED6">
      <w:pPr>
        <w:pStyle w:val="54"/>
        <w:spacing w:before="24" w:after="24"/>
      </w:pPr>
      <w:r>
        <w:t>2.3.3负责组织承包范围内的单机调试、联动调试和系统调试，达到设计要求，并保证符合有关施工验收规范要求。交付使用之前的单机调试、联动调试和系统调试费用（含水电费用）由承包人承担，包含在投标报价中。</w:t>
      </w:r>
    </w:p>
    <w:p w14:paraId="12C0B48C">
      <w:pPr>
        <w:pStyle w:val="54"/>
        <w:spacing w:before="24" w:after="24"/>
      </w:pPr>
      <w:r>
        <w:t>2.3.4按合同约定适时提交承包项目的设计、施工、调试、操作等各种技术资料。</w:t>
      </w:r>
    </w:p>
    <w:p w14:paraId="05DB194F">
      <w:pPr>
        <w:pStyle w:val="54"/>
        <w:spacing w:before="24" w:after="24"/>
      </w:pPr>
      <w:r>
        <w:t>2.3.5隐蔽工程完成后必须经监理方、发包人及相关部门验收后，方可进行下一步工作。</w:t>
      </w:r>
    </w:p>
    <w:p w14:paraId="416692E3">
      <w:pPr>
        <w:pStyle w:val="54"/>
        <w:spacing w:before="24" w:after="24"/>
      </w:pPr>
      <w:r>
        <w:t>2.3.6所有须经检测检验的项目，经检测后，检测报告经发包人和管理单位、监理单位审核后，方可继续下一步工作。按照规范要求留样备查。</w:t>
      </w:r>
    </w:p>
    <w:p w14:paraId="171DE83B">
      <w:pPr>
        <w:pStyle w:val="54"/>
        <w:spacing w:before="24" w:after="24"/>
      </w:pPr>
      <w:r>
        <w:t>2.3.7施工前，按照要求对相关图纸进行图纸会审。未经会审的图纸，不得作为施工依据。</w:t>
      </w:r>
    </w:p>
    <w:p w14:paraId="7162EA22">
      <w:pPr>
        <w:pStyle w:val="54"/>
        <w:spacing w:before="24" w:after="24"/>
      </w:pPr>
      <w:r>
        <w:t>2.3.8施工过程中，材料的选用须经发包人批准，严禁使用“三无”产品。所用材料必须提供合格证书及出厂检测报告。</w:t>
      </w:r>
    </w:p>
    <w:p w14:paraId="7ABD1E39">
      <w:pPr>
        <w:pStyle w:val="54"/>
        <w:spacing w:before="24" w:after="24"/>
      </w:pPr>
      <w:r>
        <w:t>2.3.9服从发包人、、监理单位、上级政府职能部门的过程监督、监管，及时整改施工现场存在的安全、质量、文明施工等问题。</w:t>
      </w:r>
    </w:p>
    <w:p w14:paraId="443D64EC">
      <w:pPr>
        <w:pStyle w:val="54"/>
        <w:spacing w:before="24" w:after="24"/>
      </w:pPr>
      <w:r>
        <w:t>2.3.10发包人负责办理相关人防、消防、节能、绿色建筑、节水、各专项工程设计审批，承包人协助办理，相关费用及各类验收相关费用由承包人承担。</w:t>
      </w:r>
    </w:p>
    <w:p w14:paraId="02558116">
      <w:pPr>
        <w:pStyle w:val="54"/>
        <w:spacing w:before="24" w:after="24"/>
      </w:pPr>
      <w:r>
        <w:t>2.3.11市政供排水及中水接驳</w:t>
      </w:r>
    </w:p>
    <w:p w14:paraId="2545EA2F">
      <w:pPr>
        <w:pStyle w:val="54"/>
        <w:spacing w:before="24" w:after="24"/>
      </w:pPr>
      <w:r>
        <w:t>（1）市政给水、中水：根据项目地块的分布情况，集中且权属单位唯一的按一根引入管申报（消防需增加备用引入管），分散地块可单独申报引入管（消防需增加备用引入管），每个地块以红线为基准，考核总表设于红线内，考核总表出红线1.5m范围的引入管由总包负责实施，红线外引入管至市政供水管由地方水司负责接驳（或直接由主管单位指定红线外接驳点，由总包负责接至红线内）。</w:t>
      </w:r>
    </w:p>
    <w:p w14:paraId="0635C19B">
      <w:pPr>
        <w:pStyle w:val="54"/>
        <w:spacing w:before="24" w:after="24"/>
      </w:pPr>
      <w:r>
        <w:t>（2）市政排水：每地块按一个雨水排口、一个污水排口设计，以项目用地红线为基准，根据地势按就近原则出红线接入市政检查井，红线至市政检查井管段由承包人负责实施。</w:t>
      </w:r>
    </w:p>
    <w:p w14:paraId="57510816">
      <w:pPr>
        <w:pStyle w:val="54"/>
        <w:spacing w:before="24" w:after="24"/>
      </w:pPr>
      <w:r>
        <w:t>2.3.12供电、燃气、三网接口等相关接驳：以主管单位指定为准，根据主管单位管理要求，由总包单位负责指定部分的接驳施工内容。</w:t>
      </w:r>
    </w:p>
    <w:p w14:paraId="5AB01759">
      <w:pPr>
        <w:pStyle w:val="54"/>
        <w:spacing w:before="24" w:after="24"/>
      </w:pPr>
      <w:r>
        <w:t>2.3.13施工单位施工满足项目水土保持要求，严格控制施工扰动范围，禁止随意占压破坏地表植被，配合完成水土保持自主验</w:t>
      </w:r>
      <w:r>
        <w:rPr>
          <w:color w:val="000000"/>
          <w:spacing w:val="7"/>
          <w:szCs w:val="28"/>
          <w:lang w:bidi="ar"/>
          <w14:textFill>
            <w14:solidFill>
              <w14:srgbClr w14:val="000000">
                <w14:lumMod w14:val="95000"/>
                <w14:lumOff w14:val="5000"/>
              </w14:srgbClr>
            </w14:solidFill>
          </w14:textFill>
        </w:rPr>
        <w:t>收及备案。</w:t>
      </w:r>
    </w:p>
    <w:p w14:paraId="307C85A1">
      <w:pPr>
        <w:pStyle w:val="64"/>
        <w:spacing w:before="24" w:after="24"/>
        <w:rPr>
          <w:rFonts w:cs="Times New Roman"/>
          <w:color w:val="EE0000"/>
          <w14:textFill>
            <w14:solidFill>
              <w14:srgbClr w14:val="EE0000">
                <w14:lumMod w14:val="95000"/>
                <w14:lumOff w14:val="5000"/>
              </w14:srgbClr>
            </w14:solidFill>
          </w14:textFill>
        </w:rPr>
      </w:pPr>
      <w:bookmarkStart w:id="38" w:name="_Toc221894083"/>
      <w:r>
        <w:rPr>
          <w:rFonts w:cs="Times New Roman"/>
        </w:rPr>
        <w:t>3、临时工程的设计、施工及退出</w:t>
      </w:r>
      <w:bookmarkEnd w:id="38"/>
    </w:p>
    <w:p w14:paraId="341F323A">
      <w:pPr>
        <w:pStyle w:val="54"/>
        <w:spacing w:before="24" w:after="24"/>
      </w:pPr>
      <w:r>
        <w:t>（1）为完成合同约定的永久工程所修建的各类临时性工程由承包人负责设计、施工。设计方案经监理单位、发包人认可后方可进行施工。</w:t>
      </w:r>
    </w:p>
    <w:p w14:paraId="2BD6B283">
      <w:pPr>
        <w:pStyle w:val="54"/>
        <w:spacing w:before="24" w:after="24"/>
      </w:pPr>
      <w:r>
        <w:t>（2）在工程移交之前，承包人应当从施工现场清除各种临时工程，并保持施工现场清洁整齐。</w:t>
      </w:r>
    </w:p>
    <w:p w14:paraId="668B2474">
      <w:pPr>
        <w:pStyle w:val="54"/>
        <w:spacing w:before="24" w:after="24"/>
      </w:pPr>
      <w:r>
        <w:t>（3）经发包人书面同意，承包人可在发包人指定的地点保留承包人履行保修期内的各项义务所需要的临时工程。</w:t>
      </w:r>
    </w:p>
    <w:p w14:paraId="03026051">
      <w:pPr>
        <w:pStyle w:val="54"/>
        <w:spacing w:before="24" w:after="24"/>
      </w:pPr>
      <w:r>
        <w:t>（4）除（3）条约定外的临时工程已拆除，场地已按合同约定进行清理、平整或复原，方可办理竣工退场手续。</w:t>
      </w:r>
    </w:p>
    <w:p w14:paraId="0D35C5AA">
      <w:pPr>
        <w:pStyle w:val="64"/>
        <w:spacing w:before="24" w:after="24"/>
        <w:rPr>
          <w:rFonts w:cs="Times New Roman"/>
          <w:color w:val="EE0000"/>
          <w14:textFill>
            <w14:solidFill>
              <w14:srgbClr w14:val="EE0000">
                <w14:lumMod w14:val="95000"/>
                <w14:lumOff w14:val="5000"/>
              </w14:srgbClr>
            </w14:solidFill>
          </w14:textFill>
        </w:rPr>
      </w:pPr>
      <w:bookmarkStart w:id="39" w:name="_Toc221894084"/>
      <w:r>
        <w:rPr>
          <w:rFonts w:cs="Times New Roman"/>
        </w:rPr>
        <w:t>4、项目调试</w:t>
      </w:r>
      <w:bookmarkEnd w:id="39"/>
    </w:p>
    <w:p w14:paraId="62ECD41D">
      <w:pPr>
        <w:pStyle w:val="54"/>
        <w:spacing w:before="24" w:after="24"/>
      </w:pPr>
      <w:r>
        <w:t>4.1承包人负责采购、安装的设备（含单台、成套及联动设备）在竣工验收前均需进行充分调试、运行，确保满足设计指标要求。</w:t>
      </w:r>
    </w:p>
    <w:p w14:paraId="329246B3">
      <w:pPr>
        <w:pStyle w:val="54"/>
        <w:spacing w:before="24" w:after="24"/>
      </w:pPr>
      <w:r>
        <w:t>4.2调试的内容主要包括系统设备的机械调试、电气调试、控制调试、联合调试等方面。具体包括设备的动力学测试、静态特性测试、功能测试、数据测试、运行试验、故障排除等内容。</w:t>
      </w:r>
    </w:p>
    <w:p w14:paraId="30AF1A58">
      <w:pPr>
        <w:pStyle w:val="54"/>
        <w:spacing w:before="24" w:after="24"/>
      </w:pPr>
      <w:r>
        <w:t>4.3调试方案必须保证严谨性，依据工程项目的实际情况，制定合理的调试流程和标准化的测试方法，确保实施过程严格按照调试方案进行。</w:t>
      </w:r>
    </w:p>
    <w:p w14:paraId="4892693A">
      <w:pPr>
        <w:pStyle w:val="54"/>
        <w:spacing w:before="24" w:after="24"/>
      </w:pPr>
      <w:r>
        <w:t>4.4在进行调试前，必须对调试工具进行检查清点，确保调试工具的完好性，为调试工作的进行提供保障。</w:t>
      </w:r>
    </w:p>
    <w:p w14:paraId="33DBA5F2">
      <w:pPr>
        <w:pStyle w:val="54"/>
        <w:spacing w:before="24" w:after="24"/>
      </w:pPr>
      <w:r>
        <w:t>（1）调试前置条件：土建工程完成；设备及配套安装完成。</w:t>
      </w:r>
    </w:p>
    <w:p w14:paraId="0C7A0085">
      <w:pPr>
        <w:pStyle w:val="54"/>
        <w:spacing w:before="24" w:after="24"/>
      </w:pPr>
      <w:r>
        <w:t>（2）调试级别分类：单机调试、单元调试、分段调试、联动空车调试、联动投料调试。</w:t>
      </w:r>
    </w:p>
    <w:p w14:paraId="3F72AC5B">
      <w:pPr>
        <w:pStyle w:val="54"/>
        <w:spacing w:before="24" w:after="24"/>
      </w:pPr>
      <w:r>
        <w:t>（3）调试费用：调试所需全部费用由承包人承担。</w:t>
      </w:r>
    </w:p>
    <w:p w14:paraId="2D4B082F">
      <w:pPr>
        <w:pStyle w:val="54"/>
        <w:spacing w:before="24" w:after="24"/>
      </w:pPr>
      <w:r>
        <w:t>（4）调试责任：竣工验收前的调试责任由承包人承担。</w:t>
      </w:r>
    </w:p>
    <w:p w14:paraId="3285C6D8">
      <w:pPr>
        <w:pStyle w:val="54"/>
        <w:spacing w:before="24" w:after="24"/>
      </w:pPr>
      <w:r>
        <w:t>（5）调试后的培训和移交：各项调试合格后由承包人对发包人（使用单位）进行免费培训，竣工验收后移交给发包人。</w:t>
      </w:r>
    </w:p>
    <w:p w14:paraId="512A2928">
      <w:pPr>
        <w:pStyle w:val="64"/>
        <w:spacing w:before="24" w:after="24"/>
        <w:rPr>
          <w:rFonts w:cs="Times New Roman"/>
        </w:rPr>
      </w:pPr>
      <w:bookmarkStart w:id="40" w:name="_Toc221894085"/>
      <w:r>
        <w:rPr>
          <w:rFonts w:cs="Times New Roman"/>
        </w:rPr>
        <w:t>5、项目考核</w:t>
      </w:r>
      <w:bookmarkEnd w:id="40"/>
    </w:p>
    <w:p w14:paraId="5979B175">
      <w:pPr>
        <w:pStyle w:val="54"/>
        <w:spacing w:before="24" w:after="24"/>
      </w:pPr>
      <w:r>
        <w:t>配合发包人编制项目的考核方案并共同组织实施。考核方案主要由以下各部分组成：</w:t>
      </w:r>
    </w:p>
    <w:p w14:paraId="2C99ABBF">
      <w:pPr>
        <w:pStyle w:val="66"/>
        <w:rPr>
          <w:rFonts w:cs="Times New Roman"/>
        </w:rPr>
      </w:pPr>
      <w:r>
        <w:rPr>
          <w:rFonts w:cs="Times New Roman"/>
        </w:rPr>
        <w:t>5.1 技术考核</w:t>
      </w:r>
    </w:p>
    <w:p w14:paraId="1E5E9ADA">
      <w:pPr>
        <w:pStyle w:val="54"/>
        <w:spacing w:before="24" w:after="24"/>
      </w:pPr>
      <w:r>
        <w:t>（1）设计质量：设计方案是否符合发包人需求、行业规范及标准，设计文件（图纸、计算书、技术规格书）需通过发包人、全过程工程咨询单位、审图单位审查，确保无技术漏洞或冲突。</w:t>
      </w:r>
    </w:p>
    <w:p w14:paraId="2E675638">
      <w:pPr>
        <w:pStyle w:val="54"/>
        <w:spacing w:before="24" w:after="24"/>
      </w:pPr>
      <w:r>
        <w:t>（2）施工质量：施工工艺、材料使用、隐蔽工程验收等是否满足规范，关键节点（如地基、结构、设备安装）需通过分阶段质量验收，整改闭环率需达100%。</w:t>
      </w:r>
    </w:p>
    <w:p w14:paraId="4D635E96">
      <w:pPr>
        <w:pStyle w:val="54"/>
        <w:spacing w:before="24" w:after="24"/>
      </w:pPr>
      <w:r>
        <w:t>（3）设备与材料：采购的设备参数、品牌、性能是否满足合同要求，需提供出厂检验报告、第三方检测证明，并完成现场调试与试运行。</w:t>
      </w:r>
    </w:p>
    <w:p w14:paraId="78307BD4">
      <w:pPr>
        <w:pStyle w:val="66"/>
        <w:rPr>
          <w:rFonts w:cs="Times New Roman"/>
        </w:rPr>
      </w:pPr>
      <w:r>
        <w:rPr>
          <w:rFonts w:cs="Times New Roman"/>
        </w:rPr>
        <w:t>5.2 进度考核</w:t>
      </w:r>
    </w:p>
    <w:p w14:paraId="770B5DF6">
      <w:pPr>
        <w:pStyle w:val="54"/>
        <w:spacing w:before="24" w:after="24"/>
      </w:pPr>
      <w:r>
        <w:t>（1）总工期控制：项目是否按合同约定工期完成，关键路径节点（如设计交付、设备到货、主体封顶）延误时间不得超过发包人的要求。</w:t>
      </w:r>
    </w:p>
    <w:p w14:paraId="0A20A094">
      <w:pPr>
        <w:pStyle w:val="54"/>
        <w:spacing w:before="24" w:after="24"/>
      </w:pPr>
      <w:r>
        <w:t>（2）进度计划执行：施工进度计划的合理性及执行情况。定期（月度/季度）提交进度报告，偏差需说明原因并制定赶工措施。</w:t>
      </w:r>
    </w:p>
    <w:p w14:paraId="20BD0B22">
      <w:pPr>
        <w:pStyle w:val="66"/>
        <w:rPr>
          <w:rFonts w:cs="Times New Roman"/>
        </w:rPr>
      </w:pPr>
      <w:r>
        <w:rPr>
          <w:rFonts w:cs="Times New Roman"/>
        </w:rPr>
        <w:t>5.3 成本与经济效益考核</w:t>
      </w:r>
    </w:p>
    <w:p w14:paraId="0F60E821">
      <w:pPr>
        <w:pStyle w:val="54"/>
        <w:spacing w:before="24" w:after="24"/>
      </w:pPr>
      <w:r>
        <w:t xml:space="preserve">（1）预算控制：实际成本是否控制在总承包合同价范围内。  </w:t>
      </w:r>
    </w:p>
    <w:p w14:paraId="13B5E620">
      <w:pPr>
        <w:pStyle w:val="54"/>
        <w:spacing w:before="24" w:after="24"/>
      </w:pPr>
      <w:r>
        <w:t>分项成本（设计费、采购费、施工费）超支需经发包人批准，并提供变更依据。</w:t>
      </w:r>
    </w:p>
    <w:p w14:paraId="444A0C94">
      <w:pPr>
        <w:pStyle w:val="54"/>
        <w:spacing w:before="24" w:after="24"/>
      </w:pPr>
      <w:r>
        <w:t>（2）变更管理：设计变更、发包人需求变更是否合理且流程合规。变更费用需经双方确认，避免因管理不善导致成本失控。</w:t>
      </w:r>
    </w:p>
    <w:p w14:paraId="67D15105">
      <w:pPr>
        <w:pStyle w:val="66"/>
        <w:rPr>
          <w:rFonts w:cs="Times New Roman"/>
        </w:rPr>
      </w:pPr>
      <w:r>
        <w:rPr>
          <w:rFonts w:cs="Times New Roman"/>
        </w:rPr>
        <w:t>5.4 安全文明考核</w:t>
      </w:r>
    </w:p>
    <w:p w14:paraId="641E230D">
      <w:pPr>
        <w:pStyle w:val="54"/>
        <w:spacing w:before="24" w:after="24"/>
      </w:pPr>
      <w:r>
        <w:t>（1）安全管理：是否实现“零事故”目标，安全措施是否到位。定期安全巡检、应急预案演练记录完整，重大隐患整改率100%。</w:t>
      </w:r>
    </w:p>
    <w:p w14:paraId="73339BB0">
      <w:pPr>
        <w:pStyle w:val="54"/>
        <w:spacing w:before="24" w:after="24"/>
      </w:pPr>
      <w:r>
        <w:t>（2）环境保护：施工过程是否符合环评报告要求（如噪音、扬尘、三水排放）。需通过环保部门验收，避免因违规被处罚或停工。</w:t>
      </w:r>
    </w:p>
    <w:p w14:paraId="1DE89358">
      <w:pPr>
        <w:pStyle w:val="66"/>
        <w:rPr>
          <w:rFonts w:cs="Times New Roman"/>
        </w:rPr>
      </w:pPr>
      <w:r>
        <w:rPr>
          <w:rFonts w:cs="Times New Roman"/>
        </w:rPr>
        <w:t>5.5 合同履约考核</w:t>
      </w:r>
    </w:p>
    <w:p w14:paraId="7E6959BA">
      <w:pPr>
        <w:pStyle w:val="54"/>
        <w:spacing w:before="24" w:after="24"/>
      </w:pPr>
      <w:r>
        <w:t>（1）责任履行：总承包商是否全面履行合同义务（如设计优化、移交培训）。移交资料完整（竣工图、操作手册），质保期内及时响应缺陷修复。</w:t>
      </w:r>
    </w:p>
    <w:p w14:paraId="2AA42EB4">
      <w:pPr>
        <w:pStyle w:val="54"/>
        <w:spacing w:before="24" w:after="24"/>
      </w:pPr>
      <w:r>
        <w:t>（2）分包商管理：对分包商资质、进度、质量的管控能力。 分包商违约需由总承包商承担连带责任。</w:t>
      </w:r>
    </w:p>
    <w:p w14:paraId="77A08C39">
      <w:pPr>
        <w:pStyle w:val="66"/>
        <w:rPr>
          <w:rFonts w:cs="Times New Roman"/>
        </w:rPr>
      </w:pPr>
      <w:r>
        <w:rPr>
          <w:rFonts w:cs="Times New Roman"/>
        </w:rPr>
        <w:t>5.6 文档与合规性考核</w:t>
      </w:r>
    </w:p>
    <w:p w14:paraId="653068EE">
      <w:pPr>
        <w:pStyle w:val="54"/>
        <w:spacing w:before="24" w:after="24"/>
      </w:pPr>
      <w:r>
        <w:t>（1）文件管理：技术文件、验收记录、变更单等是否完整归档。竣工资料需符合《建设工程文件归档规范》（如GB/T 50328）。</w:t>
      </w:r>
    </w:p>
    <w:p w14:paraId="0D3666FA">
      <w:pPr>
        <w:pStyle w:val="54"/>
        <w:spacing w:before="24" w:after="24"/>
      </w:pPr>
      <w:r>
        <w:t>（2）合规性：项目是否取得施工许可证、消防验收、规划验收等法定手续。需通过政府主管部门的竣工验收备案。</w:t>
      </w:r>
    </w:p>
    <w:p w14:paraId="7B19499A">
      <w:pPr>
        <w:pStyle w:val="66"/>
        <w:rPr>
          <w:rFonts w:cs="Times New Roman"/>
        </w:rPr>
      </w:pPr>
      <w:r>
        <w:rPr>
          <w:rFonts w:cs="Times New Roman"/>
        </w:rPr>
        <w:t>5.7 发包人满意度考核</w:t>
      </w:r>
    </w:p>
    <w:p w14:paraId="14298F69">
      <w:pPr>
        <w:pStyle w:val="54"/>
        <w:spacing w:before="24" w:after="24"/>
      </w:pPr>
      <w:r>
        <w:t>（1）功能与性能验收：项目是否达到合同约定的性能指标（如产能、能耗、运行稳定性），试运行期内无重大故障，性能测试达标。</w:t>
      </w:r>
    </w:p>
    <w:p w14:paraId="196F695E">
      <w:pPr>
        <w:pStyle w:val="54"/>
        <w:spacing w:before="24" w:after="24"/>
      </w:pPr>
      <w:r>
        <w:t>（2）服务响应：质保期内维修、培训等服务的及时性。用户投诉率低于合同约定阈值。</w:t>
      </w:r>
    </w:p>
    <w:p w14:paraId="6229F3CB">
      <w:pPr>
        <w:pStyle w:val="66"/>
        <w:rPr>
          <w:rFonts w:cs="Times New Roman"/>
        </w:rPr>
      </w:pPr>
      <w:r>
        <w:rPr>
          <w:rFonts w:cs="Times New Roman"/>
        </w:rPr>
        <w:t>5.8 考核方式与结果应用</w:t>
      </w:r>
    </w:p>
    <w:p w14:paraId="7E7A98DF">
      <w:pPr>
        <w:pStyle w:val="54"/>
        <w:spacing w:before="24" w:after="24"/>
      </w:pPr>
      <w:r>
        <w:t>5.8.1考核方式</w:t>
      </w:r>
    </w:p>
    <w:p w14:paraId="404792F4">
      <w:pPr>
        <w:pStyle w:val="54"/>
        <w:spacing w:before="24" w:after="24"/>
      </w:pPr>
      <w:r>
        <w:t>（1）阶段性考核：按设计、采购、施工等阶段分节点评审。</w:t>
      </w:r>
    </w:p>
    <w:p w14:paraId="14DD82DE">
      <w:pPr>
        <w:pStyle w:val="54"/>
        <w:spacing w:before="24" w:after="24"/>
      </w:pPr>
      <w:r>
        <w:t>（2）竣工验收考核：全面检查技术、质量、合规性。</w:t>
      </w:r>
    </w:p>
    <w:p w14:paraId="10F24B87">
      <w:pPr>
        <w:pStyle w:val="54"/>
        <w:spacing w:before="24" w:after="24"/>
      </w:pPr>
      <w:r>
        <w:t>（3）第三方评估：引入独立机构进行审计或验收。</w:t>
      </w:r>
    </w:p>
    <w:p w14:paraId="3A483B75">
      <w:pPr>
        <w:pStyle w:val="54"/>
        <w:spacing w:before="24" w:after="24"/>
      </w:pPr>
      <w:r>
        <w:t>5.8.2考核结果应用</w:t>
      </w:r>
    </w:p>
    <w:p w14:paraId="001DC0F0">
      <w:pPr>
        <w:pStyle w:val="54"/>
        <w:spacing w:before="24" w:after="24"/>
      </w:pPr>
      <w:r>
        <w:t>（1）奖惩机制：达标可获发包人奖励，未达标则扣减合同款或限制投标资格。</w:t>
      </w:r>
    </w:p>
    <w:p w14:paraId="107F6AF7">
      <w:pPr>
        <w:pStyle w:val="54"/>
        <w:spacing w:before="24" w:after="24"/>
      </w:pPr>
      <w:r>
        <w:t>承包人应注重过程管理，项目实施过程中对于发包人及其委托的第三方提出需要按时整改的问题，按每周统计是否整改完成，未如期完成整改的按单项扣减合同款，累计计算（根据问题严重程度结合整改力度扣减金额为100~10000元/项•次）。</w:t>
      </w:r>
    </w:p>
    <w:p w14:paraId="03374CEB">
      <w:pPr>
        <w:pStyle w:val="54"/>
        <w:spacing w:before="24" w:after="24"/>
      </w:pPr>
      <w:r>
        <w:t>（2）改进反馈：考核结果用于优化后续项目管理流程。</w:t>
      </w:r>
    </w:p>
    <w:p w14:paraId="7B8E8447">
      <w:pPr>
        <w:pStyle w:val="64"/>
        <w:spacing w:before="24" w:after="24"/>
        <w:rPr>
          <w:rFonts w:cs="Times New Roman"/>
        </w:rPr>
      </w:pPr>
      <w:bookmarkStart w:id="41" w:name="_Toc221894086"/>
      <w:r>
        <w:rPr>
          <w:rFonts w:cs="Times New Roman"/>
        </w:rPr>
        <w:t>6、竣工验收和归档</w:t>
      </w:r>
      <w:bookmarkEnd w:id="41"/>
    </w:p>
    <w:p w14:paraId="257590F0">
      <w:pPr>
        <w:pStyle w:val="54"/>
        <w:spacing w:before="24" w:after="24"/>
      </w:pPr>
      <w:r>
        <w:t>单项工程应根据建设基本程序的要求进行分项验收、分部验收、专项验收、竣工验收及备案等竣工验收工作。</w:t>
      </w:r>
    </w:p>
    <w:p w14:paraId="2A460E99">
      <w:pPr>
        <w:pStyle w:val="66"/>
        <w:rPr>
          <w:rFonts w:cs="Times New Roman"/>
        </w:rPr>
      </w:pPr>
      <w:r>
        <w:rPr>
          <w:rFonts w:cs="Times New Roman"/>
        </w:rPr>
        <w:t>6.1竣工验收</w:t>
      </w:r>
    </w:p>
    <w:p w14:paraId="5CAABB07">
      <w:pPr>
        <w:pStyle w:val="54"/>
        <w:spacing w:before="24" w:after="24"/>
      </w:pPr>
      <w:r>
        <w:t>竣工验收范围包括按照审查合格的施工图及设计变更文件等建成的工程内容。</w:t>
      </w:r>
    </w:p>
    <w:p w14:paraId="1CD5E545">
      <w:pPr>
        <w:pStyle w:val="66"/>
        <w:rPr>
          <w:rFonts w:cs="Times New Roman"/>
        </w:rPr>
      </w:pPr>
      <w:r>
        <w:rPr>
          <w:rFonts w:cs="Times New Roman"/>
        </w:rPr>
        <w:t>6.2单位工程验收</w:t>
      </w:r>
    </w:p>
    <w:p w14:paraId="54C946DB">
      <w:pPr>
        <w:pStyle w:val="54"/>
        <w:spacing w:before="24" w:after="24"/>
      </w:pPr>
      <w:r>
        <w:t>须提前进行验收协调沟通的单位/区段工程包括：各建设项目需要发包人之外的单位或部门参加验收的工程内容（含人防、消防等配套系统）等。</w:t>
      </w:r>
    </w:p>
    <w:p w14:paraId="48B021A4">
      <w:pPr>
        <w:pStyle w:val="66"/>
        <w:rPr>
          <w:rFonts w:cs="Times New Roman"/>
        </w:rPr>
      </w:pPr>
      <w:r>
        <w:rPr>
          <w:rFonts w:cs="Times New Roman"/>
        </w:rPr>
        <w:t>6.3专项验收</w:t>
      </w:r>
    </w:p>
    <w:p w14:paraId="28076181">
      <w:pPr>
        <w:pStyle w:val="54"/>
        <w:spacing w:before="24" w:after="24"/>
      </w:pPr>
      <w:r>
        <w:t>专项验收包括但不限于建筑节能验收、规划验收、人防验收、消防验收、室内环境验收、环保验收等。</w:t>
      </w:r>
    </w:p>
    <w:p w14:paraId="3E344BEF">
      <w:pPr>
        <w:pStyle w:val="66"/>
        <w:rPr>
          <w:rFonts w:cs="Times New Roman"/>
        </w:rPr>
      </w:pPr>
      <w:r>
        <w:rPr>
          <w:rFonts w:cs="Times New Roman"/>
        </w:rPr>
        <w:t>6.4 归档</w:t>
      </w:r>
    </w:p>
    <w:p w14:paraId="7751E0E5">
      <w:pPr>
        <w:pStyle w:val="54"/>
        <w:spacing w:before="24" w:after="24"/>
      </w:pPr>
      <w:r>
        <w:t>归档内容需覆盖从立项到移交的全生命周期，主要以技术文件、合同文件、质量记录、合规证明这四大类为主。主要包含：项目前期文件、设计文件、采购文件、施工文件、竣工验收与移交文件、合同文件、法律与合规文件、项目沟通与会议文件、电子与数字化文件。</w:t>
      </w:r>
    </w:p>
    <w:p w14:paraId="1B2D9F90">
      <w:pPr>
        <w:pStyle w:val="64"/>
        <w:spacing w:before="24" w:after="24"/>
        <w:rPr>
          <w:rFonts w:cs="Times New Roman"/>
        </w:rPr>
      </w:pPr>
      <w:bookmarkStart w:id="42" w:name="_Toc221894087"/>
      <w:r>
        <w:rPr>
          <w:rFonts w:cs="Times New Roman"/>
        </w:rPr>
        <w:t>7、技术服务工作范围</w:t>
      </w:r>
      <w:bookmarkEnd w:id="42"/>
    </w:p>
    <w:p w14:paraId="404F2038">
      <w:pPr>
        <w:pStyle w:val="66"/>
        <w:rPr>
          <w:rFonts w:cs="Times New Roman"/>
        </w:rPr>
      </w:pPr>
      <w:r>
        <w:rPr>
          <w:rFonts w:cs="Times New Roman"/>
        </w:rPr>
        <w:t>7.1 设计技术服务工作范围</w:t>
      </w:r>
    </w:p>
    <w:p w14:paraId="3693D411">
      <w:pPr>
        <w:pStyle w:val="54"/>
        <w:spacing w:before="24" w:after="24"/>
      </w:pPr>
      <w:r>
        <w:t>7.1.1完成本项目的施工图设计、二次深化设计、专项设计、工艺设计等工作；</w:t>
      </w:r>
    </w:p>
    <w:p w14:paraId="603B7434">
      <w:pPr>
        <w:pStyle w:val="54"/>
        <w:spacing w:before="24" w:after="24"/>
      </w:pPr>
      <w:r>
        <w:t>7.1.2参加发包人或政府部门的审查会；</w:t>
      </w:r>
    </w:p>
    <w:p w14:paraId="63E5DB89">
      <w:pPr>
        <w:pStyle w:val="54"/>
        <w:spacing w:before="24" w:after="24"/>
      </w:pPr>
      <w:r>
        <w:t>7.1.3工程技术交底;</w:t>
      </w:r>
    </w:p>
    <w:p w14:paraId="0423FF26">
      <w:pPr>
        <w:pStyle w:val="54"/>
        <w:spacing w:before="24" w:after="24"/>
      </w:pPr>
      <w:r>
        <w:t>7.1.4参加工程检验及验收;</w:t>
      </w:r>
    </w:p>
    <w:p w14:paraId="74000940">
      <w:pPr>
        <w:pStyle w:val="54"/>
        <w:spacing w:before="24" w:after="24"/>
      </w:pPr>
      <w:r>
        <w:t>7.1.5施工现场与设计相关的服务;</w:t>
      </w:r>
    </w:p>
    <w:p w14:paraId="406FE226">
      <w:pPr>
        <w:pStyle w:val="54"/>
        <w:spacing w:before="24" w:after="24"/>
      </w:pPr>
      <w:r>
        <w:t>7.1.6参加工程项目设备调试；</w:t>
      </w:r>
    </w:p>
    <w:p w14:paraId="1F439610">
      <w:pPr>
        <w:pStyle w:val="54"/>
        <w:spacing w:before="24" w:after="24"/>
      </w:pPr>
      <w:r>
        <w:t>7.1.7关键工序现场指导；</w:t>
      </w:r>
    </w:p>
    <w:p w14:paraId="7EE09782">
      <w:pPr>
        <w:pStyle w:val="54"/>
        <w:spacing w:before="24" w:after="24"/>
      </w:pPr>
      <w:r>
        <w:t>7.1.8设计变更处理；</w:t>
      </w:r>
    </w:p>
    <w:p w14:paraId="0921632C">
      <w:pPr>
        <w:pStyle w:val="54"/>
        <w:spacing w:before="24" w:after="24"/>
      </w:pPr>
      <w:r>
        <w:t>7.1.9参加工程例会、专项例会；</w:t>
      </w:r>
    </w:p>
    <w:p w14:paraId="60E635B8">
      <w:pPr>
        <w:pStyle w:val="54"/>
        <w:spacing w:before="24" w:after="24"/>
      </w:pPr>
      <w:r>
        <w:t>7.1.10参加工程竣工验收;</w:t>
      </w:r>
    </w:p>
    <w:p w14:paraId="7AA7D085">
      <w:pPr>
        <w:pStyle w:val="54"/>
        <w:spacing w:before="24" w:after="24"/>
      </w:pPr>
      <w:r>
        <w:t>7.1.11工程回访。</w:t>
      </w:r>
    </w:p>
    <w:p w14:paraId="12F7881D">
      <w:pPr>
        <w:pStyle w:val="66"/>
        <w:rPr>
          <w:rFonts w:cs="Times New Roman"/>
          <w:color w:val="EE0000"/>
          <w14:textFill>
            <w14:solidFill>
              <w14:srgbClr w14:val="EE0000">
                <w14:lumMod w14:val="95000"/>
                <w14:lumOff w14:val="5000"/>
              </w14:srgbClr>
            </w14:solidFill>
          </w14:textFill>
        </w:rPr>
      </w:pPr>
      <w:r>
        <w:rPr>
          <w:rFonts w:cs="Times New Roman"/>
        </w:rPr>
        <w:t>7.2 施工技术服务工作范围</w:t>
      </w:r>
    </w:p>
    <w:p w14:paraId="3D2D7583">
      <w:pPr>
        <w:pStyle w:val="54"/>
        <w:spacing w:before="24" w:after="24"/>
      </w:pPr>
      <w:r>
        <w:t>7.2.1 施工准备阶段</w:t>
      </w:r>
    </w:p>
    <w:p w14:paraId="1401E62E">
      <w:pPr>
        <w:pStyle w:val="54"/>
        <w:spacing w:before="24" w:after="24"/>
      </w:pPr>
      <w:r>
        <w:t>（1）熟悉施工图纸，参与设计交底，掌握施工重难点。</w:t>
      </w:r>
    </w:p>
    <w:p w14:paraId="27E8200B">
      <w:pPr>
        <w:pStyle w:val="54"/>
        <w:spacing w:before="24" w:after="24"/>
      </w:pPr>
      <w:r>
        <w:t>（2）参与施工图纸会审与技术交底，结合现场条件优化施工方案。</w:t>
      </w:r>
    </w:p>
    <w:p w14:paraId="0F221BB8">
      <w:pPr>
        <w:pStyle w:val="54"/>
        <w:spacing w:before="24" w:after="24"/>
      </w:pPr>
      <w:r>
        <w:t>（3）编制群体项目总体施工组织大纲、单项工程施工组织设计、单项工程专项施工方案以及质量和安全专项技术方案、单项工程的危大工程专项方案（如涉及）；</w:t>
      </w:r>
    </w:p>
    <w:p w14:paraId="2A8E0D87">
      <w:pPr>
        <w:pStyle w:val="54"/>
        <w:spacing w:before="24" w:after="24"/>
      </w:pPr>
      <w:r>
        <w:t>（4）进行技术培训与交底，确保施工人员掌握核心技术要点和操作规范。</w:t>
      </w:r>
    </w:p>
    <w:p w14:paraId="26A9C9EA">
      <w:pPr>
        <w:pStyle w:val="54"/>
        <w:spacing w:before="24" w:after="24"/>
      </w:pPr>
      <w:r>
        <w:t>（5）施工测量控制网，完成轴线、标高的技术复核与定位。</w:t>
      </w:r>
    </w:p>
    <w:p w14:paraId="5AB3CFA0">
      <w:pPr>
        <w:pStyle w:val="54"/>
        <w:spacing w:before="24" w:after="24"/>
      </w:pPr>
      <w:r>
        <w:t>7.2.2 施工实施阶段</w:t>
      </w:r>
    </w:p>
    <w:p w14:paraId="3F31211D">
      <w:pPr>
        <w:pStyle w:val="54"/>
        <w:spacing w:before="24" w:after="24"/>
      </w:pPr>
      <w:r>
        <w:t>（1）深化节点详图和大样图，对设计图纸提出合理化建议；</w:t>
      </w:r>
    </w:p>
    <w:p w14:paraId="5AD03644">
      <w:pPr>
        <w:pStyle w:val="54"/>
        <w:spacing w:before="24" w:after="24"/>
      </w:pPr>
      <w:r>
        <w:t>（2）现场技术指导，解决施工中出现的技术难题，保障施工按方案推进。</w:t>
      </w:r>
    </w:p>
    <w:p w14:paraId="00BEBBA7">
      <w:pPr>
        <w:pStyle w:val="54"/>
        <w:spacing w:before="24" w:after="24"/>
      </w:pPr>
      <w:r>
        <w:t>（3）关键工序、特殊工艺的现场技术指导，监督技术方案执行。</w:t>
      </w:r>
    </w:p>
    <w:p w14:paraId="3031AD31">
      <w:pPr>
        <w:pStyle w:val="54"/>
        <w:spacing w:before="24" w:after="24"/>
      </w:pPr>
      <w:r>
        <w:t>（4）配合质量检测与试验工作，提供技术依据并落实检测结果。</w:t>
      </w:r>
    </w:p>
    <w:p w14:paraId="7CCDFB21">
      <w:pPr>
        <w:pStyle w:val="54"/>
        <w:spacing w:before="24" w:after="24"/>
      </w:pPr>
      <w:r>
        <w:t>（5）接收并审核施工中的设计变更，出具变更后技术执行方案</w:t>
      </w:r>
    </w:p>
    <w:p w14:paraId="05280D87">
      <w:pPr>
        <w:pStyle w:val="54"/>
        <w:spacing w:before="24" w:after="24"/>
      </w:pPr>
      <w:r>
        <w:t>7.2.3竣工阶段</w:t>
      </w:r>
    </w:p>
    <w:p w14:paraId="6C9B9888">
      <w:pPr>
        <w:pStyle w:val="54"/>
        <w:spacing w:before="24" w:after="24"/>
      </w:pPr>
      <w:r>
        <w:t>（1）整理施工技术资料，包括隐蔽工程记录、技术试验报告等，满足竣工归档要求。</w:t>
      </w:r>
    </w:p>
    <w:p w14:paraId="283784DB">
      <w:pPr>
        <w:pStyle w:val="54"/>
        <w:spacing w:before="24" w:after="24"/>
      </w:pPr>
      <w:r>
        <w:t>（2）参与竣工技术验收，提供施工技术说明和质量合格的技术依据。</w:t>
      </w:r>
    </w:p>
    <w:p w14:paraId="74F08B50">
      <w:pPr>
        <w:pStyle w:val="54"/>
        <w:spacing w:before="24" w:after="24"/>
      </w:pPr>
      <w:r>
        <w:t>（3）对生活垃圾焚烧处理项目，对发包人指定的操作人员进行操作培训。</w:t>
      </w:r>
    </w:p>
    <w:p w14:paraId="4B1D8063">
      <w:pPr>
        <w:pStyle w:val="54"/>
        <w:spacing w:before="24" w:after="24"/>
      </w:pPr>
      <w:r>
        <w:t>（4）提供竣工后技术手册或运营管理手册，指导发包人方掌握设备或工程的运维技术要点。</w:t>
      </w:r>
    </w:p>
    <w:p w14:paraId="45D32769">
      <w:pPr>
        <w:spacing w:before="24" w:after="24"/>
        <w:ind w:firstLine="562" w:firstLineChars="200"/>
        <w:outlineLvl w:val="2"/>
        <w:rPr>
          <w:rFonts w:ascii="Times New Roman" w:hAnsi="Times New Roman" w:cs="Times New Roman"/>
          <w:b/>
          <w:color w:val="EE0000"/>
          <w14:textFill>
            <w14:solidFill>
              <w14:srgbClr w14:val="EE0000">
                <w14:lumMod w14:val="95000"/>
                <w14:lumOff w14:val="5000"/>
              </w14:srgbClr>
            </w14:solidFill>
          </w14:textFill>
        </w:rPr>
      </w:pPr>
      <w:bookmarkStart w:id="43" w:name="_Toc221894088"/>
      <w:r>
        <w:rPr>
          <w:rFonts w:ascii="Times New Roman" w:hAnsi="Times New Roman" w:cs="Times New Roman"/>
          <w:b/>
          <w:color w:val="0D0D0D" w:themeColor="text1" w:themeTint="F2"/>
          <w14:textFill>
            <w14:solidFill>
              <w14:schemeClr w14:val="tx1">
                <w14:lumMod w14:val="95000"/>
                <w14:lumOff w14:val="5000"/>
              </w14:schemeClr>
            </w14:solidFill>
          </w14:textFill>
        </w:rPr>
        <w:t>8、培训和移交</w:t>
      </w:r>
      <w:bookmarkEnd w:id="43"/>
    </w:p>
    <w:p w14:paraId="509BD1FE">
      <w:pPr>
        <w:spacing w:before="24" w:after="24"/>
        <w:ind w:firstLine="562" w:firstLineChars="200"/>
        <w:outlineLvl w:val="3"/>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t>8.1竣工培训</w:t>
      </w:r>
    </w:p>
    <w:p w14:paraId="04D3D7DE">
      <w:pPr>
        <w:spacing w:before="24" w:after="24"/>
        <w:ind w:firstLine="562" w:firstLineChars="200"/>
        <w:outlineLvl w:val="4"/>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t>8.1.1 通用培训工作</w:t>
      </w:r>
    </w:p>
    <w:p w14:paraId="4E0D03E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在工程完工及移交工程前，承包人将负责组织及督促相关专业承包商对发包人的员工及其物业管理人员进行机电设备、设施及系统等的操作和维护的培训，以确保发包人的工作人员或指定管理人员在工程投入使用后能独立进行必要的设备和系统操作、维护和故障排除。并根据工程特点编制详细的培训计划，具体培训将在交工前一个月进行。</w:t>
      </w:r>
    </w:p>
    <w:p w14:paraId="645BFE8C">
      <w:pPr>
        <w:spacing w:before="24" w:after="24" w:line="288" w:lineRule="auto"/>
        <w:jc w:val="center"/>
        <w:rPr>
          <w:rFonts w:ascii="Times New Roman" w:hAnsi="Times New Roman" w:eastAsia="宋体" w:cs="Times New Roman"/>
          <w:bCs/>
          <w:color w:val="181717" w:themeColor="background2" w:themeShade="1A"/>
        </w:rPr>
      </w:pPr>
      <w:r>
        <w:rPr>
          <w:rFonts w:ascii="Times New Roman" w:hAnsi="Times New Roman" w:eastAsia="宋体" w:cs="Times New Roman"/>
          <w:bCs/>
          <w:color w:val="181717" w:themeColor="background2" w:themeShade="1A"/>
        </w:rPr>
        <w:t>竣工培训计划一览表</w:t>
      </w:r>
    </w:p>
    <w:tbl>
      <w:tblPr>
        <w:tblStyle w:val="31"/>
        <w:tblW w:w="95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1"/>
        <w:gridCol w:w="1317"/>
        <w:gridCol w:w="1193"/>
        <w:gridCol w:w="1193"/>
        <w:gridCol w:w="1070"/>
        <w:gridCol w:w="1267"/>
        <w:gridCol w:w="1266"/>
        <w:gridCol w:w="1187"/>
      </w:tblGrid>
      <w:tr w14:paraId="750E4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1091" w:type="dxa"/>
            <w:vMerge w:val="restart"/>
            <w:tcMar>
              <w:top w:w="0" w:type="dxa"/>
              <w:left w:w="108" w:type="dxa"/>
              <w:bottom w:w="0" w:type="dxa"/>
              <w:right w:w="108" w:type="dxa"/>
            </w:tcMar>
            <w:vAlign w:val="center"/>
          </w:tcPr>
          <w:p w14:paraId="38413932">
            <w:pPr>
              <w:pStyle w:val="71"/>
              <w:spacing w:before="24" w:after="24"/>
              <w:rPr>
                <w:rFonts w:cs="Times New Roman"/>
              </w:rPr>
            </w:pPr>
            <w:r>
              <w:rPr>
                <w:rFonts w:cs="Times New Roman"/>
              </w:rPr>
              <w:t>培训</w:t>
            </w:r>
          </w:p>
          <w:p w14:paraId="393C0210">
            <w:pPr>
              <w:pStyle w:val="71"/>
              <w:spacing w:before="24" w:after="24"/>
              <w:rPr>
                <w:rFonts w:cs="Times New Roman"/>
              </w:rPr>
            </w:pPr>
            <w:r>
              <w:rPr>
                <w:rFonts w:cs="Times New Roman"/>
              </w:rPr>
              <w:t>内容</w:t>
            </w:r>
          </w:p>
        </w:tc>
        <w:tc>
          <w:tcPr>
            <w:tcW w:w="1317" w:type="dxa"/>
            <w:tcMar>
              <w:top w:w="0" w:type="dxa"/>
              <w:left w:w="108" w:type="dxa"/>
              <w:bottom w:w="0" w:type="dxa"/>
              <w:right w:w="108" w:type="dxa"/>
            </w:tcMar>
            <w:vAlign w:val="center"/>
          </w:tcPr>
          <w:p w14:paraId="4E2803EB">
            <w:pPr>
              <w:pStyle w:val="71"/>
              <w:spacing w:before="24" w:after="24"/>
              <w:rPr>
                <w:rFonts w:cs="Times New Roman"/>
              </w:rPr>
            </w:pPr>
            <w:r>
              <w:rPr>
                <w:rFonts w:cs="Times New Roman"/>
              </w:rPr>
              <w:t>培训组织单位</w:t>
            </w:r>
          </w:p>
        </w:tc>
        <w:tc>
          <w:tcPr>
            <w:tcW w:w="2386" w:type="dxa"/>
            <w:gridSpan w:val="2"/>
            <w:tcMar>
              <w:top w:w="0" w:type="dxa"/>
              <w:left w:w="108" w:type="dxa"/>
              <w:bottom w:w="0" w:type="dxa"/>
              <w:right w:w="108" w:type="dxa"/>
            </w:tcMar>
            <w:vAlign w:val="center"/>
          </w:tcPr>
          <w:p w14:paraId="702B1B9F">
            <w:pPr>
              <w:pStyle w:val="71"/>
              <w:spacing w:before="24" w:after="24"/>
              <w:rPr>
                <w:rFonts w:cs="Times New Roman"/>
              </w:rPr>
            </w:pPr>
            <w:r>
              <w:rPr>
                <w:rFonts w:cs="Times New Roman"/>
              </w:rPr>
              <w:t>培训实施单位</w:t>
            </w:r>
          </w:p>
        </w:tc>
        <w:tc>
          <w:tcPr>
            <w:tcW w:w="1070" w:type="dxa"/>
            <w:vMerge w:val="restart"/>
            <w:tcMar>
              <w:top w:w="0" w:type="dxa"/>
              <w:left w:w="108" w:type="dxa"/>
              <w:bottom w:w="0" w:type="dxa"/>
              <w:right w:w="108" w:type="dxa"/>
            </w:tcMar>
            <w:vAlign w:val="center"/>
          </w:tcPr>
          <w:p w14:paraId="40CF8704">
            <w:pPr>
              <w:pStyle w:val="71"/>
              <w:spacing w:before="24" w:after="24"/>
              <w:rPr>
                <w:rFonts w:cs="Times New Roman"/>
              </w:rPr>
            </w:pPr>
            <w:r>
              <w:rPr>
                <w:rFonts w:cs="Times New Roman"/>
              </w:rPr>
              <w:t>培训</w:t>
            </w:r>
          </w:p>
          <w:p w14:paraId="747B7FCA">
            <w:pPr>
              <w:pStyle w:val="71"/>
              <w:spacing w:before="24" w:after="24"/>
              <w:rPr>
                <w:rFonts w:cs="Times New Roman"/>
              </w:rPr>
            </w:pPr>
            <w:r>
              <w:rPr>
                <w:rFonts w:cs="Times New Roman"/>
              </w:rPr>
              <w:t>内容</w:t>
            </w:r>
          </w:p>
        </w:tc>
        <w:tc>
          <w:tcPr>
            <w:tcW w:w="1267" w:type="dxa"/>
            <w:tcMar>
              <w:top w:w="0" w:type="dxa"/>
              <w:left w:w="108" w:type="dxa"/>
              <w:bottom w:w="0" w:type="dxa"/>
              <w:right w:w="108" w:type="dxa"/>
            </w:tcMar>
            <w:vAlign w:val="center"/>
          </w:tcPr>
          <w:p w14:paraId="40E25255">
            <w:pPr>
              <w:pStyle w:val="71"/>
              <w:spacing w:before="24" w:after="24"/>
              <w:rPr>
                <w:rFonts w:cs="Times New Roman"/>
              </w:rPr>
            </w:pPr>
            <w:r>
              <w:rPr>
                <w:rFonts w:cs="Times New Roman"/>
              </w:rPr>
              <w:t>培训组织</w:t>
            </w:r>
          </w:p>
        </w:tc>
        <w:tc>
          <w:tcPr>
            <w:tcW w:w="2453" w:type="dxa"/>
            <w:gridSpan w:val="2"/>
            <w:tcMar>
              <w:top w:w="0" w:type="dxa"/>
              <w:left w:w="108" w:type="dxa"/>
              <w:bottom w:w="0" w:type="dxa"/>
              <w:right w:w="108" w:type="dxa"/>
            </w:tcMar>
            <w:vAlign w:val="center"/>
          </w:tcPr>
          <w:p w14:paraId="457D5AB9">
            <w:pPr>
              <w:pStyle w:val="71"/>
              <w:spacing w:before="24" w:after="24"/>
              <w:rPr>
                <w:rFonts w:cs="Times New Roman"/>
              </w:rPr>
            </w:pPr>
            <w:r>
              <w:rPr>
                <w:rFonts w:cs="Times New Roman"/>
              </w:rPr>
              <w:t>培训实施单位</w:t>
            </w:r>
          </w:p>
        </w:tc>
      </w:tr>
      <w:tr w14:paraId="66C35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091" w:type="dxa"/>
            <w:vMerge w:val="continue"/>
            <w:tcMar>
              <w:top w:w="0" w:type="dxa"/>
              <w:left w:w="108" w:type="dxa"/>
              <w:bottom w:w="0" w:type="dxa"/>
              <w:right w:w="108" w:type="dxa"/>
            </w:tcMar>
            <w:vAlign w:val="center"/>
          </w:tcPr>
          <w:p w14:paraId="40F43E17">
            <w:pPr>
              <w:pStyle w:val="71"/>
              <w:spacing w:before="24" w:after="24"/>
              <w:rPr>
                <w:rFonts w:cs="Times New Roman"/>
              </w:rPr>
            </w:pPr>
          </w:p>
        </w:tc>
        <w:tc>
          <w:tcPr>
            <w:tcW w:w="1317" w:type="dxa"/>
            <w:tcMar>
              <w:top w:w="0" w:type="dxa"/>
              <w:left w:w="108" w:type="dxa"/>
              <w:bottom w:w="0" w:type="dxa"/>
              <w:right w:w="108" w:type="dxa"/>
            </w:tcMar>
            <w:vAlign w:val="center"/>
          </w:tcPr>
          <w:p w14:paraId="74FECF0B">
            <w:pPr>
              <w:pStyle w:val="71"/>
              <w:spacing w:before="24" w:after="24"/>
              <w:rPr>
                <w:rFonts w:cs="Times New Roman"/>
              </w:rPr>
            </w:pPr>
            <w:r>
              <w:rPr>
                <w:rFonts w:cs="Times New Roman"/>
              </w:rPr>
              <w:t>总包单位</w:t>
            </w:r>
          </w:p>
        </w:tc>
        <w:tc>
          <w:tcPr>
            <w:tcW w:w="1193" w:type="dxa"/>
            <w:tcMar>
              <w:top w:w="0" w:type="dxa"/>
              <w:left w:w="108" w:type="dxa"/>
              <w:bottom w:w="0" w:type="dxa"/>
              <w:right w:w="108" w:type="dxa"/>
            </w:tcMar>
            <w:vAlign w:val="center"/>
          </w:tcPr>
          <w:p w14:paraId="6E59DF44">
            <w:pPr>
              <w:pStyle w:val="71"/>
              <w:spacing w:before="24" w:after="24"/>
              <w:rPr>
                <w:rFonts w:cs="Times New Roman"/>
              </w:rPr>
            </w:pPr>
            <w:r>
              <w:rPr>
                <w:rFonts w:cs="Times New Roman"/>
              </w:rPr>
              <w:t>总包单位</w:t>
            </w:r>
          </w:p>
        </w:tc>
        <w:tc>
          <w:tcPr>
            <w:tcW w:w="1193" w:type="dxa"/>
            <w:tcMar>
              <w:top w:w="0" w:type="dxa"/>
              <w:left w:w="108" w:type="dxa"/>
              <w:bottom w:w="0" w:type="dxa"/>
              <w:right w:w="108" w:type="dxa"/>
            </w:tcMar>
            <w:vAlign w:val="center"/>
          </w:tcPr>
          <w:p w14:paraId="08D720BA">
            <w:pPr>
              <w:pStyle w:val="71"/>
              <w:spacing w:before="24" w:after="24"/>
              <w:rPr>
                <w:rFonts w:cs="Times New Roman"/>
              </w:rPr>
            </w:pPr>
            <w:r>
              <w:rPr>
                <w:rFonts w:cs="Times New Roman"/>
              </w:rPr>
              <w:t>分包单位</w:t>
            </w:r>
          </w:p>
        </w:tc>
        <w:tc>
          <w:tcPr>
            <w:tcW w:w="1070" w:type="dxa"/>
            <w:vMerge w:val="continue"/>
            <w:tcMar>
              <w:top w:w="0" w:type="dxa"/>
              <w:left w:w="108" w:type="dxa"/>
              <w:bottom w:w="0" w:type="dxa"/>
              <w:right w:w="108" w:type="dxa"/>
            </w:tcMar>
            <w:vAlign w:val="center"/>
          </w:tcPr>
          <w:p w14:paraId="400F3E23">
            <w:pPr>
              <w:pStyle w:val="71"/>
              <w:spacing w:before="24" w:after="24"/>
              <w:rPr>
                <w:rFonts w:cs="Times New Roman"/>
              </w:rPr>
            </w:pPr>
          </w:p>
        </w:tc>
        <w:tc>
          <w:tcPr>
            <w:tcW w:w="1267" w:type="dxa"/>
            <w:tcMar>
              <w:top w:w="0" w:type="dxa"/>
              <w:left w:w="108" w:type="dxa"/>
              <w:bottom w:w="0" w:type="dxa"/>
              <w:right w:w="108" w:type="dxa"/>
            </w:tcMar>
            <w:vAlign w:val="center"/>
          </w:tcPr>
          <w:p w14:paraId="23CF91E5">
            <w:pPr>
              <w:pStyle w:val="71"/>
              <w:spacing w:before="24" w:after="24"/>
              <w:rPr>
                <w:rFonts w:cs="Times New Roman"/>
              </w:rPr>
            </w:pPr>
            <w:r>
              <w:rPr>
                <w:rFonts w:cs="Times New Roman"/>
              </w:rPr>
              <w:t>总包单位</w:t>
            </w:r>
          </w:p>
        </w:tc>
        <w:tc>
          <w:tcPr>
            <w:tcW w:w="1266" w:type="dxa"/>
            <w:tcMar>
              <w:top w:w="0" w:type="dxa"/>
              <w:left w:w="108" w:type="dxa"/>
              <w:bottom w:w="0" w:type="dxa"/>
              <w:right w:w="108" w:type="dxa"/>
            </w:tcMar>
            <w:vAlign w:val="center"/>
          </w:tcPr>
          <w:p w14:paraId="6D1CB51D">
            <w:pPr>
              <w:pStyle w:val="71"/>
              <w:spacing w:before="24" w:after="24"/>
              <w:rPr>
                <w:rFonts w:cs="Times New Roman"/>
              </w:rPr>
            </w:pPr>
            <w:r>
              <w:rPr>
                <w:rFonts w:cs="Times New Roman"/>
              </w:rPr>
              <w:t>总包单位</w:t>
            </w:r>
          </w:p>
        </w:tc>
        <w:tc>
          <w:tcPr>
            <w:tcW w:w="1187" w:type="dxa"/>
            <w:tcMar>
              <w:top w:w="0" w:type="dxa"/>
              <w:left w:w="108" w:type="dxa"/>
              <w:bottom w:w="0" w:type="dxa"/>
              <w:right w:w="108" w:type="dxa"/>
            </w:tcMar>
            <w:vAlign w:val="center"/>
          </w:tcPr>
          <w:p w14:paraId="015CF8D9">
            <w:pPr>
              <w:pStyle w:val="71"/>
              <w:spacing w:before="24" w:after="24"/>
              <w:rPr>
                <w:rFonts w:cs="Times New Roman"/>
              </w:rPr>
            </w:pPr>
            <w:r>
              <w:rPr>
                <w:rFonts w:cs="Times New Roman"/>
              </w:rPr>
              <w:t>分包单位</w:t>
            </w:r>
          </w:p>
        </w:tc>
      </w:tr>
      <w:tr w14:paraId="47F37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1" w:type="dxa"/>
            <w:tcMar>
              <w:top w:w="0" w:type="dxa"/>
              <w:left w:w="108" w:type="dxa"/>
              <w:bottom w:w="0" w:type="dxa"/>
              <w:right w:w="108" w:type="dxa"/>
            </w:tcMar>
            <w:vAlign w:val="center"/>
          </w:tcPr>
          <w:p w14:paraId="6E31B544">
            <w:pPr>
              <w:pStyle w:val="71"/>
              <w:spacing w:before="24" w:after="24"/>
              <w:rPr>
                <w:rFonts w:cs="Times New Roman"/>
              </w:rPr>
            </w:pPr>
            <w:r>
              <w:rPr>
                <w:rFonts w:cs="Times New Roman"/>
              </w:rPr>
              <w:t>建筑日常使用及维护</w:t>
            </w:r>
          </w:p>
        </w:tc>
        <w:tc>
          <w:tcPr>
            <w:tcW w:w="1317" w:type="dxa"/>
            <w:tcMar>
              <w:top w:w="0" w:type="dxa"/>
              <w:left w:w="108" w:type="dxa"/>
              <w:bottom w:w="0" w:type="dxa"/>
              <w:right w:w="108" w:type="dxa"/>
            </w:tcMar>
            <w:vAlign w:val="center"/>
          </w:tcPr>
          <w:p w14:paraId="0403E6BF">
            <w:pPr>
              <w:pStyle w:val="71"/>
              <w:spacing w:before="24" w:after="24"/>
              <w:rPr>
                <w:rFonts w:cs="Times New Roman"/>
              </w:rPr>
            </w:pPr>
            <w:r>
              <w:rPr>
                <w:rFonts w:cs="Times New Roman"/>
              </w:rPr>
              <w:t>√</w:t>
            </w:r>
          </w:p>
        </w:tc>
        <w:tc>
          <w:tcPr>
            <w:tcW w:w="1193" w:type="dxa"/>
            <w:tcMar>
              <w:top w:w="0" w:type="dxa"/>
              <w:left w:w="108" w:type="dxa"/>
              <w:bottom w:w="0" w:type="dxa"/>
              <w:right w:w="108" w:type="dxa"/>
            </w:tcMar>
            <w:vAlign w:val="center"/>
          </w:tcPr>
          <w:p w14:paraId="24B7D660">
            <w:pPr>
              <w:pStyle w:val="71"/>
              <w:spacing w:before="24" w:after="24"/>
              <w:rPr>
                <w:rFonts w:cs="Times New Roman"/>
              </w:rPr>
            </w:pPr>
            <w:r>
              <w:rPr>
                <w:rFonts w:cs="Times New Roman"/>
              </w:rPr>
              <w:t>√</w:t>
            </w:r>
          </w:p>
        </w:tc>
        <w:tc>
          <w:tcPr>
            <w:tcW w:w="1193" w:type="dxa"/>
            <w:tcMar>
              <w:top w:w="0" w:type="dxa"/>
              <w:left w:w="108" w:type="dxa"/>
              <w:bottom w:w="0" w:type="dxa"/>
              <w:right w:w="108" w:type="dxa"/>
            </w:tcMar>
            <w:vAlign w:val="center"/>
          </w:tcPr>
          <w:p w14:paraId="3BA7E210">
            <w:pPr>
              <w:pStyle w:val="71"/>
              <w:spacing w:before="24" w:after="24"/>
              <w:rPr>
                <w:rFonts w:cs="Times New Roman"/>
              </w:rPr>
            </w:pPr>
            <w:r>
              <w:rPr>
                <w:rFonts w:cs="Times New Roman"/>
              </w:rPr>
              <w:t> </w:t>
            </w:r>
          </w:p>
        </w:tc>
        <w:tc>
          <w:tcPr>
            <w:tcW w:w="1070" w:type="dxa"/>
            <w:tcMar>
              <w:top w:w="0" w:type="dxa"/>
              <w:left w:w="108" w:type="dxa"/>
              <w:bottom w:w="0" w:type="dxa"/>
              <w:right w:w="108" w:type="dxa"/>
            </w:tcMar>
            <w:vAlign w:val="center"/>
          </w:tcPr>
          <w:p w14:paraId="32985AB4">
            <w:pPr>
              <w:pStyle w:val="71"/>
              <w:spacing w:before="24" w:after="24"/>
              <w:rPr>
                <w:rFonts w:cs="Times New Roman"/>
              </w:rPr>
            </w:pPr>
            <w:r>
              <w:rPr>
                <w:rFonts w:cs="Times New Roman"/>
              </w:rPr>
              <w:t>闭路电视监测系统</w:t>
            </w:r>
          </w:p>
        </w:tc>
        <w:tc>
          <w:tcPr>
            <w:tcW w:w="1267" w:type="dxa"/>
            <w:tcMar>
              <w:top w:w="0" w:type="dxa"/>
              <w:left w:w="108" w:type="dxa"/>
              <w:bottom w:w="0" w:type="dxa"/>
              <w:right w:w="108" w:type="dxa"/>
            </w:tcMar>
            <w:vAlign w:val="center"/>
          </w:tcPr>
          <w:p w14:paraId="19DC6B88">
            <w:pPr>
              <w:pStyle w:val="71"/>
              <w:spacing w:before="24" w:after="24"/>
              <w:rPr>
                <w:rFonts w:cs="Times New Roman"/>
              </w:rPr>
            </w:pPr>
            <w:r>
              <w:rPr>
                <w:rFonts w:cs="Times New Roman"/>
              </w:rPr>
              <w:t>√</w:t>
            </w:r>
          </w:p>
        </w:tc>
        <w:tc>
          <w:tcPr>
            <w:tcW w:w="1266" w:type="dxa"/>
            <w:tcMar>
              <w:top w:w="0" w:type="dxa"/>
              <w:left w:w="108" w:type="dxa"/>
              <w:bottom w:w="0" w:type="dxa"/>
              <w:right w:w="108" w:type="dxa"/>
            </w:tcMar>
            <w:vAlign w:val="center"/>
          </w:tcPr>
          <w:p w14:paraId="38160677">
            <w:pPr>
              <w:pStyle w:val="71"/>
              <w:spacing w:before="24" w:after="24"/>
              <w:rPr>
                <w:rFonts w:cs="Times New Roman"/>
              </w:rPr>
            </w:pPr>
            <w:r>
              <w:rPr>
                <w:rFonts w:cs="Times New Roman"/>
              </w:rPr>
              <w:t> </w:t>
            </w:r>
          </w:p>
        </w:tc>
        <w:tc>
          <w:tcPr>
            <w:tcW w:w="1187" w:type="dxa"/>
            <w:tcMar>
              <w:top w:w="0" w:type="dxa"/>
              <w:left w:w="108" w:type="dxa"/>
              <w:bottom w:w="0" w:type="dxa"/>
              <w:right w:w="108" w:type="dxa"/>
            </w:tcMar>
            <w:vAlign w:val="center"/>
          </w:tcPr>
          <w:p w14:paraId="4002D6B3">
            <w:pPr>
              <w:pStyle w:val="71"/>
              <w:spacing w:before="24" w:after="24"/>
              <w:rPr>
                <w:rFonts w:cs="Times New Roman"/>
              </w:rPr>
            </w:pPr>
            <w:r>
              <w:rPr>
                <w:rFonts w:cs="Times New Roman"/>
              </w:rPr>
              <w:t>√</w:t>
            </w:r>
          </w:p>
        </w:tc>
      </w:tr>
      <w:tr w14:paraId="72513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1" w:type="dxa"/>
            <w:tcMar>
              <w:top w:w="0" w:type="dxa"/>
              <w:left w:w="108" w:type="dxa"/>
              <w:bottom w:w="0" w:type="dxa"/>
              <w:right w:w="108" w:type="dxa"/>
            </w:tcMar>
            <w:vAlign w:val="center"/>
          </w:tcPr>
          <w:p w14:paraId="6257414C">
            <w:pPr>
              <w:pStyle w:val="71"/>
              <w:spacing w:before="24" w:after="24"/>
              <w:rPr>
                <w:rFonts w:cs="Times New Roman"/>
              </w:rPr>
            </w:pPr>
            <w:r>
              <w:rPr>
                <w:rFonts w:cs="Times New Roman"/>
              </w:rPr>
              <w:t>安全、消防控制系统</w:t>
            </w:r>
          </w:p>
        </w:tc>
        <w:tc>
          <w:tcPr>
            <w:tcW w:w="1317" w:type="dxa"/>
            <w:tcMar>
              <w:top w:w="0" w:type="dxa"/>
              <w:left w:w="108" w:type="dxa"/>
              <w:bottom w:w="0" w:type="dxa"/>
              <w:right w:w="108" w:type="dxa"/>
            </w:tcMar>
            <w:vAlign w:val="center"/>
          </w:tcPr>
          <w:p w14:paraId="4870FBB7">
            <w:pPr>
              <w:pStyle w:val="71"/>
              <w:spacing w:before="24" w:after="24"/>
              <w:rPr>
                <w:rFonts w:cs="Times New Roman"/>
              </w:rPr>
            </w:pPr>
            <w:r>
              <w:rPr>
                <w:rFonts w:cs="Times New Roman"/>
              </w:rPr>
              <w:t>√</w:t>
            </w:r>
          </w:p>
        </w:tc>
        <w:tc>
          <w:tcPr>
            <w:tcW w:w="1193" w:type="dxa"/>
            <w:tcMar>
              <w:top w:w="0" w:type="dxa"/>
              <w:left w:w="108" w:type="dxa"/>
              <w:bottom w:w="0" w:type="dxa"/>
              <w:right w:w="108" w:type="dxa"/>
            </w:tcMar>
            <w:vAlign w:val="center"/>
          </w:tcPr>
          <w:p w14:paraId="31758608">
            <w:pPr>
              <w:pStyle w:val="71"/>
              <w:spacing w:before="24" w:after="24"/>
              <w:rPr>
                <w:rFonts w:cs="Times New Roman"/>
              </w:rPr>
            </w:pPr>
            <w:r>
              <w:rPr>
                <w:rFonts w:cs="Times New Roman"/>
              </w:rPr>
              <w:t> </w:t>
            </w:r>
          </w:p>
        </w:tc>
        <w:tc>
          <w:tcPr>
            <w:tcW w:w="1193" w:type="dxa"/>
            <w:tcMar>
              <w:top w:w="0" w:type="dxa"/>
              <w:left w:w="108" w:type="dxa"/>
              <w:bottom w:w="0" w:type="dxa"/>
              <w:right w:w="108" w:type="dxa"/>
            </w:tcMar>
            <w:vAlign w:val="center"/>
          </w:tcPr>
          <w:p w14:paraId="04A39FA0">
            <w:pPr>
              <w:pStyle w:val="71"/>
              <w:spacing w:before="24" w:after="24"/>
              <w:rPr>
                <w:rFonts w:cs="Times New Roman"/>
              </w:rPr>
            </w:pPr>
            <w:r>
              <w:rPr>
                <w:rFonts w:cs="Times New Roman"/>
              </w:rPr>
              <w:t>√</w:t>
            </w:r>
          </w:p>
        </w:tc>
        <w:tc>
          <w:tcPr>
            <w:tcW w:w="1070" w:type="dxa"/>
            <w:tcMar>
              <w:top w:w="0" w:type="dxa"/>
              <w:left w:w="108" w:type="dxa"/>
              <w:bottom w:w="0" w:type="dxa"/>
              <w:right w:w="108" w:type="dxa"/>
            </w:tcMar>
            <w:vAlign w:val="center"/>
          </w:tcPr>
          <w:p w14:paraId="142F71E1">
            <w:pPr>
              <w:pStyle w:val="71"/>
              <w:spacing w:before="24" w:after="24"/>
              <w:rPr>
                <w:rFonts w:cs="Times New Roman"/>
              </w:rPr>
            </w:pPr>
            <w:r>
              <w:rPr>
                <w:rFonts w:cs="Times New Roman"/>
              </w:rPr>
              <w:t>有线电视系统</w:t>
            </w:r>
          </w:p>
        </w:tc>
        <w:tc>
          <w:tcPr>
            <w:tcW w:w="1267" w:type="dxa"/>
            <w:tcMar>
              <w:top w:w="0" w:type="dxa"/>
              <w:left w:w="108" w:type="dxa"/>
              <w:bottom w:w="0" w:type="dxa"/>
              <w:right w:w="108" w:type="dxa"/>
            </w:tcMar>
            <w:vAlign w:val="center"/>
          </w:tcPr>
          <w:p w14:paraId="7B30736A">
            <w:pPr>
              <w:pStyle w:val="71"/>
              <w:spacing w:before="24" w:after="24"/>
              <w:rPr>
                <w:rFonts w:cs="Times New Roman"/>
              </w:rPr>
            </w:pPr>
            <w:r>
              <w:rPr>
                <w:rFonts w:cs="Times New Roman"/>
              </w:rPr>
              <w:t>√</w:t>
            </w:r>
          </w:p>
        </w:tc>
        <w:tc>
          <w:tcPr>
            <w:tcW w:w="1266" w:type="dxa"/>
            <w:tcMar>
              <w:top w:w="0" w:type="dxa"/>
              <w:left w:w="108" w:type="dxa"/>
              <w:bottom w:w="0" w:type="dxa"/>
              <w:right w:w="108" w:type="dxa"/>
            </w:tcMar>
            <w:vAlign w:val="center"/>
          </w:tcPr>
          <w:p w14:paraId="0CC8AFEF">
            <w:pPr>
              <w:pStyle w:val="71"/>
              <w:spacing w:before="24" w:after="24"/>
              <w:rPr>
                <w:rFonts w:cs="Times New Roman"/>
              </w:rPr>
            </w:pPr>
            <w:r>
              <w:rPr>
                <w:rFonts w:cs="Times New Roman"/>
              </w:rPr>
              <w:t> </w:t>
            </w:r>
          </w:p>
        </w:tc>
        <w:tc>
          <w:tcPr>
            <w:tcW w:w="1187" w:type="dxa"/>
            <w:tcMar>
              <w:top w:w="0" w:type="dxa"/>
              <w:left w:w="108" w:type="dxa"/>
              <w:bottom w:w="0" w:type="dxa"/>
              <w:right w:w="108" w:type="dxa"/>
            </w:tcMar>
            <w:vAlign w:val="center"/>
          </w:tcPr>
          <w:p w14:paraId="0A121235">
            <w:pPr>
              <w:pStyle w:val="71"/>
              <w:spacing w:before="24" w:after="24"/>
              <w:rPr>
                <w:rFonts w:cs="Times New Roman"/>
              </w:rPr>
            </w:pPr>
            <w:r>
              <w:rPr>
                <w:rFonts w:cs="Times New Roman"/>
              </w:rPr>
              <w:t>√</w:t>
            </w:r>
          </w:p>
        </w:tc>
      </w:tr>
      <w:tr w14:paraId="6C50F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1" w:type="dxa"/>
            <w:tcMar>
              <w:top w:w="0" w:type="dxa"/>
              <w:left w:w="108" w:type="dxa"/>
              <w:bottom w:w="0" w:type="dxa"/>
              <w:right w:w="108" w:type="dxa"/>
            </w:tcMar>
            <w:vAlign w:val="center"/>
          </w:tcPr>
          <w:p w14:paraId="31FB90C4">
            <w:pPr>
              <w:pStyle w:val="71"/>
              <w:spacing w:before="24" w:after="24"/>
              <w:rPr>
                <w:rFonts w:cs="Times New Roman"/>
              </w:rPr>
            </w:pPr>
            <w:r>
              <w:rPr>
                <w:rFonts w:cs="Times New Roman"/>
              </w:rPr>
              <w:t>楼宇设备自动化系统</w:t>
            </w:r>
          </w:p>
        </w:tc>
        <w:tc>
          <w:tcPr>
            <w:tcW w:w="1317" w:type="dxa"/>
            <w:tcMar>
              <w:top w:w="0" w:type="dxa"/>
              <w:left w:w="108" w:type="dxa"/>
              <w:bottom w:w="0" w:type="dxa"/>
              <w:right w:w="108" w:type="dxa"/>
            </w:tcMar>
            <w:vAlign w:val="center"/>
          </w:tcPr>
          <w:p w14:paraId="1AED8A65">
            <w:pPr>
              <w:pStyle w:val="71"/>
              <w:spacing w:before="24" w:after="24"/>
              <w:rPr>
                <w:rFonts w:cs="Times New Roman"/>
              </w:rPr>
            </w:pPr>
            <w:r>
              <w:rPr>
                <w:rFonts w:cs="Times New Roman"/>
              </w:rPr>
              <w:t>√</w:t>
            </w:r>
          </w:p>
        </w:tc>
        <w:tc>
          <w:tcPr>
            <w:tcW w:w="1193" w:type="dxa"/>
            <w:tcMar>
              <w:top w:w="0" w:type="dxa"/>
              <w:left w:w="108" w:type="dxa"/>
              <w:bottom w:w="0" w:type="dxa"/>
              <w:right w:w="108" w:type="dxa"/>
            </w:tcMar>
            <w:vAlign w:val="center"/>
          </w:tcPr>
          <w:p w14:paraId="25E2FA58">
            <w:pPr>
              <w:pStyle w:val="71"/>
              <w:spacing w:before="24" w:after="24"/>
              <w:rPr>
                <w:rFonts w:cs="Times New Roman"/>
              </w:rPr>
            </w:pPr>
            <w:r>
              <w:rPr>
                <w:rFonts w:cs="Times New Roman"/>
              </w:rPr>
              <w:t> </w:t>
            </w:r>
          </w:p>
        </w:tc>
        <w:tc>
          <w:tcPr>
            <w:tcW w:w="1193" w:type="dxa"/>
            <w:tcMar>
              <w:top w:w="0" w:type="dxa"/>
              <w:left w:w="108" w:type="dxa"/>
              <w:bottom w:w="0" w:type="dxa"/>
              <w:right w:w="108" w:type="dxa"/>
            </w:tcMar>
            <w:vAlign w:val="center"/>
          </w:tcPr>
          <w:p w14:paraId="0FAAB78C">
            <w:pPr>
              <w:pStyle w:val="71"/>
              <w:spacing w:before="24" w:after="24"/>
              <w:rPr>
                <w:rFonts w:cs="Times New Roman"/>
              </w:rPr>
            </w:pPr>
            <w:r>
              <w:rPr>
                <w:rFonts w:cs="Times New Roman"/>
              </w:rPr>
              <w:t>√</w:t>
            </w:r>
          </w:p>
        </w:tc>
        <w:tc>
          <w:tcPr>
            <w:tcW w:w="1070" w:type="dxa"/>
            <w:tcMar>
              <w:top w:w="0" w:type="dxa"/>
              <w:left w:w="108" w:type="dxa"/>
              <w:bottom w:w="0" w:type="dxa"/>
              <w:right w:w="108" w:type="dxa"/>
            </w:tcMar>
            <w:vAlign w:val="center"/>
          </w:tcPr>
          <w:p w14:paraId="23502478">
            <w:pPr>
              <w:pStyle w:val="71"/>
              <w:spacing w:before="24" w:after="24"/>
              <w:rPr>
                <w:rFonts w:cs="Times New Roman"/>
              </w:rPr>
            </w:pPr>
            <w:r>
              <w:rPr>
                <w:rFonts w:cs="Times New Roman"/>
              </w:rPr>
              <w:t>有线电视系统</w:t>
            </w:r>
          </w:p>
        </w:tc>
        <w:tc>
          <w:tcPr>
            <w:tcW w:w="1267" w:type="dxa"/>
            <w:tcMar>
              <w:top w:w="0" w:type="dxa"/>
              <w:left w:w="108" w:type="dxa"/>
              <w:bottom w:w="0" w:type="dxa"/>
              <w:right w:w="108" w:type="dxa"/>
            </w:tcMar>
            <w:vAlign w:val="center"/>
          </w:tcPr>
          <w:p w14:paraId="5493C252">
            <w:pPr>
              <w:pStyle w:val="71"/>
              <w:spacing w:before="24" w:after="24"/>
              <w:rPr>
                <w:rFonts w:cs="Times New Roman"/>
              </w:rPr>
            </w:pPr>
            <w:r>
              <w:rPr>
                <w:rFonts w:cs="Times New Roman"/>
              </w:rPr>
              <w:t>√</w:t>
            </w:r>
          </w:p>
        </w:tc>
        <w:tc>
          <w:tcPr>
            <w:tcW w:w="1266" w:type="dxa"/>
            <w:tcMar>
              <w:top w:w="0" w:type="dxa"/>
              <w:left w:w="108" w:type="dxa"/>
              <w:bottom w:w="0" w:type="dxa"/>
              <w:right w:w="108" w:type="dxa"/>
            </w:tcMar>
            <w:vAlign w:val="center"/>
          </w:tcPr>
          <w:p w14:paraId="43929C81">
            <w:pPr>
              <w:pStyle w:val="71"/>
              <w:spacing w:before="24" w:after="24"/>
              <w:rPr>
                <w:rFonts w:cs="Times New Roman"/>
              </w:rPr>
            </w:pPr>
            <w:r>
              <w:rPr>
                <w:rFonts w:cs="Times New Roman"/>
              </w:rPr>
              <w:t> </w:t>
            </w:r>
          </w:p>
        </w:tc>
        <w:tc>
          <w:tcPr>
            <w:tcW w:w="1187" w:type="dxa"/>
            <w:tcMar>
              <w:top w:w="0" w:type="dxa"/>
              <w:left w:w="108" w:type="dxa"/>
              <w:bottom w:w="0" w:type="dxa"/>
              <w:right w:w="108" w:type="dxa"/>
            </w:tcMar>
            <w:vAlign w:val="center"/>
          </w:tcPr>
          <w:p w14:paraId="6A8ADD19">
            <w:pPr>
              <w:pStyle w:val="71"/>
              <w:spacing w:before="24" w:after="24"/>
              <w:rPr>
                <w:rFonts w:cs="Times New Roman"/>
              </w:rPr>
            </w:pPr>
            <w:r>
              <w:rPr>
                <w:rFonts w:cs="Times New Roman"/>
              </w:rPr>
              <w:t>√</w:t>
            </w:r>
          </w:p>
        </w:tc>
      </w:tr>
      <w:tr w14:paraId="06C01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091" w:type="dxa"/>
            <w:tcMar>
              <w:top w:w="0" w:type="dxa"/>
              <w:left w:w="108" w:type="dxa"/>
              <w:bottom w:w="0" w:type="dxa"/>
              <w:right w:w="108" w:type="dxa"/>
            </w:tcMar>
            <w:vAlign w:val="center"/>
          </w:tcPr>
          <w:p w14:paraId="796A64B3">
            <w:pPr>
              <w:pStyle w:val="71"/>
              <w:spacing w:before="24" w:after="24"/>
              <w:rPr>
                <w:rFonts w:cs="Times New Roman"/>
              </w:rPr>
            </w:pPr>
            <w:r>
              <w:rPr>
                <w:rFonts w:cs="Times New Roman"/>
              </w:rPr>
              <w:t>强电系统</w:t>
            </w:r>
          </w:p>
        </w:tc>
        <w:tc>
          <w:tcPr>
            <w:tcW w:w="1317" w:type="dxa"/>
            <w:tcMar>
              <w:top w:w="0" w:type="dxa"/>
              <w:left w:w="108" w:type="dxa"/>
              <w:bottom w:w="0" w:type="dxa"/>
              <w:right w:w="108" w:type="dxa"/>
            </w:tcMar>
            <w:vAlign w:val="center"/>
          </w:tcPr>
          <w:p w14:paraId="01A627AF">
            <w:pPr>
              <w:pStyle w:val="71"/>
              <w:spacing w:before="24" w:after="24"/>
              <w:rPr>
                <w:rFonts w:cs="Times New Roman"/>
              </w:rPr>
            </w:pPr>
            <w:r>
              <w:rPr>
                <w:rFonts w:cs="Times New Roman"/>
              </w:rPr>
              <w:t>√</w:t>
            </w:r>
          </w:p>
        </w:tc>
        <w:tc>
          <w:tcPr>
            <w:tcW w:w="1193" w:type="dxa"/>
            <w:tcMar>
              <w:top w:w="0" w:type="dxa"/>
              <w:left w:w="108" w:type="dxa"/>
              <w:bottom w:w="0" w:type="dxa"/>
              <w:right w:w="108" w:type="dxa"/>
            </w:tcMar>
            <w:vAlign w:val="center"/>
          </w:tcPr>
          <w:p w14:paraId="5E4D1367">
            <w:pPr>
              <w:pStyle w:val="71"/>
              <w:spacing w:before="24" w:after="24"/>
              <w:rPr>
                <w:rFonts w:cs="Times New Roman"/>
              </w:rPr>
            </w:pPr>
            <w:r>
              <w:rPr>
                <w:rFonts w:cs="Times New Roman"/>
              </w:rPr>
              <w:t> </w:t>
            </w:r>
          </w:p>
        </w:tc>
        <w:tc>
          <w:tcPr>
            <w:tcW w:w="1193" w:type="dxa"/>
            <w:tcMar>
              <w:top w:w="0" w:type="dxa"/>
              <w:left w:w="108" w:type="dxa"/>
              <w:bottom w:w="0" w:type="dxa"/>
              <w:right w:w="108" w:type="dxa"/>
            </w:tcMar>
            <w:vAlign w:val="center"/>
          </w:tcPr>
          <w:p w14:paraId="4DEE446A">
            <w:pPr>
              <w:pStyle w:val="71"/>
              <w:spacing w:before="24" w:after="24"/>
              <w:rPr>
                <w:rFonts w:cs="Times New Roman"/>
              </w:rPr>
            </w:pPr>
            <w:r>
              <w:rPr>
                <w:rFonts w:cs="Times New Roman"/>
              </w:rPr>
              <w:t>√</w:t>
            </w:r>
          </w:p>
        </w:tc>
        <w:tc>
          <w:tcPr>
            <w:tcW w:w="1070" w:type="dxa"/>
            <w:tcMar>
              <w:top w:w="0" w:type="dxa"/>
              <w:left w:w="108" w:type="dxa"/>
              <w:bottom w:w="0" w:type="dxa"/>
              <w:right w:w="108" w:type="dxa"/>
            </w:tcMar>
            <w:vAlign w:val="center"/>
          </w:tcPr>
          <w:p w14:paraId="48C36E53">
            <w:pPr>
              <w:pStyle w:val="71"/>
              <w:spacing w:before="24" w:after="24"/>
              <w:rPr>
                <w:rFonts w:cs="Times New Roman"/>
              </w:rPr>
            </w:pPr>
            <w:r>
              <w:rPr>
                <w:rFonts w:cs="Times New Roman"/>
              </w:rPr>
              <w:t>防雷接地系统</w:t>
            </w:r>
          </w:p>
        </w:tc>
        <w:tc>
          <w:tcPr>
            <w:tcW w:w="1267" w:type="dxa"/>
            <w:tcMar>
              <w:top w:w="0" w:type="dxa"/>
              <w:left w:w="108" w:type="dxa"/>
              <w:bottom w:w="0" w:type="dxa"/>
              <w:right w:w="108" w:type="dxa"/>
            </w:tcMar>
            <w:vAlign w:val="center"/>
          </w:tcPr>
          <w:p w14:paraId="0C6C3B80">
            <w:pPr>
              <w:pStyle w:val="71"/>
              <w:spacing w:before="24" w:after="24"/>
              <w:rPr>
                <w:rFonts w:cs="Times New Roman"/>
              </w:rPr>
            </w:pPr>
            <w:r>
              <w:rPr>
                <w:rFonts w:cs="Times New Roman"/>
              </w:rPr>
              <w:t>√</w:t>
            </w:r>
          </w:p>
        </w:tc>
        <w:tc>
          <w:tcPr>
            <w:tcW w:w="1266" w:type="dxa"/>
            <w:tcMar>
              <w:top w:w="0" w:type="dxa"/>
              <w:left w:w="108" w:type="dxa"/>
              <w:bottom w:w="0" w:type="dxa"/>
              <w:right w:w="108" w:type="dxa"/>
            </w:tcMar>
            <w:vAlign w:val="center"/>
          </w:tcPr>
          <w:p w14:paraId="2F334CB5">
            <w:pPr>
              <w:pStyle w:val="71"/>
              <w:spacing w:before="24" w:after="24"/>
              <w:rPr>
                <w:rFonts w:cs="Times New Roman"/>
              </w:rPr>
            </w:pPr>
            <w:r>
              <w:rPr>
                <w:rFonts w:cs="Times New Roman"/>
              </w:rPr>
              <w:t>√</w:t>
            </w:r>
          </w:p>
        </w:tc>
        <w:tc>
          <w:tcPr>
            <w:tcW w:w="1187" w:type="dxa"/>
            <w:tcMar>
              <w:top w:w="0" w:type="dxa"/>
              <w:left w:w="108" w:type="dxa"/>
              <w:bottom w:w="0" w:type="dxa"/>
              <w:right w:w="108" w:type="dxa"/>
            </w:tcMar>
            <w:vAlign w:val="center"/>
          </w:tcPr>
          <w:p w14:paraId="5E127FDD">
            <w:pPr>
              <w:pStyle w:val="71"/>
              <w:spacing w:before="24" w:after="24"/>
              <w:rPr>
                <w:rFonts w:cs="Times New Roman"/>
              </w:rPr>
            </w:pPr>
            <w:r>
              <w:rPr>
                <w:rFonts w:cs="Times New Roman"/>
              </w:rPr>
              <w:t> </w:t>
            </w:r>
          </w:p>
        </w:tc>
      </w:tr>
      <w:tr w14:paraId="28571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1091" w:type="dxa"/>
            <w:tcMar>
              <w:top w:w="0" w:type="dxa"/>
              <w:left w:w="108" w:type="dxa"/>
              <w:bottom w:w="0" w:type="dxa"/>
              <w:right w:w="108" w:type="dxa"/>
            </w:tcMar>
            <w:vAlign w:val="center"/>
          </w:tcPr>
          <w:p w14:paraId="138144EE">
            <w:pPr>
              <w:pStyle w:val="71"/>
              <w:spacing w:before="24" w:after="24"/>
              <w:rPr>
                <w:rFonts w:cs="Times New Roman"/>
              </w:rPr>
            </w:pPr>
            <w:r>
              <w:rPr>
                <w:rFonts w:cs="Times New Roman"/>
              </w:rPr>
              <w:t>给排水系统</w:t>
            </w:r>
          </w:p>
        </w:tc>
        <w:tc>
          <w:tcPr>
            <w:tcW w:w="1317" w:type="dxa"/>
            <w:tcMar>
              <w:top w:w="0" w:type="dxa"/>
              <w:left w:w="108" w:type="dxa"/>
              <w:bottom w:w="0" w:type="dxa"/>
              <w:right w:w="108" w:type="dxa"/>
            </w:tcMar>
            <w:vAlign w:val="center"/>
          </w:tcPr>
          <w:p w14:paraId="613E0CC4">
            <w:pPr>
              <w:pStyle w:val="71"/>
              <w:spacing w:before="24" w:after="24"/>
              <w:rPr>
                <w:rFonts w:cs="Times New Roman"/>
              </w:rPr>
            </w:pPr>
            <w:r>
              <w:rPr>
                <w:rFonts w:cs="Times New Roman"/>
              </w:rPr>
              <w:t>√</w:t>
            </w:r>
          </w:p>
        </w:tc>
        <w:tc>
          <w:tcPr>
            <w:tcW w:w="1193" w:type="dxa"/>
            <w:tcMar>
              <w:top w:w="0" w:type="dxa"/>
              <w:left w:w="108" w:type="dxa"/>
              <w:bottom w:w="0" w:type="dxa"/>
              <w:right w:w="108" w:type="dxa"/>
            </w:tcMar>
            <w:vAlign w:val="center"/>
          </w:tcPr>
          <w:p w14:paraId="247C9EC9">
            <w:pPr>
              <w:pStyle w:val="71"/>
              <w:spacing w:before="24" w:after="24"/>
              <w:rPr>
                <w:rFonts w:cs="Times New Roman"/>
              </w:rPr>
            </w:pPr>
            <w:r>
              <w:rPr>
                <w:rFonts w:cs="Times New Roman"/>
              </w:rPr>
              <w:t> </w:t>
            </w:r>
          </w:p>
        </w:tc>
        <w:tc>
          <w:tcPr>
            <w:tcW w:w="1193" w:type="dxa"/>
            <w:tcMar>
              <w:top w:w="0" w:type="dxa"/>
              <w:left w:w="108" w:type="dxa"/>
              <w:bottom w:w="0" w:type="dxa"/>
              <w:right w:w="108" w:type="dxa"/>
            </w:tcMar>
            <w:vAlign w:val="center"/>
          </w:tcPr>
          <w:p w14:paraId="5BE447DB">
            <w:pPr>
              <w:pStyle w:val="71"/>
              <w:spacing w:before="24" w:after="24"/>
              <w:rPr>
                <w:rFonts w:cs="Times New Roman"/>
              </w:rPr>
            </w:pPr>
            <w:r>
              <w:rPr>
                <w:rFonts w:cs="Times New Roman"/>
              </w:rPr>
              <w:t>√</w:t>
            </w:r>
          </w:p>
        </w:tc>
        <w:tc>
          <w:tcPr>
            <w:tcW w:w="1070" w:type="dxa"/>
            <w:tcMar>
              <w:top w:w="0" w:type="dxa"/>
              <w:left w:w="108" w:type="dxa"/>
              <w:bottom w:w="0" w:type="dxa"/>
              <w:right w:w="108" w:type="dxa"/>
            </w:tcMar>
            <w:vAlign w:val="center"/>
          </w:tcPr>
          <w:p w14:paraId="5FA5774C">
            <w:pPr>
              <w:pStyle w:val="71"/>
              <w:spacing w:before="24" w:after="24"/>
              <w:rPr>
                <w:rFonts w:cs="Times New Roman"/>
              </w:rPr>
            </w:pPr>
            <w:r>
              <w:rPr>
                <w:rFonts w:cs="Times New Roman"/>
              </w:rPr>
              <w:t>钢结构、混凝土结构日常维护</w:t>
            </w:r>
          </w:p>
        </w:tc>
        <w:tc>
          <w:tcPr>
            <w:tcW w:w="1267" w:type="dxa"/>
            <w:tcMar>
              <w:top w:w="0" w:type="dxa"/>
              <w:left w:w="108" w:type="dxa"/>
              <w:bottom w:w="0" w:type="dxa"/>
              <w:right w:w="108" w:type="dxa"/>
            </w:tcMar>
            <w:vAlign w:val="center"/>
          </w:tcPr>
          <w:p w14:paraId="69DE772C">
            <w:pPr>
              <w:pStyle w:val="71"/>
              <w:spacing w:before="24" w:after="24"/>
              <w:rPr>
                <w:rFonts w:cs="Times New Roman"/>
              </w:rPr>
            </w:pPr>
            <w:r>
              <w:rPr>
                <w:rFonts w:cs="Times New Roman"/>
              </w:rPr>
              <w:t>√</w:t>
            </w:r>
          </w:p>
        </w:tc>
        <w:tc>
          <w:tcPr>
            <w:tcW w:w="1266" w:type="dxa"/>
            <w:tcMar>
              <w:top w:w="0" w:type="dxa"/>
              <w:left w:w="108" w:type="dxa"/>
              <w:bottom w:w="0" w:type="dxa"/>
              <w:right w:w="108" w:type="dxa"/>
            </w:tcMar>
            <w:vAlign w:val="center"/>
          </w:tcPr>
          <w:p w14:paraId="168EC7A7">
            <w:pPr>
              <w:pStyle w:val="71"/>
              <w:spacing w:before="24" w:after="24"/>
              <w:rPr>
                <w:rFonts w:cs="Times New Roman"/>
              </w:rPr>
            </w:pPr>
            <w:r>
              <w:rPr>
                <w:rFonts w:cs="Times New Roman"/>
              </w:rPr>
              <w:t>√</w:t>
            </w:r>
          </w:p>
        </w:tc>
        <w:tc>
          <w:tcPr>
            <w:tcW w:w="1187" w:type="dxa"/>
            <w:tcMar>
              <w:top w:w="0" w:type="dxa"/>
              <w:left w:w="108" w:type="dxa"/>
              <w:bottom w:w="0" w:type="dxa"/>
              <w:right w:w="108" w:type="dxa"/>
            </w:tcMar>
            <w:vAlign w:val="center"/>
          </w:tcPr>
          <w:p w14:paraId="7E8DFE06">
            <w:pPr>
              <w:pStyle w:val="71"/>
              <w:spacing w:before="24" w:after="24"/>
              <w:rPr>
                <w:rFonts w:cs="Times New Roman"/>
              </w:rPr>
            </w:pPr>
            <w:r>
              <w:rPr>
                <w:rFonts w:cs="Times New Roman"/>
              </w:rPr>
              <w:t> </w:t>
            </w:r>
          </w:p>
        </w:tc>
      </w:tr>
      <w:tr w14:paraId="0237F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1" w:type="dxa"/>
            <w:tcMar>
              <w:top w:w="0" w:type="dxa"/>
              <w:left w:w="108" w:type="dxa"/>
              <w:bottom w:w="0" w:type="dxa"/>
              <w:right w:w="108" w:type="dxa"/>
            </w:tcMar>
            <w:vAlign w:val="center"/>
          </w:tcPr>
          <w:p w14:paraId="309C9C63">
            <w:pPr>
              <w:pStyle w:val="71"/>
              <w:spacing w:before="24" w:after="24"/>
              <w:rPr>
                <w:rFonts w:cs="Times New Roman"/>
              </w:rPr>
            </w:pPr>
            <w:r>
              <w:rPr>
                <w:rFonts w:cs="Times New Roman"/>
              </w:rPr>
              <w:t>布线系统</w:t>
            </w:r>
          </w:p>
        </w:tc>
        <w:tc>
          <w:tcPr>
            <w:tcW w:w="1317" w:type="dxa"/>
            <w:tcMar>
              <w:top w:w="0" w:type="dxa"/>
              <w:left w:w="108" w:type="dxa"/>
              <w:bottom w:w="0" w:type="dxa"/>
              <w:right w:w="108" w:type="dxa"/>
            </w:tcMar>
            <w:vAlign w:val="center"/>
          </w:tcPr>
          <w:p w14:paraId="032859EF">
            <w:pPr>
              <w:pStyle w:val="71"/>
              <w:spacing w:before="24" w:after="24"/>
              <w:rPr>
                <w:rFonts w:cs="Times New Roman"/>
              </w:rPr>
            </w:pPr>
            <w:r>
              <w:rPr>
                <w:rFonts w:cs="Times New Roman"/>
              </w:rPr>
              <w:t>√</w:t>
            </w:r>
          </w:p>
        </w:tc>
        <w:tc>
          <w:tcPr>
            <w:tcW w:w="1193" w:type="dxa"/>
            <w:tcMar>
              <w:top w:w="0" w:type="dxa"/>
              <w:left w:w="108" w:type="dxa"/>
              <w:bottom w:w="0" w:type="dxa"/>
              <w:right w:w="108" w:type="dxa"/>
            </w:tcMar>
            <w:vAlign w:val="center"/>
          </w:tcPr>
          <w:p w14:paraId="3E0EE2BE">
            <w:pPr>
              <w:pStyle w:val="71"/>
              <w:spacing w:before="24" w:after="24"/>
              <w:rPr>
                <w:rFonts w:cs="Times New Roman"/>
              </w:rPr>
            </w:pPr>
            <w:r>
              <w:rPr>
                <w:rFonts w:cs="Times New Roman"/>
              </w:rPr>
              <w:t> </w:t>
            </w:r>
          </w:p>
        </w:tc>
        <w:tc>
          <w:tcPr>
            <w:tcW w:w="1193" w:type="dxa"/>
            <w:tcMar>
              <w:top w:w="0" w:type="dxa"/>
              <w:left w:w="108" w:type="dxa"/>
              <w:bottom w:w="0" w:type="dxa"/>
              <w:right w:w="108" w:type="dxa"/>
            </w:tcMar>
            <w:vAlign w:val="center"/>
          </w:tcPr>
          <w:p w14:paraId="5C1D605A">
            <w:pPr>
              <w:pStyle w:val="71"/>
              <w:spacing w:before="24" w:after="24"/>
              <w:rPr>
                <w:rFonts w:cs="Times New Roman"/>
              </w:rPr>
            </w:pPr>
            <w:r>
              <w:rPr>
                <w:rFonts w:cs="Times New Roman"/>
              </w:rPr>
              <w:t>√</w:t>
            </w:r>
          </w:p>
        </w:tc>
        <w:tc>
          <w:tcPr>
            <w:tcW w:w="1070" w:type="dxa"/>
            <w:tcMar>
              <w:top w:w="0" w:type="dxa"/>
              <w:left w:w="108" w:type="dxa"/>
              <w:bottom w:w="0" w:type="dxa"/>
              <w:right w:w="108" w:type="dxa"/>
            </w:tcMar>
            <w:vAlign w:val="center"/>
          </w:tcPr>
          <w:p w14:paraId="6E06388E">
            <w:pPr>
              <w:pStyle w:val="71"/>
              <w:spacing w:before="24" w:after="24"/>
              <w:rPr>
                <w:rFonts w:cs="Times New Roman"/>
              </w:rPr>
            </w:pPr>
            <w:r>
              <w:rPr>
                <w:rFonts w:cs="Times New Roman"/>
              </w:rPr>
              <w:t>人防设备安装、功能说明</w:t>
            </w:r>
          </w:p>
        </w:tc>
        <w:tc>
          <w:tcPr>
            <w:tcW w:w="1267" w:type="dxa"/>
            <w:tcMar>
              <w:top w:w="0" w:type="dxa"/>
              <w:left w:w="108" w:type="dxa"/>
              <w:bottom w:w="0" w:type="dxa"/>
              <w:right w:w="108" w:type="dxa"/>
            </w:tcMar>
            <w:vAlign w:val="center"/>
          </w:tcPr>
          <w:p w14:paraId="7FB493F2">
            <w:pPr>
              <w:pStyle w:val="71"/>
              <w:spacing w:before="24" w:after="24"/>
              <w:rPr>
                <w:rFonts w:cs="Times New Roman"/>
              </w:rPr>
            </w:pPr>
            <w:r>
              <w:rPr>
                <w:rFonts w:cs="Times New Roman"/>
              </w:rPr>
              <w:t>√</w:t>
            </w:r>
          </w:p>
        </w:tc>
        <w:tc>
          <w:tcPr>
            <w:tcW w:w="1266" w:type="dxa"/>
            <w:tcMar>
              <w:top w:w="0" w:type="dxa"/>
              <w:left w:w="108" w:type="dxa"/>
              <w:bottom w:w="0" w:type="dxa"/>
              <w:right w:w="108" w:type="dxa"/>
            </w:tcMar>
            <w:vAlign w:val="center"/>
          </w:tcPr>
          <w:p w14:paraId="4D9CAE90">
            <w:pPr>
              <w:pStyle w:val="71"/>
              <w:spacing w:before="24" w:after="24"/>
              <w:rPr>
                <w:rFonts w:cs="Times New Roman"/>
              </w:rPr>
            </w:pPr>
            <w:r>
              <w:rPr>
                <w:rFonts w:cs="Times New Roman"/>
              </w:rPr>
              <w:t>√</w:t>
            </w:r>
          </w:p>
        </w:tc>
        <w:tc>
          <w:tcPr>
            <w:tcW w:w="1187" w:type="dxa"/>
            <w:tcMar>
              <w:top w:w="0" w:type="dxa"/>
              <w:left w:w="108" w:type="dxa"/>
              <w:bottom w:w="0" w:type="dxa"/>
              <w:right w:w="108" w:type="dxa"/>
            </w:tcMar>
            <w:vAlign w:val="center"/>
          </w:tcPr>
          <w:p w14:paraId="0EE1A9B3">
            <w:pPr>
              <w:pStyle w:val="71"/>
              <w:spacing w:before="24" w:after="24"/>
              <w:rPr>
                <w:rFonts w:cs="Times New Roman"/>
              </w:rPr>
            </w:pPr>
            <w:r>
              <w:rPr>
                <w:rFonts w:cs="Times New Roman"/>
              </w:rPr>
              <w:t> </w:t>
            </w:r>
          </w:p>
        </w:tc>
      </w:tr>
      <w:tr w14:paraId="6CE2C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1091" w:type="dxa"/>
            <w:tcMar>
              <w:top w:w="0" w:type="dxa"/>
              <w:left w:w="108" w:type="dxa"/>
              <w:bottom w:w="0" w:type="dxa"/>
              <w:right w:w="108" w:type="dxa"/>
            </w:tcMar>
            <w:vAlign w:val="center"/>
          </w:tcPr>
          <w:p w14:paraId="37A2D668">
            <w:pPr>
              <w:pStyle w:val="71"/>
              <w:spacing w:before="24" w:after="24"/>
              <w:rPr>
                <w:rFonts w:cs="Times New Roman"/>
              </w:rPr>
            </w:pPr>
            <w:r>
              <w:rPr>
                <w:rFonts w:cs="Times New Roman"/>
              </w:rPr>
              <w:t>通信系统</w:t>
            </w:r>
          </w:p>
        </w:tc>
        <w:tc>
          <w:tcPr>
            <w:tcW w:w="1317" w:type="dxa"/>
            <w:tcMar>
              <w:top w:w="0" w:type="dxa"/>
              <w:left w:w="108" w:type="dxa"/>
              <w:bottom w:w="0" w:type="dxa"/>
              <w:right w:w="108" w:type="dxa"/>
            </w:tcMar>
            <w:vAlign w:val="center"/>
          </w:tcPr>
          <w:p w14:paraId="7D08175E">
            <w:pPr>
              <w:pStyle w:val="71"/>
              <w:spacing w:before="24" w:after="24"/>
              <w:rPr>
                <w:rFonts w:cs="Times New Roman"/>
              </w:rPr>
            </w:pPr>
            <w:r>
              <w:rPr>
                <w:rFonts w:cs="Times New Roman"/>
              </w:rPr>
              <w:t>√</w:t>
            </w:r>
          </w:p>
        </w:tc>
        <w:tc>
          <w:tcPr>
            <w:tcW w:w="1193" w:type="dxa"/>
            <w:tcMar>
              <w:top w:w="0" w:type="dxa"/>
              <w:left w:w="108" w:type="dxa"/>
              <w:bottom w:w="0" w:type="dxa"/>
              <w:right w:w="108" w:type="dxa"/>
            </w:tcMar>
            <w:vAlign w:val="center"/>
          </w:tcPr>
          <w:p w14:paraId="3A755BD9">
            <w:pPr>
              <w:pStyle w:val="71"/>
              <w:spacing w:before="24" w:after="24"/>
              <w:rPr>
                <w:rFonts w:cs="Times New Roman"/>
              </w:rPr>
            </w:pPr>
            <w:r>
              <w:rPr>
                <w:rFonts w:cs="Times New Roman"/>
              </w:rPr>
              <w:t> </w:t>
            </w:r>
          </w:p>
        </w:tc>
        <w:tc>
          <w:tcPr>
            <w:tcW w:w="1193" w:type="dxa"/>
            <w:tcMar>
              <w:top w:w="0" w:type="dxa"/>
              <w:left w:w="108" w:type="dxa"/>
              <w:bottom w:w="0" w:type="dxa"/>
              <w:right w:w="108" w:type="dxa"/>
            </w:tcMar>
            <w:vAlign w:val="center"/>
          </w:tcPr>
          <w:p w14:paraId="4351607C">
            <w:pPr>
              <w:pStyle w:val="71"/>
              <w:spacing w:before="24" w:after="24"/>
              <w:rPr>
                <w:rFonts w:cs="Times New Roman"/>
              </w:rPr>
            </w:pPr>
            <w:r>
              <w:rPr>
                <w:rFonts w:cs="Times New Roman"/>
              </w:rPr>
              <w:t>√</w:t>
            </w:r>
          </w:p>
        </w:tc>
        <w:tc>
          <w:tcPr>
            <w:tcW w:w="1070" w:type="dxa"/>
            <w:tcMar>
              <w:top w:w="0" w:type="dxa"/>
              <w:left w:w="108" w:type="dxa"/>
              <w:bottom w:w="0" w:type="dxa"/>
              <w:right w:w="108" w:type="dxa"/>
            </w:tcMar>
            <w:vAlign w:val="center"/>
          </w:tcPr>
          <w:p w14:paraId="23EF47EB">
            <w:pPr>
              <w:pStyle w:val="71"/>
              <w:spacing w:before="24" w:after="24"/>
              <w:rPr>
                <w:rFonts w:cs="Times New Roman"/>
              </w:rPr>
            </w:pPr>
            <w:r>
              <w:rPr>
                <w:rFonts w:cs="Times New Roman"/>
              </w:rPr>
              <w:t>公区门窗使用及维护</w:t>
            </w:r>
          </w:p>
        </w:tc>
        <w:tc>
          <w:tcPr>
            <w:tcW w:w="1267" w:type="dxa"/>
            <w:tcMar>
              <w:top w:w="0" w:type="dxa"/>
              <w:left w:w="108" w:type="dxa"/>
              <w:bottom w:w="0" w:type="dxa"/>
              <w:right w:w="108" w:type="dxa"/>
            </w:tcMar>
            <w:vAlign w:val="center"/>
          </w:tcPr>
          <w:p w14:paraId="2DA6D82A">
            <w:pPr>
              <w:pStyle w:val="71"/>
              <w:spacing w:before="24" w:after="24"/>
              <w:rPr>
                <w:rFonts w:cs="Times New Roman"/>
              </w:rPr>
            </w:pPr>
            <w:r>
              <w:rPr>
                <w:rFonts w:cs="Times New Roman"/>
              </w:rPr>
              <w:t>√</w:t>
            </w:r>
          </w:p>
        </w:tc>
        <w:tc>
          <w:tcPr>
            <w:tcW w:w="1266" w:type="dxa"/>
            <w:tcMar>
              <w:top w:w="0" w:type="dxa"/>
              <w:left w:w="108" w:type="dxa"/>
              <w:bottom w:w="0" w:type="dxa"/>
              <w:right w:w="108" w:type="dxa"/>
            </w:tcMar>
            <w:vAlign w:val="center"/>
          </w:tcPr>
          <w:p w14:paraId="74BF9C45">
            <w:pPr>
              <w:pStyle w:val="71"/>
              <w:spacing w:before="24" w:after="24"/>
              <w:rPr>
                <w:rFonts w:cs="Times New Roman"/>
              </w:rPr>
            </w:pPr>
            <w:r>
              <w:rPr>
                <w:rFonts w:cs="Times New Roman"/>
              </w:rPr>
              <w:t> </w:t>
            </w:r>
          </w:p>
        </w:tc>
        <w:tc>
          <w:tcPr>
            <w:tcW w:w="1187" w:type="dxa"/>
            <w:tcMar>
              <w:top w:w="0" w:type="dxa"/>
              <w:left w:w="108" w:type="dxa"/>
              <w:bottom w:w="0" w:type="dxa"/>
              <w:right w:w="108" w:type="dxa"/>
            </w:tcMar>
            <w:vAlign w:val="center"/>
          </w:tcPr>
          <w:p w14:paraId="75DAFB2C">
            <w:pPr>
              <w:pStyle w:val="71"/>
              <w:spacing w:before="24" w:after="24"/>
              <w:rPr>
                <w:rFonts w:cs="Times New Roman"/>
              </w:rPr>
            </w:pPr>
            <w:r>
              <w:rPr>
                <w:rFonts w:cs="Times New Roman"/>
              </w:rPr>
              <w:t>√</w:t>
            </w:r>
          </w:p>
        </w:tc>
      </w:tr>
      <w:tr w14:paraId="5928F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1" w:type="dxa"/>
            <w:tcMar>
              <w:top w:w="0" w:type="dxa"/>
              <w:left w:w="108" w:type="dxa"/>
              <w:bottom w:w="0" w:type="dxa"/>
              <w:right w:w="108" w:type="dxa"/>
            </w:tcMar>
            <w:vAlign w:val="center"/>
          </w:tcPr>
          <w:p w14:paraId="53FD42CD">
            <w:pPr>
              <w:pStyle w:val="71"/>
              <w:spacing w:before="24" w:after="24"/>
              <w:rPr>
                <w:rFonts w:cs="Times New Roman"/>
              </w:rPr>
            </w:pPr>
            <w:r>
              <w:rPr>
                <w:rFonts w:cs="Times New Roman"/>
              </w:rPr>
              <w:t>公区地砖、饰面清洗、使用维护方法</w:t>
            </w:r>
          </w:p>
        </w:tc>
        <w:tc>
          <w:tcPr>
            <w:tcW w:w="1317" w:type="dxa"/>
            <w:tcMar>
              <w:top w:w="0" w:type="dxa"/>
              <w:left w:w="108" w:type="dxa"/>
              <w:bottom w:w="0" w:type="dxa"/>
              <w:right w:w="108" w:type="dxa"/>
            </w:tcMar>
            <w:vAlign w:val="center"/>
          </w:tcPr>
          <w:p w14:paraId="35F8A7E3">
            <w:pPr>
              <w:pStyle w:val="71"/>
              <w:spacing w:before="24" w:after="24"/>
              <w:rPr>
                <w:rFonts w:cs="Times New Roman"/>
              </w:rPr>
            </w:pPr>
            <w:r>
              <w:rPr>
                <w:rFonts w:cs="Times New Roman"/>
              </w:rPr>
              <w:t>√</w:t>
            </w:r>
          </w:p>
        </w:tc>
        <w:tc>
          <w:tcPr>
            <w:tcW w:w="1193" w:type="dxa"/>
            <w:tcMar>
              <w:top w:w="0" w:type="dxa"/>
              <w:left w:w="108" w:type="dxa"/>
              <w:bottom w:w="0" w:type="dxa"/>
              <w:right w:w="108" w:type="dxa"/>
            </w:tcMar>
            <w:vAlign w:val="center"/>
          </w:tcPr>
          <w:p w14:paraId="1F4D7B25">
            <w:pPr>
              <w:pStyle w:val="71"/>
              <w:spacing w:before="24" w:after="24"/>
              <w:rPr>
                <w:rFonts w:cs="Times New Roman"/>
              </w:rPr>
            </w:pPr>
            <w:r>
              <w:rPr>
                <w:rFonts w:cs="Times New Roman"/>
              </w:rPr>
              <w:t> </w:t>
            </w:r>
          </w:p>
        </w:tc>
        <w:tc>
          <w:tcPr>
            <w:tcW w:w="1193" w:type="dxa"/>
            <w:tcMar>
              <w:top w:w="0" w:type="dxa"/>
              <w:left w:w="108" w:type="dxa"/>
              <w:bottom w:w="0" w:type="dxa"/>
              <w:right w:w="108" w:type="dxa"/>
            </w:tcMar>
            <w:vAlign w:val="center"/>
          </w:tcPr>
          <w:p w14:paraId="7A79FF72">
            <w:pPr>
              <w:pStyle w:val="71"/>
              <w:spacing w:before="24" w:after="24"/>
              <w:rPr>
                <w:rFonts w:cs="Times New Roman"/>
              </w:rPr>
            </w:pPr>
            <w:r>
              <w:rPr>
                <w:rFonts w:cs="Times New Roman"/>
              </w:rPr>
              <w:t>√</w:t>
            </w:r>
          </w:p>
        </w:tc>
        <w:tc>
          <w:tcPr>
            <w:tcW w:w="1070" w:type="dxa"/>
            <w:tcMar>
              <w:top w:w="0" w:type="dxa"/>
              <w:left w:w="108" w:type="dxa"/>
              <w:bottom w:w="0" w:type="dxa"/>
              <w:right w:w="108" w:type="dxa"/>
            </w:tcMar>
            <w:vAlign w:val="center"/>
          </w:tcPr>
          <w:p w14:paraId="3549C3C8">
            <w:pPr>
              <w:pStyle w:val="71"/>
              <w:spacing w:before="24" w:after="24"/>
              <w:rPr>
                <w:rFonts w:cs="Times New Roman"/>
              </w:rPr>
            </w:pPr>
          </w:p>
        </w:tc>
        <w:tc>
          <w:tcPr>
            <w:tcW w:w="1267" w:type="dxa"/>
            <w:tcMar>
              <w:top w:w="0" w:type="dxa"/>
              <w:left w:w="108" w:type="dxa"/>
              <w:bottom w:w="0" w:type="dxa"/>
              <w:right w:w="108" w:type="dxa"/>
            </w:tcMar>
            <w:vAlign w:val="center"/>
          </w:tcPr>
          <w:p w14:paraId="69E8A3CC">
            <w:pPr>
              <w:pStyle w:val="71"/>
              <w:spacing w:before="24" w:after="24"/>
              <w:rPr>
                <w:rFonts w:cs="Times New Roman"/>
              </w:rPr>
            </w:pPr>
          </w:p>
        </w:tc>
        <w:tc>
          <w:tcPr>
            <w:tcW w:w="1266" w:type="dxa"/>
            <w:tcMar>
              <w:top w:w="0" w:type="dxa"/>
              <w:left w:w="108" w:type="dxa"/>
              <w:bottom w:w="0" w:type="dxa"/>
              <w:right w:w="108" w:type="dxa"/>
            </w:tcMar>
            <w:vAlign w:val="center"/>
          </w:tcPr>
          <w:p w14:paraId="1CE0C8A4">
            <w:pPr>
              <w:pStyle w:val="71"/>
              <w:spacing w:before="24" w:after="24"/>
              <w:rPr>
                <w:rFonts w:cs="Times New Roman"/>
              </w:rPr>
            </w:pPr>
          </w:p>
        </w:tc>
        <w:tc>
          <w:tcPr>
            <w:tcW w:w="1187" w:type="dxa"/>
            <w:tcMar>
              <w:top w:w="0" w:type="dxa"/>
              <w:left w:w="108" w:type="dxa"/>
              <w:bottom w:w="0" w:type="dxa"/>
              <w:right w:w="108" w:type="dxa"/>
            </w:tcMar>
            <w:vAlign w:val="center"/>
          </w:tcPr>
          <w:p w14:paraId="767DF4E5">
            <w:pPr>
              <w:pStyle w:val="71"/>
              <w:spacing w:before="24" w:after="24"/>
              <w:rPr>
                <w:rFonts w:cs="Times New Roman"/>
              </w:rPr>
            </w:pPr>
          </w:p>
        </w:tc>
      </w:tr>
    </w:tbl>
    <w:p w14:paraId="1318D857">
      <w:pPr>
        <w:spacing w:before="24" w:after="24"/>
        <w:ind w:firstLine="562" w:firstLineChars="200"/>
        <w:outlineLvl w:val="4"/>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t>8.1.2专属培训</w:t>
      </w:r>
    </w:p>
    <w:p w14:paraId="3B3046B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（1）市政道路工程</w:t>
      </w:r>
    </w:p>
    <w:p w14:paraId="4614B9E9">
      <w:pPr>
        <w:spacing w:before="24" w:after="24" w:line="288" w:lineRule="auto"/>
        <w:jc w:val="center"/>
        <w:rPr>
          <w:rFonts w:ascii="Times New Roman" w:hAnsi="Times New Roman" w:eastAsia="宋体" w:cs="Times New Roman"/>
          <w:bCs/>
          <w:color w:val="181717" w:themeColor="background2" w:themeShade="1A"/>
        </w:rPr>
      </w:pPr>
      <w:r>
        <w:rPr>
          <w:rFonts w:ascii="Times New Roman" w:hAnsi="Times New Roman" w:eastAsia="宋体" w:cs="Times New Roman"/>
          <w:bCs/>
          <w:color w:val="181717" w:themeColor="background2" w:themeShade="1A"/>
        </w:rPr>
        <w:t>竣工培训计划一览表</w:t>
      </w:r>
    </w:p>
    <w:tbl>
      <w:tblPr>
        <w:tblStyle w:val="31"/>
        <w:tblW w:w="9801" w:type="dxa"/>
        <w:tblInd w:w="0" w:type="dxa"/>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Layout w:type="fixed"/>
        <w:tblCellMar>
          <w:top w:w="0" w:type="dxa"/>
          <w:left w:w="108" w:type="dxa"/>
          <w:bottom w:w="0" w:type="dxa"/>
          <w:right w:w="108" w:type="dxa"/>
        </w:tblCellMar>
      </w:tblPr>
      <w:tblGrid>
        <w:gridCol w:w="1091"/>
        <w:gridCol w:w="1317"/>
        <w:gridCol w:w="1193"/>
        <w:gridCol w:w="1193"/>
        <w:gridCol w:w="1287"/>
        <w:gridCol w:w="1267"/>
        <w:gridCol w:w="1266"/>
        <w:gridCol w:w="1187"/>
      </w:tblGrid>
      <w:tr w14:paraId="00CBDA1E">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45" w:hRule="atLeast"/>
        </w:trPr>
        <w:tc>
          <w:tcPr>
            <w:tcW w:w="1091"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42CEFAC">
            <w:pPr>
              <w:spacing w:before="24" w:after="24" w:line="288" w:lineRule="auto"/>
              <w:jc w:val="center"/>
              <w:rPr>
                <w:rFonts w:ascii="Times New Roman" w:hAnsi="Times New Roman" w:cs="Times New Roman"/>
                <w:sz w:val="24"/>
              </w:rPr>
            </w:pPr>
            <w:r>
              <w:rPr>
                <w:rFonts w:ascii="Times New Roman" w:hAnsi="Times New Roman" w:cs="Times New Roman"/>
                <w:sz w:val="24"/>
              </w:rPr>
              <w:t>培训</w:t>
            </w:r>
          </w:p>
          <w:p w14:paraId="6AF34CA8">
            <w:pPr>
              <w:spacing w:before="24" w:after="24" w:line="288" w:lineRule="auto"/>
              <w:jc w:val="center"/>
              <w:rPr>
                <w:rFonts w:ascii="Times New Roman" w:hAnsi="Times New Roman" w:cs="Times New Roman"/>
                <w:sz w:val="24"/>
              </w:rPr>
            </w:pPr>
            <w:r>
              <w:rPr>
                <w:rFonts w:ascii="Times New Roman" w:hAnsi="Times New Roman" w:cs="Times New Roman"/>
                <w:sz w:val="24"/>
              </w:rPr>
              <w:t>内容</w:t>
            </w:r>
          </w:p>
        </w:tc>
        <w:tc>
          <w:tcPr>
            <w:tcW w:w="13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2D0CB8F">
            <w:pPr>
              <w:spacing w:before="24" w:after="24" w:line="288" w:lineRule="auto"/>
              <w:jc w:val="center"/>
              <w:rPr>
                <w:rFonts w:ascii="Times New Roman" w:hAnsi="Times New Roman" w:cs="Times New Roman"/>
                <w:sz w:val="24"/>
              </w:rPr>
            </w:pPr>
            <w:r>
              <w:rPr>
                <w:rFonts w:ascii="Times New Roman" w:hAnsi="Times New Roman" w:cs="Times New Roman"/>
                <w:sz w:val="24"/>
              </w:rPr>
              <w:t>培训组织单位</w:t>
            </w:r>
          </w:p>
        </w:tc>
        <w:tc>
          <w:tcPr>
            <w:tcW w:w="2386"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F1DF09B">
            <w:pPr>
              <w:spacing w:before="24" w:after="24" w:line="288" w:lineRule="auto"/>
              <w:jc w:val="center"/>
              <w:rPr>
                <w:rFonts w:ascii="Times New Roman" w:hAnsi="Times New Roman" w:cs="Times New Roman"/>
                <w:sz w:val="24"/>
              </w:rPr>
            </w:pPr>
            <w:r>
              <w:rPr>
                <w:rFonts w:ascii="Times New Roman" w:hAnsi="Times New Roman" w:cs="Times New Roman"/>
                <w:sz w:val="24"/>
              </w:rPr>
              <w:t>培训实施单位</w:t>
            </w:r>
          </w:p>
        </w:tc>
        <w:tc>
          <w:tcPr>
            <w:tcW w:w="1287"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AA46B55">
            <w:pPr>
              <w:spacing w:before="24" w:after="24" w:line="288" w:lineRule="auto"/>
              <w:jc w:val="center"/>
              <w:rPr>
                <w:rFonts w:ascii="Times New Roman" w:hAnsi="Times New Roman" w:cs="Times New Roman"/>
                <w:sz w:val="24"/>
              </w:rPr>
            </w:pPr>
            <w:r>
              <w:rPr>
                <w:rFonts w:ascii="Times New Roman" w:hAnsi="Times New Roman" w:cs="Times New Roman"/>
                <w:sz w:val="24"/>
              </w:rPr>
              <w:t>培训</w:t>
            </w:r>
          </w:p>
          <w:p w14:paraId="40B693FD">
            <w:pPr>
              <w:spacing w:before="24" w:after="24" w:line="288" w:lineRule="auto"/>
              <w:jc w:val="center"/>
              <w:rPr>
                <w:rFonts w:ascii="Times New Roman" w:hAnsi="Times New Roman" w:cs="Times New Roman"/>
                <w:sz w:val="24"/>
              </w:rPr>
            </w:pPr>
            <w:r>
              <w:rPr>
                <w:rFonts w:ascii="Times New Roman" w:hAnsi="Times New Roman" w:cs="Times New Roman"/>
                <w:sz w:val="24"/>
              </w:rPr>
              <w:t>内容</w:t>
            </w:r>
          </w:p>
        </w:tc>
        <w:tc>
          <w:tcPr>
            <w:tcW w:w="126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7583145">
            <w:pPr>
              <w:spacing w:before="24" w:after="24" w:line="288" w:lineRule="auto"/>
              <w:jc w:val="center"/>
              <w:rPr>
                <w:rFonts w:ascii="Times New Roman" w:hAnsi="Times New Roman" w:cs="Times New Roman"/>
                <w:sz w:val="24"/>
              </w:rPr>
            </w:pPr>
            <w:r>
              <w:rPr>
                <w:rFonts w:ascii="Times New Roman" w:hAnsi="Times New Roman" w:cs="Times New Roman"/>
                <w:sz w:val="24"/>
              </w:rPr>
              <w:t>培训组织</w:t>
            </w:r>
          </w:p>
        </w:tc>
        <w:tc>
          <w:tcPr>
            <w:tcW w:w="2453"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D66EE2C">
            <w:pPr>
              <w:spacing w:before="24" w:after="24" w:line="288" w:lineRule="auto"/>
              <w:jc w:val="center"/>
              <w:rPr>
                <w:rFonts w:ascii="Times New Roman" w:hAnsi="Times New Roman" w:cs="Times New Roman"/>
                <w:sz w:val="24"/>
              </w:rPr>
            </w:pPr>
            <w:r>
              <w:rPr>
                <w:rFonts w:ascii="Times New Roman" w:hAnsi="Times New Roman" w:cs="Times New Roman"/>
                <w:sz w:val="24"/>
              </w:rPr>
              <w:t>培训实施单位</w:t>
            </w:r>
          </w:p>
        </w:tc>
      </w:tr>
      <w:tr w14:paraId="41ACDCBC">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06" w:hRule="atLeast"/>
        </w:trPr>
        <w:tc>
          <w:tcPr>
            <w:tcW w:w="1091" w:type="dxa"/>
            <w:vMerge w:val="continue"/>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77B52FE">
            <w:pPr>
              <w:spacing w:before="24" w:after="24" w:line="288" w:lineRule="auto"/>
              <w:jc w:val="center"/>
              <w:rPr>
                <w:rFonts w:ascii="Times New Roman" w:hAnsi="Times New Roman" w:cs="Times New Roman"/>
                <w:sz w:val="24"/>
              </w:rPr>
            </w:pPr>
          </w:p>
        </w:tc>
        <w:tc>
          <w:tcPr>
            <w:tcW w:w="13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12BA68D">
            <w:pPr>
              <w:spacing w:before="24" w:after="24" w:line="288" w:lineRule="auto"/>
              <w:jc w:val="center"/>
              <w:rPr>
                <w:rFonts w:ascii="Times New Roman" w:hAnsi="Times New Roman" w:cs="Times New Roman"/>
                <w:sz w:val="24"/>
              </w:rPr>
            </w:pPr>
            <w:r>
              <w:rPr>
                <w:rFonts w:ascii="Times New Roman" w:hAnsi="Times New Roman" w:cs="Times New Roman"/>
                <w:sz w:val="24"/>
              </w:rPr>
              <w:t>总包单位</w:t>
            </w:r>
          </w:p>
        </w:tc>
        <w:tc>
          <w:tcPr>
            <w:tcW w:w="11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2A1511E">
            <w:pPr>
              <w:spacing w:before="24" w:after="24" w:line="288" w:lineRule="auto"/>
              <w:jc w:val="center"/>
              <w:rPr>
                <w:rFonts w:ascii="Times New Roman" w:hAnsi="Times New Roman" w:cs="Times New Roman"/>
                <w:sz w:val="24"/>
              </w:rPr>
            </w:pPr>
            <w:r>
              <w:rPr>
                <w:rFonts w:ascii="Times New Roman" w:hAnsi="Times New Roman" w:cs="Times New Roman"/>
                <w:sz w:val="24"/>
              </w:rPr>
              <w:t>总包单位</w:t>
            </w:r>
          </w:p>
        </w:tc>
        <w:tc>
          <w:tcPr>
            <w:tcW w:w="11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1B1BE9F">
            <w:pPr>
              <w:spacing w:before="24" w:after="24" w:line="288" w:lineRule="auto"/>
              <w:jc w:val="center"/>
              <w:rPr>
                <w:rFonts w:ascii="Times New Roman" w:hAnsi="Times New Roman" w:cs="Times New Roman"/>
                <w:sz w:val="24"/>
              </w:rPr>
            </w:pPr>
            <w:r>
              <w:rPr>
                <w:rFonts w:ascii="Times New Roman" w:hAnsi="Times New Roman" w:cs="Times New Roman"/>
                <w:sz w:val="24"/>
              </w:rPr>
              <w:t>分包单位</w:t>
            </w:r>
          </w:p>
        </w:tc>
        <w:tc>
          <w:tcPr>
            <w:tcW w:w="1287" w:type="dxa"/>
            <w:vMerge w:val="continue"/>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AEAA19E">
            <w:pPr>
              <w:spacing w:before="24" w:after="24" w:line="288" w:lineRule="auto"/>
              <w:jc w:val="center"/>
              <w:rPr>
                <w:rFonts w:ascii="Times New Roman" w:hAnsi="Times New Roman" w:cs="Times New Roman"/>
                <w:sz w:val="24"/>
              </w:rPr>
            </w:pPr>
          </w:p>
        </w:tc>
        <w:tc>
          <w:tcPr>
            <w:tcW w:w="126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6470BA7">
            <w:pPr>
              <w:spacing w:before="24" w:after="24" w:line="288" w:lineRule="auto"/>
              <w:jc w:val="center"/>
              <w:rPr>
                <w:rFonts w:ascii="Times New Roman" w:hAnsi="Times New Roman" w:cs="Times New Roman"/>
                <w:sz w:val="24"/>
              </w:rPr>
            </w:pPr>
            <w:r>
              <w:rPr>
                <w:rFonts w:ascii="Times New Roman" w:hAnsi="Times New Roman" w:cs="Times New Roman"/>
                <w:sz w:val="24"/>
              </w:rPr>
              <w:t>总包单位</w:t>
            </w:r>
          </w:p>
        </w:tc>
        <w:tc>
          <w:tcPr>
            <w:tcW w:w="126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E96FD08">
            <w:pPr>
              <w:spacing w:before="24" w:after="24" w:line="288" w:lineRule="auto"/>
              <w:jc w:val="center"/>
              <w:rPr>
                <w:rFonts w:ascii="Times New Roman" w:hAnsi="Times New Roman" w:cs="Times New Roman"/>
                <w:sz w:val="24"/>
              </w:rPr>
            </w:pPr>
            <w:r>
              <w:rPr>
                <w:rFonts w:ascii="Times New Roman" w:hAnsi="Times New Roman" w:cs="Times New Roman"/>
                <w:sz w:val="24"/>
              </w:rPr>
              <w:t>总包单位</w:t>
            </w:r>
          </w:p>
        </w:tc>
        <w:tc>
          <w:tcPr>
            <w:tcW w:w="118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175DD05">
            <w:pPr>
              <w:spacing w:before="24" w:after="24" w:line="288" w:lineRule="auto"/>
              <w:jc w:val="center"/>
              <w:rPr>
                <w:rFonts w:ascii="Times New Roman" w:hAnsi="Times New Roman" w:cs="Times New Roman"/>
                <w:sz w:val="24"/>
              </w:rPr>
            </w:pPr>
            <w:r>
              <w:rPr>
                <w:rFonts w:ascii="Times New Roman" w:hAnsi="Times New Roman" w:cs="Times New Roman"/>
                <w:sz w:val="24"/>
              </w:rPr>
              <w:t>分包单位</w:t>
            </w:r>
          </w:p>
        </w:tc>
      </w:tr>
      <w:tr w14:paraId="550D7AEE">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9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F9D02EC">
            <w:pPr>
              <w:spacing w:before="24" w:after="24" w:line="288" w:lineRule="auto"/>
              <w:jc w:val="center"/>
              <w:rPr>
                <w:rFonts w:ascii="Times New Roman" w:hAnsi="Times New Roman" w:cs="Times New Roman"/>
                <w:sz w:val="24"/>
              </w:rPr>
            </w:pPr>
            <w:r>
              <w:rPr>
                <w:rFonts w:ascii="Times New Roman" w:hAnsi="Times New Roman" w:cs="Times New Roman"/>
                <w:sz w:val="24"/>
              </w:rPr>
              <w:t>路面、桥涵及人行道日常维护</w:t>
            </w:r>
          </w:p>
        </w:tc>
        <w:tc>
          <w:tcPr>
            <w:tcW w:w="13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585DD6A">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11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B8C28DD">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11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B087BB4">
            <w:pPr>
              <w:spacing w:before="24" w:after="24" w:line="288" w:lineRule="auto"/>
              <w:jc w:val="center"/>
              <w:rPr>
                <w:rFonts w:ascii="Times New Roman" w:hAnsi="Times New Roman" w:cs="Times New Roman"/>
                <w:sz w:val="24"/>
              </w:rPr>
            </w:pPr>
            <w:r>
              <w:rPr>
                <w:rFonts w:ascii="Times New Roman" w:hAnsi="Times New Roman" w:cs="Times New Roman"/>
                <w:sz w:val="24"/>
              </w:rPr>
              <w:t> </w:t>
            </w:r>
          </w:p>
        </w:tc>
        <w:tc>
          <w:tcPr>
            <w:tcW w:w="128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F7E84EC">
            <w:pPr>
              <w:spacing w:before="24" w:after="24" w:line="288" w:lineRule="auto"/>
              <w:jc w:val="center"/>
              <w:rPr>
                <w:rFonts w:ascii="Times New Roman" w:hAnsi="Times New Roman" w:cs="Times New Roman"/>
                <w:sz w:val="24"/>
              </w:rPr>
            </w:pPr>
            <w:r>
              <w:rPr>
                <w:rFonts w:ascii="Times New Roman" w:hAnsi="Times New Roman" w:cs="Times New Roman"/>
                <w:sz w:val="24"/>
              </w:rPr>
              <w:t>道路照明系统日常维护</w:t>
            </w:r>
          </w:p>
        </w:tc>
        <w:tc>
          <w:tcPr>
            <w:tcW w:w="126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3BE5E73">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126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93A406A">
            <w:pPr>
              <w:spacing w:before="24" w:after="24" w:line="288" w:lineRule="auto"/>
              <w:jc w:val="center"/>
              <w:rPr>
                <w:rFonts w:ascii="Times New Roman" w:hAnsi="Times New Roman" w:cs="Times New Roman"/>
                <w:sz w:val="24"/>
              </w:rPr>
            </w:pPr>
            <w:r>
              <w:rPr>
                <w:rFonts w:ascii="Times New Roman" w:hAnsi="Times New Roman" w:cs="Times New Roman"/>
                <w:sz w:val="24"/>
              </w:rPr>
              <w:t> </w:t>
            </w:r>
          </w:p>
        </w:tc>
        <w:tc>
          <w:tcPr>
            <w:tcW w:w="118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AC5E5CB">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r>
      <w:tr w14:paraId="505CDF15">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c>
          <w:tcPr>
            <w:tcW w:w="109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131E2AB">
            <w:pPr>
              <w:spacing w:before="24" w:after="24" w:line="288" w:lineRule="auto"/>
              <w:jc w:val="center"/>
              <w:rPr>
                <w:rFonts w:ascii="Times New Roman" w:hAnsi="Times New Roman" w:cs="Times New Roman"/>
                <w:sz w:val="24"/>
              </w:rPr>
            </w:pPr>
            <w:r>
              <w:rPr>
                <w:rFonts w:ascii="Times New Roman" w:hAnsi="Times New Roman" w:cs="Times New Roman"/>
                <w:sz w:val="24"/>
              </w:rPr>
              <w:t>道路绿化带日常养护</w:t>
            </w:r>
          </w:p>
        </w:tc>
        <w:tc>
          <w:tcPr>
            <w:tcW w:w="13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1D1644E">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11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901E84C">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11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939501A">
            <w:pPr>
              <w:spacing w:before="24" w:after="24" w:line="288" w:lineRule="auto"/>
              <w:jc w:val="center"/>
              <w:rPr>
                <w:rFonts w:ascii="Times New Roman" w:hAnsi="Times New Roman" w:cs="Times New Roman"/>
                <w:sz w:val="24"/>
              </w:rPr>
            </w:pPr>
          </w:p>
        </w:tc>
        <w:tc>
          <w:tcPr>
            <w:tcW w:w="128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6C2BA88">
            <w:pPr>
              <w:spacing w:before="24" w:after="24" w:line="288" w:lineRule="auto"/>
              <w:jc w:val="center"/>
              <w:rPr>
                <w:rFonts w:ascii="Times New Roman" w:hAnsi="Times New Roman" w:cs="Times New Roman"/>
                <w:sz w:val="24"/>
              </w:rPr>
            </w:pPr>
          </w:p>
        </w:tc>
        <w:tc>
          <w:tcPr>
            <w:tcW w:w="126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77AB904">
            <w:pPr>
              <w:spacing w:before="24" w:after="24" w:line="288" w:lineRule="auto"/>
              <w:jc w:val="center"/>
              <w:rPr>
                <w:rFonts w:ascii="Times New Roman" w:hAnsi="Times New Roman" w:cs="Times New Roman"/>
                <w:sz w:val="24"/>
              </w:rPr>
            </w:pPr>
          </w:p>
        </w:tc>
        <w:tc>
          <w:tcPr>
            <w:tcW w:w="126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A189E7A">
            <w:pPr>
              <w:spacing w:before="24" w:after="24" w:line="288" w:lineRule="auto"/>
              <w:jc w:val="center"/>
              <w:rPr>
                <w:rFonts w:ascii="Times New Roman" w:hAnsi="Times New Roman" w:cs="Times New Roman"/>
                <w:sz w:val="24"/>
              </w:rPr>
            </w:pPr>
          </w:p>
        </w:tc>
        <w:tc>
          <w:tcPr>
            <w:tcW w:w="118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D8487DC">
            <w:pPr>
              <w:spacing w:before="24" w:after="24" w:line="288" w:lineRule="auto"/>
              <w:jc w:val="center"/>
              <w:rPr>
                <w:rFonts w:ascii="Times New Roman" w:hAnsi="Times New Roman" w:cs="Times New Roman"/>
                <w:sz w:val="24"/>
              </w:rPr>
            </w:pPr>
          </w:p>
        </w:tc>
      </w:tr>
    </w:tbl>
    <w:p w14:paraId="15E7128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（2）市政公共服务</w:t>
      </w:r>
    </w:p>
    <w:p w14:paraId="5CBDAB9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对于滨江步行绿道、城市公园、城市广场公共服务工程，竣工培训计划为：</w:t>
      </w:r>
    </w:p>
    <w:p w14:paraId="736C99B1">
      <w:pPr>
        <w:spacing w:before="24" w:after="24"/>
        <w:ind w:firstLine="560" w:firstLineChars="200"/>
        <w:jc w:val="center"/>
        <w:rPr>
          <w:rFonts w:ascii="Times New Roman" w:hAnsi="Times New Roman" w:cs="Times New Roman"/>
          <w:bCs/>
          <w:color w:val="181717" w:themeColor="background2" w:themeShade="1A"/>
        </w:rPr>
      </w:pPr>
      <w:r>
        <w:rPr>
          <w:rFonts w:ascii="Times New Roman" w:hAnsi="Times New Roman" w:cs="Times New Roman"/>
          <w:bCs/>
          <w:color w:val="181717" w:themeColor="background2" w:themeShade="1A"/>
        </w:rPr>
        <w:t>竣工培训计划一览表</w:t>
      </w:r>
    </w:p>
    <w:tbl>
      <w:tblPr>
        <w:tblStyle w:val="31"/>
        <w:tblW w:w="9801" w:type="dxa"/>
        <w:tblInd w:w="0" w:type="dxa"/>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Layout w:type="fixed"/>
        <w:tblCellMar>
          <w:top w:w="0" w:type="dxa"/>
          <w:left w:w="108" w:type="dxa"/>
          <w:bottom w:w="0" w:type="dxa"/>
          <w:right w:w="108" w:type="dxa"/>
        </w:tblCellMar>
      </w:tblPr>
      <w:tblGrid>
        <w:gridCol w:w="1091"/>
        <w:gridCol w:w="1317"/>
        <w:gridCol w:w="1193"/>
        <w:gridCol w:w="1193"/>
        <w:gridCol w:w="1287"/>
        <w:gridCol w:w="1267"/>
        <w:gridCol w:w="1266"/>
        <w:gridCol w:w="1187"/>
      </w:tblGrid>
      <w:tr w14:paraId="245021AE">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45" w:hRule="atLeast"/>
        </w:trPr>
        <w:tc>
          <w:tcPr>
            <w:tcW w:w="1091"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8511356">
            <w:pPr>
              <w:spacing w:before="24" w:after="24" w:line="288" w:lineRule="auto"/>
              <w:jc w:val="center"/>
              <w:rPr>
                <w:rFonts w:ascii="Times New Roman" w:hAnsi="Times New Roman" w:cs="Times New Roman"/>
                <w:sz w:val="24"/>
              </w:rPr>
            </w:pPr>
            <w:r>
              <w:rPr>
                <w:rFonts w:ascii="Times New Roman" w:hAnsi="Times New Roman" w:cs="Times New Roman"/>
                <w:sz w:val="24"/>
              </w:rPr>
              <w:t>培训</w:t>
            </w:r>
          </w:p>
          <w:p w14:paraId="495FA3C8">
            <w:pPr>
              <w:spacing w:before="24" w:after="24" w:line="288" w:lineRule="auto"/>
              <w:jc w:val="center"/>
              <w:rPr>
                <w:rFonts w:ascii="Times New Roman" w:hAnsi="Times New Roman" w:cs="Times New Roman"/>
                <w:sz w:val="24"/>
              </w:rPr>
            </w:pPr>
            <w:r>
              <w:rPr>
                <w:rFonts w:ascii="Times New Roman" w:hAnsi="Times New Roman" w:cs="Times New Roman"/>
                <w:sz w:val="24"/>
              </w:rPr>
              <w:t>内容</w:t>
            </w:r>
          </w:p>
        </w:tc>
        <w:tc>
          <w:tcPr>
            <w:tcW w:w="13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51B0BD1">
            <w:pPr>
              <w:spacing w:before="24" w:after="24" w:line="288" w:lineRule="auto"/>
              <w:jc w:val="center"/>
              <w:rPr>
                <w:rFonts w:ascii="Times New Roman" w:hAnsi="Times New Roman" w:cs="Times New Roman"/>
                <w:sz w:val="24"/>
              </w:rPr>
            </w:pPr>
            <w:r>
              <w:rPr>
                <w:rFonts w:ascii="Times New Roman" w:hAnsi="Times New Roman" w:cs="Times New Roman"/>
                <w:sz w:val="24"/>
              </w:rPr>
              <w:t>培训组织单位</w:t>
            </w:r>
          </w:p>
        </w:tc>
        <w:tc>
          <w:tcPr>
            <w:tcW w:w="2386"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9A13ACD">
            <w:pPr>
              <w:spacing w:before="24" w:after="24" w:line="288" w:lineRule="auto"/>
              <w:jc w:val="center"/>
              <w:rPr>
                <w:rFonts w:ascii="Times New Roman" w:hAnsi="Times New Roman" w:cs="Times New Roman"/>
                <w:sz w:val="24"/>
              </w:rPr>
            </w:pPr>
            <w:r>
              <w:rPr>
                <w:rFonts w:ascii="Times New Roman" w:hAnsi="Times New Roman" w:cs="Times New Roman"/>
                <w:sz w:val="24"/>
              </w:rPr>
              <w:t>培训实施单位</w:t>
            </w:r>
          </w:p>
        </w:tc>
        <w:tc>
          <w:tcPr>
            <w:tcW w:w="1287"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9599747">
            <w:pPr>
              <w:spacing w:before="24" w:after="24" w:line="288" w:lineRule="auto"/>
              <w:jc w:val="center"/>
              <w:rPr>
                <w:rFonts w:ascii="Times New Roman" w:hAnsi="Times New Roman" w:cs="Times New Roman"/>
                <w:sz w:val="24"/>
              </w:rPr>
            </w:pPr>
            <w:r>
              <w:rPr>
                <w:rFonts w:ascii="Times New Roman" w:hAnsi="Times New Roman" w:cs="Times New Roman"/>
                <w:sz w:val="24"/>
              </w:rPr>
              <w:t>培训</w:t>
            </w:r>
          </w:p>
          <w:p w14:paraId="6D0D393C">
            <w:pPr>
              <w:spacing w:before="24" w:after="24" w:line="288" w:lineRule="auto"/>
              <w:jc w:val="center"/>
              <w:rPr>
                <w:rFonts w:ascii="Times New Roman" w:hAnsi="Times New Roman" w:cs="Times New Roman"/>
                <w:sz w:val="24"/>
              </w:rPr>
            </w:pPr>
            <w:r>
              <w:rPr>
                <w:rFonts w:ascii="Times New Roman" w:hAnsi="Times New Roman" w:cs="Times New Roman"/>
                <w:sz w:val="24"/>
              </w:rPr>
              <w:t>内容</w:t>
            </w:r>
          </w:p>
        </w:tc>
        <w:tc>
          <w:tcPr>
            <w:tcW w:w="126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F59A6B6">
            <w:pPr>
              <w:spacing w:before="24" w:after="24" w:line="288" w:lineRule="auto"/>
              <w:jc w:val="center"/>
              <w:rPr>
                <w:rFonts w:ascii="Times New Roman" w:hAnsi="Times New Roman" w:cs="Times New Roman"/>
                <w:sz w:val="24"/>
              </w:rPr>
            </w:pPr>
            <w:r>
              <w:rPr>
                <w:rFonts w:ascii="Times New Roman" w:hAnsi="Times New Roman" w:cs="Times New Roman"/>
                <w:sz w:val="24"/>
              </w:rPr>
              <w:t>培训组织</w:t>
            </w:r>
          </w:p>
        </w:tc>
        <w:tc>
          <w:tcPr>
            <w:tcW w:w="2453"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D5D6DF5">
            <w:pPr>
              <w:spacing w:before="24" w:after="24" w:line="288" w:lineRule="auto"/>
              <w:jc w:val="center"/>
              <w:rPr>
                <w:rFonts w:ascii="Times New Roman" w:hAnsi="Times New Roman" w:cs="Times New Roman"/>
                <w:sz w:val="24"/>
              </w:rPr>
            </w:pPr>
            <w:r>
              <w:rPr>
                <w:rFonts w:ascii="Times New Roman" w:hAnsi="Times New Roman" w:cs="Times New Roman"/>
                <w:sz w:val="24"/>
              </w:rPr>
              <w:t>培训实施单位</w:t>
            </w:r>
          </w:p>
        </w:tc>
      </w:tr>
      <w:tr w14:paraId="03CCF354">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06" w:hRule="atLeast"/>
        </w:trPr>
        <w:tc>
          <w:tcPr>
            <w:tcW w:w="1091" w:type="dxa"/>
            <w:vMerge w:val="continue"/>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128C33D">
            <w:pPr>
              <w:spacing w:before="24" w:after="24" w:line="288" w:lineRule="auto"/>
              <w:jc w:val="center"/>
              <w:rPr>
                <w:rFonts w:ascii="Times New Roman" w:hAnsi="Times New Roman" w:cs="Times New Roman"/>
                <w:sz w:val="24"/>
              </w:rPr>
            </w:pPr>
          </w:p>
        </w:tc>
        <w:tc>
          <w:tcPr>
            <w:tcW w:w="13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3D6C964">
            <w:pPr>
              <w:spacing w:before="24" w:after="24" w:line="288" w:lineRule="auto"/>
              <w:jc w:val="center"/>
              <w:rPr>
                <w:rFonts w:ascii="Times New Roman" w:hAnsi="Times New Roman" w:cs="Times New Roman"/>
                <w:sz w:val="24"/>
              </w:rPr>
            </w:pPr>
            <w:r>
              <w:rPr>
                <w:rFonts w:ascii="Times New Roman" w:hAnsi="Times New Roman" w:cs="Times New Roman"/>
                <w:sz w:val="24"/>
              </w:rPr>
              <w:t>总包单位</w:t>
            </w:r>
          </w:p>
        </w:tc>
        <w:tc>
          <w:tcPr>
            <w:tcW w:w="11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1F8A6B7">
            <w:pPr>
              <w:spacing w:before="24" w:after="24" w:line="288" w:lineRule="auto"/>
              <w:jc w:val="center"/>
              <w:rPr>
                <w:rFonts w:ascii="Times New Roman" w:hAnsi="Times New Roman" w:cs="Times New Roman"/>
                <w:sz w:val="24"/>
              </w:rPr>
            </w:pPr>
            <w:r>
              <w:rPr>
                <w:rFonts w:ascii="Times New Roman" w:hAnsi="Times New Roman" w:cs="Times New Roman"/>
                <w:sz w:val="24"/>
              </w:rPr>
              <w:t>总包单位</w:t>
            </w:r>
          </w:p>
        </w:tc>
        <w:tc>
          <w:tcPr>
            <w:tcW w:w="11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B20ACD3">
            <w:pPr>
              <w:spacing w:before="24" w:after="24" w:line="288" w:lineRule="auto"/>
              <w:jc w:val="center"/>
              <w:rPr>
                <w:rFonts w:ascii="Times New Roman" w:hAnsi="Times New Roman" w:cs="Times New Roman"/>
                <w:sz w:val="24"/>
              </w:rPr>
            </w:pPr>
            <w:r>
              <w:rPr>
                <w:rFonts w:ascii="Times New Roman" w:hAnsi="Times New Roman" w:cs="Times New Roman"/>
                <w:sz w:val="24"/>
              </w:rPr>
              <w:t>分包单位</w:t>
            </w:r>
          </w:p>
        </w:tc>
        <w:tc>
          <w:tcPr>
            <w:tcW w:w="1287" w:type="dxa"/>
            <w:vMerge w:val="continue"/>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F92D52C">
            <w:pPr>
              <w:spacing w:before="24" w:after="24" w:line="288" w:lineRule="auto"/>
              <w:jc w:val="center"/>
              <w:rPr>
                <w:rFonts w:ascii="Times New Roman" w:hAnsi="Times New Roman" w:cs="Times New Roman"/>
                <w:sz w:val="24"/>
              </w:rPr>
            </w:pPr>
          </w:p>
        </w:tc>
        <w:tc>
          <w:tcPr>
            <w:tcW w:w="126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F08CD81">
            <w:pPr>
              <w:spacing w:before="24" w:after="24" w:line="288" w:lineRule="auto"/>
              <w:jc w:val="center"/>
              <w:rPr>
                <w:rFonts w:ascii="Times New Roman" w:hAnsi="Times New Roman" w:cs="Times New Roman"/>
                <w:sz w:val="24"/>
              </w:rPr>
            </w:pPr>
            <w:r>
              <w:rPr>
                <w:rFonts w:ascii="Times New Roman" w:hAnsi="Times New Roman" w:cs="Times New Roman"/>
                <w:sz w:val="24"/>
              </w:rPr>
              <w:t>总包单位</w:t>
            </w:r>
          </w:p>
        </w:tc>
        <w:tc>
          <w:tcPr>
            <w:tcW w:w="126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FC0A382">
            <w:pPr>
              <w:spacing w:before="24" w:after="24" w:line="288" w:lineRule="auto"/>
              <w:jc w:val="center"/>
              <w:rPr>
                <w:rFonts w:ascii="Times New Roman" w:hAnsi="Times New Roman" w:cs="Times New Roman"/>
                <w:sz w:val="24"/>
              </w:rPr>
            </w:pPr>
            <w:r>
              <w:rPr>
                <w:rFonts w:ascii="Times New Roman" w:hAnsi="Times New Roman" w:cs="Times New Roman"/>
                <w:sz w:val="24"/>
              </w:rPr>
              <w:t>总包单位</w:t>
            </w:r>
          </w:p>
        </w:tc>
        <w:tc>
          <w:tcPr>
            <w:tcW w:w="118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C4D7D4E">
            <w:pPr>
              <w:spacing w:before="24" w:after="24" w:line="288" w:lineRule="auto"/>
              <w:jc w:val="center"/>
              <w:rPr>
                <w:rFonts w:ascii="Times New Roman" w:hAnsi="Times New Roman" w:cs="Times New Roman"/>
                <w:sz w:val="24"/>
              </w:rPr>
            </w:pPr>
            <w:r>
              <w:rPr>
                <w:rFonts w:ascii="Times New Roman" w:hAnsi="Times New Roman" w:cs="Times New Roman"/>
                <w:sz w:val="24"/>
              </w:rPr>
              <w:t>分包单位</w:t>
            </w:r>
          </w:p>
        </w:tc>
      </w:tr>
      <w:tr w14:paraId="52A5714E">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9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89F96C2">
            <w:pPr>
              <w:spacing w:before="24" w:after="24" w:line="288" w:lineRule="auto"/>
              <w:jc w:val="center"/>
              <w:rPr>
                <w:rFonts w:ascii="Times New Roman" w:hAnsi="Times New Roman" w:cs="Times New Roman"/>
                <w:sz w:val="24"/>
              </w:rPr>
            </w:pPr>
            <w:r>
              <w:rPr>
                <w:rFonts w:ascii="Times New Roman" w:hAnsi="Times New Roman" w:cs="Times New Roman"/>
                <w:sz w:val="24"/>
              </w:rPr>
              <w:t>步道</w:t>
            </w:r>
          </w:p>
          <w:p w14:paraId="4D6787FD">
            <w:pPr>
              <w:spacing w:before="24" w:after="24" w:line="288" w:lineRule="auto"/>
              <w:jc w:val="center"/>
              <w:rPr>
                <w:rFonts w:ascii="Times New Roman" w:hAnsi="Times New Roman" w:cs="Times New Roman"/>
                <w:sz w:val="24"/>
              </w:rPr>
            </w:pPr>
            <w:r>
              <w:rPr>
                <w:rFonts w:ascii="Times New Roman" w:hAnsi="Times New Roman" w:cs="Times New Roman"/>
                <w:sz w:val="24"/>
              </w:rPr>
              <w:t>维护</w:t>
            </w:r>
          </w:p>
        </w:tc>
        <w:tc>
          <w:tcPr>
            <w:tcW w:w="13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7D8C3E3">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11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1DFA02C">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11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B10A77B">
            <w:pPr>
              <w:spacing w:before="24" w:after="24" w:line="288" w:lineRule="auto"/>
              <w:jc w:val="center"/>
              <w:rPr>
                <w:rFonts w:ascii="Times New Roman" w:hAnsi="Times New Roman" w:cs="Times New Roman"/>
                <w:sz w:val="24"/>
              </w:rPr>
            </w:pPr>
          </w:p>
        </w:tc>
        <w:tc>
          <w:tcPr>
            <w:tcW w:w="128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8F5D7F3">
            <w:pPr>
              <w:spacing w:before="24" w:after="24" w:line="288" w:lineRule="auto"/>
              <w:jc w:val="center"/>
              <w:rPr>
                <w:rFonts w:ascii="Times New Roman" w:hAnsi="Times New Roman" w:cs="Times New Roman"/>
                <w:sz w:val="24"/>
              </w:rPr>
            </w:pPr>
            <w:r>
              <w:rPr>
                <w:rFonts w:ascii="Times New Roman" w:hAnsi="Times New Roman" w:cs="Times New Roman"/>
                <w:sz w:val="24"/>
              </w:rPr>
              <w:t>小公共服务设施维护</w:t>
            </w:r>
          </w:p>
        </w:tc>
        <w:tc>
          <w:tcPr>
            <w:tcW w:w="126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A6A5CF1">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126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D7C7751">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118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AFA6299">
            <w:pPr>
              <w:spacing w:before="24" w:after="24" w:line="288" w:lineRule="auto"/>
              <w:jc w:val="center"/>
              <w:rPr>
                <w:rFonts w:ascii="Times New Roman" w:hAnsi="Times New Roman" w:cs="Times New Roman"/>
                <w:sz w:val="24"/>
              </w:rPr>
            </w:pPr>
          </w:p>
        </w:tc>
      </w:tr>
      <w:tr w14:paraId="27A6C517">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9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FF8A27E">
            <w:pPr>
              <w:spacing w:before="24" w:after="24" w:line="288" w:lineRule="auto"/>
              <w:jc w:val="center"/>
              <w:rPr>
                <w:rFonts w:ascii="Times New Roman" w:hAnsi="Times New Roman" w:cs="Times New Roman"/>
                <w:sz w:val="24"/>
              </w:rPr>
            </w:pPr>
            <w:r>
              <w:rPr>
                <w:rFonts w:ascii="Times New Roman" w:hAnsi="Times New Roman" w:cs="Times New Roman"/>
                <w:sz w:val="24"/>
              </w:rPr>
              <w:t>硬质铺装养护</w:t>
            </w:r>
          </w:p>
        </w:tc>
        <w:tc>
          <w:tcPr>
            <w:tcW w:w="13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07E777D">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11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EBAEDB2">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11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43DA619">
            <w:pPr>
              <w:spacing w:before="24" w:after="24" w:line="288" w:lineRule="auto"/>
              <w:jc w:val="center"/>
              <w:rPr>
                <w:rFonts w:ascii="Times New Roman" w:hAnsi="Times New Roman" w:cs="Times New Roman"/>
                <w:sz w:val="24"/>
              </w:rPr>
            </w:pPr>
            <w:r>
              <w:rPr>
                <w:rFonts w:ascii="Times New Roman" w:hAnsi="Times New Roman" w:cs="Times New Roman"/>
                <w:sz w:val="24"/>
              </w:rPr>
              <w:t> </w:t>
            </w:r>
          </w:p>
        </w:tc>
        <w:tc>
          <w:tcPr>
            <w:tcW w:w="128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C19DE27">
            <w:pPr>
              <w:spacing w:before="24" w:after="24" w:line="288" w:lineRule="auto"/>
              <w:jc w:val="center"/>
              <w:rPr>
                <w:rFonts w:ascii="Times New Roman" w:hAnsi="Times New Roman" w:cs="Times New Roman"/>
                <w:sz w:val="24"/>
              </w:rPr>
            </w:pPr>
            <w:r>
              <w:rPr>
                <w:rFonts w:ascii="Times New Roman" w:hAnsi="Times New Roman" w:cs="Times New Roman"/>
                <w:sz w:val="24"/>
              </w:rPr>
              <w:t>照明系统日常维护</w:t>
            </w:r>
          </w:p>
        </w:tc>
        <w:tc>
          <w:tcPr>
            <w:tcW w:w="126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76C6C8A">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126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58CB309">
            <w:pPr>
              <w:spacing w:before="24" w:after="24" w:line="288" w:lineRule="auto"/>
              <w:jc w:val="center"/>
              <w:rPr>
                <w:rFonts w:ascii="Times New Roman" w:hAnsi="Times New Roman" w:cs="Times New Roman"/>
                <w:sz w:val="24"/>
              </w:rPr>
            </w:pPr>
            <w:r>
              <w:rPr>
                <w:rFonts w:ascii="Times New Roman" w:hAnsi="Times New Roman" w:cs="Times New Roman"/>
                <w:sz w:val="24"/>
              </w:rPr>
              <w:t> </w:t>
            </w:r>
          </w:p>
        </w:tc>
        <w:tc>
          <w:tcPr>
            <w:tcW w:w="118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1BD565C">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r>
      <w:tr w14:paraId="0A93EF36">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c>
          <w:tcPr>
            <w:tcW w:w="109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3E3C9A3">
            <w:pPr>
              <w:spacing w:before="24" w:after="24" w:line="288" w:lineRule="auto"/>
              <w:rPr>
                <w:rFonts w:ascii="Times New Roman" w:hAnsi="Times New Roman" w:cs="Times New Roman"/>
                <w:sz w:val="24"/>
              </w:rPr>
            </w:pPr>
            <w:r>
              <w:rPr>
                <w:rFonts w:ascii="Times New Roman" w:hAnsi="Times New Roman" w:cs="Times New Roman"/>
                <w:sz w:val="24"/>
              </w:rPr>
              <w:t>水体日常养护</w:t>
            </w:r>
          </w:p>
        </w:tc>
        <w:tc>
          <w:tcPr>
            <w:tcW w:w="13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4BB5A98">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11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28F2DAA">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11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9D7D8A7">
            <w:pPr>
              <w:spacing w:before="24" w:after="24" w:line="288" w:lineRule="auto"/>
              <w:jc w:val="center"/>
              <w:rPr>
                <w:rFonts w:ascii="Times New Roman" w:hAnsi="Times New Roman" w:cs="Times New Roman"/>
                <w:sz w:val="24"/>
              </w:rPr>
            </w:pPr>
          </w:p>
        </w:tc>
        <w:tc>
          <w:tcPr>
            <w:tcW w:w="128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89F6F48">
            <w:pPr>
              <w:spacing w:before="24" w:after="24" w:line="288" w:lineRule="auto"/>
              <w:jc w:val="center"/>
              <w:rPr>
                <w:rFonts w:ascii="Times New Roman" w:hAnsi="Times New Roman" w:cs="Times New Roman"/>
                <w:sz w:val="24"/>
              </w:rPr>
            </w:pPr>
            <w:r>
              <w:rPr>
                <w:rFonts w:ascii="Times New Roman" w:hAnsi="Times New Roman" w:cs="Times New Roman"/>
                <w:sz w:val="24"/>
              </w:rPr>
              <w:t>给水排水工程养护</w:t>
            </w:r>
          </w:p>
        </w:tc>
        <w:tc>
          <w:tcPr>
            <w:tcW w:w="126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77D1DA8">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126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5E7A394">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118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27B2DAC">
            <w:pPr>
              <w:spacing w:before="24" w:after="24" w:line="288" w:lineRule="auto"/>
              <w:jc w:val="center"/>
              <w:rPr>
                <w:rFonts w:ascii="Times New Roman" w:hAnsi="Times New Roman" w:cs="Times New Roman"/>
                <w:sz w:val="24"/>
              </w:rPr>
            </w:pPr>
          </w:p>
        </w:tc>
      </w:tr>
      <w:tr w14:paraId="7B508605">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c>
          <w:tcPr>
            <w:tcW w:w="109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84CA848">
            <w:pPr>
              <w:spacing w:before="24" w:after="24" w:line="288" w:lineRule="auto"/>
              <w:rPr>
                <w:rFonts w:ascii="Times New Roman" w:hAnsi="Times New Roman" w:cs="Times New Roman"/>
                <w:sz w:val="24"/>
              </w:rPr>
            </w:pPr>
            <w:r>
              <w:rPr>
                <w:rFonts w:ascii="Times New Roman" w:hAnsi="Times New Roman" w:cs="Times New Roman"/>
                <w:sz w:val="24"/>
              </w:rPr>
              <w:t>景观地面绿化养护</w:t>
            </w:r>
          </w:p>
        </w:tc>
        <w:tc>
          <w:tcPr>
            <w:tcW w:w="13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FE0BECD">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11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C04A6D9">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11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981ADA5">
            <w:pPr>
              <w:spacing w:before="24" w:after="24" w:line="288" w:lineRule="auto"/>
              <w:jc w:val="center"/>
              <w:rPr>
                <w:rFonts w:ascii="Times New Roman" w:hAnsi="Times New Roman" w:cs="Times New Roman"/>
                <w:sz w:val="24"/>
              </w:rPr>
            </w:pPr>
          </w:p>
        </w:tc>
        <w:tc>
          <w:tcPr>
            <w:tcW w:w="128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EEF727A">
            <w:pPr>
              <w:spacing w:before="24" w:after="24" w:line="288" w:lineRule="auto"/>
              <w:jc w:val="center"/>
              <w:rPr>
                <w:rFonts w:ascii="Times New Roman" w:hAnsi="Times New Roman" w:cs="Times New Roman"/>
                <w:sz w:val="24"/>
              </w:rPr>
            </w:pPr>
            <w:r>
              <w:rPr>
                <w:rFonts w:ascii="Times New Roman" w:hAnsi="Times New Roman" w:cs="Times New Roman"/>
                <w:sz w:val="24"/>
              </w:rPr>
              <w:t>景观灌木的养护</w:t>
            </w:r>
          </w:p>
        </w:tc>
        <w:tc>
          <w:tcPr>
            <w:tcW w:w="126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3077C80">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126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1400D99">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118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1566AEA">
            <w:pPr>
              <w:spacing w:before="24" w:after="24" w:line="288" w:lineRule="auto"/>
              <w:jc w:val="center"/>
              <w:rPr>
                <w:rFonts w:ascii="Times New Roman" w:hAnsi="Times New Roman" w:cs="Times New Roman"/>
                <w:sz w:val="24"/>
              </w:rPr>
            </w:pPr>
          </w:p>
        </w:tc>
      </w:tr>
      <w:tr w14:paraId="6CB30C37">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c>
          <w:tcPr>
            <w:tcW w:w="109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B32670D">
            <w:pPr>
              <w:spacing w:before="24" w:after="24" w:line="288" w:lineRule="auto"/>
              <w:rPr>
                <w:rFonts w:ascii="Times New Roman" w:hAnsi="Times New Roman" w:cs="Times New Roman"/>
                <w:sz w:val="24"/>
              </w:rPr>
            </w:pPr>
            <w:r>
              <w:rPr>
                <w:rFonts w:ascii="Times New Roman" w:hAnsi="Times New Roman" w:cs="Times New Roman"/>
                <w:sz w:val="24"/>
              </w:rPr>
              <w:t>景观乔木的养护</w:t>
            </w:r>
          </w:p>
        </w:tc>
        <w:tc>
          <w:tcPr>
            <w:tcW w:w="13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7A833AB">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11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AD2E7B5">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11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80FFAA0">
            <w:pPr>
              <w:spacing w:before="24" w:after="24" w:line="288" w:lineRule="auto"/>
              <w:jc w:val="center"/>
              <w:rPr>
                <w:rFonts w:ascii="Times New Roman" w:hAnsi="Times New Roman" w:cs="Times New Roman"/>
                <w:sz w:val="24"/>
              </w:rPr>
            </w:pPr>
          </w:p>
        </w:tc>
        <w:tc>
          <w:tcPr>
            <w:tcW w:w="128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80E86DF">
            <w:pPr>
              <w:spacing w:before="24" w:after="24" w:line="288" w:lineRule="auto"/>
              <w:jc w:val="center"/>
              <w:rPr>
                <w:rFonts w:ascii="Times New Roman" w:hAnsi="Times New Roman" w:cs="Times New Roman"/>
                <w:sz w:val="24"/>
              </w:rPr>
            </w:pPr>
            <w:r>
              <w:rPr>
                <w:rFonts w:ascii="Times New Roman" w:hAnsi="Times New Roman" w:cs="Times New Roman"/>
                <w:sz w:val="24"/>
              </w:rPr>
              <w:t>弱电工程维护</w:t>
            </w:r>
          </w:p>
        </w:tc>
        <w:tc>
          <w:tcPr>
            <w:tcW w:w="126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058DC13">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126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BFF8E30">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118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5FE6D46">
            <w:pPr>
              <w:spacing w:before="24" w:after="24" w:line="288" w:lineRule="auto"/>
              <w:jc w:val="center"/>
              <w:rPr>
                <w:rFonts w:ascii="Times New Roman" w:hAnsi="Times New Roman" w:cs="Times New Roman"/>
                <w:sz w:val="24"/>
              </w:rPr>
            </w:pPr>
          </w:p>
        </w:tc>
      </w:tr>
      <w:tr w14:paraId="6E2E389E">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c>
          <w:tcPr>
            <w:tcW w:w="109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BE88880">
            <w:pPr>
              <w:spacing w:before="24" w:after="24" w:line="288" w:lineRule="auto"/>
              <w:rPr>
                <w:rFonts w:ascii="Times New Roman" w:hAnsi="Times New Roman" w:cs="Times New Roman"/>
                <w:sz w:val="24"/>
              </w:rPr>
            </w:pPr>
            <w:r>
              <w:rPr>
                <w:rFonts w:ascii="Times New Roman" w:hAnsi="Times New Roman" w:cs="Times New Roman"/>
                <w:sz w:val="24"/>
              </w:rPr>
              <w:t>景观小品维护</w:t>
            </w:r>
          </w:p>
        </w:tc>
        <w:tc>
          <w:tcPr>
            <w:tcW w:w="131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2C96D58">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11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4749073">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11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6D6708F">
            <w:pPr>
              <w:spacing w:before="24" w:after="24" w:line="288" w:lineRule="auto"/>
              <w:jc w:val="center"/>
              <w:rPr>
                <w:rFonts w:ascii="Times New Roman" w:hAnsi="Times New Roman" w:cs="Times New Roman"/>
                <w:sz w:val="24"/>
              </w:rPr>
            </w:pPr>
          </w:p>
        </w:tc>
        <w:tc>
          <w:tcPr>
            <w:tcW w:w="128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BA8DD30">
            <w:pPr>
              <w:spacing w:before="24" w:after="24" w:line="288" w:lineRule="auto"/>
              <w:jc w:val="center"/>
              <w:rPr>
                <w:rFonts w:ascii="Times New Roman" w:hAnsi="Times New Roman" w:cs="Times New Roman"/>
                <w:sz w:val="24"/>
              </w:rPr>
            </w:pPr>
          </w:p>
        </w:tc>
        <w:tc>
          <w:tcPr>
            <w:tcW w:w="126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83A5FF7">
            <w:pPr>
              <w:spacing w:before="24" w:after="24" w:line="288" w:lineRule="auto"/>
              <w:jc w:val="center"/>
              <w:rPr>
                <w:rFonts w:ascii="Times New Roman" w:hAnsi="Times New Roman" w:cs="Times New Roman"/>
                <w:sz w:val="24"/>
              </w:rPr>
            </w:pPr>
          </w:p>
        </w:tc>
        <w:tc>
          <w:tcPr>
            <w:tcW w:w="126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280654A">
            <w:pPr>
              <w:spacing w:before="24" w:after="24" w:line="288" w:lineRule="auto"/>
              <w:jc w:val="center"/>
              <w:rPr>
                <w:rFonts w:ascii="Times New Roman" w:hAnsi="Times New Roman" w:cs="Times New Roman"/>
                <w:sz w:val="24"/>
              </w:rPr>
            </w:pPr>
          </w:p>
        </w:tc>
        <w:tc>
          <w:tcPr>
            <w:tcW w:w="118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2BAAA91">
            <w:pPr>
              <w:spacing w:before="24" w:after="24" w:line="288" w:lineRule="auto"/>
              <w:jc w:val="center"/>
              <w:rPr>
                <w:rFonts w:ascii="Times New Roman" w:hAnsi="Times New Roman" w:cs="Times New Roman"/>
                <w:sz w:val="24"/>
              </w:rPr>
            </w:pPr>
          </w:p>
        </w:tc>
      </w:tr>
    </w:tbl>
    <w:p w14:paraId="7E3EEB3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（3）市政设施工程</w:t>
      </w:r>
    </w:p>
    <w:p w14:paraId="4ED2E43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对市政设施工程（垃圾焚烧厂），承包人提供装置运行的操作手册或维保手册给发包人或发包人指定人员，要按建设装置要求对发包人或发包人指定人员进行培训，要求承包人应分阶段演示、指导和监督发包人的员工逐步胜任操作，直至发包人的员工或发包人指定人员能够独立操作运行。</w:t>
      </w:r>
    </w:p>
    <w:p w14:paraId="0B89EB39">
      <w:pPr>
        <w:spacing w:before="24" w:after="24"/>
        <w:ind w:firstLine="562" w:firstLineChars="200"/>
        <w:outlineLvl w:val="3"/>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t>8.2 移交</w:t>
      </w:r>
    </w:p>
    <w:p w14:paraId="4511A9F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将符合合同要求的工程实体、文档和运维责任完整交付给发包人，确保项目从建设期平稳过渡到运营期。工作内容包括准备阶段、正式移交阶段、移交后阶段。</w:t>
      </w:r>
    </w:p>
    <w:p w14:paraId="51B36FA1">
      <w:pPr>
        <w:pStyle w:val="64"/>
        <w:spacing w:before="24" w:after="24"/>
        <w:rPr>
          <w:rFonts w:cs="Times New Roman"/>
        </w:rPr>
      </w:pPr>
      <w:bookmarkStart w:id="44" w:name="_Toc221894089"/>
      <w:r>
        <w:rPr>
          <w:rFonts w:cs="Times New Roman"/>
        </w:rPr>
        <w:t>9、保修和缺陷整改</w:t>
      </w:r>
      <w:bookmarkEnd w:id="44"/>
    </w:p>
    <w:p w14:paraId="6BCE6514">
      <w:pPr>
        <w:pStyle w:val="66"/>
        <w:rPr>
          <w:rFonts w:cs="Times New Roman"/>
        </w:rPr>
      </w:pPr>
      <w:r>
        <w:rPr>
          <w:rFonts w:cs="Times New Roman"/>
        </w:rPr>
        <w:t>9.1用户使用及维修手册</w:t>
      </w:r>
    </w:p>
    <w:p w14:paraId="68089830">
      <w:pPr>
        <w:pStyle w:val="54"/>
        <w:spacing w:before="24" w:after="24"/>
      </w:pPr>
      <w:r>
        <w:t>为便于发包人使用和管理，承包人在系统计划试运行前一个月，组织各专业分包单位拟定一份包含临时性的记录图册、操作和维修保养程序的《用户使用及维修手册》，供发包人工作人员和物业管理人员能预先对有关装置有所了解，系统调试时请他们一起参与，使之以最短的时间熟悉各个系统。工程交工前一周，承包人组织和督促各专业分包商将编制整理好的《用户使用及维修手册》呈交发包人。手册包含系统的说明、技术说明和维修保养内容，具体如表所示。</w:t>
      </w:r>
    </w:p>
    <w:p w14:paraId="2CC3673E">
      <w:pPr>
        <w:pStyle w:val="69"/>
        <w:rPr>
          <w:rFonts w:hint="eastAsia"/>
        </w:rPr>
      </w:pPr>
      <w:r>
        <w:t>用户使用及维修手册</w:t>
      </w:r>
    </w:p>
    <w:tbl>
      <w:tblPr>
        <w:tblStyle w:val="31"/>
        <w:tblW w:w="95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5"/>
        <w:gridCol w:w="7815"/>
      </w:tblGrid>
      <w:tr w14:paraId="39286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5" w:type="dxa"/>
            <w:tcMar>
              <w:top w:w="0" w:type="dxa"/>
              <w:left w:w="108" w:type="dxa"/>
              <w:bottom w:w="0" w:type="dxa"/>
              <w:right w:w="108" w:type="dxa"/>
            </w:tcMar>
            <w:vAlign w:val="center"/>
          </w:tcPr>
          <w:p w14:paraId="5F5C8E63">
            <w:pPr>
              <w:pStyle w:val="71"/>
              <w:spacing w:before="24" w:after="24"/>
              <w:rPr>
                <w:rFonts w:cs="Times New Roman"/>
              </w:rPr>
            </w:pPr>
            <w:r>
              <w:rPr>
                <w:rFonts w:cs="Times New Roman"/>
              </w:rPr>
              <w:t>手册项目</w:t>
            </w:r>
          </w:p>
        </w:tc>
        <w:tc>
          <w:tcPr>
            <w:tcW w:w="7815" w:type="dxa"/>
            <w:tcMar>
              <w:top w:w="0" w:type="dxa"/>
              <w:left w:w="108" w:type="dxa"/>
              <w:bottom w:w="0" w:type="dxa"/>
              <w:right w:w="108" w:type="dxa"/>
            </w:tcMar>
            <w:vAlign w:val="center"/>
          </w:tcPr>
          <w:p w14:paraId="7CCF5623">
            <w:pPr>
              <w:pStyle w:val="71"/>
              <w:spacing w:before="24" w:after="24"/>
              <w:rPr>
                <w:rFonts w:cs="Times New Roman"/>
              </w:rPr>
            </w:pPr>
            <w:r>
              <w:rPr>
                <w:rFonts w:cs="Times New Roman"/>
              </w:rPr>
              <w:t>具体内容</w:t>
            </w:r>
          </w:p>
        </w:tc>
      </w:tr>
      <w:tr w14:paraId="00599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5" w:type="dxa"/>
            <w:tcMar>
              <w:top w:w="0" w:type="dxa"/>
              <w:left w:w="108" w:type="dxa"/>
              <w:bottom w:w="0" w:type="dxa"/>
              <w:right w:w="108" w:type="dxa"/>
            </w:tcMar>
            <w:vAlign w:val="center"/>
          </w:tcPr>
          <w:p w14:paraId="5DC39DC7">
            <w:pPr>
              <w:pStyle w:val="71"/>
              <w:spacing w:before="24" w:after="24"/>
              <w:rPr>
                <w:rFonts w:cs="Times New Roman"/>
              </w:rPr>
            </w:pPr>
            <w:r>
              <w:rPr>
                <w:rFonts w:cs="Times New Roman"/>
              </w:rPr>
              <w:t>联系方式</w:t>
            </w:r>
          </w:p>
        </w:tc>
        <w:tc>
          <w:tcPr>
            <w:tcW w:w="7815" w:type="dxa"/>
            <w:tcMar>
              <w:top w:w="0" w:type="dxa"/>
              <w:left w:w="108" w:type="dxa"/>
              <w:bottom w:w="0" w:type="dxa"/>
              <w:right w:w="108" w:type="dxa"/>
            </w:tcMar>
            <w:vAlign w:val="center"/>
          </w:tcPr>
          <w:p w14:paraId="3488D4D4">
            <w:pPr>
              <w:pStyle w:val="71"/>
              <w:spacing w:before="24" w:after="24"/>
              <w:jc w:val="both"/>
              <w:rPr>
                <w:rFonts w:cs="Times New Roman"/>
              </w:rPr>
            </w:pPr>
            <w:r>
              <w:rPr>
                <w:rFonts w:cs="Times New Roman"/>
              </w:rPr>
              <w:t>正常时间及紧急事件发生时的联络电话。</w:t>
            </w:r>
          </w:p>
        </w:tc>
      </w:tr>
      <w:tr w14:paraId="5DD4C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5" w:type="dxa"/>
            <w:tcMar>
              <w:top w:w="0" w:type="dxa"/>
              <w:left w:w="108" w:type="dxa"/>
              <w:bottom w:w="0" w:type="dxa"/>
              <w:right w:w="108" w:type="dxa"/>
            </w:tcMar>
            <w:vAlign w:val="center"/>
          </w:tcPr>
          <w:p w14:paraId="079BD653">
            <w:pPr>
              <w:pStyle w:val="71"/>
              <w:spacing w:before="24" w:after="24"/>
              <w:rPr>
                <w:rFonts w:cs="Times New Roman"/>
              </w:rPr>
            </w:pPr>
            <w:r>
              <w:rPr>
                <w:rFonts w:cs="Times New Roman"/>
              </w:rPr>
              <w:t>系统的说明</w:t>
            </w:r>
          </w:p>
        </w:tc>
        <w:tc>
          <w:tcPr>
            <w:tcW w:w="7815" w:type="dxa"/>
            <w:tcMar>
              <w:top w:w="0" w:type="dxa"/>
              <w:left w:w="108" w:type="dxa"/>
              <w:bottom w:w="0" w:type="dxa"/>
              <w:right w:w="108" w:type="dxa"/>
            </w:tcMar>
            <w:vAlign w:val="center"/>
          </w:tcPr>
          <w:p w14:paraId="0079DB0A">
            <w:pPr>
              <w:pStyle w:val="71"/>
              <w:spacing w:before="24" w:after="24"/>
              <w:jc w:val="both"/>
              <w:rPr>
                <w:rFonts w:cs="Times New Roman"/>
              </w:rPr>
            </w:pPr>
            <w:r>
              <w:rPr>
                <w:rFonts w:cs="Times New Roman"/>
              </w:rPr>
              <w:t>详尽介绍每个系统如何调节、控制、监测和调校的说明;系统各主要装置和部件的大小规格和功能,提出每个系统的可调节部件和保护装置的最初调校参数;正常系统设备运作程序和在不正常条件情况时的应变程序，使部分部件能维持运作;有关供电系统，配电和控制屏的详细说明。</w:t>
            </w:r>
          </w:p>
        </w:tc>
      </w:tr>
      <w:tr w14:paraId="613AB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5" w:type="dxa"/>
            <w:tcMar>
              <w:top w:w="0" w:type="dxa"/>
              <w:left w:w="108" w:type="dxa"/>
              <w:bottom w:w="0" w:type="dxa"/>
              <w:right w:w="108" w:type="dxa"/>
            </w:tcMar>
            <w:vAlign w:val="center"/>
          </w:tcPr>
          <w:p w14:paraId="472CB618">
            <w:pPr>
              <w:pStyle w:val="71"/>
              <w:spacing w:before="24" w:after="24"/>
              <w:rPr>
                <w:rFonts w:cs="Times New Roman"/>
              </w:rPr>
            </w:pPr>
            <w:r>
              <w:rPr>
                <w:rFonts w:cs="Times New Roman"/>
              </w:rPr>
              <w:t>技术说明</w:t>
            </w:r>
          </w:p>
        </w:tc>
        <w:tc>
          <w:tcPr>
            <w:tcW w:w="7815" w:type="dxa"/>
            <w:tcMar>
              <w:top w:w="0" w:type="dxa"/>
              <w:left w:w="108" w:type="dxa"/>
              <w:bottom w:w="0" w:type="dxa"/>
              <w:right w:w="108" w:type="dxa"/>
            </w:tcMar>
            <w:vAlign w:val="center"/>
          </w:tcPr>
          <w:p w14:paraId="19528326">
            <w:pPr>
              <w:pStyle w:val="71"/>
              <w:spacing w:before="24" w:after="24"/>
              <w:jc w:val="both"/>
              <w:rPr>
                <w:rFonts w:cs="Times New Roman"/>
              </w:rPr>
            </w:pPr>
            <w:r>
              <w:rPr>
                <w:rFonts w:cs="Times New Roman"/>
              </w:rPr>
              <w:t>技术说明包括合同内所提供安装的设备和部件的技术资料和功能的说明：</w:t>
            </w:r>
          </w:p>
          <w:p w14:paraId="0D7E06C6">
            <w:pPr>
              <w:pStyle w:val="71"/>
              <w:spacing w:before="24" w:after="24"/>
              <w:jc w:val="both"/>
              <w:rPr>
                <w:rFonts w:cs="Times New Roman"/>
              </w:rPr>
            </w:pPr>
            <w:r>
              <w:rPr>
                <w:rFonts w:cs="Times New Roman"/>
              </w:rPr>
              <w:t>所有系统和装备的技术资料;管道和接线图;所有设备需附有原厂发的图纸，如有需要须同时提供部件分解图以显示各部件的位置;提供所有装置设备的产品说明书以及性能指标表等资料;</w:t>
            </w:r>
          </w:p>
          <w:p w14:paraId="36D695B9">
            <w:pPr>
              <w:pStyle w:val="71"/>
              <w:spacing w:before="24" w:after="24"/>
              <w:jc w:val="both"/>
              <w:rPr>
                <w:rFonts w:cs="Times New Roman"/>
              </w:rPr>
            </w:pPr>
            <w:r>
              <w:rPr>
                <w:rFonts w:cs="Times New Roman"/>
              </w:rPr>
              <w:t>设备表:列出生产制造厂商、型号、系列编号、经调试运行后所核定的调节定位参数。</w:t>
            </w:r>
          </w:p>
        </w:tc>
      </w:tr>
      <w:tr w14:paraId="391FF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5" w:type="dxa"/>
            <w:tcMar>
              <w:top w:w="0" w:type="dxa"/>
              <w:left w:w="108" w:type="dxa"/>
              <w:bottom w:w="0" w:type="dxa"/>
              <w:right w:w="108" w:type="dxa"/>
            </w:tcMar>
            <w:vAlign w:val="center"/>
          </w:tcPr>
          <w:p w14:paraId="23CF4565">
            <w:pPr>
              <w:pStyle w:val="71"/>
              <w:spacing w:before="24" w:after="24"/>
              <w:rPr>
                <w:rFonts w:cs="Times New Roman"/>
              </w:rPr>
            </w:pPr>
            <w:r>
              <w:rPr>
                <w:rFonts w:cs="Times New Roman"/>
              </w:rPr>
              <w:t>维护保养</w:t>
            </w:r>
          </w:p>
        </w:tc>
        <w:tc>
          <w:tcPr>
            <w:tcW w:w="7815" w:type="dxa"/>
            <w:tcMar>
              <w:top w:w="0" w:type="dxa"/>
              <w:left w:w="108" w:type="dxa"/>
              <w:bottom w:w="0" w:type="dxa"/>
              <w:right w:w="108" w:type="dxa"/>
            </w:tcMar>
            <w:vAlign w:val="center"/>
          </w:tcPr>
          <w:p w14:paraId="61A60523">
            <w:pPr>
              <w:pStyle w:val="71"/>
              <w:spacing w:before="24" w:after="24"/>
              <w:jc w:val="both"/>
              <w:rPr>
                <w:rFonts w:cs="Times New Roman"/>
              </w:rPr>
            </w:pPr>
            <w:r>
              <w:rPr>
                <w:rFonts w:cs="Times New Roman"/>
              </w:rPr>
              <w:t>包括全部装置所要求的运作、维修及故障监测指示，主要包括以下内容:所有系统的维修检查手册;装置更换部件的程序和要求;从整个系统电路板的维修保养指示和说明、调校程序和寻找故障的指示和说明;执行运作和维护保养操作程序时应特别注意事项;零配件贮存和目录编册系统;系统的故障寻找程序;零配件表。</w:t>
            </w:r>
          </w:p>
        </w:tc>
      </w:tr>
      <w:tr w14:paraId="76F8D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5" w:type="dxa"/>
            <w:tcMar>
              <w:top w:w="0" w:type="dxa"/>
              <w:left w:w="108" w:type="dxa"/>
              <w:bottom w:w="0" w:type="dxa"/>
              <w:right w:w="108" w:type="dxa"/>
            </w:tcMar>
            <w:vAlign w:val="center"/>
          </w:tcPr>
          <w:p w14:paraId="1ADC40E7">
            <w:pPr>
              <w:pStyle w:val="71"/>
              <w:spacing w:before="24" w:after="24"/>
              <w:rPr>
                <w:rFonts w:cs="Times New Roman"/>
              </w:rPr>
            </w:pPr>
            <w:r>
              <w:rPr>
                <w:rFonts w:cs="Times New Roman"/>
              </w:rPr>
              <w:t>安全保险</w:t>
            </w:r>
          </w:p>
        </w:tc>
        <w:tc>
          <w:tcPr>
            <w:tcW w:w="7815" w:type="dxa"/>
            <w:tcMar>
              <w:top w:w="0" w:type="dxa"/>
              <w:left w:w="108" w:type="dxa"/>
              <w:bottom w:w="0" w:type="dxa"/>
              <w:right w:w="108" w:type="dxa"/>
            </w:tcMar>
            <w:vAlign w:val="center"/>
          </w:tcPr>
          <w:p w14:paraId="0EB2A88D">
            <w:pPr>
              <w:pStyle w:val="71"/>
              <w:spacing w:before="24" w:after="24"/>
              <w:jc w:val="both"/>
              <w:rPr>
                <w:rFonts w:cs="Times New Roman"/>
              </w:rPr>
            </w:pPr>
            <w:r>
              <w:rPr>
                <w:rFonts w:cs="Times New Roman"/>
              </w:rPr>
              <w:t>各类设备的正确操作规程;对各项系统操作时可能发生的危险事故所应做的预防、应变和保护等措施说明。</w:t>
            </w:r>
          </w:p>
        </w:tc>
      </w:tr>
      <w:tr w14:paraId="4FE65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5" w:type="dxa"/>
            <w:tcMar>
              <w:top w:w="0" w:type="dxa"/>
              <w:left w:w="108" w:type="dxa"/>
              <w:bottom w:w="0" w:type="dxa"/>
              <w:right w:w="108" w:type="dxa"/>
            </w:tcMar>
            <w:vAlign w:val="center"/>
          </w:tcPr>
          <w:p w14:paraId="43B91664">
            <w:pPr>
              <w:pStyle w:val="71"/>
              <w:spacing w:before="24" w:after="24"/>
              <w:rPr>
                <w:rFonts w:cs="Times New Roman"/>
              </w:rPr>
            </w:pPr>
            <w:r>
              <w:rPr>
                <w:rFonts w:cs="Times New Roman"/>
              </w:rPr>
              <w:t>供应厂商指南</w:t>
            </w:r>
          </w:p>
        </w:tc>
        <w:tc>
          <w:tcPr>
            <w:tcW w:w="7815" w:type="dxa"/>
            <w:tcMar>
              <w:top w:w="0" w:type="dxa"/>
              <w:left w:w="108" w:type="dxa"/>
              <w:bottom w:w="0" w:type="dxa"/>
              <w:right w:w="108" w:type="dxa"/>
            </w:tcMar>
            <w:vAlign w:val="center"/>
          </w:tcPr>
          <w:p w14:paraId="2E9CC961">
            <w:pPr>
              <w:pStyle w:val="71"/>
              <w:spacing w:before="24" w:after="24"/>
              <w:jc w:val="both"/>
              <w:rPr>
                <w:rFonts w:cs="Times New Roman"/>
              </w:rPr>
            </w:pPr>
            <w:r>
              <w:rPr>
                <w:rFonts w:cs="Times New Roman"/>
              </w:rPr>
              <w:t>详细列出包括主要设备、材料及配件的供应厂商和代理商的情况包括通讯地址、电话、图文传真号码及电子邮件地址。</w:t>
            </w:r>
          </w:p>
        </w:tc>
      </w:tr>
      <w:tr w14:paraId="3021A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695" w:type="dxa"/>
            <w:tcMar>
              <w:top w:w="0" w:type="dxa"/>
              <w:left w:w="108" w:type="dxa"/>
              <w:bottom w:w="0" w:type="dxa"/>
              <w:right w:w="108" w:type="dxa"/>
            </w:tcMar>
            <w:vAlign w:val="center"/>
          </w:tcPr>
          <w:p w14:paraId="53145161">
            <w:pPr>
              <w:pStyle w:val="71"/>
              <w:spacing w:before="24" w:after="24"/>
              <w:rPr>
                <w:rFonts w:cs="Times New Roman"/>
              </w:rPr>
            </w:pPr>
            <w:r>
              <w:rPr>
                <w:rFonts w:cs="Times New Roman"/>
              </w:rPr>
              <w:t>零备件表</w:t>
            </w:r>
          </w:p>
        </w:tc>
        <w:tc>
          <w:tcPr>
            <w:tcW w:w="7815" w:type="dxa"/>
            <w:tcMar>
              <w:top w:w="0" w:type="dxa"/>
              <w:left w:w="108" w:type="dxa"/>
              <w:bottom w:w="0" w:type="dxa"/>
              <w:right w:w="108" w:type="dxa"/>
            </w:tcMar>
            <w:vAlign w:val="center"/>
          </w:tcPr>
          <w:p w14:paraId="4D82DB3E">
            <w:pPr>
              <w:pStyle w:val="71"/>
              <w:spacing w:before="24" w:after="24"/>
              <w:jc w:val="both"/>
              <w:rPr>
                <w:rFonts w:cs="Times New Roman"/>
              </w:rPr>
            </w:pPr>
            <w:r>
              <w:rPr>
                <w:rFonts w:cs="Times New Roman"/>
              </w:rPr>
              <w:t>列出所有提供予发包人的零备件和维护保养所用工具的清单。</w:t>
            </w:r>
          </w:p>
        </w:tc>
      </w:tr>
    </w:tbl>
    <w:p w14:paraId="1710524A">
      <w:pPr>
        <w:pStyle w:val="66"/>
        <w:rPr>
          <w:rFonts w:cs="Times New Roman"/>
        </w:rPr>
      </w:pPr>
      <w:r>
        <w:rPr>
          <w:rFonts w:cs="Times New Roman"/>
        </w:rPr>
        <w:t>9.2工作范围及内容</w:t>
      </w:r>
    </w:p>
    <w:p w14:paraId="68319A33">
      <w:pPr>
        <w:pStyle w:val="54"/>
        <w:spacing w:before="24" w:after="24"/>
      </w:pPr>
      <w:r>
        <w:t>承包人在质量保修期内，按照有关法律规定和合同约定，承担工程质量保修责任。质量保修范围包括地基基础工程、主体结构工程，屋面防水工程、有防水要求的卫生间、房间和外墙面的防渗漏，供热与供冷系统，电气管线、给排水管道、设备安装和装修工程，以及双方约定的其他项目。具体质量保修内容双方约定如下:</w:t>
      </w:r>
    </w:p>
    <w:p w14:paraId="51F59501">
      <w:pPr>
        <w:pStyle w:val="54"/>
        <w:spacing w:before="24" w:after="24"/>
      </w:pPr>
      <w:r>
        <w:t>按</w:t>
      </w:r>
      <w:bookmarkStart w:id="45" w:name="OLE_LINK7"/>
      <w:r>
        <w:t>《建设工程质量管理条例》执行并完成《工程总承包合同协议书》约定的工程承包范围内的所有工作内容</w:t>
      </w:r>
      <w:bookmarkEnd w:id="45"/>
      <w:r>
        <w:t>。</w:t>
      </w:r>
    </w:p>
    <w:p w14:paraId="55623894">
      <w:pPr>
        <w:pStyle w:val="66"/>
        <w:rPr>
          <w:rFonts w:cs="Times New Roman"/>
        </w:rPr>
      </w:pPr>
      <w:r>
        <w:rPr>
          <w:rFonts w:cs="Times New Roman"/>
        </w:rPr>
        <w:t>9.3质量保修期</w:t>
      </w:r>
    </w:p>
    <w:p w14:paraId="34217137">
      <w:pPr>
        <w:pStyle w:val="54"/>
        <w:spacing w:before="24" w:after="24"/>
      </w:pPr>
      <w:r>
        <w:t>根据《建设工程质量管理条例》及有关规定，工程的质量保修期如下：</w:t>
      </w:r>
    </w:p>
    <w:p w14:paraId="02011098">
      <w:pPr>
        <w:pStyle w:val="54"/>
        <w:spacing w:before="24" w:after="24"/>
      </w:pPr>
      <w:r>
        <w:t>（1）基础设施工程、房屋建筑的地基基础工程和主体结构工程，为设计文件规定的该工程的合理使用年限；</w:t>
      </w:r>
    </w:p>
    <w:p w14:paraId="7DE640E0">
      <w:pPr>
        <w:pStyle w:val="54"/>
        <w:spacing w:before="24" w:after="24"/>
      </w:pPr>
      <w:r>
        <w:t>（2）屋面防水工程、有防水要求的卫生间、房间和外墙面的防渗漏，为5年；</w:t>
      </w:r>
    </w:p>
    <w:p w14:paraId="0553D149">
      <w:pPr>
        <w:pStyle w:val="54"/>
        <w:spacing w:before="24" w:after="24"/>
      </w:pPr>
      <w:r>
        <w:t>（3）供热与供冷系统，为2个采暖期、供冷期；</w:t>
      </w:r>
    </w:p>
    <w:p w14:paraId="7B9083F4">
      <w:pPr>
        <w:pStyle w:val="54"/>
        <w:spacing w:before="24" w:after="24"/>
      </w:pPr>
      <w:r>
        <w:t>（4）电气管线、给排水管道、设备安装和装修工程，为2年。</w:t>
      </w:r>
    </w:p>
    <w:p w14:paraId="72232ECF">
      <w:pPr>
        <w:pStyle w:val="62"/>
        <w:rPr>
          <w:color w:val="EE0000"/>
          <w14:textFill>
            <w14:solidFill>
              <w14:srgbClr w14:val="EE0000">
                <w14:lumMod w14:val="95000"/>
                <w14:lumOff w14:val="5000"/>
              </w14:srgbClr>
            </w14:solidFill>
          </w14:textFill>
        </w:rPr>
      </w:pPr>
      <w:bookmarkStart w:id="46" w:name="_Toc221894090"/>
      <w:r>
        <w:t>（四）工作界面</w:t>
      </w:r>
      <w:bookmarkEnd w:id="46"/>
    </w:p>
    <w:p w14:paraId="4AC7AF1D">
      <w:pPr>
        <w:pStyle w:val="64"/>
        <w:spacing w:before="24" w:after="24"/>
        <w:rPr>
          <w:rFonts w:cs="Times New Roman"/>
        </w:rPr>
      </w:pPr>
      <w:bookmarkStart w:id="47" w:name="_Toc221894091"/>
      <w:r>
        <w:rPr>
          <w:rFonts w:cs="Times New Roman"/>
        </w:rPr>
        <w:t>1、发包人与承包人的工作界区</w:t>
      </w:r>
      <w:bookmarkEnd w:id="47"/>
    </w:p>
    <w:p w14:paraId="6995C55F">
      <w:pPr>
        <w:pStyle w:val="66"/>
        <w:rPr>
          <w:rFonts w:cs="Times New Roman"/>
        </w:rPr>
      </w:pPr>
      <w:r>
        <w:rPr>
          <w:rFonts w:cs="Times New Roman"/>
        </w:rPr>
        <w:t>1.1发包人工作界区</w:t>
      </w:r>
    </w:p>
    <w:p w14:paraId="31C1C58C">
      <w:pPr>
        <w:pStyle w:val="54"/>
        <w:spacing w:before="24" w:after="24"/>
      </w:pPr>
      <w:r>
        <w:t>（1）负责资金筹集，提供施工现场、工作条件及基础资料，</w:t>
      </w:r>
      <w:bookmarkStart w:id="48" w:name="OLE_LINK3"/>
      <w:r>
        <w:t>办理项目建设前期的相关许可及行政审批工作</w:t>
      </w:r>
      <w:bookmarkEnd w:id="48"/>
      <w:r>
        <w:t>。</w:t>
      </w:r>
    </w:p>
    <w:p w14:paraId="71C4653F">
      <w:pPr>
        <w:pStyle w:val="54"/>
        <w:spacing w:before="24" w:after="24"/>
      </w:pPr>
      <w:r>
        <w:t>（2）监督工作：监督工程的安全、质量及进度。</w:t>
      </w:r>
    </w:p>
    <w:p w14:paraId="166D167A">
      <w:pPr>
        <w:pStyle w:val="66"/>
        <w:rPr>
          <w:rFonts w:cs="Times New Roman"/>
        </w:rPr>
      </w:pPr>
      <w:r>
        <w:rPr>
          <w:rFonts w:cs="Times New Roman"/>
        </w:rPr>
        <w:t>1.2 承包人工作界区</w:t>
      </w:r>
    </w:p>
    <w:p w14:paraId="72041212">
      <w:pPr>
        <w:pStyle w:val="54"/>
        <w:spacing w:before="24" w:after="24"/>
      </w:pPr>
      <w:r>
        <w:t>（1）设计、施工及保修：按发包人要求及国家相关法律、法规及规范完成工程的设计、采购、施工、验收、结算，并在缺陷责任期和保修期内承担缺陷保证责任和保修义务。</w:t>
      </w:r>
    </w:p>
    <w:p w14:paraId="21362EE2">
      <w:pPr>
        <w:pStyle w:val="54"/>
        <w:spacing w:before="24" w:after="24"/>
      </w:pPr>
      <w:r>
        <w:t>（2）配合工作：配合办理项目相关许可及行政审批。</w:t>
      </w:r>
    </w:p>
    <w:p w14:paraId="36B14EC5">
      <w:pPr>
        <w:pStyle w:val="54"/>
        <w:spacing w:before="24" w:after="24"/>
      </w:pPr>
      <w:r>
        <w:t>（3）其他：全面负责现场管理，编制设计、施工的组织和实施计划，保证项目进度计划的实现，严格执行安全文明施工、职业健康和环境保护措施，及时支付雇用人员（包括建筑工人）工资和分包人合同价款。</w:t>
      </w:r>
    </w:p>
    <w:p w14:paraId="4B27BE06">
      <w:pPr>
        <w:pStyle w:val="64"/>
        <w:spacing w:before="24" w:after="24"/>
        <w:rPr>
          <w:rFonts w:cs="Times New Roman"/>
        </w:rPr>
      </w:pPr>
      <w:bookmarkStart w:id="49" w:name="_Toc221894092"/>
      <w:r>
        <w:rPr>
          <w:rFonts w:cs="Times New Roman"/>
        </w:rPr>
        <w:t>2、承包人与其他承包人的工作界区</w:t>
      </w:r>
      <w:bookmarkEnd w:id="49"/>
    </w:p>
    <w:p w14:paraId="4EB1B994">
      <w:pPr>
        <w:pStyle w:val="54"/>
        <w:spacing w:before="24" w:after="24"/>
      </w:pPr>
      <w:r>
        <w:t>（1）承包人对整个项目的安全、质量、进度负责，负责审查其他承包人资质并管理其他承包人，经发包人同意后与其他承包人签订合同。</w:t>
      </w:r>
    </w:p>
    <w:p w14:paraId="132954F6">
      <w:pPr>
        <w:pStyle w:val="54"/>
        <w:spacing w:before="24" w:after="24"/>
      </w:pPr>
      <w:r>
        <w:t>（2）承包人与其他承包人的合同应划分工作范围及责任归属，同时应明确技术标准、验收程序和违约责任，对其他承包人应全过程监督，杜绝“以包代管”。</w:t>
      </w:r>
    </w:p>
    <w:p w14:paraId="33AD0DF3">
      <w:pPr>
        <w:pStyle w:val="54"/>
        <w:spacing w:before="24" w:after="24"/>
      </w:pPr>
      <w:r>
        <w:t>（3）其他承包人在承包人的要求下完成相关工作，并接受发包人、监理单位及承包人的监管。</w:t>
      </w:r>
    </w:p>
    <w:p w14:paraId="10FD000B">
      <w:pPr>
        <w:pStyle w:val="64"/>
        <w:spacing w:before="24" w:after="24"/>
        <w:rPr>
          <w:rFonts w:cs="Times New Roman"/>
        </w:rPr>
      </w:pPr>
      <w:bookmarkStart w:id="50" w:name="_Toc221894093"/>
      <w:r>
        <w:rPr>
          <w:rFonts w:cs="Times New Roman"/>
        </w:rPr>
        <w:t>3、场内交通与场外交通的工作界区</w:t>
      </w:r>
      <w:bookmarkEnd w:id="50"/>
    </w:p>
    <w:p w14:paraId="54F75487">
      <w:pPr>
        <w:pStyle w:val="54"/>
        <w:spacing w:before="24" w:after="24"/>
      </w:pPr>
      <w:r>
        <w:t>以用地红线为界，界内临时及永久施工</w:t>
      </w:r>
      <w:bookmarkStart w:id="51" w:name="_Hlk215157570"/>
      <w:r>
        <w:t>所需道路、水电等配套设施由承包人</w:t>
      </w:r>
      <w:bookmarkEnd w:id="51"/>
      <w:r>
        <w:t>自行申报实施，发包人给予必要协助。红线外道路、水电等配套设施由承包人实施，相关费用报发包人审批后结算。</w:t>
      </w:r>
    </w:p>
    <w:p w14:paraId="2F72912A">
      <w:pPr>
        <w:pStyle w:val="62"/>
        <w:rPr>
          <w:color w:val="EE0000"/>
          <w14:textFill>
            <w14:solidFill>
              <w14:srgbClr w14:val="EE0000">
                <w14:lumMod w14:val="95000"/>
                <w14:lumOff w14:val="5000"/>
              </w14:srgbClr>
            </w14:solidFill>
          </w14:textFill>
        </w:rPr>
      </w:pPr>
      <w:bookmarkStart w:id="52" w:name="_Toc221894094"/>
      <w:r>
        <w:t>（五）发包人提供的现场条件</w:t>
      </w:r>
      <w:bookmarkEnd w:id="52"/>
    </w:p>
    <w:p w14:paraId="5937D518">
      <w:pPr>
        <w:pStyle w:val="64"/>
        <w:spacing w:before="24" w:after="24"/>
        <w:rPr>
          <w:rFonts w:cs="Times New Roman"/>
        </w:rPr>
      </w:pPr>
      <w:bookmarkStart w:id="53" w:name="_Toc221894095"/>
      <w:r>
        <w:rPr>
          <w:rFonts w:cs="Times New Roman"/>
        </w:rPr>
        <w:t>1、施工水、电条件</w:t>
      </w:r>
      <w:bookmarkEnd w:id="53"/>
    </w:p>
    <w:p w14:paraId="4DF6D595">
      <w:pPr>
        <w:pStyle w:val="54"/>
        <w:spacing w:before="24" w:after="24"/>
      </w:pPr>
      <w:r>
        <w:t>本项目施工所需要的供水、排水、用电等由承包人负责向自来水公司、水务、供电局等相关单位进行报装及销户，并自行缴纳水费、电费，根据需要发包人给予必要的配合。场外临水、临电建设的工程费用包含在总承包合同范围内，相关费用按经第三方有权单位审计审定结果据实结算。具体按项目所在地行业主管部门或特许经营单位要求办理，如承包人发生欠费等违约情况，造成的一切后果由承包人自行承担，对发包人造成损失的，发包人有权追偿。</w:t>
      </w:r>
    </w:p>
    <w:p w14:paraId="116C8322">
      <w:pPr>
        <w:pStyle w:val="64"/>
        <w:spacing w:before="24" w:after="24"/>
        <w:rPr>
          <w:rFonts w:cs="Times New Roman"/>
        </w:rPr>
      </w:pPr>
      <w:bookmarkStart w:id="54" w:name="_Toc221894096"/>
      <w:r>
        <w:rPr>
          <w:rFonts w:cs="Times New Roman"/>
        </w:rPr>
        <w:t>2、施工道路</w:t>
      </w:r>
      <w:bookmarkEnd w:id="54"/>
    </w:p>
    <w:p w14:paraId="0AEF6634">
      <w:pPr>
        <w:pStyle w:val="54"/>
        <w:spacing w:before="24" w:after="24"/>
      </w:pPr>
      <w:r>
        <w:t>承包人负责修建、维修、养护和管理施工所需的场内临时道路和交通设施，包括维修、养护和管理发包人提供的道路和交通设施，并承担相应费用。承包人修建的临时道路和交通设施免费提供发包人和参建单位为实现合同目的使用。</w:t>
      </w:r>
    </w:p>
    <w:p w14:paraId="1D308ADF">
      <w:pPr>
        <w:pStyle w:val="64"/>
        <w:spacing w:before="24" w:after="24"/>
        <w:rPr>
          <w:rFonts w:cs="Times New Roman"/>
        </w:rPr>
      </w:pPr>
      <w:bookmarkStart w:id="55" w:name="_Toc221894097"/>
      <w:r>
        <w:rPr>
          <w:rFonts w:cs="Times New Roman"/>
        </w:rPr>
        <w:t>3、其他</w:t>
      </w:r>
      <w:bookmarkEnd w:id="55"/>
    </w:p>
    <w:p w14:paraId="6A4C4668">
      <w:pPr>
        <w:pStyle w:val="54"/>
        <w:tabs>
          <w:tab w:val="left" w:pos="5245"/>
        </w:tabs>
        <w:spacing w:before="24" w:after="24"/>
      </w:pPr>
      <w:r>
        <w:t>配合发包人要求完成场内、场外现状进村道路、强电、弱电、给排水工程的迁改，相关产生的费用报发包人审核后按实结算。</w:t>
      </w:r>
    </w:p>
    <w:p w14:paraId="0B35E2DE">
      <w:pPr>
        <w:pStyle w:val="54"/>
        <w:spacing w:before="24" w:after="24"/>
      </w:pPr>
      <w:r>
        <w:br w:type="page"/>
      </w:r>
    </w:p>
    <w:p w14:paraId="2D4D2562">
      <w:pPr>
        <w:pStyle w:val="53"/>
        <w:spacing w:before="24" w:after="24"/>
        <w:rPr>
          <w:rFonts w:cs="Times New Roman"/>
        </w:rPr>
      </w:pPr>
      <w:bookmarkStart w:id="56" w:name="_Toc221894098"/>
      <w:r>
        <w:rPr>
          <w:rFonts w:cs="Times New Roman"/>
        </w:rPr>
        <w:t>三、工艺安排及要求</w:t>
      </w:r>
      <w:bookmarkEnd w:id="56"/>
    </w:p>
    <w:p w14:paraId="039FE610">
      <w:pPr>
        <w:pStyle w:val="62"/>
      </w:pPr>
      <w:bookmarkStart w:id="57" w:name="_Toc221894099"/>
      <w:r>
        <w:t>（一）垃圾焚烧处理厂</w:t>
      </w:r>
      <w:bookmarkEnd w:id="57"/>
    </w:p>
    <w:p w14:paraId="2849B5E7">
      <w:pPr>
        <w:spacing w:before="24" w:after="24"/>
        <w:ind w:firstLine="562" w:firstLineChars="200"/>
        <w:outlineLvl w:val="2"/>
        <w:rPr>
          <w:rFonts w:ascii="Times New Roman" w:hAnsi="Times New Roman" w:cs="Times New Roman"/>
          <w:b/>
          <w:color w:val="0D0D0D" w:themeColor="text1" w:themeTint="F2"/>
          <w14:textFill>
            <w14:solidFill>
              <w14:schemeClr w14:val="tx1">
                <w14:lumMod w14:val="95000"/>
                <w14:lumOff w14:val="5000"/>
              </w14:schemeClr>
            </w14:solidFill>
          </w14:textFill>
        </w:rPr>
      </w:pPr>
      <w:bookmarkStart w:id="58" w:name="_Toc221894100"/>
      <w:r>
        <w:rPr>
          <w:rFonts w:ascii="Times New Roman" w:hAnsi="Times New Roman" w:cs="Times New Roman"/>
          <w:b/>
          <w:color w:val="0D0D0D" w:themeColor="text1" w:themeTint="F2"/>
          <w14:textFill>
            <w14:solidFill>
              <w14:schemeClr w14:val="tx1">
                <w14:lumMod w14:val="95000"/>
                <w14:lumOff w14:val="5000"/>
              </w14:schemeClr>
            </w14:solidFill>
          </w14:textFill>
        </w:rPr>
        <w:t>1、工艺方案</w:t>
      </w:r>
      <w:bookmarkEnd w:id="58"/>
    </w:p>
    <w:p w14:paraId="2ED41A5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1.1本工程按照技术先进、环保达标、安全卫生、运行可靠、经济适用的原则确定建设方案。</w:t>
      </w:r>
    </w:p>
    <w:p w14:paraId="1A0330A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1.2按照“减量化、无害化”的原则，在实现清洁生产的前提下对生活垃圾进行焚烧处理。</w:t>
      </w:r>
    </w:p>
    <w:p w14:paraId="076E679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1.3保护环境，防止污染，污染物排放指标采用较高标准，在一定程度上满足未来发展的需要。</w:t>
      </w:r>
    </w:p>
    <w:p w14:paraId="3188B51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1.4工程主要工艺系统包括：垃圾接收及储存系统、垃圾焚烧系统、余热锅炉系统、烟气净化系统、灰渣处理系统、给排水系统、渗沥液收集系统、电力系统、仪表及自动控制系统等。</w:t>
      </w:r>
    </w:p>
    <w:p w14:paraId="64972344">
      <w:pPr>
        <w:spacing w:before="24" w:after="24"/>
        <w:ind w:firstLine="562" w:firstLineChars="200"/>
        <w:outlineLvl w:val="2"/>
        <w:rPr>
          <w:rFonts w:ascii="Times New Roman" w:hAnsi="Times New Roman" w:cs="Times New Roman"/>
          <w:b/>
          <w:color w:val="0D0D0D" w:themeColor="text1" w:themeTint="F2"/>
          <w14:textFill>
            <w14:solidFill>
              <w14:schemeClr w14:val="tx1">
                <w14:lumMod w14:val="95000"/>
                <w14:lumOff w14:val="5000"/>
              </w14:schemeClr>
            </w14:solidFill>
          </w14:textFill>
        </w:rPr>
      </w:pPr>
      <w:bookmarkStart w:id="59" w:name="_Toc221894101"/>
      <w:r>
        <w:rPr>
          <w:rFonts w:ascii="Times New Roman" w:hAnsi="Times New Roman" w:cs="Times New Roman"/>
          <w:b/>
          <w:color w:val="0D0D0D" w:themeColor="text1" w:themeTint="F2"/>
          <w14:textFill>
            <w14:solidFill>
              <w14:schemeClr w14:val="tx1">
                <w14:lumMod w14:val="95000"/>
                <w14:lumOff w14:val="5000"/>
              </w14:schemeClr>
            </w14:solidFill>
          </w14:textFill>
        </w:rPr>
        <w:t>2、流程安排</w:t>
      </w:r>
      <w:bookmarkEnd w:id="59"/>
    </w:p>
    <w:p w14:paraId="1530DC98">
      <w:pPr>
        <w:widowControl/>
        <w:spacing w:before="0" w:beforeLines="0" w:after="0" w:afterLines="0"/>
        <w:ind w:firstLine="560" w:firstLineChars="200"/>
        <w:jc w:val="left"/>
        <w:rPr>
          <w:rFonts w:ascii="Times New Roman" w:hAnsi="Times New Roman" w:cs="Times New Roman"/>
        </w:rPr>
      </w:pPr>
      <w:r>
        <w:rPr>
          <w:rFonts w:ascii="Times New Roman" w:hAnsi="Times New Roman" w:cs="Times New Roman"/>
          <w:color w:val="181717" w:themeColor="background2" w:themeShade="1A"/>
        </w:rPr>
        <w:t>2.1</w:t>
      </w:r>
      <w:r>
        <w:rPr>
          <w:rFonts w:ascii="Times New Roman" w:hAnsi="Times New Roman" w:cs="Times New Roman"/>
        </w:rPr>
        <w:t>生活垃圾焚烧厂主要是处理城市生活垃圾，主要包括垃圾进厂与储存，上料，高温焚烧，热能回收或冷却后循环利用，烟气净化、灰渣处理流程。</w:t>
      </w:r>
    </w:p>
    <w:p w14:paraId="0E8B747C">
      <w:pPr>
        <w:spacing w:before="24" w:after="24"/>
        <w:rPr>
          <w:rFonts w:ascii="Times New Roman" w:hAnsi="Times New Roman" w:cs="Times New Roman"/>
        </w:rPr>
      </w:pPr>
      <w:r>
        <w:rPr>
          <w:rFonts w:ascii="Times New Roman" w:hAnsi="Times New Roman" w:eastAsia="宋体" w:cs="Times New Roman"/>
          <w:sz w:val="24"/>
          <w:szCs w:val="24"/>
        </w:rPr>
        <mc:AlternateContent>
          <mc:Choice Requires="wpc">
            <w:drawing>
              <wp:inline distT="0" distB="0" distL="114300" distR="114300">
                <wp:extent cx="5274310" cy="1068070"/>
                <wp:effectExtent l="0" t="0" r="0" b="17780"/>
                <wp:docPr id="12" name="画布 34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8" name="矩形 347"/>
                        <wps:cNvSpPr/>
                        <wps:spPr>
                          <a:xfrm>
                            <a:off x="121602" y="144314"/>
                            <a:ext cx="725950" cy="266651"/>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61A7391">
                              <w:pPr>
                                <w:spacing w:before="0" w:beforeLines="0" w:after="0" w:afterLines="0" w:line="240" w:lineRule="auto"/>
                                <w:jc w:val="center"/>
                                <w:rPr>
                                  <w:rFonts w:ascii="Calibri" w:hAnsi="Calibri" w:eastAsia="宋体" w:cs="Times New Roman"/>
                                  <w:sz w:val="21"/>
                                  <w:szCs w:val="24"/>
                                </w:rPr>
                              </w:pPr>
                              <w:r>
                                <w:rPr>
                                  <w:rFonts w:hint="eastAsia" w:ascii="Calibri" w:hAnsi="Calibri" w:eastAsia="宋体" w:cs="Times New Roman"/>
                                  <w:sz w:val="21"/>
                                  <w:szCs w:val="24"/>
                                </w:rPr>
                                <w:t>垃圾车</w:t>
                              </w:r>
                            </w:p>
                          </w:txbxContent>
                        </wps:txbx>
                        <wps:bodyPr wrap="square" upright="1"/>
                      </wps:wsp>
                      <wps:wsp>
                        <wps:cNvPr id="33" name="矩形 348"/>
                        <wps:cNvSpPr/>
                        <wps:spPr>
                          <a:xfrm>
                            <a:off x="1073176" y="144314"/>
                            <a:ext cx="867331" cy="266651"/>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5B5BB3F">
                              <w:pPr>
                                <w:spacing w:before="0" w:beforeLines="0" w:after="0" w:afterLines="0" w:line="240" w:lineRule="auto"/>
                                <w:jc w:val="center"/>
                                <w:rPr>
                                  <w:rFonts w:ascii="Calibri" w:hAnsi="Calibri" w:eastAsia="宋体" w:cs="Times New Roman"/>
                                  <w:sz w:val="21"/>
                                  <w:szCs w:val="24"/>
                                </w:rPr>
                              </w:pPr>
                              <w:r>
                                <w:rPr>
                                  <w:rFonts w:hint="eastAsia" w:ascii="Calibri" w:hAnsi="Calibri" w:eastAsia="宋体" w:cs="Times New Roman"/>
                                  <w:sz w:val="21"/>
                                  <w:szCs w:val="24"/>
                                </w:rPr>
                                <w:t>计量系统</w:t>
                              </w:r>
                            </w:p>
                          </w:txbxContent>
                        </wps:txbx>
                        <wps:bodyPr wrap="square" upright="1"/>
                      </wps:wsp>
                      <wps:wsp>
                        <wps:cNvPr id="34" name="矩形 349"/>
                        <wps:cNvSpPr/>
                        <wps:spPr>
                          <a:xfrm>
                            <a:off x="2163932" y="144314"/>
                            <a:ext cx="867331" cy="266651"/>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F9D07FB">
                              <w:pPr>
                                <w:spacing w:before="0" w:beforeLines="0" w:after="0" w:afterLines="0" w:line="240" w:lineRule="auto"/>
                                <w:jc w:val="center"/>
                                <w:rPr>
                                  <w:rFonts w:ascii="Calibri" w:hAnsi="Calibri" w:eastAsia="宋体" w:cs="Times New Roman"/>
                                  <w:sz w:val="21"/>
                                  <w:szCs w:val="24"/>
                                </w:rPr>
                              </w:pPr>
                              <w:r>
                                <w:rPr>
                                  <w:rFonts w:hint="eastAsia" w:ascii="Calibri" w:hAnsi="Calibri" w:eastAsia="宋体" w:cs="Times New Roman"/>
                                  <w:sz w:val="21"/>
                                  <w:szCs w:val="24"/>
                                </w:rPr>
                                <w:t>卸料平台</w:t>
                              </w:r>
                            </w:p>
                          </w:txbxContent>
                        </wps:txbx>
                        <wps:bodyPr wrap="square" upright="1"/>
                      </wps:wsp>
                      <wps:wsp>
                        <wps:cNvPr id="35" name="矩形 350"/>
                        <wps:cNvSpPr/>
                        <wps:spPr>
                          <a:xfrm>
                            <a:off x="3209271" y="144314"/>
                            <a:ext cx="867331" cy="266651"/>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2A7FBAF">
                              <w:pPr>
                                <w:spacing w:before="0" w:beforeLines="0" w:after="0" w:afterLines="0" w:line="240" w:lineRule="auto"/>
                                <w:jc w:val="center"/>
                                <w:rPr>
                                  <w:rFonts w:ascii="Calibri" w:hAnsi="Calibri" w:eastAsia="宋体" w:cs="Times New Roman"/>
                                  <w:sz w:val="21"/>
                                  <w:szCs w:val="24"/>
                                </w:rPr>
                              </w:pPr>
                              <w:r>
                                <w:rPr>
                                  <w:rFonts w:hint="eastAsia" w:ascii="Calibri" w:hAnsi="Calibri" w:eastAsia="宋体" w:cs="Times New Roman"/>
                                  <w:sz w:val="21"/>
                                  <w:szCs w:val="24"/>
                                </w:rPr>
                                <w:t>卸料门</w:t>
                              </w:r>
                            </w:p>
                            <w:p w14:paraId="216F21E6">
                              <w:pPr>
                                <w:spacing w:before="0" w:beforeLines="0" w:after="0" w:afterLines="0" w:line="240" w:lineRule="auto"/>
                                <w:rPr>
                                  <w:rFonts w:ascii="Calibri" w:hAnsi="Calibri" w:eastAsia="宋体" w:cs="Times New Roman"/>
                                  <w:sz w:val="21"/>
                                  <w:szCs w:val="24"/>
                                </w:rPr>
                              </w:pPr>
                              <w:r>
                                <w:rPr>
                                  <w:rFonts w:hint="eastAsia" w:ascii="Calibri" w:hAnsi="Calibri" w:eastAsia="宋体" w:cs="Times New Roman"/>
                                  <w:vanish/>
                                  <w:sz w:val="21"/>
                                  <w:szCs w:val="24"/>
                                </w:rPr>
                                <w:cr/>
                              </w:r>
                              <w:r>
                                <w:rPr>
                                  <w:rFonts w:hint="eastAsia" w:ascii="Calibri" w:hAnsi="Calibri" w:eastAsia="宋体" w:cs="Times New Roman"/>
                                  <w:vanish/>
                                  <w:sz w:val="21"/>
                                  <w:szCs w:val="24"/>
                                </w:rPr>
                                <w:t>下表过路=</w:t>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p>
                          </w:txbxContent>
                        </wps:txbx>
                        <wps:bodyPr wrap="square" upright="1"/>
                      </wps:wsp>
                      <wps:wsp>
                        <wps:cNvPr id="37" name="矩形 351"/>
                        <wps:cNvSpPr/>
                        <wps:spPr>
                          <a:xfrm>
                            <a:off x="4286109" y="144314"/>
                            <a:ext cx="867331" cy="266651"/>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5EE6F8D">
                              <w:pPr>
                                <w:spacing w:before="0" w:beforeLines="0" w:after="0" w:afterLines="0" w:line="240" w:lineRule="auto"/>
                                <w:jc w:val="center"/>
                                <w:rPr>
                                  <w:rFonts w:ascii="Calibri" w:hAnsi="Calibri" w:eastAsia="宋体" w:cs="Times New Roman"/>
                                  <w:sz w:val="21"/>
                                  <w:szCs w:val="24"/>
                                </w:rPr>
                              </w:pPr>
                              <w:r>
                                <w:rPr>
                                  <w:rFonts w:hint="eastAsia" w:ascii="Calibri" w:hAnsi="Calibri" w:eastAsia="宋体" w:cs="Times New Roman"/>
                                  <w:sz w:val="21"/>
                                  <w:szCs w:val="24"/>
                                </w:rPr>
                                <w:t>垃圾仓</w:t>
                              </w:r>
                            </w:p>
                            <w:p w14:paraId="073A5FAC">
                              <w:pPr>
                                <w:spacing w:before="0" w:beforeLines="0" w:after="0" w:afterLines="0" w:line="240" w:lineRule="auto"/>
                                <w:rPr>
                                  <w:rFonts w:ascii="Calibri" w:hAnsi="Calibri" w:eastAsia="宋体" w:cs="Times New Roman"/>
                                  <w:sz w:val="21"/>
                                  <w:szCs w:val="24"/>
                                </w:rPr>
                              </w:pPr>
                              <w:r>
                                <w:rPr>
                                  <w:rFonts w:hint="eastAsia" w:ascii="Calibri" w:hAnsi="Calibri" w:eastAsia="宋体" w:cs="Times New Roman"/>
                                  <w:vanish/>
                                  <w:sz w:val="21"/>
                                  <w:szCs w:val="24"/>
                                </w:rPr>
                                <w:cr/>
                              </w:r>
                              <w:r>
                                <w:rPr>
                                  <w:rFonts w:hint="eastAsia" w:ascii="Calibri" w:hAnsi="Calibri" w:eastAsia="宋体" w:cs="Times New Roman"/>
                                  <w:vanish/>
                                  <w:sz w:val="21"/>
                                  <w:szCs w:val="24"/>
                                </w:rPr>
                                <w:t>下表过路=</w:t>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p>
                          </w:txbxContent>
                        </wps:txbx>
                        <wps:bodyPr wrap="square" upright="1"/>
                      </wps:wsp>
                      <wps:wsp>
                        <wps:cNvPr id="38" name="矩形 352"/>
                        <wps:cNvSpPr/>
                        <wps:spPr>
                          <a:xfrm>
                            <a:off x="4286109" y="744279"/>
                            <a:ext cx="867331" cy="266651"/>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6D0DBBE">
                              <w:pPr>
                                <w:spacing w:before="0" w:beforeLines="0" w:after="0" w:afterLines="0" w:line="240" w:lineRule="auto"/>
                                <w:jc w:val="center"/>
                                <w:rPr>
                                  <w:rFonts w:ascii="Calibri" w:hAnsi="Calibri" w:eastAsia="宋体" w:cs="Times New Roman"/>
                                  <w:sz w:val="21"/>
                                  <w:szCs w:val="24"/>
                                </w:rPr>
                              </w:pPr>
                              <w:r>
                                <w:rPr>
                                  <w:rFonts w:hint="eastAsia" w:ascii="Calibri" w:hAnsi="Calibri" w:eastAsia="宋体" w:cs="Times New Roman"/>
                                  <w:sz w:val="21"/>
                                  <w:szCs w:val="24"/>
                                </w:rPr>
                                <w:t>抓斗吊车</w:t>
                              </w:r>
                            </w:p>
                            <w:p w14:paraId="258AE191">
                              <w:pPr>
                                <w:spacing w:before="0" w:beforeLines="0" w:after="0" w:afterLines="0" w:line="240" w:lineRule="auto"/>
                                <w:rPr>
                                  <w:rFonts w:ascii="Calibri" w:hAnsi="Calibri" w:eastAsia="宋体" w:cs="Times New Roman"/>
                                  <w:sz w:val="21"/>
                                  <w:szCs w:val="24"/>
                                </w:rPr>
                              </w:pPr>
                              <w:r>
                                <w:rPr>
                                  <w:rFonts w:hint="eastAsia" w:ascii="Calibri" w:hAnsi="Calibri" w:eastAsia="宋体" w:cs="Times New Roman"/>
                                  <w:vanish/>
                                  <w:sz w:val="21"/>
                                  <w:szCs w:val="24"/>
                                </w:rPr>
                                <w:cr/>
                              </w:r>
                              <w:r>
                                <w:rPr>
                                  <w:rFonts w:hint="eastAsia" w:ascii="Calibri" w:hAnsi="Calibri" w:eastAsia="宋体" w:cs="Times New Roman"/>
                                  <w:vanish/>
                                  <w:sz w:val="21"/>
                                  <w:szCs w:val="24"/>
                                </w:rPr>
                                <w:t>下表过路=</w:t>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p>
                          </w:txbxContent>
                        </wps:txbx>
                        <wps:bodyPr wrap="square" upright="1"/>
                      </wps:wsp>
                      <wps:wsp>
                        <wps:cNvPr id="39" name="矩形 353"/>
                        <wps:cNvSpPr/>
                        <wps:spPr>
                          <a:xfrm>
                            <a:off x="3209271" y="744279"/>
                            <a:ext cx="867331" cy="266651"/>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46964D4">
                              <w:pPr>
                                <w:spacing w:before="0" w:beforeLines="0" w:after="0" w:afterLines="0" w:line="240" w:lineRule="auto"/>
                                <w:jc w:val="center"/>
                                <w:rPr>
                                  <w:rFonts w:ascii="Calibri" w:hAnsi="Calibri" w:eastAsia="宋体" w:cs="Times New Roman"/>
                                  <w:sz w:val="21"/>
                                  <w:szCs w:val="24"/>
                                </w:rPr>
                              </w:pPr>
                              <w:r>
                                <w:rPr>
                                  <w:rFonts w:hint="eastAsia" w:ascii="Calibri" w:hAnsi="Calibri" w:eastAsia="宋体" w:cs="Times New Roman"/>
                                  <w:sz w:val="21"/>
                                  <w:szCs w:val="24"/>
                                </w:rPr>
                                <w:t>进料斗</w:t>
                              </w:r>
                            </w:p>
                            <w:p w14:paraId="0A4E0C1C">
                              <w:pPr>
                                <w:spacing w:before="0" w:beforeLines="0" w:after="0" w:afterLines="0" w:line="240" w:lineRule="auto"/>
                                <w:rPr>
                                  <w:rFonts w:ascii="Calibri" w:hAnsi="Calibri" w:eastAsia="宋体" w:cs="Times New Roman"/>
                                  <w:sz w:val="21"/>
                                  <w:szCs w:val="24"/>
                                </w:rPr>
                              </w:pPr>
                              <w:r>
                                <w:rPr>
                                  <w:rFonts w:hint="eastAsia" w:ascii="Calibri" w:hAnsi="Calibri" w:eastAsia="宋体" w:cs="Times New Roman"/>
                                  <w:vanish/>
                                  <w:sz w:val="21"/>
                                  <w:szCs w:val="24"/>
                                </w:rPr>
                                <w:cr/>
                              </w:r>
                              <w:r>
                                <w:rPr>
                                  <w:rFonts w:hint="eastAsia" w:ascii="Calibri" w:hAnsi="Calibri" w:eastAsia="宋体" w:cs="Times New Roman"/>
                                  <w:vanish/>
                                  <w:sz w:val="21"/>
                                  <w:szCs w:val="24"/>
                                </w:rPr>
                                <w:t>下表过路=</w:t>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p>
                          </w:txbxContent>
                        </wps:txbx>
                        <wps:bodyPr wrap="square" upright="1"/>
                      </wps:wsp>
                      <wps:wsp>
                        <wps:cNvPr id="40" name="矩形 355"/>
                        <wps:cNvSpPr/>
                        <wps:spPr>
                          <a:xfrm>
                            <a:off x="1073176" y="744279"/>
                            <a:ext cx="867331" cy="266651"/>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C6A4EFB">
                              <w:pPr>
                                <w:spacing w:before="0" w:beforeLines="0" w:after="0" w:afterLines="0" w:line="240" w:lineRule="auto"/>
                                <w:jc w:val="center"/>
                                <w:rPr>
                                  <w:rFonts w:ascii="Calibri" w:hAnsi="Calibri" w:eastAsia="宋体" w:cs="Times New Roman"/>
                                  <w:sz w:val="21"/>
                                  <w:szCs w:val="24"/>
                                </w:rPr>
                              </w:pPr>
                              <w:r>
                                <w:rPr>
                                  <w:rFonts w:hint="eastAsia" w:ascii="Calibri" w:hAnsi="Calibri" w:eastAsia="宋体" w:cs="Times New Roman"/>
                                  <w:sz w:val="21"/>
                                  <w:szCs w:val="24"/>
                                </w:rPr>
                                <w:t>出渣机</w:t>
                              </w:r>
                            </w:p>
                            <w:p w14:paraId="3564A65C">
                              <w:pPr>
                                <w:spacing w:before="0" w:beforeLines="0" w:after="0" w:afterLines="0" w:line="240" w:lineRule="auto"/>
                                <w:rPr>
                                  <w:rFonts w:ascii="Calibri" w:hAnsi="Calibri" w:eastAsia="宋体" w:cs="Times New Roman"/>
                                  <w:sz w:val="21"/>
                                  <w:szCs w:val="24"/>
                                </w:rPr>
                              </w:pPr>
                              <w:r>
                                <w:rPr>
                                  <w:rFonts w:hint="eastAsia" w:ascii="Calibri" w:hAnsi="Calibri" w:eastAsia="宋体" w:cs="Times New Roman"/>
                                  <w:vanish/>
                                  <w:sz w:val="21"/>
                                  <w:szCs w:val="24"/>
                                </w:rPr>
                                <w:cr/>
                              </w:r>
                              <w:r>
                                <w:rPr>
                                  <w:rFonts w:hint="eastAsia" w:ascii="Calibri" w:hAnsi="Calibri" w:eastAsia="宋体" w:cs="Times New Roman"/>
                                  <w:vanish/>
                                  <w:sz w:val="21"/>
                                  <w:szCs w:val="24"/>
                                </w:rPr>
                                <w:t>下表过路=</w:t>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p>
                          </w:txbxContent>
                        </wps:txbx>
                        <wps:bodyPr wrap="square" upright="1"/>
                      </wps:wsp>
                      <wps:wsp>
                        <wps:cNvPr id="41" name="自选图形 356"/>
                        <wps:cNvCnPr/>
                        <wps:spPr>
                          <a:xfrm>
                            <a:off x="847552" y="277640"/>
                            <a:ext cx="225623" cy="733"/>
                          </a:xfrm>
                          <a:prstGeom prst="straightConnector1">
                            <a:avLst/>
                          </a:prstGeom>
                          <a:ln w="9525" cap="flat" cmpd="sng">
                            <a:solidFill>
                              <a:srgbClr val="000000"/>
                            </a:solidFill>
                            <a:prstDash val="solid"/>
                            <a:headEnd type="none" w="med" len="med"/>
                            <a:tailEnd type="triangle" w="med" len="med"/>
                          </a:ln>
                        </wps:spPr>
                        <wps:bodyPr/>
                      </wps:wsp>
                      <wps:wsp>
                        <wps:cNvPr id="42" name="自选图形 357"/>
                        <wps:cNvCnPr/>
                        <wps:spPr>
                          <a:xfrm>
                            <a:off x="1940507" y="277640"/>
                            <a:ext cx="223426" cy="733"/>
                          </a:xfrm>
                          <a:prstGeom prst="straightConnector1">
                            <a:avLst/>
                          </a:prstGeom>
                          <a:ln w="9525" cap="flat" cmpd="sng">
                            <a:solidFill>
                              <a:srgbClr val="000000"/>
                            </a:solidFill>
                            <a:prstDash val="solid"/>
                            <a:headEnd type="none" w="med" len="med"/>
                            <a:tailEnd type="triangle" w="med" len="med"/>
                          </a:ln>
                        </wps:spPr>
                        <wps:bodyPr/>
                      </wps:wsp>
                      <wps:wsp>
                        <wps:cNvPr id="43" name="自选图形 358"/>
                        <wps:cNvCnPr/>
                        <wps:spPr>
                          <a:xfrm>
                            <a:off x="3031263" y="277640"/>
                            <a:ext cx="178008" cy="733"/>
                          </a:xfrm>
                          <a:prstGeom prst="straightConnector1">
                            <a:avLst/>
                          </a:prstGeom>
                          <a:ln w="9525" cap="flat" cmpd="sng">
                            <a:solidFill>
                              <a:srgbClr val="000000"/>
                            </a:solidFill>
                            <a:prstDash val="solid"/>
                            <a:headEnd type="none" w="med" len="med"/>
                            <a:tailEnd type="triangle" w="med" len="med"/>
                          </a:ln>
                        </wps:spPr>
                        <wps:bodyPr/>
                      </wps:wsp>
                      <wps:wsp>
                        <wps:cNvPr id="44" name="自选图形 359"/>
                        <wps:cNvCnPr/>
                        <wps:spPr>
                          <a:xfrm>
                            <a:off x="4076602" y="277640"/>
                            <a:ext cx="209507" cy="733"/>
                          </a:xfrm>
                          <a:prstGeom prst="straightConnector1">
                            <a:avLst/>
                          </a:prstGeom>
                          <a:ln w="9525" cap="flat" cmpd="sng">
                            <a:solidFill>
                              <a:srgbClr val="000000"/>
                            </a:solidFill>
                            <a:prstDash val="solid"/>
                            <a:headEnd type="none" w="med" len="med"/>
                            <a:tailEnd type="triangle" w="med" len="med"/>
                          </a:ln>
                        </wps:spPr>
                        <wps:bodyPr/>
                      </wps:wsp>
                      <wps:wsp>
                        <wps:cNvPr id="45" name="自选图形 360"/>
                        <wps:cNvCnPr/>
                        <wps:spPr>
                          <a:xfrm>
                            <a:off x="4719775" y="410965"/>
                            <a:ext cx="733" cy="333314"/>
                          </a:xfrm>
                          <a:prstGeom prst="straightConnector1">
                            <a:avLst/>
                          </a:prstGeom>
                          <a:ln w="9525" cap="flat" cmpd="sng">
                            <a:solidFill>
                              <a:srgbClr val="000000"/>
                            </a:solidFill>
                            <a:prstDash val="solid"/>
                            <a:headEnd type="none" w="med" len="med"/>
                            <a:tailEnd type="triangle" w="med" len="med"/>
                          </a:ln>
                        </wps:spPr>
                        <wps:bodyPr/>
                      </wps:wsp>
                      <wps:wsp>
                        <wps:cNvPr id="46" name="自选图形 361"/>
                        <wps:cNvCnPr/>
                        <wps:spPr>
                          <a:xfrm flipH="1">
                            <a:off x="4076602" y="877605"/>
                            <a:ext cx="209507" cy="733"/>
                          </a:xfrm>
                          <a:prstGeom prst="straightConnector1">
                            <a:avLst/>
                          </a:prstGeom>
                          <a:ln w="9525" cap="flat" cmpd="sng">
                            <a:solidFill>
                              <a:srgbClr val="000000"/>
                            </a:solidFill>
                            <a:prstDash val="solid"/>
                            <a:headEnd type="none" w="med" len="med"/>
                            <a:tailEnd type="triangle" w="med" len="med"/>
                          </a:ln>
                        </wps:spPr>
                        <wps:bodyPr/>
                      </wps:wsp>
                      <wps:wsp>
                        <wps:cNvPr id="47" name="自选图形 362"/>
                        <wps:cNvCnPr/>
                        <wps:spPr>
                          <a:xfrm flipH="1">
                            <a:off x="3029066" y="877605"/>
                            <a:ext cx="180206" cy="733"/>
                          </a:xfrm>
                          <a:prstGeom prst="straightConnector1">
                            <a:avLst/>
                          </a:prstGeom>
                          <a:ln w="9525" cap="flat" cmpd="sng">
                            <a:solidFill>
                              <a:srgbClr val="000000"/>
                            </a:solidFill>
                            <a:prstDash val="solid"/>
                            <a:headEnd type="none" w="med" len="med"/>
                            <a:tailEnd type="triangle" w="med" len="med"/>
                          </a:ln>
                        </wps:spPr>
                        <wps:bodyPr/>
                      </wps:wsp>
                      <wps:wsp>
                        <wps:cNvPr id="48" name="自选图形 363"/>
                        <wps:cNvCnPr/>
                        <wps:spPr>
                          <a:xfrm flipH="1">
                            <a:off x="1940507" y="877605"/>
                            <a:ext cx="221228" cy="733"/>
                          </a:xfrm>
                          <a:prstGeom prst="straightConnector1">
                            <a:avLst/>
                          </a:prstGeom>
                          <a:ln w="9525" cap="flat" cmpd="sng">
                            <a:solidFill>
                              <a:srgbClr val="000000"/>
                            </a:solidFill>
                            <a:prstDash val="solid"/>
                            <a:headEnd type="none" w="med" len="med"/>
                            <a:tailEnd type="triangle" w="med" len="med"/>
                          </a:ln>
                        </wps:spPr>
                        <wps:bodyPr/>
                      </wps:wsp>
                      <wps:wsp>
                        <wps:cNvPr id="50" name="矩形 353"/>
                        <wps:cNvSpPr/>
                        <wps:spPr>
                          <a:xfrm>
                            <a:off x="2179955" y="757555"/>
                            <a:ext cx="867410" cy="2667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CE38500">
                              <w:pPr>
                                <w:spacing w:before="0" w:beforeLines="0" w:after="0" w:afterLines="0" w:line="240" w:lineRule="auto"/>
                                <w:jc w:val="center"/>
                                <w:rPr>
                                  <w:rFonts w:ascii="Calibri" w:hAnsi="Calibri" w:eastAsia="宋体" w:cs="Times New Roman"/>
                                  <w:sz w:val="21"/>
                                  <w:szCs w:val="24"/>
                                </w:rPr>
                              </w:pPr>
                              <w:r>
                                <w:rPr>
                                  <w:rFonts w:hint="eastAsia" w:ascii="Calibri" w:hAnsi="Calibri" w:eastAsia="宋体" w:cs="Times New Roman"/>
                                  <w:sz w:val="21"/>
                                  <w:szCs w:val="24"/>
                                </w:rPr>
                                <w:t>焚烧炉排</w:t>
                              </w:r>
                            </w:p>
                            <w:p w14:paraId="3F72442A">
                              <w:pPr>
                                <w:spacing w:before="0" w:beforeLines="0" w:after="0" w:afterLines="0" w:line="240" w:lineRule="auto"/>
                                <w:rPr>
                                  <w:rFonts w:ascii="Calibri" w:hAnsi="Calibri" w:eastAsia="宋体" w:cs="Times New Roman"/>
                                  <w:sz w:val="21"/>
                                  <w:szCs w:val="24"/>
                                </w:rPr>
                              </w:pPr>
                              <w:r>
                                <w:rPr>
                                  <w:rFonts w:hint="eastAsia" w:ascii="Calibri" w:hAnsi="Calibri" w:eastAsia="宋体" w:cs="Times New Roman"/>
                                  <w:vanish/>
                                  <w:sz w:val="21"/>
                                  <w:szCs w:val="24"/>
                                </w:rPr>
                                <w:cr/>
                              </w:r>
                              <w:r>
                                <w:rPr>
                                  <w:rFonts w:hint="eastAsia" w:ascii="Calibri" w:hAnsi="Calibri" w:eastAsia="宋体" w:cs="Times New Roman"/>
                                  <w:vanish/>
                                  <w:sz w:val="21"/>
                                  <w:szCs w:val="24"/>
                                </w:rPr>
                                <w:t>下表过路=</w:t>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p>
                          </w:txbxContent>
                        </wps:txbx>
                        <wps:bodyPr wrap="square" upright="1"/>
                      </wps:wsp>
                    </wpc:wpc>
                  </a:graphicData>
                </a:graphic>
              </wp:inline>
            </w:drawing>
          </mc:Choice>
          <mc:Fallback>
            <w:pict>
              <v:group id="画布 345" o:spid="_x0000_s1026" o:spt="203" style="height:84.1pt;width:415.3pt;" coordsize="5274310,1068070" editas="canvas" o:gfxdata="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">
                <o:lock v:ext="edit" aspectratio="f"/>
                <v:shape id="画布 345" o:spid="_x0000_s1026" style="position:absolute;left:0;top:0;height:1068070;width:5274310;" filled="f" stroked="f" coordsize="21600,21600" o:gfxdata="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">
                  <v:fill on="f" focussize="0,0"/>
                  <v:stroke on="f"/>
                  <v:imagedata o:title=""/>
                  <o:lock v:ext="edit" aspectratio="t"/>
                </v:shape>
                <v:rect id="矩形 347" o:spid="_x0000_s1026" o:spt="1" style="position:absolute;left:121602;top:144314;height:266651;width:725950;" fillcolor="#FFFFFF" filled="t" stroked="t" coordsize="21600,21600" o:gfxdata="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w2aR8tQAAAAFAQAADwAAAAAA&#10;AAABACAAAAAiAAAAZHJzL2Rvd25yZXYueG1sUEsBAhQAFAAAAAgAh07iQExLlbYXAgAAQwQAAA4A&#10;AAAAAAAAAQAgAAAAIwEAAGRycy9lMm9Eb2MueG1sUEsFBgAAAAAGAAYAWQEAAKwFAAAAAA==&#10;">
                  <v:fill on="t" focussize="0,0"/>
                  <v:stroke color="#000000" joinstyle="miter"/>
                  <v:imagedata o:title=""/>
                  <o:lock v:ext="edit" aspectratio="f"/>
                  <v:textbox>
                    <w:txbxContent>
                      <w:p w14:paraId="361A7391">
                        <w:pPr>
                          <w:spacing w:before="0" w:beforeLines="0" w:after="0" w:afterLines="0" w:line="240" w:lineRule="auto"/>
                          <w:jc w:val="center"/>
                          <w:rPr>
                            <w:rFonts w:ascii="Calibri" w:hAnsi="Calibri" w:eastAsia="宋体" w:cs="Times New Roman"/>
                            <w:sz w:val="21"/>
                            <w:szCs w:val="24"/>
                          </w:rPr>
                        </w:pPr>
                        <w:r>
                          <w:rPr>
                            <w:rFonts w:hint="eastAsia" w:ascii="Calibri" w:hAnsi="Calibri" w:eastAsia="宋体" w:cs="Times New Roman"/>
                            <w:sz w:val="21"/>
                            <w:szCs w:val="24"/>
                          </w:rPr>
                          <w:t>垃圾车</w:t>
                        </w:r>
                      </w:p>
                    </w:txbxContent>
                  </v:textbox>
                </v:rect>
                <v:rect id="矩形 348" o:spid="_x0000_s1026" o:spt="1" style="position:absolute;left:1073176;top:144314;height:266651;width:867331;" fillcolor="#FFFFFF" filled="t" stroked="t" coordsize="21600,21600" o:gfxdata="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w2aR8tQAAAAFAQAADwAAAAAA&#10;AAABACAAAAAiAAAAZHJzL2Rvd25yZXYueG1sUEsBAhQAFAAAAAgAh07iQKDmVegXAgAARAQAAA4A&#10;AAAAAAAAAQAgAAAAIwEAAGRycy9lMm9Eb2MueG1sUEsFBgAAAAAGAAYAWQEAAKwFAAAAAA==&#10;">
                  <v:fill on="t" focussize="0,0"/>
                  <v:stroke color="#000000" joinstyle="miter"/>
                  <v:imagedata o:title=""/>
                  <o:lock v:ext="edit" aspectratio="f"/>
                  <v:textbox>
                    <w:txbxContent>
                      <w:p w14:paraId="65B5BB3F">
                        <w:pPr>
                          <w:spacing w:before="0" w:beforeLines="0" w:after="0" w:afterLines="0" w:line="240" w:lineRule="auto"/>
                          <w:jc w:val="center"/>
                          <w:rPr>
                            <w:rFonts w:ascii="Calibri" w:hAnsi="Calibri" w:eastAsia="宋体" w:cs="Times New Roman"/>
                            <w:sz w:val="21"/>
                            <w:szCs w:val="24"/>
                          </w:rPr>
                        </w:pPr>
                        <w:r>
                          <w:rPr>
                            <w:rFonts w:hint="eastAsia" w:ascii="Calibri" w:hAnsi="Calibri" w:eastAsia="宋体" w:cs="Times New Roman"/>
                            <w:sz w:val="21"/>
                            <w:szCs w:val="24"/>
                          </w:rPr>
                          <w:t>计量系统</w:t>
                        </w:r>
                      </w:p>
                    </w:txbxContent>
                  </v:textbox>
                </v:rect>
                <v:rect id="矩形 349" o:spid="_x0000_s1026" o:spt="1" style="position:absolute;left:2163932;top:144314;height:266651;width:867331;" fillcolor="#FFFFFF" filled="t" stroked="t" coordsize="21600,21600" o:gfxdata="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MNmkfLUAAAABQEAAA8AAAAA&#10;AAAAAQAgAAAAIgAAAGRycy9kb3ducmV2LnhtbFBLAQIUABQAAAAIAIdO4kAp47HcGAIAAEQEAAAO&#10;AAAAAAAAAAEAIAAAACMBAABkcnMvZTJvRG9jLnhtbFBLBQYAAAAABgAGAFkBAACtBQAAAAA=&#10;">
                  <v:fill on="t" focussize="0,0"/>
                  <v:stroke color="#000000" joinstyle="miter"/>
                  <v:imagedata o:title=""/>
                  <o:lock v:ext="edit" aspectratio="f"/>
                  <v:textbox>
                    <w:txbxContent>
                      <w:p w14:paraId="4F9D07FB">
                        <w:pPr>
                          <w:spacing w:before="0" w:beforeLines="0" w:after="0" w:afterLines="0" w:line="240" w:lineRule="auto"/>
                          <w:jc w:val="center"/>
                          <w:rPr>
                            <w:rFonts w:ascii="Calibri" w:hAnsi="Calibri" w:eastAsia="宋体" w:cs="Times New Roman"/>
                            <w:sz w:val="21"/>
                            <w:szCs w:val="24"/>
                          </w:rPr>
                        </w:pPr>
                        <w:r>
                          <w:rPr>
                            <w:rFonts w:hint="eastAsia" w:ascii="Calibri" w:hAnsi="Calibri" w:eastAsia="宋体" w:cs="Times New Roman"/>
                            <w:sz w:val="21"/>
                            <w:szCs w:val="24"/>
                          </w:rPr>
                          <w:t>卸料平台</w:t>
                        </w:r>
                      </w:p>
                    </w:txbxContent>
                  </v:textbox>
                </v:rect>
                <v:rect id="矩形 350" o:spid="_x0000_s1026" o:spt="1" style="position:absolute;left:3209271;top:144314;height:266651;width:867331;" fillcolor="#FFFFFF" filled="t" stroked="t" coordsize="21600,21600" o:gfxdata="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DZpHy1AAAAAUBAAAPAAAAAAAA&#10;AAEAIAAAACIAAABkcnMvZG93bnJldi54bWxQSwECFAAUAAAACACHTuJAd8OW9BYCAABEBAAADgAA&#10;AAAAAAABACAAAAAjAQAAZHJzL2Uyb0RvYy54bWxQSwUGAAAAAAYABgBZAQAAqwUAAAAA&#10;">
                  <v:fill on="t" focussize="0,0"/>
                  <v:stroke color="#000000" joinstyle="miter"/>
                  <v:imagedata o:title=""/>
                  <o:lock v:ext="edit" aspectratio="f"/>
                  <v:textbox>
                    <w:txbxContent>
                      <w:p w14:paraId="22A7FBAF">
                        <w:pPr>
                          <w:spacing w:before="0" w:beforeLines="0" w:after="0" w:afterLines="0" w:line="240" w:lineRule="auto"/>
                          <w:jc w:val="center"/>
                          <w:rPr>
                            <w:rFonts w:ascii="Calibri" w:hAnsi="Calibri" w:eastAsia="宋体" w:cs="Times New Roman"/>
                            <w:sz w:val="21"/>
                            <w:szCs w:val="24"/>
                          </w:rPr>
                        </w:pPr>
                        <w:r>
                          <w:rPr>
                            <w:rFonts w:hint="eastAsia" w:ascii="Calibri" w:hAnsi="Calibri" w:eastAsia="宋体" w:cs="Times New Roman"/>
                            <w:sz w:val="21"/>
                            <w:szCs w:val="24"/>
                          </w:rPr>
                          <w:t>卸料门</w:t>
                        </w:r>
                      </w:p>
                      <w:p w14:paraId="216F21E6">
                        <w:pPr>
                          <w:spacing w:before="0" w:beforeLines="0" w:after="0" w:afterLines="0" w:line="240" w:lineRule="auto"/>
                          <w:rPr>
                            <w:rFonts w:ascii="Calibri" w:hAnsi="Calibri" w:eastAsia="宋体" w:cs="Times New Roman"/>
                            <w:sz w:val="21"/>
                            <w:szCs w:val="24"/>
                          </w:rPr>
                        </w:pPr>
                        <w:r>
                          <w:rPr>
                            <w:rFonts w:hint="eastAsia" w:ascii="Calibri" w:hAnsi="Calibri" w:eastAsia="宋体" w:cs="Times New Roman"/>
                            <w:vanish/>
                            <w:sz w:val="21"/>
                            <w:szCs w:val="24"/>
                          </w:rPr>
                          <w:cr/>
                        </w:r>
                        <w:r>
                          <w:rPr>
                            <w:rFonts w:hint="eastAsia" w:ascii="Calibri" w:hAnsi="Calibri" w:eastAsia="宋体" w:cs="Times New Roman"/>
                            <w:vanish/>
                            <w:sz w:val="21"/>
                            <w:szCs w:val="24"/>
                          </w:rPr>
                          <w:t>下表过路=</w:t>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p>
                    </w:txbxContent>
                  </v:textbox>
                </v:rect>
                <v:rect id="矩形 351" o:spid="_x0000_s1026" o:spt="1" style="position:absolute;left:4286109;top:144314;height:266651;width:867331;" fillcolor="#FFFFFF" filled="t" stroked="t" coordsize="21600,21600" o:gfxdata="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MNmkfLUAAAABQEAAA8A&#10;AAAAAAAAAQAgAAAAIgAAAGRycy9kb3ducmV2LnhtbFBLAQIUABQAAAAIAIdO4kB0SBoXGwIAAEQE&#10;AAAOAAAAAAAAAAEAIAAAACMBAABkcnMvZTJvRG9jLnhtbFBLBQYAAAAABgAGAFkBAACwBQAAAAA=&#10;">
                  <v:fill on="t" focussize="0,0"/>
                  <v:stroke color="#000000" joinstyle="miter"/>
                  <v:imagedata o:title=""/>
                  <o:lock v:ext="edit" aspectratio="f"/>
                  <v:textbox>
                    <w:txbxContent>
                      <w:p w14:paraId="65EE6F8D">
                        <w:pPr>
                          <w:spacing w:before="0" w:beforeLines="0" w:after="0" w:afterLines="0" w:line="240" w:lineRule="auto"/>
                          <w:jc w:val="center"/>
                          <w:rPr>
                            <w:rFonts w:ascii="Calibri" w:hAnsi="Calibri" w:eastAsia="宋体" w:cs="Times New Roman"/>
                            <w:sz w:val="21"/>
                            <w:szCs w:val="24"/>
                          </w:rPr>
                        </w:pPr>
                        <w:r>
                          <w:rPr>
                            <w:rFonts w:hint="eastAsia" w:ascii="Calibri" w:hAnsi="Calibri" w:eastAsia="宋体" w:cs="Times New Roman"/>
                            <w:sz w:val="21"/>
                            <w:szCs w:val="24"/>
                          </w:rPr>
                          <w:t>垃圾仓</w:t>
                        </w:r>
                      </w:p>
                      <w:p w14:paraId="073A5FAC">
                        <w:pPr>
                          <w:spacing w:before="0" w:beforeLines="0" w:after="0" w:afterLines="0" w:line="240" w:lineRule="auto"/>
                          <w:rPr>
                            <w:rFonts w:ascii="Calibri" w:hAnsi="Calibri" w:eastAsia="宋体" w:cs="Times New Roman"/>
                            <w:sz w:val="21"/>
                            <w:szCs w:val="24"/>
                          </w:rPr>
                        </w:pPr>
                        <w:r>
                          <w:rPr>
                            <w:rFonts w:hint="eastAsia" w:ascii="Calibri" w:hAnsi="Calibri" w:eastAsia="宋体" w:cs="Times New Roman"/>
                            <w:vanish/>
                            <w:sz w:val="21"/>
                            <w:szCs w:val="24"/>
                          </w:rPr>
                          <w:cr/>
                        </w:r>
                        <w:r>
                          <w:rPr>
                            <w:rFonts w:hint="eastAsia" w:ascii="Calibri" w:hAnsi="Calibri" w:eastAsia="宋体" w:cs="Times New Roman"/>
                            <w:vanish/>
                            <w:sz w:val="21"/>
                            <w:szCs w:val="24"/>
                          </w:rPr>
                          <w:t>下表过路=</w:t>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p>
                    </w:txbxContent>
                  </v:textbox>
                </v:rect>
                <v:rect id="矩形 352" o:spid="_x0000_s1026" o:spt="1" style="position:absolute;left:4286109;top:744279;height:266651;width:867331;" fillcolor="#FFFFFF" filled="t" stroked="t" coordsize="21600,21600" o:gfxdata="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DZpHy1AAAAAUBAAAPAAAA&#10;AAAAAAEAIAAAACIAAABkcnMvZG93bnJldi54bWxQSwECFAAUAAAACACHTuJAqZcjzRkCAABEBAAA&#10;DgAAAAAAAAABACAAAAAjAQAAZHJzL2Uyb0RvYy54bWxQSwUGAAAAAAYABgBZAQAArgUAAAAA&#10;">
                  <v:fill on="t" focussize="0,0"/>
                  <v:stroke color="#000000" joinstyle="miter"/>
                  <v:imagedata o:title=""/>
                  <o:lock v:ext="edit" aspectratio="f"/>
                  <v:textbox>
                    <w:txbxContent>
                      <w:p w14:paraId="56D0DBBE">
                        <w:pPr>
                          <w:spacing w:before="0" w:beforeLines="0" w:after="0" w:afterLines="0" w:line="240" w:lineRule="auto"/>
                          <w:jc w:val="center"/>
                          <w:rPr>
                            <w:rFonts w:ascii="Calibri" w:hAnsi="Calibri" w:eastAsia="宋体" w:cs="Times New Roman"/>
                            <w:sz w:val="21"/>
                            <w:szCs w:val="24"/>
                          </w:rPr>
                        </w:pPr>
                        <w:r>
                          <w:rPr>
                            <w:rFonts w:hint="eastAsia" w:ascii="Calibri" w:hAnsi="Calibri" w:eastAsia="宋体" w:cs="Times New Roman"/>
                            <w:sz w:val="21"/>
                            <w:szCs w:val="24"/>
                          </w:rPr>
                          <w:t>抓斗吊车</w:t>
                        </w:r>
                      </w:p>
                      <w:p w14:paraId="258AE191">
                        <w:pPr>
                          <w:spacing w:before="0" w:beforeLines="0" w:after="0" w:afterLines="0" w:line="240" w:lineRule="auto"/>
                          <w:rPr>
                            <w:rFonts w:ascii="Calibri" w:hAnsi="Calibri" w:eastAsia="宋体" w:cs="Times New Roman"/>
                            <w:sz w:val="21"/>
                            <w:szCs w:val="24"/>
                          </w:rPr>
                        </w:pPr>
                        <w:r>
                          <w:rPr>
                            <w:rFonts w:hint="eastAsia" w:ascii="Calibri" w:hAnsi="Calibri" w:eastAsia="宋体" w:cs="Times New Roman"/>
                            <w:vanish/>
                            <w:sz w:val="21"/>
                            <w:szCs w:val="24"/>
                          </w:rPr>
                          <w:cr/>
                        </w:r>
                        <w:r>
                          <w:rPr>
                            <w:rFonts w:hint="eastAsia" w:ascii="Calibri" w:hAnsi="Calibri" w:eastAsia="宋体" w:cs="Times New Roman"/>
                            <w:vanish/>
                            <w:sz w:val="21"/>
                            <w:szCs w:val="24"/>
                          </w:rPr>
                          <w:t>下表过路=</w:t>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p>
                    </w:txbxContent>
                  </v:textbox>
                </v:rect>
                <v:rect id="矩形 353" o:spid="_x0000_s1026" o:spt="1" style="position:absolute;left:3209271;top:744279;height:266651;width:867331;" fillcolor="#FFFFFF" filled="t" stroked="t" coordsize="21600,21600" o:gfxdata="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MNmkfLUAAAABQEAAA8AAAAA&#10;AAAAAQAgAAAAIgAAAGRycy9kb3ducmV2LnhtbFBLAQIUABQAAAAIAIdO4kDK5c4YGAIAAEQEAAAO&#10;AAAAAAAAAAEAIAAAACMBAABkcnMvZTJvRG9jLnhtbFBLBQYAAAAABgAGAFkBAACtBQAAAAA=&#10;">
                  <v:fill on="t" focussize="0,0"/>
                  <v:stroke color="#000000" joinstyle="miter"/>
                  <v:imagedata o:title=""/>
                  <o:lock v:ext="edit" aspectratio="f"/>
                  <v:textbox>
                    <w:txbxContent>
                      <w:p w14:paraId="746964D4">
                        <w:pPr>
                          <w:spacing w:before="0" w:beforeLines="0" w:after="0" w:afterLines="0" w:line="240" w:lineRule="auto"/>
                          <w:jc w:val="center"/>
                          <w:rPr>
                            <w:rFonts w:ascii="Calibri" w:hAnsi="Calibri" w:eastAsia="宋体" w:cs="Times New Roman"/>
                            <w:sz w:val="21"/>
                            <w:szCs w:val="24"/>
                          </w:rPr>
                        </w:pPr>
                        <w:r>
                          <w:rPr>
                            <w:rFonts w:hint="eastAsia" w:ascii="Calibri" w:hAnsi="Calibri" w:eastAsia="宋体" w:cs="Times New Roman"/>
                            <w:sz w:val="21"/>
                            <w:szCs w:val="24"/>
                          </w:rPr>
                          <w:t>进料斗</w:t>
                        </w:r>
                      </w:p>
                      <w:p w14:paraId="0A4E0C1C">
                        <w:pPr>
                          <w:spacing w:before="0" w:beforeLines="0" w:after="0" w:afterLines="0" w:line="240" w:lineRule="auto"/>
                          <w:rPr>
                            <w:rFonts w:ascii="Calibri" w:hAnsi="Calibri" w:eastAsia="宋体" w:cs="Times New Roman"/>
                            <w:sz w:val="21"/>
                            <w:szCs w:val="24"/>
                          </w:rPr>
                        </w:pPr>
                        <w:r>
                          <w:rPr>
                            <w:rFonts w:hint="eastAsia" w:ascii="Calibri" w:hAnsi="Calibri" w:eastAsia="宋体" w:cs="Times New Roman"/>
                            <w:vanish/>
                            <w:sz w:val="21"/>
                            <w:szCs w:val="24"/>
                          </w:rPr>
                          <w:cr/>
                        </w:r>
                        <w:r>
                          <w:rPr>
                            <w:rFonts w:hint="eastAsia" w:ascii="Calibri" w:hAnsi="Calibri" w:eastAsia="宋体" w:cs="Times New Roman"/>
                            <w:vanish/>
                            <w:sz w:val="21"/>
                            <w:szCs w:val="24"/>
                          </w:rPr>
                          <w:t>下表过路=</w:t>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p>
                    </w:txbxContent>
                  </v:textbox>
                </v:rect>
                <v:rect id="矩形 355" o:spid="_x0000_s1026" o:spt="1" style="position:absolute;left:1073176;top:744279;height:266651;width:867331;" fillcolor="#FFFFFF" filled="t" stroked="t" coordsize="21600,21600" o:gfxdata="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DZpHy1AAAAAUBAAAPAAAA&#10;AAAAAAEAIAAAACIAAABkcnMvZG93bnJldi54bWxQSwECFAAUAAAACACHTuJA5hQyZRkCAABEBAAA&#10;DgAAAAAAAAABACAAAAAjAQAAZHJzL2Uyb0RvYy54bWxQSwUGAAAAAAYABgBZAQAArgUAAAAA&#10;">
                  <v:fill on="t" focussize="0,0"/>
                  <v:stroke color="#000000" joinstyle="miter"/>
                  <v:imagedata o:title=""/>
                  <o:lock v:ext="edit" aspectratio="f"/>
                  <v:textbox>
                    <w:txbxContent>
                      <w:p w14:paraId="1C6A4EFB">
                        <w:pPr>
                          <w:spacing w:before="0" w:beforeLines="0" w:after="0" w:afterLines="0" w:line="240" w:lineRule="auto"/>
                          <w:jc w:val="center"/>
                          <w:rPr>
                            <w:rFonts w:ascii="Calibri" w:hAnsi="Calibri" w:eastAsia="宋体" w:cs="Times New Roman"/>
                            <w:sz w:val="21"/>
                            <w:szCs w:val="24"/>
                          </w:rPr>
                        </w:pPr>
                        <w:r>
                          <w:rPr>
                            <w:rFonts w:hint="eastAsia" w:ascii="Calibri" w:hAnsi="Calibri" w:eastAsia="宋体" w:cs="Times New Roman"/>
                            <w:sz w:val="21"/>
                            <w:szCs w:val="24"/>
                          </w:rPr>
                          <w:t>出渣机</w:t>
                        </w:r>
                      </w:p>
                      <w:p w14:paraId="3564A65C">
                        <w:pPr>
                          <w:spacing w:before="0" w:beforeLines="0" w:after="0" w:afterLines="0" w:line="240" w:lineRule="auto"/>
                          <w:rPr>
                            <w:rFonts w:ascii="Calibri" w:hAnsi="Calibri" w:eastAsia="宋体" w:cs="Times New Roman"/>
                            <w:sz w:val="21"/>
                            <w:szCs w:val="24"/>
                          </w:rPr>
                        </w:pPr>
                        <w:r>
                          <w:rPr>
                            <w:rFonts w:hint="eastAsia" w:ascii="Calibri" w:hAnsi="Calibri" w:eastAsia="宋体" w:cs="Times New Roman"/>
                            <w:vanish/>
                            <w:sz w:val="21"/>
                            <w:szCs w:val="24"/>
                          </w:rPr>
                          <w:cr/>
                        </w:r>
                        <w:r>
                          <w:rPr>
                            <w:rFonts w:hint="eastAsia" w:ascii="Calibri" w:hAnsi="Calibri" w:eastAsia="宋体" w:cs="Times New Roman"/>
                            <w:vanish/>
                            <w:sz w:val="21"/>
                            <w:szCs w:val="24"/>
                          </w:rPr>
                          <w:t>下表过路=</w:t>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p>
                    </w:txbxContent>
                  </v:textbox>
                </v:rect>
                <v:shape id="自选图形 356" o:spid="_x0000_s1026" o:spt="32" type="#_x0000_t32" style="position:absolute;left:847552;top:277640;height:733;width:225623;" filled="f" stroked="t" coordsize="21600,21600" o:gfxdata="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xGmxC1QAAAAUBAAAPAAAAAAAAAAEAIAAAACIA&#10;AABkcnMvZG93bnJldi54bWxQSwECFAAUAAAACACHTuJAJu601QwCAAD1AwAADgAAAAAAAAABACAA&#10;AAAkAQAAZHJzL2Uyb0RvYy54bWxQSwUGAAAAAAYABgBZAQAAogUAAAAA&#10;">
                  <v:fill on="f" focussize="0,0"/>
                  <v:stroke color="#000000" joinstyle="round" endarrow="block"/>
                  <v:imagedata o:title=""/>
                  <o:lock v:ext="edit" aspectratio="f"/>
                </v:shape>
                <v:shape id="自选图形 357" o:spid="_x0000_s1026" o:spt="32" type="#_x0000_t32" style="position:absolute;left:1940507;top:277640;height:733;width:223426;" filled="f" stroked="t" coordsize="21600,21600" o:gfxdata="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xGmxC1QAAAAUBAAAPAAAAAAAAAAEAIAAAACIA&#10;AABkcnMvZG93bnJldi54bWxQSwECFAAUAAAACACHTuJA0+RRHgwCAAD2AwAADgAAAAAAAAABACAA&#10;AAAkAQAAZHJzL2Uyb0RvYy54bWxQSwUGAAAAAAYABgBZAQAAogUAAAAA&#10;">
                  <v:fill on="f" focussize="0,0"/>
                  <v:stroke color="#000000" joinstyle="round" endarrow="block"/>
                  <v:imagedata o:title=""/>
                  <o:lock v:ext="edit" aspectratio="f"/>
                </v:shape>
                <v:shape id="自选图形 358" o:spid="_x0000_s1026" o:spt="32" type="#_x0000_t32" style="position:absolute;left:3031263;top:277640;height:733;width:178008;" filled="f" stroked="t" coordsize="21600,21600" o:gfxdata="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xGmxC1QAAAAUBAAAPAAAAAAAAAAEAIAAAACIA&#10;AABkcnMvZG93bnJldi54bWxQSwECFAAUAAAACACHTuJAigqHNQwCAAD2AwAADgAAAAAAAAABACAA&#10;AAAkAQAAZHJzL2Uyb0RvYy54bWxQSwUGAAAAAAYABgBZAQAAogUAAAAA&#10;">
                  <v:fill on="f" focussize="0,0"/>
                  <v:stroke color="#000000" joinstyle="round" endarrow="block"/>
                  <v:imagedata o:title=""/>
                  <o:lock v:ext="edit" aspectratio="f"/>
                </v:shape>
                <v:shape id="自选图形 359" o:spid="_x0000_s1026" o:spt="32" type="#_x0000_t32" style="position:absolute;left:4076602;top:277640;height:733;width:209507;" filled="f" stroked="t" coordsize="21600,21600" o:gfxdata="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HEabELVAAAABQEAAA8AAAAAAAAAAQAgAAAAIgAA&#10;AGRycy9kb3ducmV2LnhtbFBLAQIUABQAAAAIAIdO4kCdVDNVCwIAAPYDAAAOAAAAAAAAAAEAIAAA&#10;ACQBAABkcnMvZTJvRG9jLnhtbFBLBQYAAAAABgAGAFkBAAChBQAAAAA=&#10;">
                  <v:fill on="f" focussize="0,0"/>
                  <v:stroke color="#000000" joinstyle="round" endarrow="block"/>
                  <v:imagedata o:title=""/>
                  <o:lock v:ext="edit" aspectratio="f"/>
                </v:shape>
                <v:shape id="自选图形 360" o:spid="_x0000_s1026" o:spt="32" type="#_x0000_t32" style="position:absolute;left:4719775;top:410965;height:333314;width:733;" filled="f" stroked="t" coordsize="21600,21600" o:gfxdata="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HEabELVAAAABQEAAA8AAAAAAAAAAQAgAAAAIgAAAGRy&#10;cy9kb3ducmV2LnhtbFBLAQIUABQAAAAIAIdO4kDhBuc3CAIAAPYDAAAOAAAAAAAAAAEAIAAAACQB&#10;AABkcnMvZTJvRG9jLnhtbFBLBQYAAAAABgAGAFkBAACeBQAAAAA=&#10;">
                  <v:fill on="f" focussize="0,0"/>
                  <v:stroke color="#000000" joinstyle="round" endarrow="block"/>
                  <v:imagedata o:title=""/>
                  <o:lock v:ext="edit" aspectratio="f"/>
                </v:shape>
                <v:shape id="自选图形 361" o:spid="_x0000_s1026" o:spt="32" type="#_x0000_t32" style="position:absolute;left:4076602;top:877605;flip:x;height:733;width:209507;" filled="f" stroked="t" coordsize="21600,21600" o:gfxdata="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EGGRDzVAAAABQEAAA8AAAAAAAAA&#10;AQAgAAAAIgAAAGRycy9kb3ducmV2LnhtbFBLAQIUABQAAAAIAIdO4kCV4zZQFAIAAAAEAAAOAAAA&#10;AAAAAAEAIAAAACQBAABkcnMvZTJvRG9jLnhtbFBLBQYAAAAABgAGAFkBAACqBQAAAAA=&#10;">
                  <v:fill on="f" focussize="0,0"/>
                  <v:stroke color="#000000" joinstyle="round" endarrow="block"/>
                  <v:imagedata o:title=""/>
                  <o:lock v:ext="edit" aspectratio="f"/>
                </v:shape>
                <v:shape id="自选图形 362" o:spid="_x0000_s1026" o:spt="32" type="#_x0000_t32" style="position:absolute;left:3029066;top:877605;flip:x;height:733;width:180206;" filled="f" stroked="t" coordsize="21600,21600" o:gfxdata="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EGGRDzVAAAABQEAAA8AAAAAAAAA&#10;AQAgAAAAIgAAAGRycy9kb3ducmV2LnhtbFBLAQIUABQAAAAIAIdO4kDNQGoTFAIAAAAEAAAOAAAA&#10;AAAAAAEAIAAAACQBAABkcnMvZTJvRG9jLnhtbFBLBQYAAAAABgAGAFkBAACqBQAAAAA=&#10;">
                  <v:fill on="f" focussize="0,0"/>
                  <v:stroke color="#000000" joinstyle="round" endarrow="block"/>
                  <v:imagedata o:title=""/>
                  <o:lock v:ext="edit" aspectratio="f"/>
                </v:shape>
                <v:shape id="自选图形 363" o:spid="_x0000_s1026" o:spt="32" type="#_x0000_t32" style="position:absolute;left:1940507;top:877605;flip:x;height:733;width:221228;" filled="f" stroked="t" coordsize="21600,21600" o:gfxdata="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QYZEPNUAAAAFAQAADwAAAAAA&#10;AAABACAAAAAiAAAAZHJzL2Rvd25yZXYueG1sUEsBAhQAFAAAAAgAh07iQFlU2acWAgAAAAQAAA4A&#10;AAAAAAAAAQAgAAAAJAEAAGRycy9lMm9Eb2MueG1sUEsFBgAAAAAGAAYAWQEAAKwFAAAAAA==&#10;">
                  <v:fill on="f" focussize="0,0"/>
                  <v:stroke color="#000000" joinstyle="round" endarrow="block"/>
                  <v:imagedata o:title=""/>
                  <o:lock v:ext="edit" aspectratio="f"/>
                </v:shape>
                <v:rect id="矩形 353" o:spid="_x0000_s1026" o:spt="1" style="position:absolute;left:2179955;top:757555;height:266700;width:867410;" fillcolor="#FFFFFF" filled="t" stroked="t" coordsize="21600,21600" o:gfxdata="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DZpHy1AAAAAUBAAAPAAAA&#10;AAAAAAEAIAAAACIAAABkcnMvZG93bnJldi54bWxQSwECFAAUAAAACACHTuJAmJ6oFhkCAABEBAAA&#10;DgAAAAAAAAABACAAAAAjAQAAZHJzL2Uyb0RvYy54bWxQSwUGAAAAAAYABgBZAQAArgUAAAAA&#10;">
                  <v:fill on="t" focussize="0,0"/>
                  <v:stroke color="#000000" joinstyle="miter"/>
                  <v:imagedata o:title=""/>
                  <o:lock v:ext="edit" aspectratio="f"/>
                  <v:textbox>
                    <w:txbxContent>
                      <w:p w14:paraId="7CE38500">
                        <w:pPr>
                          <w:spacing w:before="0" w:beforeLines="0" w:after="0" w:afterLines="0" w:line="240" w:lineRule="auto"/>
                          <w:jc w:val="center"/>
                          <w:rPr>
                            <w:rFonts w:ascii="Calibri" w:hAnsi="Calibri" w:eastAsia="宋体" w:cs="Times New Roman"/>
                            <w:sz w:val="21"/>
                            <w:szCs w:val="24"/>
                          </w:rPr>
                        </w:pPr>
                        <w:r>
                          <w:rPr>
                            <w:rFonts w:hint="eastAsia" w:ascii="Calibri" w:hAnsi="Calibri" w:eastAsia="宋体" w:cs="Times New Roman"/>
                            <w:sz w:val="21"/>
                            <w:szCs w:val="24"/>
                          </w:rPr>
                          <w:t>焚烧炉排</w:t>
                        </w:r>
                      </w:p>
                      <w:p w14:paraId="3F72442A">
                        <w:pPr>
                          <w:spacing w:before="0" w:beforeLines="0" w:after="0" w:afterLines="0" w:line="240" w:lineRule="auto"/>
                          <w:rPr>
                            <w:rFonts w:ascii="Calibri" w:hAnsi="Calibri" w:eastAsia="宋体" w:cs="Times New Roman"/>
                            <w:sz w:val="21"/>
                            <w:szCs w:val="24"/>
                          </w:rPr>
                        </w:pPr>
                        <w:r>
                          <w:rPr>
                            <w:rFonts w:hint="eastAsia" w:ascii="Calibri" w:hAnsi="Calibri" w:eastAsia="宋体" w:cs="Times New Roman"/>
                            <w:vanish/>
                            <w:sz w:val="21"/>
                            <w:szCs w:val="24"/>
                          </w:rPr>
                          <w:cr/>
                        </w:r>
                        <w:r>
                          <w:rPr>
                            <w:rFonts w:hint="eastAsia" w:ascii="Calibri" w:hAnsi="Calibri" w:eastAsia="宋体" w:cs="Times New Roman"/>
                            <w:vanish/>
                            <w:sz w:val="21"/>
                            <w:szCs w:val="24"/>
                          </w:rPr>
                          <w:t>下表过路=</w:t>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r>
                          <w:rPr>
                            <w:rFonts w:hint="eastAsia" w:ascii="Calibri" w:hAnsi="Calibri" w:eastAsia="宋体" w:cs="Times New Roman"/>
                            <w:vanish/>
                            <w:sz w:val="21"/>
                            <w:szCs w:val="24"/>
                          </w:rPr>
                          <w:pgNum/>
                        </w:r>
                      </w:p>
                    </w:txbxContent>
                  </v:textbox>
                </v:rect>
                <w10:wrap type="none"/>
                <w10:anchorlock/>
              </v:group>
            </w:pict>
          </mc:Fallback>
        </mc:AlternateContent>
      </w:r>
    </w:p>
    <w:p w14:paraId="1700748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2.2垃圾进厂与储存</w:t>
      </w:r>
    </w:p>
    <w:p w14:paraId="0783B48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2.2.1称重与登记：垃圾运输车进入厂区前，首先经过地磅进行自动称重，数据录入中央控制系统，用于结算和管理。</w:t>
      </w:r>
    </w:p>
    <w:p w14:paraId="62B0F26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2.2.2卸料与贮存：车辆驶入封闭的卸料大厅，将垃圾倒入巨大的垃圾储坑中。储坑是一个密闭负压（内部气压低于外部，防止臭气外溢）的设计，容积通常可储存5-7天的处理量。</w:t>
      </w:r>
    </w:p>
    <w:p w14:paraId="394F8FE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2.2.3发酵与排水：新鲜垃圾在储坑内停留3-5天，进行发酵熟化，沥出约20-25%的水分（形成垃圾渗滤液），同时提高垃圾的热值，使其更易于燃烧稳定。</w:t>
      </w:r>
    </w:p>
    <w:p w14:paraId="3C50D69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2.3上料</w:t>
      </w:r>
    </w:p>
    <w:p w14:paraId="0444CC0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2.3.1垃圾抓吊与混合：桥式垃圾吊车（抓斗）在控制室操作下，对垃圾进行翻倒、混合，使成分和热值均匀，并将混合好的垃圾投入焚烧炉上方的给料斗。</w:t>
      </w:r>
    </w:p>
    <w:p w14:paraId="5E54D1D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2.3.2进料：给料斗下的推料器将垃圾均匀、定量地推入焚烧炉的炉排上，确保进料稳定，这是保证燃烧工况良好的关键。</w:t>
      </w:r>
    </w:p>
    <w:p w14:paraId="7703B52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2.4高温焚烧</w:t>
      </w:r>
    </w:p>
    <w:p w14:paraId="644A211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2.4.1垃圾在机械炉排炉（最主流炉型）上完成焚烧：</w:t>
      </w:r>
    </w:p>
    <w:p w14:paraId="0AE3592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（1）干燥段：利用炉膛的热辐射和从炉排下方送入的热空气，蒸发垃圾中的残余水分。</w:t>
      </w:r>
    </w:p>
    <w:p w14:paraId="4EDEF33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（2）燃烧段：炉排往复运动，搅动并向前输送垃圾。在约850-1050℃的高温下，垃圾中的可燃物与充足空气充分混合，剧烈燃烧。</w:t>
      </w:r>
    </w:p>
    <w:p w14:paraId="5A24A57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（3）燃烬段：使垃圾中的固定碳完全燃烧，最终形成炉渣。</w:t>
      </w:r>
    </w:p>
    <w:p w14:paraId="4AEBEFE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2.5蒸汽冷却</w:t>
      </w:r>
    </w:p>
    <w:p w14:paraId="585FB44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2.5.1余热锅炉：焚烧产生的高温烟气（约850-950℃）进入与炉膛连接一体的余热锅炉。锅炉内布满了水管，烟气加热水管，将水变成低温低压的蒸汽。本项目蒸汽暂无外供条件，采用循环冷却水进行冷却后循环利用。</w:t>
      </w:r>
    </w:p>
    <w:p w14:paraId="6A93100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2.6烟气净化</w:t>
      </w:r>
    </w:p>
    <w:p w14:paraId="26DBDF4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2.6.1余热锅炉出口产生的烟气通过脱酸、脱硝、去除二噁英和重金属以及除尘后达标排放。</w:t>
      </w:r>
    </w:p>
    <w:p w14:paraId="5C105EE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2.7灰渣处理</w:t>
      </w:r>
    </w:p>
    <w:p w14:paraId="7B14ECA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2.7.1炉渣：从炉排末端排出的残渣，是惰性物质，约占入炉垃圾重量的15-20%。经过磁选回收废铁后，可作为建筑材料（如制砖、铺路骨料）进行资源化利用。</w:t>
      </w:r>
    </w:p>
    <w:p w14:paraId="6CC69ED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2.7.2飞灰：从烟气中净化收集的粉尘，约占入炉垃圾重量的2-5%，因含有重金属和二噁英，被列为危险废物。必须在厂内进行稳定化/固化处理（常用水泥+螯合剂），经检测合格后，送入安全填埋场进行专库填埋。</w:t>
      </w:r>
    </w:p>
    <w:p w14:paraId="1AC9CED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2.8</w:t>
      </w:r>
      <w:r>
        <w:rPr>
          <w:rFonts w:ascii="Times New Roman" w:hAnsi="Times New Roman" w:cs="Times New Roman"/>
        </w:rPr>
        <w:t>全厂污水处理</w:t>
      </w:r>
    </w:p>
    <w:p w14:paraId="4B1000D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2.8.1垃圾储坑产生的渗滤液以及厂区其他废水，成分复杂、污染浓度高。会经过独立的渗沥液处理工艺进行处理，本项目处理后的清水达到《污水综合排放标准》（GB8978-1996）三级标准的浓度限值要求，由罐车送至市政污水处理厂处理。</w:t>
      </w:r>
    </w:p>
    <w:p w14:paraId="3FFE0F6D">
      <w:pPr>
        <w:spacing w:before="24" w:after="24"/>
        <w:ind w:firstLine="562" w:firstLineChars="200"/>
        <w:outlineLvl w:val="2"/>
        <w:rPr>
          <w:rFonts w:ascii="Times New Roman" w:hAnsi="Times New Roman" w:cs="Times New Roman"/>
          <w:b/>
          <w:color w:val="0D0D0D" w:themeColor="text1" w:themeTint="F2"/>
          <w14:textFill>
            <w14:solidFill>
              <w14:schemeClr w14:val="tx1">
                <w14:lumMod w14:val="95000"/>
                <w14:lumOff w14:val="5000"/>
              </w14:schemeClr>
            </w14:solidFill>
          </w14:textFill>
        </w:rPr>
      </w:pPr>
      <w:bookmarkStart w:id="60" w:name="_Toc221894102"/>
      <w:r>
        <w:rPr>
          <w:rFonts w:ascii="Times New Roman" w:hAnsi="Times New Roman" w:cs="Times New Roman"/>
          <w:b/>
          <w:color w:val="0D0D0D" w:themeColor="text1" w:themeTint="F2"/>
          <w14:textFill>
            <w14:solidFill>
              <w14:schemeClr w14:val="tx1">
                <w14:lumMod w14:val="95000"/>
                <w14:lumOff w14:val="5000"/>
              </w14:schemeClr>
            </w14:solidFill>
          </w14:textFill>
        </w:rPr>
        <w:t>3、质量要求</w:t>
      </w:r>
      <w:bookmarkEnd w:id="60"/>
    </w:p>
    <w:p w14:paraId="10A2AD1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3.1从打造清洁城市的需要出发，在可靠和稳定处理垃圾的同时，必须严格环保标准，降低污染物排放浓度。烟气排放标准满足国家标准《生活垃圾焚烧污染控制标准》（GB18485-2014）的要求（最终排放限值以本项目环境影响评价及其批复为准）</w:t>
      </w:r>
    </w:p>
    <w:p w14:paraId="4BD6A1FF">
      <w:pPr>
        <w:spacing w:before="24" w:after="24"/>
        <w:ind w:firstLine="560" w:firstLineChars="200"/>
        <w:jc w:val="center"/>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表3.1烟气排放指标表</w:t>
      </w:r>
    </w:p>
    <w:tbl>
      <w:tblPr>
        <w:tblStyle w:val="3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1461"/>
        <w:gridCol w:w="1567"/>
        <w:gridCol w:w="1381"/>
        <w:gridCol w:w="1342"/>
        <w:gridCol w:w="1213"/>
        <w:gridCol w:w="1513"/>
      </w:tblGrid>
      <w:tr w14:paraId="3219F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800" w:type="dxa"/>
            <w:vMerge w:val="restart"/>
            <w:vAlign w:val="center"/>
          </w:tcPr>
          <w:p w14:paraId="0411834A">
            <w:pPr>
              <w:pStyle w:val="71"/>
              <w:spacing w:before="24" w:after="24"/>
              <w:rPr>
                <w:rFonts w:cs="Times New Roman"/>
              </w:rPr>
            </w:pPr>
            <w:r>
              <w:rPr>
                <w:rFonts w:cs="Times New Roman"/>
              </w:rPr>
              <w:t>序号</w:t>
            </w:r>
          </w:p>
        </w:tc>
        <w:tc>
          <w:tcPr>
            <w:tcW w:w="1462" w:type="dxa"/>
            <w:vMerge w:val="restart"/>
            <w:vAlign w:val="center"/>
          </w:tcPr>
          <w:p w14:paraId="2EE66495">
            <w:pPr>
              <w:pStyle w:val="71"/>
              <w:spacing w:before="24" w:after="24"/>
              <w:rPr>
                <w:rFonts w:cs="Times New Roman"/>
              </w:rPr>
            </w:pPr>
            <w:r>
              <w:rPr>
                <w:rFonts w:cs="Times New Roman"/>
              </w:rPr>
              <w:t>污染物名称</w:t>
            </w:r>
          </w:p>
        </w:tc>
        <w:tc>
          <w:tcPr>
            <w:tcW w:w="1569" w:type="dxa"/>
            <w:vMerge w:val="restart"/>
            <w:vAlign w:val="center"/>
          </w:tcPr>
          <w:p w14:paraId="57AD7288">
            <w:pPr>
              <w:pStyle w:val="71"/>
              <w:spacing w:before="24" w:after="24"/>
              <w:rPr>
                <w:rFonts w:cs="Times New Roman"/>
              </w:rPr>
            </w:pPr>
            <w:r>
              <w:rPr>
                <w:rFonts w:cs="Times New Roman"/>
              </w:rPr>
              <w:t>单位</w:t>
            </w:r>
          </w:p>
        </w:tc>
        <w:tc>
          <w:tcPr>
            <w:tcW w:w="2724" w:type="dxa"/>
            <w:gridSpan w:val="2"/>
            <w:vAlign w:val="center"/>
          </w:tcPr>
          <w:p w14:paraId="340FB368">
            <w:pPr>
              <w:pStyle w:val="71"/>
              <w:spacing w:before="24" w:after="24"/>
              <w:rPr>
                <w:rFonts w:cs="Times New Roman"/>
              </w:rPr>
            </w:pPr>
            <w:r>
              <w:rPr>
                <w:rFonts w:cs="Times New Roman"/>
              </w:rPr>
              <w:t>国标GB18485-2014</w:t>
            </w:r>
          </w:p>
        </w:tc>
        <w:tc>
          <w:tcPr>
            <w:tcW w:w="2727" w:type="dxa"/>
            <w:gridSpan w:val="2"/>
            <w:vAlign w:val="center"/>
          </w:tcPr>
          <w:p w14:paraId="59627B1D">
            <w:pPr>
              <w:pStyle w:val="71"/>
              <w:spacing w:before="24" w:after="24"/>
              <w:rPr>
                <w:rFonts w:cs="Times New Roman"/>
              </w:rPr>
            </w:pPr>
            <w:r>
              <w:rPr>
                <w:rFonts w:cs="Times New Roman"/>
              </w:rPr>
              <w:t>本工程保证值</w:t>
            </w:r>
          </w:p>
        </w:tc>
      </w:tr>
      <w:tr w14:paraId="20D58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800" w:type="dxa"/>
            <w:vMerge w:val="continue"/>
            <w:vAlign w:val="center"/>
          </w:tcPr>
          <w:p w14:paraId="29D8E428">
            <w:pPr>
              <w:pStyle w:val="71"/>
              <w:spacing w:before="24" w:after="24"/>
              <w:rPr>
                <w:rFonts w:cs="Times New Roman"/>
              </w:rPr>
            </w:pPr>
          </w:p>
        </w:tc>
        <w:tc>
          <w:tcPr>
            <w:tcW w:w="1462" w:type="dxa"/>
            <w:vMerge w:val="continue"/>
            <w:vAlign w:val="center"/>
          </w:tcPr>
          <w:p w14:paraId="00B590E0">
            <w:pPr>
              <w:pStyle w:val="71"/>
              <w:spacing w:before="24" w:after="24"/>
              <w:rPr>
                <w:rFonts w:cs="Times New Roman"/>
              </w:rPr>
            </w:pPr>
          </w:p>
        </w:tc>
        <w:tc>
          <w:tcPr>
            <w:tcW w:w="1569" w:type="dxa"/>
            <w:vMerge w:val="continue"/>
            <w:vAlign w:val="center"/>
          </w:tcPr>
          <w:p w14:paraId="508399A5">
            <w:pPr>
              <w:pStyle w:val="71"/>
              <w:spacing w:before="24" w:after="24"/>
              <w:rPr>
                <w:rFonts w:cs="Times New Roman"/>
              </w:rPr>
            </w:pPr>
          </w:p>
        </w:tc>
        <w:tc>
          <w:tcPr>
            <w:tcW w:w="1382" w:type="dxa"/>
            <w:vAlign w:val="center"/>
          </w:tcPr>
          <w:p w14:paraId="63AA3897">
            <w:pPr>
              <w:pStyle w:val="71"/>
              <w:spacing w:before="24" w:after="24"/>
              <w:rPr>
                <w:rFonts w:cs="Times New Roman"/>
              </w:rPr>
            </w:pPr>
            <w:r>
              <w:rPr>
                <w:rFonts w:cs="Times New Roman"/>
              </w:rPr>
              <w:t>日平均</w:t>
            </w:r>
          </w:p>
        </w:tc>
        <w:tc>
          <w:tcPr>
            <w:tcW w:w="1342" w:type="dxa"/>
            <w:vAlign w:val="center"/>
          </w:tcPr>
          <w:p w14:paraId="1449E282">
            <w:pPr>
              <w:pStyle w:val="71"/>
              <w:spacing w:before="24" w:after="24"/>
              <w:rPr>
                <w:rFonts w:cs="Times New Roman"/>
              </w:rPr>
            </w:pPr>
            <w:r>
              <w:rPr>
                <w:rFonts w:cs="Times New Roman"/>
              </w:rPr>
              <w:t>小时平均</w:t>
            </w:r>
          </w:p>
        </w:tc>
        <w:tc>
          <w:tcPr>
            <w:tcW w:w="1213" w:type="dxa"/>
            <w:vAlign w:val="center"/>
          </w:tcPr>
          <w:p w14:paraId="71834D0C">
            <w:pPr>
              <w:pStyle w:val="71"/>
              <w:spacing w:before="24" w:after="24"/>
              <w:rPr>
                <w:rFonts w:cs="Times New Roman"/>
              </w:rPr>
            </w:pPr>
            <w:r>
              <w:rPr>
                <w:rFonts w:cs="Times New Roman"/>
              </w:rPr>
              <w:t>日平均</w:t>
            </w:r>
          </w:p>
        </w:tc>
        <w:tc>
          <w:tcPr>
            <w:tcW w:w="1514" w:type="dxa"/>
            <w:vAlign w:val="center"/>
          </w:tcPr>
          <w:p w14:paraId="552FAB90">
            <w:pPr>
              <w:pStyle w:val="71"/>
              <w:spacing w:before="24" w:after="24"/>
              <w:rPr>
                <w:rFonts w:cs="Times New Roman"/>
              </w:rPr>
            </w:pPr>
            <w:r>
              <w:rPr>
                <w:rFonts w:cs="Times New Roman"/>
              </w:rPr>
              <w:t>小时平均</w:t>
            </w:r>
          </w:p>
        </w:tc>
      </w:tr>
      <w:tr w14:paraId="42012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Pr>
          <w:p w14:paraId="3A3072E0">
            <w:pPr>
              <w:pStyle w:val="71"/>
              <w:spacing w:before="24" w:after="24"/>
              <w:rPr>
                <w:rFonts w:cs="Times New Roman"/>
              </w:rPr>
            </w:pPr>
            <w:r>
              <w:rPr>
                <w:rFonts w:cs="Times New Roman"/>
              </w:rPr>
              <w:t>1</w:t>
            </w:r>
          </w:p>
        </w:tc>
        <w:tc>
          <w:tcPr>
            <w:tcW w:w="1462" w:type="dxa"/>
            <w:vAlign w:val="center"/>
          </w:tcPr>
          <w:p w14:paraId="6FB3E10D">
            <w:pPr>
              <w:pStyle w:val="71"/>
              <w:spacing w:before="24" w:after="24"/>
              <w:rPr>
                <w:rFonts w:cs="Times New Roman"/>
              </w:rPr>
            </w:pPr>
            <w:r>
              <w:rPr>
                <w:rFonts w:cs="Times New Roman"/>
              </w:rPr>
              <w:t>颗粒物</w:t>
            </w:r>
          </w:p>
        </w:tc>
        <w:tc>
          <w:tcPr>
            <w:tcW w:w="1569" w:type="dxa"/>
            <w:vAlign w:val="center"/>
          </w:tcPr>
          <w:p w14:paraId="62CD9C38">
            <w:pPr>
              <w:pStyle w:val="71"/>
              <w:spacing w:before="24" w:after="24"/>
              <w:rPr>
                <w:rFonts w:cs="Times New Roman"/>
              </w:rPr>
            </w:pPr>
            <w:r>
              <w:rPr>
                <w:rFonts w:cs="Times New Roman"/>
              </w:rPr>
              <w:t>mg/Nm</w:t>
            </w:r>
            <w:r>
              <w:rPr>
                <w:rFonts w:cs="Times New Roman"/>
                <w:vertAlign w:val="superscript"/>
              </w:rPr>
              <w:t>3</w:t>
            </w:r>
          </w:p>
        </w:tc>
        <w:tc>
          <w:tcPr>
            <w:tcW w:w="1382" w:type="dxa"/>
            <w:vAlign w:val="center"/>
          </w:tcPr>
          <w:p w14:paraId="04EEEAC9">
            <w:pPr>
              <w:pStyle w:val="71"/>
              <w:spacing w:before="24" w:after="24"/>
              <w:rPr>
                <w:rFonts w:cs="Times New Roman"/>
              </w:rPr>
            </w:pPr>
            <w:r>
              <w:rPr>
                <w:rFonts w:cs="Times New Roman"/>
              </w:rPr>
              <w:t>20</w:t>
            </w:r>
          </w:p>
        </w:tc>
        <w:tc>
          <w:tcPr>
            <w:tcW w:w="1342" w:type="dxa"/>
            <w:vAlign w:val="center"/>
          </w:tcPr>
          <w:p w14:paraId="5CB1DDB6">
            <w:pPr>
              <w:pStyle w:val="71"/>
              <w:spacing w:before="24" w:after="24"/>
              <w:rPr>
                <w:rFonts w:cs="Times New Roman"/>
              </w:rPr>
            </w:pPr>
            <w:r>
              <w:rPr>
                <w:rFonts w:cs="Times New Roman"/>
              </w:rPr>
              <w:t>30</w:t>
            </w:r>
          </w:p>
        </w:tc>
        <w:tc>
          <w:tcPr>
            <w:tcW w:w="1213" w:type="dxa"/>
            <w:vAlign w:val="center"/>
          </w:tcPr>
          <w:p w14:paraId="2E936DE7">
            <w:pPr>
              <w:pStyle w:val="71"/>
              <w:spacing w:before="24" w:after="24"/>
              <w:rPr>
                <w:rFonts w:cs="Times New Roman"/>
              </w:rPr>
            </w:pPr>
            <w:r>
              <w:rPr>
                <w:rFonts w:cs="Times New Roman"/>
              </w:rPr>
              <w:t>20</w:t>
            </w:r>
          </w:p>
        </w:tc>
        <w:tc>
          <w:tcPr>
            <w:tcW w:w="1514" w:type="dxa"/>
            <w:vAlign w:val="center"/>
          </w:tcPr>
          <w:p w14:paraId="68EC0823">
            <w:pPr>
              <w:pStyle w:val="71"/>
              <w:spacing w:before="24" w:after="24"/>
              <w:rPr>
                <w:rFonts w:cs="Times New Roman"/>
              </w:rPr>
            </w:pPr>
            <w:r>
              <w:rPr>
                <w:rFonts w:cs="Times New Roman"/>
              </w:rPr>
              <w:t>30</w:t>
            </w:r>
          </w:p>
        </w:tc>
      </w:tr>
      <w:tr w14:paraId="65019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Pr>
          <w:p w14:paraId="40A95DC5">
            <w:pPr>
              <w:pStyle w:val="71"/>
              <w:spacing w:before="24" w:after="24"/>
              <w:rPr>
                <w:rFonts w:cs="Times New Roman"/>
              </w:rPr>
            </w:pPr>
            <w:r>
              <w:rPr>
                <w:rFonts w:cs="Times New Roman"/>
              </w:rPr>
              <w:t>2</w:t>
            </w:r>
          </w:p>
        </w:tc>
        <w:tc>
          <w:tcPr>
            <w:tcW w:w="1462" w:type="dxa"/>
            <w:vAlign w:val="center"/>
          </w:tcPr>
          <w:p w14:paraId="3C7F1812">
            <w:pPr>
              <w:pStyle w:val="71"/>
              <w:spacing w:before="24" w:after="24"/>
              <w:rPr>
                <w:rFonts w:cs="Times New Roman"/>
              </w:rPr>
            </w:pPr>
            <w:r>
              <w:rPr>
                <w:rFonts w:cs="Times New Roman"/>
              </w:rPr>
              <w:t>HCl</w:t>
            </w:r>
          </w:p>
        </w:tc>
        <w:tc>
          <w:tcPr>
            <w:tcW w:w="1569" w:type="dxa"/>
            <w:vAlign w:val="center"/>
          </w:tcPr>
          <w:p w14:paraId="72CB4BA5">
            <w:pPr>
              <w:pStyle w:val="71"/>
              <w:spacing w:before="24" w:after="24"/>
              <w:rPr>
                <w:rFonts w:cs="Times New Roman"/>
              </w:rPr>
            </w:pPr>
            <w:r>
              <w:rPr>
                <w:rFonts w:cs="Times New Roman"/>
              </w:rPr>
              <w:t>mg/Nm</w:t>
            </w:r>
            <w:r>
              <w:rPr>
                <w:rFonts w:cs="Times New Roman"/>
                <w:vertAlign w:val="superscript"/>
              </w:rPr>
              <w:t>3</w:t>
            </w:r>
          </w:p>
        </w:tc>
        <w:tc>
          <w:tcPr>
            <w:tcW w:w="1382" w:type="dxa"/>
            <w:vAlign w:val="center"/>
          </w:tcPr>
          <w:p w14:paraId="7C21E25D">
            <w:pPr>
              <w:pStyle w:val="71"/>
              <w:spacing w:before="24" w:after="24"/>
              <w:rPr>
                <w:rFonts w:cs="Times New Roman"/>
              </w:rPr>
            </w:pPr>
            <w:r>
              <w:rPr>
                <w:rFonts w:cs="Times New Roman"/>
              </w:rPr>
              <w:t>50</w:t>
            </w:r>
          </w:p>
        </w:tc>
        <w:tc>
          <w:tcPr>
            <w:tcW w:w="1342" w:type="dxa"/>
            <w:vAlign w:val="center"/>
          </w:tcPr>
          <w:p w14:paraId="3AF5F981">
            <w:pPr>
              <w:pStyle w:val="71"/>
              <w:spacing w:before="24" w:after="24"/>
              <w:rPr>
                <w:rFonts w:cs="Times New Roman"/>
              </w:rPr>
            </w:pPr>
            <w:r>
              <w:rPr>
                <w:rFonts w:cs="Times New Roman"/>
              </w:rPr>
              <w:t>60</w:t>
            </w:r>
          </w:p>
        </w:tc>
        <w:tc>
          <w:tcPr>
            <w:tcW w:w="1213" w:type="dxa"/>
            <w:vAlign w:val="center"/>
          </w:tcPr>
          <w:p w14:paraId="09719D1D">
            <w:pPr>
              <w:pStyle w:val="71"/>
              <w:spacing w:before="24" w:after="24"/>
              <w:rPr>
                <w:rFonts w:cs="Times New Roman"/>
              </w:rPr>
            </w:pPr>
            <w:r>
              <w:rPr>
                <w:rFonts w:cs="Times New Roman"/>
              </w:rPr>
              <w:t>50</w:t>
            </w:r>
          </w:p>
        </w:tc>
        <w:tc>
          <w:tcPr>
            <w:tcW w:w="1514" w:type="dxa"/>
            <w:vAlign w:val="center"/>
          </w:tcPr>
          <w:p w14:paraId="66A50D71">
            <w:pPr>
              <w:pStyle w:val="71"/>
              <w:spacing w:before="24" w:after="24"/>
              <w:rPr>
                <w:rFonts w:cs="Times New Roman"/>
              </w:rPr>
            </w:pPr>
            <w:r>
              <w:rPr>
                <w:rFonts w:cs="Times New Roman"/>
              </w:rPr>
              <w:t>60</w:t>
            </w:r>
          </w:p>
        </w:tc>
      </w:tr>
      <w:tr w14:paraId="0D1E6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Pr>
          <w:p w14:paraId="086A7C47">
            <w:pPr>
              <w:pStyle w:val="71"/>
              <w:spacing w:before="24" w:after="24"/>
              <w:rPr>
                <w:rFonts w:cs="Times New Roman"/>
              </w:rPr>
            </w:pPr>
            <w:r>
              <w:rPr>
                <w:rFonts w:cs="Times New Roman"/>
              </w:rPr>
              <w:t>3</w:t>
            </w:r>
          </w:p>
        </w:tc>
        <w:tc>
          <w:tcPr>
            <w:tcW w:w="1462" w:type="dxa"/>
            <w:vAlign w:val="center"/>
          </w:tcPr>
          <w:p w14:paraId="782E582D">
            <w:pPr>
              <w:pStyle w:val="71"/>
              <w:spacing w:before="24" w:after="24"/>
              <w:rPr>
                <w:rFonts w:cs="Times New Roman"/>
              </w:rPr>
            </w:pPr>
            <w:r>
              <w:rPr>
                <w:rFonts w:cs="Times New Roman"/>
              </w:rPr>
              <w:t>SO2</w:t>
            </w:r>
          </w:p>
        </w:tc>
        <w:tc>
          <w:tcPr>
            <w:tcW w:w="1569" w:type="dxa"/>
            <w:vAlign w:val="center"/>
          </w:tcPr>
          <w:p w14:paraId="24F9B2E1">
            <w:pPr>
              <w:pStyle w:val="71"/>
              <w:spacing w:before="24" w:after="24"/>
              <w:rPr>
                <w:rFonts w:cs="Times New Roman"/>
              </w:rPr>
            </w:pPr>
            <w:r>
              <w:rPr>
                <w:rFonts w:cs="Times New Roman"/>
              </w:rPr>
              <w:t>mg/Nm</w:t>
            </w:r>
            <w:r>
              <w:rPr>
                <w:rFonts w:cs="Times New Roman"/>
                <w:vertAlign w:val="superscript"/>
              </w:rPr>
              <w:t>3</w:t>
            </w:r>
          </w:p>
        </w:tc>
        <w:tc>
          <w:tcPr>
            <w:tcW w:w="1382" w:type="dxa"/>
            <w:vAlign w:val="center"/>
          </w:tcPr>
          <w:p w14:paraId="1A503762">
            <w:pPr>
              <w:pStyle w:val="71"/>
              <w:spacing w:before="24" w:after="24"/>
              <w:rPr>
                <w:rFonts w:cs="Times New Roman"/>
              </w:rPr>
            </w:pPr>
            <w:r>
              <w:rPr>
                <w:rFonts w:cs="Times New Roman"/>
              </w:rPr>
              <w:t>80</w:t>
            </w:r>
          </w:p>
        </w:tc>
        <w:tc>
          <w:tcPr>
            <w:tcW w:w="1342" w:type="dxa"/>
            <w:vAlign w:val="center"/>
          </w:tcPr>
          <w:p w14:paraId="126975AF">
            <w:pPr>
              <w:pStyle w:val="71"/>
              <w:spacing w:before="24" w:after="24"/>
              <w:rPr>
                <w:rFonts w:cs="Times New Roman"/>
              </w:rPr>
            </w:pPr>
            <w:r>
              <w:rPr>
                <w:rFonts w:cs="Times New Roman"/>
              </w:rPr>
              <w:t>100</w:t>
            </w:r>
          </w:p>
        </w:tc>
        <w:tc>
          <w:tcPr>
            <w:tcW w:w="1213" w:type="dxa"/>
            <w:vAlign w:val="center"/>
          </w:tcPr>
          <w:p w14:paraId="72D46E32">
            <w:pPr>
              <w:pStyle w:val="71"/>
              <w:spacing w:before="24" w:after="24"/>
              <w:rPr>
                <w:rFonts w:cs="Times New Roman"/>
              </w:rPr>
            </w:pPr>
            <w:r>
              <w:rPr>
                <w:rFonts w:cs="Times New Roman"/>
              </w:rPr>
              <w:t>80</w:t>
            </w:r>
          </w:p>
        </w:tc>
        <w:tc>
          <w:tcPr>
            <w:tcW w:w="1514" w:type="dxa"/>
            <w:vAlign w:val="center"/>
          </w:tcPr>
          <w:p w14:paraId="5A947A22">
            <w:pPr>
              <w:pStyle w:val="71"/>
              <w:spacing w:before="24" w:after="24"/>
              <w:rPr>
                <w:rFonts w:cs="Times New Roman"/>
              </w:rPr>
            </w:pPr>
            <w:r>
              <w:rPr>
                <w:rFonts w:cs="Times New Roman"/>
              </w:rPr>
              <w:t>100</w:t>
            </w:r>
          </w:p>
        </w:tc>
      </w:tr>
      <w:tr w14:paraId="67E64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Pr>
          <w:p w14:paraId="619D2A42">
            <w:pPr>
              <w:pStyle w:val="71"/>
              <w:spacing w:before="24" w:after="24"/>
              <w:rPr>
                <w:rFonts w:cs="Times New Roman"/>
              </w:rPr>
            </w:pPr>
            <w:r>
              <w:rPr>
                <w:rFonts w:cs="Times New Roman"/>
              </w:rPr>
              <w:t>4</w:t>
            </w:r>
          </w:p>
        </w:tc>
        <w:tc>
          <w:tcPr>
            <w:tcW w:w="1462" w:type="dxa"/>
            <w:vAlign w:val="center"/>
          </w:tcPr>
          <w:p w14:paraId="656B110C">
            <w:pPr>
              <w:pStyle w:val="71"/>
              <w:spacing w:before="24" w:after="24"/>
              <w:rPr>
                <w:rFonts w:cs="Times New Roman"/>
              </w:rPr>
            </w:pPr>
            <w:r>
              <w:rPr>
                <w:rFonts w:cs="Times New Roman"/>
              </w:rPr>
              <w:t>NOx</w:t>
            </w:r>
          </w:p>
        </w:tc>
        <w:tc>
          <w:tcPr>
            <w:tcW w:w="1569" w:type="dxa"/>
            <w:vAlign w:val="center"/>
          </w:tcPr>
          <w:p w14:paraId="5779E8DA">
            <w:pPr>
              <w:pStyle w:val="71"/>
              <w:spacing w:before="24" w:after="24"/>
              <w:rPr>
                <w:rFonts w:cs="Times New Roman"/>
              </w:rPr>
            </w:pPr>
            <w:r>
              <w:rPr>
                <w:rFonts w:cs="Times New Roman"/>
              </w:rPr>
              <w:t>mg/Nm</w:t>
            </w:r>
            <w:r>
              <w:rPr>
                <w:rFonts w:cs="Times New Roman"/>
                <w:vertAlign w:val="superscript"/>
              </w:rPr>
              <w:t>3</w:t>
            </w:r>
          </w:p>
        </w:tc>
        <w:tc>
          <w:tcPr>
            <w:tcW w:w="1382" w:type="dxa"/>
            <w:vAlign w:val="center"/>
          </w:tcPr>
          <w:p w14:paraId="7AE6D7D2">
            <w:pPr>
              <w:pStyle w:val="71"/>
              <w:spacing w:before="24" w:after="24"/>
              <w:rPr>
                <w:rFonts w:cs="Times New Roman"/>
              </w:rPr>
            </w:pPr>
            <w:r>
              <w:rPr>
                <w:rFonts w:cs="Times New Roman"/>
              </w:rPr>
              <w:t>250</w:t>
            </w:r>
          </w:p>
        </w:tc>
        <w:tc>
          <w:tcPr>
            <w:tcW w:w="1342" w:type="dxa"/>
            <w:vAlign w:val="center"/>
          </w:tcPr>
          <w:p w14:paraId="04F29153">
            <w:pPr>
              <w:pStyle w:val="71"/>
              <w:spacing w:before="24" w:after="24"/>
              <w:rPr>
                <w:rFonts w:cs="Times New Roman"/>
              </w:rPr>
            </w:pPr>
            <w:r>
              <w:rPr>
                <w:rFonts w:cs="Times New Roman"/>
              </w:rPr>
              <w:t>300</w:t>
            </w:r>
          </w:p>
        </w:tc>
        <w:tc>
          <w:tcPr>
            <w:tcW w:w="1213" w:type="dxa"/>
            <w:vAlign w:val="center"/>
          </w:tcPr>
          <w:p w14:paraId="68BDBE58">
            <w:pPr>
              <w:pStyle w:val="71"/>
              <w:spacing w:before="24" w:after="24"/>
              <w:rPr>
                <w:rFonts w:cs="Times New Roman"/>
              </w:rPr>
            </w:pPr>
            <w:r>
              <w:rPr>
                <w:rFonts w:cs="Times New Roman"/>
              </w:rPr>
              <w:t>250</w:t>
            </w:r>
          </w:p>
        </w:tc>
        <w:tc>
          <w:tcPr>
            <w:tcW w:w="1514" w:type="dxa"/>
            <w:vAlign w:val="center"/>
          </w:tcPr>
          <w:p w14:paraId="523C21B7">
            <w:pPr>
              <w:pStyle w:val="71"/>
              <w:spacing w:before="24" w:after="24"/>
              <w:rPr>
                <w:rFonts w:cs="Times New Roman"/>
              </w:rPr>
            </w:pPr>
            <w:r>
              <w:rPr>
                <w:rFonts w:cs="Times New Roman"/>
              </w:rPr>
              <w:t>300</w:t>
            </w:r>
          </w:p>
        </w:tc>
      </w:tr>
      <w:tr w14:paraId="192DD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Pr>
          <w:p w14:paraId="08D6A546">
            <w:pPr>
              <w:pStyle w:val="71"/>
              <w:spacing w:before="24" w:after="24"/>
              <w:rPr>
                <w:rFonts w:cs="Times New Roman"/>
              </w:rPr>
            </w:pPr>
            <w:r>
              <w:rPr>
                <w:rFonts w:cs="Times New Roman"/>
              </w:rPr>
              <w:t>5</w:t>
            </w:r>
          </w:p>
        </w:tc>
        <w:tc>
          <w:tcPr>
            <w:tcW w:w="1462" w:type="dxa"/>
            <w:vAlign w:val="center"/>
          </w:tcPr>
          <w:p w14:paraId="2D8F231B">
            <w:pPr>
              <w:pStyle w:val="71"/>
              <w:spacing w:before="24" w:after="24"/>
              <w:rPr>
                <w:rFonts w:cs="Times New Roman"/>
              </w:rPr>
            </w:pPr>
            <w:r>
              <w:rPr>
                <w:rFonts w:cs="Times New Roman"/>
              </w:rPr>
              <w:t>CO</w:t>
            </w:r>
          </w:p>
        </w:tc>
        <w:tc>
          <w:tcPr>
            <w:tcW w:w="1569" w:type="dxa"/>
            <w:vAlign w:val="center"/>
          </w:tcPr>
          <w:p w14:paraId="674290E2">
            <w:pPr>
              <w:pStyle w:val="71"/>
              <w:spacing w:before="24" w:after="24"/>
              <w:rPr>
                <w:rFonts w:cs="Times New Roman"/>
              </w:rPr>
            </w:pPr>
            <w:r>
              <w:rPr>
                <w:rFonts w:cs="Times New Roman"/>
              </w:rPr>
              <w:t>mg/Nm</w:t>
            </w:r>
            <w:r>
              <w:rPr>
                <w:rFonts w:cs="Times New Roman"/>
                <w:vertAlign w:val="superscript"/>
              </w:rPr>
              <w:t>3</w:t>
            </w:r>
          </w:p>
        </w:tc>
        <w:tc>
          <w:tcPr>
            <w:tcW w:w="1382" w:type="dxa"/>
            <w:vAlign w:val="center"/>
          </w:tcPr>
          <w:p w14:paraId="7FBD1247">
            <w:pPr>
              <w:pStyle w:val="71"/>
              <w:spacing w:before="24" w:after="24"/>
              <w:rPr>
                <w:rFonts w:cs="Times New Roman"/>
              </w:rPr>
            </w:pPr>
            <w:r>
              <w:rPr>
                <w:rFonts w:cs="Times New Roman"/>
              </w:rPr>
              <w:t>80</w:t>
            </w:r>
          </w:p>
        </w:tc>
        <w:tc>
          <w:tcPr>
            <w:tcW w:w="1342" w:type="dxa"/>
            <w:vAlign w:val="center"/>
          </w:tcPr>
          <w:p w14:paraId="13732861">
            <w:pPr>
              <w:pStyle w:val="71"/>
              <w:spacing w:before="24" w:after="24"/>
              <w:rPr>
                <w:rFonts w:cs="Times New Roman"/>
              </w:rPr>
            </w:pPr>
            <w:r>
              <w:rPr>
                <w:rFonts w:cs="Times New Roman"/>
              </w:rPr>
              <w:t>100</w:t>
            </w:r>
          </w:p>
        </w:tc>
        <w:tc>
          <w:tcPr>
            <w:tcW w:w="1213" w:type="dxa"/>
            <w:vAlign w:val="center"/>
          </w:tcPr>
          <w:p w14:paraId="43E0CB02">
            <w:pPr>
              <w:pStyle w:val="71"/>
              <w:spacing w:before="24" w:after="24"/>
              <w:rPr>
                <w:rFonts w:cs="Times New Roman"/>
              </w:rPr>
            </w:pPr>
            <w:r>
              <w:rPr>
                <w:rFonts w:cs="Times New Roman"/>
              </w:rPr>
              <w:t>80</w:t>
            </w:r>
          </w:p>
        </w:tc>
        <w:tc>
          <w:tcPr>
            <w:tcW w:w="1514" w:type="dxa"/>
            <w:vAlign w:val="center"/>
          </w:tcPr>
          <w:p w14:paraId="21D8E74B">
            <w:pPr>
              <w:pStyle w:val="71"/>
              <w:spacing w:before="24" w:after="24"/>
              <w:rPr>
                <w:rFonts w:cs="Times New Roman"/>
              </w:rPr>
            </w:pPr>
            <w:r>
              <w:rPr>
                <w:rFonts w:cs="Times New Roman"/>
              </w:rPr>
              <w:t>100</w:t>
            </w:r>
          </w:p>
        </w:tc>
      </w:tr>
      <w:tr w14:paraId="4F7B4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Pr>
          <w:p w14:paraId="0F1F5C36">
            <w:pPr>
              <w:pStyle w:val="71"/>
              <w:spacing w:before="24" w:after="24"/>
              <w:rPr>
                <w:rFonts w:cs="Times New Roman"/>
              </w:rPr>
            </w:pPr>
            <w:r>
              <w:rPr>
                <w:rFonts w:cs="Times New Roman"/>
              </w:rPr>
              <w:t>6</w:t>
            </w:r>
          </w:p>
        </w:tc>
        <w:tc>
          <w:tcPr>
            <w:tcW w:w="1462" w:type="dxa"/>
            <w:vAlign w:val="center"/>
          </w:tcPr>
          <w:p w14:paraId="41213419">
            <w:pPr>
              <w:pStyle w:val="71"/>
              <w:spacing w:before="24" w:after="24"/>
              <w:rPr>
                <w:rFonts w:cs="Times New Roman"/>
              </w:rPr>
            </w:pPr>
            <w:r>
              <w:rPr>
                <w:rFonts w:cs="Times New Roman"/>
              </w:rPr>
              <w:t>Hg</w:t>
            </w:r>
          </w:p>
        </w:tc>
        <w:tc>
          <w:tcPr>
            <w:tcW w:w="1569" w:type="dxa"/>
            <w:vAlign w:val="center"/>
          </w:tcPr>
          <w:p w14:paraId="31D86A91">
            <w:pPr>
              <w:pStyle w:val="71"/>
              <w:spacing w:before="24" w:after="24"/>
              <w:rPr>
                <w:rFonts w:cs="Times New Roman"/>
              </w:rPr>
            </w:pPr>
            <w:r>
              <w:rPr>
                <w:rFonts w:cs="Times New Roman"/>
              </w:rPr>
              <w:t>mg/Nm</w:t>
            </w:r>
            <w:r>
              <w:rPr>
                <w:rFonts w:cs="Times New Roman"/>
                <w:vertAlign w:val="superscript"/>
              </w:rPr>
              <w:t>3</w:t>
            </w:r>
          </w:p>
        </w:tc>
        <w:tc>
          <w:tcPr>
            <w:tcW w:w="2724" w:type="dxa"/>
            <w:gridSpan w:val="2"/>
            <w:vAlign w:val="center"/>
          </w:tcPr>
          <w:p w14:paraId="567CFB17">
            <w:pPr>
              <w:pStyle w:val="71"/>
              <w:spacing w:before="24" w:after="24"/>
              <w:rPr>
                <w:rFonts w:cs="Times New Roman"/>
              </w:rPr>
            </w:pPr>
            <w:r>
              <w:rPr>
                <w:rFonts w:cs="Times New Roman"/>
              </w:rPr>
              <w:t>0.05（测定均值）</w:t>
            </w:r>
          </w:p>
        </w:tc>
        <w:tc>
          <w:tcPr>
            <w:tcW w:w="2727" w:type="dxa"/>
            <w:gridSpan w:val="2"/>
            <w:vAlign w:val="center"/>
          </w:tcPr>
          <w:p w14:paraId="13B986F6">
            <w:pPr>
              <w:pStyle w:val="71"/>
              <w:spacing w:before="24" w:after="24"/>
              <w:rPr>
                <w:rFonts w:cs="Times New Roman"/>
              </w:rPr>
            </w:pPr>
            <w:r>
              <w:rPr>
                <w:rFonts w:cs="Times New Roman"/>
              </w:rPr>
              <w:t>0.05（测定均值）</w:t>
            </w:r>
          </w:p>
        </w:tc>
      </w:tr>
      <w:tr w14:paraId="58C8C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vAlign w:val="center"/>
          </w:tcPr>
          <w:p w14:paraId="47E721F7">
            <w:pPr>
              <w:pStyle w:val="71"/>
              <w:spacing w:before="24" w:after="24"/>
              <w:rPr>
                <w:rFonts w:cs="Times New Roman"/>
              </w:rPr>
            </w:pPr>
            <w:r>
              <w:rPr>
                <w:rFonts w:cs="Times New Roman"/>
              </w:rPr>
              <w:t>7</w:t>
            </w:r>
          </w:p>
        </w:tc>
        <w:tc>
          <w:tcPr>
            <w:tcW w:w="1462" w:type="dxa"/>
            <w:vAlign w:val="center"/>
          </w:tcPr>
          <w:p w14:paraId="090EE36A">
            <w:pPr>
              <w:pStyle w:val="71"/>
              <w:spacing w:before="24" w:after="24"/>
              <w:rPr>
                <w:rFonts w:cs="Times New Roman"/>
              </w:rPr>
            </w:pPr>
            <w:r>
              <w:rPr>
                <w:rFonts w:cs="Times New Roman"/>
              </w:rPr>
              <w:t>Cd+T1</w:t>
            </w:r>
          </w:p>
        </w:tc>
        <w:tc>
          <w:tcPr>
            <w:tcW w:w="1569" w:type="dxa"/>
            <w:vAlign w:val="center"/>
          </w:tcPr>
          <w:p w14:paraId="1B371574">
            <w:pPr>
              <w:pStyle w:val="71"/>
              <w:spacing w:before="24" w:after="24"/>
              <w:rPr>
                <w:rFonts w:cs="Times New Roman"/>
              </w:rPr>
            </w:pPr>
            <w:r>
              <w:rPr>
                <w:rFonts w:cs="Times New Roman"/>
              </w:rPr>
              <w:t>mg/Nm</w:t>
            </w:r>
            <w:r>
              <w:rPr>
                <w:rFonts w:cs="Times New Roman"/>
                <w:vertAlign w:val="superscript"/>
              </w:rPr>
              <w:t>3</w:t>
            </w:r>
          </w:p>
        </w:tc>
        <w:tc>
          <w:tcPr>
            <w:tcW w:w="2724" w:type="dxa"/>
            <w:gridSpan w:val="2"/>
            <w:vAlign w:val="center"/>
          </w:tcPr>
          <w:p w14:paraId="2B3EC29B">
            <w:pPr>
              <w:pStyle w:val="71"/>
              <w:spacing w:before="24" w:after="24"/>
              <w:rPr>
                <w:rFonts w:cs="Times New Roman"/>
              </w:rPr>
            </w:pPr>
            <w:r>
              <w:rPr>
                <w:rFonts w:cs="Times New Roman"/>
              </w:rPr>
              <w:t>0.1（测定均值）</w:t>
            </w:r>
          </w:p>
        </w:tc>
        <w:tc>
          <w:tcPr>
            <w:tcW w:w="2727" w:type="dxa"/>
            <w:gridSpan w:val="2"/>
            <w:vAlign w:val="center"/>
          </w:tcPr>
          <w:p w14:paraId="21BC8861">
            <w:pPr>
              <w:pStyle w:val="71"/>
              <w:spacing w:before="24" w:after="24"/>
              <w:rPr>
                <w:rFonts w:cs="Times New Roman"/>
              </w:rPr>
            </w:pPr>
            <w:r>
              <w:rPr>
                <w:rFonts w:cs="Times New Roman"/>
              </w:rPr>
              <w:t>0.1（测定均值）</w:t>
            </w:r>
          </w:p>
        </w:tc>
      </w:tr>
      <w:tr w14:paraId="63916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vAlign w:val="center"/>
          </w:tcPr>
          <w:p w14:paraId="28FE5D21">
            <w:pPr>
              <w:pStyle w:val="71"/>
              <w:spacing w:before="24" w:after="24"/>
              <w:rPr>
                <w:rFonts w:cs="Times New Roman"/>
              </w:rPr>
            </w:pPr>
            <w:r>
              <w:rPr>
                <w:rFonts w:cs="Times New Roman"/>
              </w:rPr>
              <w:t>8</w:t>
            </w:r>
          </w:p>
        </w:tc>
        <w:tc>
          <w:tcPr>
            <w:tcW w:w="1462" w:type="dxa"/>
            <w:vAlign w:val="center"/>
          </w:tcPr>
          <w:p w14:paraId="414792BB">
            <w:pPr>
              <w:pStyle w:val="71"/>
              <w:spacing w:before="24" w:after="24"/>
              <w:rPr>
                <w:rFonts w:cs="Times New Roman"/>
              </w:rPr>
            </w:pPr>
            <w:r>
              <w:rPr>
                <w:rFonts w:cs="Times New Roman"/>
              </w:rPr>
              <w:t>Pb+Cr等其他重金属</w:t>
            </w:r>
          </w:p>
        </w:tc>
        <w:tc>
          <w:tcPr>
            <w:tcW w:w="1569" w:type="dxa"/>
            <w:vAlign w:val="center"/>
          </w:tcPr>
          <w:p w14:paraId="71D4DE4E">
            <w:pPr>
              <w:pStyle w:val="71"/>
              <w:spacing w:before="24" w:after="24"/>
              <w:rPr>
                <w:rFonts w:cs="Times New Roman"/>
              </w:rPr>
            </w:pPr>
            <w:r>
              <w:rPr>
                <w:rFonts w:cs="Times New Roman"/>
              </w:rPr>
              <w:t>mg/Nm</w:t>
            </w:r>
            <w:r>
              <w:rPr>
                <w:rFonts w:cs="Times New Roman"/>
                <w:vertAlign w:val="superscript"/>
              </w:rPr>
              <w:t>3</w:t>
            </w:r>
          </w:p>
        </w:tc>
        <w:tc>
          <w:tcPr>
            <w:tcW w:w="2724" w:type="dxa"/>
            <w:gridSpan w:val="2"/>
            <w:vAlign w:val="center"/>
          </w:tcPr>
          <w:p w14:paraId="0E615664">
            <w:pPr>
              <w:pStyle w:val="71"/>
              <w:spacing w:before="24" w:after="24"/>
              <w:rPr>
                <w:rFonts w:cs="Times New Roman"/>
              </w:rPr>
            </w:pPr>
            <w:r>
              <w:rPr>
                <w:rFonts w:cs="Times New Roman"/>
              </w:rPr>
              <w:t>1.0（测定均值）</w:t>
            </w:r>
          </w:p>
        </w:tc>
        <w:tc>
          <w:tcPr>
            <w:tcW w:w="2727" w:type="dxa"/>
            <w:gridSpan w:val="2"/>
            <w:vAlign w:val="center"/>
          </w:tcPr>
          <w:p w14:paraId="473BFE23">
            <w:pPr>
              <w:pStyle w:val="71"/>
              <w:spacing w:before="24" w:after="24"/>
              <w:rPr>
                <w:rFonts w:cs="Times New Roman"/>
              </w:rPr>
            </w:pPr>
            <w:r>
              <w:rPr>
                <w:rFonts w:cs="Times New Roman"/>
              </w:rPr>
              <w:t>1.0（测定均值）</w:t>
            </w:r>
          </w:p>
        </w:tc>
      </w:tr>
      <w:tr w14:paraId="00968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vAlign w:val="center"/>
          </w:tcPr>
          <w:p w14:paraId="5D1B85C7">
            <w:pPr>
              <w:pStyle w:val="71"/>
              <w:spacing w:before="24" w:after="24"/>
              <w:rPr>
                <w:rFonts w:cs="Times New Roman"/>
              </w:rPr>
            </w:pPr>
            <w:r>
              <w:rPr>
                <w:rFonts w:cs="Times New Roman"/>
              </w:rPr>
              <w:t>9</w:t>
            </w:r>
          </w:p>
        </w:tc>
        <w:tc>
          <w:tcPr>
            <w:tcW w:w="1462" w:type="dxa"/>
            <w:vAlign w:val="center"/>
          </w:tcPr>
          <w:p w14:paraId="03E81CD5">
            <w:pPr>
              <w:pStyle w:val="71"/>
              <w:spacing w:before="24" w:after="24"/>
              <w:rPr>
                <w:rFonts w:cs="Times New Roman"/>
              </w:rPr>
            </w:pPr>
            <w:r>
              <w:rPr>
                <w:rFonts w:cs="Times New Roman"/>
              </w:rPr>
              <w:t>二噁英类（TEQ）</w:t>
            </w:r>
          </w:p>
        </w:tc>
        <w:tc>
          <w:tcPr>
            <w:tcW w:w="1569" w:type="dxa"/>
            <w:vAlign w:val="center"/>
          </w:tcPr>
          <w:p w14:paraId="7AA6BC51">
            <w:pPr>
              <w:pStyle w:val="71"/>
              <w:spacing w:before="24" w:after="24"/>
              <w:rPr>
                <w:rFonts w:cs="Times New Roman"/>
              </w:rPr>
            </w:pPr>
            <w:r>
              <w:rPr>
                <w:rFonts w:cs="Times New Roman"/>
              </w:rPr>
              <w:t>Ng-TEQ/Nm</w:t>
            </w:r>
            <w:r>
              <w:rPr>
                <w:rFonts w:cs="Times New Roman"/>
                <w:vertAlign w:val="superscript"/>
              </w:rPr>
              <w:t>3</w:t>
            </w:r>
          </w:p>
        </w:tc>
        <w:tc>
          <w:tcPr>
            <w:tcW w:w="2724" w:type="dxa"/>
            <w:gridSpan w:val="2"/>
            <w:vAlign w:val="center"/>
          </w:tcPr>
          <w:p w14:paraId="69935E51">
            <w:pPr>
              <w:pStyle w:val="71"/>
              <w:spacing w:before="24" w:after="24"/>
              <w:rPr>
                <w:rFonts w:cs="Times New Roman"/>
              </w:rPr>
            </w:pPr>
            <w:r>
              <w:rPr>
                <w:rFonts w:cs="Times New Roman"/>
              </w:rPr>
              <w:t>0.1（测定均值）</w:t>
            </w:r>
          </w:p>
        </w:tc>
        <w:tc>
          <w:tcPr>
            <w:tcW w:w="2727" w:type="dxa"/>
            <w:gridSpan w:val="2"/>
            <w:vAlign w:val="center"/>
          </w:tcPr>
          <w:p w14:paraId="55964309">
            <w:pPr>
              <w:pStyle w:val="71"/>
              <w:spacing w:before="24" w:after="24"/>
              <w:rPr>
                <w:rFonts w:cs="Times New Roman"/>
              </w:rPr>
            </w:pPr>
            <w:r>
              <w:rPr>
                <w:rFonts w:cs="Times New Roman"/>
              </w:rPr>
              <w:t>0.1（测定均值）</w:t>
            </w:r>
          </w:p>
        </w:tc>
      </w:tr>
    </w:tbl>
    <w:p w14:paraId="291AD2E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3.2设计出水水质达到《污水综合排放标准》（GB8978-1996）三级标准的浓度限值要求，由罐车送至市政污水处理厂处理。</w:t>
      </w:r>
    </w:p>
    <w:p w14:paraId="0519E1E8">
      <w:pPr>
        <w:spacing w:before="24" w:after="24"/>
        <w:ind w:firstLine="560" w:firstLineChars="200"/>
        <w:jc w:val="center"/>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表3.2渗滤液处理站出水水质标准</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80"/>
        <w:gridCol w:w="4906"/>
      </w:tblGrid>
      <w:tr w14:paraId="000E7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0" w:type="dxa"/>
            <w:tcBorders>
              <w:top w:val="single" w:color="auto" w:sz="4" w:space="0"/>
              <w:left w:val="single" w:color="auto" w:sz="4" w:space="0"/>
              <w:bottom w:val="single" w:color="auto" w:sz="4" w:space="0"/>
              <w:right w:val="single" w:color="auto" w:sz="4" w:space="0"/>
            </w:tcBorders>
            <w:vAlign w:val="center"/>
          </w:tcPr>
          <w:p w14:paraId="4CFC352B">
            <w:pPr>
              <w:pStyle w:val="71"/>
              <w:spacing w:before="24" w:after="24"/>
              <w:rPr>
                <w:rFonts w:cs="Times New Roman"/>
              </w:rPr>
            </w:pPr>
            <w:r>
              <w:rPr>
                <w:rFonts w:cs="Times New Roman"/>
              </w:rPr>
              <w:t>污水水质指标</w:t>
            </w:r>
          </w:p>
        </w:tc>
        <w:tc>
          <w:tcPr>
            <w:tcW w:w="4906" w:type="dxa"/>
            <w:tcBorders>
              <w:top w:val="single" w:color="auto" w:sz="4" w:space="0"/>
              <w:left w:val="single" w:color="auto" w:sz="4" w:space="0"/>
              <w:bottom w:val="single" w:color="auto" w:sz="4" w:space="0"/>
              <w:right w:val="single" w:color="auto" w:sz="4" w:space="0"/>
            </w:tcBorders>
            <w:vAlign w:val="center"/>
          </w:tcPr>
          <w:p w14:paraId="02909771">
            <w:pPr>
              <w:pStyle w:val="71"/>
              <w:spacing w:before="24" w:after="24"/>
              <w:rPr>
                <w:rFonts w:cs="Times New Roman"/>
              </w:rPr>
            </w:pPr>
            <w:r>
              <w:rPr>
                <w:rFonts w:cs="Times New Roman"/>
              </w:rPr>
              <w:t>进水水质设计值（mg/L）</w:t>
            </w:r>
          </w:p>
        </w:tc>
      </w:tr>
      <w:tr w14:paraId="4771C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0" w:type="dxa"/>
            <w:tcBorders>
              <w:top w:val="single" w:color="auto" w:sz="4" w:space="0"/>
              <w:left w:val="single" w:color="auto" w:sz="4" w:space="0"/>
              <w:bottom w:val="single" w:color="auto" w:sz="4" w:space="0"/>
              <w:right w:val="single" w:color="auto" w:sz="4" w:space="0"/>
            </w:tcBorders>
            <w:vAlign w:val="center"/>
          </w:tcPr>
          <w:p w14:paraId="465A1C92">
            <w:pPr>
              <w:pStyle w:val="71"/>
              <w:spacing w:before="24" w:after="24"/>
              <w:rPr>
                <w:rFonts w:cs="Times New Roman"/>
              </w:rPr>
            </w:pPr>
            <w:r>
              <w:rPr>
                <w:rFonts w:cs="Times New Roman"/>
              </w:rPr>
              <w:t>PH</w:t>
            </w:r>
          </w:p>
        </w:tc>
        <w:tc>
          <w:tcPr>
            <w:tcW w:w="4906" w:type="dxa"/>
            <w:tcBorders>
              <w:top w:val="single" w:color="auto" w:sz="4" w:space="0"/>
              <w:left w:val="single" w:color="auto" w:sz="4" w:space="0"/>
              <w:bottom w:val="single" w:color="auto" w:sz="4" w:space="0"/>
              <w:right w:val="single" w:color="auto" w:sz="4" w:space="0"/>
            </w:tcBorders>
            <w:vAlign w:val="center"/>
          </w:tcPr>
          <w:p w14:paraId="0A06F1AA">
            <w:pPr>
              <w:pStyle w:val="71"/>
              <w:spacing w:before="24" w:after="24"/>
              <w:rPr>
                <w:rFonts w:cs="Times New Roman"/>
              </w:rPr>
            </w:pPr>
            <w:r>
              <w:rPr>
                <w:rFonts w:cs="Times New Roman"/>
              </w:rPr>
              <w:t>6~9</w:t>
            </w:r>
          </w:p>
        </w:tc>
      </w:tr>
      <w:tr w14:paraId="33F54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0" w:type="dxa"/>
            <w:tcBorders>
              <w:top w:val="single" w:color="auto" w:sz="4" w:space="0"/>
              <w:left w:val="single" w:color="auto" w:sz="4" w:space="0"/>
              <w:bottom w:val="single" w:color="auto" w:sz="4" w:space="0"/>
              <w:right w:val="single" w:color="auto" w:sz="4" w:space="0"/>
            </w:tcBorders>
            <w:vAlign w:val="center"/>
          </w:tcPr>
          <w:p w14:paraId="73E5203B">
            <w:pPr>
              <w:pStyle w:val="71"/>
              <w:spacing w:before="24" w:after="24"/>
              <w:rPr>
                <w:rFonts w:cs="Times New Roman"/>
              </w:rPr>
            </w:pPr>
            <w:r>
              <w:rPr>
                <w:rFonts w:cs="Times New Roman"/>
              </w:rPr>
              <w:t>CODCr</w:t>
            </w:r>
          </w:p>
        </w:tc>
        <w:tc>
          <w:tcPr>
            <w:tcW w:w="4906" w:type="dxa"/>
            <w:tcBorders>
              <w:top w:val="single" w:color="auto" w:sz="4" w:space="0"/>
              <w:left w:val="single" w:color="auto" w:sz="4" w:space="0"/>
              <w:bottom w:val="single" w:color="auto" w:sz="4" w:space="0"/>
              <w:right w:val="single" w:color="auto" w:sz="4" w:space="0"/>
            </w:tcBorders>
            <w:vAlign w:val="center"/>
          </w:tcPr>
          <w:p w14:paraId="38125FE2">
            <w:pPr>
              <w:pStyle w:val="71"/>
              <w:spacing w:before="24" w:after="24"/>
              <w:rPr>
                <w:rFonts w:cs="Times New Roman"/>
              </w:rPr>
            </w:pPr>
            <w:r>
              <w:rPr>
                <w:rFonts w:cs="Times New Roman"/>
              </w:rPr>
              <w:t>≤500</w:t>
            </w:r>
          </w:p>
        </w:tc>
      </w:tr>
      <w:tr w14:paraId="34D88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0" w:type="dxa"/>
            <w:tcBorders>
              <w:top w:val="single" w:color="auto" w:sz="4" w:space="0"/>
              <w:left w:val="single" w:color="auto" w:sz="4" w:space="0"/>
              <w:bottom w:val="single" w:color="auto" w:sz="4" w:space="0"/>
              <w:right w:val="single" w:color="auto" w:sz="4" w:space="0"/>
            </w:tcBorders>
            <w:vAlign w:val="center"/>
          </w:tcPr>
          <w:p w14:paraId="63197341">
            <w:pPr>
              <w:pStyle w:val="71"/>
              <w:spacing w:before="24" w:after="24"/>
              <w:rPr>
                <w:rFonts w:cs="Times New Roman"/>
              </w:rPr>
            </w:pPr>
            <w:r>
              <w:rPr>
                <w:rFonts w:cs="Times New Roman"/>
              </w:rPr>
              <w:t>BOD5</w:t>
            </w:r>
          </w:p>
        </w:tc>
        <w:tc>
          <w:tcPr>
            <w:tcW w:w="4906" w:type="dxa"/>
            <w:tcBorders>
              <w:top w:val="single" w:color="auto" w:sz="4" w:space="0"/>
              <w:left w:val="single" w:color="auto" w:sz="4" w:space="0"/>
              <w:bottom w:val="single" w:color="auto" w:sz="4" w:space="0"/>
              <w:right w:val="single" w:color="auto" w:sz="4" w:space="0"/>
            </w:tcBorders>
            <w:vAlign w:val="center"/>
          </w:tcPr>
          <w:p w14:paraId="62676D49">
            <w:pPr>
              <w:pStyle w:val="71"/>
              <w:spacing w:before="24" w:after="24"/>
              <w:rPr>
                <w:rFonts w:cs="Times New Roman"/>
              </w:rPr>
            </w:pPr>
            <w:r>
              <w:rPr>
                <w:rFonts w:cs="Times New Roman"/>
              </w:rPr>
              <w:t>≤300</w:t>
            </w:r>
          </w:p>
        </w:tc>
      </w:tr>
      <w:tr w14:paraId="169FA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0" w:type="dxa"/>
            <w:tcBorders>
              <w:top w:val="single" w:color="auto" w:sz="4" w:space="0"/>
              <w:left w:val="single" w:color="auto" w:sz="4" w:space="0"/>
              <w:bottom w:val="single" w:color="auto" w:sz="4" w:space="0"/>
              <w:right w:val="single" w:color="auto" w:sz="4" w:space="0"/>
            </w:tcBorders>
            <w:vAlign w:val="center"/>
          </w:tcPr>
          <w:p w14:paraId="70BB404D">
            <w:pPr>
              <w:pStyle w:val="71"/>
              <w:spacing w:before="24" w:after="24"/>
              <w:rPr>
                <w:rFonts w:cs="Times New Roman"/>
              </w:rPr>
            </w:pPr>
            <w:r>
              <w:rPr>
                <w:rFonts w:cs="Times New Roman"/>
              </w:rPr>
              <w:t>氨氮</w:t>
            </w:r>
          </w:p>
        </w:tc>
        <w:tc>
          <w:tcPr>
            <w:tcW w:w="4906" w:type="dxa"/>
            <w:tcBorders>
              <w:top w:val="single" w:color="auto" w:sz="4" w:space="0"/>
              <w:left w:val="single" w:color="auto" w:sz="4" w:space="0"/>
              <w:bottom w:val="single" w:color="auto" w:sz="4" w:space="0"/>
              <w:right w:val="single" w:color="auto" w:sz="4" w:space="0"/>
            </w:tcBorders>
            <w:vAlign w:val="center"/>
          </w:tcPr>
          <w:p w14:paraId="5A9EBC03">
            <w:pPr>
              <w:pStyle w:val="71"/>
              <w:spacing w:before="24" w:after="24"/>
              <w:rPr>
                <w:rFonts w:cs="Times New Roman"/>
              </w:rPr>
            </w:pPr>
            <w:r>
              <w:rPr>
                <w:rFonts w:cs="Times New Roman"/>
              </w:rPr>
              <w:t>≤25</w:t>
            </w:r>
          </w:p>
        </w:tc>
      </w:tr>
      <w:tr w14:paraId="35491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0" w:type="dxa"/>
            <w:tcBorders>
              <w:top w:val="single" w:color="auto" w:sz="4" w:space="0"/>
              <w:left w:val="single" w:color="auto" w:sz="4" w:space="0"/>
              <w:bottom w:val="single" w:color="auto" w:sz="4" w:space="0"/>
              <w:right w:val="single" w:color="auto" w:sz="4" w:space="0"/>
            </w:tcBorders>
            <w:vAlign w:val="center"/>
          </w:tcPr>
          <w:p w14:paraId="0661159E">
            <w:pPr>
              <w:pStyle w:val="71"/>
              <w:spacing w:before="24" w:after="24"/>
              <w:rPr>
                <w:rFonts w:cs="Times New Roman"/>
              </w:rPr>
            </w:pPr>
            <w:r>
              <w:rPr>
                <w:rFonts w:cs="Times New Roman"/>
              </w:rPr>
              <w:t>SS</w:t>
            </w:r>
          </w:p>
        </w:tc>
        <w:tc>
          <w:tcPr>
            <w:tcW w:w="4906" w:type="dxa"/>
            <w:tcBorders>
              <w:top w:val="single" w:color="auto" w:sz="4" w:space="0"/>
              <w:left w:val="single" w:color="auto" w:sz="4" w:space="0"/>
              <w:bottom w:val="single" w:color="auto" w:sz="4" w:space="0"/>
              <w:right w:val="single" w:color="auto" w:sz="4" w:space="0"/>
            </w:tcBorders>
            <w:vAlign w:val="center"/>
          </w:tcPr>
          <w:p w14:paraId="5586F3F0">
            <w:pPr>
              <w:pStyle w:val="71"/>
              <w:spacing w:before="24" w:after="24"/>
              <w:rPr>
                <w:rFonts w:cs="Times New Roman"/>
              </w:rPr>
            </w:pPr>
            <w:r>
              <w:rPr>
                <w:rFonts w:cs="Times New Roman"/>
              </w:rPr>
              <w:t>≤400</w:t>
            </w:r>
          </w:p>
        </w:tc>
      </w:tr>
    </w:tbl>
    <w:p w14:paraId="502E761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3.3炉渣部分运输至</w:t>
      </w:r>
      <w:r>
        <w:rPr>
          <w:rFonts w:ascii="Times New Roman" w:hAnsi="Times New Roman" w:cs="Times New Roman"/>
          <w:color w:val="181717" w:themeColor="background2" w:themeShade="1A"/>
          <w:lang w:val="en-AU"/>
        </w:rPr>
        <w:t>厂外综合利用</w:t>
      </w:r>
      <w:r>
        <w:rPr>
          <w:rFonts w:ascii="Times New Roman" w:hAnsi="Times New Roman" w:cs="Times New Roman"/>
          <w:color w:val="181717" w:themeColor="background2" w:themeShade="1A"/>
        </w:rPr>
        <w:t>，炉渣热灼减率 ≤5%（重量%）。飞灰处理后，应遵循危险废物鉴别标准—浸出毒性鉴别（GB5085.3-2007）和《生活垃圾填埋场污染控制标准》（GB 16889-2008），飞灰在厂内经固化+稳定化处理后运输至指定区域填埋。</w:t>
      </w:r>
    </w:p>
    <w:p w14:paraId="2174FF43">
      <w:pPr>
        <w:spacing w:before="24" w:after="24" w:line="240" w:lineRule="atLeast"/>
        <w:ind w:firstLine="200"/>
        <w:jc w:val="center"/>
        <w:rPr>
          <w:rFonts w:ascii="Times New Roman" w:hAnsi="Times New Roman" w:cs="Times New Roman"/>
          <w:szCs w:val="28"/>
        </w:rPr>
      </w:pPr>
      <w:r>
        <w:rPr>
          <w:rFonts w:ascii="Times New Roman" w:hAnsi="Times New Roman" w:cs="Times New Roman"/>
          <w:szCs w:val="28"/>
        </w:rPr>
        <w:t>表3.3灰渣控制标准</w:t>
      </w:r>
    </w:p>
    <w:tbl>
      <w:tblPr>
        <w:tblStyle w:val="31"/>
        <w:tblpPr w:leftFromText="180" w:rightFromText="180" w:vertAnchor="text" w:horzAnchor="page" w:tblpX="1305" w:tblpY="9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2"/>
        <w:gridCol w:w="1455"/>
        <w:gridCol w:w="3437"/>
        <w:gridCol w:w="3372"/>
      </w:tblGrid>
      <w:tr w14:paraId="34E8F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dxa"/>
            <w:vMerge w:val="restart"/>
            <w:tcBorders>
              <w:top w:val="single" w:color="auto" w:sz="4" w:space="0"/>
              <w:left w:val="single" w:color="auto" w:sz="4" w:space="0"/>
              <w:right w:val="single" w:color="auto" w:sz="4" w:space="0"/>
            </w:tcBorders>
            <w:vAlign w:val="center"/>
          </w:tcPr>
          <w:p w14:paraId="20717BF1">
            <w:pPr>
              <w:spacing w:before="24" w:after="24" w:line="240" w:lineRule="atLeast"/>
              <w:jc w:val="center"/>
              <w:rPr>
                <w:rFonts w:ascii="Times New Roman" w:hAnsi="Times New Roman" w:cs="Times New Roman"/>
                <w:sz w:val="24"/>
                <w:szCs w:val="24"/>
              </w:rPr>
            </w:pPr>
            <w:r>
              <w:rPr>
                <w:rFonts w:ascii="Times New Roman" w:hAnsi="Times New Roman" w:cs="Times New Roman"/>
                <w:sz w:val="24"/>
                <w:szCs w:val="24"/>
              </w:rPr>
              <w:t>序号</w:t>
            </w:r>
          </w:p>
        </w:tc>
        <w:tc>
          <w:tcPr>
            <w:tcW w:w="1455" w:type="dxa"/>
            <w:vMerge w:val="restart"/>
            <w:tcBorders>
              <w:top w:val="single" w:color="auto" w:sz="4" w:space="0"/>
              <w:left w:val="single" w:color="auto" w:sz="4" w:space="0"/>
              <w:right w:val="single" w:color="auto" w:sz="4" w:space="0"/>
            </w:tcBorders>
            <w:vAlign w:val="center"/>
          </w:tcPr>
          <w:p w14:paraId="3CAC94C8">
            <w:pPr>
              <w:spacing w:before="24" w:after="24" w:line="240" w:lineRule="atLeast"/>
              <w:jc w:val="center"/>
              <w:rPr>
                <w:rFonts w:ascii="Times New Roman" w:hAnsi="Times New Roman" w:cs="Times New Roman"/>
                <w:sz w:val="24"/>
                <w:szCs w:val="24"/>
              </w:rPr>
            </w:pPr>
            <w:r>
              <w:rPr>
                <w:rFonts w:ascii="Times New Roman" w:hAnsi="Times New Roman" w:cs="Times New Roman"/>
                <w:sz w:val="24"/>
                <w:szCs w:val="24"/>
              </w:rPr>
              <w:t>指标</w:t>
            </w:r>
          </w:p>
        </w:tc>
        <w:tc>
          <w:tcPr>
            <w:tcW w:w="3437" w:type="dxa"/>
            <w:tcBorders>
              <w:top w:val="single" w:color="auto" w:sz="4" w:space="0"/>
              <w:left w:val="single" w:color="auto" w:sz="4" w:space="0"/>
              <w:bottom w:val="single" w:color="auto" w:sz="4" w:space="0"/>
              <w:right w:val="single" w:color="auto" w:sz="4" w:space="0"/>
            </w:tcBorders>
            <w:vAlign w:val="center"/>
          </w:tcPr>
          <w:p w14:paraId="43D49A64">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危险废物鉴别标准－浸出毒性鉴别（GB5085.3-2007）</w:t>
            </w:r>
          </w:p>
        </w:tc>
        <w:tc>
          <w:tcPr>
            <w:tcW w:w="3372" w:type="dxa"/>
            <w:tcBorders>
              <w:top w:val="single" w:color="auto" w:sz="4" w:space="0"/>
              <w:left w:val="single" w:color="auto" w:sz="4" w:space="0"/>
              <w:bottom w:val="single" w:color="auto" w:sz="4" w:space="0"/>
              <w:right w:val="single" w:color="auto" w:sz="4" w:space="0"/>
            </w:tcBorders>
            <w:vAlign w:val="center"/>
          </w:tcPr>
          <w:p w14:paraId="4E33D115">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《生活垃圾填埋场污染控制标准》（GB 16889—2008）</w:t>
            </w:r>
          </w:p>
        </w:tc>
      </w:tr>
      <w:tr w14:paraId="5A80D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dxa"/>
            <w:vMerge w:val="continue"/>
            <w:tcBorders>
              <w:left w:val="single" w:color="auto" w:sz="4" w:space="0"/>
              <w:bottom w:val="single" w:color="auto" w:sz="4" w:space="0"/>
              <w:right w:val="single" w:color="auto" w:sz="4" w:space="0"/>
            </w:tcBorders>
            <w:vAlign w:val="center"/>
          </w:tcPr>
          <w:p w14:paraId="6914AE9F">
            <w:pPr>
              <w:spacing w:before="24" w:after="24" w:line="240" w:lineRule="atLeast"/>
              <w:ind w:firstLine="200"/>
              <w:jc w:val="center"/>
              <w:rPr>
                <w:rFonts w:ascii="Times New Roman" w:hAnsi="Times New Roman" w:cs="Times New Roman"/>
                <w:sz w:val="24"/>
                <w:szCs w:val="24"/>
              </w:rPr>
            </w:pPr>
          </w:p>
        </w:tc>
        <w:tc>
          <w:tcPr>
            <w:tcW w:w="1455" w:type="dxa"/>
            <w:vMerge w:val="continue"/>
            <w:tcBorders>
              <w:left w:val="single" w:color="auto" w:sz="4" w:space="0"/>
              <w:bottom w:val="single" w:color="auto" w:sz="4" w:space="0"/>
              <w:right w:val="single" w:color="auto" w:sz="4" w:space="0"/>
            </w:tcBorders>
            <w:vAlign w:val="center"/>
          </w:tcPr>
          <w:p w14:paraId="597C0491">
            <w:pPr>
              <w:spacing w:before="24" w:after="24" w:line="240" w:lineRule="atLeast"/>
              <w:ind w:firstLine="200"/>
              <w:jc w:val="center"/>
              <w:rPr>
                <w:rFonts w:ascii="Times New Roman" w:hAnsi="Times New Roman" w:cs="Times New Roman"/>
                <w:sz w:val="24"/>
                <w:szCs w:val="24"/>
              </w:rPr>
            </w:pPr>
          </w:p>
        </w:tc>
        <w:tc>
          <w:tcPr>
            <w:tcW w:w="3437" w:type="dxa"/>
            <w:tcBorders>
              <w:top w:val="single" w:color="auto" w:sz="4" w:space="0"/>
              <w:left w:val="single" w:color="auto" w:sz="4" w:space="0"/>
              <w:bottom w:val="single" w:color="auto" w:sz="4" w:space="0"/>
              <w:right w:val="single" w:color="auto" w:sz="4" w:space="0"/>
            </w:tcBorders>
            <w:vAlign w:val="center"/>
          </w:tcPr>
          <w:p w14:paraId="05C823B8">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mg/L</w:t>
            </w:r>
          </w:p>
        </w:tc>
        <w:tc>
          <w:tcPr>
            <w:tcW w:w="3372" w:type="dxa"/>
            <w:tcBorders>
              <w:top w:val="single" w:color="auto" w:sz="4" w:space="0"/>
              <w:left w:val="single" w:color="auto" w:sz="4" w:space="0"/>
              <w:bottom w:val="single" w:color="auto" w:sz="4" w:space="0"/>
              <w:right w:val="single" w:color="auto" w:sz="4" w:space="0"/>
            </w:tcBorders>
            <w:vAlign w:val="center"/>
          </w:tcPr>
          <w:p w14:paraId="6A0EF2AD">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mg/L</w:t>
            </w:r>
          </w:p>
        </w:tc>
      </w:tr>
      <w:tr w14:paraId="6336A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dxa"/>
            <w:tcBorders>
              <w:top w:val="single" w:color="auto" w:sz="4" w:space="0"/>
              <w:left w:val="single" w:color="auto" w:sz="4" w:space="0"/>
              <w:bottom w:val="single" w:color="auto" w:sz="4" w:space="0"/>
              <w:right w:val="single" w:color="auto" w:sz="4" w:space="0"/>
            </w:tcBorders>
            <w:vAlign w:val="center"/>
          </w:tcPr>
          <w:p w14:paraId="1BBE3FC9">
            <w:pPr>
              <w:spacing w:before="24" w:after="24" w:line="240" w:lineRule="atLeast"/>
              <w:jc w:val="center"/>
              <w:rPr>
                <w:rFonts w:ascii="Times New Roman" w:hAnsi="Times New Roman" w:cs="Times New Roman"/>
                <w:sz w:val="24"/>
                <w:szCs w:val="24"/>
              </w:rPr>
            </w:pPr>
            <w:r>
              <w:rPr>
                <w:rFonts w:ascii="Times New Roman" w:hAnsi="Times New Roman" w:cs="Times New Roman"/>
                <w:sz w:val="24"/>
                <w:szCs w:val="24"/>
              </w:rPr>
              <w:t>1</w:t>
            </w:r>
          </w:p>
        </w:tc>
        <w:tc>
          <w:tcPr>
            <w:tcW w:w="1455" w:type="dxa"/>
            <w:tcBorders>
              <w:top w:val="single" w:color="auto" w:sz="4" w:space="0"/>
              <w:left w:val="single" w:color="auto" w:sz="4" w:space="0"/>
              <w:bottom w:val="single" w:color="auto" w:sz="4" w:space="0"/>
              <w:right w:val="single" w:color="auto" w:sz="4" w:space="0"/>
            </w:tcBorders>
            <w:vAlign w:val="center"/>
          </w:tcPr>
          <w:p w14:paraId="6CA1C168">
            <w:pPr>
              <w:spacing w:before="24" w:after="24" w:line="240" w:lineRule="atLeast"/>
              <w:jc w:val="center"/>
              <w:rPr>
                <w:rFonts w:ascii="Times New Roman" w:hAnsi="Times New Roman" w:cs="Times New Roman"/>
                <w:sz w:val="24"/>
                <w:szCs w:val="24"/>
              </w:rPr>
            </w:pPr>
            <w:r>
              <w:rPr>
                <w:rFonts w:ascii="Times New Roman" w:hAnsi="Times New Roman" w:cs="Times New Roman"/>
                <w:sz w:val="24"/>
                <w:szCs w:val="24"/>
              </w:rPr>
              <w:t>Pb</w:t>
            </w:r>
          </w:p>
        </w:tc>
        <w:tc>
          <w:tcPr>
            <w:tcW w:w="3437" w:type="dxa"/>
            <w:tcBorders>
              <w:top w:val="single" w:color="auto" w:sz="4" w:space="0"/>
              <w:left w:val="single" w:color="auto" w:sz="4" w:space="0"/>
              <w:bottom w:val="single" w:color="auto" w:sz="4" w:space="0"/>
              <w:right w:val="single" w:color="auto" w:sz="4" w:space="0"/>
            </w:tcBorders>
            <w:vAlign w:val="center"/>
          </w:tcPr>
          <w:p w14:paraId="1485A640">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5</w:t>
            </w:r>
          </w:p>
        </w:tc>
        <w:tc>
          <w:tcPr>
            <w:tcW w:w="3372" w:type="dxa"/>
            <w:tcBorders>
              <w:top w:val="single" w:color="auto" w:sz="4" w:space="0"/>
              <w:left w:val="single" w:color="auto" w:sz="4" w:space="0"/>
              <w:bottom w:val="single" w:color="auto" w:sz="4" w:space="0"/>
              <w:right w:val="single" w:color="auto" w:sz="4" w:space="0"/>
            </w:tcBorders>
            <w:vAlign w:val="center"/>
          </w:tcPr>
          <w:p w14:paraId="66479547">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0.25</w:t>
            </w:r>
          </w:p>
        </w:tc>
      </w:tr>
      <w:tr w14:paraId="47CF8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dxa"/>
            <w:tcBorders>
              <w:top w:val="single" w:color="auto" w:sz="4" w:space="0"/>
              <w:left w:val="single" w:color="auto" w:sz="4" w:space="0"/>
              <w:bottom w:val="single" w:color="auto" w:sz="4" w:space="0"/>
              <w:right w:val="single" w:color="auto" w:sz="4" w:space="0"/>
            </w:tcBorders>
            <w:vAlign w:val="center"/>
          </w:tcPr>
          <w:p w14:paraId="43EBC1F1">
            <w:pPr>
              <w:spacing w:before="24" w:after="24" w:line="240" w:lineRule="atLeast"/>
              <w:jc w:val="center"/>
              <w:rPr>
                <w:rFonts w:ascii="Times New Roman" w:hAnsi="Times New Roman" w:cs="Times New Roman"/>
                <w:sz w:val="24"/>
                <w:szCs w:val="24"/>
              </w:rPr>
            </w:pPr>
            <w:r>
              <w:rPr>
                <w:rFonts w:ascii="Times New Roman" w:hAnsi="Times New Roman" w:cs="Times New Roman"/>
                <w:sz w:val="24"/>
                <w:szCs w:val="24"/>
              </w:rPr>
              <w:t>2</w:t>
            </w:r>
          </w:p>
        </w:tc>
        <w:tc>
          <w:tcPr>
            <w:tcW w:w="1455" w:type="dxa"/>
            <w:tcBorders>
              <w:top w:val="single" w:color="auto" w:sz="4" w:space="0"/>
              <w:left w:val="single" w:color="auto" w:sz="4" w:space="0"/>
              <w:bottom w:val="single" w:color="auto" w:sz="4" w:space="0"/>
              <w:right w:val="single" w:color="auto" w:sz="4" w:space="0"/>
            </w:tcBorders>
            <w:vAlign w:val="center"/>
          </w:tcPr>
          <w:p w14:paraId="467C1DE8">
            <w:pPr>
              <w:spacing w:before="24" w:after="24" w:line="240" w:lineRule="atLeast"/>
              <w:jc w:val="center"/>
              <w:rPr>
                <w:rFonts w:ascii="Times New Roman" w:hAnsi="Times New Roman" w:cs="Times New Roman"/>
                <w:sz w:val="24"/>
                <w:szCs w:val="24"/>
              </w:rPr>
            </w:pPr>
            <w:r>
              <w:rPr>
                <w:rFonts w:ascii="Times New Roman" w:hAnsi="Times New Roman" w:cs="Times New Roman"/>
                <w:sz w:val="24"/>
                <w:szCs w:val="24"/>
              </w:rPr>
              <w:t>Cd</w:t>
            </w:r>
          </w:p>
        </w:tc>
        <w:tc>
          <w:tcPr>
            <w:tcW w:w="3437" w:type="dxa"/>
            <w:tcBorders>
              <w:top w:val="single" w:color="auto" w:sz="4" w:space="0"/>
              <w:left w:val="single" w:color="auto" w:sz="4" w:space="0"/>
              <w:bottom w:val="single" w:color="auto" w:sz="4" w:space="0"/>
              <w:right w:val="single" w:color="auto" w:sz="4" w:space="0"/>
            </w:tcBorders>
            <w:vAlign w:val="center"/>
          </w:tcPr>
          <w:p w14:paraId="22942194">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w:t>
            </w:r>
          </w:p>
        </w:tc>
        <w:tc>
          <w:tcPr>
            <w:tcW w:w="3372" w:type="dxa"/>
            <w:tcBorders>
              <w:top w:val="single" w:color="auto" w:sz="4" w:space="0"/>
              <w:left w:val="single" w:color="auto" w:sz="4" w:space="0"/>
              <w:bottom w:val="single" w:color="auto" w:sz="4" w:space="0"/>
              <w:right w:val="single" w:color="auto" w:sz="4" w:space="0"/>
            </w:tcBorders>
            <w:vAlign w:val="center"/>
          </w:tcPr>
          <w:p w14:paraId="27D8EB81">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0.15</w:t>
            </w:r>
          </w:p>
        </w:tc>
      </w:tr>
      <w:tr w14:paraId="3E49D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dxa"/>
            <w:tcBorders>
              <w:top w:val="single" w:color="auto" w:sz="4" w:space="0"/>
              <w:left w:val="single" w:color="auto" w:sz="4" w:space="0"/>
              <w:bottom w:val="single" w:color="auto" w:sz="4" w:space="0"/>
              <w:right w:val="single" w:color="auto" w:sz="4" w:space="0"/>
            </w:tcBorders>
            <w:vAlign w:val="center"/>
          </w:tcPr>
          <w:p w14:paraId="00200835">
            <w:pPr>
              <w:spacing w:before="24" w:after="24" w:line="240" w:lineRule="atLeast"/>
              <w:jc w:val="center"/>
              <w:rPr>
                <w:rFonts w:ascii="Times New Roman" w:hAnsi="Times New Roman" w:cs="Times New Roman"/>
                <w:sz w:val="24"/>
                <w:szCs w:val="24"/>
              </w:rPr>
            </w:pPr>
            <w:r>
              <w:rPr>
                <w:rFonts w:ascii="Times New Roman" w:hAnsi="Times New Roman" w:cs="Times New Roman"/>
                <w:sz w:val="24"/>
                <w:szCs w:val="24"/>
              </w:rPr>
              <w:t>3</w:t>
            </w:r>
          </w:p>
        </w:tc>
        <w:tc>
          <w:tcPr>
            <w:tcW w:w="1455" w:type="dxa"/>
            <w:tcBorders>
              <w:top w:val="single" w:color="auto" w:sz="4" w:space="0"/>
              <w:left w:val="single" w:color="auto" w:sz="4" w:space="0"/>
              <w:bottom w:val="single" w:color="auto" w:sz="4" w:space="0"/>
              <w:right w:val="single" w:color="auto" w:sz="4" w:space="0"/>
            </w:tcBorders>
            <w:vAlign w:val="center"/>
          </w:tcPr>
          <w:p w14:paraId="67E776B3">
            <w:pPr>
              <w:spacing w:before="24" w:after="24" w:line="240" w:lineRule="atLeast"/>
              <w:jc w:val="center"/>
              <w:rPr>
                <w:rFonts w:ascii="Times New Roman" w:hAnsi="Times New Roman" w:cs="Times New Roman"/>
                <w:sz w:val="24"/>
                <w:szCs w:val="24"/>
              </w:rPr>
            </w:pPr>
            <w:r>
              <w:rPr>
                <w:rFonts w:ascii="Times New Roman" w:hAnsi="Times New Roman" w:cs="Times New Roman"/>
                <w:sz w:val="24"/>
                <w:szCs w:val="24"/>
              </w:rPr>
              <w:t>Cu</w:t>
            </w:r>
          </w:p>
        </w:tc>
        <w:tc>
          <w:tcPr>
            <w:tcW w:w="3437" w:type="dxa"/>
            <w:tcBorders>
              <w:top w:val="single" w:color="auto" w:sz="4" w:space="0"/>
              <w:left w:val="single" w:color="auto" w:sz="4" w:space="0"/>
              <w:bottom w:val="single" w:color="auto" w:sz="4" w:space="0"/>
              <w:right w:val="single" w:color="auto" w:sz="4" w:space="0"/>
            </w:tcBorders>
            <w:vAlign w:val="center"/>
          </w:tcPr>
          <w:p w14:paraId="35C199A1">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100</w:t>
            </w:r>
          </w:p>
        </w:tc>
        <w:tc>
          <w:tcPr>
            <w:tcW w:w="3372" w:type="dxa"/>
            <w:tcBorders>
              <w:top w:val="single" w:color="auto" w:sz="4" w:space="0"/>
              <w:left w:val="single" w:color="auto" w:sz="4" w:space="0"/>
              <w:bottom w:val="single" w:color="auto" w:sz="4" w:space="0"/>
              <w:right w:val="single" w:color="auto" w:sz="4" w:space="0"/>
            </w:tcBorders>
            <w:vAlign w:val="center"/>
          </w:tcPr>
          <w:p w14:paraId="5F2F8D3A">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40</w:t>
            </w:r>
          </w:p>
        </w:tc>
      </w:tr>
      <w:tr w14:paraId="0C4B4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dxa"/>
            <w:tcBorders>
              <w:top w:val="single" w:color="auto" w:sz="4" w:space="0"/>
              <w:left w:val="single" w:color="auto" w:sz="4" w:space="0"/>
              <w:bottom w:val="single" w:color="auto" w:sz="4" w:space="0"/>
              <w:right w:val="single" w:color="auto" w:sz="4" w:space="0"/>
            </w:tcBorders>
            <w:vAlign w:val="center"/>
          </w:tcPr>
          <w:p w14:paraId="32F584E4">
            <w:pPr>
              <w:spacing w:before="24" w:after="24" w:line="240" w:lineRule="atLeast"/>
              <w:jc w:val="center"/>
              <w:rPr>
                <w:rFonts w:ascii="Times New Roman" w:hAnsi="Times New Roman" w:cs="Times New Roman"/>
                <w:sz w:val="24"/>
                <w:szCs w:val="24"/>
              </w:rPr>
            </w:pPr>
            <w:r>
              <w:rPr>
                <w:rFonts w:ascii="Times New Roman" w:hAnsi="Times New Roman" w:cs="Times New Roman"/>
                <w:sz w:val="24"/>
                <w:szCs w:val="24"/>
              </w:rPr>
              <w:t>4</w:t>
            </w:r>
          </w:p>
        </w:tc>
        <w:tc>
          <w:tcPr>
            <w:tcW w:w="1455" w:type="dxa"/>
            <w:tcBorders>
              <w:top w:val="single" w:color="auto" w:sz="4" w:space="0"/>
              <w:left w:val="single" w:color="auto" w:sz="4" w:space="0"/>
              <w:bottom w:val="single" w:color="auto" w:sz="4" w:space="0"/>
              <w:right w:val="single" w:color="auto" w:sz="4" w:space="0"/>
            </w:tcBorders>
            <w:vAlign w:val="center"/>
          </w:tcPr>
          <w:p w14:paraId="0FF7E291">
            <w:pPr>
              <w:spacing w:before="24" w:after="24" w:line="240" w:lineRule="atLeast"/>
              <w:jc w:val="center"/>
              <w:rPr>
                <w:rFonts w:ascii="Times New Roman" w:hAnsi="Times New Roman" w:cs="Times New Roman"/>
                <w:sz w:val="24"/>
                <w:szCs w:val="24"/>
              </w:rPr>
            </w:pPr>
            <w:r>
              <w:rPr>
                <w:rFonts w:ascii="Times New Roman" w:hAnsi="Times New Roman" w:cs="Times New Roman"/>
                <w:sz w:val="24"/>
                <w:szCs w:val="24"/>
              </w:rPr>
              <w:t>Zn</w:t>
            </w:r>
          </w:p>
        </w:tc>
        <w:tc>
          <w:tcPr>
            <w:tcW w:w="3437" w:type="dxa"/>
            <w:tcBorders>
              <w:top w:val="single" w:color="auto" w:sz="4" w:space="0"/>
              <w:left w:val="single" w:color="auto" w:sz="4" w:space="0"/>
              <w:bottom w:val="single" w:color="auto" w:sz="4" w:space="0"/>
              <w:right w:val="single" w:color="auto" w:sz="4" w:space="0"/>
            </w:tcBorders>
            <w:vAlign w:val="center"/>
          </w:tcPr>
          <w:p w14:paraId="33BB8FF2">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100</w:t>
            </w:r>
          </w:p>
        </w:tc>
        <w:tc>
          <w:tcPr>
            <w:tcW w:w="3372" w:type="dxa"/>
            <w:tcBorders>
              <w:top w:val="single" w:color="auto" w:sz="4" w:space="0"/>
              <w:left w:val="single" w:color="auto" w:sz="4" w:space="0"/>
              <w:bottom w:val="single" w:color="auto" w:sz="4" w:space="0"/>
              <w:right w:val="single" w:color="auto" w:sz="4" w:space="0"/>
            </w:tcBorders>
            <w:vAlign w:val="center"/>
          </w:tcPr>
          <w:p w14:paraId="3D8E0464">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100</w:t>
            </w:r>
          </w:p>
        </w:tc>
      </w:tr>
      <w:tr w14:paraId="4834A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dxa"/>
            <w:tcBorders>
              <w:top w:val="single" w:color="auto" w:sz="4" w:space="0"/>
              <w:left w:val="single" w:color="auto" w:sz="4" w:space="0"/>
              <w:bottom w:val="single" w:color="auto" w:sz="4" w:space="0"/>
              <w:right w:val="single" w:color="auto" w:sz="4" w:space="0"/>
            </w:tcBorders>
            <w:vAlign w:val="center"/>
          </w:tcPr>
          <w:p w14:paraId="3E5AF173">
            <w:pPr>
              <w:spacing w:before="24" w:after="24" w:line="240" w:lineRule="atLeast"/>
              <w:jc w:val="center"/>
              <w:rPr>
                <w:rFonts w:ascii="Times New Roman" w:hAnsi="Times New Roman" w:cs="Times New Roman"/>
                <w:sz w:val="24"/>
                <w:szCs w:val="24"/>
              </w:rPr>
            </w:pPr>
            <w:r>
              <w:rPr>
                <w:rFonts w:ascii="Times New Roman" w:hAnsi="Times New Roman" w:cs="Times New Roman"/>
                <w:sz w:val="24"/>
                <w:szCs w:val="24"/>
              </w:rPr>
              <w:t>5</w:t>
            </w:r>
          </w:p>
        </w:tc>
        <w:tc>
          <w:tcPr>
            <w:tcW w:w="1455" w:type="dxa"/>
            <w:tcBorders>
              <w:top w:val="single" w:color="auto" w:sz="4" w:space="0"/>
              <w:left w:val="single" w:color="auto" w:sz="4" w:space="0"/>
              <w:bottom w:val="single" w:color="auto" w:sz="4" w:space="0"/>
              <w:right w:val="single" w:color="auto" w:sz="4" w:space="0"/>
            </w:tcBorders>
            <w:vAlign w:val="center"/>
          </w:tcPr>
          <w:p w14:paraId="41EDA5EA">
            <w:pPr>
              <w:spacing w:before="24" w:after="24" w:line="240" w:lineRule="atLeast"/>
              <w:jc w:val="center"/>
              <w:rPr>
                <w:rFonts w:ascii="Times New Roman" w:hAnsi="Times New Roman" w:cs="Times New Roman"/>
                <w:sz w:val="24"/>
                <w:szCs w:val="24"/>
              </w:rPr>
            </w:pPr>
            <w:r>
              <w:rPr>
                <w:rFonts w:ascii="Times New Roman" w:hAnsi="Times New Roman" w:cs="Times New Roman"/>
                <w:sz w:val="24"/>
                <w:szCs w:val="24"/>
              </w:rPr>
              <w:t>Ni</w:t>
            </w:r>
          </w:p>
        </w:tc>
        <w:tc>
          <w:tcPr>
            <w:tcW w:w="3437" w:type="dxa"/>
            <w:tcBorders>
              <w:top w:val="single" w:color="auto" w:sz="4" w:space="0"/>
              <w:left w:val="single" w:color="auto" w:sz="4" w:space="0"/>
              <w:bottom w:val="single" w:color="auto" w:sz="4" w:space="0"/>
              <w:right w:val="single" w:color="auto" w:sz="4" w:space="0"/>
            </w:tcBorders>
            <w:vAlign w:val="center"/>
          </w:tcPr>
          <w:p w14:paraId="5502D361">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5</w:t>
            </w:r>
          </w:p>
        </w:tc>
        <w:tc>
          <w:tcPr>
            <w:tcW w:w="3372" w:type="dxa"/>
            <w:tcBorders>
              <w:top w:val="single" w:color="auto" w:sz="4" w:space="0"/>
              <w:left w:val="single" w:color="auto" w:sz="4" w:space="0"/>
              <w:bottom w:val="single" w:color="auto" w:sz="4" w:space="0"/>
              <w:right w:val="single" w:color="auto" w:sz="4" w:space="0"/>
            </w:tcBorders>
            <w:vAlign w:val="center"/>
          </w:tcPr>
          <w:p w14:paraId="6874141E">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0.5</w:t>
            </w:r>
          </w:p>
        </w:tc>
      </w:tr>
      <w:tr w14:paraId="4098E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dxa"/>
            <w:tcBorders>
              <w:top w:val="single" w:color="auto" w:sz="4" w:space="0"/>
              <w:left w:val="single" w:color="auto" w:sz="4" w:space="0"/>
              <w:bottom w:val="single" w:color="auto" w:sz="4" w:space="0"/>
              <w:right w:val="single" w:color="auto" w:sz="4" w:space="0"/>
            </w:tcBorders>
            <w:vAlign w:val="center"/>
          </w:tcPr>
          <w:p w14:paraId="2628A7ED">
            <w:pPr>
              <w:spacing w:before="24" w:after="24" w:line="240" w:lineRule="atLeast"/>
              <w:jc w:val="center"/>
              <w:rPr>
                <w:rFonts w:ascii="Times New Roman" w:hAnsi="Times New Roman" w:cs="Times New Roman"/>
                <w:sz w:val="24"/>
                <w:szCs w:val="24"/>
              </w:rPr>
            </w:pPr>
            <w:r>
              <w:rPr>
                <w:rFonts w:ascii="Times New Roman" w:hAnsi="Times New Roman" w:cs="Times New Roman"/>
                <w:sz w:val="24"/>
                <w:szCs w:val="24"/>
              </w:rPr>
              <w:t>6</w:t>
            </w:r>
          </w:p>
        </w:tc>
        <w:tc>
          <w:tcPr>
            <w:tcW w:w="1455" w:type="dxa"/>
            <w:tcBorders>
              <w:top w:val="single" w:color="auto" w:sz="4" w:space="0"/>
              <w:left w:val="single" w:color="auto" w:sz="4" w:space="0"/>
              <w:bottom w:val="single" w:color="auto" w:sz="4" w:space="0"/>
              <w:right w:val="single" w:color="auto" w:sz="4" w:space="0"/>
            </w:tcBorders>
            <w:vAlign w:val="center"/>
          </w:tcPr>
          <w:p w14:paraId="00BF092A">
            <w:pPr>
              <w:spacing w:before="24" w:after="24" w:line="240" w:lineRule="atLeast"/>
              <w:jc w:val="center"/>
              <w:rPr>
                <w:rFonts w:ascii="Times New Roman" w:hAnsi="Times New Roman" w:cs="Times New Roman"/>
                <w:sz w:val="24"/>
                <w:szCs w:val="24"/>
              </w:rPr>
            </w:pPr>
            <w:r>
              <w:rPr>
                <w:rFonts w:ascii="Times New Roman" w:hAnsi="Times New Roman" w:cs="Times New Roman"/>
                <w:sz w:val="24"/>
                <w:szCs w:val="24"/>
              </w:rPr>
              <w:t>Cr</w:t>
            </w:r>
          </w:p>
        </w:tc>
        <w:tc>
          <w:tcPr>
            <w:tcW w:w="3437" w:type="dxa"/>
            <w:tcBorders>
              <w:top w:val="single" w:color="auto" w:sz="4" w:space="0"/>
              <w:left w:val="single" w:color="auto" w:sz="4" w:space="0"/>
              <w:bottom w:val="single" w:color="auto" w:sz="4" w:space="0"/>
              <w:right w:val="single" w:color="auto" w:sz="4" w:space="0"/>
            </w:tcBorders>
            <w:vAlign w:val="center"/>
          </w:tcPr>
          <w:p w14:paraId="3BCF5079">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15</w:t>
            </w:r>
          </w:p>
        </w:tc>
        <w:tc>
          <w:tcPr>
            <w:tcW w:w="3372" w:type="dxa"/>
            <w:tcBorders>
              <w:top w:val="single" w:color="auto" w:sz="4" w:space="0"/>
              <w:left w:val="single" w:color="auto" w:sz="4" w:space="0"/>
              <w:bottom w:val="single" w:color="auto" w:sz="4" w:space="0"/>
              <w:right w:val="single" w:color="auto" w:sz="4" w:space="0"/>
            </w:tcBorders>
            <w:vAlign w:val="center"/>
          </w:tcPr>
          <w:p w14:paraId="1B4EFEFD">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4.5</w:t>
            </w:r>
          </w:p>
        </w:tc>
      </w:tr>
      <w:tr w14:paraId="4F5E9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dxa"/>
            <w:tcBorders>
              <w:top w:val="single" w:color="auto" w:sz="4" w:space="0"/>
              <w:left w:val="single" w:color="auto" w:sz="4" w:space="0"/>
              <w:bottom w:val="single" w:color="auto" w:sz="4" w:space="0"/>
              <w:right w:val="single" w:color="auto" w:sz="4" w:space="0"/>
            </w:tcBorders>
            <w:vAlign w:val="center"/>
          </w:tcPr>
          <w:p w14:paraId="447D7CF5">
            <w:pPr>
              <w:spacing w:before="24" w:after="24" w:line="240" w:lineRule="atLeast"/>
              <w:jc w:val="center"/>
              <w:rPr>
                <w:rFonts w:ascii="Times New Roman" w:hAnsi="Times New Roman" w:cs="Times New Roman"/>
                <w:sz w:val="24"/>
                <w:szCs w:val="24"/>
              </w:rPr>
            </w:pPr>
            <w:r>
              <w:rPr>
                <w:rFonts w:ascii="Times New Roman" w:hAnsi="Times New Roman" w:cs="Times New Roman"/>
                <w:sz w:val="24"/>
                <w:szCs w:val="24"/>
              </w:rPr>
              <w:t>7</w:t>
            </w:r>
          </w:p>
        </w:tc>
        <w:tc>
          <w:tcPr>
            <w:tcW w:w="1455" w:type="dxa"/>
            <w:tcBorders>
              <w:top w:val="single" w:color="auto" w:sz="4" w:space="0"/>
              <w:left w:val="single" w:color="auto" w:sz="4" w:space="0"/>
              <w:bottom w:val="single" w:color="auto" w:sz="4" w:space="0"/>
              <w:right w:val="single" w:color="auto" w:sz="4" w:space="0"/>
            </w:tcBorders>
            <w:vAlign w:val="center"/>
          </w:tcPr>
          <w:p w14:paraId="1D2F8D2F">
            <w:pPr>
              <w:spacing w:before="24" w:after="24" w:line="240" w:lineRule="atLeast"/>
              <w:jc w:val="center"/>
              <w:rPr>
                <w:rFonts w:ascii="Times New Roman" w:hAnsi="Times New Roman" w:cs="Times New Roman"/>
                <w:sz w:val="24"/>
                <w:szCs w:val="24"/>
              </w:rPr>
            </w:pPr>
            <w:r>
              <w:rPr>
                <w:rFonts w:ascii="Times New Roman" w:hAnsi="Times New Roman" w:cs="Times New Roman"/>
                <w:sz w:val="24"/>
                <w:szCs w:val="24"/>
              </w:rPr>
              <w:t>Cr（VI）</w:t>
            </w:r>
          </w:p>
        </w:tc>
        <w:tc>
          <w:tcPr>
            <w:tcW w:w="3437" w:type="dxa"/>
            <w:tcBorders>
              <w:top w:val="single" w:color="auto" w:sz="4" w:space="0"/>
              <w:left w:val="single" w:color="auto" w:sz="4" w:space="0"/>
              <w:bottom w:val="single" w:color="auto" w:sz="4" w:space="0"/>
              <w:right w:val="single" w:color="auto" w:sz="4" w:space="0"/>
            </w:tcBorders>
            <w:vAlign w:val="center"/>
          </w:tcPr>
          <w:p w14:paraId="4448172B">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5</w:t>
            </w:r>
          </w:p>
        </w:tc>
        <w:tc>
          <w:tcPr>
            <w:tcW w:w="3372" w:type="dxa"/>
            <w:tcBorders>
              <w:top w:val="single" w:color="auto" w:sz="4" w:space="0"/>
              <w:left w:val="single" w:color="auto" w:sz="4" w:space="0"/>
              <w:bottom w:val="single" w:color="auto" w:sz="4" w:space="0"/>
              <w:right w:val="single" w:color="auto" w:sz="4" w:space="0"/>
            </w:tcBorders>
            <w:vAlign w:val="center"/>
          </w:tcPr>
          <w:p w14:paraId="1CADB752">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1.5</w:t>
            </w:r>
          </w:p>
        </w:tc>
      </w:tr>
      <w:tr w14:paraId="2ED97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dxa"/>
            <w:tcBorders>
              <w:top w:val="single" w:color="auto" w:sz="4" w:space="0"/>
              <w:left w:val="single" w:color="auto" w:sz="4" w:space="0"/>
              <w:bottom w:val="single" w:color="auto" w:sz="4" w:space="0"/>
              <w:right w:val="single" w:color="auto" w:sz="4" w:space="0"/>
            </w:tcBorders>
            <w:vAlign w:val="center"/>
          </w:tcPr>
          <w:p w14:paraId="79FE6EEB">
            <w:pPr>
              <w:spacing w:before="24" w:after="24" w:line="240" w:lineRule="atLeast"/>
              <w:jc w:val="center"/>
              <w:rPr>
                <w:rFonts w:ascii="Times New Roman" w:hAnsi="Times New Roman" w:cs="Times New Roman"/>
                <w:sz w:val="24"/>
                <w:szCs w:val="24"/>
              </w:rPr>
            </w:pPr>
            <w:r>
              <w:rPr>
                <w:rFonts w:ascii="Times New Roman" w:hAnsi="Times New Roman" w:cs="Times New Roman"/>
                <w:sz w:val="24"/>
                <w:szCs w:val="24"/>
              </w:rPr>
              <w:t>8</w:t>
            </w:r>
          </w:p>
        </w:tc>
        <w:tc>
          <w:tcPr>
            <w:tcW w:w="1455" w:type="dxa"/>
            <w:tcBorders>
              <w:top w:val="single" w:color="auto" w:sz="4" w:space="0"/>
              <w:left w:val="single" w:color="auto" w:sz="4" w:space="0"/>
              <w:bottom w:val="single" w:color="auto" w:sz="4" w:space="0"/>
              <w:right w:val="single" w:color="auto" w:sz="4" w:space="0"/>
            </w:tcBorders>
            <w:vAlign w:val="center"/>
          </w:tcPr>
          <w:p w14:paraId="30F22987">
            <w:pPr>
              <w:spacing w:before="24" w:after="24" w:line="240" w:lineRule="atLeast"/>
              <w:jc w:val="center"/>
              <w:rPr>
                <w:rFonts w:ascii="Times New Roman" w:hAnsi="Times New Roman" w:cs="Times New Roman"/>
                <w:sz w:val="24"/>
                <w:szCs w:val="24"/>
              </w:rPr>
            </w:pPr>
            <w:r>
              <w:rPr>
                <w:rFonts w:ascii="Times New Roman" w:hAnsi="Times New Roman" w:cs="Times New Roman"/>
                <w:sz w:val="24"/>
                <w:szCs w:val="24"/>
              </w:rPr>
              <w:t>Hg</w:t>
            </w:r>
          </w:p>
        </w:tc>
        <w:tc>
          <w:tcPr>
            <w:tcW w:w="3437" w:type="dxa"/>
            <w:tcBorders>
              <w:top w:val="single" w:color="auto" w:sz="4" w:space="0"/>
              <w:left w:val="single" w:color="auto" w:sz="4" w:space="0"/>
              <w:bottom w:val="single" w:color="auto" w:sz="4" w:space="0"/>
              <w:right w:val="single" w:color="auto" w:sz="4" w:space="0"/>
            </w:tcBorders>
            <w:vAlign w:val="center"/>
          </w:tcPr>
          <w:p w14:paraId="552FF922">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0.1</w:t>
            </w:r>
          </w:p>
        </w:tc>
        <w:tc>
          <w:tcPr>
            <w:tcW w:w="3372" w:type="dxa"/>
            <w:tcBorders>
              <w:top w:val="single" w:color="auto" w:sz="4" w:space="0"/>
              <w:left w:val="single" w:color="auto" w:sz="4" w:space="0"/>
              <w:bottom w:val="single" w:color="auto" w:sz="4" w:space="0"/>
              <w:right w:val="single" w:color="auto" w:sz="4" w:space="0"/>
            </w:tcBorders>
            <w:vAlign w:val="center"/>
          </w:tcPr>
          <w:p w14:paraId="2C756611">
            <w:pPr>
              <w:spacing w:before="24" w:after="24" w:line="240" w:lineRule="atLeast"/>
              <w:ind w:firstLine="200"/>
              <w:jc w:val="center"/>
              <w:rPr>
                <w:rFonts w:ascii="Times New Roman" w:hAnsi="Times New Roman" w:cs="Times New Roman"/>
                <w:sz w:val="24"/>
                <w:szCs w:val="24"/>
              </w:rPr>
            </w:pPr>
            <w:r>
              <w:rPr>
                <w:rFonts w:ascii="Times New Roman" w:hAnsi="Times New Roman" w:cs="Times New Roman"/>
                <w:sz w:val="24"/>
                <w:szCs w:val="24"/>
              </w:rPr>
              <w:t>0.05</w:t>
            </w:r>
          </w:p>
        </w:tc>
      </w:tr>
    </w:tbl>
    <w:p w14:paraId="67A08AFC">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3.4厂内的噪声治理应符合现行国家标准《城市区域环境噪声标准》GB3096，厂界噪声标准执行《工业厂界噪声标准》（GB12348）中的三类标准。即围墙1米处噪声级限度：白天≤65dB（A），夜间≤55dB（A）。对建筑物的直达声源噪声控制，应符合现行《工业企业噪声控制设计规范》（GBJ87）的有关规定。</w:t>
      </w:r>
    </w:p>
    <w:p w14:paraId="1500D485">
      <w:pPr>
        <w:spacing w:before="24" w:after="24"/>
        <w:ind w:firstLine="560" w:firstLineChars="200"/>
        <w:jc w:val="center"/>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表3.4工业企业厂区内各类地点噪声标准</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4017"/>
        <w:gridCol w:w="2369"/>
        <w:gridCol w:w="1370"/>
      </w:tblGrid>
      <w:tr w14:paraId="45FEA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766" w:type="dxa"/>
            <w:vAlign w:val="center"/>
          </w:tcPr>
          <w:p w14:paraId="5BE5A62A">
            <w:pPr>
              <w:pStyle w:val="71"/>
              <w:spacing w:before="24" w:after="24"/>
            </w:pPr>
            <w:r>
              <w:t>序号</w:t>
            </w:r>
          </w:p>
        </w:tc>
        <w:tc>
          <w:tcPr>
            <w:tcW w:w="6386" w:type="dxa"/>
            <w:gridSpan w:val="2"/>
            <w:vAlign w:val="center"/>
          </w:tcPr>
          <w:p w14:paraId="14248DC6">
            <w:pPr>
              <w:pStyle w:val="71"/>
              <w:spacing w:before="24" w:after="24"/>
            </w:pPr>
            <w:r>
              <w:t>地点类别</w:t>
            </w:r>
          </w:p>
        </w:tc>
        <w:tc>
          <w:tcPr>
            <w:tcW w:w="1370" w:type="dxa"/>
            <w:vAlign w:val="center"/>
          </w:tcPr>
          <w:p w14:paraId="595FA9B6">
            <w:pPr>
              <w:pStyle w:val="71"/>
              <w:spacing w:before="24" w:after="24"/>
            </w:pPr>
            <w:r>
              <w:t>噪声限制值（dB）</w:t>
            </w:r>
          </w:p>
        </w:tc>
      </w:tr>
      <w:tr w14:paraId="21BEC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 w:type="dxa"/>
            <w:vAlign w:val="center"/>
          </w:tcPr>
          <w:p w14:paraId="54898B46">
            <w:pPr>
              <w:pStyle w:val="71"/>
              <w:spacing w:before="24" w:after="24"/>
            </w:pPr>
            <w:r>
              <w:t>1</w:t>
            </w:r>
          </w:p>
        </w:tc>
        <w:tc>
          <w:tcPr>
            <w:tcW w:w="6386" w:type="dxa"/>
            <w:gridSpan w:val="2"/>
            <w:vAlign w:val="center"/>
          </w:tcPr>
          <w:p w14:paraId="3BB0D479">
            <w:pPr>
              <w:pStyle w:val="71"/>
              <w:spacing w:before="24" w:after="24"/>
              <w:jc w:val="both"/>
            </w:pPr>
            <w:r>
              <w:t>生产车间及作业场所（每天连续接触噪声8小时）</w:t>
            </w:r>
          </w:p>
        </w:tc>
        <w:tc>
          <w:tcPr>
            <w:tcW w:w="1370" w:type="dxa"/>
            <w:vAlign w:val="center"/>
          </w:tcPr>
          <w:p w14:paraId="09D3E9D8">
            <w:pPr>
              <w:pStyle w:val="71"/>
              <w:spacing w:before="24" w:after="24"/>
            </w:pPr>
            <w:r>
              <w:t>90</w:t>
            </w:r>
          </w:p>
        </w:tc>
      </w:tr>
      <w:tr w14:paraId="7798D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 w:type="dxa"/>
            <w:vMerge w:val="restart"/>
            <w:vAlign w:val="center"/>
          </w:tcPr>
          <w:p w14:paraId="2FBECE15">
            <w:pPr>
              <w:pStyle w:val="71"/>
              <w:spacing w:before="24" w:after="24"/>
            </w:pPr>
            <w:r>
              <w:t>2</w:t>
            </w:r>
          </w:p>
        </w:tc>
        <w:tc>
          <w:tcPr>
            <w:tcW w:w="4017" w:type="dxa"/>
            <w:vMerge w:val="restart"/>
            <w:vAlign w:val="center"/>
          </w:tcPr>
          <w:p w14:paraId="45F4CF2D">
            <w:pPr>
              <w:pStyle w:val="71"/>
              <w:spacing w:before="24" w:after="24"/>
              <w:jc w:val="both"/>
            </w:pPr>
            <w:r>
              <w:t>高噪声车间设置的值班室、观察室、休息室（室内背景噪声级）</w:t>
            </w:r>
          </w:p>
        </w:tc>
        <w:tc>
          <w:tcPr>
            <w:tcW w:w="2369" w:type="dxa"/>
            <w:vAlign w:val="center"/>
          </w:tcPr>
          <w:p w14:paraId="5BBCB921">
            <w:pPr>
              <w:pStyle w:val="71"/>
              <w:spacing w:before="24" w:after="24"/>
              <w:jc w:val="both"/>
            </w:pPr>
            <w:r>
              <w:t>无电话通讯要求时</w:t>
            </w:r>
          </w:p>
        </w:tc>
        <w:tc>
          <w:tcPr>
            <w:tcW w:w="1370" w:type="dxa"/>
            <w:vAlign w:val="center"/>
          </w:tcPr>
          <w:p w14:paraId="72170146">
            <w:pPr>
              <w:pStyle w:val="71"/>
              <w:spacing w:before="24" w:after="24"/>
            </w:pPr>
            <w:r>
              <w:t>75</w:t>
            </w:r>
          </w:p>
        </w:tc>
      </w:tr>
      <w:tr w14:paraId="44AB2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 w:type="dxa"/>
            <w:vMerge w:val="continue"/>
            <w:vAlign w:val="center"/>
          </w:tcPr>
          <w:p w14:paraId="3D5332AC">
            <w:pPr>
              <w:pStyle w:val="71"/>
              <w:spacing w:before="24" w:after="24"/>
            </w:pPr>
          </w:p>
        </w:tc>
        <w:tc>
          <w:tcPr>
            <w:tcW w:w="4017" w:type="dxa"/>
            <w:vMerge w:val="continue"/>
            <w:vAlign w:val="center"/>
          </w:tcPr>
          <w:p w14:paraId="3BCBC108">
            <w:pPr>
              <w:pStyle w:val="71"/>
              <w:spacing w:before="24" w:after="24"/>
              <w:jc w:val="both"/>
            </w:pPr>
          </w:p>
        </w:tc>
        <w:tc>
          <w:tcPr>
            <w:tcW w:w="2369" w:type="dxa"/>
            <w:vAlign w:val="center"/>
          </w:tcPr>
          <w:p w14:paraId="12B933DD">
            <w:pPr>
              <w:pStyle w:val="71"/>
              <w:spacing w:before="24" w:after="24"/>
              <w:jc w:val="both"/>
            </w:pPr>
            <w:r>
              <w:t>有电话通讯要求时</w:t>
            </w:r>
          </w:p>
        </w:tc>
        <w:tc>
          <w:tcPr>
            <w:tcW w:w="1370" w:type="dxa"/>
            <w:vAlign w:val="center"/>
          </w:tcPr>
          <w:p w14:paraId="66076499">
            <w:pPr>
              <w:pStyle w:val="71"/>
              <w:spacing w:before="24" w:after="24"/>
            </w:pPr>
            <w:r>
              <w:t>70</w:t>
            </w:r>
          </w:p>
        </w:tc>
      </w:tr>
      <w:tr w14:paraId="3E056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 w:type="dxa"/>
            <w:vAlign w:val="center"/>
          </w:tcPr>
          <w:p w14:paraId="76138FB3">
            <w:pPr>
              <w:pStyle w:val="71"/>
              <w:spacing w:before="24" w:after="24"/>
            </w:pPr>
            <w:r>
              <w:t>3</w:t>
            </w:r>
          </w:p>
        </w:tc>
        <w:tc>
          <w:tcPr>
            <w:tcW w:w="6386" w:type="dxa"/>
            <w:gridSpan w:val="2"/>
            <w:vAlign w:val="center"/>
          </w:tcPr>
          <w:p w14:paraId="677CCF72">
            <w:pPr>
              <w:pStyle w:val="71"/>
              <w:spacing w:before="24" w:after="24"/>
              <w:jc w:val="both"/>
            </w:pPr>
            <w:r>
              <w:t>精密装配线、精密加工车间的工作地点、计算机房（正常工作状态）</w:t>
            </w:r>
          </w:p>
        </w:tc>
        <w:tc>
          <w:tcPr>
            <w:tcW w:w="1370" w:type="dxa"/>
            <w:vAlign w:val="center"/>
          </w:tcPr>
          <w:p w14:paraId="3A2F2759">
            <w:pPr>
              <w:pStyle w:val="71"/>
              <w:spacing w:before="24" w:after="24"/>
            </w:pPr>
            <w:r>
              <w:t>70</w:t>
            </w:r>
          </w:p>
        </w:tc>
      </w:tr>
      <w:tr w14:paraId="5C7E2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 w:type="dxa"/>
            <w:vAlign w:val="center"/>
          </w:tcPr>
          <w:p w14:paraId="6F538F79">
            <w:pPr>
              <w:pStyle w:val="71"/>
              <w:spacing w:before="24" w:after="24"/>
            </w:pPr>
            <w:r>
              <w:t>4</w:t>
            </w:r>
          </w:p>
        </w:tc>
        <w:tc>
          <w:tcPr>
            <w:tcW w:w="6386" w:type="dxa"/>
            <w:gridSpan w:val="2"/>
            <w:vAlign w:val="center"/>
          </w:tcPr>
          <w:p w14:paraId="73B3FCA8">
            <w:pPr>
              <w:pStyle w:val="71"/>
              <w:spacing w:before="24" w:after="24"/>
              <w:jc w:val="both"/>
            </w:pPr>
            <w:r>
              <w:t>车间所属办公室、实验室、设计室（室内背景噪声级）</w:t>
            </w:r>
          </w:p>
        </w:tc>
        <w:tc>
          <w:tcPr>
            <w:tcW w:w="1370" w:type="dxa"/>
            <w:vAlign w:val="center"/>
          </w:tcPr>
          <w:p w14:paraId="5AF0A1DB">
            <w:pPr>
              <w:pStyle w:val="71"/>
              <w:spacing w:before="24" w:after="24"/>
            </w:pPr>
            <w:r>
              <w:t>70</w:t>
            </w:r>
          </w:p>
        </w:tc>
      </w:tr>
      <w:tr w14:paraId="4309A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 w:type="dxa"/>
            <w:vAlign w:val="center"/>
          </w:tcPr>
          <w:p w14:paraId="6F8D1AF7">
            <w:pPr>
              <w:pStyle w:val="71"/>
              <w:spacing w:before="24" w:after="24"/>
            </w:pPr>
            <w:r>
              <w:t>5</w:t>
            </w:r>
          </w:p>
        </w:tc>
        <w:tc>
          <w:tcPr>
            <w:tcW w:w="6386" w:type="dxa"/>
            <w:gridSpan w:val="2"/>
            <w:vAlign w:val="center"/>
          </w:tcPr>
          <w:p w14:paraId="13506467">
            <w:pPr>
              <w:pStyle w:val="71"/>
              <w:spacing w:before="24" w:after="24"/>
              <w:jc w:val="both"/>
            </w:pPr>
            <w:r>
              <w:t>主控制室、集中控制室、通讯室、电话总机室、消防值班室（室内背景噪声级）</w:t>
            </w:r>
          </w:p>
        </w:tc>
        <w:tc>
          <w:tcPr>
            <w:tcW w:w="1370" w:type="dxa"/>
            <w:vAlign w:val="center"/>
          </w:tcPr>
          <w:p w14:paraId="0E2881D6">
            <w:pPr>
              <w:pStyle w:val="71"/>
              <w:spacing w:before="24" w:after="24"/>
            </w:pPr>
            <w:r>
              <w:t>60</w:t>
            </w:r>
          </w:p>
        </w:tc>
      </w:tr>
      <w:tr w14:paraId="6F1A5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 w:type="dxa"/>
            <w:vAlign w:val="center"/>
          </w:tcPr>
          <w:p w14:paraId="65645BB6">
            <w:pPr>
              <w:pStyle w:val="71"/>
              <w:spacing w:before="24" w:after="24"/>
            </w:pPr>
            <w:r>
              <w:t>6</w:t>
            </w:r>
          </w:p>
        </w:tc>
        <w:tc>
          <w:tcPr>
            <w:tcW w:w="6386" w:type="dxa"/>
            <w:gridSpan w:val="2"/>
            <w:vAlign w:val="center"/>
          </w:tcPr>
          <w:p w14:paraId="561F33AD">
            <w:pPr>
              <w:pStyle w:val="71"/>
              <w:spacing w:before="24" w:after="24"/>
              <w:jc w:val="both"/>
            </w:pPr>
            <w:r>
              <w:t>厂部所属办公室、会议室、设计室、中心实验室（包括试验、化验、计量室）（室内背景噪声级）</w:t>
            </w:r>
          </w:p>
        </w:tc>
        <w:tc>
          <w:tcPr>
            <w:tcW w:w="1370" w:type="dxa"/>
            <w:vAlign w:val="center"/>
          </w:tcPr>
          <w:p w14:paraId="060E5688">
            <w:pPr>
              <w:pStyle w:val="71"/>
              <w:spacing w:before="24" w:after="24"/>
            </w:pPr>
            <w:r>
              <w:t>60</w:t>
            </w:r>
          </w:p>
        </w:tc>
      </w:tr>
      <w:tr w14:paraId="44B06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 w:type="dxa"/>
            <w:vAlign w:val="center"/>
          </w:tcPr>
          <w:p w14:paraId="612F4B28">
            <w:pPr>
              <w:pStyle w:val="71"/>
              <w:spacing w:before="24" w:after="24"/>
            </w:pPr>
            <w:r>
              <w:t>7</w:t>
            </w:r>
          </w:p>
        </w:tc>
        <w:tc>
          <w:tcPr>
            <w:tcW w:w="6386" w:type="dxa"/>
            <w:gridSpan w:val="2"/>
            <w:vAlign w:val="center"/>
          </w:tcPr>
          <w:p w14:paraId="6E633809">
            <w:pPr>
              <w:pStyle w:val="71"/>
              <w:spacing w:before="24" w:after="24"/>
              <w:jc w:val="both"/>
            </w:pPr>
            <w:r>
              <w:t>医务室、教室、哺乳室、托儿所、工人值班宿舍（室内背景噪声级）</w:t>
            </w:r>
          </w:p>
        </w:tc>
        <w:tc>
          <w:tcPr>
            <w:tcW w:w="1370" w:type="dxa"/>
            <w:vAlign w:val="center"/>
          </w:tcPr>
          <w:p w14:paraId="6F69B0CC">
            <w:pPr>
              <w:pStyle w:val="71"/>
              <w:spacing w:before="24" w:after="24"/>
            </w:pPr>
            <w:r>
              <w:t>55</w:t>
            </w:r>
          </w:p>
        </w:tc>
      </w:tr>
    </w:tbl>
    <w:p w14:paraId="3DAA40A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3.5本工程所散发的臭气污染物浓度满足《恶臭污染物排放标准》（GB14554－93）中二级新扩改建标准。</w:t>
      </w:r>
    </w:p>
    <w:p w14:paraId="47801CCA">
      <w:pPr>
        <w:spacing w:before="24" w:after="24"/>
        <w:ind w:firstLine="560" w:firstLineChars="200"/>
        <w:jc w:val="center"/>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表3.5臭气污染物厂界标准值</w:t>
      </w:r>
    </w:p>
    <w:tbl>
      <w:tblPr>
        <w:tblStyle w:val="3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209"/>
        <w:gridCol w:w="1213"/>
        <w:gridCol w:w="1280"/>
        <w:gridCol w:w="1281"/>
        <w:gridCol w:w="1213"/>
        <w:gridCol w:w="1190"/>
        <w:gridCol w:w="1091"/>
      </w:tblGrid>
      <w:tr w14:paraId="43DD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800" w:type="dxa"/>
            <w:vMerge w:val="restart"/>
            <w:vAlign w:val="center"/>
          </w:tcPr>
          <w:p w14:paraId="18DD5976">
            <w:pPr>
              <w:pStyle w:val="71"/>
              <w:spacing w:before="24" w:after="24"/>
            </w:pPr>
            <w:r>
              <w:t>序号</w:t>
            </w:r>
          </w:p>
        </w:tc>
        <w:tc>
          <w:tcPr>
            <w:tcW w:w="1210" w:type="dxa"/>
            <w:vMerge w:val="restart"/>
            <w:vAlign w:val="center"/>
          </w:tcPr>
          <w:p w14:paraId="7EBDC2CE">
            <w:pPr>
              <w:pStyle w:val="71"/>
              <w:spacing w:before="24" w:after="24"/>
            </w:pPr>
            <w:r>
              <w:t>控制项目</w:t>
            </w:r>
          </w:p>
        </w:tc>
        <w:tc>
          <w:tcPr>
            <w:tcW w:w="1214" w:type="dxa"/>
            <w:vMerge w:val="restart"/>
            <w:vAlign w:val="center"/>
          </w:tcPr>
          <w:p w14:paraId="50E748DA">
            <w:pPr>
              <w:pStyle w:val="71"/>
              <w:spacing w:before="24" w:after="24"/>
            </w:pPr>
            <w:r>
              <w:t>单位</w:t>
            </w:r>
          </w:p>
        </w:tc>
        <w:tc>
          <w:tcPr>
            <w:tcW w:w="1281" w:type="dxa"/>
            <w:vMerge w:val="restart"/>
            <w:vAlign w:val="center"/>
          </w:tcPr>
          <w:p w14:paraId="53E2C250">
            <w:pPr>
              <w:pStyle w:val="71"/>
              <w:spacing w:before="24" w:after="24"/>
            </w:pPr>
            <w:r>
              <w:t>一级</w:t>
            </w:r>
          </w:p>
        </w:tc>
        <w:tc>
          <w:tcPr>
            <w:tcW w:w="2496" w:type="dxa"/>
            <w:gridSpan w:val="2"/>
            <w:vAlign w:val="center"/>
          </w:tcPr>
          <w:p w14:paraId="3D455F37">
            <w:pPr>
              <w:pStyle w:val="71"/>
              <w:spacing w:before="24" w:after="24"/>
            </w:pPr>
            <w:r>
              <w:t>二级</w:t>
            </w:r>
          </w:p>
        </w:tc>
        <w:tc>
          <w:tcPr>
            <w:tcW w:w="2281" w:type="dxa"/>
            <w:gridSpan w:val="2"/>
            <w:vAlign w:val="center"/>
          </w:tcPr>
          <w:p w14:paraId="296286E4">
            <w:pPr>
              <w:pStyle w:val="71"/>
              <w:spacing w:before="24" w:after="24"/>
            </w:pPr>
            <w:r>
              <w:t>三级</w:t>
            </w:r>
          </w:p>
        </w:tc>
      </w:tr>
      <w:tr w14:paraId="3E5FA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800" w:type="dxa"/>
            <w:vMerge w:val="continue"/>
            <w:vAlign w:val="center"/>
          </w:tcPr>
          <w:p w14:paraId="28111ED8">
            <w:pPr>
              <w:pStyle w:val="71"/>
              <w:spacing w:before="24" w:after="24"/>
            </w:pPr>
          </w:p>
        </w:tc>
        <w:tc>
          <w:tcPr>
            <w:tcW w:w="1210" w:type="dxa"/>
            <w:vMerge w:val="continue"/>
            <w:vAlign w:val="center"/>
          </w:tcPr>
          <w:p w14:paraId="33D8FBC4">
            <w:pPr>
              <w:pStyle w:val="71"/>
              <w:spacing w:before="24" w:after="24"/>
            </w:pPr>
          </w:p>
        </w:tc>
        <w:tc>
          <w:tcPr>
            <w:tcW w:w="1214" w:type="dxa"/>
            <w:vMerge w:val="continue"/>
            <w:vAlign w:val="center"/>
          </w:tcPr>
          <w:p w14:paraId="263F69FE">
            <w:pPr>
              <w:pStyle w:val="71"/>
              <w:spacing w:before="24" w:after="24"/>
            </w:pPr>
          </w:p>
        </w:tc>
        <w:tc>
          <w:tcPr>
            <w:tcW w:w="1281" w:type="dxa"/>
            <w:vMerge w:val="continue"/>
            <w:vAlign w:val="center"/>
          </w:tcPr>
          <w:p w14:paraId="69D1FC4E">
            <w:pPr>
              <w:pStyle w:val="71"/>
              <w:spacing w:before="24" w:after="24"/>
            </w:pPr>
          </w:p>
        </w:tc>
        <w:tc>
          <w:tcPr>
            <w:tcW w:w="1282" w:type="dxa"/>
            <w:vAlign w:val="center"/>
          </w:tcPr>
          <w:p w14:paraId="37C91DAB">
            <w:pPr>
              <w:pStyle w:val="71"/>
              <w:spacing w:before="24" w:after="24"/>
            </w:pPr>
            <w:r>
              <w:t>新扩改建</w:t>
            </w:r>
          </w:p>
        </w:tc>
        <w:tc>
          <w:tcPr>
            <w:tcW w:w="1214" w:type="dxa"/>
            <w:vAlign w:val="center"/>
          </w:tcPr>
          <w:p w14:paraId="39840116">
            <w:pPr>
              <w:pStyle w:val="71"/>
              <w:spacing w:before="24" w:after="24"/>
            </w:pPr>
            <w:r>
              <w:t>现有</w:t>
            </w:r>
          </w:p>
        </w:tc>
        <w:tc>
          <w:tcPr>
            <w:tcW w:w="1190" w:type="dxa"/>
            <w:vAlign w:val="center"/>
          </w:tcPr>
          <w:p w14:paraId="182A8C46">
            <w:pPr>
              <w:pStyle w:val="71"/>
              <w:spacing w:before="24" w:after="24"/>
            </w:pPr>
            <w:r>
              <w:t>新扩改建</w:t>
            </w:r>
          </w:p>
        </w:tc>
        <w:tc>
          <w:tcPr>
            <w:tcW w:w="1091" w:type="dxa"/>
            <w:vAlign w:val="center"/>
          </w:tcPr>
          <w:p w14:paraId="335426C2">
            <w:pPr>
              <w:pStyle w:val="71"/>
              <w:spacing w:before="24" w:after="24"/>
            </w:pPr>
            <w:r>
              <w:t>现有</w:t>
            </w:r>
          </w:p>
        </w:tc>
      </w:tr>
      <w:tr w14:paraId="4BCAC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vAlign w:val="center"/>
          </w:tcPr>
          <w:p w14:paraId="7656AB4E">
            <w:pPr>
              <w:pStyle w:val="71"/>
              <w:spacing w:before="24" w:after="24"/>
            </w:pPr>
            <w:r>
              <w:t>1</w:t>
            </w:r>
          </w:p>
        </w:tc>
        <w:tc>
          <w:tcPr>
            <w:tcW w:w="1210" w:type="dxa"/>
            <w:vAlign w:val="center"/>
          </w:tcPr>
          <w:p w14:paraId="75F6D215">
            <w:pPr>
              <w:pStyle w:val="71"/>
              <w:spacing w:before="24" w:after="24"/>
            </w:pPr>
            <w:r>
              <w:t>氨</w:t>
            </w:r>
          </w:p>
        </w:tc>
        <w:tc>
          <w:tcPr>
            <w:tcW w:w="1214" w:type="dxa"/>
            <w:vAlign w:val="center"/>
          </w:tcPr>
          <w:p w14:paraId="18E66E7C">
            <w:pPr>
              <w:pStyle w:val="71"/>
              <w:spacing w:before="24" w:after="24"/>
            </w:pPr>
            <w:r>
              <w:t>mg/m</w:t>
            </w:r>
            <w:r>
              <w:rPr>
                <w:vertAlign w:val="superscript"/>
              </w:rPr>
              <w:t>3</w:t>
            </w:r>
          </w:p>
        </w:tc>
        <w:tc>
          <w:tcPr>
            <w:tcW w:w="1281" w:type="dxa"/>
            <w:vAlign w:val="center"/>
          </w:tcPr>
          <w:p w14:paraId="5B295274">
            <w:pPr>
              <w:pStyle w:val="71"/>
              <w:spacing w:before="24" w:after="24"/>
            </w:pPr>
            <w:r>
              <w:t>1.0</w:t>
            </w:r>
          </w:p>
        </w:tc>
        <w:tc>
          <w:tcPr>
            <w:tcW w:w="1282" w:type="dxa"/>
            <w:vAlign w:val="center"/>
          </w:tcPr>
          <w:p w14:paraId="5B4D09F3">
            <w:pPr>
              <w:pStyle w:val="71"/>
              <w:spacing w:before="24" w:after="24"/>
            </w:pPr>
            <w:r>
              <w:t>1.5</w:t>
            </w:r>
          </w:p>
        </w:tc>
        <w:tc>
          <w:tcPr>
            <w:tcW w:w="1214" w:type="dxa"/>
            <w:vAlign w:val="center"/>
          </w:tcPr>
          <w:p w14:paraId="35839901">
            <w:pPr>
              <w:pStyle w:val="71"/>
              <w:spacing w:before="24" w:after="24"/>
            </w:pPr>
            <w:r>
              <w:t>2.0</w:t>
            </w:r>
          </w:p>
        </w:tc>
        <w:tc>
          <w:tcPr>
            <w:tcW w:w="1190" w:type="dxa"/>
            <w:vAlign w:val="center"/>
          </w:tcPr>
          <w:p w14:paraId="14917A28">
            <w:pPr>
              <w:pStyle w:val="71"/>
              <w:spacing w:before="24" w:after="24"/>
            </w:pPr>
            <w:r>
              <w:t>4.0</w:t>
            </w:r>
          </w:p>
        </w:tc>
        <w:tc>
          <w:tcPr>
            <w:tcW w:w="1091" w:type="dxa"/>
            <w:vAlign w:val="center"/>
          </w:tcPr>
          <w:p w14:paraId="2C080C40">
            <w:pPr>
              <w:pStyle w:val="71"/>
              <w:spacing w:before="24" w:after="24"/>
            </w:pPr>
            <w:r>
              <w:t>5.0</w:t>
            </w:r>
          </w:p>
        </w:tc>
      </w:tr>
      <w:tr w14:paraId="2EFB1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vAlign w:val="center"/>
          </w:tcPr>
          <w:p w14:paraId="3CD4AC6B">
            <w:pPr>
              <w:pStyle w:val="71"/>
              <w:spacing w:before="24" w:after="24"/>
            </w:pPr>
            <w:r>
              <w:t>2</w:t>
            </w:r>
          </w:p>
        </w:tc>
        <w:tc>
          <w:tcPr>
            <w:tcW w:w="1210" w:type="dxa"/>
            <w:vAlign w:val="center"/>
          </w:tcPr>
          <w:p w14:paraId="45E755F2">
            <w:pPr>
              <w:pStyle w:val="71"/>
              <w:spacing w:before="24" w:after="24"/>
            </w:pPr>
            <w:r>
              <w:t>三甲胺</w:t>
            </w:r>
          </w:p>
        </w:tc>
        <w:tc>
          <w:tcPr>
            <w:tcW w:w="1214" w:type="dxa"/>
            <w:vAlign w:val="center"/>
          </w:tcPr>
          <w:p w14:paraId="56D8ECEB">
            <w:pPr>
              <w:pStyle w:val="71"/>
              <w:spacing w:before="24" w:after="24"/>
            </w:pPr>
            <w:r>
              <w:t>mg/m</w:t>
            </w:r>
            <w:r>
              <w:rPr>
                <w:vertAlign w:val="superscript"/>
              </w:rPr>
              <w:t>3</w:t>
            </w:r>
          </w:p>
        </w:tc>
        <w:tc>
          <w:tcPr>
            <w:tcW w:w="1281" w:type="dxa"/>
            <w:vAlign w:val="center"/>
          </w:tcPr>
          <w:p w14:paraId="5B05E290">
            <w:pPr>
              <w:pStyle w:val="71"/>
              <w:spacing w:before="24" w:after="24"/>
            </w:pPr>
            <w:r>
              <w:t>0.05</w:t>
            </w:r>
          </w:p>
        </w:tc>
        <w:tc>
          <w:tcPr>
            <w:tcW w:w="1282" w:type="dxa"/>
            <w:vAlign w:val="center"/>
          </w:tcPr>
          <w:p w14:paraId="0BD19D6F">
            <w:pPr>
              <w:pStyle w:val="71"/>
              <w:spacing w:before="24" w:after="24"/>
            </w:pPr>
            <w:r>
              <w:t>0.08</w:t>
            </w:r>
          </w:p>
        </w:tc>
        <w:tc>
          <w:tcPr>
            <w:tcW w:w="1214" w:type="dxa"/>
            <w:vAlign w:val="center"/>
          </w:tcPr>
          <w:p w14:paraId="03916D1E">
            <w:pPr>
              <w:pStyle w:val="71"/>
              <w:spacing w:before="24" w:after="24"/>
            </w:pPr>
            <w:r>
              <w:t>0.15</w:t>
            </w:r>
          </w:p>
        </w:tc>
        <w:tc>
          <w:tcPr>
            <w:tcW w:w="1190" w:type="dxa"/>
            <w:vAlign w:val="center"/>
          </w:tcPr>
          <w:p w14:paraId="7D13B771">
            <w:pPr>
              <w:pStyle w:val="71"/>
              <w:spacing w:before="24" w:after="24"/>
            </w:pPr>
            <w:r>
              <w:t>0.45</w:t>
            </w:r>
          </w:p>
        </w:tc>
        <w:tc>
          <w:tcPr>
            <w:tcW w:w="1091" w:type="dxa"/>
            <w:vAlign w:val="center"/>
          </w:tcPr>
          <w:p w14:paraId="787155F2">
            <w:pPr>
              <w:pStyle w:val="71"/>
              <w:spacing w:before="24" w:after="24"/>
            </w:pPr>
            <w:r>
              <w:t>0.80</w:t>
            </w:r>
          </w:p>
        </w:tc>
      </w:tr>
      <w:tr w14:paraId="48C8F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vAlign w:val="center"/>
          </w:tcPr>
          <w:p w14:paraId="7147DE9D">
            <w:pPr>
              <w:pStyle w:val="71"/>
              <w:spacing w:before="24" w:after="24"/>
            </w:pPr>
            <w:r>
              <w:t>3</w:t>
            </w:r>
          </w:p>
        </w:tc>
        <w:tc>
          <w:tcPr>
            <w:tcW w:w="1210" w:type="dxa"/>
            <w:vAlign w:val="center"/>
          </w:tcPr>
          <w:p w14:paraId="6D340FCA">
            <w:pPr>
              <w:pStyle w:val="71"/>
              <w:spacing w:before="24" w:after="24"/>
            </w:pPr>
            <w:r>
              <w:t>硫化氢</w:t>
            </w:r>
          </w:p>
        </w:tc>
        <w:tc>
          <w:tcPr>
            <w:tcW w:w="1214" w:type="dxa"/>
            <w:vAlign w:val="center"/>
          </w:tcPr>
          <w:p w14:paraId="014EA1D0">
            <w:pPr>
              <w:pStyle w:val="71"/>
              <w:spacing w:before="24" w:after="24"/>
            </w:pPr>
            <w:r>
              <w:t>mg/m</w:t>
            </w:r>
            <w:r>
              <w:rPr>
                <w:vertAlign w:val="superscript"/>
              </w:rPr>
              <w:t>3</w:t>
            </w:r>
          </w:p>
        </w:tc>
        <w:tc>
          <w:tcPr>
            <w:tcW w:w="1281" w:type="dxa"/>
            <w:vAlign w:val="center"/>
          </w:tcPr>
          <w:p w14:paraId="40A24B8E">
            <w:pPr>
              <w:pStyle w:val="71"/>
              <w:spacing w:before="24" w:after="24"/>
            </w:pPr>
            <w:r>
              <w:t>0.03</w:t>
            </w:r>
          </w:p>
        </w:tc>
        <w:tc>
          <w:tcPr>
            <w:tcW w:w="1282" w:type="dxa"/>
            <w:vAlign w:val="center"/>
          </w:tcPr>
          <w:p w14:paraId="2D3959C2">
            <w:pPr>
              <w:pStyle w:val="71"/>
              <w:spacing w:before="24" w:after="24"/>
            </w:pPr>
            <w:r>
              <w:t>0.06</w:t>
            </w:r>
          </w:p>
        </w:tc>
        <w:tc>
          <w:tcPr>
            <w:tcW w:w="1214" w:type="dxa"/>
            <w:vAlign w:val="center"/>
          </w:tcPr>
          <w:p w14:paraId="0C353E3F">
            <w:pPr>
              <w:pStyle w:val="71"/>
              <w:spacing w:before="24" w:after="24"/>
            </w:pPr>
            <w:r>
              <w:t>0.10</w:t>
            </w:r>
          </w:p>
        </w:tc>
        <w:tc>
          <w:tcPr>
            <w:tcW w:w="1190" w:type="dxa"/>
            <w:vAlign w:val="center"/>
          </w:tcPr>
          <w:p w14:paraId="71A1B766">
            <w:pPr>
              <w:pStyle w:val="71"/>
              <w:spacing w:before="24" w:after="24"/>
            </w:pPr>
            <w:r>
              <w:t>0.32</w:t>
            </w:r>
          </w:p>
        </w:tc>
        <w:tc>
          <w:tcPr>
            <w:tcW w:w="1091" w:type="dxa"/>
            <w:vAlign w:val="center"/>
          </w:tcPr>
          <w:p w14:paraId="6405ACF4">
            <w:pPr>
              <w:pStyle w:val="71"/>
              <w:spacing w:before="24" w:after="24"/>
            </w:pPr>
            <w:r>
              <w:t>0.60</w:t>
            </w:r>
          </w:p>
        </w:tc>
      </w:tr>
      <w:tr w14:paraId="721A4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vAlign w:val="center"/>
          </w:tcPr>
          <w:p w14:paraId="5FF3BAB2">
            <w:pPr>
              <w:pStyle w:val="71"/>
              <w:spacing w:before="24" w:after="24"/>
            </w:pPr>
            <w:r>
              <w:t>4</w:t>
            </w:r>
          </w:p>
        </w:tc>
        <w:tc>
          <w:tcPr>
            <w:tcW w:w="1210" w:type="dxa"/>
            <w:vAlign w:val="center"/>
          </w:tcPr>
          <w:p w14:paraId="244E31D5">
            <w:pPr>
              <w:pStyle w:val="71"/>
              <w:spacing w:before="24" w:after="24"/>
            </w:pPr>
            <w:r>
              <w:t>甲硫醇</w:t>
            </w:r>
          </w:p>
        </w:tc>
        <w:tc>
          <w:tcPr>
            <w:tcW w:w="1214" w:type="dxa"/>
            <w:vAlign w:val="center"/>
          </w:tcPr>
          <w:p w14:paraId="66DA72D2">
            <w:pPr>
              <w:pStyle w:val="71"/>
              <w:spacing w:before="24" w:after="24"/>
            </w:pPr>
            <w:r>
              <w:t>mg/m</w:t>
            </w:r>
            <w:r>
              <w:rPr>
                <w:vertAlign w:val="superscript"/>
              </w:rPr>
              <w:t>3</w:t>
            </w:r>
          </w:p>
        </w:tc>
        <w:tc>
          <w:tcPr>
            <w:tcW w:w="1281" w:type="dxa"/>
            <w:vAlign w:val="center"/>
          </w:tcPr>
          <w:p w14:paraId="6573D633">
            <w:pPr>
              <w:pStyle w:val="71"/>
              <w:spacing w:before="24" w:after="24"/>
            </w:pPr>
            <w:r>
              <w:t>0.004</w:t>
            </w:r>
          </w:p>
        </w:tc>
        <w:tc>
          <w:tcPr>
            <w:tcW w:w="1282" w:type="dxa"/>
            <w:vAlign w:val="center"/>
          </w:tcPr>
          <w:p w14:paraId="27ED62A8">
            <w:pPr>
              <w:pStyle w:val="71"/>
              <w:spacing w:before="24" w:after="24"/>
            </w:pPr>
            <w:r>
              <w:t>0.007</w:t>
            </w:r>
          </w:p>
        </w:tc>
        <w:tc>
          <w:tcPr>
            <w:tcW w:w="1214" w:type="dxa"/>
            <w:vAlign w:val="center"/>
          </w:tcPr>
          <w:p w14:paraId="58EE91BC">
            <w:pPr>
              <w:pStyle w:val="71"/>
              <w:spacing w:before="24" w:after="24"/>
            </w:pPr>
            <w:r>
              <w:t>0.010</w:t>
            </w:r>
          </w:p>
        </w:tc>
        <w:tc>
          <w:tcPr>
            <w:tcW w:w="1190" w:type="dxa"/>
            <w:vAlign w:val="center"/>
          </w:tcPr>
          <w:p w14:paraId="5359B6CE">
            <w:pPr>
              <w:pStyle w:val="71"/>
              <w:spacing w:before="24" w:after="24"/>
            </w:pPr>
            <w:r>
              <w:t>0.020</w:t>
            </w:r>
          </w:p>
        </w:tc>
        <w:tc>
          <w:tcPr>
            <w:tcW w:w="1091" w:type="dxa"/>
            <w:vAlign w:val="center"/>
          </w:tcPr>
          <w:p w14:paraId="33C6F10D">
            <w:pPr>
              <w:pStyle w:val="71"/>
              <w:spacing w:before="24" w:after="24"/>
            </w:pPr>
            <w:r>
              <w:t>0.035</w:t>
            </w:r>
          </w:p>
        </w:tc>
      </w:tr>
      <w:tr w14:paraId="256E5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vAlign w:val="center"/>
          </w:tcPr>
          <w:p w14:paraId="76556D37">
            <w:pPr>
              <w:pStyle w:val="71"/>
              <w:spacing w:before="24" w:after="24"/>
            </w:pPr>
            <w:r>
              <w:t>5</w:t>
            </w:r>
          </w:p>
        </w:tc>
        <w:tc>
          <w:tcPr>
            <w:tcW w:w="1210" w:type="dxa"/>
            <w:vAlign w:val="center"/>
          </w:tcPr>
          <w:p w14:paraId="464BDC6D">
            <w:pPr>
              <w:pStyle w:val="71"/>
              <w:spacing w:before="24" w:after="24"/>
            </w:pPr>
            <w:r>
              <w:t>甲硫醚</w:t>
            </w:r>
          </w:p>
        </w:tc>
        <w:tc>
          <w:tcPr>
            <w:tcW w:w="1214" w:type="dxa"/>
            <w:vAlign w:val="center"/>
          </w:tcPr>
          <w:p w14:paraId="67542EC4">
            <w:pPr>
              <w:pStyle w:val="71"/>
              <w:spacing w:before="24" w:after="24"/>
            </w:pPr>
            <w:r>
              <w:t>mg/m</w:t>
            </w:r>
            <w:r>
              <w:rPr>
                <w:vertAlign w:val="superscript"/>
              </w:rPr>
              <w:t>3</w:t>
            </w:r>
          </w:p>
        </w:tc>
        <w:tc>
          <w:tcPr>
            <w:tcW w:w="1281" w:type="dxa"/>
            <w:vAlign w:val="center"/>
          </w:tcPr>
          <w:p w14:paraId="239307FF">
            <w:pPr>
              <w:pStyle w:val="71"/>
              <w:spacing w:before="24" w:after="24"/>
            </w:pPr>
            <w:r>
              <w:t>0.03</w:t>
            </w:r>
          </w:p>
        </w:tc>
        <w:tc>
          <w:tcPr>
            <w:tcW w:w="1282" w:type="dxa"/>
            <w:vAlign w:val="center"/>
          </w:tcPr>
          <w:p w14:paraId="5AA67F9A">
            <w:pPr>
              <w:pStyle w:val="71"/>
              <w:spacing w:before="24" w:after="24"/>
            </w:pPr>
            <w:r>
              <w:t>0.07</w:t>
            </w:r>
          </w:p>
        </w:tc>
        <w:tc>
          <w:tcPr>
            <w:tcW w:w="1214" w:type="dxa"/>
            <w:vAlign w:val="center"/>
          </w:tcPr>
          <w:p w14:paraId="407A191A">
            <w:pPr>
              <w:pStyle w:val="71"/>
              <w:spacing w:before="24" w:after="24"/>
            </w:pPr>
            <w:r>
              <w:t>0.15</w:t>
            </w:r>
          </w:p>
        </w:tc>
        <w:tc>
          <w:tcPr>
            <w:tcW w:w="1190" w:type="dxa"/>
            <w:vAlign w:val="center"/>
          </w:tcPr>
          <w:p w14:paraId="2721D257">
            <w:pPr>
              <w:pStyle w:val="71"/>
              <w:spacing w:before="24" w:after="24"/>
            </w:pPr>
            <w:r>
              <w:t>0.55</w:t>
            </w:r>
          </w:p>
        </w:tc>
        <w:tc>
          <w:tcPr>
            <w:tcW w:w="1091" w:type="dxa"/>
            <w:vAlign w:val="center"/>
          </w:tcPr>
          <w:p w14:paraId="578F098D">
            <w:pPr>
              <w:pStyle w:val="71"/>
              <w:spacing w:before="24" w:after="24"/>
            </w:pPr>
            <w:r>
              <w:t>1.10</w:t>
            </w:r>
          </w:p>
        </w:tc>
      </w:tr>
      <w:tr w14:paraId="55B53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vAlign w:val="center"/>
          </w:tcPr>
          <w:p w14:paraId="161A43C2">
            <w:pPr>
              <w:pStyle w:val="71"/>
              <w:spacing w:before="24" w:after="24"/>
            </w:pPr>
            <w:r>
              <w:t>6</w:t>
            </w:r>
          </w:p>
        </w:tc>
        <w:tc>
          <w:tcPr>
            <w:tcW w:w="1210" w:type="dxa"/>
            <w:vAlign w:val="center"/>
          </w:tcPr>
          <w:p w14:paraId="08A61DB5">
            <w:pPr>
              <w:pStyle w:val="71"/>
              <w:spacing w:before="24" w:after="24"/>
            </w:pPr>
            <w:r>
              <w:t>二甲二硫</w:t>
            </w:r>
          </w:p>
        </w:tc>
        <w:tc>
          <w:tcPr>
            <w:tcW w:w="1214" w:type="dxa"/>
            <w:vAlign w:val="center"/>
          </w:tcPr>
          <w:p w14:paraId="67CE4D04">
            <w:pPr>
              <w:pStyle w:val="71"/>
              <w:spacing w:before="24" w:after="24"/>
            </w:pPr>
            <w:r>
              <w:t>mg/m</w:t>
            </w:r>
            <w:r>
              <w:rPr>
                <w:vertAlign w:val="superscript"/>
              </w:rPr>
              <w:t>3</w:t>
            </w:r>
          </w:p>
        </w:tc>
        <w:tc>
          <w:tcPr>
            <w:tcW w:w="1281" w:type="dxa"/>
            <w:vAlign w:val="center"/>
          </w:tcPr>
          <w:p w14:paraId="706D8F5B">
            <w:pPr>
              <w:pStyle w:val="71"/>
              <w:spacing w:before="24" w:after="24"/>
            </w:pPr>
            <w:r>
              <w:t>0.03</w:t>
            </w:r>
          </w:p>
        </w:tc>
        <w:tc>
          <w:tcPr>
            <w:tcW w:w="1282" w:type="dxa"/>
            <w:vAlign w:val="center"/>
          </w:tcPr>
          <w:p w14:paraId="36218E65">
            <w:pPr>
              <w:pStyle w:val="71"/>
              <w:spacing w:before="24" w:after="24"/>
            </w:pPr>
            <w:r>
              <w:t>0.06</w:t>
            </w:r>
          </w:p>
        </w:tc>
        <w:tc>
          <w:tcPr>
            <w:tcW w:w="1214" w:type="dxa"/>
            <w:vAlign w:val="center"/>
          </w:tcPr>
          <w:p w14:paraId="406087BE">
            <w:pPr>
              <w:pStyle w:val="71"/>
              <w:spacing w:before="24" w:after="24"/>
            </w:pPr>
            <w:r>
              <w:t>0.13</w:t>
            </w:r>
          </w:p>
        </w:tc>
        <w:tc>
          <w:tcPr>
            <w:tcW w:w="1190" w:type="dxa"/>
            <w:vAlign w:val="center"/>
          </w:tcPr>
          <w:p w14:paraId="52444FB3">
            <w:pPr>
              <w:pStyle w:val="71"/>
              <w:spacing w:before="24" w:after="24"/>
            </w:pPr>
            <w:r>
              <w:t>0.42</w:t>
            </w:r>
          </w:p>
        </w:tc>
        <w:tc>
          <w:tcPr>
            <w:tcW w:w="1091" w:type="dxa"/>
            <w:vAlign w:val="center"/>
          </w:tcPr>
          <w:p w14:paraId="21B27167">
            <w:pPr>
              <w:pStyle w:val="71"/>
              <w:spacing w:before="24" w:after="24"/>
            </w:pPr>
            <w:r>
              <w:t>0.71</w:t>
            </w:r>
          </w:p>
        </w:tc>
      </w:tr>
      <w:tr w14:paraId="728BB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vAlign w:val="center"/>
          </w:tcPr>
          <w:p w14:paraId="24A78298">
            <w:pPr>
              <w:pStyle w:val="71"/>
              <w:spacing w:before="24" w:after="24"/>
            </w:pPr>
            <w:r>
              <w:t>7</w:t>
            </w:r>
          </w:p>
        </w:tc>
        <w:tc>
          <w:tcPr>
            <w:tcW w:w="1210" w:type="dxa"/>
            <w:vAlign w:val="center"/>
          </w:tcPr>
          <w:p w14:paraId="4949DA62">
            <w:pPr>
              <w:pStyle w:val="71"/>
              <w:spacing w:before="24" w:after="24"/>
            </w:pPr>
            <w:r>
              <w:t>二硫化碳</w:t>
            </w:r>
          </w:p>
        </w:tc>
        <w:tc>
          <w:tcPr>
            <w:tcW w:w="1214" w:type="dxa"/>
            <w:vAlign w:val="center"/>
          </w:tcPr>
          <w:p w14:paraId="314BC149">
            <w:pPr>
              <w:pStyle w:val="71"/>
              <w:spacing w:before="24" w:after="24"/>
            </w:pPr>
            <w:r>
              <w:t>mg/m</w:t>
            </w:r>
            <w:r>
              <w:rPr>
                <w:vertAlign w:val="superscript"/>
              </w:rPr>
              <w:t>3</w:t>
            </w:r>
          </w:p>
        </w:tc>
        <w:tc>
          <w:tcPr>
            <w:tcW w:w="1281" w:type="dxa"/>
            <w:vAlign w:val="center"/>
          </w:tcPr>
          <w:p w14:paraId="4242E5A3">
            <w:pPr>
              <w:pStyle w:val="71"/>
              <w:spacing w:before="24" w:after="24"/>
            </w:pPr>
            <w:r>
              <w:t>2.0</w:t>
            </w:r>
          </w:p>
        </w:tc>
        <w:tc>
          <w:tcPr>
            <w:tcW w:w="1282" w:type="dxa"/>
            <w:vAlign w:val="center"/>
          </w:tcPr>
          <w:p w14:paraId="1B706912">
            <w:pPr>
              <w:pStyle w:val="71"/>
              <w:spacing w:before="24" w:after="24"/>
            </w:pPr>
            <w:r>
              <w:t>3.0</w:t>
            </w:r>
          </w:p>
        </w:tc>
        <w:tc>
          <w:tcPr>
            <w:tcW w:w="1214" w:type="dxa"/>
            <w:vAlign w:val="center"/>
          </w:tcPr>
          <w:p w14:paraId="427B9CA0">
            <w:pPr>
              <w:pStyle w:val="71"/>
              <w:spacing w:before="24" w:after="24"/>
            </w:pPr>
            <w:r>
              <w:t>5.0</w:t>
            </w:r>
          </w:p>
        </w:tc>
        <w:tc>
          <w:tcPr>
            <w:tcW w:w="1190" w:type="dxa"/>
            <w:vAlign w:val="center"/>
          </w:tcPr>
          <w:p w14:paraId="1B346BBC">
            <w:pPr>
              <w:pStyle w:val="71"/>
              <w:spacing w:before="24" w:after="24"/>
            </w:pPr>
            <w:r>
              <w:t>8.0</w:t>
            </w:r>
          </w:p>
        </w:tc>
        <w:tc>
          <w:tcPr>
            <w:tcW w:w="1091" w:type="dxa"/>
            <w:vAlign w:val="center"/>
          </w:tcPr>
          <w:p w14:paraId="4515DB52">
            <w:pPr>
              <w:pStyle w:val="71"/>
              <w:spacing w:before="24" w:after="24"/>
            </w:pPr>
            <w:r>
              <w:t>10</w:t>
            </w:r>
          </w:p>
        </w:tc>
      </w:tr>
      <w:tr w14:paraId="1C15B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vAlign w:val="center"/>
          </w:tcPr>
          <w:p w14:paraId="74451CAD">
            <w:pPr>
              <w:pStyle w:val="71"/>
              <w:spacing w:before="24" w:after="24"/>
            </w:pPr>
            <w:r>
              <w:t>8</w:t>
            </w:r>
          </w:p>
        </w:tc>
        <w:tc>
          <w:tcPr>
            <w:tcW w:w="1210" w:type="dxa"/>
            <w:vAlign w:val="center"/>
          </w:tcPr>
          <w:p w14:paraId="1A6A02E0">
            <w:pPr>
              <w:pStyle w:val="71"/>
              <w:spacing w:before="24" w:after="24"/>
            </w:pPr>
            <w:r>
              <w:t>苯乙烯</w:t>
            </w:r>
          </w:p>
        </w:tc>
        <w:tc>
          <w:tcPr>
            <w:tcW w:w="1214" w:type="dxa"/>
            <w:vAlign w:val="center"/>
          </w:tcPr>
          <w:p w14:paraId="6FFCFFBF">
            <w:pPr>
              <w:pStyle w:val="71"/>
              <w:spacing w:before="24" w:after="24"/>
            </w:pPr>
            <w:r>
              <w:t>mg/m</w:t>
            </w:r>
            <w:r>
              <w:rPr>
                <w:vertAlign w:val="superscript"/>
              </w:rPr>
              <w:t>3</w:t>
            </w:r>
          </w:p>
        </w:tc>
        <w:tc>
          <w:tcPr>
            <w:tcW w:w="1281" w:type="dxa"/>
            <w:vAlign w:val="center"/>
          </w:tcPr>
          <w:p w14:paraId="57EC4150">
            <w:pPr>
              <w:pStyle w:val="71"/>
              <w:spacing w:before="24" w:after="24"/>
            </w:pPr>
            <w:r>
              <w:t>3.0</w:t>
            </w:r>
          </w:p>
        </w:tc>
        <w:tc>
          <w:tcPr>
            <w:tcW w:w="1282" w:type="dxa"/>
            <w:vAlign w:val="center"/>
          </w:tcPr>
          <w:p w14:paraId="1D928EE1">
            <w:pPr>
              <w:pStyle w:val="71"/>
              <w:spacing w:before="24" w:after="24"/>
            </w:pPr>
            <w:r>
              <w:t>5.0</w:t>
            </w:r>
          </w:p>
        </w:tc>
        <w:tc>
          <w:tcPr>
            <w:tcW w:w="1214" w:type="dxa"/>
            <w:vAlign w:val="center"/>
          </w:tcPr>
          <w:p w14:paraId="1A800809">
            <w:pPr>
              <w:pStyle w:val="71"/>
              <w:spacing w:before="24" w:after="24"/>
            </w:pPr>
            <w:r>
              <w:t>7.0</w:t>
            </w:r>
          </w:p>
        </w:tc>
        <w:tc>
          <w:tcPr>
            <w:tcW w:w="1190" w:type="dxa"/>
            <w:vAlign w:val="center"/>
          </w:tcPr>
          <w:p w14:paraId="3CC100E2">
            <w:pPr>
              <w:pStyle w:val="71"/>
              <w:spacing w:before="24" w:after="24"/>
            </w:pPr>
            <w:r>
              <w:t>14</w:t>
            </w:r>
          </w:p>
        </w:tc>
        <w:tc>
          <w:tcPr>
            <w:tcW w:w="1091" w:type="dxa"/>
            <w:vAlign w:val="center"/>
          </w:tcPr>
          <w:p w14:paraId="534BC01B">
            <w:pPr>
              <w:pStyle w:val="71"/>
              <w:spacing w:before="24" w:after="24"/>
            </w:pPr>
            <w:r>
              <w:t>19</w:t>
            </w:r>
          </w:p>
        </w:tc>
      </w:tr>
      <w:tr w14:paraId="1BE13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vAlign w:val="center"/>
          </w:tcPr>
          <w:p w14:paraId="08DEFC2F">
            <w:pPr>
              <w:pStyle w:val="71"/>
              <w:spacing w:before="24" w:after="24"/>
            </w:pPr>
            <w:r>
              <w:t>9</w:t>
            </w:r>
          </w:p>
        </w:tc>
        <w:tc>
          <w:tcPr>
            <w:tcW w:w="1210" w:type="dxa"/>
            <w:vAlign w:val="center"/>
          </w:tcPr>
          <w:p w14:paraId="6D7D4168">
            <w:pPr>
              <w:pStyle w:val="71"/>
              <w:spacing w:before="24" w:after="24"/>
            </w:pPr>
            <w:r>
              <w:t>臭气浓度</w:t>
            </w:r>
          </w:p>
        </w:tc>
        <w:tc>
          <w:tcPr>
            <w:tcW w:w="1214" w:type="dxa"/>
            <w:vAlign w:val="center"/>
          </w:tcPr>
          <w:p w14:paraId="794324AB">
            <w:pPr>
              <w:pStyle w:val="71"/>
              <w:spacing w:before="24" w:after="24"/>
            </w:pPr>
            <w:r>
              <w:t>无量纲</w:t>
            </w:r>
          </w:p>
        </w:tc>
        <w:tc>
          <w:tcPr>
            <w:tcW w:w="1281" w:type="dxa"/>
            <w:vAlign w:val="center"/>
          </w:tcPr>
          <w:p w14:paraId="1FE2B7EC">
            <w:pPr>
              <w:pStyle w:val="71"/>
              <w:spacing w:before="24" w:after="24"/>
            </w:pPr>
            <w:r>
              <w:t>10</w:t>
            </w:r>
          </w:p>
        </w:tc>
        <w:tc>
          <w:tcPr>
            <w:tcW w:w="1282" w:type="dxa"/>
            <w:vAlign w:val="center"/>
          </w:tcPr>
          <w:p w14:paraId="57B69FB1">
            <w:pPr>
              <w:pStyle w:val="71"/>
              <w:spacing w:before="24" w:after="24"/>
            </w:pPr>
            <w:r>
              <w:t>20</w:t>
            </w:r>
          </w:p>
        </w:tc>
        <w:tc>
          <w:tcPr>
            <w:tcW w:w="1214" w:type="dxa"/>
            <w:vAlign w:val="center"/>
          </w:tcPr>
          <w:p w14:paraId="141923AB">
            <w:pPr>
              <w:pStyle w:val="71"/>
              <w:spacing w:before="24" w:after="24"/>
            </w:pPr>
            <w:r>
              <w:t>30</w:t>
            </w:r>
          </w:p>
        </w:tc>
        <w:tc>
          <w:tcPr>
            <w:tcW w:w="1190" w:type="dxa"/>
            <w:vAlign w:val="center"/>
          </w:tcPr>
          <w:p w14:paraId="237A0CD9">
            <w:pPr>
              <w:pStyle w:val="71"/>
              <w:spacing w:before="24" w:after="24"/>
            </w:pPr>
            <w:r>
              <w:t>60</w:t>
            </w:r>
          </w:p>
        </w:tc>
        <w:tc>
          <w:tcPr>
            <w:tcW w:w="1091" w:type="dxa"/>
            <w:vAlign w:val="center"/>
          </w:tcPr>
          <w:p w14:paraId="1C4B9D60">
            <w:pPr>
              <w:pStyle w:val="71"/>
              <w:spacing w:before="24" w:after="24"/>
            </w:pPr>
            <w:r>
              <w:t>70</w:t>
            </w:r>
          </w:p>
        </w:tc>
      </w:tr>
    </w:tbl>
    <w:p w14:paraId="2AE35EAC">
      <w:pPr>
        <w:spacing w:before="24" w:after="24"/>
        <w:ind w:firstLine="562" w:firstLineChars="200"/>
        <w:outlineLvl w:val="2"/>
        <w:rPr>
          <w:rFonts w:ascii="Times New Roman" w:hAnsi="Times New Roman" w:cs="Times New Roman"/>
          <w:b/>
          <w:color w:val="0D0D0D" w:themeColor="text1" w:themeTint="F2"/>
          <w14:textFill>
            <w14:solidFill>
              <w14:schemeClr w14:val="tx1">
                <w14:lumMod w14:val="95000"/>
                <w14:lumOff w14:val="5000"/>
              </w14:schemeClr>
            </w14:solidFill>
          </w14:textFill>
        </w:rPr>
      </w:pPr>
      <w:bookmarkStart w:id="61" w:name="_Toc221894103"/>
      <w:r>
        <w:rPr>
          <w:rFonts w:ascii="Times New Roman" w:hAnsi="Times New Roman" w:cs="Times New Roman"/>
          <w:b/>
          <w:color w:val="0D0D0D" w:themeColor="text1" w:themeTint="F2"/>
          <w14:textFill>
            <w14:solidFill>
              <w14:schemeClr w14:val="tx1">
                <w14:lumMod w14:val="95000"/>
                <w14:lumOff w14:val="5000"/>
              </w14:schemeClr>
            </w14:solidFill>
          </w14:textFill>
        </w:rPr>
        <w:t>4、产能要求</w:t>
      </w:r>
      <w:bookmarkEnd w:id="61"/>
    </w:p>
    <w:p w14:paraId="6FB3C1A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4.1本项目的处理范围为德钦县县域生活垃圾，处理规模为50吨/天，年处理时间不少于8000小时，合计 1.825万吨/年。</w:t>
      </w:r>
    </w:p>
    <w:p w14:paraId="5E19F7D7">
      <w:pPr>
        <w:spacing w:before="24" w:after="24"/>
        <w:ind w:firstLine="562" w:firstLineChars="200"/>
        <w:outlineLvl w:val="2"/>
        <w:rPr>
          <w:rFonts w:ascii="Times New Roman" w:hAnsi="Times New Roman" w:cs="Times New Roman"/>
          <w:b/>
          <w:color w:val="0D0D0D" w:themeColor="text1" w:themeTint="F2"/>
          <w14:textFill>
            <w14:solidFill>
              <w14:schemeClr w14:val="tx1">
                <w14:lumMod w14:val="95000"/>
                <w14:lumOff w14:val="5000"/>
              </w14:schemeClr>
            </w14:solidFill>
          </w14:textFill>
        </w:rPr>
      </w:pPr>
      <w:bookmarkStart w:id="62" w:name="_Toc221894104"/>
      <w:r>
        <w:rPr>
          <w:rFonts w:ascii="Times New Roman" w:hAnsi="Times New Roman" w:cs="Times New Roman"/>
          <w:b/>
          <w:color w:val="0D0D0D" w:themeColor="text1" w:themeTint="F2"/>
          <w14:textFill>
            <w14:solidFill>
              <w14:schemeClr w14:val="tx1">
                <w14:lumMod w14:val="95000"/>
                <w14:lumOff w14:val="5000"/>
              </w14:schemeClr>
            </w14:solidFill>
          </w14:textFill>
        </w:rPr>
        <w:t>5、技术要求</w:t>
      </w:r>
      <w:bookmarkEnd w:id="62"/>
    </w:p>
    <w:p w14:paraId="2545E5D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5.1工程主要工艺系统包括：垃圾接收及储存系统、垃圾焚烧系统、汽水系统、烟气净化系统、灰渣处理系统、飞灰稳定化系统、给排水系统、渗沥液处理系统、电力系统、仪表及自动控制系统等。</w:t>
      </w:r>
    </w:p>
    <w:p w14:paraId="058E86A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5.2垃圾焚烧炉应和垃圾设计热值相匹配，应能适应垃圾热值的变化。本项目确定焚烧炉设计垃圾低位热值如下：</w:t>
      </w:r>
    </w:p>
    <w:p w14:paraId="47D0749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垃圾设计低位热值：</w:t>
      </w:r>
      <w:r>
        <w:rPr>
          <w:rFonts w:ascii="Times New Roman" w:hAnsi="Times New Roman" w:cs="Times New Roman"/>
          <w:color w:val="181717" w:themeColor="background2" w:themeShade="1A"/>
        </w:rPr>
        <w:tab/>
      </w:r>
      <w:r>
        <w:rPr>
          <w:rFonts w:ascii="Times New Roman" w:hAnsi="Times New Roman" w:cs="Times New Roman"/>
          <w:color w:val="181717" w:themeColor="background2" w:themeShade="1A"/>
        </w:rPr>
        <w:tab/>
      </w:r>
      <w:r>
        <w:rPr>
          <w:rFonts w:ascii="Times New Roman" w:hAnsi="Times New Roman" w:cs="Times New Roman"/>
          <w:color w:val="181717" w:themeColor="background2" w:themeShade="1A"/>
        </w:rPr>
        <w:t xml:space="preserve"> 6700kJ/kg（1600kcal/kg）</w:t>
      </w:r>
    </w:p>
    <w:p w14:paraId="23154FA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低位热值的设计范围       4187～9000kJ/kg  （1000 ~ 2150 kcal/kg)</w:t>
      </w:r>
    </w:p>
    <w:p w14:paraId="039D4CC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辅助燃料添加点：</w:t>
      </w:r>
      <w:r>
        <w:rPr>
          <w:rFonts w:ascii="Times New Roman" w:hAnsi="Times New Roman" w:cs="Times New Roman"/>
          <w:color w:val="181717" w:themeColor="background2" w:themeShade="1A"/>
        </w:rPr>
        <w:tab/>
      </w:r>
      <w:r>
        <w:rPr>
          <w:rFonts w:ascii="Times New Roman" w:hAnsi="Times New Roman" w:cs="Times New Roman"/>
          <w:color w:val="181717" w:themeColor="background2" w:themeShade="1A"/>
        </w:rPr>
        <w:tab/>
      </w:r>
      <w:r>
        <w:rPr>
          <w:rFonts w:ascii="Times New Roman" w:hAnsi="Times New Roman" w:cs="Times New Roman"/>
          <w:color w:val="181717" w:themeColor="background2" w:themeShade="1A"/>
        </w:rPr>
        <w:t xml:space="preserve">     4605 kJ/kg （1100kcal/kg)</w:t>
      </w:r>
    </w:p>
    <w:p w14:paraId="44972DF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5.3焚烧炉选用三段往复式炉排生活垃圾焚烧炉，共1台，单台处理垃圾能力为50t/d。本项目设置蒸汽-空气预热器和烟气预热器，在垃圾值为6700kJ/kg（1600kcal/kg）时能将一次空气预热至150℃，以提高入炉热量，维持正常燃烧。同时本项目设置二次风系统，能够有效的抑制锅炉出口的NOx值，保证燃烧稳定。焚烧残渣热灼减率≤5%。</w:t>
      </w:r>
    </w:p>
    <w:p w14:paraId="76CBDF2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5.4余热锅炉为单锅筒，自然循环低压锅炉，π型布置，前吊后支式结构，炉排为三段式炉排。其内设置有蒸发器以及省煤器，各管排和集箱悬吊在顶板梁上。蒸汽出口参数为1.5MPa（g)、201.4℃，锅炉给水温度130℃，烟气出口温度为不高于220℃。单台余热锅炉额定蒸发量5.48t/h。</w:t>
      </w:r>
    </w:p>
    <w:p w14:paraId="063CEDB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5.5保证炉膛烟气停留时间不少于2秒的温控点处的烟气温度不低于850℃。焚烧炉点火及辅助燃烧采用0#轻柴油。</w:t>
      </w:r>
    </w:p>
    <w:p w14:paraId="6A78DD7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5.6烟气净化采用“SNCR（炉内喷尿素水）＋降温塔＋干式反应塔（碳酸氢钠/消石灰）＋活性炭吸附＋布袋除尘”工艺。烟气排放标准满足国家标准的要求。净化后的烟气由一个钢制烟囱排入大气，外设混凝土套筒。烟气在线监测室设在套筒底部。</w:t>
      </w:r>
    </w:p>
    <w:p w14:paraId="39D644A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5.7本项目余热锅炉所产生的蒸汽经过循环水冷却后回送至锅炉循环利用。</w:t>
      </w:r>
    </w:p>
    <w:p w14:paraId="6C157E2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5.8垃圾焚烧后的炉渣、炉排漏渣、余热锅炉燃尽室、第三烟道落灰、省煤器落灰分别送至出渣机并通过输送机排至渣车，外运综合利用。反应塔和布袋除尘器下收集的飞灰通过输送机送入飞灰贮仓，经稳定化处理后，满足《生活垃圾填埋场污染控制标准》（GB 16889-2008）中的要求后进场填埋。</w:t>
      </w:r>
    </w:p>
    <w:p w14:paraId="0F94BDA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5.9本项目污水处理工艺采用“预处理+UASB+外置式MBR +NF”处理工艺，系统采用集成式设备。出水水质达到《污水综合排放标准》（GB8978-1996）三级标准要求，由罐车送至市政污水处理厂处理。</w:t>
      </w:r>
    </w:p>
    <w:p w14:paraId="583CD80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5.10本项目全厂用电设备工作容量约为1025.85kW，计算容量约为677.19kW，厂内设2台800kVA的厂用变压器，变压器最不利情况下的负载率约为92%。本工程电源接自临近变电站，通过架设10kV专线引至处置厂区围墙，用埋地敷设引至配电间。</w:t>
      </w:r>
    </w:p>
    <w:p w14:paraId="31388A5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5.11本工程生产过程监测控制采用集中控制的方式，在主厂房设立一个中央控制室，配置一套先进的计算机集中分散控制系统（DCS），对全厂实现集中统一协调的监控，达到高效、节能、安全、环保的目的。</w:t>
      </w:r>
    </w:p>
    <w:p w14:paraId="6120FB5B">
      <w:pPr>
        <w:spacing w:before="24" w:after="24"/>
        <w:ind w:firstLine="562" w:firstLineChars="200"/>
        <w:outlineLvl w:val="2"/>
        <w:rPr>
          <w:rFonts w:ascii="Times New Roman" w:hAnsi="Times New Roman" w:cs="Times New Roman"/>
          <w:b/>
          <w:color w:val="0D0D0D" w:themeColor="text1" w:themeTint="F2"/>
          <w14:textFill>
            <w14:solidFill>
              <w14:schemeClr w14:val="tx1">
                <w14:lumMod w14:val="95000"/>
                <w14:lumOff w14:val="5000"/>
              </w14:schemeClr>
            </w14:solidFill>
          </w14:textFill>
        </w:rPr>
      </w:pPr>
      <w:bookmarkStart w:id="63" w:name="_Toc221894105"/>
      <w:r>
        <w:rPr>
          <w:rFonts w:ascii="Times New Roman" w:hAnsi="Times New Roman" w:cs="Times New Roman"/>
          <w:b/>
          <w:color w:val="0D0D0D" w:themeColor="text1" w:themeTint="F2"/>
          <w14:textFill>
            <w14:solidFill>
              <w14:schemeClr w14:val="tx1">
                <w14:lumMod w14:val="95000"/>
                <w14:lumOff w14:val="5000"/>
              </w14:schemeClr>
            </w14:solidFill>
          </w14:textFill>
        </w:rPr>
        <w:t>6、安全生产要求</w:t>
      </w:r>
      <w:bookmarkEnd w:id="63"/>
    </w:p>
    <w:p w14:paraId="4957CFA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6.1消防措施</w:t>
      </w:r>
    </w:p>
    <w:p w14:paraId="48C58A8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6.1.1在垃圾坑内设置消防炮。</w:t>
      </w:r>
    </w:p>
    <w:p w14:paraId="5D60A04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6.1.2厂区道路围绕焚烧主厂房形成环状，便于厂内车辆环绕和消防车辆通行。</w:t>
      </w:r>
    </w:p>
    <w:p w14:paraId="5EF2B7C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6.2电气设施防火、防爆措施</w:t>
      </w:r>
    </w:p>
    <w:p w14:paraId="20827A7C">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6.2.1所有电气设备均按无油化设计。</w:t>
      </w:r>
    </w:p>
    <w:p w14:paraId="48A1AB4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6.2.2全程在车间内敷设的电缆选用阻燃型电缆，其中在焚烧炉附近的高温环境敷设的电缆选用耐高温型电缆；对于特别重要回路（如消防系统）的动力电缆选用耐火电缆；在电缆敷设较集中的场所不许放置易燃物体。对于易受外部着火影响的地段配备耐火防护，用防火涂料、包带作阻止延燃处理；在电缆进出口或竖井、屏柜底部开孔处，用阻燃堵料处理或用防火包封堵。</w:t>
      </w:r>
    </w:p>
    <w:p w14:paraId="7D35BB6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6.2.3渗沥液沟道间正常运行时会有一定含量的沼气产生，在该环境内安装的电气设备选用相应等级的防爆型，敷设的电缆应敷设在较低处的管、沟内，沟内非铠装电缆应埋砂；电缆及其管沟穿过不同区域之间的墙、板孔洞处，应采用非燃性材料严密堵塞；电缆线路中不应有接头，如采用接头时，必须具有防爆性。</w:t>
      </w:r>
    </w:p>
    <w:p w14:paraId="1162759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6.3电气设施防电伤措施</w:t>
      </w:r>
    </w:p>
    <w:p w14:paraId="09461DB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6.3.1全厂各车间内均须作总等电位联结，部分场所根据有关规定设置局等电位联结和辅助等电位联结。防雷接地、工作接地和保护接地均与等电位联结带可靠联结，并尽量利用土建基础进行接地，以降低电阻并减少接地工程投资。</w:t>
      </w:r>
    </w:p>
    <w:p w14:paraId="61EEB29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6.3.2所有电气设备外壳和非回转金属外壳均做保护接地，在接地网和通道交叉处均采取降低跨步电压的措施。厂用电和配电装置故障都配备声光信号，根据工艺生产技术要求设置工艺设备安全联锁控制，两地控制的电气设备设置选择开关。</w:t>
      </w:r>
    </w:p>
    <w:p w14:paraId="1D475FF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6.3.3锅炉本体照明用携带作业灯供电网络采用12VAC电压等级。</w:t>
      </w:r>
    </w:p>
    <w:p w14:paraId="563A722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6.3.4各场所的380VAC或220VAC插座回路设漏电保护，漏电整定值为30mA。</w:t>
      </w:r>
    </w:p>
    <w:p w14:paraId="1B395A8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6.3.5高压电气设备采取隔离措施，并设置危险标记，由专人负责管理。</w:t>
      </w:r>
    </w:p>
    <w:p w14:paraId="0253585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6.3.6电气设备的布置，应满足带电设备的安全防护距离要求，当不满足时应采取可靠的防护措施。</w:t>
      </w:r>
    </w:p>
    <w:p w14:paraId="527002C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6.4防超压爆炸措施</w:t>
      </w:r>
    </w:p>
    <w:p w14:paraId="2E266C1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6.4.1所有压力容器、锅炉设备等，均设有安全阀，以防超压爆炸。</w:t>
      </w:r>
    </w:p>
    <w:p w14:paraId="130DDE9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6.5防人身伤亡、烫伤、灼伤措施</w:t>
      </w:r>
    </w:p>
    <w:p w14:paraId="162102B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6.5.1车间内生产设备顺流布置，并留有足够的操作空间；设备外露转动部位设置防护罩或挡板，各转动部件的联轴节处装设防护罩，保证生产安全；为防止人员受到坠落伤害，厂内井、坑、孔、洞均加防护栏杆或盖板，有些部位既加防护栏杆也加盖板；厂内梯子、平台周围均加装栏杆，栏杆的设置满足规范有关要求。</w:t>
      </w:r>
    </w:p>
    <w:p w14:paraId="0B72521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6.5.2对运行、维护人员可能接触的热力设备、管道和附件，其保温层表面温度不大于50℃，以防烫伤、灼伤。</w:t>
      </w:r>
    </w:p>
    <w:p w14:paraId="3BC32E5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6.6按照国家标准设置安全标志和安全标志使用导则，各有危险部位设立安全警示牌。</w:t>
      </w:r>
    </w:p>
    <w:p w14:paraId="49D69DF8">
      <w:pPr>
        <w:spacing w:before="24" w:after="24"/>
        <w:ind w:firstLine="562" w:firstLineChars="200"/>
        <w:outlineLvl w:val="2"/>
        <w:rPr>
          <w:rFonts w:ascii="Times New Roman" w:hAnsi="Times New Roman" w:cs="Times New Roman"/>
          <w:b/>
          <w:color w:val="0D0D0D" w:themeColor="text1" w:themeTint="F2"/>
          <w14:textFill>
            <w14:solidFill>
              <w14:schemeClr w14:val="tx1">
                <w14:lumMod w14:val="95000"/>
                <w14:lumOff w14:val="5000"/>
              </w14:schemeClr>
            </w14:solidFill>
          </w14:textFill>
        </w:rPr>
      </w:pPr>
      <w:bookmarkStart w:id="64" w:name="_Toc221894106"/>
      <w:r>
        <w:rPr>
          <w:rFonts w:ascii="Times New Roman" w:hAnsi="Times New Roman" w:cs="Times New Roman"/>
          <w:b/>
          <w:color w:val="0D0D0D" w:themeColor="text1" w:themeTint="F2"/>
          <w14:textFill>
            <w14:solidFill>
              <w14:schemeClr w14:val="tx1">
                <w14:lumMod w14:val="95000"/>
                <w14:lumOff w14:val="5000"/>
              </w14:schemeClr>
            </w14:solidFill>
          </w14:textFill>
        </w:rPr>
        <w:t>7、环保要求</w:t>
      </w:r>
      <w:bookmarkEnd w:id="64"/>
    </w:p>
    <w:p w14:paraId="49771A6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7.1</w:t>
      </w:r>
      <w:bookmarkStart w:id="65" w:name="_Toc357621236"/>
      <w:bookmarkStart w:id="66" w:name="_Toc425436751"/>
      <w:r>
        <w:rPr>
          <w:rFonts w:ascii="Times New Roman" w:hAnsi="Times New Roman" w:cs="Times New Roman"/>
          <w:color w:val="181717" w:themeColor="background2" w:themeShade="1A"/>
          <w:lang w:val="zh-CN"/>
        </w:rPr>
        <w:t>大气污染物及治理措施</w:t>
      </w:r>
      <w:bookmarkEnd w:id="65"/>
      <w:bookmarkEnd w:id="66"/>
    </w:p>
    <w:p w14:paraId="793D673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7.1.1城市生活垃圾焚烧过程产生的烟气中，除含有飞灰外，还含有NOX、SOX、HCl、重金属和二噁英类等有害物质。烟气排放</w:t>
      </w:r>
      <w:r>
        <w:rPr>
          <w:rFonts w:ascii="Times New Roman" w:hAnsi="Times New Roman" w:cs="Times New Roman"/>
          <w:color w:val="181717" w:themeColor="background2" w:themeShade="1A"/>
          <w:lang w:val="en-AU"/>
        </w:rPr>
        <w:t>达到</w:t>
      </w:r>
      <w:r>
        <w:rPr>
          <w:rFonts w:ascii="Times New Roman" w:hAnsi="Times New Roman" w:cs="Times New Roman"/>
          <w:color w:val="181717" w:themeColor="background2" w:themeShade="1A"/>
        </w:rPr>
        <w:t>《生活垃圾焚烧污染控制标准》（GB18485-2014)及其修改单和环评报告中相关要求，以满足当代现代化发展对环境保护的需要。</w:t>
      </w:r>
    </w:p>
    <w:p w14:paraId="43AD9BD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7.1.2本工程选用技术成熟的烟气净化系统，确保处理后烟气达到项目排放要求。</w:t>
      </w:r>
    </w:p>
    <w:p w14:paraId="764098D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7.1.3本工程首先采用在生活垃圾焚烧过程中确保炉膛温度达到并超过850℃、烟气在炉膛高温区的停留时间大于2s、炉内生活垃圾充分混合紊流燃烧等综合措施，以控制污染物产出的初始浓度，同时选用技术先进、经验成熟的烟气净化系统，净化焚烧烟气。</w:t>
      </w:r>
    </w:p>
    <w:p w14:paraId="2734551C">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7.1.4垃圾焚烧烟气经锅炉回收大部分热量后，进入烟气净化系统。本工程烟气净化采用“SNCR（炉内喷尿素水）＋降温塔＋干式反应塔（碳酸氢钠/消石灰）＋活性炭吸附＋布袋除尘”的工艺组合方案。</w:t>
      </w:r>
    </w:p>
    <w:p w14:paraId="1DB1E75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7.2</w:t>
      </w:r>
      <w:bookmarkStart w:id="67" w:name="_Toc425436752"/>
      <w:bookmarkStart w:id="68" w:name="_Toc357621237"/>
      <w:r>
        <w:rPr>
          <w:rFonts w:ascii="Times New Roman" w:hAnsi="Times New Roman" w:cs="Times New Roman"/>
          <w:color w:val="181717" w:themeColor="background2" w:themeShade="1A"/>
        </w:rPr>
        <w:t>水污染物及治理措施</w:t>
      </w:r>
      <w:bookmarkEnd w:id="67"/>
      <w:bookmarkEnd w:id="68"/>
    </w:p>
    <w:p w14:paraId="4D03E79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7.2.1厂区排水系统分为污水系统（生活污水、生产污水）和雨水系统，实行雨污分流、清浊分流制。</w:t>
      </w:r>
    </w:p>
    <w:p w14:paraId="29D86B8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7.2.2本项目产生的生活污水、渗沥液、初期雨水送至渗沥液处理站处理，经处理后的出水水质执行《污水综合排放标准》（GB8978-1996）三级标准的浓度限值要求，由罐车送至市政污水处理厂处理。</w:t>
      </w:r>
    </w:p>
    <w:p w14:paraId="6EA2653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7.3</w:t>
      </w:r>
      <w:bookmarkStart w:id="69" w:name="_Toc357621238"/>
      <w:bookmarkStart w:id="70" w:name="_Toc425436753"/>
      <w:r>
        <w:rPr>
          <w:rFonts w:ascii="Times New Roman" w:hAnsi="Times New Roman" w:cs="Times New Roman"/>
          <w:color w:val="181717" w:themeColor="background2" w:themeShade="1A"/>
        </w:rPr>
        <w:t>固体废物及治理措施</w:t>
      </w:r>
      <w:bookmarkEnd w:id="69"/>
      <w:bookmarkEnd w:id="70"/>
    </w:p>
    <w:p w14:paraId="6713131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7.3.1飞灰：飞灰按《危险废物贮存污染控制标准》 （GBl8597-2001）及《危险废物填埋污染控制标准》（GBl8598-2001） 进行贮存、处置，采用固化后送至飞灰填埋场划定的专门区域进行填埋。</w:t>
      </w:r>
    </w:p>
    <w:p w14:paraId="61D0B7F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7.3.2炉渣：垃圾经充分焚烧后产生的炉渣从炉底灰斗排出经炉排漏渣输送机送至焚烧炉除渣机，将炉渣一并排出。</w:t>
      </w:r>
    </w:p>
    <w:p w14:paraId="1F2E71AC">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7.3.3其他固体废物</w:t>
      </w:r>
    </w:p>
    <w:p w14:paraId="53CB9F63">
      <w:pPr>
        <w:spacing w:before="24" w:after="24"/>
        <w:ind w:firstLine="560" w:firstLineChars="200"/>
        <w:rPr>
          <w:rFonts w:ascii="Times New Roman" w:hAnsi="Times New Roman" w:cs="Times New Roman"/>
          <w:color w:val="181717" w:themeColor="background2" w:themeShade="1A"/>
        </w:rPr>
      </w:pPr>
      <w:bookmarkStart w:id="71" w:name="_Hlk102642168"/>
      <w:r>
        <w:rPr>
          <w:rFonts w:ascii="Times New Roman" w:hAnsi="Times New Roman" w:cs="Times New Roman"/>
          <w:color w:val="181717" w:themeColor="background2" w:themeShade="1A"/>
        </w:rPr>
        <w:t>（1）废膜：化水处理反渗透膜、渗沥液膜处理单元每3年需要更换一次，厂家回收处置。</w:t>
      </w:r>
    </w:p>
    <w:p w14:paraId="45AE72E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 xml:space="preserve">（2）废活性炭：除臭装置活性炭更换周期根据使用情况确定，一般情况下每3年更换一次，该部分废活性炭属一般固废，回焚烧炉焚烧处理。 </w:t>
      </w:r>
    </w:p>
    <w:p w14:paraId="5079FA6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（3）废机油：本项目在检修及日常维护过程中会产生少量废机油，属于危险废物名录中的废矿物油（HW08），委托有相应资质的单位处置。</w:t>
      </w:r>
    </w:p>
    <w:p w14:paraId="7287308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（4）废布袋：根据设备运行情况，用于烟气处理的布袋除尘器平均更换周期约为3-5年，以3年更换一次计算，更换的废布袋属于危险废物名录中的其他废物（HW49），委托有资质单位处置。</w:t>
      </w:r>
    </w:p>
    <w:p w14:paraId="475CB9D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（5）污水处理站污泥、残渣</w:t>
      </w:r>
    </w:p>
    <w:p w14:paraId="4B51C25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污泥来自厂区渗沥液处理站，经脱水后的污泥返回本项目焚烧炉焚烧处理。经采用上述方案处理后，本项目产生的污泥能得到妥善处置，符合《关于进一步加强生物质发电项目环境影响评价管理工作的通知》（环发〔2008〕82号文）及《生活垃圾焚烧发电建设项目环境准入条件（试行）》中“污泥或浓缩液应当在厂内妥善处置”、“产生的污泥或浓缩液应在厂内自行焚烧处理、不得外运处置”的要求。</w:t>
      </w:r>
    </w:p>
    <w:p w14:paraId="1A98A87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（6）净水系统污泥</w:t>
      </w:r>
    </w:p>
    <w:p w14:paraId="6D84C86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水净化系统将定期排放污泥，干化处理后返回本项目焚烧炉焚烧处理。</w:t>
      </w:r>
    </w:p>
    <w:p w14:paraId="1A09276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（7）生活垃圾</w:t>
      </w:r>
    </w:p>
    <w:p w14:paraId="6C3A854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本工程职工生活垃圾送焚烧车间进行焚烧。综上所述，项目固体废弃物严格按照上述措施处理处置后，对周围环境及人体基本不会产生影响，也不会造成二次污染</w:t>
      </w:r>
      <w:bookmarkEnd w:id="71"/>
    </w:p>
    <w:p w14:paraId="1C18826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7.4噪声治理措施</w:t>
      </w:r>
    </w:p>
    <w:p w14:paraId="734ED86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7.4.1厂区总体设计布置时，将主要噪声源尽可能布置在远离操作办公的地方，以防噪声对工作环境的影响。</w:t>
      </w:r>
    </w:p>
    <w:p w14:paraId="32D1738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7.4.2在运行管理人员集中的控制室内，门窗处设置消声装置（如密封门窗等），室内设置吸声吊顶，以减少噪声对运行人员的影响，使其工作环境达到允许的噪声标准。</w:t>
      </w:r>
    </w:p>
    <w:p w14:paraId="28493F2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7.4.3对设备采取减振、安装消声器、隔音等方式，或者选择低噪声型设备。例如，在订购机械设备时，向供应商提出噪声指标，减小噪声污染源强（烟气净化设备供应商保证指标：噪声小于85dB（A)）。在一次风机、引风机的进口、点火燃烧器和辅助燃烧器风机的进口均安装消声器。余热锅炉汽包点火排汽管道上设置排汽消声器。烟道、风道凡与设备连接处均采用软连接，振动输渣机等设备基础装有弹簧减振装置以减少振动噪声，空压机室内布置等。</w:t>
      </w:r>
    </w:p>
    <w:p w14:paraId="1D07CD5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7.4.4垃圾车辆来回形式对道路两旁居住人群带来影响，垃圾车辆在正常行驶时在15m外，其噪声值均为85~90dB左右，对马路附近声环境有一定影响，因此应控制垃圾车行驶车速，改善路面状况，尽量避免在夜间来回运输垃圾。</w:t>
      </w:r>
    </w:p>
    <w:p w14:paraId="4F5CB80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7.4.5厂区加强绿化，以起到降低噪声的作用。</w:t>
      </w:r>
    </w:p>
    <w:p w14:paraId="330DAED4">
      <w:pPr>
        <w:spacing w:before="24" w:after="24"/>
        <w:ind w:firstLine="562" w:firstLineChars="200"/>
        <w:outlineLvl w:val="2"/>
        <w:rPr>
          <w:rFonts w:ascii="Times New Roman" w:hAnsi="Times New Roman" w:cs="Times New Roman"/>
          <w:b/>
          <w:color w:val="0D0D0D" w:themeColor="text1" w:themeTint="F2"/>
          <w14:textFill>
            <w14:solidFill>
              <w14:schemeClr w14:val="tx1">
                <w14:lumMod w14:val="95000"/>
                <w14:lumOff w14:val="5000"/>
              </w14:schemeClr>
            </w14:solidFill>
          </w14:textFill>
        </w:rPr>
      </w:pPr>
      <w:bookmarkStart w:id="72" w:name="_Toc221894107"/>
      <w:r>
        <w:rPr>
          <w:rFonts w:ascii="Times New Roman" w:hAnsi="Times New Roman" w:cs="Times New Roman"/>
          <w:b/>
          <w:color w:val="0D0D0D" w:themeColor="text1" w:themeTint="F2"/>
          <w14:textFill>
            <w14:solidFill>
              <w14:schemeClr w14:val="tx1">
                <w14:lumMod w14:val="95000"/>
                <w14:lumOff w14:val="5000"/>
              </w14:schemeClr>
            </w14:solidFill>
          </w14:textFill>
        </w:rPr>
        <w:t>8、经济性和合理性要求</w:t>
      </w:r>
      <w:bookmarkEnd w:id="72"/>
    </w:p>
    <w:p w14:paraId="2EF8C84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8.1经济性要求</w:t>
      </w:r>
    </w:p>
    <w:p w14:paraId="1927BCF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8.1.1 收入来源多元化</w:t>
      </w:r>
    </w:p>
    <w:p w14:paraId="2488DE3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（1）向生活垃圾产生单位和个人收取的处理费。</w:t>
      </w:r>
    </w:p>
    <w:p w14:paraId="31C0D9D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（2）作为边疆、民族、高原地区的重要环保基础设施，可能申请到国家生态功能区转移支付、乡村振兴专项资金、固废处理设施建设专项补贴等。</w:t>
      </w:r>
    </w:p>
    <w:p w14:paraId="4E70DC8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8.1.2成本控制最优化</w:t>
      </w:r>
    </w:p>
    <w:p w14:paraId="5AC7EF7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（1）在自动化程度、处理能力、耐用性和价格之间取得平衡。不盲目追求“高大上”，而要选择适合当地垃圾成分和处理规模的适用技术。</w:t>
      </w:r>
    </w:p>
    <w:p w14:paraId="433AA7A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（2）应选用节能设备，优化工艺流程以减少能耗。通过自动化控制减少人工需求。建立预防性维护体系，降低设备故障率和维修成本。合理规划厂址，缩短运输距离，降低垃圾进厂和再生品出厂的物流成本。</w:t>
      </w:r>
    </w:p>
    <w:p w14:paraId="3C3FBD4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8.2合理性要求</w:t>
      </w:r>
    </w:p>
    <w:p w14:paraId="744D9C1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8.2.1政策与规划合理性</w:t>
      </w:r>
    </w:p>
    <w:p w14:paraId="606B1BB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项目必须纳入城市总体规划和固体废物污染防治规划，与城市发展方向一致。</w:t>
      </w:r>
    </w:p>
    <w:p w14:paraId="081410C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8.2.2规模与布局合理性</w:t>
      </w:r>
    </w:p>
    <w:p w14:paraId="04D48A7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（1）处理厂的设计规模必须与项目服务区域未来5-15年的生活垃圾产生量相匹配。规模过小导致处理能力不足，规模过大会造成设备闲置和投资浪费。</w:t>
      </w:r>
    </w:p>
    <w:p w14:paraId="68CFFD5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（2）尽量靠近生活垃圾主要产生区（如城市更新区域），降低运输成本和社会影响。</w:t>
      </w:r>
    </w:p>
    <w:p w14:paraId="0E361EB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8.2.3技术工艺合理性</w:t>
      </w:r>
    </w:p>
    <w:p w14:paraId="4D440EF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（1）必须选用适用于小规模、高海拔、垃圾成分复杂 的成熟工艺。</w:t>
      </w:r>
    </w:p>
    <w:p w14:paraId="470003E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（2）必须有详细的垃圾热值调研和保障方案。</w:t>
      </w:r>
    </w:p>
    <w:p w14:paraId="66A3C39C">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 必须配有备用燃烧器、双回路供电、设备故障应急预案。</w:t>
      </w:r>
    </w:p>
    <w:p w14:paraId="3394251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8.2.4环境合理性</w:t>
      </w:r>
    </w:p>
    <w:p w14:paraId="555EDE8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（1）排放标准不能仅满足国标，应参照甚至优于欧盟标准，尤其是二噁英类污染物。这是项目在生态敏感区获得社会许可的生命线。</w:t>
      </w:r>
    </w:p>
    <w:p w14:paraId="338AF93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（2）必须有明确的、可执行的飞灰稳定化方案和最终安全填埋去向（本县或外运协议）。炉渣综合利用（如制砖）的可行性研究。</w:t>
      </w:r>
    </w:p>
    <w:p w14:paraId="7586B01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（3）建立在线监测系统并与环保部门联网，同时设立公众开放日和信息公开平台，接受社会监督。</w:t>
      </w:r>
    </w:p>
    <w:p w14:paraId="4B1DE2F4">
      <w:pPr>
        <w:spacing w:before="24" w:after="24"/>
        <w:ind w:firstLine="562" w:firstLineChars="200"/>
        <w:outlineLvl w:val="2"/>
        <w:rPr>
          <w:rFonts w:ascii="Times New Roman" w:hAnsi="Times New Roman" w:cs="Times New Roman"/>
          <w:b/>
          <w:color w:val="0D0D0D" w:themeColor="text1" w:themeTint="F2"/>
          <w14:textFill>
            <w14:solidFill>
              <w14:schemeClr w14:val="tx1">
                <w14:lumMod w14:val="95000"/>
                <w14:lumOff w14:val="5000"/>
              </w14:schemeClr>
            </w14:solidFill>
          </w14:textFill>
        </w:rPr>
      </w:pPr>
      <w:bookmarkStart w:id="73" w:name="_Toc221894108"/>
      <w:r>
        <w:rPr>
          <w:rFonts w:ascii="Times New Roman" w:hAnsi="Times New Roman" w:cs="Times New Roman"/>
          <w:b/>
          <w:color w:val="0D0D0D" w:themeColor="text1" w:themeTint="F2"/>
          <w14:textFill>
            <w14:solidFill>
              <w14:schemeClr w14:val="tx1">
                <w14:lumMod w14:val="95000"/>
                <w14:lumOff w14:val="5000"/>
              </w14:schemeClr>
            </w14:solidFill>
          </w14:textFill>
        </w:rPr>
        <w:t>9、工艺试验要求</w:t>
      </w:r>
      <w:bookmarkEnd w:id="73"/>
    </w:p>
    <w:p w14:paraId="549895D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9.1试验目的</w:t>
      </w:r>
    </w:p>
    <w:p w14:paraId="7CBA165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9.1.1验证拟定的处理工艺路线对特定来源、特定成分的生活垃圾是否可行、有效。</w:t>
      </w:r>
    </w:p>
    <w:p w14:paraId="09F8571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9.1.2验证本地垃圾是否适合焚烧，以及基本工艺参数的获取。</w:t>
      </w:r>
    </w:p>
    <w:p w14:paraId="1731991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9.1.3通过试验数据测算实际运行时的处理能力、回收率、能耗、耗材磨损成本等，为项目的投资回报率分析提供精准数据。</w:t>
      </w:r>
    </w:p>
    <w:p w14:paraId="64CC019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9.1.4发现现有工艺设计中可能存在的瓶颈（如堵塞、粉尘、尾气处理不净等问题），并提出优化改进方案。</w:t>
      </w:r>
    </w:p>
    <w:p w14:paraId="0165FB1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9.2垃圾特性分析与热值测定</w:t>
      </w:r>
    </w:p>
    <w:p w14:paraId="405D5C4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9.2.1确定垃圾的物理组成、元素分析、工业分析和热值，这是焚烧炉设计的根本依据</w:t>
      </w:r>
    </w:p>
    <w:p w14:paraId="58AA8E0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9.2.2生活垃圾取样应覆盖全年四个季节，特别是旅游旺季（垃圾量大、成分复杂）和淡季（以本地居民垃圾为主）。每次取样应连续7天，每天在不同收集点采集。</w:t>
      </w:r>
    </w:p>
    <w:p w14:paraId="22176D4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9.2.3对生活垃圾进行物理组成分析（厨余、塑料、纸张、织物、木材、橡胶、金属、玻璃、渣土等百分比）、工业分析（水分、灰分、挥发分、固定碳）、元素分析（C, H, O, N, S, Cl）</w:t>
      </w:r>
    </w:p>
    <w:p w14:paraId="77C6E76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9.2.4测定低位发热量。这是最核心的指标。生活垃圾可能因高水分、高灰分导致热值过低（如低于4000 kJ/kg），无法实现自持燃烧。</w:t>
      </w:r>
    </w:p>
    <w:p w14:paraId="24A801E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9.3垃圾焚烧特性试验</w:t>
      </w:r>
    </w:p>
    <w:p w14:paraId="5C5DF0A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9.3.1在实验室或中试装置上模拟焚烧过程，观察燃烧特性，发现潜在问题。</w:t>
      </w:r>
    </w:p>
    <w:p w14:paraId="1AE5380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9.3.2观察着火温度、燃尽温度、燃烧速率、结焦倾向等。</w:t>
      </w:r>
    </w:p>
    <w:p w14:paraId="66A3B28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9.3.3测定灰渣的变形温度、软化温度、流动温度。高原低气压下，炉膛温度分布可能不同，需防止灰渣在炉排上严重结焦。</w:t>
      </w:r>
    </w:p>
    <w:p w14:paraId="31047ED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9.3.4初步判断烟气腐蚀风险和酸性气体产生量。</w:t>
      </w:r>
    </w:p>
    <w:p w14:paraId="1482045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9.4 热平衡与物料平衡模拟计算</w:t>
      </w:r>
    </w:p>
    <w:p w14:paraId="5AED9DC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9.4.1基于垃圾特性数据，建立模型，预测是否需要辅助燃料、烟气量、产汽量等关键运行参数。</w:t>
      </w:r>
    </w:p>
    <w:p w14:paraId="68CBA8A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9.4.2计算模型必须考虑德钦新县城海拔导致的空气含氧量低、气压低的影响。</w:t>
      </w:r>
    </w:p>
    <w:p w14:paraId="6811C6B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9.4.3模拟在最不利工况（冬季、垃圾热值最低、水分最高）下，需要多少辅助燃料（柴油/天然气）才能维持850℃以上的炉温并停留2秒。</w:t>
      </w:r>
    </w:p>
    <w:p w14:paraId="0D012F3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9.5中试焚烧试验</w:t>
      </w:r>
    </w:p>
    <w:p w14:paraId="017D884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9.5.1使用真实德钦垃圾，进行从进料、焚烧、余热回收（如有）到烟气净化（脱酸、脱硝、除尘、活性炭吸附）的全流程连续运行测试（建议至少72小时连续稳定运行）。</w:t>
      </w:r>
    </w:p>
    <w:p w14:paraId="47E10AB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9.5.2在不添加或少量添加辅助燃料下，验证炉膛能否稳定维持高温。</w:t>
      </w:r>
    </w:p>
    <w:p w14:paraId="1F64036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9.5.3验证高原型风机、给料机、炉排在当地气候下的运行状况。</w:t>
      </w:r>
    </w:p>
    <w:p w14:paraId="5AE3DA0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9.5.4对中试装置的烟气进行全面检测，特别是二噁英类、重金属、酸性气体等指标，验证在高原条件下能否稳定达到超低排放标准。</w:t>
      </w:r>
    </w:p>
    <w:p w14:paraId="722FA37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9.5.5测定实际产生的飞灰毒性（是否属于危废）和炉渣特性。</w:t>
      </w:r>
    </w:p>
    <w:p w14:paraId="28A0030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9.6试验成果交付与应用要求</w:t>
      </w:r>
    </w:p>
    <w:p w14:paraId="1DA0C68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9.6.1汇总核心试验数据，明确给出垃圾是否适合焚烧的结论，以及主要风险点。</w:t>
      </w:r>
    </w:p>
    <w:p w14:paraId="3BED48F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9.6.2为后续工程设计提供直接的、经过验证的数据，包括：</w:t>
      </w:r>
    </w:p>
    <w:p w14:paraId="191410D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（1）设计热值范围、辅助燃料需求量。</w:t>
      </w:r>
    </w:p>
    <w:p w14:paraId="31D76A1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（2）烟气量、飞灰产生率、炉渣产生率。</w:t>
      </w:r>
    </w:p>
    <w:p w14:paraId="300DC79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（3）主要设备（炉排、风机、烟气处理单元）的容量和选型建议。</w:t>
      </w:r>
    </w:p>
    <w:p w14:paraId="1BAF313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9.6.3基于中试排放数据，论证长期稳定达标的技术可行性。</w:t>
      </w:r>
    </w:p>
    <w:p w14:paraId="2AFFF5C1">
      <w:pPr>
        <w:spacing w:before="24" w:after="24"/>
        <w:ind w:firstLine="562" w:firstLineChars="200"/>
        <w:outlineLvl w:val="2"/>
        <w:rPr>
          <w:rFonts w:ascii="Times New Roman" w:hAnsi="Times New Roman" w:cs="Times New Roman"/>
          <w:b/>
          <w:color w:val="0D0D0D" w:themeColor="text1" w:themeTint="F2"/>
          <w14:textFill>
            <w14:solidFill>
              <w14:schemeClr w14:val="tx1">
                <w14:lumMod w14:val="95000"/>
                <w14:lumOff w14:val="5000"/>
              </w14:schemeClr>
            </w14:solidFill>
          </w14:textFill>
        </w:rPr>
      </w:pPr>
      <w:bookmarkStart w:id="74" w:name="_Toc221894109"/>
      <w:r>
        <w:rPr>
          <w:rFonts w:ascii="Times New Roman" w:hAnsi="Times New Roman" w:cs="Times New Roman"/>
          <w:b/>
          <w:color w:val="0D0D0D" w:themeColor="text1" w:themeTint="F2"/>
          <w14:textFill>
            <w14:solidFill>
              <w14:schemeClr w14:val="tx1">
                <w14:lumMod w14:val="95000"/>
                <w14:lumOff w14:val="5000"/>
              </w14:schemeClr>
            </w14:solidFill>
          </w14:textFill>
        </w:rPr>
        <w:t>10、其他要求</w:t>
      </w:r>
      <w:bookmarkEnd w:id="74"/>
    </w:p>
    <w:p w14:paraId="3883C0BC">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10.1加强劳动保护和工业卫生，改善劳动条件，保护劳动者再生产过程中的安全。</w:t>
      </w:r>
    </w:p>
    <w:p w14:paraId="3185BB0C">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10.2管理措施</w:t>
      </w:r>
    </w:p>
    <w:p w14:paraId="7265918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10.2.1厂区设置安全管理机构，配备专人负责劳动安全与职业卫生的管理工作。在有安全隐患的地方均设置安全警示标志，制订车辆进出等安全管理办法，并且安排专人负责。</w:t>
      </w:r>
    </w:p>
    <w:p w14:paraId="3D8CBD8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10.2.2制订对防火隔离带的杂草清理和消防设施的定期检查与维护制度。</w:t>
      </w:r>
    </w:p>
    <w:p w14:paraId="5B50145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10.2.3实行人员安全培训和持证上岗制度。</w:t>
      </w:r>
    </w:p>
    <w:p w14:paraId="2A29838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10.3技术措施</w:t>
      </w:r>
    </w:p>
    <w:p w14:paraId="15A7D32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10.3.1所有电气设备、自控仪表、动力设备（如风机、水泵）必须选用高原专用型或进行降容使用修正。考虑低气压对密封、散热、燃烧效率的影响。</w:t>
      </w:r>
    </w:p>
    <w:p w14:paraId="625C0B0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10.3.2对水管、灰管、药剂管道、湿法脱酸系统等进行全程伴热和保温，防止冬季冻结。</w:t>
      </w:r>
    </w:p>
    <w:p w14:paraId="001F1A0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10.3.3焚烧炉必须具有较强的垃圾适应性和负荷调节能力，以适应小规模项目垃圾量和热值的巨大波动。</w:t>
      </w:r>
    </w:p>
    <w:p w14:paraId="4436514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10.3.4自控系统要求高冗余度和可靠性，具备完善的自动报警、联锁保护功能，减少对高水平操作人员的依赖。</w:t>
      </w:r>
    </w:p>
    <w:p w14:paraId="72D8658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10.4</w:t>
      </w:r>
      <w:bookmarkStart w:id="75" w:name="_Toc222392898"/>
      <w:bookmarkStart w:id="76" w:name="_Toc9587"/>
      <w:r>
        <w:rPr>
          <w:rFonts w:ascii="Times New Roman" w:hAnsi="Times New Roman" w:cs="Times New Roman"/>
          <w:color w:val="181717" w:themeColor="background2" w:themeShade="1A"/>
        </w:rPr>
        <w:t>劳动安全卫生管理</w:t>
      </w:r>
      <w:bookmarkEnd w:id="75"/>
      <w:bookmarkEnd w:id="76"/>
      <w:r>
        <w:rPr>
          <w:rFonts w:ascii="Times New Roman" w:hAnsi="Times New Roman" w:cs="Times New Roman"/>
          <w:color w:val="181717" w:themeColor="background2" w:themeShade="1A"/>
        </w:rPr>
        <w:t>措施</w:t>
      </w:r>
    </w:p>
    <w:p w14:paraId="72BD0E9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10.4.1堆填区应严格按照填埋工艺对一建筑垃圾进行填埋作业，分层分单元压实，并进行每日覆盖。</w:t>
      </w:r>
    </w:p>
    <w:p w14:paraId="59E5A99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10.4.2对垃圾池等有害场所，要加强通风监督检查。</w:t>
      </w:r>
    </w:p>
    <w:p w14:paraId="5AA7237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10.4.3对有可能发生的劳动中毒事故的场所，制订紧急救治措施，明确专（兼）职急救人员，并配备有医疗急救用品、设备和设施。</w:t>
      </w:r>
    </w:p>
    <w:p w14:paraId="5908C63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10.4.4监督恶臭污染物排放浓度必须达到《恶臭污染物排放标准》GB14554规定的限值。</w:t>
      </w:r>
    </w:p>
    <w:p w14:paraId="40A88C4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10.4.5定期进行卫生防疫消毒工作。</w:t>
      </w:r>
    </w:p>
    <w:p w14:paraId="1D1AACB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10.4.6定期对职工进行体格检查，定期进行安全教育和个人卫生教育。</w:t>
      </w:r>
    </w:p>
    <w:p w14:paraId="23613E1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10.4.7定期对安全卫生工作进行总结，建立安全信息档案，和当地安全和卫生管理工作有效的衔接起来。</w:t>
      </w:r>
    </w:p>
    <w:p w14:paraId="64983FD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10.4.8配置专门人员，建立安全和卫生工作分级及预警制度。</w:t>
      </w:r>
    </w:p>
    <w:p w14:paraId="3FD4FCA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10.5运营管理要求</w:t>
      </w:r>
    </w:p>
    <w:p w14:paraId="68ECA62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10.5.1厂房运营可委托给有丰富小规模垃圾焚烧或高原项目运营经验的专业公司，政府需对运营团队资质和业绩进行严格审查。避免“重建轻管”。</w:t>
      </w:r>
    </w:p>
    <w:p w14:paraId="59AFBF3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10.5.2运营方需提前招募并系统培训本地员工，形成“外地专家+本地骨干”的队伍结构，确保技术扎根。</w:t>
      </w:r>
    </w:p>
    <w:p w14:paraId="4647D45C">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10.5.3烟气排放指标的在线监测必须与州、省、国家生态环境部门联网，实时公开。</w:t>
      </w:r>
    </w:p>
    <w:p w14:paraId="4CAAA16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10.5.4建立由政府部门、周边社区代表、环保组织参与的联合监督小组，定期和不定期进厂检查。</w:t>
      </w:r>
    </w:p>
    <w:p w14:paraId="48FF511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10.5.5每季度至少开展一次由第三方检测机构进行的全面监测，包括二噁英和重金属，报告向社会公开。</w:t>
      </w:r>
    </w:p>
    <w:p w14:paraId="05D7140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10.5.6制定详细的《设备故障应急预案》、《环保事故应急预案》和《公众沟通应急预案》。确保关键备品备件的库存，或与供应商建立快速响应协议。明确在设备大修或故障期间，垃圾的临时贮存或应急处置场所。</w:t>
      </w:r>
    </w:p>
    <w:p w14:paraId="2727681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10.6对高噪声设备分别采取消声、隔声、吸声、减振等措施，高噪声区域的操作室均采取隔声措施，各操作岗位噪声均满足规范要求。电气设备选型符合国家标准的低噪声或无噪声产品，电气设备置于柜内或专用房间内。</w:t>
      </w:r>
    </w:p>
    <w:p w14:paraId="2DD1329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10.7各建筑物均考虑有足够的天然采光或人工照明及自然通风或机械通风。仪器控制室、电气操作室、办公室等均设置通风空调设施。</w:t>
      </w:r>
    </w:p>
    <w:p w14:paraId="4D8F9F5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10.8按照《工业企业设计卫生标准》（GBZ1-2010）的要求，生产区设有办公室、休息室、厕所等辅助设施，并统一考虑有食堂、浴室等，保证职工生活需求。生活用水取自外购自来水，水质符合《生活饮用水卫生标准》（GB5749-2022）的要求。</w:t>
      </w:r>
    </w:p>
    <w:p w14:paraId="19E041BE">
      <w:pPr>
        <w:pStyle w:val="54"/>
        <w:spacing w:before="24" w:after="24"/>
      </w:pPr>
      <w:r>
        <w:t>10.9本工程设置专门的安全卫生管理机构，负责项目营运期的日常安全卫生管理工作。劳动生产安全员由生产管理人员兼职，经常做好劳动安全及工业卫生的检查监督与指导工作，经常对职工进行“安全第一，预防为主”的方针的教育。</w:t>
      </w:r>
    </w:p>
    <w:p w14:paraId="4B46E2E6">
      <w:pPr>
        <w:pStyle w:val="54"/>
        <w:spacing w:before="24" w:after="24"/>
      </w:pPr>
      <w:r>
        <w:br w:type="page"/>
      </w:r>
    </w:p>
    <w:p w14:paraId="797B7954">
      <w:pPr>
        <w:spacing w:before="24" w:after="24"/>
        <w:outlineLvl w:val="0"/>
        <w:rPr>
          <w:rFonts w:ascii="Times New Roman" w:hAnsi="Times New Roman" w:eastAsia="黑体" w:cs="Times New Roman"/>
          <w:b/>
          <w:color w:val="00B0F0"/>
          <w:sz w:val="32"/>
          <w:szCs w:val="24"/>
          <w14:ligatures w14:val="standardContextual"/>
        </w:rPr>
      </w:pPr>
      <w:bookmarkStart w:id="77" w:name="_Toc221894110"/>
      <w:r>
        <w:rPr>
          <w:rFonts w:ascii="Times New Roman" w:hAnsi="Times New Roman" w:eastAsia="黑体" w:cs="Times New Roman"/>
          <w:b/>
          <w:color w:val="00B0F0"/>
          <w:sz w:val="32"/>
          <w:szCs w:val="24"/>
          <w14:ligatures w14:val="standardContextual"/>
        </w:rPr>
        <w:t>四、时间要求</w:t>
      </w:r>
      <w:bookmarkEnd w:id="77"/>
    </w:p>
    <w:p w14:paraId="10EA7B50">
      <w:pPr>
        <w:pStyle w:val="62"/>
      </w:pPr>
      <w:bookmarkStart w:id="78" w:name="_Toc221894111"/>
      <w:r>
        <w:t>（一）计划总工期</w:t>
      </w:r>
      <w:bookmarkEnd w:id="78"/>
    </w:p>
    <w:p w14:paraId="0E895FD7">
      <w:pPr>
        <w:pStyle w:val="54"/>
        <w:spacing w:before="24" w:after="24"/>
      </w:pPr>
      <w:r>
        <w:t>计划总工期：</w:t>
      </w:r>
      <w:r>
        <w:rPr>
          <w:rFonts w:hint="eastAsia"/>
        </w:rPr>
        <w:t>360</w:t>
      </w:r>
      <w:r>
        <w:t>日历天</w:t>
      </w:r>
    </w:p>
    <w:p w14:paraId="472E824A">
      <w:pPr>
        <w:pStyle w:val="62"/>
      </w:pPr>
      <w:bookmarkStart w:id="79" w:name="_Toc221894112"/>
      <w:r>
        <w:t>（二）开始时间</w:t>
      </w:r>
      <w:bookmarkEnd w:id="79"/>
    </w:p>
    <w:p w14:paraId="5E4919C9">
      <w:pPr>
        <w:pStyle w:val="54"/>
        <w:spacing w:before="24" w:after="24"/>
      </w:pPr>
      <w:r>
        <w:t>1、施工图设计开始时间：中标结果公告发布之日。</w:t>
      </w:r>
    </w:p>
    <w:p w14:paraId="356F2A1C">
      <w:pPr>
        <w:pStyle w:val="54"/>
        <w:spacing w:before="24" w:after="24"/>
      </w:pPr>
      <w:r>
        <w:t>2、施工开始时间：以监理单位下发的开工令时间为准。</w:t>
      </w:r>
    </w:p>
    <w:p w14:paraId="04AF31D8">
      <w:pPr>
        <w:pStyle w:val="62"/>
      </w:pPr>
      <w:bookmarkStart w:id="80" w:name="_Toc221894113"/>
      <w:r>
        <w:t>（三）完成时间</w:t>
      </w:r>
      <w:bookmarkEnd w:id="80"/>
    </w:p>
    <w:p w14:paraId="5017CB63">
      <w:pPr>
        <w:pStyle w:val="54"/>
        <w:spacing w:before="24" w:after="24"/>
      </w:pPr>
      <w:r>
        <w:t>1、施工图设计完成时间：应在中标后</w:t>
      </w:r>
      <w:r>
        <w:rPr>
          <w:rFonts w:hint="eastAsia"/>
        </w:rPr>
        <w:t>90</w:t>
      </w:r>
      <w:r>
        <w:t>日历天内完成各子项目施工图设计。</w:t>
      </w:r>
    </w:p>
    <w:p w14:paraId="3BE27D57">
      <w:pPr>
        <w:pStyle w:val="54"/>
        <w:spacing w:before="24" w:after="24"/>
      </w:pPr>
      <w:r>
        <w:t>2、其它专项或深化设计完成时间：应在中标后</w:t>
      </w:r>
      <w:r>
        <w:rPr>
          <w:rFonts w:hint="eastAsia"/>
        </w:rPr>
        <w:t>110</w:t>
      </w:r>
      <w:r>
        <w:t>日历天内完成。</w:t>
      </w:r>
    </w:p>
    <w:p w14:paraId="7AEF4D6A">
      <w:pPr>
        <w:pStyle w:val="54"/>
        <w:spacing w:before="24" w:after="24"/>
      </w:pPr>
      <w:r>
        <w:t>3、施工完成时间：</w:t>
      </w:r>
    </w:p>
    <w:p w14:paraId="4979E168">
      <w:pPr>
        <w:pStyle w:val="54"/>
        <w:spacing w:before="24" w:after="24"/>
        <w:rPr>
          <w:color w:val="000000"/>
          <w14:textFill>
            <w14:solidFill>
              <w14:srgbClr w14:val="000000">
                <w14:lumMod w14:val="95000"/>
                <w14:lumOff w14:val="5000"/>
              </w14:srgbClr>
            </w14:solidFill>
          </w14:textFill>
        </w:rPr>
      </w:pPr>
      <w:r>
        <w:t>建设项目2027年</w:t>
      </w:r>
      <w:r>
        <w:rPr>
          <w:rFonts w:hint="eastAsia"/>
        </w:rPr>
        <w:t>4</w:t>
      </w:r>
      <w:r>
        <w:t>月</w:t>
      </w:r>
      <w:r>
        <w:rPr>
          <w:rFonts w:hint="eastAsia"/>
        </w:rPr>
        <w:t>2</w:t>
      </w:r>
      <w:r>
        <w:t>日前竣工验收，其中市政公用设施（垃圾焚烧处理厂）最迟应在202</w:t>
      </w:r>
      <w:r>
        <w:rPr>
          <w:rFonts w:hint="eastAsia"/>
        </w:rPr>
        <w:t>7</w:t>
      </w:r>
      <w:r>
        <w:t>年</w:t>
      </w:r>
      <w:r>
        <w:rPr>
          <w:rFonts w:hint="eastAsia"/>
        </w:rPr>
        <w:t>2</w:t>
      </w:r>
      <w:r>
        <w:t>月</w:t>
      </w:r>
      <w:r>
        <w:rPr>
          <w:rFonts w:hint="eastAsia"/>
        </w:rPr>
        <w:t>28</w:t>
      </w:r>
      <w:r>
        <w:t>日竣工验收（含性能测试、联动试运转），</w:t>
      </w:r>
      <w:r>
        <w:rPr>
          <w:color w:val="000000"/>
          <w14:textFill>
            <w14:solidFill>
              <w14:srgbClr w14:val="000000">
                <w14:lumMod w14:val="95000"/>
                <w14:lumOff w14:val="5000"/>
              </w14:srgbClr>
            </w14:solidFill>
          </w14:textFill>
        </w:rPr>
        <w:t>随后进入试运行阶段，最迟在2027年</w:t>
      </w:r>
      <w:r>
        <w:rPr>
          <w:rFonts w:hint="eastAsia"/>
          <w:color w:val="000000"/>
          <w14:textFill>
            <w14:solidFill>
              <w14:srgbClr w14:val="000000">
                <w14:lumMod w14:val="95000"/>
                <w14:lumOff w14:val="5000"/>
              </w14:srgbClr>
            </w14:solidFill>
          </w14:textFill>
        </w:rPr>
        <w:t>4</w:t>
      </w:r>
      <w:r>
        <w:rPr>
          <w:color w:val="000000"/>
          <w14:textFill>
            <w14:solidFill>
              <w14:srgbClr w14:val="000000">
                <w14:lumMod w14:val="95000"/>
                <w14:lumOff w14:val="5000"/>
              </w14:srgbClr>
            </w14:solidFill>
          </w14:textFill>
        </w:rPr>
        <w:t>月</w:t>
      </w:r>
      <w:r>
        <w:rPr>
          <w:rFonts w:hint="eastAsia"/>
          <w:color w:val="000000"/>
          <w14:textFill>
            <w14:solidFill>
              <w14:srgbClr w14:val="000000">
                <w14:lumMod w14:val="95000"/>
                <w14:lumOff w14:val="5000"/>
              </w14:srgbClr>
            </w14:solidFill>
          </w14:textFill>
        </w:rPr>
        <w:t>2</w:t>
      </w:r>
      <w:r>
        <w:rPr>
          <w:color w:val="000000"/>
          <w14:textFill>
            <w14:solidFill>
              <w14:srgbClr w14:val="000000">
                <w14:lumMod w14:val="95000"/>
                <w14:lumOff w14:val="5000"/>
              </w14:srgbClr>
            </w14:solidFill>
          </w14:textFill>
        </w:rPr>
        <w:t>日前移交发包人。</w:t>
      </w:r>
    </w:p>
    <w:p w14:paraId="63C91D09">
      <w:pPr>
        <w:pStyle w:val="62"/>
      </w:pPr>
      <w:bookmarkStart w:id="81" w:name="_Toc221894114"/>
      <w:r>
        <w:t>（四）缺陷责任期</w:t>
      </w:r>
      <w:bookmarkEnd w:id="81"/>
    </w:p>
    <w:p w14:paraId="356BBC56">
      <w:pPr>
        <w:pStyle w:val="54"/>
        <w:spacing w:before="24" w:after="24"/>
      </w:pPr>
      <w:r>
        <w:t>工程缺陷责任期为24个月，缺陷责任期自工程验收合格之日起计算。</w:t>
      </w:r>
    </w:p>
    <w:p w14:paraId="0124EF7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br w:type="page"/>
      </w:r>
    </w:p>
    <w:p w14:paraId="01032889">
      <w:pPr>
        <w:pStyle w:val="53"/>
        <w:spacing w:before="24" w:after="24"/>
        <w:rPr>
          <w:rFonts w:cs="Times New Roman"/>
        </w:rPr>
      </w:pPr>
      <w:bookmarkStart w:id="82" w:name="_Toc221894115"/>
      <w:r>
        <w:rPr>
          <w:rFonts w:cs="Times New Roman"/>
        </w:rPr>
        <w:t>五、技术要求</w:t>
      </w:r>
      <w:bookmarkEnd w:id="82"/>
    </w:p>
    <w:p w14:paraId="7136B8C1">
      <w:pPr>
        <w:pStyle w:val="62"/>
      </w:pPr>
      <w:bookmarkStart w:id="83" w:name="_Toc221894116"/>
      <w:r>
        <w:t>（一）施工图设计</w:t>
      </w:r>
      <w:bookmarkEnd w:id="83"/>
    </w:p>
    <w:p w14:paraId="5B5AB729">
      <w:pPr>
        <w:pStyle w:val="64"/>
        <w:spacing w:before="24" w:after="24"/>
        <w:rPr>
          <w:rFonts w:cs="Times New Roman"/>
        </w:rPr>
      </w:pPr>
      <w:bookmarkStart w:id="84" w:name="_Toc221894117"/>
      <w:r>
        <w:rPr>
          <w:rFonts w:cs="Times New Roman"/>
        </w:rPr>
        <w:t>1、目标和要求</w:t>
      </w:r>
      <w:bookmarkEnd w:id="84"/>
    </w:p>
    <w:p w14:paraId="423198E7">
      <w:pPr>
        <w:pStyle w:val="54"/>
        <w:spacing w:before="24" w:after="24"/>
      </w:pPr>
      <w:r>
        <w:t>1.1完成施工图审图机构的审查，取得施工图审图合格证。</w:t>
      </w:r>
    </w:p>
    <w:p w14:paraId="03C3BD2C">
      <w:pPr>
        <w:pStyle w:val="54"/>
        <w:spacing w:before="24" w:after="24"/>
      </w:pPr>
      <w:r>
        <w:t>1.2承包人应按照国家现行设计规范、标准并参照行业及相关图集进行建设项目设计（含项目涉及的所有专业施工图设计、二次深化设计、专项设计、工艺设计等）。</w:t>
      </w:r>
    </w:p>
    <w:p w14:paraId="073D0001">
      <w:pPr>
        <w:pStyle w:val="54"/>
        <w:spacing w:before="24" w:after="24"/>
      </w:pPr>
      <w:r>
        <w:t>1.3发包人提出的合理优化建议应在施工图设计成果中落实，并满足相关要求。</w:t>
      </w:r>
    </w:p>
    <w:p w14:paraId="4A35D09F">
      <w:pPr>
        <w:pStyle w:val="54"/>
        <w:spacing w:before="24" w:after="24"/>
      </w:pPr>
      <w:r>
        <w:t>1.4承包人应按经批复初步设计概算中的工程费进行限额设计。</w:t>
      </w:r>
    </w:p>
    <w:p w14:paraId="0D914EB0">
      <w:pPr>
        <w:pStyle w:val="54"/>
        <w:spacing w:before="24" w:after="24"/>
      </w:pPr>
      <w:r>
        <w:t>1.5承包人在进行施工图设计时，不得降低标准。承包人自行提高标准的，按提高后标准实施，增加的费用发包人不另行支付。</w:t>
      </w:r>
    </w:p>
    <w:p w14:paraId="1A847122">
      <w:pPr>
        <w:pStyle w:val="54"/>
        <w:spacing w:before="24" w:after="24"/>
      </w:pPr>
      <w:r>
        <w:t>1.6承包人在进行施工图设计时，应充分体现发包人的要求，其成果文件应得到发包人认可。</w:t>
      </w:r>
    </w:p>
    <w:p w14:paraId="65F4EBDB">
      <w:pPr>
        <w:pStyle w:val="54"/>
        <w:spacing w:before="24" w:after="24"/>
      </w:pPr>
      <w:r>
        <w:t>1.7承包人应负责工程设计的组织、协调、进度控制等所有相关设计工作，并负责对该工程的所有设计工作进行审查，对所有相关设计文件的正确性承担责任。并按合同中承包人文件的有关要求，提供全部的设计成果资料。</w:t>
      </w:r>
    </w:p>
    <w:p w14:paraId="00092DD8">
      <w:pPr>
        <w:pStyle w:val="54"/>
        <w:spacing w:before="24" w:after="24"/>
      </w:pPr>
      <w:r>
        <w:t>1.8按双方约定的时间完成设计文件的中间审查和最终审查，并经发包人批准后实施。</w:t>
      </w:r>
    </w:p>
    <w:p w14:paraId="7B305F8D">
      <w:pPr>
        <w:pStyle w:val="54"/>
        <w:spacing w:before="24" w:after="24"/>
      </w:pPr>
      <w:r>
        <w:t>1.9承包人指派专人配合发包人完成项目全过程的各项审批手续。</w:t>
      </w:r>
    </w:p>
    <w:p w14:paraId="09CEAB40">
      <w:pPr>
        <w:pStyle w:val="54"/>
        <w:spacing w:before="24" w:after="24"/>
      </w:pPr>
      <w:r>
        <w:t>1.10依据《中华人民共和国水土保持法》相关规定，落实好“三同时制度”，设计单位应对水土保持措施进行细化并落实到图纸中，满足工程运行期间的水土流失防治要求。设计弃渣场时，设计单位应细化土石方量，保证渣场容量及位置满足堆渣要求，从而防止水土保持方案发生重大变更，影响后期水土保持设施自主验收工作。配合水土保持方案编制单位提供项目弃渣场、取料场、施工场地、施工便道等水土保持设计相关要素的选址、占地面积、容量及图纸等相关资料。配合项目水土保持方案编制评审、自主验收备案等相关工作。</w:t>
      </w:r>
    </w:p>
    <w:p w14:paraId="588C5D49">
      <w:pPr>
        <w:pStyle w:val="54"/>
        <w:spacing w:before="24" w:after="24"/>
      </w:pPr>
      <w:r>
        <w:t>1.11项目涉及的所有专业施工图，需针对项目不同单体特点，采用多结构，多方案比较，从中选取最合理的方案进行设计，施工图应符合国家、地方现行设计规范、标准、行业及相关图集要求。</w:t>
      </w:r>
    </w:p>
    <w:p w14:paraId="1BE3ABB6">
      <w:pPr>
        <w:pStyle w:val="64"/>
        <w:spacing w:before="24" w:after="24"/>
        <w:rPr>
          <w:rFonts w:cs="Times New Roman"/>
        </w:rPr>
      </w:pPr>
      <w:bookmarkStart w:id="85" w:name="_Toc221894118"/>
      <w:r>
        <w:rPr>
          <w:rFonts w:cs="Times New Roman"/>
        </w:rPr>
        <w:t>2、设计任务</w:t>
      </w:r>
      <w:bookmarkEnd w:id="85"/>
    </w:p>
    <w:p w14:paraId="083F3811">
      <w:pPr>
        <w:pStyle w:val="66"/>
        <w:rPr>
          <w:rFonts w:cs="Times New Roman"/>
        </w:rPr>
      </w:pPr>
      <w:r>
        <w:rPr>
          <w:rFonts w:cs="Times New Roman"/>
        </w:rPr>
        <w:t>2.1 建筑总图</w:t>
      </w:r>
    </w:p>
    <w:p w14:paraId="7C569A92">
      <w:pPr>
        <w:pStyle w:val="54"/>
        <w:spacing w:before="24" w:after="24"/>
      </w:pPr>
      <w:r>
        <w:t>1.建筑总图技术要求</w:t>
      </w:r>
    </w:p>
    <w:p w14:paraId="2174CE4C">
      <w:pPr>
        <w:pStyle w:val="54"/>
        <w:spacing w:before="24" w:after="24"/>
      </w:pPr>
      <w:r>
        <w:t>1.1 行政办公类</w:t>
      </w:r>
    </w:p>
    <w:p w14:paraId="191B0BCF">
      <w:pPr>
        <w:pStyle w:val="54"/>
        <w:spacing w:before="24" w:after="24"/>
      </w:pPr>
      <w:r>
        <w:t>（1）办公建筑设计应依据其使用要求进行分类，并应符合下表的规定：</w:t>
      </w:r>
    </w:p>
    <w:p w14:paraId="3DA0C1A4">
      <w:pPr>
        <w:pStyle w:val="69"/>
        <w:rPr>
          <w:rFonts w:hint="eastAsia"/>
        </w:rPr>
      </w:pPr>
      <w:r>
        <w:t>办公建筑分类</w:t>
      </w:r>
    </w:p>
    <w:tbl>
      <w:tblPr>
        <w:tblStyle w:val="31"/>
        <w:tblW w:w="0" w:type="auto"/>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top w:w="0" w:type="dxa"/>
          <w:left w:w="108" w:type="dxa"/>
          <w:bottom w:w="0" w:type="dxa"/>
          <w:right w:w="108" w:type="dxa"/>
        </w:tblCellMar>
      </w:tblPr>
      <w:tblGrid>
        <w:gridCol w:w="1705"/>
        <w:gridCol w:w="3323"/>
        <w:gridCol w:w="4294"/>
      </w:tblGrid>
      <w:tr w14:paraId="1020C204">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600" w:hRule="atLeast"/>
        </w:trPr>
        <w:tc>
          <w:tcPr>
            <w:tcW w:w="1705" w:type="dxa"/>
            <w:tcBorders>
              <w:top w:val="single" w:color="000000" w:sz="4" w:space="0"/>
              <w:left w:val="single" w:color="000000" w:sz="4" w:space="0"/>
              <w:bottom w:val="single" w:color="000000" w:sz="4" w:space="0"/>
              <w:right w:val="single" w:color="000000" w:sz="4" w:space="0"/>
            </w:tcBorders>
            <w:vAlign w:val="center"/>
          </w:tcPr>
          <w:p w14:paraId="5B318851">
            <w:pPr>
              <w:pStyle w:val="71"/>
              <w:spacing w:before="24" w:after="24"/>
            </w:pPr>
            <w:r>
              <w:rPr>
                <w:rFonts w:hint="eastAsia"/>
              </w:rPr>
              <w:t>类别</w:t>
            </w:r>
          </w:p>
        </w:tc>
        <w:tc>
          <w:tcPr>
            <w:tcW w:w="3323" w:type="dxa"/>
            <w:tcBorders>
              <w:top w:val="single" w:color="000000" w:sz="4" w:space="0"/>
              <w:left w:val="nil"/>
              <w:bottom w:val="single" w:color="000000" w:sz="4" w:space="0"/>
              <w:right w:val="single" w:color="000000" w:sz="4" w:space="0"/>
            </w:tcBorders>
            <w:vAlign w:val="center"/>
          </w:tcPr>
          <w:p w14:paraId="1647802B">
            <w:pPr>
              <w:pStyle w:val="71"/>
              <w:spacing w:before="24" w:after="24"/>
            </w:pPr>
            <w:r>
              <w:rPr>
                <w:rFonts w:hint="eastAsia"/>
              </w:rPr>
              <w:t>示例</w:t>
            </w:r>
          </w:p>
        </w:tc>
        <w:tc>
          <w:tcPr>
            <w:tcW w:w="4294" w:type="dxa"/>
            <w:tcBorders>
              <w:top w:val="single" w:color="000000" w:sz="4" w:space="0"/>
              <w:left w:val="nil"/>
              <w:bottom w:val="single" w:color="000000" w:sz="4" w:space="0"/>
              <w:right w:val="single" w:color="000000" w:sz="4" w:space="0"/>
            </w:tcBorders>
            <w:vAlign w:val="center"/>
          </w:tcPr>
          <w:p w14:paraId="500CA4F2">
            <w:pPr>
              <w:pStyle w:val="71"/>
              <w:spacing w:before="24" w:after="24"/>
            </w:pPr>
            <w:r>
              <w:rPr>
                <w:rFonts w:hint="eastAsia"/>
              </w:rPr>
              <w:t>设计使用年限</w:t>
            </w:r>
          </w:p>
        </w:tc>
      </w:tr>
      <w:tr w14:paraId="4180A356">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600" w:hRule="atLeast"/>
        </w:trPr>
        <w:tc>
          <w:tcPr>
            <w:tcW w:w="1705" w:type="dxa"/>
            <w:tcBorders>
              <w:top w:val="single" w:color="000000" w:sz="4" w:space="0"/>
              <w:left w:val="single" w:color="000000" w:sz="4" w:space="0"/>
              <w:bottom w:val="single" w:color="000000" w:sz="4" w:space="0"/>
              <w:right w:val="single" w:color="000000" w:sz="4" w:space="0"/>
            </w:tcBorders>
            <w:vAlign w:val="center"/>
          </w:tcPr>
          <w:p w14:paraId="53BFCEB8">
            <w:pPr>
              <w:pStyle w:val="71"/>
              <w:spacing w:before="24" w:after="24"/>
            </w:pPr>
            <w:r>
              <w:rPr>
                <w:rFonts w:hint="eastAsia"/>
              </w:rPr>
              <w:t>A类</w:t>
            </w:r>
          </w:p>
        </w:tc>
        <w:tc>
          <w:tcPr>
            <w:tcW w:w="3323" w:type="dxa"/>
            <w:tcBorders>
              <w:top w:val="single" w:color="000000" w:sz="4" w:space="0"/>
              <w:left w:val="nil"/>
              <w:bottom w:val="single" w:color="000000" w:sz="4" w:space="0"/>
              <w:right w:val="single" w:color="000000" w:sz="4" w:space="0"/>
            </w:tcBorders>
            <w:vAlign w:val="center"/>
          </w:tcPr>
          <w:p w14:paraId="006A5CB0">
            <w:pPr>
              <w:pStyle w:val="71"/>
              <w:spacing w:before="24" w:after="24"/>
            </w:pPr>
            <w:r>
              <w:rPr>
                <w:rFonts w:hint="eastAsia"/>
              </w:rPr>
              <w:t>特别重要办公建筑</w:t>
            </w:r>
          </w:p>
        </w:tc>
        <w:tc>
          <w:tcPr>
            <w:tcW w:w="4294" w:type="dxa"/>
            <w:tcBorders>
              <w:top w:val="single" w:color="000000" w:sz="4" w:space="0"/>
              <w:left w:val="nil"/>
              <w:bottom w:val="single" w:color="000000" w:sz="4" w:space="0"/>
              <w:right w:val="single" w:color="000000" w:sz="4" w:space="0"/>
            </w:tcBorders>
            <w:vAlign w:val="center"/>
          </w:tcPr>
          <w:p w14:paraId="0B727860">
            <w:pPr>
              <w:pStyle w:val="71"/>
              <w:spacing w:before="24" w:after="24"/>
            </w:pPr>
            <w:r>
              <w:rPr>
                <w:rFonts w:hint="eastAsia"/>
              </w:rPr>
              <w:t>100年或50年</w:t>
            </w:r>
          </w:p>
        </w:tc>
      </w:tr>
      <w:tr w14:paraId="6BD83CBE">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600" w:hRule="atLeast"/>
        </w:trPr>
        <w:tc>
          <w:tcPr>
            <w:tcW w:w="1705" w:type="dxa"/>
            <w:tcBorders>
              <w:top w:val="single" w:color="000000" w:sz="4" w:space="0"/>
              <w:left w:val="single" w:color="000000" w:sz="4" w:space="0"/>
              <w:bottom w:val="single" w:color="000000" w:sz="4" w:space="0"/>
              <w:right w:val="single" w:color="000000" w:sz="4" w:space="0"/>
            </w:tcBorders>
            <w:vAlign w:val="center"/>
          </w:tcPr>
          <w:p w14:paraId="7F0702E0">
            <w:pPr>
              <w:pStyle w:val="71"/>
              <w:spacing w:before="24" w:after="24"/>
            </w:pPr>
            <w:r>
              <w:rPr>
                <w:rFonts w:hint="eastAsia"/>
              </w:rPr>
              <w:t>B类</w:t>
            </w:r>
          </w:p>
        </w:tc>
        <w:tc>
          <w:tcPr>
            <w:tcW w:w="3323" w:type="dxa"/>
            <w:tcBorders>
              <w:top w:val="single" w:color="000000" w:sz="4" w:space="0"/>
              <w:left w:val="nil"/>
              <w:bottom w:val="single" w:color="000000" w:sz="4" w:space="0"/>
              <w:right w:val="single" w:color="000000" w:sz="4" w:space="0"/>
            </w:tcBorders>
            <w:vAlign w:val="center"/>
          </w:tcPr>
          <w:p w14:paraId="4B0651CC">
            <w:pPr>
              <w:pStyle w:val="71"/>
              <w:spacing w:before="24" w:after="24"/>
            </w:pPr>
            <w:r>
              <w:rPr>
                <w:rFonts w:hint="eastAsia"/>
              </w:rPr>
              <w:t>重要办公建筑</w:t>
            </w:r>
          </w:p>
        </w:tc>
        <w:tc>
          <w:tcPr>
            <w:tcW w:w="4294" w:type="dxa"/>
            <w:tcBorders>
              <w:top w:val="single" w:color="000000" w:sz="4" w:space="0"/>
              <w:left w:val="nil"/>
              <w:bottom w:val="single" w:color="000000" w:sz="4" w:space="0"/>
              <w:right w:val="single" w:color="000000" w:sz="4" w:space="0"/>
            </w:tcBorders>
            <w:vAlign w:val="center"/>
          </w:tcPr>
          <w:p w14:paraId="4C7CD3DA">
            <w:pPr>
              <w:pStyle w:val="71"/>
              <w:spacing w:before="24" w:after="24"/>
            </w:pPr>
            <w:r>
              <w:rPr>
                <w:rFonts w:hint="eastAsia"/>
              </w:rPr>
              <w:t>50年</w:t>
            </w:r>
          </w:p>
        </w:tc>
      </w:tr>
      <w:tr w14:paraId="3789E639">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600" w:hRule="atLeast"/>
        </w:trPr>
        <w:tc>
          <w:tcPr>
            <w:tcW w:w="1705" w:type="dxa"/>
            <w:tcBorders>
              <w:top w:val="single" w:color="000000" w:sz="4" w:space="0"/>
              <w:left w:val="single" w:color="000000" w:sz="4" w:space="0"/>
              <w:bottom w:val="single" w:color="000000" w:sz="4" w:space="0"/>
              <w:right w:val="single" w:color="000000" w:sz="4" w:space="0"/>
            </w:tcBorders>
            <w:vAlign w:val="center"/>
          </w:tcPr>
          <w:p w14:paraId="619F2A1A">
            <w:pPr>
              <w:pStyle w:val="71"/>
              <w:spacing w:before="24" w:after="24"/>
            </w:pPr>
            <w:r>
              <w:rPr>
                <w:rFonts w:hint="eastAsia"/>
              </w:rPr>
              <w:t>C类</w:t>
            </w:r>
          </w:p>
        </w:tc>
        <w:tc>
          <w:tcPr>
            <w:tcW w:w="3323" w:type="dxa"/>
            <w:tcBorders>
              <w:top w:val="single" w:color="000000" w:sz="4" w:space="0"/>
              <w:left w:val="nil"/>
              <w:bottom w:val="single" w:color="000000" w:sz="4" w:space="0"/>
              <w:right w:val="single" w:color="000000" w:sz="4" w:space="0"/>
            </w:tcBorders>
            <w:vAlign w:val="center"/>
          </w:tcPr>
          <w:p w14:paraId="321F02A2">
            <w:pPr>
              <w:pStyle w:val="71"/>
              <w:spacing w:before="24" w:after="24"/>
            </w:pPr>
            <w:r>
              <w:rPr>
                <w:rFonts w:hint="eastAsia"/>
              </w:rPr>
              <w:t>普通办公建筑</w:t>
            </w:r>
          </w:p>
        </w:tc>
        <w:tc>
          <w:tcPr>
            <w:tcW w:w="4294" w:type="dxa"/>
            <w:tcBorders>
              <w:top w:val="single" w:color="000000" w:sz="4" w:space="0"/>
              <w:left w:val="nil"/>
              <w:bottom w:val="single" w:color="000000" w:sz="4" w:space="0"/>
              <w:right w:val="single" w:color="000000" w:sz="4" w:space="0"/>
            </w:tcBorders>
            <w:vAlign w:val="center"/>
          </w:tcPr>
          <w:p w14:paraId="6AB4DCDC">
            <w:pPr>
              <w:pStyle w:val="71"/>
              <w:spacing w:before="24" w:after="24"/>
            </w:pPr>
            <w:r>
              <w:rPr>
                <w:rFonts w:hint="eastAsia"/>
              </w:rPr>
              <w:t>50年或25年</w:t>
            </w:r>
          </w:p>
        </w:tc>
      </w:tr>
    </w:tbl>
    <w:p w14:paraId="4051EDAD">
      <w:pPr>
        <w:pStyle w:val="54"/>
        <w:spacing w:before="24" w:after="24"/>
      </w:pPr>
      <w:r>
        <w:t>（2）A类办公建筑应至少有两面直接邻接城市道路或公路B类办公建筑应至少有一面直接邻接城市道路或公路，或与城市道路或公路有相连接的通路；C类办公建筑宜有一面直接邻接城市道路或公路。</w:t>
      </w:r>
    </w:p>
    <w:p w14:paraId="2217DEF1">
      <w:pPr>
        <w:pStyle w:val="54"/>
        <w:spacing w:before="24" w:after="24"/>
      </w:pPr>
      <w:r>
        <w:t>（3）大型办公建筑群应在基地中设置人员集散空地，作为紧急避难疏散场地。</w:t>
      </w:r>
    </w:p>
    <w:p w14:paraId="08D075E8">
      <w:pPr>
        <w:pStyle w:val="54"/>
        <w:spacing w:before="24" w:after="24"/>
      </w:pPr>
      <w:r>
        <w:t>（4）总平面应合理组织基地内各种交通流线，妥善布置地上和地下建筑的出入口。食堂、厨房等后勤用房的燃料、货物及垃圾等物品的运输宜设有单独通道和出入口。</w:t>
      </w:r>
    </w:p>
    <w:p w14:paraId="4047FB28">
      <w:pPr>
        <w:pStyle w:val="54"/>
        <w:spacing w:before="24" w:after="24"/>
      </w:pPr>
      <w:r>
        <w:t>（5）当办公建筑与其他建筑共建在同一基地内或与其他建筑合建时，应满足办公建筑的使用功能和环境要求，分区明确，并宜设置单独出入口。</w:t>
      </w:r>
    </w:p>
    <w:p w14:paraId="247AF803">
      <w:pPr>
        <w:pStyle w:val="54"/>
        <w:spacing w:before="24" w:after="24"/>
      </w:pPr>
      <w:r>
        <w:t>1.2 学校类</w:t>
      </w:r>
    </w:p>
    <w:p w14:paraId="1C8953B3">
      <w:pPr>
        <w:pStyle w:val="54"/>
        <w:spacing w:before="24" w:after="24"/>
      </w:pPr>
      <w:r>
        <w:t>（1）中小学校严禁建设在地震、地质塌裂、暗河、洪涝等自然灾害及人为风险高的地段和污染超标的地段。</w:t>
      </w:r>
    </w:p>
    <w:p w14:paraId="5B5CADE0">
      <w:pPr>
        <w:pStyle w:val="54"/>
        <w:spacing w:before="24" w:after="24"/>
      </w:pPr>
      <w:r>
        <w:t>（2）中小学校建设应远离殡仪馆、医院的太平间、传染病院等建筑。</w:t>
      </w:r>
    </w:p>
    <w:p w14:paraId="0D875EE4">
      <w:pPr>
        <w:pStyle w:val="54"/>
        <w:spacing w:before="24" w:after="24"/>
      </w:pPr>
      <w:r>
        <w:t>（3）城镇完全小学的服务半径宜为500m，城镇初级中学的服务半径宜为1000m。</w:t>
      </w:r>
    </w:p>
    <w:p w14:paraId="1D50159D">
      <w:pPr>
        <w:pStyle w:val="54"/>
        <w:spacing w:before="24" w:after="24"/>
      </w:pPr>
      <w:r>
        <w:t>（4）学校主要教学用房设置窗户的外墙与铁路路轨的距离不应小于300m，与高速路、地上轨道交通线或城市主干道的距离不应小于80m。当距离不足时，应采取有效的隔声措施。</w:t>
      </w:r>
    </w:p>
    <w:p w14:paraId="2459F823">
      <w:pPr>
        <w:pStyle w:val="54"/>
        <w:spacing w:before="24" w:after="24"/>
      </w:pPr>
      <w:r>
        <w:t>（5）高压电线、长输天然气管道、输油管道严禁穿越或跨越学校校园;当在学校周边敷设时，安全防护距离及防护措施应符合相关规定。</w:t>
      </w:r>
    </w:p>
    <w:p w14:paraId="2A9110DC">
      <w:pPr>
        <w:pStyle w:val="54"/>
        <w:spacing w:before="24" w:after="24"/>
      </w:pPr>
      <w:r>
        <w:t>（6）各类小学的主要教学用房不应设在四层以上，各类中学的主要教学用房不应设在五层以上。</w:t>
      </w:r>
    </w:p>
    <w:p w14:paraId="1A409FF7">
      <w:pPr>
        <w:pStyle w:val="54"/>
        <w:spacing w:before="24" w:after="24"/>
      </w:pPr>
      <w:r>
        <w:t>（7）普通教室冬至日满窗日照不应少于2h。</w:t>
      </w:r>
    </w:p>
    <w:p w14:paraId="3C458A9E">
      <w:pPr>
        <w:pStyle w:val="54"/>
        <w:spacing w:before="24" w:after="24"/>
      </w:pPr>
      <w:r>
        <w:t>（8）各类教室的外窗与相对的教学用房或室外运动场地边缘间的距离不应小于25m。</w:t>
      </w:r>
    </w:p>
    <w:p w14:paraId="52E3989A">
      <w:pPr>
        <w:pStyle w:val="54"/>
        <w:spacing w:before="24" w:after="24"/>
      </w:pPr>
      <w:r>
        <w:t>1.3 养老建筑</w:t>
      </w:r>
    </w:p>
    <w:p w14:paraId="0062378C">
      <w:pPr>
        <w:pStyle w:val="54"/>
        <w:spacing w:before="24" w:after="24"/>
      </w:pPr>
      <w:r>
        <w:t>（1）老年人照料设施建筑基地及建筑物的主要出入口不宜开向城市主干道。货物、垃圾、殡葬等运输宜设置单独的通道和出人口；</w:t>
      </w:r>
    </w:p>
    <w:p w14:paraId="52F9A30A">
      <w:pPr>
        <w:pStyle w:val="54"/>
        <w:spacing w:before="24" w:after="24"/>
      </w:pPr>
      <w:r>
        <w:t>（2）总平面交通组织应便捷流畅，满足消防、疏散、运输要求的同时应避免车辆对人员通行的影响。</w:t>
      </w:r>
    </w:p>
    <w:p w14:paraId="4DF0A4C7">
      <w:pPr>
        <w:pStyle w:val="54"/>
        <w:spacing w:before="24" w:after="24"/>
      </w:pPr>
      <w:r>
        <w:t>（3）道路系统应保证救护车辆能停靠在建筑的主要出入口处，且应与建筑的紧急送医通道相连。</w:t>
      </w:r>
    </w:p>
    <w:p w14:paraId="23EE4EF8">
      <w:pPr>
        <w:pStyle w:val="54"/>
        <w:spacing w:before="24" w:after="24"/>
      </w:pPr>
      <w:r>
        <w:t>（4）总平面内应设置机动车和非机动车停车场。在机动车停车场距建筑物主要出人口最近的位置上应设置无障碍停车位或无障碍停车下客点，并与无障碍人行道相连。无障碍停车位或无障碍停车下客点应有明显的标志。</w:t>
      </w:r>
    </w:p>
    <w:p w14:paraId="0858506C">
      <w:pPr>
        <w:pStyle w:val="54"/>
        <w:spacing w:before="24" w:after="24"/>
      </w:pPr>
      <w:r>
        <w:t>（5）年人使用的室外活动场地应符合下列规定:</w:t>
      </w:r>
    </w:p>
    <w:p w14:paraId="3F11E7EC">
      <w:pPr>
        <w:pStyle w:val="54"/>
        <w:spacing w:before="24" w:after="24"/>
      </w:pPr>
      <w:r>
        <w:t>1）有满足老年人室外休闲、健身、娱乐等活动的设施和场地条件；</w:t>
      </w:r>
    </w:p>
    <w:p w14:paraId="2CFB146A">
      <w:pPr>
        <w:pStyle w:val="54"/>
        <w:spacing w:before="24" w:after="24"/>
      </w:pPr>
      <w:r>
        <w:t>2）置应避免与车辆交通空间交叉，且应保证能获得日照，宜选择在向阳、避风处；</w:t>
      </w:r>
    </w:p>
    <w:p w14:paraId="374AEB85">
      <w:pPr>
        <w:pStyle w:val="54"/>
        <w:spacing w:before="24" w:after="24"/>
      </w:pPr>
      <w:r>
        <w:t>3）地面应平整防滑、排水畅通，当有坡度时，坡度不应大于2.5%。</w:t>
      </w:r>
    </w:p>
    <w:p w14:paraId="503A0BF5">
      <w:pPr>
        <w:pStyle w:val="54"/>
        <w:spacing w:before="24" w:after="24"/>
      </w:pPr>
      <w:r>
        <w:t>1.4消防救援大队</w:t>
      </w:r>
    </w:p>
    <w:p w14:paraId="5DE98A26">
      <w:pPr>
        <w:pStyle w:val="54"/>
        <w:numPr>
          <w:ilvl w:val="0"/>
          <w:numId w:val="4"/>
        </w:numPr>
        <w:spacing w:before="24" w:after="24"/>
      </w:pPr>
      <w:r>
        <w:t>消防站车库门直接临街的!应朝向城市道路，且应后退道路红线不小于15m；</w:t>
      </w:r>
    </w:p>
    <w:p w14:paraId="6365ACF8">
      <w:pPr>
        <w:pStyle w:val="54"/>
        <w:numPr>
          <w:ilvl w:val="0"/>
          <w:numId w:val="4"/>
        </w:numPr>
        <w:spacing w:before="24" w:after="24"/>
      </w:pPr>
      <w:r>
        <w:t>消防车出警通道不应为上坡；</w:t>
      </w:r>
    </w:p>
    <w:p w14:paraId="4EA985C7">
      <w:pPr>
        <w:pStyle w:val="54"/>
        <w:numPr>
          <w:ilvl w:val="0"/>
          <w:numId w:val="4"/>
        </w:numPr>
        <w:spacing w:before="24" w:after="24"/>
      </w:pPr>
      <w:r>
        <w:t>消防车主出入口处的城市道路两侧宜设置可控交通信号灯、标志标线或隔离设施等，30m以内的路段应设置禁止停车标志；</w:t>
      </w:r>
    </w:p>
    <w:p w14:paraId="587DFB68">
      <w:pPr>
        <w:pStyle w:val="54"/>
        <w:numPr>
          <w:ilvl w:val="0"/>
          <w:numId w:val="4"/>
        </w:numPr>
        <w:spacing w:before="24" w:after="24"/>
      </w:pPr>
      <w:r>
        <w:t>消防站备勤室不应设在3层或3层以上。</w:t>
      </w:r>
    </w:p>
    <w:p w14:paraId="7422B5FF">
      <w:pPr>
        <w:pStyle w:val="54"/>
        <w:spacing w:before="24" w:after="24"/>
      </w:pPr>
      <w:r>
        <w:t>2.交通组织</w:t>
      </w:r>
    </w:p>
    <w:p w14:paraId="72ACE315">
      <w:pPr>
        <w:pStyle w:val="54"/>
        <w:spacing w:before="24" w:after="24"/>
      </w:pPr>
      <w:r>
        <w:t>（1）交通组织设计要考虑场地与周边市政规划道路及管线标高等连接问题。</w:t>
      </w:r>
    </w:p>
    <w:p w14:paraId="6D9088BF">
      <w:pPr>
        <w:pStyle w:val="54"/>
        <w:spacing w:before="24" w:after="24"/>
      </w:pPr>
      <w:r>
        <w:t>（2）建设项目内需分别设置车行道与人行道，通过合理的路网布局实现人车分流或人车共存。</w:t>
      </w:r>
    </w:p>
    <w:p w14:paraId="5CDB0BC9">
      <w:pPr>
        <w:pStyle w:val="54"/>
        <w:spacing w:before="24" w:after="24"/>
      </w:pPr>
      <w:r>
        <w:t>（3）交通流线应确保各类车辆（机动车、非机动车）和行人的流线清晰、顺畅，避免交叉干扰和拥堵。</w:t>
      </w:r>
    </w:p>
    <w:p w14:paraId="5A5FF65C">
      <w:pPr>
        <w:pStyle w:val="54"/>
        <w:spacing w:before="24" w:after="24"/>
      </w:pPr>
      <w:r>
        <w:t>（4）机动车道宽度及转弯半径在满足消防救援要求的同时还应减少线路不必要的交叉，在建设项目和配套商业、配套用房之间，需设计多条符合规范的支路与主干道相连。建筑场地内道路转弯处需按规范要求不得设置影响驾驶员视距的建构筑物。</w:t>
      </w:r>
    </w:p>
    <w:p w14:paraId="2E7B072E">
      <w:pPr>
        <w:pStyle w:val="54"/>
        <w:spacing w:before="24" w:after="24"/>
      </w:pPr>
      <w:r>
        <w:t>（5）出入口设计，本项目出入口与周边市政道路连接处需有适当高差，保证本项目道路略高于市政道路，进入本项目道路适当放坡以确保本项目地面排水通畅，不出现淹积水。</w:t>
      </w:r>
    </w:p>
    <w:p w14:paraId="40CF4ECC">
      <w:pPr>
        <w:pStyle w:val="54"/>
        <w:spacing w:before="24" w:after="24"/>
      </w:pPr>
      <w:r>
        <w:t>（6）场地内部道路必须与城市道路合理衔接，并满足城市规划提出的退线、开口等要求。</w:t>
      </w:r>
    </w:p>
    <w:p w14:paraId="6C0EAED7">
      <w:pPr>
        <w:pStyle w:val="54"/>
        <w:spacing w:before="24" w:after="24"/>
      </w:pPr>
      <w:r>
        <w:t>（7）在规划动态交通（行驶）的同时，必须同步解决静态交通（停车）问题，停车位数量需满足设计规范要求及地方规定。</w:t>
      </w:r>
    </w:p>
    <w:tbl>
      <w:tblPr>
        <w:tblStyle w:val="31"/>
        <w:tblW w:w="94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1490"/>
        <w:gridCol w:w="3470"/>
        <w:gridCol w:w="2013"/>
        <w:gridCol w:w="1688"/>
      </w:tblGrid>
      <w:tr w14:paraId="2DC4C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blHeader/>
          <w:jc w:val="center"/>
        </w:trPr>
        <w:tc>
          <w:tcPr>
            <w:tcW w:w="9475" w:type="dxa"/>
            <w:gridSpan w:val="5"/>
            <w:vAlign w:val="center"/>
          </w:tcPr>
          <w:p w14:paraId="0A5659EE">
            <w:pPr>
              <w:pStyle w:val="71"/>
              <w:spacing w:before="24" w:after="24"/>
            </w:pPr>
            <w:r>
              <w:rPr>
                <w:rFonts w:hint="eastAsia"/>
              </w:rPr>
              <w:t>建设项目配建停车标准一览表</w:t>
            </w:r>
          </w:p>
        </w:tc>
      </w:tr>
      <w:tr w14:paraId="1B8F8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blHeader/>
          <w:jc w:val="center"/>
        </w:trPr>
        <w:tc>
          <w:tcPr>
            <w:tcW w:w="814" w:type="dxa"/>
            <w:vAlign w:val="center"/>
          </w:tcPr>
          <w:p w14:paraId="7044D982">
            <w:pPr>
              <w:pStyle w:val="71"/>
              <w:spacing w:before="24" w:after="24"/>
            </w:pPr>
            <w:r>
              <w:rPr>
                <w:rFonts w:hint="eastAsia"/>
              </w:rPr>
              <w:t>序号</w:t>
            </w:r>
          </w:p>
        </w:tc>
        <w:tc>
          <w:tcPr>
            <w:tcW w:w="4960" w:type="dxa"/>
            <w:gridSpan w:val="2"/>
            <w:vAlign w:val="center"/>
          </w:tcPr>
          <w:p w14:paraId="1C594DE2">
            <w:pPr>
              <w:pStyle w:val="71"/>
              <w:spacing w:before="24" w:after="24"/>
            </w:pPr>
            <w:r>
              <w:rPr>
                <w:rFonts w:hint="eastAsia"/>
              </w:rPr>
              <w:t>建设项目类别</w:t>
            </w:r>
          </w:p>
        </w:tc>
        <w:tc>
          <w:tcPr>
            <w:tcW w:w="2013" w:type="dxa"/>
            <w:vAlign w:val="center"/>
          </w:tcPr>
          <w:p w14:paraId="290DA21B">
            <w:pPr>
              <w:pStyle w:val="71"/>
              <w:spacing w:before="24" w:after="24"/>
            </w:pPr>
            <w:r>
              <w:rPr>
                <w:rFonts w:hint="eastAsia"/>
              </w:rPr>
              <w:t>单位</w:t>
            </w:r>
          </w:p>
        </w:tc>
        <w:tc>
          <w:tcPr>
            <w:tcW w:w="1688" w:type="dxa"/>
            <w:vAlign w:val="center"/>
          </w:tcPr>
          <w:p w14:paraId="0B10B8D5">
            <w:pPr>
              <w:pStyle w:val="71"/>
              <w:spacing w:before="24" w:after="24"/>
            </w:pPr>
            <w:r>
              <w:rPr>
                <w:rFonts w:hint="eastAsia"/>
              </w:rPr>
              <w:t>配建指标</w:t>
            </w:r>
          </w:p>
        </w:tc>
      </w:tr>
      <w:tr w14:paraId="2B2DF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814" w:type="dxa"/>
            <w:vAlign w:val="center"/>
          </w:tcPr>
          <w:p w14:paraId="6B4AF028">
            <w:pPr>
              <w:pStyle w:val="71"/>
              <w:spacing w:before="24" w:after="24"/>
            </w:pPr>
            <w:r>
              <w:rPr>
                <w:rFonts w:hint="eastAsia"/>
              </w:rPr>
              <w:t>1</w:t>
            </w:r>
          </w:p>
        </w:tc>
        <w:tc>
          <w:tcPr>
            <w:tcW w:w="1490" w:type="dxa"/>
            <w:vAlign w:val="center"/>
          </w:tcPr>
          <w:p w14:paraId="34EC2764">
            <w:pPr>
              <w:pStyle w:val="71"/>
              <w:spacing w:before="24" w:after="24"/>
            </w:pPr>
            <w:r>
              <w:rPr>
                <w:rFonts w:hint="eastAsia"/>
              </w:rPr>
              <w:t>办公类</w:t>
            </w:r>
          </w:p>
        </w:tc>
        <w:tc>
          <w:tcPr>
            <w:tcW w:w="3470" w:type="dxa"/>
            <w:vAlign w:val="center"/>
          </w:tcPr>
          <w:p w14:paraId="62B000B7">
            <w:pPr>
              <w:pStyle w:val="71"/>
              <w:spacing w:before="24" w:after="24"/>
            </w:pPr>
            <w:r>
              <w:rPr>
                <w:rFonts w:hint="eastAsia"/>
              </w:rPr>
              <w:t>行政办公、其它办公</w:t>
            </w:r>
          </w:p>
        </w:tc>
        <w:tc>
          <w:tcPr>
            <w:tcW w:w="2013" w:type="dxa"/>
            <w:vAlign w:val="center"/>
          </w:tcPr>
          <w:p w14:paraId="15186112">
            <w:pPr>
              <w:pStyle w:val="71"/>
              <w:spacing w:before="24" w:after="24"/>
            </w:pPr>
            <w:r>
              <w:rPr>
                <w:rFonts w:hint="eastAsia"/>
              </w:rPr>
              <w:t>车位/100㎡</w:t>
            </w:r>
          </w:p>
        </w:tc>
        <w:tc>
          <w:tcPr>
            <w:tcW w:w="1688" w:type="dxa"/>
            <w:vAlign w:val="center"/>
          </w:tcPr>
          <w:p w14:paraId="6350BB4A">
            <w:pPr>
              <w:pStyle w:val="71"/>
              <w:spacing w:before="24" w:after="24"/>
            </w:pPr>
            <w:r>
              <w:rPr>
                <w:rFonts w:hint="eastAsia"/>
              </w:rPr>
              <w:t>1</w:t>
            </w:r>
          </w:p>
        </w:tc>
      </w:tr>
      <w:tr w14:paraId="75F90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814" w:type="dxa"/>
            <w:vAlign w:val="center"/>
          </w:tcPr>
          <w:p w14:paraId="1D988397">
            <w:pPr>
              <w:pStyle w:val="71"/>
              <w:spacing w:before="24" w:after="24"/>
            </w:pPr>
            <w:r>
              <w:rPr>
                <w:rFonts w:hint="eastAsia"/>
              </w:rPr>
              <w:t>2</w:t>
            </w:r>
          </w:p>
        </w:tc>
        <w:tc>
          <w:tcPr>
            <w:tcW w:w="1490" w:type="dxa"/>
            <w:vAlign w:val="center"/>
          </w:tcPr>
          <w:p w14:paraId="7EFD0C5F">
            <w:pPr>
              <w:pStyle w:val="71"/>
              <w:spacing w:before="24" w:after="24"/>
            </w:pPr>
            <w:r>
              <w:rPr>
                <w:rFonts w:hint="eastAsia"/>
              </w:rPr>
              <w:t>教育类</w:t>
            </w:r>
          </w:p>
        </w:tc>
        <w:tc>
          <w:tcPr>
            <w:tcW w:w="3470" w:type="dxa"/>
            <w:vAlign w:val="center"/>
          </w:tcPr>
          <w:p w14:paraId="4CD09485">
            <w:pPr>
              <w:pStyle w:val="71"/>
              <w:spacing w:before="24" w:after="24"/>
            </w:pPr>
            <w:r>
              <w:rPr>
                <w:rFonts w:hint="eastAsia"/>
              </w:rPr>
              <w:t>中学</w:t>
            </w:r>
          </w:p>
        </w:tc>
        <w:tc>
          <w:tcPr>
            <w:tcW w:w="2013" w:type="dxa"/>
            <w:vAlign w:val="center"/>
          </w:tcPr>
          <w:p w14:paraId="78DE7D77">
            <w:pPr>
              <w:pStyle w:val="71"/>
              <w:spacing w:before="24" w:after="24"/>
            </w:pPr>
            <w:r>
              <w:rPr>
                <w:rFonts w:hint="eastAsia"/>
              </w:rPr>
              <w:t>车位/百学生</w:t>
            </w:r>
          </w:p>
        </w:tc>
        <w:tc>
          <w:tcPr>
            <w:tcW w:w="1688" w:type="dxa"/>
            <w:vAlign w:val="center"/>
          </w:tcPr>
          <w:p w14:paraId="0A80458E">
            <w:pPr>
              <w:pStyle w:val="71"/>
              <w:spacing w:before="24" w:after="24"/>
            </w:pPr>
            <w:r>
              <w:rPr>
                <w:rFonts w:hint="eastAsia"/>
              </w:rPr>
              <w:t>1.5</w:t>
            </w:r>
          </w:p>
        </w:tc>
      </w:tr>
    </w:tbl>
    <w:p w14:paraId="6E959061">
      <w:pPr>
        <w:pStyle w:val="54"/>
        <w:spacing w:before="24" w:after="24"/>
      </w:pPr>
      <w:r>
        <w:t>3.绿化景观</w:t>
      </w:r>
    </w:p>
    <w:p w14:paraId="7AD0C2F5">
      <w:pPr>
        <w:pStyle w:val="54"/>
        <w:spacing w:before="24" w:after="24"/>
      </w:pPr>
      <w:r>
        <w:rPr>
          <w:rFonts w:hint="eastAsia"/>
        </w:rPr>
        <w:t>（1）在绿化种植配置上，应根据当地气候特点，配置体现品种多样化，色彩协调并具有层次感的绿化景观效果，树种选择以当地树种为主，需使用树体整洁，无飞絮、毒毛、臭味等对环境无污染的树种。</w:t>
      </w:r>
    </w:p>
    <w:p w14:paraId="35D43C99">
      <w:pPr>
        <w:pStyle w:val="54"/>
        <w:spacing w:before="24" w:after="24"/>
      </w:pPr>
      <w:r>
        <w:rPr>
          <w:rFonts w:hint="eastAsia"/>
        </w:rPr>
        <w:t>（2）建筑绿化区域的设计，需满足建设项目规划指标中绿地率的规定。</w:t>
      </w:r>
    </w:p>
    <w:p w14:paraId="2A257C58">
      <w:pPr>
        <w:pStyle w:val="54"/>
        <w:spacing w:before="24" w:after="24"/>
      </w:pPr>
      <w:r>
        <w:rPr>
          <w:rFonts w:hint="eastAsia"/>
        </w:rPr>
        <w:t>（3）在车道转弯处不应设置影响驾驶员视线的大型乔木，在消防扑救面不得种植影响消防扑救的乔木、路灯杆等。</w:t>
      </w:r>
    </w:p>
    <w:p w14:paraId="7B200FBC">
      <w:pPr>
        <w:pStyle w:val="54"/>
        <w:spacing w:before="24" w:after="24"/>
      </w:pPr>
      <w:r>
        <w:rPr>
          <w:rFonts w:hint="eastAsia"/>
        </w:rPr>
        <w:t>（4）景观地形设计应利于场地排水，避免积水。绿地标高宜低于周边道路或硬质铺装，便于雨水汇入。</w:t>
      </w:r>
    </w:p>
    <w:p w14:paraId="1808A259">
      <w:pPr>
        <w:pStyle w:val="54"/>
        <w:spacing w:before="24" w:after="24"/>
      </w:pPr>
      <w:r>
        <w:rPr>
          <w:rFonts w:hint="eastAsia"/>
        </w:rPr>
        <w:t>（5）绿化景观设计需结合海绵城市设计，在控制成本的前提下，通过艺术化的设计手法，创造具有识别性和美感的景观环境。</w:t>
      </w:r>
    </w:p>
    <w:p w14:paraId="1E48FE56">
      <w:pPr>
        <w:pStyle w:val="54"/>
        <w:spacing w:before="24" w:after="24"/>
      </w:pPr>
      <w:r>
        <w:rPr>
          <w:rFonts w:hint="eastAsia"/>
        </w:rPr>
        <w:t>（6）绿化景观设计中，需规划景观照明系统，满足功能照明和景观塑造需求，并避免光污染。</w:t>
      </w:r>
    </w:p>
    <w:p w14:paraId="7151E016">
      <w:pPr>
        <w:pStyle w:val="54"/>
        <w:spacing w:before="24" w:after="24"/>
      </w:pPr>
      <w:r>
        <w:t>4.工程构造</w:t>
      </w:r>
    </w:p>
    <w:p w14:paraId="6D0EAAB2">
      <w:pPr>
        <w:pStyle w:val="54"/>
        <w:spacing w:before="24" w:after="24"/>
      </w:pPr>
      <w:r>
        <w:t>（1）室外工程内容包括但不限于室外花池、散水、排水沟、道路、踏步、无障碍坡道、护栏等。</w:t>
      </w:r>
    </w:p>
    <w:p w14:paraId="66B74E7F">
      <w:pPr>
        <w:pStyle w:val="54"/>
        <w:spacing w:before="24" w:after="24"/>
      </w:pPr>
      <w:r>
        <w:t>（2）构造做法应结合实际情况参照《西南地区标准图集》、《工程做法23J909》等最新版图集选用。</w:t>
      </w:r>
    </w:p>
    <w:p w14:paraId="214B4444">
      <w:pPr>
        <w:pStyle w:val="54"/>
        <w:spacing w:before="24" w:after="24"/>
      </w:pPr>
      <w:r>
        <w:t>5.边坡防护</w:t>
      </w:r>
    </w:p>
    <w:p w14:paraId="5F86AE48">
      <w:pPr>
        <w:pStyle w:val="54"/>
        <w:spacing w:before="24" w:after="24"/>
      </w:pPr>
      <w:r>
        <w:t>（1）填方边坡：H≤4.0m边坡采用土工网垫加植草防护；4.0m＜H≤15m，边坡采用拱形骨架内土工网垫加植草防护，并设置平台截水沟、急流槽、护脚墙及排水沟。其他坡高按个别设计施工。</w:t>
      </w:r>
    </w:p>
    <w:p w14:paraId="4CD8E83B">
      <w:pPr>
        <w:pStyle w:val="54"/>
        <w:spacing w:before="24" w:after="24"/>
      </w:pPr>
      <w:r>
        <w:t>（2）挖方边坡：H≤4.0m一般路段，边坡采用土工网垫加植草防护；4.0m＜H≤10m，边坡采用骨架内植草防护和框格梁内植草护坡相结合的防护形式，并设置坡顶截水沟、平台截水沟、急流槽。其他坡高按个别设计施工。</w:t>
      </w:r>
    </w:p>
    <w:p w14:paraId="385204BD">
      <w:pPr>
        <w:pStyle w:val="54"/>
        <w:spacing w:before="24" w:after="24"/>
      </w:pPr>
      <w:r>
        <w:t>6.场地平整附属工程设计</w:t>
      </w:r>
    </w:p>
    <w:p w14:paraId="3D8C9051">
      <w:pPr>
        <w:pStyle w:val="54"/>
        <w:spacing w:before="24" w:after="24"/>
      </w:pPr>
      <w:r>
        <w:t>（1）种植场地平整</w:t>
      </w:r>
    </w:p>
    <w:p w14:paraId="54893C1B">
      <w:pPr>
        <w:pStyle w:val="54"/>
        <w:spacing w:before="24" w:after="24"/>
      </w:pPr>
      <w:r>
        <w:t>1）表土剥离：对场地内表土进行清理，厚度根据乔灌木地被种植深度确定，清理后进行种植土回填。</w:t>
      </w:r>
    </w:p>
    <w:p w14:paraId="2FD3B8FE">
      <w:pPr>
        <w:pStyle w:val="54"/>
        <w:spacing w:before="24" w:after="24"/>
      </w:pPr>
      <w:r>
        <w:t>2）种植场地应按设计坡度要求平整地面，同时清除碎石及杂草杂物。</w:t>
      </w:r>
    </w:p>
    <w:p w14:paraId="686CB24D">
      <w:pPr>
        <w:pStyle w:val="54"/>
        <w:spacing w:before="24" w:after="24"/>
      </w:pPr>
      <w:r>
        <w:t>3）绿地采取下凹式绿地的形式，绿地四周低于广场、道路边缘5—10cm，中间以龟背地形为主。</w:t>
      </w:r>
    </w:p>
    <w:p w14:paraId="2D011F7F">
      <w:pPr>
        <w:pStyle w:val="54"/>
        <w:spacing w:before="24" w:after="24"/>
      </w:pPr>
      <w:r>
        <w:t>4）种植土回填完成后的标高与路基设计图标高的误差控制在+10cm以内（回填土应考虑沉降高度），宜高不宜低；</w:t>
      </w:r>
    </w:p>
    <w:p w14:paraId="1F2217B7">
      <w:pPr>
        <w:pStyle w:val="54"/>
        <w:spacing w:before="24" w:after="24"/>
      </w:pPr>
      <w:r>
        <w:t>5）换填种植土厚度超过600mm时，应进行夯实处理，防止沉降。</w:t>
      </w:r>
    </w:p>
    <w:p w14:paraId="79F49361">
      <w:pPr>
        <w:pStyle w:val="54"/>
        <w:spacing w:before="24" w:after="24"/>
      </w:pPr>
      <w:r>
        <w:t>（2）场地排水工程设计</w:t>
      </w:r>
    </w:p>
    <w:p w14:paraId="36C6F084">
      <w:pPr>
        <w:pStyle w:val="54"/>
        <w:spacing w:before="24" w:after="24"/>
      </w:pPr>
      <w:r>
        <w:t>1）边坡</w:t>
      </w:r>
    </w:p>
    <w:p w14:paraId="0905D099">
      <w:pPr>
        <w:pStyle w:val="54"/>
        <w:spacing w:before="24" w:after="24"/>
      </w:pPr>
      <w:r>
        <w:t>场坪边缘填方路基坡脚设置排水沟，引入自然沟渠，段落长度可根据现场情况而定。挖方段坡脚设置排水边沟，引入自然沟渠。</w:t>
      </w:r>
    </w:p>
    <w:p w14:paraId="3F202C7D">
      <w:pPr>
        <w:pStyle w:val="54"/>
        <w:spacing w:before="24" w:after="24"/>
      </w:pPr>
      <w:r>
        <w:t>2）绿化</w:t>
      </w:r>
    </w:p>
    <w:p w14:paraId="50578602">
      <w:pPr>
        <w:pStyle w:val="54"/>
        <w:spacing w:before="24" w:after="24"/>
      </w:pPr>
      <w:r>
        <w:t>a、种植场地应按设计坡度要求平整地面，同时清除碎石及杂草杂物。</w:t>
      </w:r>
    </w:p>
    <w:p w14:paraId="48BCE952">
      <w:pPr>
        <w:pStyle w:val="54"/>
        <w:spacing w:before="24" w:after="24"/>
      </w:pPr>
      <w:r>
        <w:t>b、地形处理除满足景观要求外，还应考虑将地面水最终汇集至排水管排走。</w:t>
      </w:r>
    </w:p>
    <w:p w14:paraId="124FCC87">
      <w:pPr>
        <w:pStyle w:val="54"/>
        <w:spacing w:before="24" w:after="24"/>
      </w:pPr>
      <w:r>
        <w:t>c、种植土回填完成后的标高与路基、建筑设计图标高的误差控制在+10cm以内（回填土应考虑沉降高度），宜高不宜低。</w:t>
      </w:r>
    </w:p>
    <w:p w14:paraId="1A661370">
      <w:pPr>
        <w:pStyle w:val="66"/>
        <w:rPr>
          <w:rFonts w:cs="Times New Roman"/>
        </w:rPr>
      </w:pPr>
      <w:r>
        <w:rPr>
          <w:rFonts w:cs="Times New Roman"/>
        </w:rPr>
        <w:t>2.2 建筑单体</w:t>
      </w:r>
    </w:p>
    <w:p w14:paraId="59047299">
      <w:pPr>
        <w:pStyle w:val="54"/>
        <w:spacing w:before="24" w:after="24"/>
      </w:pPr>
      <w:r>
        <w:t>1.建筑单体施工图设计原则</w:t>
      </w:r>
    </w:p>
    <w:p w14:paraId="1AAD394B">
      <w:pPr>
        <w:pStyle w:val="54"/>
        <w:spacing w:before="24" w:after="24"/>
      </w:pPr>
      <w:r>
        <w:t>（1）规范性原则</w:t>
      </w:r>
    </w:p>
    <w:p w14:paraId="027BA055">
      <w:pPr>
        <w:pStyle w:val="54"/>
        <w:spacing w:before="24" w:after="24"/>
      </w:pPr>
      <w:r>
        <w:t>建筑单体施工图设计应严格执行《房屋建筑制图统一标准》、《建筑设计防火规范》等各类国家及地方规范，尤其是强制性条文。确保建筑施工图设计符合各类规范相关规定。</w:t>
      </w:r>
    </w:p>
    <w:p w14:paraId="5BC28530">
      <w:pPr>
        <w:pStyle w:val="54"/>
        <w:spacing w:before="24" w:after="24"/>
      </w:pPr>
      <w:r>
        <w:t>（2）功能性原则</w:t>
      </w:r>
    </w:p>
    <w:p w14:paraId="507C7800">
      <w:pPr>
        <w:pStyle w:val="54"/>
        <w:spacing w:before="24" w:after="24"/>
      </w:pPr>
      <w:r>
        <w:t>建筑单体施工图设计应充分考虑建筑的使用功能，以满足使用者的需求。在设计过程中，要充分考虑建筑的空间布局、功能分区、流线组织等因素，确保建筑的功能划分满足使用要求。</w:t>
      </w:r>
    </w:p>
    <w:p w14:paraId="5214889E">
      <w:pPr>
        <w:pStyle w:val="54"/>
        <w:spacing w:before="24" w:after="24"/>
      </w:pPr>
      <w:r>
        <w:t>（3）完整性原则</w:t>
      </w:r>
    </w:p>
    <w:p w14:paraId="78C9EF76">
      <w:pPr>
        <w:pStyle w:val="54"/>
        <w:spacing w:before="24" w:after="24"/>
      </w:pPr>
      <w:r>
        <w:t>建筑单体施工图设计图纸应齐全。图纸内容包括：图纸目录、设计总说明、工程做法表、节能专篇、总平面图、各层平面图、立面图、剖面图、大样详图、门窗表等。图纸内容需表达完整，例如：平面图需标注完整的轴网、尺寸、标高、门窗编号、房间名称、剖切符号、详图索引等。</w:t>
      </w:r>
    </w:p>
    <w:p w14:paraId="75F46871">
      <w:pPr>
        <w:pStyle w:val="54"/>
        <w:spacing w:before="24" w:after="24"/>
      </w:pPr>
      <w:r>
        <w:t>（4）一致性原则</w:t>
      </w:r>
    </w:p>
    <w:p w14:paraId="3C57AA84">
      <w:pPr>
        <w:pStyle w:val="54"/>
        <w:spacing w:before="24" w:after="24"/>
      </w:pPr>
      <w:r>
        <w:t>建筑单体施工图设计中，平面、立面、剖面、详图之间表达的构造、尺寸、标高必须完全对应，不能产生矛盾。图纸内容（如节能做法、防火构造）必须与相关的计算书结果一致。各专业图纸需保持一致性。</w:t>
      </w:r>
    </w:p>
    <w:p w14:paraId="0A356059">
      <w:pPr>
        <w:pStyle w:val="54"/>
        <w:spacing w:before="24" w:after="24"/>
      </w:pPr>
      <w:r>
        <w:t>（5）深度适宜原则</w:t>
      </w:r>
    </w:p>
    <w:p w14:paraId="3CBDFA5E">
      <w:pPr>
        <w:pStyle w:val="54"/>
        <w:spacing w:before="24" w:after="24"/>
      </w:pPr>
      <w:r>
        <w:t>建筑单体施工图深度必须满足《建筑工程设计文件编制深度规定》的要求，能够为编制施工预算、安排材料、设备订货、非标准设备制作和施工安装提供直接依据。 对复杂节点（如檐口、卫生间、门窗洞口、变形缝等）、室内外装修、防火构造等关键部位，必须用大样图明确表达，深度足够。</w:t>
      </w:r>
    </w:p>
    <w:p w14:paraId="5F3ABF4A">
      <w:pPr>
        <w:pStyle w:val="62"/>
        <w:rPr>
          <w:highlight w:val="yellow"/>
        </w:rPr>
      </w:pPr>
      <w:bookmarkStart w:id="86" w:name="_Toc221894119"/>
      <w:r>
        <w:t>（二）设计标准和规范</w:t>
      </w:r>
      <w:bookmarkEnd w:id="86"/>
    </w:p>
    <w:p w14:paraId="6BC95D3C">
      <w:pPr>
        <w:pStyle w:val="54"/>
        <w:spacing w:before="24" w:after="24"/>
      </w:pPr>
      <w:r>
        <w:t>承包人在设计和施工环节，必须严格执行工程建设强制性标准：现行国家、地方、行业、专业相关标准、规范、规定。包括但不限于：</w:t>
      </w:r>
    </w:p>
    <w:p w14:paraId="270AC175">
      <w:pPr>
        <w:pStyle w:val="64"/>
        <w:spacing w:before="24" w:after="24"/>
        <w:rPr>
          <w:rFonts w:cs="Times New Roman"/>
        </w:rPr>
      </w:pPr>
      <w:bookmarkStart w:id="87" w:name="_Toc221894120"/>
      <w:r>
        <w:rPr>
          <w:rFonts w:cs="Times New Roman"/>
        </w:rPr>
        <w:t>1、建筑</w:t>
      </w:r>
      <w:bookmarkEnd w:id="87"/>
    </w:p>
    <w:p w14:paraId="62AC6651">
      <w:pPr>
        <w:pStyle w:val="54"/>
        <w:spacing w:before="24" w:after="24"/>
      </w:pPr>
      <w:r>
        <w:t>《建筑设计防火规范》GB50016-2014（2018版）</w:t>
      </w:r>
    </w:p>
    <w:p w14:paraId="0ADE0FD7">
      <w:pPr>
        <w:pStyle w:val="54"/>
        <w:spacing w:before="24" w:after="24"/>
      </w:pPr>
      <w:r>
        <w:t>《民用建筑设计统一标准》GB50352－2019</w:t>
      </w:r>
    </w:p>
    <w:p w14:paraId="0412597D">
      <w:pPr>
        <w:pStyle w:val="54"/>
        <w:spacing w:before="24" w:after="24"/>
      </w:pPr>
      <w:r>
        <w:t>《工程建设标准强制性条文》（2013年版）</w:t>
      </w:r>
    </w:p>
    <w:p w14:paraId="4EFFD498">
      <w:pPr>
        <w:pStyle w:val="54"/>
        <w:spacing w:before="24" w:after="24"/>
      </w:pPr>
      <w:r>
        <w:t>《建筑节能与可再生能源利用通用规范》GB55015-2021</w:t>
      </w:r>
    </w:p>
    <w:p w14:paraId="478BB04C">
      <w:pPr>
        <w:pStyle w:val="54"/>
        <w:spacing w:before="24" w:after="24"/>
      </w:pPr>
      <w:r>
        <w:t>《建筑内部装修设计防火规范》GB50222-2017</w:t>
      </w:r>
    </w:p>
    <w:p w14:paraId="54F72EB9">
      <w:pPr>
        <w:pStyle w:val="54"/>
        <w:spacing w:before="24" w:after="24"/>
      </w:pPr>
      <w:r>
        <w:t>《建筑环境通用规范》GB55016-2021</w:t>
      </w:r>
    </w:p>
    <w:p w14:paraId="29C84441">
      <w:pPr>
        <w:pStyle w:val="54"/>
        <w:spacing w:before="24" w:after="24"/>
      </w:pPr>
      <w:r>
        <w:t>《住宅设计规范》GB50096-2011</w:t>
      </w:r>
    </w:p>
    <w:p w14:paraId="02EF2B50">
      <w:pPr>
        <w:pStyle w:val="54"/>
        <w:spacing w:before="24" w:after="24"/>
      </w:pPr>
      <w:r>
        <w:t>《住宅项目规范》GB55038-2025</w:t>
      </w:r>
    </w:p>
    <w:p w14:paraId="2C5D4A4B">
      <w:pPr>
        <w:pStyle w:val="54"/>
        <w:spacing w:before="24" w:after="24"/>
      </w:pPr>
      <w:r>
        <w:t xml:space="preserve">《办公建筑设计标准》JGJ／T 67-2019 </w:t>
      </w:r>
    </w:p>
    <w:p w14:paraId="11F7FBDD">
      <w:pPr>
        <w:pStyle w:val="54"/>
        <w:spacing w:before="24" w:after="24"/>
      </w:pPr>
      <w:r>
        <w:t>《建筑与市政工程无障碍通用规范》GB55019-2021</w:t>
      </w:r>
    </w:p>
    <w:p w14:paraId="718604E1">
      <w:pPr>
        <w:pStyle w:val="54"/>
        <w:spacing w:before="24" w:after="24"/>
      </w:pPr>
      <w:r>
        <w:t>《建筑与市政工程防水通用规范》GB55030-2022</w:t>
      </w:r>
    </w:p>
    <w:p w14:paraId="3D762366">
      <w:pPr>
        <w:pStyle w:val="54"/>
        <w:spacing w:before="24" w:after="24"/>
      </w:pPr>
      <w:r>
        <w:t>《建筑地面设计规范》GB50037-2013</w:t>
      </w:r>
    </w:p>
    <w:p w14:paraId="7838DD0A">
      <w:pPr>
        <w:pStyle w:val="54"/>
        <w:spacing w:before="24" w:after="24"/>
      </w:pPr>
      <w:r>
        <w:t>《民用建筑通用规范》GB55031-2022</w:t>
      </w:r>
    </w:p>
    <w:p w14:paraId="3884B26F">
      <w:pPr>
        <w:pStyle w:val="54"/>
        <w:spacing w:before="24" w:after="24"/>
      </w:pPr>
      <w:r>
        <w:t>《建筑防火通用规范》GB55037-2022</w:t>
      </w:r>
    </w:p>
    <w:p w14:paraId="55BE1215">
      <w:pPr>
        <w:pStyle w:val="54"/>
        <w:spacing w:before="24" w:after="24"/>
      </w:pPr>
      <w:r>
        <w:t>《中小学校设计规范》GB50099-2011</w:t>
      </w:r>
    </w:p>
    <w:p w14:paraId="77C88D96">
      <w:pPr>
        <w:pStyle w:val="54"/>
        <w:spacing w:before="24" w:after="24"/>
      </w:pPr>
      <w:r>
        <w:t>《住宅室内防水工程技术规范》JGJ298-2013</w:t>
      </w:r>
    </w:p>
    <w:p w14:paraId="63ECAB27">
      <w:pPr>
        <w:pStyle w:val="54"/>
        <w:spacing w:before="24" w:after="24"/>
      </w:pPr>
      <w:r>
        <w:t>《民用建筑工程室内环境污染控制标准》GB50325-2020</w:t>
      </w:r>
    </w:p>
    <w:p w14:paraId="096ED428">
      <w:pPr>
        <w:pStyle w:val="54"/>
        <w:spacing w:before="24" w:after="24"/>
      </w:pPr>
      <w:r>
        <w:t>《无障碍设计规范》GB50763-2012</w:t>
      </w:r>
    </w:p>
    <w:p w14:paraId="7BCDC5F7">
      <w:pPr>
        <w:pStyle w:val="54"/>
        <w:spacing w:before="24" w:after="24"/>
      </w:pPr>
      <w:r>
        <w:t>《地下工程防水技术规范》GB50108-2008</w:t>
      </w:r>
    </w:p>
    <w:p w14:paraId="203080DB">
      <w:pPr>
        <w:pStyle w:val="54"/>
        <w:spacing w:before="24" w:after="24"/>
      </w:pPr>
      <w:r>
        <w:t>《车库建筑设计规范》JGJ100-2015</w:t>
      </w:r>
    </w:p>
    <w:p w14:paraId="7FCC093A">
      <w:pPr>
        <w:pStyle w:val="54"/>
        <w:spacing w:before="24" w:after="24"/>
      </w:pPr>
      <w:r>
        <w:t>《汽车库、修车库、停车场设计防火规范》GB50067-2014</w:t>
      </w:r>
    </w:p>
    <w:p w14:paraId="518AF4B3">
      <w:pPr>
        <w:pStyle w:val="54"/>
        <w:spacing w:before="24" w:after="24"/>
      </w:pPr>
      <w:r>
        <w:t>《人民防空地下室设计规范》GB50038-2005（2023修订版）</w:t>
      </w:r>
    </w:p>
    <w:p w14:paraId="5ADA4FF7">
      <w:pPr>
        <w:pStyle w:val="54"/>
        <w:spacing w:before="24" w:after="24"/>
      </w:pPr>
      <w:r>
        <w:t>《人民防空工程设计防火规范》GB50098-2009</w:t>
      </w:r>
    </w:p>
    <w:p w14:paraId="043AA7E0">
      <w:pPr>
        <w:pStyle w:val="54"/>
        <w:spacing w:before="24" w:after="24"/>
      </w:pPr>
      <w:r>
        <w:t>《建筑外墙防水工程技术规程》JGJ/T235-2011</w:t>
      </w:r>
    </w:p>
    <w:p w14:paraId="5946FA7D">
      <w:pPr>
        <w:pStyle w:val="54"/>
        <w:spacing w:before="24" w:after="24"/>
      </w:pPr>
      <w:r>
        <w:t>《建筑玻璃应用技术规程》JGJ113-2015</w:t>
      </w:r>
    </w:p>
    <w:p w14:paraId="13047D82">
      <w:pPr>
        <w:pStyle w:val="54"/>
        <w:spacing w:before="24" w:after="24"/>
      </w:pPr>
      <w:r>
        <w:t>《老年人照料设施建筑设计标准》JGJ450-2018</w:t>
      </w:r>
    </w:p>
    <w:p w14:paraId="2E4F8D83">
      <w:pPr>
        <w:pStyle w:val="54"/>
        <w:spacing w:before="24" w:after="24"/>
      </w:pPr>
      <w:r>
        <w:t>《养老设施建筑设计规范》GB 50867-2013</w:t>
      </w:r>
    </w:p>
    <w:p w14:paraId="3CF4B7A7">
      <w:pPr>
        <w:pStyle w:val="54"/>
        <w:spacing w:before="24" w:after="24"/>
      </w:pPr>
      <w:r>
        <w:t>《城市消防站建设标准》建标152-2017</w:t>
      </w:r>
    </w:p>
    <w:p w14:paraId="13364C13">
      <w:pPr>
        <w:pStyle w:val="54"/>
        <w:spacing w:before="24" w:after="24"/>
      </w:pPr>
      <w:r>
        <w:t>《城市消防站建设规范》GB51054-2014</w:t>
      </w:r>
    </w:p>
    <w:p w14:paraId="2511368B">
      <w:pPr>
        <w:pStyle w:val="54"/>
        <w:spacing w:before="24" w:after="24"/>
      </w:pPr>
      <w:r>
        <w:t xml:space="preserve">《博物馆建筑设计规范》JGJ66-2015 </w:t>
      </w:r>
    </w:p>
    <w:p w14:paraId="20662A78">
      <w:pPr>
        <w:pStyle w:val="54"/>
        <w:spacing w:before="24" w:after="24"/>
      </w:pPr>
      <w:r>
        <w:t xml:space="preserve">《文化馆建筑设计规范》JGJ／T41-2014 </w:t>
      </w:r>
    </w:p>
    <w:p w14:paraId="0A780B5F">
      <w:pPr>
        <w:pStyle w:val="54"/>
        <w:spacing w:before="24" w:after="24"/>
      </w:pPr>
      <w:r>
        <w:t xml:space="preserve">《档案馆建筑设计规范》JGJ25-2010 </w:t>
      </w:r>
    </w:p>
    <w:p w14:paraId="3A5903D1">
      <w:pPr>
        <w:pStyle w:val="54"/>
        <w:spacing w:before="24" w:after="24"/>
      </w:pPr>
      <w:r>
        <w:t>《档案馆建设标准》建标103-2008</w:t>
      </w:r>
    </w:p>
    <w:p w14:paraId="03F44DA2">
      <w:pPr>
        <w:pStyle w:val="54"/>
        <w:spacing w:before="24" w:after="24"/>
      </w:pPr>
      <w:r>
        <w:t xml:space="preserve">《粮油储藏技术规范》GB/T29890-2013 </w:t>
      </w:r>
    </w:p>
    <w:p w14:paraId="4E52F81F">
      <w:pPr>
        <w:pStyle w:val="54"/>
        <w:spacing w:before="24" w:after="24"/>
      </w:pPr>
      <w:r>
        <w:t xml:space="preserve">《粮食仓库建设标准》建标172-2016 </w:t>
      </w:r>
    </w:p>
    <w:p w14:paraId="6005A6E9">
      <w:pPr>
        <w:pStyle w:val="54"/>
        <w:spacing w:before="24" w:after="24"/>
      </w:pPr>
      <w:r>
        <w:t xml:space="preserve">《粮食平房仓设计规范》GB50320-2001 </w:t>
      </w:r>
    </w:p>
    <w:p w14:paraId="53E116D4">
      <w:pPr>
        <w:pStyle w:val="54"/>
        <w:spacing w:before="24" w:after="24"/>
      </w:pPr>
      <w:r>
        <w:t xml:space="preserve">《救灾物资储备库建设标准》建标121-2009 </w:t>
      </w:r>
    </w:p>
    <w:p w14:paraId="7D35A937">
      <w:pPr>
        <w:pStyle w:val="54"/>
        <w:spacing w:before="24" w:after="24"/>
      </w:pPr>
      <w:r>
        <w:t xml:space="preserve">《检验检测实验室设计与建设技术要求》GB/T32146.1-2015 </w:t>
      </w:r>
    </w:p>
    <w:p w14:paraId="0EA999E5">
      <w:pPr>
        <w:pStyle w:val="54"/>
        <w:spacing w:before="24" w:after="24"/>
      </w:pPr>
      <w:r>
        <w:t>《云南省民用建筑节能设计标准》DBJ53/T-39-2020</w:t>
      </w:r>
    </w:p>
    <w:p w14:paraId="1B81A3DC">
      <w:pPr>
        <w:pStyle w:val="54"/>
        <w:spacing w:before="24" w:after="24"/>
      </w:pPr>
      <w:r>
        <w:t>《建筑地面工程防滑技术规程》JGJ/T331-2014</w:t>
      </w:r>
    </w:p>
    <w:p w14:paraId="5777F534">
      <w:pPr>
        <w:pStyle w:val="54"/>
        <w:spacing w:before="24" w:after="24"/>
      </w:pPr>
      <w:r>
        <w:t>《屋面工程技术规范》GB50345-2012</w:t>
      </w:r>
    </w:p>
    <w:p w14:paraId="3006B444">
      <w:pPr>
        <w:pStyle w:val="54"/>
        <w:spacing w:before="24" w:after="24"/>
      </w:pPr>
      <w:r>
        <w:t>《倒置式屋面工程技术规程》JGJ230-2010</w:t>
      </w:r>
    </w:p>
    <w:p w14:paraId="0C3E6F85">
      <w:pPr>
        <w:pStyle w:val="54"/>
        <w:spacing w:before="24" w:after="24"/>
      </w:pPr>
      <w:r>
        <w:t>《云南省装配式建筑评价标准》DBJ53/T-96-2018</w:t>
      </w:r>
    </w:p>
    <w:p w14:paraId="5248FA7C">
      <w:pPr>
        <w:pStyle w:val="54"/>
        <w:spacing w:before="24" w:after="24"/>
      </w:pPr>
      <w:r>
        <w:t>《云南省建设工程消防技术导则》建筑篇（2025年版）</w:t>
      </w:r>
    </w:p>
    <w:p w14:paraId="54BE5797">
      <w:pPr>
        <w:pStyle w:val="64"/>
        <w:spacing w:before="24" w:after="24"/>
        <w:rPr>
          <w:rFonts w:cs="Times New Roman"/>
        </w:rPr>
      </w:pPr>
      <w:bookmarkStart w:id="88" w:name="_Toc221894121"/>
      <w:r>
        <w:rPr>
          <w:rFonts w:cs="Times New Roman"/>
        </w:rPr>
        <w:t>2、结构</w:t>
      </w:r>
      <w:bookmarkEnd w:id="88"/>
    </w:p>
    <w:p w14:paraId="25330EF4">
      <w:pPr>
        <w:pStyle w:val="54"/>
        <w:spacing w:before="24" w:after="24"/>
      </w:pPr>
      <w:r>
        <w:t>《工程结构通用规范》GB55001-2021</w:t>
      </w:r>
    </w:p>
    <w:p w14:paraId="32D16AFA">
      <w:pPr>
        <w:pStyle w:val="54"/>
        <w:spacing w:before="24" w:after="24"/>
      </w:pPr>
      <w:r>
        <w:t>《建筑与市政工程抗震通用规范》GB55002-2021</w:t>
      </w:r>
    </w:p>
    <w:p w14:paraId="2701C579">
      <w:pPr>
        <w:pStyle w:val="54"/>
        <w:spacing w:before="24" w:after="24"/>
      </w:pPr>
      <w:r>
        <w:t>《建筑与市政地基基础通用规范》GB55003-2021</w:t>
      </w:r>
    </w:p>
    <w:p w14:paraId="0A0185D5">
      <w:pPr>
        <w:pStyle w:val="54"/>
        <w:spacing w:before="24" w:after="24"/>
      </w:pPr>
      <w:r>
        <w:t>《砌体结构通用规范》GB55007-2021</w:t>
      </w:r>
    </w:p>
    <w:p w14:paraId="7777EBCE">
      <w:pPr>
        <w:pStyle w:val="54"/>
        <w:spacing w:before="24" w:after="24"/>
      </w:pPr>
      <w:r>
        <w:t>《混凝土结构通用规范》GB55008-2021</w:t>
      </w:r>
    </w:p>
    <w:p w14:paraId="4E9E3D37">
      <w:pPr>
        <w:pStyle w:val="54"/>
        <w:spacing w:before="24" w:after="24"/>
      </w:pPr>
      <w:r>
        <w:t>《既有建筑鉴定与加固通用规范》GB55021-2021</w:t>
      </w:r>
    </w:p>
    <w:p w14:paraId="279F38BB">
      <w:pPr>
        <w:pStyle w:val="54"/>
        <w:spacing w:before="24" w:after="24"/>
      </w:pPr>
      <w:r>
        <w:t>《建筑结构荷载规范》GB50009-2012</w:t>
      </w:r>
    </w:p>
    <w:p w14:paraId="225017EE">
      <w:pPr>
        <w:pStyle w:val="54"/>
        <w:spacing w:before="24" w:after="24"/>
      </w:pPr>
      <w:r>
        <w:t>《建筑结构可靠性设计统一标准》GB50068-2018</w:t>
      </w:r>
    </w:p>
    <w:p w14:paraId="75B2CF90">
      <w:pPr>
        <w:pStyle w:val="54"/>
        <w:spacing w:before="24" w:after="24"/>
      </w:pPr>
      <w:r>
        <w:t>《建筑工程抗震设防分类标准》GB50223-2008</w:t>
      </w:r>
    </w:p>
    <w:p w14:paraId="67D1B9CD">
      <w:pPr>
        <w:pStyle w:val="54"/>
        <w:spacing w:before="24" w:after="24"/>
      </w:pPr>
      <w:r>
        <w:t>《混凝土结构设计标准》GB/T50010-2010（2024年版）</w:t>
      </w:r>
    </w:p>
    <w:p w14:paraId="73D1DC4A">
      <w:pPr>
        <w:pStyle w:val="54"/>
        <w:spacing w:before="24" w:after="24"/>
      </w:pPr>
      <w:r>
        <w:t>《建筑抗震设计标准》GB50011-2010（2024年版）</w:t>
      </w:r>
    </w:p>
    <w:p w14:paraId="54FCF586">
      <w:pPr>
        <w:pStyle w:val="54"/>
        <w:spacing w:before="24" w:after="24"/>
      </w:pPr>
      <w:r>
        <w:t>《高层建筑混凝土结构技术规程》JGJ3-2010</w:t>
      </w:r>
    </w:p>
    <w:p w14:paraId="0763EC3A">
      <w:pPr>
        <w:pStyle w:val="54"/>
        <w:spacing w:before="24" w:after="24"/>
      </w:pPr>
      <w:r>
        <w:t>《钢结构设计标准》GB50017-2017</w:t>
      </w:r>
    </w:p>
    <w:p w14:paraId="1F6A18AE">
      <w:pPr>
        <w:pStyle w:val="54"/>
        <w:spacing w:before="24" w:after="24"/>
      </w:pPr>
      <w:r>
        <w:t>《砌体结构设计规范》GB50003-2011</w:t>
      </w:r>
    </w:p>
    <w:p w14:paraId="44419A1C">
      <w:pPr>
        <w:pStyle w:val="54"/>
        <w:spacing w:before="24" w:after="24"/>
      </w:pPr>
      <w:r>
        <w:t>《建筑地基基础设计规范》GB50007-2011</w:t>
      </w:r>
    </w:p>
    <w:p w14:paraId="23C20847">
      <w:pPr>
        <w:pStyle w:val="54"/>
        <w:spacing w:before="24" w:after="24"/>
      </w:pPr>
      <w:r>
        <w:t>《建筑桩基技术规范》JGJ94-2008</w:t>
      </w:r>
    </w:p>
    <w:p w14:paraId="65C4590B">
      <w:pPr>
        <w:pStyle w:val="54"/>
        <w:spacing w:before="24" w:after="24"/>
      </w:pPr>
      <w:r>
        <w:t>《建筑地基处理技术规范》JGJ79-2012</w:t>
      </w:r>
    </w:p>
    <w:p w14:paraId="3898DF40">
      <w:pPr>
        <w:pStyle w:val="54"/>
        <w:spacing w:before="24" w:after="24"/>
      </w:pPr>
      <w:r>
        <w:t>《混凝土结构耐久性设计标准》GB/T50476-2019</w:t>
      </w:r>
    </w:p>
    <w:p w14:paraId="5BB97570">
      <w:pPr>
        <w:pStyle w:val="54"/>
        <w:spacing w:before="24" w:after="24"/>
      </w:pPr>
      <w:r>
        <w:t>《工业建筑防腐蚀设计标准》GB/T50046-2018</w:t>
      </w:r>
    </w:p>
    <w:p w14:paraId="74DB25B2">
      <w:pPr>
        <w:pStyle w:val="54"/>
        <w:spacing w:before="24" w:after="24"/>
      </w:pPr>
      <w:r>
        <w:t>《混凝土结构加固设计规范》GB50367-2013</w:t>
      </w:r>
    </w:p>
    <w:p w14:paraId="16421FF8">
      <w:pPr>
        <w:pStyle w:val="54"/>
        <w:spacing w:before="24" w:after="24"/>
      </w:pPr>
      <w:r>
        <w:t>《门式刚架轻型房屋钢结构技术规范》GB51022-2015</w:t>
      </w:r>
    </w:p>
    <w:p w14:paraId="01D11BC7">
      <w:pPr>
        <w:pStyle w:val="54"/>
        <w:spacing w:before="24" w:after="24"/>
      </w:pPr>
      <w:r>
        <w:t>《冷弯薄壁型钢结构技术规范》GB50018-2002</w:t>
      </w:r>
    </w:p>
    <w:p w14:paraId="4E235AFD">
      <w:pPr>
        <w:pStyle w:val="54"/>
        <w:spacing w:before="24" w:after="24"/>
      </w:pPr>
      <w:r>
        <w:t>《钢结构焊接规范》GB50661-2011</w:t>
      </w:r>
    </w:p>
    <w:p w14:paraId="3D667082">
      <w:pPr>
        <w:pStyle w:val="54"/>
        <w:spacing w:before="24" w:after="24"/>
      </w:pPr>
      <w:r>
        <w:t>《钢结构高强度螺栓连接技术规程》JGJ82-2011</w:t>
      </w:r>
    </w:p>
    <w:p w14:paraId="1DF6F87B">
      <w:pPr>
        <w:pStyle w:val="54"/>
        <w:spacing w:before="24" w:after="24"/>
      </w:pPr>
      <w:r>
        <w:t>《建筑工程施工质量验收统一标准》GB50300-2013</w:t>
      </w:r>
    </w:p>
    <w:p w14:paraId="26A74494">
      <w:pPr>
        <w:pStyle w:val="54"/>
        <w:spacing w:before="24" w:after="24"/>
      </w:pPr>
      <w:r>
        <w:t>《建筑地基基础工程施工质量验收标准》GB50202-2018</w:t>
      </w:r>
    </w:p>
    <w:p w14:paraId="79FE9696">
      <w:pPr>
        <w:pStyle w:val="54"/>
        <w:spacing w:before="24" w:after="24"/>
      </w:pPr>
      <w:r>
        <w:t>《混凝土结构工程施工质量验收规范》GB50204-2015</w:t>
      </w:r>
    </w:p>
    <w:p w14:paraId="36E3FADE">
      <w:pPr>
        <w:pStyle w:val="54"/>
        <w:spacing w:before="24" w:after="24"/>
      </w:pPr>
      <w:r>
        <w:t>《钢结构工程施工质量验收标准》GB50205-2020</w:t>
      </w:r>
    </w:p>
    <w:p w14:paraId="631BF295">
      <w:pPr>
        <w:pStyle w:val="54"/>
        <w:spacing w:before="24" w:after="24"/>
      </w:pPr>
      <w:r>
        <w:t>《砌体结构工程施工质量验收规范》GB50203-2011</w:t>
      </w:r>
    </w:p>
    <w:p w14:paraId="42363976">
      <w:pPr>
        <w:pStyle w:val="54"/>
        <w:spacing w:before="24" w:after="24"/>
      </w:pPr>
      <w:r>
        <w:t>《建筑抗震鉴定标准》GB50023-2009</w:t>
      </w:r>
    </w:p>
    <w:p w14:paraId="35473CF5">
      <w:pPr>
        <w:pStyle w:val="54"/>
        <w:spacing w:before="24" w:after="24"/>
      </w:pPr>
      <w:r>
        <w:t>《建筑工程设计文件编制深度规定》（2016年版）</w:t>
      </w:r>
    </w:p>
    <w:p w14:paraId="08FA5BB9">
      <w:pPr>
        <w:pStyle w:val="54"/>
        <w:spacing w:before="24" w:after="24"/>
      </w:pPr>
      <w:r>
        <w:t>《建筑基坑支护技术规程》（JGJ120-2012）</w:t>
      </w:r>
    </w:p>
    <w:p w14:paraId="079D7E16">
      <w:pPr>
        <w:pStyle w:val="54"/>
        <w:spacing w:before="24" w:after="24"/>
      </w:pPr>
      <w:r>
        <w:t>《建筑基坑支护结构构造》（11SG814）</w:t>
      </w:r>
    </w:p>
    <w:p w14:paraId="3FFAB61C">
      <w:pPr>
        <w:pStyle w:val="54"/>
        <w:spacing w:before="24" w:after="24"/>
      </w:pPr>
      <w:r>
        <w:t>《云南省建筑基坑支护技术规程》（DBJ53/T-71-2015）</w:t>
      </w:r>
    </w:p>
    <w:p w14:paraId="102918C8">
      <w:pPr>
        <w:pStyle w:val="54"/>
        <w:spacing w:before="24" w:after="24"/>
      </w:pPr>
      <w:r>
        <w:t>《建筑基坑工程监测技术标准》（GB50497—2019）</w:t>
      </w:r>
    </w:p>
    <w:p w14:paraId="13A86482">
      <w:pPr>
        <w:pStyle w:val="54"/>
        <w:spacing w:before="24" w:after="24"/>
      </w:pPr>
      <w:r>
        <w:t>《建筑深基坑工程施工安全技术规范》（JGJ311-2013）</w:t>
      </w:r>
    </w:p>
    <w:p w14:paraId="3E249D61">
      <w:pPr>
        <w:pStyle w:val="54"/>
        <w:spacing w:before="24" w:after="24"/>
      </w:pPr>
      <w:r>
        <w:t>《室外给水排水和燃气热力工程抗震设计规范》GB50032--2003</w:t>
      </w:r>
    </w:p>
    <w:p w14:paraId="1DB65706">
      <w:pPr>
        <w:pStyle w:val="54"/>
        <w:spacing w:before="24" w:after="24"/>
      </w:pPr>
      <w:r>
        <w:t>《给水排水工程构筑物结构设计规范》GB50069--2002</w:t>
      </w:r>
    </w:p>
    <w:p w14:paraId="77355146">
      <w:pPr>
        <w:pStyle w:val="54"/>
        <w:spacing w:before="24" w:after="24"/>
      </w:pPr>
      <w:r>
        <w:t>《给水排水工程管道结构设计规范》GB50332--2002</w:t>
      </w:r>
    </w:p>
    <w:p w14:paraId="537BF14D">
      <w:pPr>
        <w:pStyle w:val="54"/>
        <w:spacing w:before="24" w:after="24"/>
      </w:pPr>
      <w:r>
        <w:t>《地下工程防水技术规范》GB50108--2008</w:t>
      </w:r>
    </w:p>
    <w:p w14:paraId="54E4EF03">
      <w:pPr>
        <w:pStyle w:val="64"/>
        <w:numPr>
          <w:ilvl w:val="0"/>
          <w:numId w:val="5"/>
        </w:numPr>
        <w:spacing w:before="24" w:after="24"/>
        <w:rPr>
          <w:rFonts w:cs="Times New Roman"/>
        </w:rPr>
      </w:pPr>
      <w:bookmarkStart w:id="89" w:name="_Toc221894122"/>
      <w:r>
        <w:rPr>
          <w:rFonts w:cs="Times New Roman"/>
        </w:rPr>
        <w:t>给排水</w:t>
      </w:r>
      <w:bookmarkEnd w:id="89"/>
    </w:p>
    <w:p w14:paraId="6DB23056">
      <w:pPr>
        <w:spacing w:before="24" w:after="24"/>
        <w:ind w:firstLine="560" w:firstLineChars="200"/>
        <w:rPr>
          <w:rFonts w:ascii="Times New Roman" w:hAnsi="Times New Roman" w:cs="Times New Roman"/>
        </w:rPr>
      </w:pPr>
      <w:r>
        <w:rPr>
          <w:rFonts w:ascii="Times New Roman" w:hAnsi="Times New Roman" w:cs="Times New Roman"/>
        </w:rPr>
        <w:t>《建筑给水排水设计标准》GB50015-2019</w:t>
      </w:r>
    </w:p>
    <w:p w14:paraId="67F542CF">
      <w:pPr>
        <w:spacing w:before="24" w:after="24"/>
        <w:ind w:firstLine="560" w:firstLineChars="200"/>
        <w:rPr>
          <w:rFonts w:ascii="Times New Roman" w:hAnsi="Times New Roman" w:cs="Times New Roman"/>
        </w:rPr>
      </w:pPr>
      <w:r>
        <w:rPr>
          <w:rFonts w:ascii="Times New Roman" w:hAnsi="Times New Roman" w:cs="Times New Roman"/>
        </w:rPr>
        <w:t>《室外给水设计标准》GB50013-2018</w:t>
      </w:r>
    </w:p>
    <w:p w14:paraId="4710EADF">
      <w:pPr>
        <w:spacing w:before="24" w:after="24"/>
        <w:ind w:firstLine="560" w:firstLineChars="200"/>
        <w:rPr>
          <w:rFonts w:ascii="Times New Roman" w:hAnsi="Times New Roman" w:cs="Times New Roman"/>
        </w:rPr>
      </w:pPr>
      <w:r>
        <w:rPr>
          <w:rFonts w:ascii="Times New Roman" w:hAnsi="Times New Roman" w:cs="Times New Roman"/>
        </w:rPr>
        <w:t>《室外排水设计标准》GB50014-2021</w:t>
      </w:r>
    </w:p>
    <w:p w14:paraId="6F0F4786">
      <w:pPr>
        <w:spacing w:before="24" w:after="24"/>
        <w:ind w:firstLine="560" w:firstLineChars="200"/>
        <w:rPr>
          <w:rFonts w:ascii="Times New Roman" w:hAnsi="Times New Roman" w:cs="Times New Roman"/>
        </w:rPr>
      </w:pPr>
      <w:r>
        <w:rPr>
          <w:rFonts w:ascii="Times New Roman" w:hAnsi="Times New Roman" w:cs="Times New Roman"/>
        </w:rPr>
        <w:t>《建筑设计防火规范》（GB50016-2014）2018年版</w:t>
      </w:r>
    </w:p>
    <w:p w14:paraId="3837C9B4">
      <w:pPr>
        <w:spacing w:before="24" w:after="24"/>
        <w:ind w:firstLine="560" w:firstLineChars="200"/>
        <w:rPr>
          <w:rFonts w:ascii="Times New Roman" w:hAnsi="Times New Roman" w:cs="Times New Roman"/>
        </w:rPr>
      </w:pPr>
      <w:r>
        <w:rPr>
          <w:rFonts w:ascii="Times New Roman" w:hAnsi="Times New Roman" w:cs="Times New Roman"/>
        </w:rPr>
        <w:t>《建筑给水排水制图标准》GB/T50106-2010</w:t>
      </w:r>
    </w:p>
    <w:p w14:paraId="4F41D921">
      <w:pPr>
        <w:spacing w:before="24" w:after="24"/>
        <w:ind w:firstLine="560" w:firstLineChars="200"/>
        <w:rPr>
          <w:rFonts w:ascii="Times New Roman" w:hAnsi="Times New Roman" w:cs="Times New Roman"/>
        </w:rPr>
      </w:pPr>
      <w:r>
        <w:rPr>
          <w:rFonts w:ascii="Times New Roman" w:hAnsi="Times New Roman" w:cs="Times New Roman"/>
        </w:rPr>
        <w:t>《建筑灭火器配置设计规范》GB50140-2005</w:t>
      </w:r>
    </w:p>
    <w:p w14:paraId="2C339F8E">
      <w:pPr>
        <w:spacing w:before="24" w:after="24"/>
        <w:ind w:firstLine="560" w:firstLineChars="200"/>
        <w:rPr>
          <w:rFonts w:ascii="Times New Roman" w:hAnsi="Times New Roman" w:cs="Times New Roman"/>
        </w:rPr>
      </w:pPr>
      <w:r>
        <w:rPr>
          <w:rFonts w:ascii="Times New Roman" w:hAnsi="Times New Roman" w:cs="Times New Roman"/>
        </w:rPr>
        <w:t>《消防给水及消火栓系统技术规范》GB50974-2014</w:t>
      </w:r>
    </w:p>
    <w:p w14:paraId="537CD8E3">
      <w:pPr>
        <w:spacing w:before="24" w:after="24"/>
        <w:ind w:firstLine="560" w:firstLineChars="200"/>
        <w:rPr>
          <w:rFonts w:ascii="Times New Roman" w:hAnsi="Times New Roman" w:cs="Times New Roman"/>
        </w:rPr>
      </w:pPr>
      <w:r>
        <w:rPr>
          <w:rFonts w:ascii="Times New Roman" w:hAnsi="Times New Roman" w:cs="Times New Roman"/>
        </w:rPr>
        <w:t>《民用建筑节水设计标准》GB50555-2010</w:t>
      </w:r>
    </w:p>
    <w:p w14:paraId="77994F2F">
      <w:pPr>
        <w:spacing w:before="24" w:after="24"/>
        <w:ind w:firstLine="560" w:firstLineChars="200"/>
        <w:rPr>
          <w:rFonts w:ascii="Times New Roman" w:hAnsi="Times New Roman" w:cs="Times New Roman"/>
        </w:rPr>
      </w:pPr>
      <w:r>
        <w:rPr>
          <w:rFonts w:ascii="Times New Roman" w:hAnsi="Times New Roman" w:cs="Times New Roman"/>
        </w:rPr>
        <w:t>《生活饮用水卫生标准》GB5749-2022</w:t>
      </w:r>
    </w:p>
    <w:p w14:paraId="4F7FAC4B">
      <w:pPr>
        <w:spacing w:before="24" w:after="24"/>
        <w:ind w:firstLine="560" w:firstLineChars="200"/>
        <w:rPr>
          <w:rFonts w:ascii="Times New Roman" w:hAnsi="Times New Roman" w:cs="Times New Roman"/>
        </w:rPr>
      </w:pPr>
      <w:r>
        <w:rPr>
          <w:rFonts w:ascii="Times New Roman" w:hAnsi="Times New Roman" w:cs="Times New Roman"/>
        </w:rPr>
        <w:t>《泵站设计规范》GB50265-2010</w:t>
      </w:r>
    </w:p>
    <w:p w14:paraId="70019A93">
      <w:pPr>
        <w:spacing w:before="24" w:after="24"/>
        <w:ind w:firstLine="560" w:firstLineChars="200"/>
        <w:rPr>
          <w:rFonts w:ascii="Times New Roman" w:hAnsi="Times New Roman" w:cs="Times New Roman"/>
        </w:rPr>
      </w:pPr>
      <w:r>
        <w:rPr>
          <w:rFonts w:ascii="Times New Roman" w:hAnsi="Times New Roman" w:cs="Times New Roman"/>
        </w:rPr>
        <w:t>《建筑与小区雨水控制及利用工程技术规范》GB50400-2016</w:t>
      </w:r>
    </w:p>
    <w:p w14:paraId="0893F7BC">
      <w:pPr>
        <w:spacing w:before="24" w:after="24"/>
        <w:ind w:firstLine="560" w:firstLineChars="200"/>
        <w:rPr>
          <w:rFonts w:ascii="Times New Roman" w:hAnsi="Times New Roman" w:cs="Times New Roman"/>
        </w:rPr>
      </w:pPr>
      <w:r>
        <w:rPr>
          <w:rFonts w:ascii="Times New Roman" w:hAnsi="Times New Roman" w:cs="Times New Roman"/>
        </w:rPr>
        <w:t>《建筑与市政工程地下水控制技术规范》JGI111-2010</w:t>
      </w:r>
    </w:p>
    <w:p w14:paraId="2F93A45D">
      <w:pPr>
        <w:spacing w:before="24" w:after="24"/>
        <w:ind w:firstLine="560" w:firstLineChars="200"/>
        <w:rPr>
          <w:rFonts w:ascii="Times New Roman" w:hAnsi="Times New Roman" w:cs="Times New Roman"/>
        </w:rPr>
      </w:pPr>
      <w:r>
        <w:rPr>
          <w:rFonts w:ascii="Times New Roman" w:hAnsi="Times New Roman" w:cs="Times New Roman"/>
        </w:rPr>
        <w:t>《给水排水工程管道结构设计规范》GB50332-2002</w:t>
      </w:r>
    </w:p>
    <w:p w14:paraId="4E155F0C">
      <w:pPr>
        <w:spacing w:before="24" w:after="24"/>
        <w:ind w:firstLine="560" w:firstLineChars="200"/>
        <w:rPr>
          <w:rFonts w:ascii="Times New Roman" w:hAnsi="Times New Roman" w:cs="Times New Roman"/>
        </w:rPr>
      </w:pPr>
      <w:r>
        <w:rPr>
          <w:rFonts w:ascii="Times New Roman" w:hAnsi="Times New Roman" w:cs="Times New Roman"/>
        </w:rPr>
        <w:t>《城镇雨水调蓄工程技术规范》GB51174-2017</w:t>
      </w:r>
    </w:p>
    <w:p w14:paraId="24EC3257">
      <w:pPr>
        <w:spacing w:before="24" w:after="24"/>
        <w:ind w:firstLine="560" w:firstLineChars="200"/>
        <w:rPr>
          <w:rFonts w:ascii="Times New Roman" w:hAnsi="Times New Roman" w:cs="Times New Roman"/>
        </w:rPr>
      </w:pPr>
      <w:r>
        <w:rPr>
          <w:rFonts w:ascii="Times New Roman" w:hAnsi="Times New Roman" w:cs="Times New Roman"/>
        </w:rPr>
        <w:t>《城镇污水再生利用工程设计规范》GB50335-2016</w:t>
      </w:r>
    </w:p>
    <w:p w14:paraId="14540B6D">
      <w:pPr>
        <w:spacing w:before="24" w:after="24"/>
        <w:ind w:firstLine="560" w:firstLineChars="200"/>
        <w:rPr>
          <w:rFonts w:ascii="Times New Roman" w:hAnsi="Times New Roman" w:cs="Times New Roman"/>
        </w:rPr>
      </w:pPr>
      <w:r>
        <w:rPr>
          <w:rFonts w:ascii="Times New Roman" w:hAnsi="Times New Roman" w:cs="Times New Roman"/>
        </w:rPr>
        <w:t>《市政公用工程设计文件编制深度规定》（2025年版）</w:t>
      </w:r>
    </w:p>
    <w:p w14:paraId="77470393">
      <w:pPr>
        <w:spacing w:before="24" w:after="24"/>
        <w:ind w:firstLine="560" w:firstLineChars="200"/>
        <w:rPr>
          <w:rFonts w:ascii="Times New Roman" w:hAnsi="Times New Roman" w:cs="Times New Roman"/>
        </w:rPr>
      </w:pPr>
      <w:r>
        <w:rPr>
          <w:rFonts w:ascii="Times New Roman" w:hAnsi="Times New Roman" w:cs="Times New Roman"/>
        </w:rPr>
        <w:t>《城市排水工程规划规范》GB50318-2017</w:t>
      </w:r>
    </w:p>
    <w:p w14:paraId="7A611A55">
      <w:pPr>
        <w:spacing w:before="24" w:after="24"/>
        <w:ind w:firstLine="560" w:firstLineChars="200"/>
        <w:rPr>
          <w:rFonts w:ascii="Times New Roman" w:hAnsi="Times New Roman" w:cs="Times New Roman"/>
        </w:rPr>
      </w:pPr>
      <w:r>
        <w:rPr>
          <w:rFonts w:ascii="Times New Roman" w:hAnsi="Times New Roman" w:cs="Times New Roman"/>
        </w:rPr>
        <w:t>《城镇供水长距离输水管（渠）道工程技术规程》CECS193：2005</w:t>
      </w:r>
    </w:p>
    <w:p w14:paraId="7A3C1980">
      <w:pPr>
        <w:spacing w:before="24" w:after="24"/>
        <w:ind w:firstLine="560" w:firstLineChars="200"/>
        <w:rPr>
          <w:rFonts w:ascii="Times New Roman" w:hAnsi="Times New Roman" w:cs="Times New Roman"/>
        </w:rPr>
      </w:pPr>
      <w:r>
        <w:rPr>
          <w:rFonts w:ascii="Times New Roman" w:hAnsi="Times New Roman" w:cs="Times New Roman"/>
        </w:rPr>
        <w:t>《检查井盖》GB T23858-2009</w:t>
      </w:r>
    </w:p>
    <w:p w14:paraId="6EAB2F9E">
      <w:pPr>
        <w:spacing w:before="24" w:after="24"/>
        <w:ind w:firstLine="560" w:firstLineChars="200"/>
        <w:rPr>
          <w:rFonts w:ascii="Times New Roman" w:hAnsi="Times New Roman" w:cs="Times New Roman"/>
        </w:rPr>
      </w:pPr>
      <w:r>
        <w:rPr>
          <w:rFonts w:ascii="Times New Roman" w:hAnsi="Times New Roman" w:cs="Times New Roman"/>
        </w:rPr>
        <w:t>《建筑给水排水及采暖工程施工质量验收规范》GB50242-2002</w:t>
      </w:r>
    </w:p>
    <w:p w14:paraId="384EC4CC">
      <w:pPr>
        <w:spacing w:before="24" w:after="24"/>
        <w:ind w:firstLine="560" w:firstLineChars="200"/>
        <w:rPr>
          <w:rFonts w:ascii="Times New Roman" w:hAnsi="Times New Roman" w:cs="Times New Roman"/>
        </w:rPr>
      </w:pPr>
      <w:r>
        <w:rPr>
          <w:rFonts w:ascii="Times New Roman" w:hAnsi="Times New Roman" w:cs="Times New Roman"/>
        </w:rPr>
        <w:t>《给水排水管道工程施工及验收规范》GB50268-2008</w:t>
      </w:r>
    </w:p>
    <w:p w14:paraId="40E09E73">
      <w:pPr>
        <w:spacing w:before="24" w:after="24"/>
        <w:ind w:firstLine="560" w:firstLineChars="200"/>
        <w:rPr>
          <w:rFonts w:ascii="Times New Roman" w:hAnsi="Times New Roman" w:cs="Times New Roman"/>
        </w:rPr>
      </w:pPr>
      <w:r>
        <w:rPr>
          <w:rFonts w:ascii="Times New Roman" w:hAnsi="Times New Roman" w:cs="Times New Roman"/>
        </w:rPr>
        <w:t>《民用建筑设计统一标准》GB50352-2019</w:t>
      </w:r>
    </w:p>
    <w:p w14:paraId="042B818A">
      <w:pPr>
        <w:spacing w:before="24" w:after="24"/>
        <w:ind w:firstLine="560" w:firstLineChars="200"/>
        <w:rPr>
          <w:rFonts w:ascii="Times New Roman" w:hAnsi="Times New Roman" w:cs="Times New Roman"/>
        </w:rPr>
      </w:pPr>
      <w:r>
        <w:rPr>
          <w:rFonts w:ascii="Times New Roman" w:hAnsi="Times New Roman" w:cs="Times New Roman"/>
        </w:rPr>
        <w:t>《城市给水工程项目规范》GB55026-2022</w:t>
      </w:r>
    </w:p>
    <w:p w14:paraId="141543DB">
      <w:pPr>
        <w:spacing w:before="24" w:after="24"/>
        <w:ind w:firstLine="560" w:firstLineChars="200"/>
        <w:rPr>
          <w:rFonts w:ascii="Times New Roman" w:hAnsi="Times New Roman" w:cs="Times New Roman"/>
        </w:rPr>
      </w:pPr>
      <w:r>
        <w:rPr>
          <w:rFonts w:ascii="Times New Roman" w:hAnsi="Times New Roman" w:cs="Times New Roman"/>
        </w:rPr>
        <w:t>《建筑屋面雨水排水系统技术规程》CJJ142-2014</w:t>
      </w:r>
    </w:p>
    <w:p w14:paraId="0ED8EF4B">
      <w:pPr>
        <w:spacing w:before="24" w:after="24"/>
        <w:ind w:firstLine="560" w:firstLineChars="200"/>
        <w:rPr>
          <w:rFonts w:ascii="Times New Roman" w:hAnsi="Times New Roman" w:cs="Times New Roman"/>
        </w:rPr>
      </w:pPr>
      <w:r>
        <w:rPr>
          <w:rFonts w:ascii="Times New Roman" w:hAnsi="Times New Roman" w:cs="Times New Roman"/>
        </w:rPr>
        <w:t>《建筑排水塑料管道工程技术规程》（CJJ/T29-2010）</w:t>
      </w:r>
    </w:p>
    <w:p w14:paraId="3360D5B5">
      <w:pPr>
        <w:spacing w:before="24" w:after="24"/>
        <w:ind w:firstLine="560" w:firstLineChars="200"/>
        <w:rPr>
          <w:rFonts w:ascii="Times New Roman" w:hAnsi="Times New Roman" w:cs="Times New Roman"/>
        </w:rPr>
      </w:pPr>
      <w:r>
        <w:rPr>
          <w:rFonts w:ascii="Times New Roman" w:hAnsi="Times New Roman" w:cs="Times New Roman"/>
        </w:rPr>
        <w:t>《建筑给水硬聚氯乙烯管道工程技术规程》（CECS41:2004）</w:t>
      </w:r>
    </w:p>
    <w:p w14:paraId="24F342D8">
      <w:pPr>
        <w:spacing w:before="24" w:after="24"/>
        <w:ind w:firstLine="560" w:firstLineChars="200"/>
        <w:rPr>
          <w:rFonts w:ascii="Times New Roman" w:hAnsi="Times New Roman" w:cs="Times New Roman"/>
        </w:rPr>
      </w:pPr>
      <w:r>
        <w:rPr>
          <w:rFonts w:ascii="Times New Roman" w:hAnsi="Times New Roman" w:cs="Times New Roman"/>
        </w:rPr>
        <w:t>《建筑机电工程抗震设计规范》GB50981-2014</w:t>
      </w:r>
    </w:p>
    <w:p w14:paraId="235813E4">
      <w:pPr>
        <w:spacing w:before="24" w:after="24"/>
        <w:ind w:firstLine="560" w:firstLineChars="200"/>
        <w:rPr>
          <w:rFonts w:ascii="Times New Roman" w:hAnsi="Times New Roman" w:cs="Times New Roman"/>
        </w:rPr>
      </w:pPr>
      <w:r>
        <w:rPr>
          <w:rFonts w:ascii="Times New Roman" w:hAnsi="Times New Roman" w:cs="Times New Roman"/>
        </w:rPr>
        <w:t>《建筑与市政工程抗震通用规范》GB55002-2021</w:t>
      </w:r>
    </w:p>
    <w:p w14:paraId="04FFC6E2">
      <w:pPr>
        <w:spacing w:before="24" w:after="24"/>
        <w:ind w:firstLine="560" w:firstLineChars="200"/>
        <w:rPr>
          <w:rFonts w:ascii="Times New Roman" w:hAnsi="Times New Roman" w:cs="Times New Roman"/>
        </w:rPr>
      </w:pPr>
      <w:r>
        <w:rPr>
          <w:rFonts w:ascii="Times New Roman" w:hAnsi="Times New Roman" w:cs="Times New Roman"/>
        </w:rPr>
        <w:t>《自动喷水灭火系统设计规范》GB50084-2017</w:t>
      </w:r>
    </w:p>
    <w:p w14:paraId="637D704A">
      <w:pPr>
        <w:spacing w:before="24" w:after="24"/>
        <w:ind w:firstLine="560" w:firstLineChars="200"/>
        <w:rPr>
          <w:rFonts w:ascii="Times New Roman" w:hAnsi="Times New Roman" w:cs="Times New Roman"/>
        </w:rPr>
      </w:pPr>
      <w:r>
        <w:rPr>
          <w:rFonts w:ascii="Times New Roman" w:hAnsi="Times New Roman" w:cs="Times New Roman"/>
        </w:rPr>
        <w:t>《消防设施通用规范》GB55036-2022</w:t>
      </w:r>
    </w:p>
    <w:p w14:paraId="5E49BCD2">
      <w:pPr>
        <w:spacing w:before="24" w:after="24"/>
        <w:ind w:firstLine="560" w:firstLineChars="200"/>
        <w:rPr>
          <w:rFonts w:ascii="Times New Roman" w:hAnsi="Times New Roman" w:cs="Times New Roman"/>
        </w:rPr>
      </w:pPr>
      <w:r>
        <w:rPr>
          <w:rFonts w:ascii="Times New Roman" w:hAnsi="Times New Roman" w:cs="Times New Roman"/>
        </w:rPr>
        <w:t>《建筑节能与可再生能源利用通用规范》GB55015-2021</w:t>
      </w:r>
    </w:p>
    <w:p w14:paraId="4DDD9A62">
      <w:pPr>
        <w:spacing w:before="24" w:after="24"/>
        <w:ind w:firstLine="560" w:firstLineChars="200"/>
        <w:rPr>
          <w:rFonts w:ascii="Times New Roman" w:hAnsi="Times New Roman" w:cs="Times New Roman"/>
        </w:rPr>
      </w:pPr>
      <w:r>
        <w:rPr>
          <w:rFonts w:ascii="Times New Roman" w:hAnsi="Times New Roman" w:cs="Times New Roman"/>
        </w:rPr>
        <w:t>《建筑给水排水与节水通用规范》GB55020-2021</w:t>
      </w:r>
    </w:p>
    <w:p w14:paraId="49787020">
      <w:pPr>
        <w:spacing w:before="24" w:after="24"/>
        <w:ind w:firstLine="560" w:firstLineChars="200"/>
        <w:rPr>
          <w:rFonts w:ascii="Times New Roman" w:hAnsi="Times New Roman" w:cs="Times New Roman"/>
        </w:rPr>
      </w:pPr>
      <w:r>
        <w:rPr>
          <w:rFonts w:ascii="Times New Roman" w:hAnsi="Times New Roman" w:cs="Times New Roman"/>
        </w:rPr>
        <w:t>《建筑防火通用规范》GB55037-2022</w:t>
      </w:r>
    </w:p>
    <w:p w14:paraId="2C726341">
      <w:pPr>
        <w:spacing w:before="24" w:after="24"/>
        <w:ind w:firstLine="560" w:firstLineChars="200"/>
        <w:rPr>
          <w:rFonts w:ascii="Times New Roman" w:hAnsi="Times New Roman" w:cs="Times New Roman"/>
        </w:rPr>
      </w:pPr>
      <w:r>
        <w:rPr>
          <w:rFonts w:ascii="Times New Roman" w:hAnsi="Times New Roman" w:cs="Times New Roman"/>
        </w:rPr>
        <w:t>《云南省建设工程消防技术导则》建筑篇（2025年版）</w:t>
      </w:r>
    </w:p>
    <w:p w14:paraId="3B56701B">
      <w:pPr>
        <w:spacing w:before="24" w:after="24"/>
        <w:ind w:firstLine="560" w:firstLineChars="200"/>
        <w:rPr>
          <w:rFonts w:ascii="Times New Roman" w:hAnsi="Times New Roman" w:cs="Times New Roman"/>
        </w:rPr>
      </w:pPr>
      <w:r>
        <w:rPr>
          <w:rFonts w:ascii="Times New Roman" w:hAnsi="Times New Roman" w:cs="Times New Roman"/>
        </w:rPr>
        <w:t>《博物馆建筑设计规范》JGJ66-2015</w:t>
      </w:r>
    </w:p>
    <w:p w14:paraId="7E179E30">
      <w:pPr>
        <w:spacing w:before="24" w:after="24"/>
        <w:ind w:firstLine="560" w:firstLineChars="200"/>
        <w:rPr>
          <w:rFonts w:ascii="Times New Roman" w:hAnsi="Times New Roman" w:cs="Times New Roman"/>
        </w:rPr>
      </w:pPr>
      <w:r>
        <w:rPr>
          <w:rFonts w:ascii="Times New Roman" w:hAnsi="Times New Roman" w:cs="Times New Roman"/>
        </w:rPr>
        <w:t>《文化馆建筑设计规范》JGJ／T 41-2014</w:t>
      </w:r>
    </w:p>
    <w:p w14:paraId="6B1C843B">
      <w:pPr>
        <w:spacing w:before="24" w:after="24"/>
        <w:ind w:firstLine="560" w:firstLineChars="200"/>
        <w:rPr>
          <w:rFonts w:ascii="Times New Roman" w:hAnsi="Times New Roman" w:cs="Times New Roman"/>
        </w:rPr>
      </w:pPr>
      <w:r>
        <w:rPr>
          <w:rFonts w:ascii="Times New Roman" w:hAnsi="Times New Roman" w:cs="Times New Roman"/>
        </w:rPr>
        <w:t>《城市消防救援站设计规范》GB51054-2014</w:t>
      </w:r>
    </w:p>
    <w:p w14:paraId="4009C1BF">
      <w:pPr>
        <w:spacing w:before="24" w:after="24"/>
        <w:ind w:firstLine="560" w:firstLineChars="200"/>
        <w:rPr>
          <w:rFonts w:ascii="Times New Roman" w:hAnsi="Times New Roman" w:cs="Times New Roman"/>
        </w:rPr>
      </w:pPr>
      <w:r>
        <w:rPr>
          <w:rFonts w:ascii="Times New Roman" w:hAnsi="Times New Roman" w:cs="Times New Roman"/>
        </w:rPr>
        <w:t>《迪庆藏族自治州人民政府办公室关于印发加快推进海绵城市建设实施意见的通知》（迪政办发[2016]58号）</w:t>
      </w:r>
    </w:p>
    <w:p w14:paraId="515A8F08">
      <w:pPr>
        <w:pStyle w:val="64"/>
        <w:spacing w:before="24" w:after="24"/>
        <w:rPr>
          <w:rFonts w:cs="Times New Roman"/>
          <w:highlight w:val="yellow"/>
        </w:rPr>
      </w:pPr>
      <w:bookmarkStart w:id="90" w:name="_Toc221894123"/>
      <w:r>
        <w:rPr>
          <w:rFonts w:cs="Times New Roman"/>
        </w:rPr>
        <w:t>4、暖通</w:t>
      </w:r>
      <w:bookmarkEnd w:id="90"/>
    </w:p>
    <w:p w14:paraId="1A2E0D29">
      <w:pPr>
        <w:pStyle w:val="54"/>
        <w:spacing w:before="24" w:after="24"/>
      </w:pPr>
      <w:r>
        <w:t>《建筑设计防火规范》GB50016-2014（2018版）</w:t>
      </w:r>
    </w:p>
    <w:p w14:paraId="73BB9CE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《民用建筑供暖通风与空气调节设计规范》GB50736-2012</w:t>
      </w:r>
    </w:p>
    <w:p w14:paraId="7F7F674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《建筑防烟排烟系统技术标准》GB51251-2017</w:t>
      </w:r>
    </w:p>
    <w:p w14:paraId="55A986A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《消防设施通用规范》GB55036-2022</w:t>
      </w:r>
    </w:p>
    <w:p w14:paraId="639E89C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《建筑防火通用规范》GB55037-2022</w:t>
      </w:r>
    </w:p>
    <w:p w14:paraId="5417A4F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《建筑防火封堵应用技术标准》GB/T51410-2020</w:t>
      </w:r>
    </w:p>
    <w:p w14:paraId="2A1FF77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《建筑内部装修设计防火规范》GB50222-2017</w:t>
      </w:r>
    </w:p>
    <w:p w14:paraId="2764528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《汽车库、修车库、停车场设计防火规范》GB50067-2014</w:t>
      </w:r>
    </w:p>
    <w:p w14:paraId="4EBE48B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《气体灭火系统设计规范》GB50370-2005</w:t>
      </w:r>
    </w:p>
    <w:p w14:paraId="74F8D8F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《中小学校设计规范》GB50099-2011</w:t>
      </w:r>
    </w:p>
    <w:p w14:paraId="09A7796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《工业建筑采暖通风与空气调节设计规范》GB50019-2015</w:t>
      </w:r>
    </w:p>
    <w:p w14:paraId="78EA4FB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《生活垃圾处理处置工程项目规范》GB55012-2021</w:t>
      </w:r>
    </w:p>
    <w:p w14:paraId="5002239C">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《车库建筑设计规范》JGJ100-2015</w:t>
      </w:r>
    </w:p>
    <w:p w14:paraId="7D1CED9C">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《办公建筑设计标准》JGJ/T67-2019</w:t>
      </w:r>
    </w:p>
    <w:p w14:paraId="59D486FC">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《商店建筑设计规范》JGJ48-2014</w:t>
      </w:r>
    </w:p>
    <w:p w14:paraId="494B619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《饮食建筑设计标准》JGJ64-2017</w:t>
      </w:r>
    </w:p>
    <w:p w14:paraId="6BEAC05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《老年人照料设施建筑设计标准》JGJ 450-2018</w:t>
      </w:r>
    </w:p>
    <w:p w14:paraId="27E2443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《数据中心设计规范》GB 50174-2017</w:t>
      </w:r>
    </w:p>
    <w:p w14:paraId="2E60C8A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《博物馆建筑设计规范》JGJ66-2015</w:t>
      </w:r>
    </w:p>
    <w:p w14:paraId="51FD949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《文化馆建筑设计规范》JGJ／T 41-2014</w:t>
      </w:r>
    </w:p>
    <w:p w14:paraId="083B39DC">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《档案馆建筑设计规范》JGJ 25-2010</w:t>
      </w:r>
    </w:p>
    <w:p w14:paraId="632752D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《城市消防救援站设计规范》（GB51054-2014）</w:t>
      </w:r>
    </w:p>
    <w:p w14:paraId="76A1B22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《生活垃圾焚烧处理与能源利用工程技术标准》GB/T51452-2024</w:t>
      </w:r>
    </w:p>
    <w:p w14:paraId="343BACC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《生活垃圾焚烧污染控制标淮》GB 18485-2014</w:t>
      </w:r>
    </w:p>
    <w:p w14:paraId="705F18E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《大气污染物综合排放标准》 GB 16297-1996</w:t>
      </w:r>
    </w:p>
    <w:p w14:paraId="0B4AC63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《恶臭污染物排放标准》GB 14554-1993</w:t>
      </w:r>
    </w:p>
    <w:p w14:paraId="4EA1CD8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《工业企业设计卫生标准》 GBZ1-2010</w:t>
      </w:r>
    </w:p>
    <w:p w14:paraId="305635F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《公共建筑节能设计标准》GB50189-2015</w:t>
      </w:r>
    </w:p>
    <w:p w14:paraId="7662207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《云南省民用建筑节能设计标准》DBJ53/T-39-2020</w:t>
      </w:r>
    </w:p>
    <w:p w14:paraId="2D849B9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《工业建筑节能设计统一标准》GB51245-2017</w:t>
      </w:r>
    </w:p>
    <w:p w14:paraId="5351132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《民用建筑设计统一标准》GB50352-2019</w:t>
      </w:r>
    </w:p>
    <w:p w14:paraId="68593E5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《民用建筑热工设计规范》GB50176-2016</w:t>
      </w:r>
    </w:p>
    <w:p w14:paraId="42BAB5F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《温和地区居住建筑节能设计标准》JGJ475-2019</w:t>
      </w:r>
    </w:p>
    <w:p w14:paraId="0FE40E2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《建筑节能与可再生能源利用通用规范》GB55015-2021</w:t>
      </w:r>
    </w:p>
    <w:p w14:paraId="3AFF382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《绿色建筑评价标准》GB/T50378-2019</w:t>
      </w:r>
    </w:p>
    <w:p w14:paraId="6C19BEB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《民用建筑绿色设计规范》JGJ/T229-2010</w:t>
      </w:r>
    </w:p>
    <w:p w14:paraId="32B5E25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《云南省绿色建筑评价标准》DBJ53/T-49-2015</w:t>
      </w:r>
    </w:p>
    <w:p w14:paraId="06BA2E6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《绿色工业建筑评价标准》GBT 50878-2013</w:t>
      </w:r>
    </w:p>
    <w:p w14:paraId="2F9301B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《民用建筑隔声设计规范》GB50118-2010</w:t>
      </w:r>
    </w:p>
    <w:p w14:paraId="35B6346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《工业企业噪声控制设计规范》GB/T 50087-2013</w:t>
      </w:r>
    </w:p>
    <w:p w14:paraId="2A04581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《室内空气质量标准》GB/T18883-2022</w:t>
      </w:r>
    </w:p>
    <w:p w14:paraId="03B41E9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《环境空气质量标准》GB3095-2012</w:t>
      </w:r>
    </w:p>
    <w:p w14:paraId="300604C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《声环境质量标准》GB3096-2008</w:t>
      </w:r>
    </w:p>
    <w:p w14:paraId="71F15D0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《建筑环境通用规范》GB55016-2021</w:t>
      </w:r>
    </w:p>
    <w:p w14:paraId="538A5AC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《民用建筑通用规范》GB55031-2022</w:t>
      </w:r>
    </w:p>
    <w:p w14:paraId="7DC9C66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《民用建筑工程室内环境污染控制标准》GB50325-2020</w:t>
      </w:r>
    </w:p>
    <w:p w14:paraId="40CE5C0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《饮食业环境保护技术规范》HJ554-2020</w:t>
      </w:r>
    </w:p>
    <w:p w14:paraId="47AC578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《饮食业油烟排放标准》GB18483-2001</w:t>
      </w:r>
    </w:p>
    <w:p w14:paraId="39A67C4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《公共建筑室内空气质量控制设计标准》JGJ/T461-2019</w:t>
      </w:r>
    </w:p>
    <w:p w14:paraId="42F9BBE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《建筑机电工程抗震设计规范》GB50981-2014</w:t>
      </w:r>
    </w:p>
    <w:p w14:paraId="01A980A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《建筑与市政工程抗震通用规范》GB55002-2021</w:t>
      </w:r>
    </w:p>
    <w:p w14:paraId="5EB95F4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《云南省建设工程消防技术导则——建筑篇（2025年版）》</w:t>
      </w:r>
    </w:p>
    <w:p w14:paraId="088A2EF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《民用建筑暖通空调设计统一技术措施》（2022年版）</w:t>
      </w:r>
    </w:p>
    <w:p w14:paraId="3838BA2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《建筑工程设计文件编制深度规定》（2016年版）</w:t>
      </w:r>
    </w:p>
    <w:p w14:paraId="734A771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《云南省住房和城乡建设厅关于德钦新县城热工设计分区的批复》</w:t>
      </w:r>
    </w:p>
    <w:p w14:paraId="0AC83A3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《挡烟垂壁》XF533-2012</w:t>
      </w:r>
    </w:p>
    <w:p w14:paraId="3E6D85E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《通风与空调工程施工质量验收规范》GB50243-2016</w:t>
      </w:r>
    </w:p>
    <w:p w14:paraId="0AB5C9E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《通风与空调工程施工规范》GB50738-2011</w:t>
      </w:r>
    </w:p>
    <w:p w14:paraId="7B1063F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《建筑给水排水及采暖工程施工质量验收规范》GB50242-2002</w:t>
      </w:r>
    </w:p>
    <w:p w14:paraId="3ED8A10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《建筑与市政工程施工质量控制通用规范》 GB55032-2022</w:t>
      </w:r>
    </w:p>
    <w:p w14:paraId="17A735C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《通风管道技术规程》JGJ/T 141-2017</w:t>
      </w:r>
    </w:p>
    <w:p w14:paraId="04C70D2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《多联机空调系统工程技术规程》JGJ174-2010</w:t>
      </w:r>
    </w:p>
    <w:p w14:paraId="634F6BC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《通风管道耐火试验方法》GB/T17428-2009</w:t>
      </w:r>
    </w:p>
    <w:p w14:paraId="78E775E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《通风机能效限定值及能效等级》GB19761-2020</w:t>
      </w:r>
    </w:p>
    <w:p w14:paraId="62A233D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《建筑节能工程施工质量验收标准》GB50411-2019</w:t>
      </w:r>
    </w:p>
    <w:p w14:paraId="03ABD01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《人民防空地下室设计规范》GB50038-2005（2023年版）</w:t>
      </w:r>
    </w:p>
    <w:p w14:paraId="715AEE6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《人民防空工程防化设计规范》RFJ013-2010</w:t>
      </w:r>
    </w:p>
    <w:p w14:paraId="4878BC6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《人民防空工程设计防火规范》GB50098-2009</w:t>
      </w:r>
    </w:p>
    <w:p w14:paraId="5AE0DDA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《人民防空工程防护功能平战转换设计标准》RFJ1-98</w:t>
      </w:r>
    </w:p>
    <w:p w14:paraId="7FA399B7">
      <w:pPr>
        <w:pStyle w:val="54"/>
        <w:spacing w:before="24" w:after="24"/>
      </w:pPr>
      <w:r>
        <w:t>《云南省人民防空工程平战功能转换管理办法》</w:t>
      </w:r>
    </w:p>
    <w:p w14:paraId="424D0A13">
      <w:pPr>
        <w:pStyle w:val="64"/>
        <w:spacing w:before="24" w:after="24"/>
        <w:rPr>
          <w:rFonts w:cs="Times New Roman"/>
          <w:highlight w:val="yellow"/>
        </w:rPr>
      </w:pPr>
      <w:bookmarkStart w:id="91" w:name="_Toc221894124"/>
      <w:r>
        <w:rPr>
          <w:rFonts w:cs="Times New Roman"/>
        </w:rPr>
        <w:t>5、电气</w:t>
      </w:r>
      <w:bookmarkEnd w:id="91"/>
    </w:p>
    <w:p w14:paraId="208859D7">
      <w:pPr>
        <w:pStyle w:val="54"/>
        <w:spacing w:before="24" w:after="24"/>
      </w:pPr>
      <w:r>
        <w:t>《建筑照明设计标准》GB/T 50034-2024</w:t>
      </w:r>
    </w:p>
    <w:p w14:paraId="29EB45E7">
      <w:pPr>
        <w:pStyle w:val="54"/>
        <w:spacing w:before="24" w:after="24"/>
      </w:pPr>
      <w:r>
        <w:t>《建筑电气与智能化通用规范》GB55024-2022</w:t>
      </w:r>
    </w:p>
    <w:p w14:paraId="41E57C9E">
      <w:pPr>
        <w:pStyle w:val="54"/>
        <w:spacing w:before="24" w:after="24"/>
      </w:pPr>
      <w:r>
        <w:t>《安全防范工程通用规范》GB55029-2022</w:t>
      </w:r>
    </w:p>
    <w:p w14:paraId="1BEAA11A">
      <w:pPr>
        <w:pStyle w:val="54"/>
        <w:spacing w:before="24" w:after="24"/>
      </w:pPr>
      <w:r>
        <w:t>《供配电系统设计规范》GB 50052-2009</w:t>
      </w:r>
    </w:p>
    <w:p w14:paraId="133324E9">
      <w:pPr>
        <w:pStyle w:val="54"/>
        <w:spacing w:before="24" w:after="24"/>
      </w:pPr>
      <w:r>
        <w:t>《20kV及以下变电所设计规范》GB 50053-2013</w:t>
      </w:r>
    </w:p>
    <w:p w14:paraId="2C1BB68B">
      <w:pPr>
        <w:pStyle w:val="54"/>
        <w:spacing w:before="24" w:after="24"/>
      </w:pPr>
      <w:r>
        <w:t>《低压配电设计规范》GB 50054-2011</w:t>
      </w:r>
    </w:p>
    <w:p w14:paraId="3E36B94E">
      <w:pPr>
        <w:pStyle w:val="54"/>
        <w:spacing w:before="24" w:after="24"/>
      </w:pPr>
      <w:r>
        <w:t>《通用用电设备配电设计规范》GB 50055-2011</w:t>
      </w:r>
    </w:p>
    <w:p w14:paraId="546FB1C3">
      <w:pPr>
        <w:pStyle w:val="54"/>
        <w:spacing w:before="24" w:after="24"/>
      </w:pPr>
      <w:r>
        <w:t>《建筑物防雷设计规范》GB 50057-2010</w:t>
      </w:r>
    </w:p>
    <w:p w14:paraId="5C036A2B">
      <w:pPr>
        <w:pStyle w:val="54"/>
        <w:spacing w:before="24" w:after="24"/>
      </w:pPr>
      <w:r>
        <w:t>《电力装置电测量仪表装置设计规范》GB/T 50063-2017</w:t>
      </w:r>
    </w:p>
    <w:p w14:paraId="0A0CD5C8">
      <w:pPr>
        <w:pStyle w:val="54"/>
        <w:spacing w:before="24" w:after="24"/>
      </w:pPr>
      <w:r>
        <w:t>《交流电气装置的接地设计规范》GB/T 50065-2011</w:t>
      </w:r>
    </w:p>
    <w:p w14:paraId="29720B30">
      <w:pPr>
        <w:pStyle w:val="54"/>
        <w:spacing w:before="24" w:after="24"/>
      </w:pPr>
      <w:r>
        <w:t>《汽车库、修车库、停车场设计防火规范》GB 50067-2014</w:t>
      </w:r>
    </w:p>
    <w:p w14:paraId="1723E664">
      <w:pPr>
        <w:pStyle w:val="54"/>
        <w:spacing w:before="24" w:after="24"/>
      </w:pPr>
      <w:r>
        <w:t>《火灾自动报警系统设计规范》GB 50116-2013</w:t>
      </w:r>
    </w:p>
    <w:p w14:paraId="574A3569">
      <w:pPr>
        <w:pStyle w:val="54"/>
        <w:spacing w:before="24" w:after="24"/>
      </w:pPr>
      <w:r>
        <w:t>《电力工程电缆设计标准》GB 50217-2018</w:t>
      </w:r>
    </w:p>
    <w:p w14:paraId="54EFE7FE">
      <w:pPr>
        <w:pStyle w:val="54"/>
        <w:spacing w:before="24" w:after="24"/>
      </w:pPr>
      <w:r>
        <w:t>《并联电容器装置设计规范》GB 50227-2017</w:t>
      </w:r>
    </w:p>
    <w:p w14:paraId="12A3D5DD">
      <w:pPr>
        <w:pStyle w:val="54"/>
        <w:spacing w:before="24" w:after="24"/>
      </w:pPr>
      <w:r>
        <w:t>《电力设施抗震设计规范》GB 50260-2013</w:t>
      </w:r>
    </w:p>
    <w:p w14:paraId="325049EA">
      <w:pPr>
        <w:pStyle w:val="54"/>
        <w:spacing w:before="24" w:after="24"/>
      </w:pPr>
      <w:r>
        <w:t>《综合布线系统工程设计规范》GB 50311-2016</w:t>
      </w:r>
    </w:p>
    <w:p w14:paraId="4D306C8D">
      <w:pPr>
        <w:pStyle w:val="54"/>
        <w:spacing w:before="24" w:after="24"/>
      </w:pPr>
      <w:r>
        <w:t>《智能建筑设计标准》GB 50314-2015</w:t>
      </w:r>
    </w:p>
    <w:p w14:paraId="55C12F31">
      <w:pPr>
        <w:pStyle w:val="54"/>
        <w:spacing w:before="24" w:after="24"/>
      </w:pPr>
      <w:r>
        <w:t>《建筑物电子信息系统防雷技术规范》GB 50343-2012</w:t>
      </w:r>
    </w:p>
    <w:p w14:paraId="6F3C6010">
      <w:pPr>
        <w:pStyle w:val="54"/>
        <w:spacing w:before="24" w:after="24"/>
      </w:pPr>
      <w:r>
        <w:t>《视频安防监控系统工程设计规范》GB 50395-2007</w:t>
      </w:r>
    </w:p>
    <w:p w14:paraId="7A3E29EA">
      <w:pPr>
        <w:pStyle w:val="54"/>
        <w:spacing w:before="24" w:after="24"/>
      </w:pPr>
      <w:r>
        <w:t>《出入口控制系统工程设计规范》GB 50396-2007</w:t>
      </w:r>
    </w:p>
    <w:p w14:paraId="3DDAE99F">
      <w:pPr>
        <w:pStyle w:val="54"/>
        <w:spacing w:before="24" w:after="24"/>
      </w:pPr>
      <w:r>
        <w:t>《民用建筑电气设计标准》GB51348-2019</w:t>
      </w:r>
    </w:p>
    <w:p w14:paraId="12415D18">
      <w:pPr>
        <w:pStyle w:val="54"/>
        <w:spacing w:before="24" w:after="24"/>
      </w:pPr>
      <w:r>
        <w:t>《博物馆建筑设计规范》JGJ66-2015</w:t>
      </w:r>
    </w:p>
    <w:p w14:paraId="709D1D82">
      <w:pPr>
        <w:pStyle w:val="54"/>
        <w:spacing w:before="24" w:after="24"/>
      </w:pPr>
      <w:r>
        <w:t>《文化馆建筑设计规范》JGJ／T 41-2014</w:t>
      </w:r>
    </w:p>
    <w:p w14:paraId="5682027B">
      <w:pPr>
        <w:pStyle w:val="54"/>
        <w:spacing w:before="24" w:after="24"/>
      </w:pPr>
      <w:r>
        <w:t>《城市消防救援站设计规范》GB51054-2014</w:t>
      </w:r>
    </w:p>
    <w:p w14:paraId="54A60512">
      <w:pPr>
        <w:pStyle w:val="54"/>
        <w:spacing w:before="24" w:after="24"/>
      </w:pPr>
      <w:r>
        <w:t>《消防应急照明和疏散指示系统技术标准》GB51309-2018</w:t>
      </w:r>
    </w:p>
    <w:p w14:paraId="001D5BF5">
      <w:pPr>
        <w:pStyle w:val="54"/>
        <w:spacing w:before="24" w:after="24"/>
      </w:pPr>
      <w:r>
        <w:t>《消防设施通用规范》GB55036-2022</w:t>
      </w:r>
    </w:p>
    <w:p w14:paraId="015D865F">
      <w:pPr>
        <w:pStyle w:val="54"/>
        <w:spacing w:before="24" w:after="24"/>
      </w:pPr>
      <w:r>
        <w:t>《中国南方电网10KV及以下业扩受电工程技术导则》（2018版）</w:t>
      </w:r>
    </w:p>
    <w:p w14:paraId="7BF89F1C">
      <w:pPr>
        <w:pStyle w:val="54"/>
        <w:spacing w:before="24" w:after="24"/>
      </w:pPr>
      <w:r>
        <w:t>《有线电视网络工程设计标准》GB／T50200-2018</w:t>
      </w:r>
    </w:p>
    <w:p w14:paraId="0BFCF105">
      <w:pPr>
        <w:pStyle w:val="54"/>
        <w:spacing w:before="24" w:after="24"/>
      </w:pPr>
      <w:r>
        <w:t>《建筑节能与可再生能源利用通用规范》GB 55015-2021</w:t>
      </w:r>
    </w:p>
    <w:p w14:paraId="01B6FEA6">
      <w:pPr>
        <w:pStyle w:val="54"/>
        <w:spacing w:before="24" w:after="24"/>
      </w:pPr>
      <w:r>
        <w:t>《建筑电气与智能化通用规范》GB 55024-2022</w:t>
      </w:r>
    </w:p>
    <w:p w14:paraId="6453D1C3">
      <w:pPr>
        <w:pStyle w:val="54"/>
        <w:spacing w:before="24" w:after="24"/>
      </w:pPr>
      <w:r>
        <w:t>《广播电视制播工程项目规范》GB 55040-2024</w:t>
      </w:r>
    </w:p>
    <w:p w14:paraId="7EA30D2A">
      <w:pPr>
        <w:pStyle w:val="54"/>
        <w:spacing w:before="24" w:after="24"/>
      </w:pPr>
      <w:r>
        <w:t>《广播电视传输覆盖网络工程项目规范》GB 55041-2024</w:t>
      </w:r>
    </w:p>
    <w:p w14:paraId="503D079B">
      <w:pPr>
        <w:pStyle w:val="54"/>
        <w:spacing w:before="24" w:after="24"/>
      </w:pPr>
      <w:r>
        <w:t>《道路交通信号灯设置与安装规范》GB14886-2016</w:t>
      </w:r>
    </w:p>
    <w:p w14:paraId="5059AF2E">
      <w:pPr>
        <w:pStyle w:val="54"/>
        <w:spacing w:before="24" w:after="24"/>
      </w:pPr>
      <w:r>
        <w:t>《城市工程管线综合规划规范》GB 50289-2016</w:t>
      </w:r>
    </w:p>
    <w:p w14:paraId="1BA26ACE">
      <w:pPr>
        <w:pStyle w:val="54"/>
        <w:spacing w:before="24" w:after="24"/>
      </w:pPr>
      <w:r>
        <w:t>《建筑物防雷工程施工与质量验收规范》GB 50601-2010</w:t>
      </w:r>
    </w:p>
    <w:p w14:paraId="40E81450">
      <w:pPr>
        <w:pStyle w:val="54"/>
        <w:spacing w:before="24" w:after="24"/>
      </w:pPr>
      <w:r>
        <w:t>《城市道路照明设计标准》CJJ 45-2015</w:t>
      </w:r>
    </w:p>
    <w:p w14:paraId="226012BD">
      <w:pPr>
        <w:pStyle w:val="54"/>
        <w:spacing w:before="24" w:after="24"/>
      </w:pPr>
      <w:r>
        <w:t>《城市道路照明工程施工及验收规程》CJJ 89-2012</w:t>
      </w:r>
    </w:p>
    <w:p w14:paraId="5ABB8FAF">
      <w:pPr>
        <w:pStyle w:val="54"/>
        <w:spacing w:before="24" w:after="24"/>
      </w:pPr>
      <w:r>
        <w:t>《城镇排水系统电气与自动化工程技术标准》CJJ／T 120-2018</w:t>
      </w:r>
    </w:p>
    <w:p w14:paraId="68842129">
      <w:pPr>
        <w:pStyle w:val="54"/>
        <w:spacing w:before="24" w:after="24"/>
      </w:pPr>
      <w:r>
        <w:t>《城市夜景照明设计规范》JGJ/T 163-2008</w:t>
      </w:r>
    </w:p>
    <w:p w14:paraId="2FF91403">
      <w:pPr>
        <w:pStyle w:val="54"/>
        <w:spacing w:before="24" w:after="24"/>
      </w:pPr>
      <w:r>
        <w:t>《教育建筑电气设计规范》JGJ 310-2013</w:t>
      </w:r>
    </w:p>
    <w:p w14:paraId="01818312">
      <w:pPr>
        <w:pStyle w:val="54"/>
        <w:spacing w:before="24" w:after="24"/>
      </w:pPr>
      <w:r>
        <w:t>《医疗建筑电气设计规范》JGJ 312-2013</w:t>
      </w:r>
    </w:p>
    <w:p w14:paraId="608E040E">
      <w:pPr>
        <w:pStyle w:val="54"/>
        <w:spacing w:before="24" w:after="24"/>
      </w:pPr>
      <w:r>
        <w:t>《商店建筑电气设计规范》JGJ 392-2016</w:t>
      </w:r>
    </w:p>
    <w:p w14:paraId="433E87F8">
      <w:pPr>
        <w:pStyle w:val="54"/>
        <w:spacing w:before="24" w:after="24"/>
      </w:pPr>
      <w:r>
        <w:t>《建设工程消防验收评定规则》GA 836-2016</w:t>
      </w:r>
    </w:p>
    <w:p w14:paraId="50F31633">
      <w:pPr>
        <w:pStyle w:val="54"/>
        <w:spacing w:before="24" w:after="24"/>
      </w:pPr>
      <w:r>
        <w:t>《建设工程消防设计审查规则》GA 1290-2016</w:t>
      </w:r>
    </w:p>
    <w:p w14:paraId="18A78BF4">
      <w:pPr>
        <w:pStyle w:val="54"/>
        <w:spacing w:before="24" w:after="24"/>
      </w:pPr>
      <w:r>
        <w:t>《火灾自动报警系统施工及验收标准》GB 50166-2019</w:t>
      </w:r>
    </w:p>
    <w:p w14:paraId="6EB0D8EB">
      <w:pPr>
        <w:pStyle w:val="54"/>
        <w:spacing w:before="24" w:after="24"/>
      </w:pPr>
      <w:r>
        <w:t>《公共建筑节能设计标准》GB 50189-2015</w:t>
      </w:r>
    </w:p>
    <w:p w14:paraId="117EA1F1">
      <w:pPr>
        <w:pStyle w:val="54"/>
        <w:spacing w:before="24" w:after="24"/>
      </w:pPr>
      <w:r>
        <w:t>《建筑电气工程施工质量验收规范》GB 50303-2015</w:t>
      </w:r>
    </w:p>
    <w:p w14:paraId="421743B0">
      <w:pPr>
        <w:pStyle w:val="54"/>
        <w:spacing w:before="24" w:after="24"/>
      </w:pPr>
      <w:r>
        <w:t>《住宅区和住宅建筑内光纤到户通信设施工程设计规范》 GB 50846-2012</w:t>
      </w:r>
    </w:p>
    <w:p w14:paraId="118C8611">
      <w:pPr>
        <w:pStyle w:val="54"/>
        <w:spacing w:before="24" w:after="24"/>
      </w:pPr>
      <w:r>
        <w:t>《电动汽车充电站设计标准》GB 50966-2024</w:t>
      </w:r>
    </w:p>
    <w:p w14:paraId="56FFE675">
      <w:pPr>
        <w:pStyle w:val="54"/>
        <w:spacing w:before="24" w:after="24"/>
      </w:pPr>
      <w:r>
        <w:t>《建筑机电工程抗震设计规范》GB 50981-2014</w:t>
      </w:r>
    </w:p>
    <w:p w14:paraId="3238FDC2">
      <w:pPr>
        <w:pStyle w:val="54"/>
        <w:spacing w:before="24" w:after="24"/>
      </w:pPr>
      <w:r>
        <w:t>《建筑设备监控系统工程技术规范》JGJ／T 334-2014</w:t>
      </w:r>
    </w:p>
    <w:p w14:paraId="4F6BBA7E">
      <w:pPr>
        <w:pStyle w:val="54"/>
        <w:spacing w:before="24" w:after="24"/>
      </w:pPr>
      <w:r>
        <w:t>《阻燃和耐火电线电缆或光缆通则》GB/T 19666-2019</w:t>
      </w:r>
    </w:p>
    <w:p w14:paraId="72DE4465">
      <w:pPr>
        <w:pStyle w:val="54"/>
        <w:spacing w:before="24" w:after="24"/>
      </w:pPr>
      <w:r>
        <w:t>《网络电视工程技术规范》GB/T 51252-2017</w:t>
      </w:r>
    </w:p>
    <w:p w14:paraId="53F2C19D">
      <w:pPr>
        <w:pStyle w:val="54"/>
        <w:spacing w:before="24" w:after="24"/>
      </w:pPr>
      <w:r>
        <w:t>《电动汽车分散充电设施工程技术标准》GB/T 51313-2018</w:t>
      </w:r>
    </w:p>
    <w:p w14:paraId="22FA85AB">
      <w:pPr>
        <w:pStyle w:val="54"/>
        <w:spacing w:before="24" w:after="24"/>
      </w:pPr>
      <w:r>
        <w:t>《云南省建筑物移动通信基础设施建设标准》DBJ53/T-134-2022</w:t>
      </w:r>
    </w:p>
    <w:p w14:paraId="7FE6BE98">
      <w:pPr>
        <w:pStyle w:val="54"/>
        <w:spacing w:before="24" w:after="24"/>
      </w:pPr>
      <w:r>
        <w:t xml:space="preserve">《云南省住宅和商务楼宇光纤到户通信及有线电视设施工程建设标准》   </w:t>
      </w:r>
    </w:p>
    <w:p w14:paraId="522AC661">
      <w:pPr>
        <w:pStyle w:val="54"/>
        <w:spacing w:before="24" w:after="24"/>
      </w:pPr>
      <w:r>
        <w:t>DBJ 53/T-135-2022</w:t>
      </w:r>
    </w:p>
    <w:p w14:paraId="4E094623">
      <w:pPr>
        <w:pStyle w:val="54"/>
        <w:spacing w:before="24" w:after="24"/>
      </w:pPr>
      <w:r>
        <w:t>《云南省市政工程信息通信基础设施配套建设标准》</w:t>
      </w:r>
      <w:r>
        <w:rPr>
          <w:rFonts w:eastAsia="MS Gothic"/>
        </w:rPr>
        <w:t>‌</w:t>
      </w:r>
      <w:r>
        <w:t>DBJ 53/T-136-2022</w:t>
      </w:r>
    </w:p>
    <w:p w14:paraId="54D490D1">
      <w:pPr>
        <w:pStyle w:val="54"/>
        <w:spacing w:before="24" w:after="24"/>
      </w:pPr>
      <w:r>
        <w:t>《公共建筑节能设计标准》GB50189-2015</w:t>
      </w:r>
    </w:p>
    <w:p w14:paraId="79C49589">
      <w:pPr>
        <w:pStyle w:val="54"/>
        <w:spacing w:before="24" w:after="24"/>
      </w:pPr>
      <w:r>
        <w:t>《云南省民用建筑节能设计标准》DBJ53/T-39-2020</w:t>
      </w:r>
    </w:p>
    <w:p w14:paraId="05A9B364">
      <w:pPr>
        <w:pStyle w:val="54"/>
        <w:spacing w:before="24" w:after="24"/>
      </w:pPr>
      <w:r>
        <w:t>《民用建筑绿色设计规范》JGJ/T229-2010</w:t>
      </w:r>
    </w:p>
    <w:p w14:paraId="5A53B84D">
      <w:pPr>
        <w:pStyle w:val="54"/>
        <w:spacing w:before="24" w:after="24"/>
      </w:pPr>
      <w:r>
        <w:t>《绿色建筑评价标准》GB/T 50378-2019 局部修订条文（2024 年版）</w:t>
      </w:r>
    </w:p>
    <w:p w14:paraId="58D24BEC">
      <w:pPr>
        <w:pStyle w:val="54"/>
        <w:spacing w:before="24" w:after="24"/>
      </w:pPr>
      <w:r>
        <w:t>《云南省绿色建筑评价标准》DBJ53/T-49-2015 等其他国家、行业、云南省现行规范、标准。</w:t>
      </w:r>
    </w:p>
    <w:p w14:paraId="16B7706F">
      <w:pPr>
        <w:pStyle w:val="64"/>
        <w:spacing w:before="24" w:after="24"/>
        <w:rPr>
          <w:rFonts w:cs="Times New Roman"/>
          <w:highlight w:val="yellow"/>
        </w:rPr>
      </w:pPr>
      <w:bookmarkStart w:id="92" w:name="_Toc221894125"/>
      <w:r>
        <w:rPr>
          <w:rFonts w:cs="Times New Roman"/>
        </w:rPr>
        <w:t>6、精装修</w:t>
      </w:r>
      <w:bookmarkEnd w:id="92"/>
    </w:p>
    <w:p w14:paraId="166101AF">
      <w:pPr>
        <w:pStyle w:val="54"/>
        <w:spacing w:before="24" w:after="24"/>
      </w:pPr>
      <w:r>
        <w:t>《建筑地面工程施工质量验收规范》GB 50209-2010</w:t>
      </w:r>
    </w:p>
    <w:p w14:paraId="228A4242">
      <w:pPr>
        <w:pStyle w:val="54"/>
        <w:spacing w:before="24" w:after="24"/>
      </w:pPr>
      <w:r>
        <w:t>《建筑装饰装修工程质量验收标准》GB 50210-2018</w:t>
      </w:r>
    </w:p>
    <w:p w14:paraId="2D1CB3D9">
      <w:pPr>
        <w:pStyle w:val="54"/>
        <w:spacing w:before="24" w:after="24"/>
      </w:pPr>
      <w:r>
        <w:t>《民用建筑通用规范》GB 55031-2022</w:t>
      </w:r>
    </w:p>
    <w:p w14:paraId="412C4574">
      <w:pPr>
        <w:pStyle w:val="54"/>
        <w:spacing w:before="24" w:after="24"/>
      </w:pPr>
      <w:r>
        <w:t>《建筑内部装修设计防火规范》GB 50222-2017</w:t>
      </w:r>
    </w:p>
    <w:p w14:paraId="5A7140C4">
      <w:pPr>
        <w:pStyle w:val="54"/>
        <w:spacing w:before="24" w:after="24"/>
      </w:pPr>
      <w:r>
        <w:t>《建筑设计防火规范》GB50016-2014（2018版）</w:t>
      </w:r>
    </w:p>
    <w:p w14:paraId="45CE7FEF">
      <w:pPr>
        <w:pStyle w:val="54"/>
        <w:spacing w:before="24" w:after="24"/>
      </w:pPr>
      <w:r>
        <w:t>《建筑防火通用规范》GB 55037-2022</w:t>
      </w:r>
    </w:p>
    <w:p w14:paraId="1E0EE0C6">
      <w:pPr>
        <w:pStyle w:val="54"/>
        <w:spacing w:before="24" w:after="24"/>
      </w:pPr>
      <w:r>
        <w:t>《消防设施通用规范》GB 55036-2022</w:t>
      </w:r>
    </w:p>
    <w:p w14:paraId="3BD1C374">
      <w:pPr>
        <w:pStyle w:val="54"/>
        <w:spacing w:before="24" w:after="24"/>
      </w:pPr>
      <w:r>
        <w:t>《建筑环境通用规范》GB 55016-2021</w:t>
      </w:r>
    </w:p>
    <w:p w14:paraId="79440377">
      <w:pPr>
        <w:pStyle w:val="54"/>
        <w:spacing w:before="24" w:after="24"/>
      </w:pPr>
      <w:r>
        <w:t>《建筑照明设计标准》GB 50034-2013</w:t>
      </w:r>
    </w:p>
    <w:p w14:paraId="4145F3A0">
      <w:pPr>
        <w:pStyle w:val="54"/>
        <w:spacing w:before="24" w:after="24"/>
      </w:pPr>
      <w:r>
        <w:t>《民用建筑隔声设计规范》GB 50118-2010</w:t>
      </w:r>
    </w:p>
    <w:p w14:paraId="33A023A8">
      <w:pPr>
        <w:pStyle w:val="54"/>
        <w:spacing w:before="24" w:after="24"/>
      </w:pPr>
      <w:r>
        <w:t>《民用建筑工程室内环境污染控制标准》GB 50325-2020</w:t>
      </w:r>
    </w:p>
    <w:p w14:paraId="2184B867">
      <w:pPr>
        <w:pStyle w:val="54"/>
        <w:spacing w:before="24" w:after="24"/>
      </w:pPr>
      <w:r>
        <w:t>《建筑工程施工质量验收统一标准》GB 50300-2013</w:t>
      </w:r>
    </w:p>
    <w:p w14:paraId="7BA30F1F">
      <w:pPr>
        <w:pStyle w:val="54"/>
        <w:spacing w:before="24" w:after="24"/>
      </w:pPr>
      <w:r>
        <w:t>《建筑玻璃应用技术规程》JGJ 113-2015</w:t>
      </w:r>
    </w:p>
    <w:p w14:paraId="398811F2">
      <w:pPr>
        <w:pStyle w:val="54"/>
        <w:spacing w:before="24" w:after="24"/>
      </w:pPr>
      <w:r>
        <w:t>《室内装饰装修材料人造板及其制品中甲醛释放限量》GB 18580-2017</w:t>
      </w:r>
    </w:p>
    <w:p w14:paraId="34254A28">
      <w:pPr>
        <w:pStyle w:val="54"/>
        <w:spacing w:before="24" w:after="24"/>
      </w:pPr>
      <w:r>
        <w:t>《木器涂料中有害物质限量》GB 18581-2020</w:t>
      </w:r>
    </w:p>
    <w:p w14:paraId="159AA0D3">
      <w:pPr>
        <w:pStyle w:val="54"/>
        <w:spacing w:before="24" w:after="24"/>
      </w:pPr>
      <w:r>
        <w:t>《建筑用墙面涂料中有害物质限量》GB 18582-2020</w:t>
      </w:r>
    </w:p>
    <w:p w14:paraId="68186C48">
      <w:pPr>
        <w:pStyle w:val="54"/>
        <w:spacing w:before="24" w:after="24"/>
      </w:pPr>
      <w:r>
        <w:t>《家具中有害物质限量》GB 18584-2024</w:t>
      </w:r>
    </w:p>
    <w:p w14:paraId="0BFEF7C0">
      <w:pPr>
        <w:pStyle w:val="54"/>
        <w:spacing w:before="24" w:after="24"/>
      </w:pPr>
      <w:r>
        <w:t>《室内装饰装修材料壁纸中有害物质限量》GB 18585-2023</w:t>
      </w:r>
    </w:p>
    <w:p w14:paraId="4F734250">
      <w:pPr>
        <w:pStyle w:val="54"/>
        <w:spacing w:before="24" w:after="24"/>
      </w:pPr>
      <w:r>
        <w:t>《民用建筑工程室内环境污染控制标准》GB 50325-2020</w:t>
      </w:r>
    </w:p>
    <w:p w14:paraId="13C3CE6F">
      <w:pPr>
        <w:pStyle w:val="64"/>
        <w:spacing w:before="24" w:after="24"/>
        <w:rPr>
          <w:rFonts w:cs="Times New Roman"/>
          <w:highlight w:val="yellow"/>
        </w:rPr>
      </w:pPr>
      <w:bookmarkStart w:id="93" w:name="_Toc221894126"/>
      <w:r>
        <w:rPr>
          <w:rFonts w:cs="Times New Roman"/>
        </w:rPr>
        <w:t>7、景观绿化</w:t>
      </w:r>
      <w:bookmarkEnd w:id="93"/>
    </w:p>
    <w:p w14:paraId="59D323DB">
      <w:pPr>
        <w:pStyle w:val="54"/>
        <w:spacing w:before="24" w:after="24"/>
      </w:pPr>
      <w:r>
        <w:t>《中华人民共和国城乡规划法》</w:t>
      </w:r>
    </w:p>
    <w:p w14:paraId="141376DB">
      <w:pPr>
        <w:pStyle w:val="54"/>
        <w:spacing w:before="24" w:after="24"/>
      </w:pPr>
      <w:r>
        <w:t>《城市绿化条例》</w:t>
      </w:r>
    </w:p>
    <w:p w14:paraId="49C3716C">
      <w:pPr>
        <w:pStyle w:val="54"/>
        <w:spacing w:before="24" w:after="24"/>
      </w:pPr>
      <w:r>
        <w:t>《城市绿地设计规范》GB50420-2007（2016版）</w:t>
      </w:r>
    </w:p>
    <w:p w14:paraId="69E3091C">
      <w:pPr>
        <w:pStyle w:val="54"/>
        <w:spacing w:before="24" w:after="24"/>
      </w:pPr>
      <w:r>
        <w:t>《居住绿地设计标准》CJJ/T294-2019</w:t>
      </w:r>
    </w:p>
    <w:p w14:paraId="45E15EF3">
      <w:pPr>
        <w:pStyle w:val="54"/>
        <w:spacing w:before="24" w:after="24"/>
      </w:pPr>
      <w:r>
        <w:t>《园林绿化木本苗》CJ/T24-2018</w:t>
      </w:r>
    </w:p>
    <w:p w14:paraId="720459B4">
      <w:pPr>
        <w:pStyle w:val="54"/>
        <w:spacing w:before="24" w:after="24"/>
      </w:pPr>
      <w:r>
        <w:t>《绿化种植土壤》CJ/T340-2016</w:t>
      </w:r>
    </w:p>
    <w:p w14:paraId="2BF24EE5">
      <w:pPr>
        <w:pStyle w:val="54"/>
        <w:spacing w:before="24" w:after="24"/>
      </w:pPr>
      <w:r>
        <w:t>《园林绿化工程项目规范》GB55014-2021</w:t>
      </w:r>
    </w:p>
    <w:p w14:paraId="09C96E74">
      <w:pPr>
        <w:pStyle w:val="54"/>
        <w:spacing w:before="24" w:after="24"/>
      </w:pPr>
      <w:r>
        <w:t>《园林绿化球根花卉 种球》CJ/T153-2018</w:t>
      </w:r>
    </w:p>
    <w:p w14:paraId="0F9F01A7">
      <w:pPr>
        <w:pStyle w:val="54"/>
        <w:spacing w:before="24" w:after="24"/>
      </w:pPr>
      <w:r>
        <w:t>《风景园林基本术语标准》CJJ/T 91-2017</w:t>
      </w:r>
    </w:p>
    <w:p w14:paraId="620F2F45">
      <w:pPr>
        <w:pStyle w:val="54"/>
        <w:spacing w:before="24" w:after="24"/>
      </w:pPr>
      <w:r>
        <w:t>《园林绿化工程施工及验收规范》CJJ 82-2012</w:t>
      </w:r>
    </w:p>
    <w:p w14:paraId="7B954E78">
      <w:pPr>
        <w:pStyle w:val="54"/>
        <w:spacing w:before="24" w:after="24"/>
      </w:pPr>
      <w:r>
        <w:t>《德钦新县城（叶枝镇镇区）国土空间详细规划》</w:t>
      </w:r>
    </w:p>
    <w:p w14:paraId="29F03AB8">
      <w:pPr>
        <w:pStyle w:val="64"/>
        <w:spacing w:before="24" w:after="24"/>
        <w:rPr>
          <w:rFonts w:cs="Times New Roman"/>
        </w:rPr>
      </w:pPr>
      <w:bookmarkStart w:id="94" w:name="_Toc221894127"/>
      <w:r>
        <w:rPr>
          <w:rFonts w:cs="Times New Roman"/>
        </w:rPr>
        <w:t>8、道路</w:t>
      </w:r>
      <w:bookmarkEnd w:id="94"/>
    </w:p>
    <w:p w14:paraId="000978B1">
      <w:pPr>
        <w:pStyle w:val="66"/>
        <w:rPr>
          <w:rFonts w:cs="Times New Roman"/>
        </w:rPr>
      </w:pPr>
      <w:r>
        <w:rPr>
          <w:rFonts w:cs="Times New Roman"/>
        </w:rPr>
        <w:t>8.1 道路工程</w:t>
      </w:r>
    </w:p>
    <w:p w14:paraId="0667DB99">
      <w:pPr>
        <w:pStyle w:val="54"/>
        <w:spacing w:before="24" w:after="24"/>
      </w:pPr>
      <w:r>
        <w:t>《工程建设标准强制性条文》（城镇建设部分）[2013年版]</w:t>
      </w:r>
    </w:p>
    <w:p w14:paraId="59602006">
      <w:pPr>
        <w:pStyle w:val="54"/>
        <w:spacing w:before="24" w:after="24"/>
      </w:pPr>
      <w:r>
        <w:t>《城市道路路线设计规范》CJJ 193-2012</w:t>
      </w:r>
    </w:p>
    <w:p w14:paraId="57B96A74">
      <w:pPr>
        <w:pStyle w:val="54"/>
        <w:spacing w:before="24" w:after="24"/>
      </w:pPr>
      <w:r>
        <w:t>《城市道路工程设计规范》CJJ 37-2012（2016年版）</w:t>
      </w:r>
    </w:p>
    <w:p w14:paraId="7F35B775">
      <w:pPr>
        <w:pStyle w:val="54"/>
        <w:spacing w:before="24" w:after="24"/>
      </w:pPr>
      <w:r>
        <w:t>《城镇道路路面设计规范》CJJ 169-2012</w:t>
      </w:r>
    </w:p>
    <w:p w14:paraId="4ACC031B">
      <w:pPr>
        <w:pStyle w:val="54"/>
        <w:spacing w:before="24" w:after="24"/>
      </w:pPr>
      <w:r>
        <w:t>《城市道路路基设计规范》CJJ 194-2013</w:t>
      </w:r>
    </w:p>
    <w:p w14:paraId="0FA0098A">
      <w:pPr>
        <w:pStyle w:val="54"/>
        <w:spacing w:before="24" w:after="24"/>
      </w:pPr>
      <w:r>
        <w:t>《城镇道路工程施工与质量验收规范》CJJ 1-2008</w:t>
      </w:r>
    </w:p>
    <w:p w14:paraId="099AA7BC">
      <w:pPr>
        <w:pStyle w:val="54"/>
        <w:spacing w:before="24" w:after="24"/>
      </w:pPr>
      <w:r>
        <w:t>《公路沥青路面设计规范》JTGD 50-2017</w:t>
      </w:r>
    </w:p>
    <w:p w14:paraId="0D219E68">
      <w:pPr>
        <w:pStyle w:val="54"/>
        <w:spacing w:before="24" w:after="24"/>
      </w:pPr>
      <w:r>
        <w:t>《建筑地基处理技术规范》JGJ 79-2012</w:t>
      </w:r>
    </w:p>
    <w:p w14:paraId="5DC6BDB7">
      <w:pPr>
        <w:pStyle w:val="54"/>
        <w:spacing w:before="24" w:after="24"/>
      </w:pPr>
      <w:r>
        <w:t>《城市道路交叉口设计规程》CJJ 152-2010</w:t>
      </w:r>
    </w:p>
    <w:p w14:paraId="2C690FB1">
      <w:pPr>
        <w:pStyle w:val="54"/>
        <w:spacing w:before="24" w:after="24"/>
      </w:pPr>
      <w:r>
        <w:t>《城市道路交叉口规划规范》GB 50647-2011</w:t>
      </w:r>
    </w:p>
    <w:p w14:paraId="558BB697">
      <w:pPr>
        <w:pStyle w:val="54"/>
        <w:spacing w:before="24" w:after="24"/>
      </w:pPr>
      <w:r>
        <w:t>《无障碍设计规范》GB 50763-2012</w:t>
      </w:r>
    </w:p>
    <w:p w14:paraId="6BE8AF05">
      <w:pPr>
        <w:pStyle w:val="54"/>
        <w:spacing w:before="24" w:after="24"/>
      </w:pPr>
      <w:r>
        <w:t>《建筑与市政工程无障碍通用规范》GB 55019-2021</w:t>
      </w:r>
    </w:p>
    <w:p w14:paraId="588F4FCC">
      <w:pPr>
        <w:pStyle w:val="54"/>
        <w:spacing w:before="24" w:after="24"/>
      </w:pPr>
      <w:r>
        <w:t>《云南省山地城镇道路工程设计导则》（试行）</w:t>
      </w:r>
    </w:p>
    <w:p w14:paraId="0CF51E0D">
      <w:pPr>
        <w:pStyle w:val="54"/>
        <w:spacing w:before="24" w:after="24"/>
      </w:pPr>
      <w:r>
        <w:t>《市政公用工程设计文件编制深度规定（2025年版）》</w:t>
      </w:r>
    </w:p>
    <w:p w14:paraId="328EA381">
      <w:pPr>
        <w:pStyle w:val="66"/>
        <w:rPr>
          <w:rFonts w:cs="Times New Roman"/>
        </w:rPr>
      </w:pPr>
      <w:r>
        <w:rPr>
          <w:rFonts w:cs="Times New Roman"/>
        </w:rPr>
        <w:t>8.2 交通工程</w:t>
      </w:r>
    </w:p>
    <w:p w14:paraId="252349FB">
      <w:pPr>
        <w:pStyle w:val="54"/>
        <w:spacing w:before="24" w:after="24"/>
      </w:pPr>
      <w:r>
        <w:t>《中华人民共和国道路交通安全法》</w:t>
      </w:r>
    </w:p>
    <w:p w14:paraId="55D9EBE9">
      <w:pPr>
        <w:pStyle w:val="54"/>
        <w:spacing w:before="24" w:after="24"/>
      </w:pPr>
      <w:r>
        <w:t>《城市道路交通设施设计规范》GB 50688</w:t>
      </w:r>
    </w:p>
    <w:p w14:paraId="243C3FA9">
      <w:pPr>
        <w:pStyle w:val="54"/>
        <w:spacing w:before="24" w:after="24"/>
      </w:pPr>
      <w:r>
        <w:t>《道路交通标志和标线》GB 5768</w:t>
      </w:r>
    </w:p>
    <w:p w14:paraId="3662ED18">
      <w:pPr>
        <w:pStyle w:val="54"/>
        <w:spacing w:before="24" w:after="24"/>
      </w:pPr>
      <w:r>
        <w:t>《城市道路交通标志和标线设置规范》GB 51038-2015</w:t>
      </w:r>
    </w:p>
    <w:p w14:paraId="0C2E7C20">
      <w:pPr>
        <w:pStyle w:val="54"/>
        <w:spacing w:before="24" w:after="24"/>
      </w:pPr>
      <w:r>
        <w:t>《道路交通标志板及支撑件》GB/T 23827-2021</w:t>
      </w:r>
    </w:p>
    <w:p w14:paraId="6E5C9942">
      <w:pPr>
        <w:pStyle w:val="54"/>
        <w:spacing w:before="24" w:after="24"/>
      </w:pPr>
      <w:r>
        <w:t>《道路交通反光膜》GB/T 18833-2012</w:t>
      </w:r>
    </w:p>
    <w:p w14:paraId="71707DAC">
      <w:pPr>
        <w:pStyle w:val="54"/>
        <w:spacing w:before="24" w:after="24"/>
      </w:pPr>
      <w:r>
        <w:t>《路面标线用玻璃珠》GB/T 24722-2020</w:t>
      </w:r>
    </w:p>
    <w:p w14:paraId="039223B4">
      <w:pPr>
        <w:pStyle w:val="54"/>
        <w:spacing w:before="24" w:after="24"/>
      </w:pPr>
      <w:r>
        <w:t>《道路交通标线质量要求和检测方法》GB/T 16311-2024</w:t>
      </w:r>
    </w:p>
    <w:p w14:paraId="18705961">
      <w:pPr>
        <w:pStyle w:val="54"/>
        <w:spacing w:before="24" w:after="24"/>
      </w:pPr>
      <w:r>
        <w:t>《道路交通信号灯》GB 14887</w:t>
      </w:r>
    </w:p>
    <w:p w14:paraId="29219F6D">
      <w:pPr>
        <w:pStyle w:val="54"/>
        <w:spacing w:before="24" w:after="24"/>
      </w:pPr>
      <w:r>
        <w:t>《道路交通信号灯设置与安装规范》GB 14886</w:t>
      </w:r>
    </w:p>
    <w:p w14:paraId="09EDF37D">
      <w:pPr>
        <w:pStyle w:val="54"/>
        <w:spacing w:before="24" w:after="24"/>
      </w:pPr>
      <w:r>
        <w:t>《低压配电装置线路设计规范》GB 50054-2011</w:t>
      </w:r>
    </w:p>
    <w:p w14:paraId="08A2C28D">
      <w:pPr>
        <w:pStyle w:val="66"/>
        <w:rPr>
          <w:rFonts w:cs="Times New Roman"/>
        </w:rPr>
      </w:pPr>
      <w:r>
        <w:rPr>
          <w:rFonts w:cs="Times New Roman"/>
        </w:rPr>
        <w:t>8.3 桥涵工程</w:t>
      </w:r>
    </w:p>
    <w:p w14:paraId="670E6147">
      <w:pPr>
        <w:pStyle w:val="54"/>
        <w:spacing w:before="24" w:after="24"/>
      </w:pPr>
      <w:r>
        <w:t>《城市桥梁抗震设计规范》CJJ 166-2011</w:t>
      </w:r>
    </w:p>
    <w:p w14:paraId="2DB6DAA1">
      <w:pPr>
        <w:pStyle w:val="54"/>
        <w:spacing w:before="24" w:after="24"/>
      </w:pPr>
      <w:r>
        <w:t>《城市防洪工程设计规范》GB/T 50805-2012</w:t>
      </w:r>
    </w:p>
    <w:p w14:paraId="5AEE134D">
      <w:pPr>
        <w:pStyle w:val="54"/>
        <w:spacing w:before="24" w:after="24"/>
      </w:pPr>
      <w:r>
        <w:t>《城市桥梁设计规范》CJJ 11-2011（2019版）</w:t>
      </w:r>
    </w:p>
    <w:p w14:paraId="7A674F61">
      <w:pPr>
        <w:pStyle w:val="54"/>
        <w:spacing w:before="24" w:after="24"/>
      </w:pPr>
      <w:r>
        <w:t>《城市桥梁工程施工与质量验收规范》CJJ 2-2025</w:t>
      </w:r>
    </w:p>
    <w:p w14:paraId="685D3758">
      <w:pPr>
        <w:pStyle w:val="54"/>
        <w:spacing w:before="24" w:after="24"/>
      </w:pPr>
      <w:r>
        <w:t>《公路桥涵施工技术规范》JTG/T 3650—2020</w:t>
      </w:r>
    </w:p>
    <w:p w14:paraId="5B211597">
      <w:pPr>
        <w:pStyle w:val="54"/>
        <w:spacing w:before="24" w:after="24"/>
      </w:pPr>
      <w:r>
        <w:t>《混凝土结构耐久性设计规范》GB/T 50476-2019</w:t>
      </w:r>
    </w:p>
    <w:p w14:paraId="1F462DE8">
      <w:pPr>
        <w:pStyle w:val="66"/>
        <w:rPr>
          <w:rFonts w:cs="Times New Roman"/>
        </w:rPr>
      </w:pPr>
      <w:r>
        <w:rPr>
          <w:rFonts w:cs="Times New Roman"/>
        </w:rPr>
        <w:t>8.4 照明工程</w:t>
      </w:r>
    </w:p>
    <w:p w14:paraId="625BCDE8">
      <w:pPr>
        <w:pStyle w:val="54"/>
        <w:spacing w:before="24" w:after="24"/>
      </w:pPr>
      <w:r>
        <w:t>《城市道路照明设计标准》CJJ 45-2015</w:t>
      </w:r>
    </w:p>
    <w:p w14:paraId="76F7390F">
      <w:pPr>
        <w:pStyle w:val="54"/>
        <w:spacing w:before="24" w:after="24"/>
      </w:pPr>
      <w:r>
        <w:t>《低压配电系统设计规范》GB 50054-2011</w:t>
      </w:r>
    </w:p>
    <w:p w14:paraId="0554F75A">
      <w:pPr>
        <w:pStyle w:val="54"/>
        <w:spacing w:before="24" w:after="24"/>
      </w:pPr>
      <w:r>
        <w:t>《供配电系统设计规范》GB 50052-2009</w:t>
      </w:r>
    </w:p>
    <w:p w14:paraId="27A1F7C3">
      <w:pPr>
        <w:pStyle w:val="54"/>
        <w:spacing w:before="24" w:after="24"/>
      </w:pPr>
      <w:r>
        <w:t>《城市道路照明工程施工及验收规程》CJJ 89-2012</w:t>
      </w:r>
    </w:p>
    <w:p w14:paraId="0BAAB2EF">
      <w:pPr>
        <w:pStyle w:val="54"/>
        <w:spacing w:before="24" w:after="24"/>
      </w:pPr>
      <w:r>
        <w:t>《电气装置安装工程接地装置施工及验收规范》GB 50169-2016</w:t>
      </w:r>
    </w:p>
    <w:p w14:paraId="2E9F2C0E">
      <w:pPr>
        <w:pStyle w:val="54"/>
        <w:spacing w:before="24" w:after="24"/>
      </w:pPr>
      <w:r>
        <w:t>《国家建筑标准设计电气图集》</w:t>
      </w:r>
    </w:p>
    <w:p w14:paraId="2B69D587">
      <w:pPr>
        <w:pStyle w:val="66"/>
        <w:rPr>
          <w:rFonts w:cs="Times New Roman"/>
        </w:rPr>
      </w:pPr>
      <w:r>
        <w:rPr>
          <w:rFonts w:cs="Times New Roman"/>
        </w:rPr>
        <w:t>8.5 绿化工程</w:t>
      </w:r>
    </w:p>
    <w:p w14:paraId="1631579D">
      <w:pPr>
        <w:pStyle w:val="54"/>
        <w:spacing w:before="24" w:after="24"/>
      </w:pPr>
      <w:r>
        <w:t>《风景园林制图标准》CJJ/67-2015</w:t>
      </w:r>
    </w:p>
    <w:p w14:paraId="7DFAE505">
      <w:pPr>
        <w:pStyle w:val="54"/>
        <w:spacing w:before="24" w:after="24"/>
      </w:pPr>
      <w:r>
        <w:t>《园林栽植土种植标准》DBJ 08-231-98</w:t>
      </w:r>
    </w:p>
    <w:p w14:paraId="1D30D97E">
      <w:pPr>
        <w:pStyle w:val="54"/>
        <w:spacing w:before="24" w:after="24"/>
      </w:pPr>
      <w:r>
        <w:t>《城市绿化工程施工及验收规范》CJJ/T 82-99</w:t>
      </w:r>
    </w:p>
    <w:p w14:paraId="7614872B">
      <w:pPr>
        <w:pStyle w:val="54"/>
        <w:spacing w:before="24" w:after="24"/>
      </w:pPr>
      <w:r>
        <w:t>《城市道路绿化规划及设计规范》CJJ 57-97</w:t>
      </w:r>
    </w:p>
    <w:p w14:paraId="0C927901">
      <w:pPr>
        <w:pStyle w:val="54"/>
        <w:spacing w:before="24" w:after="24"/>
      </w:pPr>
      <w:r>
        <w:t>《城市道路绿化设计标准》CJJT 75-2023</w:t>
      </w:r>
    </w:p>
    <w:p w14:paraId="6A38E2EB">
      <w:pPr>
        <w:pStyle w:val="54"/>
        <w:spacing w:before="24" w:after="24"/>
      </w:pPr>
      <w:r>
        <w:t>《城市绿化和园林绿地用植物材料木本苗》CJT 24—99</w:t>
      </w:r>
    </w:p>
    <w:p w14:paraId="23663D1F">
      <w:pPr>
        <w:pStyle w:val="54"/>
        <w:spacing w:before="24" w:after="24"/>
      </w:pPr>
      <w:r>
        <w:t>《园林绿化工程施工及验收规范》CJJ 82-2012</w:t>
      </w:r>
    </w:p>
    <w:p w14:paraId="24438962">
      <w:pPr>
        <w:pStyle w:val="66"/>
        <w:rPr>
          <w:rFonts w:cs="Times New Roman"/>
        </w:rPr>
      </w:pPr>
      <w:r>
        <w:rPr>
          <w:rFonts w:cs="Times New Roman"/>
        </w:rPr>
        <w:t>8.6电气工程</w:t>
      </w:r>
    </w:p>
    <w:p w14:paraId="4DFA3424">
      <w:pPr>
        <w:pStyle w:val="54"/>
        <w:spacing w:before="24" w:after="24"/>
      </w:pPr>
      <w:r>
        <w:t>《城市道路照明设计标准》（CJJ45-2015）</w:t>
      </w:r>
    </w:p>
    <w:p w14:paraId="12AF241E">
      <w:pPr>
        <w:pStyle w:val="54"/>
        <w:spacing w:before="24" w:after="24"/>
      </w:pPr>
      <w:r>
        <w:t>《供配电系统设计规范》（GB50052-2009）</w:t>
      </w:r>
    </w:p>
    <w:p w14:paraId="640960F9">
      <w:pPr>
        <w:pStyle w:val="54"/>
        <w:spacing w:before="24" w:after="24"/>
      </w:pPr>
      <w:r>
        <w:t>《低压配电设计规范》（GB50054-2011）</w:t>
      </w:r>
    </w:p>
    <w:p w14:paraId="56DA14A3">
      <w:pPr>
        <w:pStyle w:val="54"/>
        <w:spacing w:before="24" w:after="24"/>
      </w:pPr>
      <w:r>
        <w:t>《城市道路照明工程施工及验收规程》（CJJ89-2012）</w:t>
      </w:r>
    </w:p>
    <w:p w14:paraId="07568570">
      <w:pPr>
        <w:pStyle w:val="54"/>
        <w:spacing w:before="24" w:after="24"/>
      </w:pPr>
      <w:r>
        <w:t>《LED城市道路照明应用技术要求》（GB/T31832-2015）</w:t>
      </w:r>
    </w:p>
    <w:p w14:paraId="1D49D376">
      <w:pPr>
        <w:pStyle w:val="54"/>
        <w:spacing w:before="24" w:after="24"/>
      </w:pPr>
      <w:r>
        <w:t>《电力工程电缆设计标准》（GB50217-2018）</w:t>
      </w:r>
    </w:p>
    <w:p w14:paraId="34420B11">
      <w:pPr>
        <w:pStyle w:val="54"/>
        <w:spacing w:before="24" w:after="24"/>
      </w:pPr>
      <w:r>
        <w:t>《建筑物防雷设计规范》（GB50057-2010）</w:t>
      </w:r>
    </w:p>
    <w:p w14:paraId="64AF63AA">
      <w:pPr>
        <w:pStyle w:val="54"/>
        <w:spacing w:before="24" w:after="24"/>
      </w:pPr>
      <w:r>
        <w:t>《20kV 及以下变电所设计规范》GB50053-2013</w:t>
      </w:r>
    </w:p>
    <w:p w14:paraId="378F5E74">
      <w:pPr>
        <w:pStyle w:val="54"/>
        <w:spacing w:before="24" w:after="24"/>
      </w:pPr>
      <w:r>
        <w:t>《建筑电气工程施工质量验收规范》GB50303-2015</w:t>
      </w:r>
    </w:p>
    <w:p w14:paraId="12275EFC">
      <w:pPr>
        <w:pStyle w:val="54"/>
        <w:spacing w:before="24" w:after="24"/>
      </w:pPr>
      <w:r>
        <w:t>《城市工程管线综合规划规范》GB50289-2016</w:t>
      </w:r>
    </w:p>
    <w:p w14:paraId="0B73B108">
      <w:pPr>
        <w:pStyle w:val="54"/>
        <w:spacing w:before="24" w:after="24"/>
      </w:pPr>
      <w:r>
        <w:t>《城市景观照明设施防雷技术规范》GB/T40250-2021</w:t>
      </w:r>
    </w:p>
    <w:p w14:paraId="705B3E52">
      <w:pPr>
        <w:pStyle w:val="54"/>
        <w:spacing w:before="24" w:after="24"/>
      </w:pPr>
      <w:r>
        <w:t>《城市道路工程设计规范》CJJ37-2012（2016 年版）</w:t>
      </w:r>
    </w:p>
    <w:p w14:paraId="7772B564">
      <w:pPr>
        <w:pStyle w:val="54"/>
        <w:spacing w:before="24" w:after="24"/>
      </w:pPr>
      <w:r>
        <w:t>《电气装置安装工程接地装置施工及验收规范》GB50169-2016</w:t>
      </w:r>
    </w:p>
    <w:p w14:paraId="06A5A2DC">
      <w:pPr>
        <w:pStyle w:val="54"/>
        <w:spacing w:before="24" w:after="24"/>
      </w:pPr>
      <w:r>
        <w:t>《电气装置安装工程低压电器施工及验收规范》GB50254-2014</w:t>
      </w:r>
    </w:p>
    <w:p w14:paraId="1B658A32">
      <w:pPr>
        <w:pStyle w:val="54"/>
        <w:spacing w:before="24" w:after="24"/>
      </w:pPr>
      <w:r>
        <w:t>《电气装置安装工程盘、柜及二次回路接线施工及验收规范》GB50171-2012</w:t>
      </w:r>
    </w:p>
    <w:p w14:paraId="21736374">
      <w:pPr>
        <w:pStyle w:val="54"/>
        <w:spacing w:before="24" w:after="24"/>
      </w:pPr>
      <w:r>
        <w:t>《建筑抗震设计规范》（GB50011-2010）（2016 年版）</w:t>
      </w:r>
    </w:p>
    <w:p w14:paraId="62BB10F6">
      <w:pPr>
        <w:pStyle w:val="66"/>
        <w:rPr>
          <w:rFonts w:cs="Times New Roman"/>
        </w:rPr>
      </w:pPr>
      <w:r>
        <w:rPr>
          <w:rFonts w:cs="Times New Roman"/>
        </w:rPr>
        <w:t>8.7给排水工程</w:t>
      </w:r>
    </w:p>
    <w:p w14:paraId="3D869392">
      <w:pPr>
        <w:pStyle w:val="54"/>
        <w:spacing w:before="24" w:after="24"/>
      </w:pPr>
      <w:r>
        <w:t>《建筑给水排水设计标准》GB50015-2019</w:t>
      </w:r>
    </w:p>
    <w:p w14:paraId="6ED81896">
      <w:pPr>
        <w:pStyle w:val="54"/>
        <w:spacing w:before="24" w:after="24"/>
      </w:pPr>
      <w:r>
        <w:t>《室外给水设计标准》GB50013-2018</w:t>
      </w:r>
    </w:p>
    <w:p w14:paraId="73341672">
      <w:pPr>
        <w:pStyle w:val="54"/>
        <w:spacing w:before="24" w:after="24"/>
      </w:pPr>
      <w:r>
        <w:t>《室外排水设计标准》GB50014-2021</w:t>
      </w:r>
    </w:p>
    <w:p w14:paraId="304DF93E">
      <w:pPr>
        <w:pStyle w:val="54"/>
        <w:spacing w:before="24" w:after="24"/>
      </w:pPr>
      <w:r>
        <w:t>《建筑设计防火规范》（GB50016-2014）2018年版</w:t>
      </w:r>
    </w:p>
    <w:p w14:paraId="3A5F93AB">
      <w:pPr>
        <w:pStyle w:val="54"/>
        <w:spacing w:before="24" w:after="24"/>
      </w:pPr>
      <w:r>
        <w:t>《建筑给水排水制图标准》GB/T50106-2010</w:t>
      </w:r>
    </w:p>
    <w:p w14:paraId="7FB0E048">
      <w:pPr>
        <w:pStyle w:val="54"/>
        <w:spacing w:before="24" w:after="24"/>
      </w:pPr>
      <w:r>
        <w:t>《消防给水及消火栓系统技术规范》GB50974-2014</w:t>
      </w:r>
    </w:p>
    <w:p w14:paraId="3F993034">
      <w:pPr>
        <w:pStyle w:val="54"/>
        <w:spacing w:before="24" w:after="24"/>
      </w:pPr>
      <w:r>
        <w:t>《生活饮用水卫生标准》GB5749-2022</w:t>
      </w:r>
    </w:p>
    <w:p w14:paraId="72DB1314">
      <w:pPr>
        <w:pStyle w:val="54"/>
        <w:spacing w:before="24" w:after="24"/>
      </w:pPr>
      <w:r>
        <w:t>《市政公用工程设计文件编制深度规定》（2025年版）</w:t>
      </w:r>
    </w:p>
    <w:p w14:paraId="5977DE73">
      <w:pPr>
        <w:pStyle w:val="54"/>
        <w:spacing w:before="24" w:after="24"/>
      </w:pPr>
      <w:r>
        <w:t>《泵站设计规范》GB50265-2010</w:t>
      </w:r>
    </w:p>
    <w:p w14:paraId="669DC91A">
      <w:pPr>
        <w:pStyle w:val="54"/>
        <w:spacing w:before="24" w:after="24"/>
      </w:pPr>
      <w:r>
        <w:t>《建筑与市政工程地下水控制技术规范》JGI111-2010</w:t>
      </w:r>
    </w:p>
    <w:p w14:paraId="4E38D6CB">
      <w:pPr>
        <w:pStyle w:val="54"/>
        <w:spacing w:before="24" w:after="24"/>
      </w:pPr>
      <w:r>
        <w:t>《给水排水工程管道结构设计规范》GB50332-2002</w:t>
      </w:r>
    </w:p>
    <w:p w14:paraId="7594F63F">
      <w:pPr>
        <w:pStyle w:val="54"/>
        <w:spacing w:before="24" w:after="24"/>
      </w:pPr>
      <w:r>
        <w:t>《城镇雨水调蓄工程技术规范》GB51174-2017</w:t>
      </w:r>
    </w:p>
    <w:p w14:paraId="6EB7BA2E">
      <w:pPr>
        <w:pStyle w:val="54"/>
        <w:spacing w:before="24" w:after="24"/>
      </w:pPr>
      <w:r>
        <w:t>《城镇污水再生利用工程设计规范》GB50335-2016</w:t>
      </w:r>
    </w:p>
    <w:p w14:paraId="196E7B1D">
      <w:pPr>
        <w:pStyle w:val="54"/>
        <w:spacing w:before="24" w:after="24"/>
      </w:pPr>
      <w:r>
        <w:t>《城市排水工程规划规范》GB50318-2017</w:t>
      </w:r>
    </w:p>
    <w:p w14:paraId="3E75B983">
      <w:pPr>
        <w:pStyle w:val="54"/>
        <w:spacing w:before="24" w:after="24"/>
      </w:pPr>
      <w:r>
        <w:t>《城镇供水长距离输水管（渠）道工程技术规程》CECS193：2005</w:t>
      </w:r>
    </w:p>
    <w:p w14:paraId="455AB659">
      <w:pPr>
        <w:pStyle w:val="54"/>
        <w:spacing w:before="24" w:after="24"/>
      </w:pPr>
      <w:r>
        <w:t>《检查井盖》GB T23858-2009</w:t>
      </w:r>
    </w:p>
    <w:p w14:paraId="4412536B">
      <w:pPr>
        <w:pStyle w:val="54"/>
        <w:spacing w:before="24" w:after="24"/>
      </w:pPr>
      <w:r>
        <w:t>《给水排水管道工程施工及验收规范》GB50268-2008</w:t>
      </w:r>
    </w:p>
    <w:p w14:paraId="0E16F69B">
      <w:pPr>
        <w:pStyle w:val="54"/>
        <w:spacing w:before="24" w:after="24"/>
      </w:pPr>
      <w:r>
        <w:t>《城市给水工程项目规范》GB55026-2022</w:t>
      </w:r>
    </w:p>
    <w:p w14:paraId="21FF5DC5">
      <w:pPr>
        <w:pStyle w:val="54"/>
        <w:spacing w:before="24" w:after="24"/>
      </w:pPr>
      <w:r>
        <w:t>《建筑与市政工程抗震通用规范》GB55002-2021</w:t>
      </w:r>
    </w:p>
    <w:p w14:paraId="5CBD10A7">
      <w:pPr>
        <w:pStyle w:val="54"/>
        <w:spacing w:before="24" w:after="24"/>
      </w:pPr>
      <w:r>
        <w:t>《消防设施通用规范》GB55036-2022</w:t>
      </w:r>
    </w:p>
    <w:p w14:paraId="5C34B873">
      <w:pPr>
        <w:pStyle w:val="54"/>
        <w:spacing w:before="24" w:after="24"/>
      </w:pPr>
      <w:r>
        <w:t>《迪庆藏族自治州人民政府办公室关于印发加快推进海绵城市建设实施意见的通知》（迪政办发[2016]58号）</w:t>
      </w:r>
    </w:p>
    <w:p w14:paraId="6D94EF30">
      <w:pPr>
        <w:pStyle w:val="66"/>
        <w:rPr>
          <w:rFonts w:cs="Times New Roman"/>
        </w:rPr>
      </w:pPr>
      <w:r>
        <w:rPr>
          <w:rFonts w:cs="Times New Roman"/>
        </w:rPr>
        <w:t>8.8 燃气工程</w:t>
      </w:r>
    </w:p>
    <w:p w14:paraId="05A8F55C">
      <w:pPr>
        <w:pStyle w:val="54"/>
        <w:spacing w:before="24" w:after="24"/>
      </w:pPr>
      <w:r>
        <w:t>《城镇燃气设计规范》GB50028-2006（2020年版）</w:t>
      </w:r>
    </w:p>
    <w:p w14:paraId="3DD973B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《燃气工程项目规范》GB55009-2021</w:t>
      </w:r>
    </w:p>
    <w:p w14:paraId="5A38C3D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《城镇燃气输配工程施工及验收标准》GB/T51455-2023</w:t>
      </w:r>
    </w:p>
    <w:p w14:paraId="4EBCF35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《聚乙烯燃气管道工程技术标准》CJJ63-2018</w:t>
      </w:r>
    </w:p>
    <w:p w14:paraId="41CFC58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《城镇燃气室内工程施工与质量验收规范》CJJ94-2009</w:t>
      </w:r>
    </w:p>
    <w:p w14:paraId="5AD9374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《埋地钢质管道聚乙烯防腐层》GB/T23257-2017</w:t>
      </w:r>
    </w:p>
    <w:p w14:paraId="5A2ADFA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《钢制管道外腐蚀控制规范》GB/T21447-2018</w:t>
      </w:r>
    </w:p>
    <w:p w14:paraId="39D31EB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《压力管道规范工业管道》GB/T20801.1～6-2020</w:t>
      </w:r>
    </w:p>
    <w:p w14:paraId="734D9DB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《压力管道安全技术监察规程——工业管道》TSGD0001-2009</w:t>
      </w:r>
    </w:p>
    <w:p w14:paraId="03A8ED9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《构筑物抗震设计规范》GB50191-2012</w:t>
      </w:r>
    </w:p>
    <w:p w14:paraId="02AEBD6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《爆炸危险环境电力装置设计规范》GB50058-2014</w:t>
      </w:r>
    </w:p>
    <w:p w14:paraId="04A4D73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《城镇燃气报警控制系统技术规程》CJJ/T146-2011</w:t>
      </w:r>
    </w:p>
    <w:p w14:paraId="42E0EE5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《建筑排水硬聚氯乙烯管道工程技术规程》CJJ/T29-2010</w:t>
      </w:r>
    </w:p>
    <w:p w14:paraId="4A24412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《环境空气质量标准》</w:t>
      </w:r>
      <w:r>
        <w:rPr>
          <w:rFonts w:ascii="Times New Roman" w:hAnsi="Times New Roman" w:cs="Times New Roman"/>
          <w:color w:val="181717" w:themeColor="background2" w:themeShade="1A"/>
        </w:rPr>
        <w:tab/>
      </w:r>
      <w:r>
        <w:rPr>
          <w:rFonts w:ascii="Times New Roman" w:hAnsi="Times New Roman" w:cs="Times New Roman"/>
          <w:color w:val="181717" w:themeColor="background2" w:themeShade="1A"/>
        </w:rPr>
        <w:t>GB3905-2012</w:t>
      </w:r>
    </w:p>
    <w:p w14:paraId="6BE489F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《大气污染物综合排放标准》GB16297-1996</w:t>
      </w:r>
    </w:p>
    <w:p w14:paraId="398E0B9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《城市工程管线综合规划规范》（GB50289-2016）</w:t>
      </w:r>
    </w:p>
    <w:p w14:paraId="1960977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 xml:space="preserve">《室外给水排水和燃气热力工程抗震设计规范》GB 50032-2003 </w:t>
      </w:r>
    </w:p>
    <w:p w14:paraId="299FC61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《流体输送用无缝钢管》 GB/T8163-2018</w:t>
      </w:r>
    </w:p>
    <w:p w14:paraId="717F1E9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《钢制对焊管件类型与参数》GB/T12459-2017</w:t>
      </w:r>
    </w:p>
    <w:p w14:paraId="34C6916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《钢制对焊管件技术规范》GB/T13401-2017</w:t>
      </w:r>
    </w:p>
    <w:p w14:paraId="40C5F08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《燃气用埋地聚乙烯（PE）管道系统第1部分：管材》GB/T15558.1-2015</w:t>
      </w:r>
    </w:p>
    <w:p w14:paraId="04A8E3B4">
      <w:pPr>
        <w:spacing w:before="24" w:after="24"/>
        <w:ind w:firstLine="560" w:firstLineChars="200"/>
        <w:rPr>
          <w:rFonts w:ascii="Times New Roman" w:hAnsi="Times New Roman" w:cs="Times New Roman"/>
        </w:rPr>
      </w:pPr>
      <w:r>
        <w:rPr>
          <w:rFonts w:ascii="Times New Roman" w:hAnsi="Times New Roman" w:cs="Times New Roman"/>
          <w:color w:val="181717" w:themeColor="background2" w:themeShade="1A"/>
        </w:rPr>
        <w:t>《燃气用聚乙烯（PE）管道系统的钢塑转换管件》GB/T26255-2022</w:t>
      </w:r>
    </w:p>
    <w:p w14:paraId="5E342B82">
      <w:pPr>
        <w:pStyle w:val="54"/>
        <w:spacing w:before="24" w:after="24"/>
      </w:pPr>
      <w:r>
        <w:rPr>
          <w:rFonts w:hint="eastAsia"/>
        </w:rPr>
        <w:t>注：1.未尽设计规范按现行相关的国家、省、自治区、直辖市或行业的建设工程设计标准、规范的标准执行。</w:t>
      </w:r>
    </w:p>
    <w:p w14:paraId="12760022">
      <w:pPr>
        <w:pStyle w:val="54"/>
        <w:spacing w:before="24" w:after="24"/>
      </w:pPr>
      <w:r>
        <w:rPr>
          <w:rFonts w:hint="eastAsia"/>
        </w:rPr>
        <w:t>2.如国家有家最新的强制标准和国家或行业的最新的规范，执行国家最新的强制标准和国家或行业的最新的规范。</w:t>
      </w:r>
    </w:p>
    <w:p w14:paraId="53EFCD06">
      <w:pPr>
        <w:pStyle w:val="62"/>
        <w:rPr>
          <w:highlight w:val="yellow"/>
        </w:rPr>
      </w:pPr>
      <w:bookmarkStart w:id="95" w:name="_Toc221894128"/>
      <w:r>
        <w:t>（三）技术标准和要求</w:t>
      </w:r>
      <w:bookmarkEnd w:id="95"/>
    </w:p>
    <w:p w14:paraId="3199539F">
      <w:pPr>
        <w:pStyle w:val="64"/>
        <w:spacing w:before="24" w:after="24"/>
        <w:rPr>
          <w:rFonts w:cs="Times New Roman"/>
        </w:rPr>
      </w:pPr>
      <w:bookmarkStart w:id="96" w:name="_Toc221894129"/>
      <w:r>
        <w:rPr>
          <w:rFonts w:cs="Times New Roman"/>
        </w:rPr>
        <w:t>1、总则</w:t>
      </w:r>
      <w:bookmarkEnd w:id="96"/>
    </w:p>
    <w:p w14:paraId="6229B893">
      <w:pPr>
        <w:pStyle w:val="54"/>
        <w:spacing w:before="24" w:after="24"/>
      </w:pPr>
      <w:r>
        <w:t>1.1 满足国家有关法律、国家及地方标准、规范、规程、条例等规定。</w:t>
      </w:r>
    </w:p>
    <w:p w14:paraId="759AD9FB">
      <w:pPr>
        <w:pStyle w:val="54"/>
        <w:spacing w:before="24" w:after="24"/>
      </w:pPr>
      <w:r>
        <w:t>1.2 承包单位应执行发包人与承包单位签署施工合同前已经生效的相应标准、规范的最新版本。</w:t>
      </w:r>
    </w:p>
    <w:p w14:paraId="50A978AE">
      <w:pPr>
        <w:pStyle w:val="54"/>
        <w:spacing w:before="24" w:after="24"/>
      </w:pPr>
      <w:r>
        <w:t>1.3 当技术要求与相关规范不一致时，以两者中要求较高者为准。</w:t>
      </w:r>
    </w:p>
    <w:p w14:paraId="108786DA">
      <w:pPr>
        <w:pStyle w:val="54"/>
        <w:spacing w:before="24" w:after="24"/>
      </w:pPr>
      <w:r>
        <w:t>1.4 当本技术要求与相关规范对于所有工序、物料质量等不一致时，取要求较为严格者。</w:t>
      </w:r>
    </w:p>
    <w:p w14:paraId="3A4D124B">
      <w:pPr>
        <w:pStyle w:val="64"/>
        <w:spacing w:before="24" w:after="24"/>
        <w:rPr>
          <w:rFonts w:cs="Times New Roman"/>
        </w:rPr>
      </w:pPr>
      <w:bookmarkStart w:id="97" w:name="_Toc221894130"/>
      <w:r>
        <w:rPr>
          <w:rFonts w:cs="Times New Roman"/>
        </w:rPr>
        <w:t>2、总平面专业</w:t>
      </w:r>
      <w:bookmarkEnd w:id="97"/>
    </w:p>
    <w:p w14:paraId="39C38A75">
      <w:pPr>
        <w:pStyle w:val="66"/>
        <w:rPr>
          <w:rFonts w:cs="Times New Roman"/>
        </w:rPr>
      </w:pPr>
      <w:r>
        <w:rPr>
          <w:rFonts w:cs="Times New Roman"/>
        </w:rPr>
        <w:t>2.1 总则</w:t>
      </w:r>
    </w:p>
    <w:p w14:paraId="1DA381B9">
      <w:pPr>
        <w:pStyle w:val="54"/>
        <w:spacing w:before="24" w:after="24"/>
      </w:pPr>
      <w:r>
        <w:t>应满足《建筑工程设计文件编制深度规定》要求，深化初步设计，科学地进行竖向设计、土石方工程平衡、管道综合、景观绿化、边坡等工程的施工图设计工作，相关的道路、挡土墙、护坡、排水沟、池壁、广场、活动场地、停车场地、围墙等做法，应满足采购、制作和施工的需要。建筑总平面图设计要素包括但不限于：用地红线、建筑控制线、道路红线、建筑高度、建筑性质、建筑物间距、周边道路情况、场地竖向、消防设计和建筑技术经济指标。</w:t>
      </w:r>
    </w:p>
    <w:p w14:paraId="24B45A2B">
      <w:pPr>
        <w:pStyle w:val="66"/>
        <w:rPr>
          <w:rFonts w:cs="Times New Roman"/>
        </w:rPr>
      </w:pPr>
      <w:r>
        <w:rPr>
          <w:rFonts w:cs="Times New Roman"/>
        </w:rPr>
        <w:t>2.2 技术要求</w:t>
      </w:r>
    </w:p>
    <w:p w14:paraId="35F3F3CC">
      <w:pPr>
        <w:pStyle w:val="54"/>
        <w:spacing w:before="24" w:after="24"/>
      </w:pPr>
      <w:r>
        <w:t>2.2.1在设计建筑总平面图中，要注意建筑室外场地应该保留的原有地形和地貌。</w:t>
      </w:r>
    </w:p>
    <w:p w14:paraId="6ADC9A38">
      <w:pPr>
        <w:pStyle w:val="54"/>
        <w:spacing w:before="24" w:after="24"/>
      </w:pPr>
      <w:r>
        <w:t>2.2.2注意场地坐标值，场地被规定的用地红线和建筑控制线。</w:t>
      </w:r>
    </w:p>
    <w:p w14:paraId="2C1550A1">
      <w:pPr>
        <w:pStyle w:val="54"/>
        <w:spacing w:before="24" w:after="24"/>
      </w:pPr>
      <w:r>
        <w:t>2.2.3场地四邻原有及规划的道路、绿化带等的位置（主要坐标或定位尺寸）和主要建筑物及构筑物的位置、名称、层数、间距。</w:t>
      </w:r>
    </w:p>
    <w:p w14:paraId="48C2F4BF">
      <w:pPr>
        <w:pStyle w:val="54"/>
        <w:spacing w:before="24" w:after="24"/>
      </w:pPr>
      <w:r>
        <w:t>2.2.4建筑物、构筑物的位置（人防工程、地下车库、油库、贮水池等隐蔽工程用虚线表示）。</w:t>
      </w:r>
    </w:p>
    <w:p w14:paraId="7A342F6E">
      <w:pPr>
        <w:pStyle w:val="54"/>
        <w:spacing w:before="24" w:after="24"/>
      </w:pPr>
      <w:r>
        <w:t>2.2.5与各类控制线的距离，其中主要建筑物、构筑物应标注坐标（或定位尺寸）、与相邻建筑物之间的距离及建筑物总尺寸、名称（或编号）、层数。</w:t>
      </w:r>
    </w:p>
    <w:p w14:paraId="3F0C8C51">
      <w:pPr>
        <w:pStyle w:val="54"/>
        <w:spacing w:before="24" w:after="24"/>
      </w:pPr>
      <w:r>
        <w:t>2.2.6道路、广场的主要坐标（或定位尺寸），停车场及停车位、消防车道及高层建筑消防扑救场地的布置，必要时加绘交通流线示意图。</w:t>
      </w:r>
    </w:p>
    <w:p w14:paraId="5F6FD4EB">
      <w:pPr>
        <w:pStyle w:val="54"/>
        <w:spacing w:before="24" w:after="24"/>
      </w:pPr>
      <w:r>
        <w:t>2.2.7绿化、景观及休闲设施的布置示意，并表示出护坡、挡土墙，排水沟等。</w:t>
      </w:r>
    </w:p>
    <w:p w14:paraId="60481EE0">
      <w:pPr>
        <w:pStyle w:val="54"/>
        <w:spacing w:before="24" w:after="24"/>
      </w:pPr>
      <w:r>
        <w:t>2.2.8绘制指北针或风玫瑰图。</w:t>
      </w:r>
    </w:p>
    <w:p w14:paraId="49D5599B">
      <w:pPr>
        <w:pStyle w:val="54"/>
        <w:spacing w:before="24" w:after="24"/>
      </w:pPr>
      <w:r>
        <w:t>2.2.9建筑布局应满足日照标准，且不得降低周边建筑的日照标准。</w:t>
      </w:r>
    </w:p>
    <w:p w14:paraId="18DB6E2C">
      <w:pPr>
        <w:pStyle w:val="64"/>
        <w:spacing w:before="24" w:after="24"/>
        <w:rPr>
          <w:rFonts w:cs="Times New Roman"/>
        </w:rPr>
      </w:pPr>
      <w:bookmarkStart w:id="98" w:name="_Toc221894131"/>
      <w:r>
        <w:rPr>
          <w:rFonts w:cs="Times New Roman"/>
        </w:rPr>
        <w:t>3、建筑专业</w:t>
      </w:r>
      <w:bookmarkEnd w:id="98"/>
    </w:p>
    <w:p w14:paraId="351E3FD0">
      <w:pPr>
        <w:pStyle w:val="66"/>
        <w:rPr>
          <w:rFonts w:cs="Times New Roman"/>
        </w:rPr>
      </w:pPr>
      <w:r>
        <w:rPr>
          <w:rFonts w:cs="Times New Roman"/>
        </w:rPr>
        <w:t>3.1 总则</w:t>
      </w:r>
    </w:p>
    <w:p w14:paraId="6482E062">
      <w:pPr>
        <w:pStyle w:val="54"/>
        <w:spacing w:before="24" w:after="24"/>
      </w:pPr>
      <w:r>
        <w:t>设计深度应满足《建筑工程设计文件编制深度规定》（2016版）要求，科学地进行各单体的墙体、地下室、屋面、门窗、室内外装修、玻璃、油漆涂料、室外等工程的设计工作，防水、防火、装饰等材料和做法，应满足采购、制作和施工的需要。</w:t>
      </w:r>
    </w:p>
    <w:p w14:paraId="0BE6F6EE">
      <w:pPr>
        <w:pStyle w:val="66"/>
        <w:rPr>
          <w:rFonts w:cs="Times New Roman"/>
        </w:rPr>
      </w:pPr>
      <w:r>
        <w:rPr>
          <w:rFonts w:cs="Times New Roman"/>
        </w:rPr>
        <w:t>3.2 技术要求</w:t>
      </w:r>
    </w:p>
    <w:p w14:paraId="369BCE72">
      <w:pPr>
        <w:pStyle w:val="82"/>
        <w:spacing w:before="24" w:after="24"/>
        <w:ind w:firstLine="562"/>
        <w:rPr>
          <w:rFonts w:cs="Times New Roman"/>
        </w:rPr>
      </w:pPr>
      <w:r>
        <w:rPr>
          <w:rFonts w:cs="Times New Roman"/>
        </w:rPr>
        <w:t>3.2.1地下室工程</w:t>
      </w:r>
    </w:p>
    <w:p w14:paraId="124BB7EB">
      <w:pPr>
        <w:pStyle w:val="54"/>
        <w:spacing w:before="24" w:after="24"/>
      </w:pPr>
      <w:r>
        <w:t>1.非人防地下室</w:t>
      </w:r>
    </w:p>
    <w:p w14:paraId="7DDB774D">
      <w:pPr>
        <w:pStyle w:val="54"/>
        <w:spacing w:before="24" w:after="24"/>
      </w:pPr>
      <w:r>
        <w:t>（1）地下工程防水执行《建筑与市政工程防水通用规范》GB55030-2022、《地下工程防水技术规范》GB50108-2008。</w:t>
      </w:r>
    </w:p>
    <w:p w14:paraId="677CC95E">
      <w:pPr>
        <w:pStyle w:val="54"/>
        <w:spacing w:before="24" w:after="24"/>
      </w:pPr>
      <w:r>
        <w:t>（2）德钦县城地质灾害避险搬迁近期建设项目二期地下工程防水等级为一级。</w:t>
      </w:r>
    </w:p>
    <w:p w14:paraId="394619DA">
      <w:pPr>
        <w:pStyle w:val="54"/>
        <w:spacing w:before="24" w:after="24"/>
      </w:pPr>
      <w:r>
        <w:t>（3）附建式全地下或半地下工程的防水设防范围应高出室外地坪，其超出的高度不应小于300mm。</w:t>
      </w:r>
    </w:p>
    <w:p w14:paraId="515A9FF4">
      <w:pPr>
        <w:pStyle w:val="54"/>
        <w:spacing w:before="24" w:after="24"/>
      </w:pPr>
      <w:r>
        <w:t>（4）地下工程的变形缝（诱导缝）、施工缝、后浇带、穿墙管（盒）、预埋件、预留通道接头、桩头、孔口、坑池、转角等细部构造，应加强防水措施，并符合《地下防水工程质量验收规范》GB50208-2011的有关规定。</w:t>
      </w:r>
    </w:p>
    <w:p w14:paraId="1CB732BA">
      <w:pPr>
        <w:pStyle w:val="54"/>
        <w:spacing w:before="24" w:after="24"/>
      </w:pPr>
      <w:r>
        <w:t>（5）工程周围800mm以内宜采用</w:t>
      </w:r>
      <w:r>
        <w:rPr>
          <w:color w:val="auto"/>
        </w:rPr>
        <w:t>黏土或亚黏土回填</w:t>
      </w:r>
      <w:r>
        <w:t>，其中不得含有石块、碎砖、灰渣、有机杂物以及冻土。回填施工应均匀对称进行，并应分层夯实。人工夯实每层厚度不应大于250mm，机械夯实每层厚度不应大于300mm，并应采取保护措施。</w:t>
      </w:r>
    </w:p>
    <w:p w14:paraId="3B21D04E">
      <w:pPr>
        <w:pStyle w:val="54"/>
        <w:spacing w:before="24" w:after="24"/>
      </w:pPr>
      <w:r>
        <w:t>2.人防地下室</w:t>
      </w:r>
    </w:p>
    <w:p w14:paraId="1B4105CC">
      <w:pPr>
        <w:pStyle w:val="54"/>
        <w:spacing w:before="24" w:after="24"/>
      </w:pPr>
      <w:r>
        <w:t>（1）人防等级、范围、面积以人防批复文件为准。在战时常规爆炸动荷载作用下，动力分析采用等效静载法。在按战时荷载设计时，不同时考虑楼板活载。</w:t>
      </w:r>
    </w:p>
    <w:p w14:paraId="28882533">
      <w:pPr>
        <w:pStyle w:val="54"/>
        <w:spacing w:before="24" w:after="24"/>
      </w:pPr>
      <w:r>
        <w:t>（2）平战转换措施</w:t>
      </w:r>
    </w:p>
    <w:p w14:paraId="0A07D0F3">
      <w:pPr>
        <w:pStyle w:val="54"/>
        <w:spacing w:before="24" w:after="24"/>
      </w:pPr>
      <w:r>
        <w:t>平战转换阶段分为早期转换阶段30天，临战转换15天，紧急转换3天。为了在战时能够迅速、准确地指引人防地下室使用人按规范要求做好转换工作，实现人防地下室的战时功能，尽最大可能地保护公共生命安全，设计中应提供完善的平战转换预案。平时设计中应综合考虑，尽量减少平战转换量。根据《人民防空工程防护功能平战转换设计标准》（RFJ1-1998）的规定，将平时所用到的通道口、风管、水管等全部需要进行临战拆除和处理，对其进行加固和封堵。密闭隔墙和抗爆挡墙等周边的混凝土结构要提前预埋钢板。在对作战时所设计的房间和设施，包括水箱、防爆隔墙及供水点都需要在设计中提前预留位置，预定相对应的实施方案和措施，并且在临战时提前完成。在对需要混凝土浇筑，并且防护非常重要的地方，如临空墙、战时出入口，进排风竖井、密闭门以及密闭门的门框和门扇以及洗消间等地区，要一次性设计，并且一次性施工完成。</w:t>
      </w:r>
    </w:p>
    <w:p w14:paraId="68E7AF53">
      <w:pPr>
        <w:pStyle w:val="54"/>
        <w:spacing w:before="24" w:after="24"/>
      </w:pPr>
      <w:r>
        <w:t>1）平战转换的要求应根据人防使用性质和当时人防部门的要求决定。</w:t>
      </w:r>
    </w:p>
    <w:p w14:paraId="1B3DF412">
      <w:pPr>
        <w:pStyle w:val="54"/>
        <w:spacing w:before="24" w:after="24"/>
      </w:pPr>
      <w:r>
        <w:t>2）平战转换设计包括使用功能转换设计、防护功能转换设计和内部设备系统的平战转换设计。</w:t>
      </w:r>
    </w:p>
    <w:p w14:paraId="32C9261D">
      <w:pPr>
        <w:pStyle w:val="54"/>
        <w:spacing w:before="24" w:after="24"/>
      </w:pPr>
      <w:r>
        <w:t>3）人防工程战时使用的出入口、孔口的防护设备必须按防护要求在工程施工时一次安装到位。</w:t>
      </w:r>
    </w:p>
    <w:p w14:paraId="69C7FCA0">
      <w:pPr>
        <w:pStyle w:val="54"/>
        <w:spacing w:before="24" w:after="24"/>
      </w:pPr>
      <w:r>
        <w:t>4）专供平时使用的出入口、设备安装口、采光窗等临战时的封堵措施，应保证战时的抗力、密闭、防早期核辐射等要求，在施工时应做好预留预埋构件。</w:t>
      </w:r>
    </w:p>
    <w:p w14:paraId="38337B04">
      <w:pPr>
        <w:pStyle w:val="54"/>
        <w:spacing w:before="24" w:after="24"/>
      </w:pPr>
      <w:r>
        <w:t>5）平时不使用的内部设备、设施和除尘滤毒装置应做到设计到位，可暂不安装，做好隐蔽工程和预埋预留。</w:t>
      </w:r>
    </w:p>
    <w:p w14:paraId="2A0309B8">
      <w:pPr>
        <w:pStyle w:val="54"/>
        <w:spacing w:before="24" w:after="24"/>
      </w:pPr>
      <w:r>
        <w:t>6）</w:t>
      </w:r>
      <w:r>
        <w:rPr>
          <w:color w:val="000000" w:themeColor="text1"/>
          <w14:textFill>
            <w14:solidFill>
              <w14:schemeClr w14:val="tx1"/>
            </w14:solidFill>
          </w14:textFill>
        </w:rPr>
        <w:t>二等人</w:t>
      </w:r>
      <w:r>
        <w:rPr>
          <w:rFonts w:hint="eastAsia"/>
          <w:color w:val="000000" w:themeColor="text1"/>
          <w14:textFill>
            <w14:solidFill>
              <w14:schemeClr w14:val="tx1"/>
            </w14:solidFill>
          </w14:textFill>
        </w:rPr>
        <w:t>员</w:t>
      </w:r>
      <w:r>
        <w:rPr>
          <w:color w:val="000000" w:themeColor="text1"/>
          <w14:textFill>
            <w14:solidFill>
              <w14:schemeClr w14:val="tx1"/>
            </w14:solidFill>
          </w14:textFill>
        </w:rPr>
        <w:t>掩蔽所</w:t>
      </w:r>
      <w:r>
        <w:t>、物资库和汽车库内的贮水间（箱）平时不使用时，可采用装配式水箱在战时构筑，但需事先做好预留预埋。</w:t>
      </w:r>
    </w:p>
    <w:p w14:paraId="51989356">
      <w:pPr>
        <w:pStyle w:val="82"/>
        <w:spacing w:before="24" w:after="24"/>
        <w:ind w:firstLine="562"/>
        <w:rPr>
          <w:rFonts w:cs="Times New Roman"/>
        </w:rPr>
      </w:pPr>
      <w:r>
        <w:rPr>
          <w:rFonts w:cs="Times New Roman"/>
        </w:rPr>
        <w:t>3.2.2 墙体工程</w:t>
      </w:r>
    </w:p>
    <w:p w14:paraId="65592C9F">
      <w:pPr>
        <w:pStyle w:val="54"/>
        <w:spacing w:before="24" w:after="24"/>
      </w:pPr>
      <w:r>
        <w:t>1.墙体材料</w:t>
      </w:r>
    </w:p>
    <w:p w14:paraId="2911BC8F">
      <w:pPr>
        <w:pStyle w:val="54"/>
        <w:spacing w:before="24" w:after="24"/>
      </w:pPr>
      <w:r>
        <w:t>（1）免烧实心砖：用于用水房间（厨房、卫生间）、管道井隔墙、±0.000以下墙体。</w:t>
      </w:r>
    </w:p>
    <w:p w14:paraId="287B89E6">
      <w:pPr>
        <w:pStyle w:val="54"/>
        <w:spacing w:before="24" w:after="24"/>
      </w:pPr>
      <w:r>
        <w:t>（2）蒸压加气混凝土砌块：除上条以外的内墙、外墙。</w:t>
      </w:r>
    </w:p>
    <w:p w14:paraId="26660F21">
      <w:pPr>
        <w:pStyle w:val="54"/>
        <w:spacing w:before="24" w:after="24"/>
      </w:pPr>
      <w:r>
        <w:t>（3）为响应国家政策采用的新型建筑砌体，提出申请，经发包人同意后使用。</w:t>
      </w:r>
    </w:p>
    <w:p w14:paraId="345F1EE9">
      <w:pPr>
        <w:pStyle w:val="54"/>
        <w:spacing w:before="24" w:after="24"/>
      </w:pPr>
      <w:r>
        <w:t>2.填充墙构造和技术要求见《蒸压加气混凝土砌块砌体结构技术规范》CESC289:2011。</w:t>
      </w:r>
    </w:p>
    <w:p w14:paraId="403193C8">
      <w:pPr>
        <w:pStyle w:val="54"/>
        <w:spacing w:before="24" w:after="24"/>
      </w:pPr>
      <w:r>
        <w:t>3.填充墙砌筑砂浆的最低强度等级应符合下列规定：烧结普通砖和烧结多孔砖砌体应为M5；蒸压加气混凝土砌块砌体应为Ma5，蒸压灰砂普通砖和蒸压粉煤灰普通砖砌体应为Ms5；混凝土普通砖、混凝土多孔砖砌体应为Mb5；混凝土砌块、煤矸石混凝土砌块砌体应为Mb7.5；配筋砌块砌体应为Mb10。室内地坪以下及潮湿环境应采用水泥砂浆、预拌砂浆或专用砂浆；各类砌块砌体应根据使用环境采用普通砌筑砂浆或专用砂浆砌筑。</w:t>
      </w:r>
    </w:p>
    <w:p w14:paraId="48FF2FE7">
      <w:pPr>
        <w:pStyle w:val="54"/>
        <w:spacing w:before="24" w:after="24"/>
      </w:pPr>
      <w:r>
        <w:t>4.墙身防潮层：1:2.5水泥砂浆（内掺5%防水剂）。</w:t>
      </w:r>
    </w:p>
    <w:p w14:paraId="00DD9F5E">
      <w:pPr>
        <w:pStyle w:val="54"/>
        <w:spacing w:before="24" w:after="24"/>
      </w:pPr>
      <w:r>
        <w:t>5.墙体留洞及封堵</w:t>
      </w:r>
    </w:p>
    <w:p w14:paraId="51378295">
      <w:pPr>
        <w:pStyle w:val="54"/>
        <w:spacing w:before="24" w:after="24"/>
      </w:pPr>
      <w:r>
        <w:t>（1）大于300mm宽的预留洞洞口，除钢筋混凝土墙上的预留洞见结施、建施和设备施工图外，填充墙预留洞均见建施和设备施工图。300mm宽以下墙体留洞应与有关工种配合施工。</w:t>
      </w:r>
    </w:p>
    <w:p w14:paraId="59997920">
      <w:pPr>
        <w:pStyle w:val="54"/>
        <w:spacing w:before="24" w:after="24"/>
      </w:pPr>
      <w:r>
        <w:t>（2）预留洞的封堵：钢筋混凝土墙留洞的封堵见结施，其余填充墙留洞待管道设备安装完毕后，用C20细石混凝土填墙垫，再砌筑上部墙体，墙垫厚度同该部位填充墙体厚度。</w:t>
      </w:r>
    </w:p>
    <w:p w14:paraId="6FC8B49D">
      <w:pPr>
        <w:pStyle w:val="54"/>
        <w:spacing w:before="24" w:after="24"/>
      </w:pPr>
      <w:r>
        <w:t>6.下列部位填充墙体根部须先做高出相邻较高地面完成面、楼面完成面、屋面完成面200mm（另有注明者除外）的C20细石混凝土墙垫，再砌筑上部墙体，墙垫厚度同该部位填充墙体厚度。</w:t>
      </w:r>
    </w:p>
    <w:p w14:paraId="01C5CBC6">
      <w:pPr>
        <w:pStyle w:val="54"/>
        <w:spacing w:before="24" w:after="24"/>
      </w:pPr>
      <w:r>
        <w:t>（1）阳台、露台、室外平台与外墙交接处（门洞除外，设门槛或屋面出入口时另详）。</w:t>
      </w:r>
    </w:p>
    <w:p w14:paraId="1C270B3A">
      <w:pPr>
        <w:pStyle w:val="54"/>
        <w:spacing w:before="24" w:after="24"/>
      </w:pPr>
      <w:r>
        <w:t>（2）女儿墙及出屋面风井、管道井、楼梯间四周屋面完成面起算200mm高范围内墙体。</w:t>
      </w:r>
    </w:p>
    <w:p w14:paraId="20E66E91">
      <w:pPr>
        <w:pStyle w:val="54"/>
        <w:spacing w:before="24" w:after="24"/>
      </w:pPr>
      <w:r>
        <w:t>（3）设有地漏或排水沟的厨房、卫生间、盥洗室、浴室等有水或有浸水可能的房间四周墙体（门洞除外）。</w:t>
      </w:r>
    </w:p>
    <w:p w14:paraId="432C6786">
      <w:pPr>
        <w:pStyle w:val="54"/>
        <w:spacing w:before="24" w:after="24"/>
      </w:pPr>
      <w:r>
        <w:t>（4）有防水要求的房间（强弱电设备房及设备间等）、管道井的四周墙体（含门洞）。</w:t>
      </w:r>
    </w:p>
    <w:p w14:paraId="198C5806">
      <w:pPr>
        <w:pStyle w:val="54"/>
        <w:spacing w:before="24" w:after="24"/>
      </w:pPr>
      <w:r>
        <w:t>（5）有防水淹要求的房间（消防水泵房、消防控制室等）四周墙体（含门洞）。</w:t>
      </w:r>
    </w:p>
    <w:p w14:paraId="38199793">
      <w:pPr>
        <w:pStyle w:val="54"/>
        <w:spacing w:before="24" w:after="24"/>
      </w:pPr>
      <w:r>
        <w:t>（6）地下室出地面的楼梯间、风井等或室内地面低于室外设计地面的房间与室外设计地面相邻部位，从室外设计地面起算500mm高范围内墙体。</w:t>
      </w:r>
    </w:p>
    <w:p w14:paraId="48D8C17C">
      <w:pPr>
        <w:pStyle w:val="54"/>
        <w:spacing w:before="24" w:after="24"/>
      </w:pPr>
      <w:r>
        <w:t>7.填充墙除注明者外均应砌至楼板底，并挤实。</w:t>
      </w:r>
    </w:p>
    <w:p w14:paraId="3E839F25">
      <w:pPr>
        <w:pStyle w:val="54"/>
        <w:spacing w:before="24" w:after="24"/>
      </w:pPr>
      <w:r>
        <w:t>8.填充墙体内埋设管线时，应根据墙体材料相关构造及技术要求进行处理，并在砌筑时与各工种配合安装。</w:t>
      </w:r>
    </w:p>
    <w:p w14:paraId="5A7D13E6">
      <w:pPr>
        <w:pStyle w:val="54"/>
        <w:spacing w:before="24" w:after="24"/>
      </w:pPr>
      <w:r>
        <w:t>9.各种机房除注明留有设备安装孔者外，可将临走道一侧之填充墙体先不砌，待设备安装后再砌墙、安装门窗。</w:t>
      </w:r>
    </w:p>
    <w:p w14:paraId="0B714702">
      <w:pPr>
        <w:pStyle w:val="54"/>
        <w:spacing w:before="24" w:after="24"/>
      </w:pPr>
      <w:r>
        <w:t>10.砌块墙体上固定设备时，应在相应固定高度处加设≥200mm高C20混凝土带，长度大于设备固定部件两边各100mm。</w:t>
      </w:r>
    </w:p>
    <w:p w14:paraId="13BDD326">
      <w:pPr>
        <w:pStyle w:val="54"/>
        <w:spacing w:before="24" w:after="24"/>
      </w:pPr>
      <w:r>
        <w:t>11.外墙节点防水应符合下列规定：</w:t>
      </w:r>
    </w:p>
    <w:p w14:paraId="745A0DDA">
      <w:pPr>
        <w:pStyle w:val="54"/>
        <w:spacing w:before="24" w:after="24"/>
      </w:pPr>
      <w:r>
        <w:t>（1）变形缝部位采取防水加强措施。当采用增设卷材附加层措施时，卷材两端满粘于墙体，满粘的宽度不小于150mm，并钉压固定，卷材收头采用密封材料密封。</w:t>
      </w:r>
    </w:p>
    <w:p w14:paraId="3DD2551D">
      <w:pPr>
        <w:pStyle w:val="54"/>
        <w:spacing w:before="24" w:after="24"/>
      </w:pPr>
      <w:r>
        <w:t>（2）穿过外墙的管道采用套管，套管内高外低，坡度不小于5%，套管周边做防水密封处理，套管与管道间采用防水密封材料封堵密实。</w:t>
      </w:r>
    </w:p>
    <w:p w14:paraId="4918092F">
      <w:pPr>
        <w:pStyle w:val="54"/>
        <w:spacing w:before="24" w:after="24"/>
      </w:pPr>
      <w:r>
        <w:t>（3）女儿墙压顶向内找坡，坡度不小于5%。</w:t>
      </w:r>
    </w:p>
    <w:p w14:paraId="3A252D23">
      <w:pPr>
        <w:pStyle w:val="54"/>
        <w:spacing w:before="24" w:after="24"/>
      </w:pPr>
      <w:r>
        <w:t>（4）门窗框与墙体间连接处的缝隙采用防水密封材料嵌填和密封；门窗洞口上楣设置滴水线；窗台处设置排水板和滴水线等排水构造措施，排水坡度不小于5％。</w:t>
      </w:r>
    </w:p>
    <w:p w14:paraId="3F41621E">
      <w:pPr>
        <w:pStyle w:val="54"/>
        <w:spacing w:before="24" w:after="24"/>
      </w:pPr>
      <w:r>
        <w:t>（5）外墙预埋件和预制部件四周采用防水密封材料连续封闭。</w:t>
      </w:r>
    </w:p>
    <w:p w14:paraId="4A5E00E6">
      <w:pPr>
        <w:pStyle w:val="54"/>
        <w:spacing w:before="24" w:after="24"/>
      </w:pPr>
      <w:r>
        <w:t>12.各教室前端侧窗窗端墙的长度不应小于1.00m。窗间墙宽度不应大于1.20m。</w:t>
      </w:r>
    </w:p>
    <w:p w14:paraId="135555E4">
      <w:pPr>
        <w:pStyle w:val="82"/>
        <w:spacing w:before="24" w:after="24"/>
        <w:ind w:firstLine="562"/>
        <w:rPr>
          <w:rFonts w:cs="Times New Roman"/>
        </w:rPr>
      </w:pPr>
      <w:r>
        <w:rPr>
          <w:rFonts w:cs="Times New Roman"/>
        </w:rPr>
        <w:t>3.2.3 屋面工程</w:t>
      </w:r>
    </w:p>
    <w:p w14:paraId="4BCCD99A">
      <w:pPr>
        <w:pStyle w:val="54"/>
        <w:spacing w:before="24" w:after="24"/>
      </w:pPr>
      <w:r>
        <w:t>1.屋面工程防水执行《建筑与市政工程防水通用规范》GB55030-2022、《屋面工程技术规范》GB50345-2012，坡屋面工程防水</w:t>
      </w:r>
      <w:r>
        <w:rPr>
          <w:color w:val="auto"/>
        </w:rPr>
        <w:t>尚应执行</w:t>
      </w:r>
      <w:r>
        <w:t>《坡屋面工程技术规范》GB50693-2011。</w:t>
      </w:r>
    </w:p>
    <w:p w14:paraId="0CC4D79E">
      <w:pPr>
        <w:pStyle w:val="54"/>
        <w:spacing w:before="24" w:after="24"/>
      </w:pPr>
      <w:r>
        <w:t>2.德钦县城地质灾害避险搬迁近期建设项目二期工程屋面防水等级为一级。</w:t>
      </w:r>
    </w:p>
    <w:p w14:paraId="769086BC">
      <w:pPr>
        <w:pStyle w:val="54"/>
        <w:spacing w:before="24" w:after="24"/>
      </w:pPr>
      <w:r>
        <w:t>3.在平面图中需表示屋面排水组织及水落口位置。</w:t>
      </w:r>
    </w:p>
    <w:p w14:paraId="218DDF4C">
      <w:pPr>
        <w:pStyle w:val="54"/>
        <w:spacing w:before="24" w:after="24"/>
      </w:pPr>
      <w:r>
        <w:t>4.屋面工程的檐口、檐沟和天沟、女儿墙和山墙、水落口、变形缝、伸出屋面管道、屋面出入口、反梁过水孔、设施基座、屋脊、屋顶窗等细部构造，应加强防水措施，并符合《屋面工程质量验收规范》GB50207-2012的有关规定。</w:t>
      </w:r>
    </w:p>
    <w:p w14:paraId="5ABC29F8">
      <w:pPr>
        <w:pStyle w:val="54"/>
        <w:spacing w:before="24" w:after="24"/>
      </w:pPr>
      <w:r>
        <w:t>5.屋面设施基座细部构造应符合下列规定：</w:t>
      </w:r>
    </w:p>
    <w:p w14:paraId="7FA2F43E">
      <w:pPr>
        <w:pStyle w:val="54"/>
        <w:spacing w:before="24" w:after="24"/>
      </w:pPr>
      <w:r>
        <w:t>（1）设施基座与结构层相连时，防水层应包裹设施基座的上部，并应在地脚螺栓周围做密封处理。</w:t>
      </w:r>
    </w:p>
    <w:p w14:paraId="2980F6F8">
      <w:pPr>
        <w:pStyle w:val="54"/>
        <w:spacing w:before="24" w:after="24"/>
      </w:pPr>
      <w:r>
        <w:t>（2）在防水层上放置设施时，防水层下应增设卷材附加层，必要时应在其上浇筑细石混凝土，其厚度不应小于50mm，需经常维护的设施周围和屋面出入口至设施之间的人行道应铺设块体材料或细石混凝土保护层。</w:t>
      </w:r>
    </w:p>
    <w:p w14:paraId="538F5917">
      <w:pPr>
        <w:pStyle w:val="54"/>
        <w:spacing w:before="24" w:after="24"/>
      </w:pPr>
      <w:r>
        <w:t>6.出屋面管道、设备基础、预埋件等应在防水层施工前完成，防水材料应上翻，泛水高度不应小于屋面完成面250mm，按建筑和各设备专业图纸及相关图集相关节点施工。</w:t>
      </w:r>
    </w:p>
    <w:p w14:paraId="3D59AEC2">
      <w:pPr>
        <w:pStyle w:val="54"/>
        <w:spacing w:before="24" w:after="24"/>
      </w:pPr>
      <w:r>
        <w:t>7.太阳能热水系统的设计和施工应符合下列规定：</w:t>
      </w:r>
    </w:p>
    <w:p w14:paraId="3492156E">
      <w:pPr>
        <w:pStyle w:val="54"/>
        <w:spacing w:before="24" w:after="24"/>
      </w:pPr>
      <w:r>
        <w:t>（1）在安装太阳能集热器的建筑部位，应设置防止太阳能集热器损坏后部件坠落伤人的安全防护设施。</w:t>
      </w:r>
    </w:p>
    <w:p w14:paraId="634CE557">
      <w:pPr>
        <w:pStyle w:val="54"/>
        <w:spacing w:before="24" w:after="24"/>
      </w:pPr>
      <w:r>
        <w:t>（2）安装在建筑上或直接构成建筑围护结构的太阳能集热器，应有防止热水渗漏的安全保障措施。</w:t>
      </w:r>
    </w:p>
    <w:p w14:paraId="18072648">
      <w:pPr>
        <w:pStyle w:val="54"/>
        <w:spacing w:before="24" w:after="24"/>
      </w:pPr>
      <w:r>
        <w:t>（3）太阳能集热器与坡屋面结合处雨水的排放应通畅。</w:t>
      </w:r>
    </w:p>
    <w:p w14:paraId="65544C4E">
      <w:pPr>
        <w:pStyle w:val="54"/>
        <w:spacing w:before="24" w:after="24"/>
      </w:pPr>
      <w:r>
        <w:t>（4）禁止将太阳能集热器作为后置构件于土建施工完毕后安装，以免破坏防水层。</w:t>
      </w:r>
    </w:p>
    <w:p w14:paraId="6E00365B">
      <w:pPr>
        <w:pStyle w:val="54"/>
        <w:spacing w:before="24" w:after="24"/>
      </w:pPr>
      <w:r>
        <w:t>8.瓦屋面、金属屋面和种植屋面等应根据工程所在地的基本风压、地震设防烈度和屋面坡度等条件，采取抗风揭和抗滑落的加强固定措施。</w:t>
      </w:r>
    </w:p>
    <w:p w14:paraId="19324216">
      <w:pPr>
        <w:pStyle w:val="82"/>
        <w:spacing w:before="24" w:after="24"/>
        <w:ind w:firstLine="562"/>
        <w:rPr>
          <w:rFonts w:cs="Times New Roman"/>
        </w:rPr>
      </w:pPr>
      <w:r>
        <w:rPr>
          <w:rFonts w:cs="Times New Roman"/>
        </w:rPr>
        <w:t>3.2.4 门窗工程</w:t>
      </w:r>
    </w:p>
    <w:p w14:paraId="381E17BD">
      <w:pPr>
        <w:pStyle w:val="54"/>
        <w:spacing w:before="24" w:after="24"/>
      </w:pPr>
      <w:r>
        <w:t>1.门窗的设计、制作、安装和验收应执行《铝合金门窗工程技术规范》JGJ214-2010、《铝合金门窗》GB/T8478-2020等现行相应类型门窗设计、制作、安装和验收规范。</w:t>
      </w:r>
    </w:p>
    <w:p w14:paraId="75818E04">
      <w:pPr>
        <w:pStyle w:val="54"/>
        <w:spacing w:before="24" w:after="24"/>
      </w:pPr>
      <w:r>
        <w:t>2.建筑外门窗气密性能分级为6级，建筑幕墙气密性不低于3级，保温性能分级为5级，隔声性能分级为3级。</w:t>
      </w:r>
    </w:p>
    <w:p w14:paraId="06321FED">
      <w:pPr>
        <w:pStyle w:val="54"/>
        <w:spacing w:before="24" w:after="24"/>
      </w:pPr>
      <w:r>
        <w:t>3.门窗数量及规格见门窗表及门窗立面图。门窗表及门窗立面图中所示尺寸，均为洞口尺寸，生产厂商在制作前应现场测量准确，并根据不同装饰面层，进行门窗尺寸的确定。生产厂商应按门窗立面图所示门窗扇分格及开启方式绘制详细安装图，经设计人员认可后方可制作安装。</w:t>
      </w:r>
    </w:p>
    <w:p w14:paraId="4BFF6CF0">
      <w:pPr>
        <w:pStyle w:val="54"/>
        <w:spacing w:before="24" w:after="24"/>
      </w:pPr>
      <w:r>
        <w:t>4.门窗立樘除图中另有注明者外，弹簧门立樘墙中，平开门立樘与开启方向墙体装修面平齐，内外窗立樘墙中。</w:t>
      </w:r>
    </w:p>
    <w:p w14:paraId="2103029D">
      <w:pPr>
        <w:pStyle w:val="54"/>
        <w:spacing w:before="24" w:after="24"/>
      </w:pPr>
      <w:r>
        <w:t>5.本工程门窗框料采用普通铝合金门窗，玻璃类型及厚度以节能设计为准，框料颜色以效果图和各单体建筑图纸为准。</w:t>
      </w:r>
    </w:p>
    <w:p w14:paraId="0B880932">
      <w:pPr>
        <w:pStyle w:val="54"/>
        <w:spacing w:before="24" w:after="24"/>
      </w:pPr>
      <w:r>
        <w:t>6.铝合金门窗主型材的壁厚应经计算和试验确定，除压条、扣板等需要弹性装配的型材外，除附件功能槽口处的翅壁壁厚外，门窗用主型材基材壁厚公称尺寸应符合下列规定：（1）外门不应小于2.2mm，内门不应小于2.0mm。（2）外窗不应小于1.8mm，内窗不应小于1.4mm。</w:t>
      </w:r>
    </w:p>
    <w:p w14:paraId="7CD57390">
      <w:pPr>
        <w:pStyle w:val="54"/>
        <w:spacing w:before="24" w:after="24"/>
      </w:pPr>
      <w:r>
        <w:t>7.门窗工程用五金件应满足门窗功能要求和耐久性要求，合页、滑撑、滑轮等五金件的选用应满足门窗承载力要求，五金件应符合现行行业标准《建筑门窗五金件通用要求》GB/T32223-2015的规定。</w:t>
      </w:r>
    </w:p>
    <w:p w14:paraId="23BF688E">
      <w:pPr>
        <w:pStyle w:val="54"/>
        <w:spacing w:before="24" w:after="24"/>
      </w:pPr>
      <w:r>
        <w:t>8.推拉门、推拉窗的扇应有防止从室外侧拆卸的装置。推拉窗用于外墙时，应设置防止窗扇向室外脱落的装置。外开窗应有加强牢固窗扇、防脱落的措施；有防盗要求的建筑外门窗应采用夹层玻璃和牢固的门窗锁具。</w:t>
      </w:r>
    </w:p>
    <w:p w14:paraId="011AD234">
      <w:pPr>
        <w:pStyle w:val="54"/>
        <w:spacing w:before="24" w:after="24"/>
      </w:pPr>
      <w:r>
        <w:t>9.非透明双向弹簧门应在可视高度部位安装透明玻璃。全玻璃的门和落地窗应选用安全玻璃，并应设防撞提示标识。</w:t>
      </w:r>
    </w:p>
    <w:p w14:paraId="7CFEB45B">
      <w:pPr>
        <w:pStyle w:val="54"/>
        <w:spacing w:before="24" w:after="24"/>
      </w:pPr>
      <w:r>
        <w:t>10.有卫生要求或经常有人员居住、活动房间的外门窗设置纱门、纱窗。</w:t>
      </w:r>
    </w:p>
    <w:p w14:paraId="525A125A">
      <w:pPr>
        <w:pStyle w:val="54"/>
        <w:spacing w:before="24" w:after="24"/>
      </w:pPr>
      <w:r>
        <w:t>11.变压器室钢门窗、变配电所钢大门、冷库门、保温门、隔声门窗、防射线门窗、快速软质卷帘门、气密门、电磁屏蔽门窗应由专业厂家按照现行相关规范设计、制造和安装。</w:t>
      </w:r>
    </w:p>
    <w:p w14:paraId="647EDF7C">
      <w:pPr>
        <w:pStyle w:val="54"/>
        <w:spacing w:before="24" w:after="24"/>
      </w:pPr>
      <w:r>
        <w:t>12.教学用房及教学辅助用房的窗玻璃应满足教学要求，不得采用彩色玻璃；二层及二层以上的临空外窗的开启扇不得外开。</w:t>
      </w:r>
    </w:p>
    <w:p w14:paraId="72507B40">
      <w:pPr>
        <w:pStyle w:val="54"/>
        <w:spacing w:before="24" w:after="24"/>
      </w:pPr>
      <w:r>
        <w:t>13.中小学校除音乐教室外，各类教室的门均宜设置上亮窗；除心理咨询室外，教学用房的门扇均宜附设观察窗。</w:t>
      </w:r>
    </w:p>
    <w:p w14:paraId="149532F9">
      <w:pPr>
        <w:pStyle w:val="82"/>
        <w:spacing w:before="24" w:after="24"/>
        <w:ind w:firstLine="562"/>
        <w:rPr>
          <w:rFonts w:cs="Times New Roman"/>
        </w:rPr>
      </w:pPr>
      <w:r>
        <w:rPr>
          <w:rFonts w:cs="Times New Roman"/>
        </w:rPr>
        <w:t>3.2.5 室外装修工程</w:t>
      </w:r>
    </w:p>
    <w:p w14:paraId="3AD14383">
      <w:pPr>
        <w:pStyle w:val="54"/>
        <w:spacing w:before="24" w:after="24"/>
      </w:pPr>
      <w:r>
        <w:t>1.室外装修选用的各项材料的材质、规格、颜色等，均由施工单位提供样板，经确认后进行封样，并据此进行验收。</w:t>
      </w:r>
    </w:p>
    <w:p w14:paraId="0917D641">
      <w:pPr>
        <w:pStyle w:val="54"/>
        <w:spacing w:before="24" w:after="24"/>
      </w:pPr>
      <w:r>
        <w:t>2.雨篷、阳台、室外挑板等防水做法应符合下列规定：</w:t>
      </w:r>
    </w:p>
    <w:p w14:paraId="72833109">
      <w:pPr>
        <w:pStyle w:val="54"/>
        <w:spacing w:before="24" w:after="24"/>
      </w:pPr>
      <w:r>
        <w:t>（1）雨篷设置外排水，坡度不小于1%，且外口下沿做滴水线。雨篷与外墙交接处的防水层应连续，且防水层沿外口下翻至滴水线。</w:t>
      </w:r>
    </w:p>
    <w:p w14:paraId="2DFD13AB">
      <w:pPr>
        <w:pStyle w:val="54"/>
        <w:spacing w:before="24" w:after="24"/>
      </w:pPr>
      <w:r>
        <w:t>（2）开敞式外廊和阳台的楼面设防水层，阳台坡向水落口的排水坡度不小于1%，并通过雨水立管接入排水系统，水落口周边留槽嵌填密封材料。阳台外口下沿做滴水线。</w:t>
      </w:r>
    </w:p>
    <w:p w14:paraId="60E84217">
      <w:pPr>
        <w:pStyle w:val="54"/>
        <w:spacing w:before="24" w:after="24"/>
      </w:pPr>
      <w:r>
        <w:t>（3）空调室外机搁板等室外挑板设置外排水，坡度不小于1%，且外口下沿做滴水线。</w:t>
      </w:r>
    </w:p>
    <w:p w14:paraId="493C4452">
      <w:pPr>
        <w:pStyle w:val="54"/>
        <w:spacing w:before="24" w:after="24"/>
      </w:pPr>
      <w:r>
        <w:t>3.空调室外机搁板处统一设置空调冷凝水排水管道或接纳空调冷凝水的阳台排水系统，不得将城市道路两侧建筑物的空调冷凝水直接排放到临街一侧的建筑物外墙面和室外地面上。</w:t>
      </w:r>
    </w:p>
    <w:p w14:paraId="2815E112">
      <w:pPr>
        <w:pStyle w:val="54"/>
        <w:spacing w:before="24" w:after="24"/>
      </w:pPr>
      <w:r>
        <w:t>4.室外装修不应影响建筑物结构的安全性。</w:t>
      </w:r>
    </w:p>
    <w:p w14:paraId="6A683CDD">
      <w:pPr>
        <w:pStyle w:val="54"/>
        <w:spacing w:before="24" w:after="24"/>
      </w:pPr>
      <w:r>
        <w:t>5.外墙装修材料或构件与主体结构的连接必须安全牢固。</w:t>
      </w:r>
    </w:p>
    <w:p w14:paraId="3BF3D582">
      <w:pPr>
        <w:pStyle w:val="54"/>
        <w:spacing w:before="24" w:after="24"/>
      </w:pPr>
      <w:r>
        <w:t>6.抗震设防烈度≤8度地区采用满粘法施工的外墙饰面砖工程，应满足《外墙饰面砖工程施工及验收规程》JGJ126-2015。外墙饰面砖伸缩缝应采用耐候密封胶嵌缝。</w:t>
      </w:r>
    </w:p>
    <w:p w14:paraId="1452B34C">
      <w:pPr>
        <w:pStyle w:val="54"/>
        <w:spacing w:before="24" w:after="24"/>
      </w:pPr>
      <w:r>
        <w:t>7.用于装饰的石材应对石板背面及四周采用底油及浸透防水剂等进行处理。</w:t>
      </w:r>
    </w:p>
    <w:p w14:paraId="43B520A2">
      <w:pPr>
        <w:pStyle w:val="54"/>
        <w:spacing w:before="24" w:after="24"/>
      </w:pPr>
      <w:r>
        <w:t>8.外露雨水管、冷凝水管、排水管等的颜色与该部位墙面颜色一致。</w:t>
      </w:r>
    </w:p>
    <w:p w14:paraId="16B1BF45">
      <w:pPr>
        <w:pStyle w:val="82"/>
        <w:spacing w:before="24" w:after="24"/>
        <w:ind w:firstLine="562"/>
        <w:rPr>
          <w:rFonts w:cs="Times New Roman"/>
        </w:rPr>
      </w:pPr>
      <w:r>
        <w:rPr>
          <w:rFonts w:cs="Times New Roman"/>
        </w:rPr>
        <w:t>3.2.6 室内装修工程</w:t>
      </w:r>
    </w:p>
    <w:p w14:paraId="3C037A6E">
      <w:pPr>
        <w:pStyle w:val="54"/>
        <w:spacing w:before="24" w:after="24"/>
      </w:pPr>
      <w:r>
        <w:t>1.室内装修工程执行《建筑防火通用规范》GB55037-2022、《建筑内部装修设计防火规范》GB50222-2017，楼地面部分执行《建筑地面设计规范》GB50037-2013，室内工程防水执行《建筑与市政工程防水通用规范》GB55030-2022。一般装修见建筑单体的&lt;室内装修做法表&gt;。</w:t>
      </w:r>
    </w:p>
    <w:p w14:paraId="6C7CA8EC">
      <w:pPr>
        <w:pStyle w:val="54"/>
        <w:spacing w:before="24" w:after="24"/>
      </w:pPr>
      <w:r>
        <w:t>2.室内装修选用的各项材料，均由施工单位制作样板和选样，经确认后进行封样，并据此进行验收。</w:t>
      </w:r>
    </w:p>
    <w:p w14:paraId="05695335">
      <w:pPr>
        <w:pStyle w:val="54"/>
        <w:spacing w:before="24" w:after="24"/>
      </w:pPr>
      <w:r>
        <w:t>3.楼地面构造交接处和地坪高度变化处，除图中另有注明者外均位于齐平门扇开启面处。</w:t>
      </w:r>
    </w:p>
    <w:p w14:paraId="34A9DA44">
      <w:pPr>
        <w:pStyle w:val="54"/>
        <w:spacing w:before="24" w:after="24"/>
      </w:pPr>
      <w:r>
        <w:t>4.用水房间的楼地面设置防水层。防水层沿墙面处翻起高度不小于250mm。有防水要求的楼地面设排水坡，坡向地漏或排水设施，排水坡度不小于1%。有防水要求的楼地面应低于相邻楼地面15mm。</w:t>
      </w:r>
    </w:p>
    <w:p w14:paraId="73273D83">
      <w:pPr>
        <w:pStyle w:val="54"/>
        <w:spacing w:before="24" w:after="24"/>
      </w:pPr>
      <w:r>
        <w:t>5.有防水淹要求房间（消防水泵房、消防控制室、配电房、强弱电设备房及设备间等）应设置门槛、排水措施等方法防止灭火或自动喷水等灭火设施动作后的水积聚而致消防控制设备或消防水泵、消防电源与配电装置被淹没。</w:t>
      </w:r>
    </w:p>
    <w:p w14:paraId="436FD07D">
      <w:pPr>
        <w:pStyle w:val="54"/>
        <w:spacing w:before="24" w:after="24"/>
      </w:pPr>
      <w:r>
        <w:t>6.卫生间下层为厨房时，做同层排水，安装马桶应降板350mm。卫生间上下层对齐时，做异层排水，安装马桶应降板50mm。</w:t>
      </w:r>
    </w:p>
    <w:p w14:paraId="339E15AA">
      <w:pPr>
        <w:pStyle w:val="54"/>
        <w:spacing w:before="24" w:after="24"/>
      </w:pPr>
      <w:r>
        <w:t>7.卫生间、浴室和设有配水点的墙面设置防水层。淋浴区墙面防水层翻起高度不小于2000mm，且不低于淋浴喷淋口高度。盥洗池盆等用水处墙面防水层翻起高度不小于1200mm。墙面其他部位泛水翻起高度不小于250mm。当采用轻质隔墙时，做全防水墙面。有防潮要求的室内墙面迎水面设置防潮层。潮湿空间的顶棚设置防潮层或采用防潮材料。</w:t>
      </w:r>
    </w:p>
    <w:p w14:paraId="52B1F4D2">
      <w:pPr>
        <w:pStyle w:val="54"/>
        <w:spacing w:before="24" w:after="24"/>
      </w:pPr>
      <w:r>
        <w:t>8．地漏的管道根部采取密封防水措施。穿过楼板或墙体的管道套管与楼板或墙体间采用防水密封材料封堵密实。穿过楼板或墙体的管道套管与管道间采用防水密封材料嵌填压实；穿过楼板的防水套管应高出装饰层完成面，且高度不小于20mm。</w:t>
      </w:r>
    </w:p>
    <w:p w14:paraId="100A02DF">
      <w:pPr>
        <w:pStyle w:val="54"/>
        <w:spacing w:before="24" w:after="24"/>
      </w:pPr>
      <w:r>
        <w:t>9.室内楼地面（包括室内外踏步、台阶、坡道以及人行道和公共设施地面）应具有防滑性能。不同地面防滑性能应符合&lt;室外及室内潮湿地面工程防滑性能要求表&gt;、&lt;室内干态地面工程防滑性能要求表&gt;的规定。对于建筑出入口及平台、公共走廊、电梯门厅、厨房、浴室、卫生间等易滑地面，防滑等级应选择不低于中高级防滑等级。建筑坡道、楼梯踏步及经常有水、油污的地面，其防滑等级应按水平地面等级提高一级，并应采用防滑条等防滑构造技术措施。</w:t>
      </w:r>
    </w:p>
    <w:p w14:paraId="6B1CCBAC">
      <w:pPr>
        <w:pStyle w:val="54"/>
        <w:spacing w:before="24" w:after="24"/>
      </w:pPr>
      <w:r>
        <w:t>10.内墙面装饰除特殊要求外，一般粉刷采用M5砂浆分层施工，确保平整牢固，所有阳角距2m以内用1:2地水泥砂浆做护角。</w:t>
      </w:r>
    </w:p>
    <w:p w14:paraId="4ABE7B32">
      <w:pPr>
        <w:pStyle w:val="54"/>
        <w:spacing w:before="24" w:after="24"/>
      </w:pPr>
      <w:r>
        <w:t>11.顶棚的抹灰层与基层之间及各抹灰层之间必须粘结牢固。</w:t>
      </w:r>
    </w:p>
    <w:p w14:paraId="088914CB">
      <w:pPr>
        <w:pStyle w:val="54"/>
        <w:spacing w:before="24" w:after="24"/>
      </w:pPr>
      <w:r>
        <w:t>12.有防静电、防震、防腐蚀、防爆、防辐射、防尘、屏蔽、洁净等特殊要求的室内装修，由专业厂家进行设计并经确认。</w:t>
      </w:r>
    </w:p>
    <w:p w14:paraId="0DEF6B3E">
      <w:pPr>
        <w:pStyle w:val="54"/>
        <w:spacing w:before="24" w:after="24"/>
      </w:pPr>
      <w:r>
        <w:t>13.室内装修应符合下列要求：</w:t>
      </w:r>
    </w:p>
    <w:p w14:paraId="34F1E58B">
      <w:pPr>
        <w:pStyle w:val="54"/>
        <w:spacing w:before="24" w:after="24"/>
      </w:pPr>
      <w:r>
        <w:t>（1）室内装修不应影响建筑结构的安全性。</w:t>
      </w:r>
    </w:p>
    <w:p w14:paraId="3EFFCBEE">
      <w:pPr>
        <w:pStyle w:val="54"/>
        <w:spacing w:before="24" w:after="24"/>
      </w:pPr>
      <w:r>
        <w:t>（2）室内装修不得遮挡消防设施标志、疏散指示标志及安全出口，并不得影响消防设施和疏散通道的正常使用。</w:t>
      </w:r>
    </w:p>
    <w:p w14:paraId="763F3968">
      <w:pPr>
        <w:pStyle w:val="54"/>
        <w:spacing w:before="24" w:after="24"/>
      </w:pPr>
      <w:r>
        <w:t>（3）室内装修确保施工过程中的各项工艺符合设计要求，无明显瑕疵。</w:t>
      </w:r>
    </w:p>
    <w:p w14:paraId="728A43B6">
      <w:pPr>
        <w:pStyle w:val="54"/>
        <w:spacing w:before="24" w:after="24"/>
      </w:pPr>
      <w:r>
        <w:t>（4）室内装修确保施工过程中的安全措施到位，降低事故发生概率。</w:t>
      </w:r>
    </w:p>
    <w:p w14:paraId="3D54A3EA">
      <w:pPr>
        <w:pStyle w:val="82"/>
        <w:spacing w:before="24" w:after="24"/>
        <w:ind w:firstLine="562"/>
        <w:rPr>
          <w:rFonts w:cs="Times New Roman"/>
        </w:rPr>
      </w:pPr>
      <w:r>
        <w:rPr>
          <w:rFonts w:cs="Times New Roman"/>
        </w:rPr>
        <w:t>3.2.7 玻璃工程</w:t>
      </w:r>
    </w:p>
    <w:p w14:paraId="73211927">
      <w:pPr>
        <w:pStyle w:val="54"/>
        <w:spacing w:before="24" w:after="24"/>
      </w:pPr>
      <w:r>
        <w:t>1.建筑玻璃执行《建筑玻璃应用技术规程》JGJ113-2015及《建筑安全玻璃管理规定》发改运行〔2003〕2116号有关采用安全玻璃部位的规定。</w:t>
      </w:r>
    </w:p>
    <w:p w14:paraId="57CEE281">
      <w:pPr>
        <w:pStyle w:val="54"/>
        <w:spacing w:before="24" w:after="24"/>
      </w:pPr>
      <w:r>
        <w:t>2.本工程门窗玻璃类型以最终建筑节能设计报告为准。</w:t>
      </w:r>
    </w:p>
    <w:p w14:paraId="36D45A16">
      <w:pPr>
        <w:pStyle w:val="54"/>
        <w:spacing w:before="24" w:after="24"/>
      </w:pPr>
      <w:r>
        <w:t>3.建筑物需要以玻璃作为建筑材料的下列部位必须使用安全玻璃：</w:t>
      </w:r>
    </w:p>
    <w:p w14:paraId="0B90D510">
      <w:pPr>
        <w:pStyle w:val="54"/>
        <w:spacing w:before="24" w:after="24"/>
      </w:pPr>
      <w:r>
        <w:t>（1）7层及7层以上建筑物外开窗。</w:t>
      </w:r>
    </w:p>
    <w:p w14:paraId="4E4A7CD6">
      <w:pPr>
        <w:pStyle w:val="54"/>
        <w:spacing w:before="24" w:after="24"/>
      </w:pPr>
      <w:r>
        <w:t>（2）面积大于1.5m</w:t>
      </w:r>
      <w:r>
        <w:rPr>
          <w:vertAlign w:val="superscript"/>
        </w:rPr>
        <w:t>2</w:t>
      </w:r>
      <w:r>
        <w:t>的窗玻璃或玻璃底边离最终装修面小于500mm的落地窗。</w:t>
      </w:r>
    </w:p>
    <w:p w14:paraId="1AA3F629">
      <w:pPr>
        <w:pStyle w:val="54"/>
        <w:spacing w:before="24" w:after="24"/>
      </w:pPr>
      <w:r>
        <w:t>（3）倾斜装配窗、各类天棚（含天窗、采光顶）、吊顶。</w:t>
      </w:r>
    </w:p>
    <w:p w14:paraId="1F274343">
      <w:pPr>
        <w:pStyle w:val="54"/>
        <w:spacing w:before="24" w:after="24"/>
      </w:pPr>
      <w:r>
        <w:t>（4）观光电梯及其外围护。</w:t>
      </w:r>
    </w:p>
    <w:p w14:paraId="404C15F1">
      <w:pPr>
        <w:pStyle w:val="54"/>
        <w:spacing w:before="24" w:after="24"/>
      </w:pPr>
      <w:r>
        <w:t>（5）室内隔断、浴室围护和屏风。</w:t>
      </w:r>
    </w:p>
    <w:p w14:paraId="41F285A8">
      <w:pPr>
        <w:pStyle w:val="54"/>
        <w:spacing w:before="24" w:after="24"/>
      </w:pPr>
      <w:r>
        <w:t>（6）楼梯、阳台、平台走廊的栏板和中庭内栏板。</w:t>
      </w:r>
    </w:p>
    <w:p w14:paraId="0FFE6656">
      <w:pPr>
        <w:pStyle w:val="54"/>
        <w:spacing w:before="24" w:after="24"/>
      </w:pPr>
      <w:r>
        <w:t>（7）用于承受行人行走的地面板。</w:t>
      </w:r>
    </w:p>
    <w:p w14:paraId="2DA89EBA">
      <w:pPr>
        <w:pStyle w:val="54"/>
        <w:spacing w:before="24" w:after="24"/>
      </w:pPr>
      <w:r>
        <w:t>（8）公共建筑物的出入口、门厅等部位。</w:t>
      </w:r>
    </w:p>
    <w:p w14:paraId="38DE02DD">
      <w:pPr>
        <w:pStyle w:val="54"/>
        <w:spacing w:before="24" w:after="24"/>
      </w:pPr>
      <w:r>
        <w:t>（9）易遭受撞击、冲击而造成人体伤害的其他部位。</w:t>
      </w:r>
    </w:p>
    <w:p w14:paraId="3820A217">
      <w:pPr>
        <w:pStyle w:val="54"/>
        <w:spacing w:before="24" w:after="24"/>
      </w:pPr>
      <w:r>
        <w:t>4.建筑玻璃内侧窗帘、百叶窗及其他遮蔽物与玻璃之间距离不应小于50mm。</w:t>
      </w:r>
    </w:p>
    <w:p w14:paraId="56F722F9">
      <w:pPr>
        <w:pStyle w:val="54"/>
        <w:spacing w:before="24" w:after="24"/>
      </w:pPr>
      <w:r>
        <w:t>5.安全玻璃暴露边不得存在锋利的边缘和尖锐的角部。</w:t>
      </w:r>
    </w:p>
    <w:p w14:paraId="62058365">
      <w:pPr>
        <w:pStyle w:val="54"/>
        <w:spacing w:before="24" w:after="24"/>
      </w:pPr>
      <w:r>
        <w:t>6.建筑玻璃最大许用面积应符合《建筑玻璃应用技术规程》JGJ113-2015的相关规定，建筑安全玻璃公称厚度应由产品承包商按照相关规范计算确定，并应符合下列防人体冲击规定：</w:t>
      </w:r>
    </w:p>
    <w:p w14:paraId="088EAAD6">
      <w:pPr>
        <w:pStyle w:val="54"/>
        <w:spacing w:before="24" w:after="24"/>
      </w:pPr>
      <w:r>
        <w:t>（1）活动门玻璃、固定门玻璃和落地窗无框玻璃应使用公称厚度不小于12mm的钢化玻璃。</w:t>
      </w:r>
    </w:p>
    <w:p w14:paraId="643C91DB">
      <w:pPr>
        <w:pStyle w:val="54"/>
        <w:spacing w:before="24" w:after="24"/>
      </w:pPr>
      <w:r>
        <w:t>（2）人群集中的公共场所和运动场所中装配的室内隔断：有框玻璃应使用公称厚度不小于5mm的钢化玻璃或公称厚度不小于6.38mm的夹层玻璃；无框玻璃应使用公称厚度不小于10mm的钢化玻璃。</w:t>
      </w:r>
    </w:p>
    <w:p w14:paraId="02B46EA8">
      <w:pPr>
        <w:pStyle w:val="54"/>
        <w:spacing w:before="24" w:after="24"/>
      </w:pPr>
      <w:r>
        <w:t>（3）浴室用玻璃：浴室内有框玻璃应使用公称厚度不小于8mm的钢化玻璃；浴室内无框玻璃应使用公称厚度不小于12mm的钢化玻璃。</w:t>
      </w:r>
    </w:p>
    <w:p w14:paraId="5F05CC51">
      <w:pPr>
        <w:pStyle w:val="54"/>
        <w:spacing w:before="24" w:after="24"/>
      </w:pPr>
      <w:r>
        <w:t>（4）室内外栏板玻璃固定在结构上且直接承受人体荷载的护栏系统：当栏板玻璃最低点离一侧楼地面高度不大于5m时，应使用公称厚度不小于16.76mm钢化夹层玻璃；当栏板最低点离一侧楼地面高度大于5m时，不得采用玻璃护栏。</w:t>
      </w:r>
    </w:p>
    <w:p w14:paraId="7C7C1C7C">
      <w:pPr>
        <w:pStyle w:val="54"/>
        <w:spacing w:before="24" w:after="24"/>
      </w:pPr>
      <w:r>
        <w:t>7.建筑采光顶采用玻璃时，面向室内一侧应采用夹层玻璃；建筑雨篷采用玻璃时，应采用夹层玻璃。</w:t>
      </w:r>
    </w:p>
    <w:p w14:paraId="405DC8D1">
      <w:pPr>
        <w:pStyle w:val="54"/>
        <w:spacing w:before="24" w:after="24"/>
      </w:pPr>
      <w:r>
        <w:t>8.地板玻璃应采用夹层玻璃，点支承地板玻璃应采用钢化夹层玻璃。钢化玻璃应进行均质处理。</w:t>
      </w:r>
    </w:p>
    <w:p w14:paraId="68EDD8DC">
      <w:pPr>
        <w:pStyle w:val="54"/>
        <w:spacing w:before="24" w:after="24"/>
      </w:pPr>
      <w:r>
        <w:t>9.人员流动密度大、青少年或幼儿活动的公共场所以及使用中容易受到撞击的部位，应采用安全玻璃；对使用中容易受到撞击的部位，应设置明显的警示标志。</w:t>
      </w:r>
    </w:p>
    <w:p w14:paraId="07A54F16">
      <w:pPr>
        <w:pStyle w:val="54"/>
        <w:spacing w:before="24" w:after="24"/>
      </w:pPr>
      <w:r>
        <w:t>10.当与玻璃幕墙相邻的楼面外缘无实体墙时，应设置防撞设施。</w:t>
      </w:r>
    </w:p>
    <w:p w14:paraId="6BD7A654">
      <w:pPr>
        <w:pStyle w:val="54"/>
        <w:spacing w:before="24" w:after="24"/>
      </w:pPr>
      <w:r>
        <w:t>11.建筑有天然采光要求的铝合金外门窗，玻璃透光折减系数（Tr）应大于0.45。</w:t>
      </w:r>
    </w:p>
    <w:p w14:paraId="4B14CC37">
      <w:pPr>
        <w:pStyle w:val="82"/>
        <w:spacing w:before="24" w:after="24"/>
        <w:ind w:firstLine="562"/>
        <w:rPr>
          <w:rFonts w:cs="Times New Roman"/>
        </w:rPr>
      </w:pPr>
      <w:r>
        <w:rPr>
          <w:rFonts w:cs="Times New Roman"/>
        </w:rPr>
        <w:t>3.2.8 油漆涂料工程</w:t>
      </w:r>
    </w:p>
    <w:p w14:paraId="77EB42CD">
      <w:pPr>
        <w:pStyle w:val="54"/>
        <w:spacing w:before="24" w:after="24"/>
      </w:pPr>
      <w:r>
        <w:t>1.室内装修所采用的油漆涂料见建筑单体的&lt;室内装修做法表&gt;。</w:t>
      </w:r>
    </w:p>
    <w:p w14:paraId="176EB719">
      <w:pPr>
        <w:pStyle w:val="54"/>
        <w:spacing w:before="24" w:after="24"/>
      </w:pPr>
      <w:r>
        <w:t>2.室内外露明金属件的油漆为刷防锈漆两道后再做同室内外部位相同颜色的面漆。</w:t>
      </w:r>
    </w:p>
    <w:p w14:paraId="0D73010B">
      <w:pPr>
        <w:pStyle w:val="54"/>
        <w:spacing w:before="24" w:after="24"/>
      </w:pPr>
      <w:r>
        <w:t>3.各种油漆涂料均由施工单位制作样板，经确认后进行封样，并据此进行验收。</w:t>
      </w:r>
    </w:p>
    <w:p w14:paraId="0FFBB700">
      <w:pPr>
        <w:pStyle w:val="82"/>
        <w:spacing w:before="24" w:after="24"/>
        <w:ind w:firstLine="562"/>
        <w:rPr>
          <w:rFonts w:cs="Times New Roman"/>
        </w:rPr>
      </w:pPr>
      <w:r>
        <w:rPr>
          <w:rFonts w:cs="Times New Roman"/>
        </w:rPr>
        <w:t>3.2.9 室外工程</w:t>
      </w:r>
    </w:p>
    <w:p w14:paraId="46A830B9">
      <w:pPr>
        <w:pStyle w:val="54"/>
        <w:spacing w:before="24" w:after="24"/>
      </w:pPr>
      <w:r>
        <w:t>1.室外地面（包括室内外踏步、台阶、坡道以及人行道和公共设施地面）应具有防滑性能。不同地面防滑性能应符合&lt;室外及室内潮湿地面工程防滑性能要求表&gt;的规定。对于易滑地面，防滑等级应选择不低于中高级防滑等级。建筑坡道、楼梯踏步及经常有水、油污的地面，其防滑等级应按水平地面等级提高一级，并应采用防滑条等防滑构造技术措施。</w:t>
      </w:r>
    </w:p>
    <w:p w14:paraId="3D620C1D">
      <w:pPr>
        <w:pStyle w:val="54"/>
        <w:spacing w:before="24" w:after="24"/>
      </w:pPr>
      <w:r>
        <w:t>2.散水宽度根据建筑物所在地的土壤性质、气候条件、建筑物高度和屋面排水形式确定，一般&gt;0.60m；当采用无组织排水时，宽度按檐沟线放出0.20m-0.30m。</w:t>
      </w:r>
    </w:p>
    <w:p w14:paraId="75778561">
      <w:pPr>
        <w:pStyle w:val="54"/>
        <w:spacing w:before="24" w:after="24"/>
      </w:pPr>
      <w:r>
        <w:t>3.回填土应符合相关质量规范，并按规范要求分层夯实（每回填300mm即夯实，压实系数≥0.94，边角处须补夯密实），回填前应去掉腐蚀性有机物等杂质，严禁回填不符合要求的土壤和建筑垃圾。</w:t>
      </w:r>
    </w:p>
    <w:p w14:paraId="0544DA12">
      <w:pPr>
        <w:pStyle w:val="54"/>
        <w:spacing w:before="24" w:after="24"/>
      </w:pPr>
      <w:r>
        <w:t>4.人工景观水体的补充水严禁使用自来水。无护栏水体的近岸2m范围内及园桥、汀步附近2m范围内，水深不应大于0.5m。</w:t>
      </w:r>
    </w:p>
    <w:p w14:paraId="3D6E9385">
      <w:pPr>
        <w:pStyle w:val="82"/>
        <w:spacing w:before="24" w:after="24"/>
        <w:ind w:firstLine="562"/>
        <w:rPr>
          <w:rFonts w:cs="Times New Roman"/>
        </w:rPr>
      </w:pPr>
      <w:r>
        <w:rPr>
          <w:rFonts w:cs="Times New Roman"/>
        </w:rPr>
        <w:t>3.2.10 建筑设备、设施工程</w:t>
      </w:r>
    </w:p>
    <w:p w14:paraId="561E2AE2">
      <w:pPr>
        <w:pStyle w:val="54"/>
        <w:spacing w:before="24" w:after="24"/>
      </w:pPr>
      <w:r>
        <w:t>1.发包人需在施工前提供确定的电梯（自动扶梯、自动人行道）技术资料，以便设计单位复核、完善土建施工图。</w:t>
      </w:r>
    </w:p>
    <w:p w14:paraId="5E600A93">
      <w:pPr>
        <w:pStyle w:val="54"/>
        <w:spacing w:before="24" w:after="24"/>
      </w:pPr>
      <w:r>
        <w:t>2.电梯（自动扶梯、自动人行道）土建施工图需经厂家核定后方可施工。土建施工应以厂家提供的最终订货技术资料为依据。</w:t>
      </w:r>
    </w:p>
    <w:p w14:paraId="25828784">
      <w:pPr>
        <w:pStyle w:val="54"/>
        <w:spacing w:before="24" w:after="24"/>
      </w:pPr>
      <w:r>
        <w:t>3.卫生洁具、成品隔断需经确认。</w:t>
      </w:r>
    </w:p>
    <w:p w14:paraId="1B958BD4">
      <w:pPr>
        <w:pStyle w:val="54"/>
        <w:spacing w:before="24" w:after="24"/>
      </w:pPr>
      <w:r>
        <w:t>4.灯具、送回风口等影响美观的器具须经确认样品后，方可批量采购、安装。</w:t>
      </w:r>
    </w:p>
    <w:p w14:paraId="5321F252">
      <w:pPr>
        <w:pStyle w:val="82"/>
        <w:spacing w:before="24" w:after="24"/>
        <w:ind w:firstLine="562"/>
        <w:rPr>
          <w:rFonts w:cs="Times New Roman"/>
        </w:rPr>
      </w:pPr>
      <w:r>
        <w:rPr>
          <w:rFonts w:cs="Times New Roman"/>
        </w:rPr>
        <w:t>3.2.11 安全防护</w:t>
      </w:r>
    </w:p>
    <w:p w14:paraId="585A175E">
      <w:pPr>
        <w:pStyle w:val="54"/>
        <w:spacing w:before="24" w:after="24"/>
      </w:pPr>
      <w:r>
        <w:t>1.阳台、外廊、室内回廊、中庭、内天井、上人屋面及楼梯等处的临空部位应设置防护栏杆（栏板），并应符合下列规定：</w:t>
      </w:r>
    </w:p>
    <w:p w14:paraId="133F5A5A">
      <w:pPr>
        <w:pStyle w:val="54"/>
        <w:spacing w:before="24" w:after="24"/>
      </w:pPr>
      <w:r>
        <w:t>（1）栏杆（栏板）应以坚固、耐久的材料制作，应安装牢固，并应能承受现行国家标准《工程结构通用规范》GB55001-2021及其他国家现行相关标准规定的荷载。</w:t>
      </w:r>
    </w:p>
    <w:p w14:paraId="0079E313">
      <w:pPr>
        <w:pStyle w:val="54"/>
        <w:spacing w:before="24" w:after="24"/>
      </w:pPr>
      <w:r>
        <w:t>（2）栏杆（栏板）垂直高度不应小于1.20m。上人屋面和临开敞中庭的栏杆（栏板）高度不应小于1.2m。栏杆（栏板）高度应按所在楼地面或屋面至扶手顶面的垂直高度计算，如底面有宽度大于或等于0.22m，且高度不大于0.45m的可踏部位，应按可踏部位顶面至扶手顶面的垂直高度计算。</w:t>
      </w:r>
    </w:p>
    <w:p w14:paraId="5F09021A">
      <w:pPr>
        <w:pStyle w:val="54"/>
        <w:spacing w:before="24" w:after="24"/>
      </w:pPr>
      <w:r>
        <w:t>（3）公共场所的临空且下部有人员活动部位的栏杆（栏板），在地面以上0.10m高度范围内不应留空。</w:t>
      </w:r>
    </w:p>
    <w:p w14:paraId="77A2941B">
      <w:pPr>
        <w:pStyle w:val="54"/>
        <w:spacing w:before="24" w:after="24"/>
      </w:pPr>
      <w:r>
        <w:t>2.当公共出入口台阶总高度超过0.70m且侧面临空时，台阶和平台的临空侧面应设防护设施，且防护设施净高不应低于1.20m。台阶、人行坡道的铺装面层应采取防滑措施。</w:t>
      </w:r>
    </w:p>
    <w:p w14:paraId="3318D45C">
      <w:pPr>
        <w:pStyle w:val="54"/>
        <w:spacing w:before="24" w:after="24"/>
      </w:pPr>
      <w:r>
        <w:t>3.电梯井道底坑下部空间应封闭，禁止使用。如电梯井道底坑下部确有人员能够到达的空间，应符合《电梯制造与安装安全规范第1部分：乘客电梯和载货电梯》GB/T7588.1-2020第5.2.5.4条（井道下方空间的防护）的规定：如果井道下方确有人员能够到达的空间，井道底坑的底面应至少按5000N/m2载荷设计，且对重（或平衡重）上应设置安全钳。</w:t>
      </w:r>
    </w:p>
    <w:p w14:paraId="5A978D56">
      <w:pPr>
        <w:pStyle w:val="54"/>
        <w:spacing w:before="24" w:after="24"/>
      </w:pPr>
      <w:r>
        <w:t>4.自动扶梯、自动人行道设置应符合下列规定：</w:t>
      </w:r>
    </w:p>
    <w:p w14:paraId="0315F3C3">
      <w:pPr>
        <w:pStyle w:val="54"/>
        <w:spacing w:before="24" w:after="24"/>
      </w:pPr>
      <w:r>
        <w:t>（1）扶梯与楼层地板开口部位之间应设防护栏杆或栏板。</w:t>
      </w:r>
    </w:p>
    <w:p w14:paraId="7C35394E">
      <w:pPr>
        <w:pStyle w:val="54"/>
        <w:spacing w:before="24" w:after="24"/>
      </w:pPr>
      <w:r>
        <w:t>（2）栏板应平整、光滑和无突出物；扶手带顶面距自动扶梯前缘、自动人行道踏板面或胶带面的垂直高度不应小于0.9m。</w:t>
      </w:r>
    </w:p>
    <w:p w14:paraId="20E471C2">
      <w:pPr>
        <w:pStyle w:val="54"/>
        <w:spacing w:before="24" w:after="24"/>
      </w:pPr>
      <w:r>
        <w:t>（3）两梯（道）相邻平行或交叉设置，当扶手带中心线与平行墙面或楼板（梁）开口边缘完成面之间的水平投影距离、两梯（道）之间扶手带中心线的水平距离小于0.50m时，应在产生的锐角口前部1.00m处范围内，设置具有防夹、防剪的保护设施或采取其他防止建筑障碍物伤害人员的措施。</w:t>
      </w:r>
    </w:p>
    <w:p w14:paraId="76ECD2CD">
      <w:pPr>
        <w:pStyle w:val="54"/>
        <w:spacing w:before="24" w:after="24"/>
      </w:pPr>
      <w:r>
        <w:t>（4）临空设置时应在扶手带外侧设置防护栏杆，栏杆高度距自动扶梯前缘、自动人行道踏板面或胶带面的垂直高度不小于1.3m。</w:t>
      </w:r>
    </w:p>
    <w:p w14:paraId="765FEC91">
      <w:pPr>
        <w:pStyle w:val="54"/>
        <w:spacing w:before="24" w:after="24"/>
      </w:pPr>
      <w:r>
        <w:t>5.屋面检修孔、水池检修人孔、隔震层检修口等的盖板应加锁，钥匙应由专人保管，盖板上应设置警告标语。</w:t>
      </w:r>
    </w:p>
    <w:p w14:paraId="59037EAB">
      <w:pPr>
        <w:pStyle w:val="82"/>
        <w:spacing w:before="24" w:after="24"/>
        <w:ind w:firstLine="562"/>
        <w:rPr>
          <w:rFonts w:cs="Times New Roman"/>
        </w:rPr>
      </w:pPr>
      <w:r>
        <w:rPr>
          <w:rFonts w:cs="Times New Roman"/>
        </w:rPr>
        <w:t>3.2.12 防火设计</w:t>
      </w:r>
    </w:p>
    <w:p w14:paraId="761F5A08">
      <w:pPr>
        <w:pStyle w:val="54"/>
        <w:spacing w:before="24" w:after="24"/>
      </w:pPr>
      <w:r>
        <w:t>1.防火设计需符合现行有关建筑防火设计强制性工程建设规范和工程建设国家标准、行业标准、地方标准；以及国家、行业、地方颁布的相关消防行政法规、部门规章中的消防技术性规定；与本工程有关的国家防火标准和工程所在地消防主管部门的规定、文件等。</w:t>
      </w:r>
    </w:p>
    <w:p w14:paraId="2BCDE509">
      <w:pPr>
        <w:pStyle w:val="54"/>
        <w:spacing w:before="24" w:after="24"/>
      </w:pPr>
      <w:r>
        <w:t>2.建筑分类和耐火等级</w:t>
      </w:r>
    </w:p>
    <w:p w14:paraId="14D85520">
      <w:pPr>
        <w:pStyle w:val="54"/>
        <w:spacing w:before="24" w:after="24"/>
      </w:pPr>
      <w:r>
        <w:t>（1）德饮县城地质灾害避险搬迁近期建设项目二期工程地上建筑耐火等级为二级，地下室耐火等级为一级。</w:t>
      </w:r>
    </w:p>
    <w:p w14:paraId="4A4671B5">
      <w:pPr>
        <w:pStyle w:val="54"/>
        <w:spacing w:before="24" w:after="24"/>
      </w:pPr>
      <w:r>
        <w:t>（2）德饮县城地质灾害避险搬迁近期建设项目二期工程建筑相应构件的燃烧性能和耐火极限不低于《建筑设计防火规范》GB50016-2014（2018年版）和《汽车库、修车库、停车场设计防火规范》GB50067-2014的相关规定。钢结构构件的设计耐火极限应根据建筑的耐火等级和构件类别确定，钢结构应根据《钢结构通用规范》GB55006-2021、《建筑钢结构防火技术规范》GB51249-2017等规定采取相应的防火保护措施或进行耐火验算与防火设计。</w:t>
      </w:r>
    </w:p>
    <w:p w14:paraId="0B8518BB">
      <w:pPr>
        <w:pStyle w:val="54"/>
        <w:spacing w:before="24" w:after="24"/>
      </w:pPr>
      <w:r>
        <w:t>3.下列场所采用防火门、防火窗、耐火极限不低于2.00h的防火隔墙和耐火极限不低于1.00h的楼板与其他区域分隔。</w:t>
      </w:r>
    </w:p>
    <w:p w14:paraId="0C126799">
      <w:pPr>
        <w:pStyle w:val="54"/>
        <w:spacing w:before="24" w:after="24"/>
      </w:pPr>
      <w:r>
        <w:t>（1）除居住建筑中的套内自用厨房可不分隔外，建筑内的厨房。</w:t>
      </w:r>
    </w:p>
    <w:p w14:paraId="391D0BC2">
      <w:pPr>
        <w:pStyle w:val="54"/>
        <w:spacing w:before="24" w:after="24"/>
      </w:pPr>
      <w:r>
        <w:t>（2）地下或半地下部分与地上部分共用楼梯间时，在首层采用耐火极限不低于2．00h的防火隔墙和乙级防火门将地下或半地下部分与地上部分的连通部位完全分隔，并设置明显的标志。</w:t>
      </w:r>
    </w:p>
    <w:p w14:paraId="2A58EDA4">
      <w:pPr>
        <w:pStyle w:val="54"/>
        <w:spacing w:before="24" w:after="24"/>
      </w:pPr>
      <w:r>
        <w:t>4.疏散楼梯</w:t>
      </w:r>
    </w:p>
    <w:p w14:paraId="30A17017">
      <w:pPr>
        <w:pStyle w:val="54"/>
        <w:spacing w:before="24" w:after="24"/>
      </w:pPr>
      <w:r>
        <w:t>（1）楼梯间层数不超过4层且未采用扩大的封闭楼梯间或防烟楼梯间前室，直通室外的门设置在离楼梯间不大于15m处。</w:t>
      </w:r>
    </w:p>
    <w:p w14:paraId="3C55EF15">
      <w:pPr>
        <w:pStyle w:val="54"/>
        <w:spacing w:before="24" w:after="24"/>
      </w:pPr>
      <w:r>
        <w:t>（2）敞开楼梯间能天然采光和自然通风，并靠外墙设置。</w:t>
      </w:r>
    </w:p>
    <w:p w14:paraId="47C1D278">
      <w:pPr>
        <w:pStyle w:val="54"/>
        <w:spacing w:before="24" w:after="24"/>
      </w:pPr>
      <w:r>
        <w:t>（3）封闭楼梯间采用自然通风方式防烟。</w:t>
      </w:r>
    </w:p>
    <w:p w14:paraId="71B41743">
      <w:pPr>
        <w:pStyle w:val="54"/>
        <w:spacing w:before="24" w:after="24"/>
      </w:pPr>
      <w:r>
        <w:t>（4）除通向避难层的疏散楼梯外，疏散楼梯（间）在各层的平面位置不改变或能使人员的疏散路线保持连续。</w:t>
      </w:r>
    </w:p>
    <w:p w14:paraId="24ED6518">
      <w:pPr>
        <w:pStyle w:val="54"/>
        <w:spacing w:before="24" w:after="24"/>
      </w:pPr>
      <w:r>
        <w:t>（5）地下楼层的疏散楼梯间与地上楼层的疏散楼梯间，在直通室外地面的楼层采用耐火极限不低于2.00h且无开口的防火隔墙分隔。</w:t>
      </w:r>
    </w:p>
    <w:p w14:paraId="424C1805">
      <w:pPr>
        <w:pStyle w:val="54"/>
        <w:spacing w:before="24" w:after="24"/>
      </w:pPr>
      <w:r>
        <w:t>（6）室外疏散楼梯的栏杆扶手高度不小于1.20m，梯段倾斜角度不大于45°；除疏散门外，楼梯周围2.0m内的墙面上不设置其他开口，疏散门不正对梯段。</w:t>
      </w:r>
    </w:p>
    <w:p w14:paraId="7C424A89">
      <w:pPr>
        <w:pStyle w:val="54"/>
        <w:spacing w:before="24" w:after="24"/>
      </w:pPr>
      <w:r>
        <w:t>5.养老院安全疏散宽度</w:t>
      </w:r>
    </w:p>
    <w:p w14:paraId="163257FE">
      <w:pPr>
        <w:pStyle w:val="54"/>
        <w:spacing w:before="24" w:after="24"/>
      </w:pPr>
      <w:r>
        <w:t>（1）老年人使用的出入口和门厅应符合下列规定:宜采用平坡出入口，平坡出入口的地面坡度不应大于1/20，有条件时不宜大于1/30。</w:t>
      </w:r>
    </w:p>
    <w:p w14:paraId="2466663E">
      <w:pPr>
        <w:pStyle w:val="54"/>
        <w:spacing w:before="24" w:after="24"/>
      </w:pPr>
      <w:r>
        <w:t>（2）出人口严禁采用旋转门。</w:t>
      </w:r>
    </w:p>
    <w:p w14:paraId="076D307E">
      <w:pPr>
        <w:pStyle w:val="54"/>
        <w:spacing w:before="24" w:after="24"/>
      </w:pPr>
      <w:r>
        <w:t>（3）出人口的地面、台阶、踏步、坡道等均应采用防滑材料铺装，应有防止积水的措施，严寒、寒冷地区宜采取防结冰措施。</w:t>
      </w:r>
    </w:p>
    <w:p w14:paraId="02EA0EB2">
      <w:pPr>
        <w:pStyle w:val="54"/>
        <w:spacing w:before="24" w:after="24"/>
      </w:pPr>
      <w:r>
        <w:t>（4） 老年人使用的走廊，通行净宽不应小于1.80m，确有困难时不应小于1.40m;当走廊的通行净宽大于1.40m且小于1.80m时，走廊中应设通行净宽不小于1.80m的轮椅错车空间，错车空间的间距不宜大于15.00m。</w:t>
      </w:r>
    </w:p>
    <w:p w14:paraId="684269A0">
      <w:pPr>
        <w:pStyle w:val="54"/>
        <w:spacing w:before="24" w:after="24"/>
      </w:pPr>
      <w:r>
        <w:t>（4）老年人使用的楼梯严禁采用弧形楼梯和螺旋楼梯。</w:t>
      </w:r>
    </w:p>
    <w:p w14:paraId="56DB0A59">
      <w:pPr>
        <w:pStyle w:val="54"/>
        <w:spacing w:before="24" w:after="24"/>
      </w:pPr>
      <w:r>
        <w:t>（5）老年人使用的楼梯应符合下列规定：</w:t>
      </w:r>
    </w:p>
    <w:p w14:paraId="2C28E667">
      <w:pPr>
        <w:pStyle w:val="54"/>
        <w:spacing w:before="24" w:after="24"/>
      </w:pPr>
      <w:r>
        <w:t>1）梯段通行净宽不应小于1.20m，各级踏步应均匀一致，楼梯缓步平台内不应设置踏步。</w:t>
      </w:r>
    </w:p>
    <w:p w14:paraId="381BD0BD">
      <w:pPr>
        <w:pStyle w:val="54"/>
        <w:spacing w:before="24" w:after="24"/>
      </w:pPr>
      <w:r>
        <w:t>2）踏步前缘不应突出，踏面下方不应透空。</w:t>
      </w:r>
    </w:p>
    <w:p w14:paraId="1E23BBE7">
      <w:pPr>
        <w:pStyle w:val="54"/>
        <w:spacing w:before="24" w:after="24"/>
      </w:pPr>
      <w:r>
        <w:t>3）应采用防滑材料饰面，所有踏步上的防滑条、警示条等附着物均不应突出踏面。</w:t>
      </w:r>
    </w:p>
    <w:p w14:paraId="5BEC4D34">
      <w:pPr>
        <w:pStyle w:val="54"/>
        <w:spacing w:before="24" w:after="24"/>
      </w:pPr>
      <w:r>
        <w:t>6.中小学校安全疏散宽度</w:t>
      </w:r>
    </w:p>
    <w:p w14:paraId="135ABE40">
      <w:pPr>
        <w:pStyle w:val="54"/>
        <w:spacing w:before="24" w:after="24"/>
      </w:pPr>
      <w:r>
        <w:t>（1）教学用建筑物出入口净通行宽度不得小于1.4m，门内与门外各1.5m范围内不宜设置台阶。</w:t>
      </w:r>
    </w:p>
    <w:p w14:paraId="1B41687B">
      <w:pPr>
        <w:pStyle w:val="54"/>
        <w:spacing w:before="24" w:after="24"/>
      </w:pPr>
      <w:r>
        <w:t>（2）教学用建筑物的出入口应设置无障碍设施，并应采取防止上部物体坠落和地面防滑的措施。</w:t>
      </w:r>
    </w:p>
    <w:p w14:paraId="3751F83F">
      <w:pPr>
        <w:pStyle w:val="54"/>
        <w:spacing w:before="24" w:after="24"/>
      </w:pPr>
      <w:r>
        <w:t>（3）走道疏散宽度内不得有壁柱、消火栓、教室开启的门窗扇等设施；当走道高差有变化时，台阶处应有天然采光或照明，踏步级数不得少于3级，并不得采用扇形踏步。当高差不足3级踏步时，应设置坡道，坡道的坡度不应大于1:8，不宜大于1:12。</w:t>
      </w:r>
    </w:p>
    <w:p w14:paraId="5EAD6040">
      <w:pPr>
        <w:pStyle w:val="54"/>
        <w:spacing w:before="24" w:after="24"/>
      </w:pPr>
      <w:r>
        <w:t>（4）中小学校内，每股人流的宽度按照0.60m计算。</w:t>
      </w:r>
    </w:p>
    <w:p w14:paraId="3C526F83">
      <w:pPr>
        <w:pStyle w:val="54"/>
        <w:spacing w:before="24" w:after="24"/>
      </w:pPr>
      <w:r>
        <w:t>（5）建筑的疏散通道宽度最少应为2股人流，并应按0.6m的整数倍增加疏散宽度</w:t>
      </w:r>
    </w:p>
    <w:p w14:paraId="418CBC85">
      <w:pPr>
        <w:pStyle w:val="54"/>
        <w:spacing w:before="24" w:after="24"/>
      </w:pPr>
      <w:r>
        <w:t>（6）建筑的安全出口、疏散走道、疏散楼梯和房间的疏散门等处每100人的净宽度应按照下表计算，同时教学用房的内走道净宽度不应小于2.4m，单侧走道及外走廊的净宽度不应小于1.8m；</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05"/>
        <w:gridCol w:w="4245"/>
      </w:tblGrid>
      <w:tr w14:paraId="781EF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0" w:type="dxa"/>
            <w:gridSpan w:val="2"/>
          </w:tcPr>
          <w:p w14:paraId="4F29228B">
            <w:pPr>
              <w:pStyle w:val="71"/>
              <w:spacing w:before="24" w:after="24"/>
            </w:pPr>
            <w:r>
              <w:rPr>
                <w:rFonts w:hint="eastAsia"/>
              </w:rPr>
              <w:t>安全出口、疏散走道、疏散楼梯和房间疏散门每100人的净宽度（m）</w:t>
            </w:r>
          </w:p>
        </w:tc>
      </w:tr>
      <w:tr w14:paraId="199E4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5" w:type="dxa"/>
          </w:tcPr>
          <w:p w14:paraId="579E5349">
            <w:pPr>
              <w:pStyle w:val="71"/>
              <w:spacing w:before="24" w:after="24"/>
            </w:pPr>
            <w:r>
              <w:rPr>
                <w:rFonts w:hint="eastAsia"/>
              </w:rPr>
              <w:t>所在楼层</w:t>
            </w:r>
          </w:p>
        </w:tc>
        <w:tc>
          <w:tcPr>
            <w:tcW w:w="4245" w:type="dxa"/>
          </w:tcPr>
          <w:p w14:paraId="6FEE0763">
            <w:pPr>
              <w:pStyle w:val="71"/>
              <w:spacing w:before="24" w:after="24"/>
            </w:pPr>
            <w:r>
              <w:rPr>
                <w:rFonts w:hint="eastAsia"/>
              </w:rPr>
              <w:t>耐火等级</w:t>
            </w:r>
          </w:p>
        </w:tc>
      </w:tr>
      <w:tr w14:paraId="53E9B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5" w:type="dxa"/>
          </w:tcPr>
          <w:p w14:paraId="675995F6">
            <w:pPr>
              <w:pStyle w:val="71"/>
              <w:spacing w:before="24" w:after="24"/>
            </w:pPr>
            <w:r>
              <w:rPr>
                <w:rFonts w:hint="eastAsia"/>
              </w:rPr>
              <w:t>地上一、二层</w:t>
            </w:r>
          </w:p>
        </w:tc>
        <w:tc>
          <w:tcPr>
            <w:tcW w:w="4245" w:type="dxa"/>
          </w:tcPr>
          <w:p w14:paraId="72DAEE02">
            <w:pPr>
              <w:pStyle w:val="71"/>
              <w:spacing w:before="24" w:after="24"/>
            </w:pPr>
            <w:r>
              <w:rPr>
                <w:rFonts w:hint="eastAsia"/>
              </w:rPr>
              <w:t>0.70</w:t>
            </w:r>
          </w:p>
        </w:tc>
      </w:tr>
      <w:tr w14:paraId="02375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5" w:type="dxa"/>
          </w:tcPr>
          <w:p w14:paraId="47DCCDBF">
            <w:pPr>
              <w:pStyle w:val="71"/>
              <w:spacing w:before="24" w:after="24"/>
            </w:pPr>
            <w:r>
              <w:rPr>
                <w:rFonts w:hint="eastAsia"/>
              </w:rPr>
              <w:t>地上三层</w:t>
            </w:r>
          </w:p>
        </w:tc>
        <w:tc>
          <w:tcPr>
            <w:tcW w:w="4245" w:type="dxa"/>
          </w:tcPr>
          <w:p w14:paraId="7CCDE782">
            <w:pPr>
              <w:pStyle w:val="71"/>
              <w:spacing w:before="24" w:after="24"/>
            </w:pPr>
            <w:r>
              <w:rPr>
                <w:rFonts w:hint="eastAsia"/>
              </w:rPr>
              <w:t>0.80</w:t>
            </w:r>
          </w:p>
        </w:tc>
      </w:tr>
      <w:tr w14:paraId="6F9A9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5" w:type="dxa"/>
          </w:tcPr>
          <w:p w14:paraId="214D6820">
            <w:pPr>
              <w:pStyle w:val="71"/>
              <w:spacing w:before="24" w:after="24"/>
            </w:pPr>
            <w:r>
              <w:rPr>
                <w:rFonts w:hint="eastAsia"/>
              </w:rPr>
              <w:t>地上四、五层</w:t>
            </w:r>
          </w:p>
        </w:tc>
        <w:tc>
          <w:tcPr>
            <w:tcW w:w="4245" w:type="dxa"/>
          </w:tcPr>
          <w:p w14:paraId="31A0599D">
            <w:pPr>
              <w:pStyle w:val="71"/>
              <w:spacing w:before="24" w:after="24"/>
            </w:pPr>
            <w:r>
              <w:rPr>
                <w:rFonts w:hint="eastAsia"/>
              </w:rPr>
              <w:t>1.05</w:t>
            </w:r>
          </w:p>
        </w:tc>
      </w:tr>
      <w:tr w14:paraId="5AC0A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5" w:type="dxa"/>
          </w:tcPr>
          <w:p w14:paraId="18F33595">
            <w:pPr>
              <w:pStyle w:val="71"/>
              <w:spacing w:before="24" w:after="24"/>
            </w:pPr>
            <w:r>
              <w:rPr>
                <w:rFonts w:hint="eastAsia"/>
              </w:rPr>
              <w:t>地下一、二层</w:t>
            </w:r>
          </w:p>
        </w:tc>
        <w:tc>
          <w:tcPr>
            <w:tcW w:w="4245" w:type="dxa"/>
          </w:tcPr>
          <w:p w14:paraId="455B4DB3">
            <w:pPr>
              <w:pStyle w:val="71"/>
              <w:spacing w:before="24" w:after="24"/>
            </w:pPr>
            <w:r>
              <w:rPr>
                <w:rFonts w:hint="eastAsia"/>
              </w:rPr>
              <w:t>0.8</w:t>
            </w:r>
          </w:p>
        </w:tc>
      </w:tr>
    </w:tbl>
    <w:p w14:paraId="2C741E24">
      <w:pPr>
        <w:pStyle w:val="54"/>
        <w:spacing w:before="24" w:after="24"/>
      </w:pPr>
      <w:r>
        <w:t>（4）房间疏散门开启后，每樘门的净通行宽度不应小于0.9m；</w:t>
      </w:r>
    </w:p>
    <w:p w14:paraId="7DB50C6A">
      <w:pPr>
        <w:pStyle w:val="54"/>
        <w:spacing w:before="24" w:after="24"/>
      </w:pPr>
      <w:r>
        <w:t>（5）中小学校楼梯应符合下列规定</w:t>
      </w:r>
    </w:p>
    <w:p w14:paraId="25AA2756">
      <w:pPr>
        <w:pStyle w:val="54"/>
        <w:spacing w:before="24" w:after="24"/>
      </w:pPr>
      <w:r>
        <w:t>1）楼梯宽度不应小于1.2m，并应按0.6m的整数倍增加楼梯宽度，每个梯段可增加不超过0.15m的摆幅宽度；</w:t>
      </w:r>
    </w:p>
    <w:p w14:paraId="0BB3C638">
      <w:pPr>
        <w:pStyle w:val="54"/>
        <w:spacing w:before="24" w:after="24"/>
      </w:pPr>
      <w:r>
        <w:t>2）楼梯每个梯段的踏步数不应少于3级，且不应多于18级；小学楼梯踏步宽度不得小于0.26m，高度不得大于0.15m，中学楼梯踏步宽度不得小于0.28m，高度不得大于0.16m。楼梯坡度不得大于30°。</w:t>
      </w:r>
    </w:p>
    <w:p w14:paraId="0AC7F9C2">
      <w:pPr>
        <w:pStyle w:val="54"/>
        <w:spacing w:before="24" w:after="24"/>
      </w:pPr>
      <w:r>
        <w:t>3）疏散楼梯不得采用螺旋楼梯和扇形踏步。</w:t>
      </w:r>
    </w:p>
    <w:p w14:paraId="34C54FC9">
      <w:pPr>
        <w:pStyle w:val="54"/>
        <w:spacing w:before="24" w:after="24"/>
      </w:pPr>
      <w:r>
        <w:t>4）梯井宽度不得大于0.11m，大于0.11m时，应采取有效的安全防护措施，两梯段扶手的水平净距宜为0.10m~0.20m。</w:t>
      </w:r>
    </w:p>
    <w:p w14:paraId="1092905D">
      <w:pPr>
        <w:pStyle w:val="54"/>
        <w:spacing w:before="24" w:after="24"/>
      </w:pPr>
      <w:r>
        <w:t>5）楼梯宽度为2股人流时，应至少一侧设置扶手，宽度达3股人流时，两侧均应设置扶手，达4股人流时，应加设中间扶手；</w:t>
      </w:r>
    </w:p>
    <w:p w14:paraId="61B8F80E">
      <w:pPr>
        <w:pStyle w:val="54"/>
        <w:spacing w:before="24" w:after="24"/>
      </w:pPr>
      <w:r>
        <w:t>6）楼梯栏杆不得采用易于攀爬的构造和花饰，杆径或花饰的镂空处净距不得大于0.11m；</w:t>
      </w:r>
    </w:p>
    <w:p w14:paraId="10111ABD">
      <w:pPr>
        <w:pStyle w:val="54"/>
        <w:spacing w:before="24" w:after="24"/>
      </w:pPr>
      <w:r>
        <w:t>7）楼梯扶手上应加装防止学生滑溜的设施。</w:t>
      </w:r>
    </w:p>
    <w:p w14:paraId="7B3B7C7A">
      <w:pPr>
        <w:pStyle w:val="54"/>
        <w:spacing w:before="24" w:after="24"/>
      </w:pPr>
      <w:r>
        <w:t>8）除首层及顶层外，教学楼疏散楼梯在中间层的楼层平台与梯段接口处宜设置缓冲空间，缓冲空间的宽度不宜小于梯段宽度。</w:t>
      </w:r>
    </w:p>
    <w:p w14:paraId="342360E3">
      <w:pPr>
        <w:pStyle w:val="54"/>
        <w:spacing w:before="24" w:after="24"/>
      </w:pPr>
      <w:r>
        <w:t>9）楼梯两相邻梯段间不得设置遮挡视线的隔墙。</w:t>
      </w:r>
    </w:p>
    <w:p w14:paraId="4C48B503">
      <w:pPr>
        <w:pStyle w:val="54"/>
        <w:spacing w:before="24" w:after="24"/>
      </w:pPr>
      <w:r>
        <w:t>10）教学用房的楼梯间应有天然采光和自然通风。</w:t>
      </w:r>
    </w:p>
    <w:p w14:paraId="1C55180C">
      <w:pPr>
        <w:pStyle w:val="54"/>
        <w:spacing w:before="24" w:after="24"/>
      </w:pPr>
      <w:r>
        <w:t>7.办公建筑安全疏散宽度</w:t>
      </w:r>
    </w:p>
    <w:p w14:paraId="078843AD">
      <w:pPr>
        <w:pStyle w:val="54"/>
        <w:spacing w:before="24" w:after="24"/>
      </w:pPr>
      <w:r>
        <w:t>（1）办公用房的门洞口宽度不应小于1.00m，高度不应小于2.10m。</w:t>
      </w:r>
    </w:p>
    <w:p w14:paraId="119909FC">
      <w:pPr>
        <w:pStyle w:val="54"/>
        <w:spacing w:before="24" w:after="24"/>
      </w:pPr>
      <w:r>
        <w:t>（2）办公建筑的走道宽度应满足防火疏散要求，最小净宽应符合下表的规定：</w:t>
      </w:r>
    </w:p>
    <w:tbl>
      <w:tblPr>
        <w:tblStyle w:val="31"/>
        <w:tblW w:w="0" w:type="auto"/>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top w:w="0" w:type="dxa"/>
          <w:left w:w="108" w:type="dxa"/>
          <w:bottom w:w="0" w:type="dxa"/>
          <w:right w:w="108" w:type="dxa"/>
        </w:tblCellMar>
      </w:tblPr>
      <w:tblGrid>
        <w:gridCol w:w="2930"/>
        <w:gridCol w:w="3303"/>
        <w:gridCol w:w="3090"/>
      </w:tblGrid>
      <w:tr w14:paraId="2205EAB6">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102" w:hRule="atLeast"/>
        </w:trPr>
        <w:tc>
          <w:tcPr>
            <w:tcW w:w="2930" w:type="dxa"/>
            <w:vMerge w:val="restart"/>
            <w:tcBorders>
              <w:top w:val="single" w:color="000000" w:sz="4" w:space="0"/>
              <w:left w:val="single" w:color="000000" w:sz="4" w:space="0"/>
              <w:bottom w:val="single" w:color="000000" w:sz="4" w:space="0"/>
              <w:right w:val="single" w:color="000000" w:sz="4" w:space="0"/>
            </w:tcBorders>
            <w:vAlign w:val="center"/>
          </w:tcPr>
          <w:p w14:paraId="3720BC9F">
            <w:pPr>
              <w:pStyle w:val="71"/>
              <w:spacing w:before="24" w:after="24"/>
              <w:rPr>
                <w:rFonts w:cs="Times New Roman"/>
              </w:rPr>
            </w:pPr>
            <w:r>
              <w:rPr>
                <w:rFonts w:cs="Times New Roman"/>
              </w:rPr>
              <w:t>走道长度（m）</w:t>
            </w:r>
          </w:p>
        </w:tc>
        <w:tc>
          <w:tcPr>
            <w:tcW w:w="6393" w:type="dxa"/>
            <w:gridSpan w:val="2"/>
            <w:tcBorders>
              <w:top w:val="single" w:color="000000" w:sz="4" w:space="0"/>
              <w:left w:val="nil"/>
              <w:bottom w:val="single" w:color="000000" w:sz="4" w:space="0"/>
              <w:right w:val="single" w:color="000000" w:sz="4" w:space="0"/>
            </w:tcBorders>
            <w:vAlign w:val="center"/>
          </w:tcPr>
          <w:p w14:paraId="7DF102D0">
            <w:pPr>
              <w:pStyle w:val="71"/>
              <w:spacing w:before="24" w:after="24"/>
              <w:rPr>
                <w:rFonts w:cs="Times New Roman"/>
              </w:rPr>
            </w:pPr>
            <w:r>
              <w:rPr>
                <w:rFonts w:cs="Times New Roman"/>
              </w:rPr>
              <w:t>走道净宽（m）</w:t>
            </w:r>
          </w:p>
        </w:tc>
      </w:tr>
      <w:tr w14:paraId="79DA9644">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139" w:hRule="atLeast"/>
        </w:trPr>
        <w:tc>
          <w:tcPr>
            <w:tcW w:w="2930" w:type="dxa"/>
            <w:vMerge w:val="continue"/>
            <w:tcBorders>
              <w:top w:val="single" w:color="000000" w:sz="4" w:space="0"/>
              <w:left w:val="single" w:color="000000" w:sz="4" w:space="0"/>
              <w:bottom w:val="single" w:color="000000" w:sz="4" w:space="0"/>
              <w:right w:val="single" w:color="000000" w:sz="4" w:space="0"/>
            </w:tcBorders>
            <w:vAlign w:val="center"/>
          </w:tcPr>
          <w:p w14:paraId="580A196A">
            <w:pPr>
              <w:pStyle w:val="71"/>
              <w:spacing w:before="24" w:after="24"/>
              <w:rPr>
                <w:rFonts w:cs="Times New Roman"/>
              </w:rPr>
            </w:pPr>
          </w:p>
        </w:tc>
        <w:tc>
          <w:tcPr>
            <w:tcW w:w="3303" w:type="dxa"/>
            <w:tcBorders>
              <w:top w:val="single" w:color="000000" w:sz="4" w:space="0"/>
              <w:left w:val="nil"/>
              <w:bottom w:val="single" w:color="000000" w:sz="4" w:space="0"/>
              <w:right w:val="single" w:color="000000" w:sz="4" w:space="0"/>
            </w:tcBorders>
            <w:vAlign w:val="center"/>
          </w:tcPr>
          <w:p w14:paraId="167DD46C">
            <w:pPr>
              <w:pStyle w:val="71"/>
              <w:spacing w:before="24" w:after="24"/>
              <w:rPr>
                <w:rFonts w:cs="Times New Roman"/>
              </w:rPr>
            </w:pPr>
            <w:r>
              <w:rPr>
                <w:rFonts w:cs="Times New Roman"/>
              </w:rPr>
              <w:t>单面布房</w:t>
            </w:r>
          </w:p>
        </w:tc>
        <w:tc>
          <w:tcPr>
            <w:tcW w:w="3090" w:type="dxa"/>
            <w:tcBorders>
              <w:top w:val="single" w:color="000000" w:sz="4" w:space="0"/>
              <w:left w:val="nil"/>
              <w:bottom w:val="single" w:color="000000" w:sz="4" w:space="0"/>
              <w:right w:val="single" w:color="000000" w:sz="4" w:space="0"/>
            </w:tcBorders>
            <w:vAlign w:val="center"/>
          </w:tcPr>
          <w:p w14:paraId="744AEFB3">
            <w:pPr>
              <w:pStyle w:val="71"/>
              <w:spacing w:before="24" w:after="24"/>
              <w:rPr>
                <w:rFonts w:cs="Times New Roman"/>
              </w:rPr>
            </w:pPr>
            <w:r>
              <w:rPr>
                <w:rFonts w:cs="Times New Roman"/>
              </w:rPr>
              <w:t>双面布房</w:t>
            </w:r>
          </w:p>
        </w:tc>
      </w:tr>
      <w:tr w14:paraId="72A39A90">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90" w:hRule="atLeast"/>
        </w:trPr>
        <w:tc>
          <w:tcPr>
            <w:tcW w:w="2930" w:type="dxa"/>
            <w:tcBorders>
              <w:top w:val="single" w:color="000000" w:sz="4" w:space="0"/>
              <w:left w:val="single" w:color="000000" w:sz="4" w:space="0"/>
              <w:bottom w:val="single" w:color="000000" w:sz="4" w:space="0"/>
              <w:right w:val="single" w:color="000000" w:sz="4" w:space="0"/>
            </w:tcBorders>
            <w:vAlign w:val="center"/>
          </w:tcPr>
          <w:p w14:paraId="51C3B2CD">
            <w:pPr>
              <w:pStyle w:val="71"/>
              <w:spacing w:before="24" w:after="24"/>
              <w:rPr>
                <w:rFonts w:cs="Times New Roman"/>
              </w:rPr>
            </w:pPr>
            <w:r>
              <w:rPr>
                <w:rFonts w:cs="Times New Roman"/>
              </w:rPr>
              <w:t>≤40</w:t>
            </w:r>
          </w:p>
        </w:tc>
        <w:tc>
          <w:tcPr>
            <w:tcW w:w="3303" w:type="dxa"/>
            <w:tcBorders>
              <w:top w:val="single" w:color="000000" w:sz="4" w:space="0"/>
              <w:left w:val="nil"/>
              <w:bottom w:val="single" w:color="000000" w:sz="4" w:space="0"/>
              <w:right w:val="single" w:color="000000" w:sz="4" w:space="0"/>
            </w:tcBorders>
            <w:vAlign w:val="center"/>
          </w:tcPr>
          <w:p w14:paraId="5BAF454D">
            <w:pPr>
              <w:pStyle w:val="71"/>
              <w:spacing w:before="24" w:after="24"/>
              <w:rPr>
                <w:rFonts w:cs="Times New Roman"/>
              </w:rPr>
            </w:pPr>
            <w:r>
              <w:rPr>
                <w:rFonts w:cs="Times New Roman"/>
              </w:rPr>
              <w:t>1.3</w:t>
            </w:r>
          </w:p>
        </w:tc>
        <w:tc>
          <w:tcPr>
            <w:tcW w:w="3090" w:type="dxa"/>
            <w:tcBorders>
              <w:top w:val="single" w:color="000000" w:sz="4" w:space="0"/>
              <w:left w:val="nil"/>
              <w:bottom w:val="single" w:color="000000" w:sz="4" w:space="0"/>
              <w:right w:val="single" w:color="000000" w:sz="4" w:space="0"/>
            </w:tcBorders>
            <w:vAlign w:val="center"/>
          </w:tcPr>
          <w:p w14:paraId="6E028B36">
            <w:pPr>
              <w:pStyle w:val="71"/>
              <w:spacing w:before="24" w:after="24"/>
              <w:rPr>
                <w:rFonts w:cs="Times New Roman"/>
              </w:rPr>
            </w:pPr>
            <w:r>
              <w:rPr>
                <w:rFonts w:cs="Times New Roman"/>
              </w:rPr>
              <w:t>1.5</w:t>
            </w:r>
          </w:p>
        </w:tc>
      </w:tr>
      <w:tr w14:paraId="39CDB8B0">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90" w:hRule="atLeast"/>
        </w:trPr>
        <w:tc>
          <w:tcPr>
            <w:tcW w:w="2930" w:type="dxa"/>
            <w:tcBorders>
              <w:top w:val="single" w:color="000000" w:sz="4" w:space="0"/>
              <w:left w:val="single" w:color="000000" w:sz="4" w:space="0"/>
              <w:bottom w:val="single" w:color="000000" w:sz="4" w:space="0"/>
              <w:right w:val="single" w:color="000000" w:sz="4" w:space="0"/>
            </w:tcBorders>
            <w:vAlign w:val="center"/>
          </w:tcPr>
          <w:p w14:paraId="096D8193">
            <w:pPr>
              <w:pStyle w:val="71"/>
              <w:spacing w:before="24" w:after="24"/>
              <w:rPr>
                <w:rFonts w:cs="Times New Roman"/>
              </w:rPr>
            </w:pPr>
            <w:r>
              <w:rPr>
                <w:rFonts w:cs="Times New Roman"/>
              </w:rPr>
              <w:t>＞40</w:t>
            </w:r>
          </w:p>
        </w:tc>
        <w:tc>
          <w:tcPr>
            <w:tcW w:w="3303" w:type="dxa"/>
            <w:tcBorders>
              <w:top w:val="single" w:color="000000" w:sz="4" w:space="0"/>
              <w:left w:val="nil"/>
              <w:bottom w:val="single" w:color="000000" w:sz="4" w:space="0"/>
              <w:right w:val="single" w:color="000000" w:sz="4" w:space="0"/>
            </w:tcBorders>
            <w:vAlign w:val="center"/>
          </w:tcPr>
          <w:p w14:paraId="4910903C">
            <w:pPr>
              <w:pStyle w:val="71"/>
              <w:spacing w:before="24" w:after="24"/>
              <w:rPr>
                <w:rFonts w:cs="Times New Roman"/>
              </w:rPr>
            </w:pPr>
            <w:r>
              <w:rPr>
                <w:rFonts w:cs="Times New Roman"/>
              </w:rPr>
              <w:t>1.5</w:t>
            </w:r>
          </w:p>
        </w:tc>
        <w:tc>
          <w:tcPr>
            <w:tcW w:w="3090" w:type="dxa"/>
            <w:tcBorders>
              <w:top w:val="single" w:color="000000" w:sz="4" w:space="0"/>
              <w:left w:val="nil"/>
              <w:bottom w:val="single" w:color="000000" w:sz="4" w:space="0"/>
              <w:right w:val="single" w:color="000000" w:sz="4" w:space="0"/>
            </w:tcBorders>
            <w:vAlign w:val="center"/>
          </w:tcPr>
          <w:p w14:paraId="1B7A319B">
            <w:pPr>
              <w:pStyle w:val="71"/>
              <w:spacing w:before="24" w:after="24"/>
              <w:rPr>
                <w:rFonts w:cs="Times New Roman"/>
              </w:rPr>
            </w:pPr>
            <w:r>
              <w:rPr>
                <w:rFonts w:cs="Times New Roman"/>
              </w:rPr>
              <w:t>1.8</w:t>
            </w:r>
          </w:p>
        </w:tc>
      </w:tr>
    </w:tbl>
    <w:p w14:paraId="24330651">
      <w:pPr>
        <w:pStyle w:val="54"/>
        <w:spacing w:before="24" w:after="24"/>
      </w:pPr>
      <w:r>
        <w:t>（3）办公建筑的耐火等级应符合下列规定：</w:t>
      </w:r>
    </w:p>
    <w:p w14:paraId="548604C0">
      <w:pPr>
        <w:pStyle w:val="54"/>
        <w:spacing w:before="24" w:after="24"/>
      </w:pPr>
      <w:r>
        <w:t>1）A类、B类办公建筑应为一级；</w:t>
      </w:r>
    </w:p>
    <w:p w14:paraId="347123D9">
      <w:pPr>
        <w:pStyle w:val="54"/>
        <w:spacing w:before="24" w:after="24"/>
      </w:pPr>
      <w:r>
        <w:t>2）C类办公建筑不应低于二级。</w:t>
      </w:r>
    </w:p>
    <w:p w14:paraId="73791D76">
      <w:pPr>
        <w:pStyle w:val="54"/>
        <w:spacing w:before="24" w:after="24"/>
      </w:pPr>
      <w:r>
        <w:t>（4）办公建筑疏散总宽度应按总人数计算，当无法额定总人数时，可按其建筑面积9㎡/人计算。</w:t>
      </w:r>
    </w:p>
    <w:p w14:paraId="086C2BB6">
      <w:pPr>
        <w:pStyle w:val="54"/>
        <w:spacing w:before="24" w:after="24"/>
      </w:pPr>
      <w:r>
        <w:t>（5）机要室、档案室、电子信息系统机房和重要库房等隔墙的耐火极限不应小于2h，楼板不应小于1.5h，并应采用甲级防火门。</w:t>
      </w:r>
    </w:p>
    <w:p w14:paraId="38D591B3">
      <w:pPr>
        <w:pStyle w:val="54"/>
        <w:spacing w:before="24" w:after="24"/>
      </w:pPr>
      <w:r>
        <w:t>8.安全疏散距离</w:t>
      </w:r>
    </w:p>
    <w:p w14:paraId="74435CC9">
      <w:pPr>
        <w:pStyle w:val="54"/>
        <w:spacing w:before="24" w:after="24"/>
      </w:pPr>
      <w:r>
        <w:t>需满足《建筑设计防火规范》GB50016-2014（2018年版）中5.5条的相关规定。</w:t>
      </w:r>
    </w:p>
    <w:p w14:paraId="574B8647">
      <w:pPr>
        <w:pStyle w:val="54"/>
        <w:spacing w:before="24" w:after="24"/>
      </w:pPr>
      <w:r>
        <w:t>9.建筑构造</w:t>
      </w:r>
    </w:p>
    <w:p w14:paraId="076B23FE">
      <w:pPr>
        <w:pStyle w:val="54"/>
        <w:spacing w:before="24" w:after="24"/>
      </w:pPr>
      <w:r>
        <w:t>（1）建筑幕墙应在每层楼板外沿处采取防止火灾通过幕墙空腔等构造竖向蔓延的措施。</w:t>
      </w:r>
    </w:p>
    <w:p w14:paraId="345084B7">
      <w:pPr>
        <w:pStyle w:val="54"/>
        <w:spacing w:before="24" w:after="24"/>
      </w:pPr>
      <w:r>
        <w:t>（2）电梯井应独立设置，电梯井内不应敷设或穿过可燃气体或甲、乙、丙类液体管道及与电梯运行无关的电线或电缆等。电梯层门的耐火完整性不应低于2.00h。</w:t>
      </w:r>
    </w:p>
    <w:p w14:paraId="1000383A">
      <w:pPr>
        <w:pStyle w:val="54"/>
        <w:spacing w:before="24" w:after="24"/>
      </w:pPr>
      <w:r>
        <w:t>（3）电气竖井、管道井、排烟或通风道、垃圾井等竖井分别独立设置，井壁的耐火极限均不低于1.00h。</w:t>
      </w:r>
    </w:p>
    <w:p w14:paraId="7379B114">
      <w:pPr>
        <w:pStyle w:val="54"/>
        <w:spacing w:before="24" w:after="24"/>
      </w:pPr>
      <w:r>
        <w:t>（4）除通风管道井、送风管道井、排烟管道井、必须通风的燃气管道竖井及其他有特殊要求的竖井可不在层间的楼板处分隔外，其他竖井应在每层楼板处采取防火分隔措施，且防火分隔组件的耐火性能不应低于楼板的耐火性能。</w:t>
      </w:r>
    </w:p>
    <w:p w14:paraId="1E8B4C52">
      <w:pPr>
        <w:pStyle w:val="54"/>
        <w:spacing w:before="24" w:after="24"/>
      </w:pPr>
      <w:r>
        <w:t>（5）电气线路和各类管道穿过防火墙、防火隔墙、竖井井壁、建筑变形缝处和楼板处的孔隙应采取防火封堵措施。防火封堵组件的耐火性能不应低于防火分隔部位的耐火性能要求。</w:t>
      </w:r>
    </w:p>
    <w:p w14:paraId="60FBA999">
      <w:pPr>
        <w:pStyle w:val="54"/>
        <w:spacing w:before="24" w:after="24"/>
      </w:pPr>
      <w:r>
        <w:t>（6）通风和空气调节系统的管道、防烟与排烟系统的管道穿过防火墙、防火隔墙、楼板、建筑变形缝处，建筑内未按防火分区独立设置的通风和空气调节系统中的竖向风管与每层水平风管交接的水平管段处，均应采取防止火灾通过管道蔓延至其他防火分隔区域的措施。</w:t>
      </w:r>
    </w:p>
    <w:p w14:paraId="31A63B2F">
      <w:pPr>
        <w:pStyle w:val="54"/>
        <w:spacing w:before="24" w:after="24"/>
      </w:pPr>
      <w:r>
        <w:t>（7）防火门、防火窗应具有自动关闭的功能，在关闭后应具有防烟密闭的性能。</w:t>
      </w:r>
    </w:p>
    <w:p w14:paraId="5139436E">
      <w:pPr>
        <w:pStyle w:val="54"/>
        <w:spacing w:before="24" w:after="24"/>
      </w:pPr>
      <w:r>
        <w:t>（8）用于防火分隔的防火卷帘应具有在火灾时不需要依靠电源等外部动力源而依靠自重自行关闭的功能，耐火性能不应低于防火分隔部位的耐火性能要求，应在关闭后具有烟密闭的性能。</w:t>
      </w:r>
    </w:p>
    <w:p w14:paraId="1CDCA622">
      <w:pPr>
        <w:pStyle w:val="54"/>
        <w:spacing w:before="24" w:after="24"/>
      </w:pPr>
      <w:r>
        <w:t>（9）疏散出口门应能在关闭后从任何一侧手动开启。建筑中控制人员出入的闸口和设置门禁系统的疏散出口门应具有在火灾时自动释放的功能，且人员不需使用任何工具即能容易地从内部打开，在门内一侧的显著位置应设置明显的标识。</w:t>
      </w:r>
    </w:p>
    <w:p w14:paraId="57DE31A7">
      <w:pPr>
        <w:pStyle w:val="54"/>
        <w:spacing w:before="24" w:after="24"/>
      </w:pPr>
      <w:r>
        <w:t>（10）消防救援口的净高度和净宽度均不小于1.0m，当利用门时，净宽度不小于0.8m；消防救援口应易于从室内和室外打开或破拆，采用玻璃窗时，应选用安全玻璃；消防救援口应设置可在室内和室外识别的永久性明显标志。</w:t>
      </w:r>
    </w:p>
    <w:p w14:paraId="0223C291">
      <w:pPr>
        <w:pStyle w:val="54"/>
        <w:spacing w:before="24" w:after="24"/>
      </w:pPr>
      <w:r>
        <w:t>10.建筑内部和外部装修</w:t>
      </w:r>
    </w:p>
    <w:p w14:paraId="30EBE18F">
      <w:pPr>
        <w:pStyle w:val="54"/>
        <w:spacing w:before="24" w:after="24"/>
      </w:pPr>
      <w:r>
        <w:t>（1）建筑内部装修不应擅自减少、改动、拆除、遮挡消防设施或器材及其标识、疏散指示标志、疏散出口、疏散走道或疏散横通道，不应擅自改变防火分区或防火分隔、防烟分区及其分隔，不应影响消防设施或器材的使用功能和正常操作。</w:t>
      </w:r>
    </w:p>
    <w:p w14:paraId="6438FD39">
      <w:pPr>
        <w:pStyle w:val="54"/>
        <w:spacing w:before="24" w:after="24"/>
      </w:pPr>
      <w:r>
        <w:t>（2）建筑的外部装修和户外广告牌的设置，应满足防止火灾通过建筑外立面蔓延的要求，不应妨碍建筑的消防救援或火灾时建筑的排烟与排热，不应遮挡或减小消防救援口。</w:t>
      </w:r>
    </w:p>
    <w:p w14:paraId="79574F1E">
      <w:pPr>
        <w:pStyle w:val="54"/>
        <w:spacing w:before="24" w:after="24"/>
      </w:pPr>
      <w:r>
        <w:t>（3）建筑内部各部位、房间、场所内部装修材料的燃烧性能应符合《建筑防火通用规范》GB55037-2022、《建筑内部装修设计防火规范》GB50222-2017的相关规定。</w:t>
      </w:r>
    </w:p>
    <w:p w14:paraId="258322D1">
      <w:pPr>
        <w:pStyle w:val="54"/>
        <w:spacing w:before="24" w:after="24"/>
      </w:pPr>
      <w:r>
        <w:t>（4）除《建筑防火通用规范》GB55037-2022第6.6.3条～策6.6.6条规定的建筑外,其他建筑采用与基层墙体、装饰层之间无空腔的外墙外保温系统时,保温材料或制品的燃烧性能应符合下列规定:</w:t>
      </w:r>
    </w:p>
    <w:p w14:paraId="32DB7B93">
      <w:pPr>
        <w:pStyle w:val="54"/>
        <w:spacing w:before="24" w:after="24"/>
      </w:pPr>
      <w:r>
        <w:t>1）建筑高度大于50m时,应为 A级;</w:t>
      </w:r>
    </w:p>
    <w:p w14:paraId="29209377">
      <w:pPr>
        <w:pStyle w:val="54"/>
        <w:spacing w:before="24" w:after="24"/>
      </w:pPr>
      <w:r>
        <w:t>2）建筑高度大于24m、不大于50m时,不应低于B级。</w:t>
      </w:r>
    </w:p>
    <w:p w14:paraId="61C606A2">
      <w:pPr>
        <w:pStyle w:val="54"/>
        <w:spacing w:before="24" w:after="24"/>
      </w:pPr>
      <w:r>
        <w:t>（5）下列场所或部位内保温系统中保温材料或制品的燃烧性能应为 A级:</w:t>
      </w:r>
    </w:p>
    <w:p w14:paraId="04F95CDB">
      <w:pPr>
        <w:pStyle w:val="54"/>
        <w:spacing w:before="24" w:after="24"/>
      </w:pPr>
      <w:r>
        <w:t>1）人员密集场所;</w:t>
      </w:r>
    </w:p>
    <w:p w14:paraId="6D6BF587">
      <w:pPr>
        <w:pStyle w:val="54"/>
        <w:spacing w:before="24" w:after="24"/>
      </w:pPr>
      <w:r>
        <w:t>2）使用明火、燃油、燃气等有火灾危险的场所;</w:t>
      </w:r>
    </w:p>
    <w:p w14:paraId="61B7302E">
      <w:pPr>
        <w:pStyle w:val="54"/>
        <w:spacing w:before="24" w:after="24"/>
      </w:pPr>
      <w:r>
        <w:t>3）疏散楼梯间及其前室;</w:t>
      </w:r>
    </w:p>
    <w:p w14:paraId="4BC04388">
      <w:pPr>
        <w:pStyle w:val="54"/>
        <w:spacing w:before="24" w:after="24"/>
      </w:pPr>
      <w:r>
        <w:t>4）避难走道、避难层、避难间;</w:t>
      </w:r>
    </w:p>
    <w:p w14:paraId="29EB84AF">
      <w:pPr>
        <w:pStyle w:val="54"/>
        <w:spacing w:before="24" w:after="24"/>
      </w:pPr>
      <w:r>
        <w:t>5）消防电梯前至或合用前至。</w:t>
      </w:r>
    </w:p>
    <w:p w14:paraId="4B4E03F7">
      <w:pPr>
        <w:pStyle w:val="54"/>
        <w:spacing w:before="24" w:after="24"/>
      </w:pPr>
      <w:r>
        <w:t>11.建筑保温</w:t>
      </w:r>
    </w:p>
    <w:p w14:paraId="0AFB0522">
      <w:pPr>
        <w:pStyle w:val="54"/>
        <w:spacing w:before="24" w:after="24"/>
      </w:pPr>
      <w:r>
        <w:t>建筑的内、外保温系统和屋面保温系统的保温材料或制品的燃烧性能应符合《建筑防火通用规范》GB55037-2022、《建筑设计防火规范》GB50016-2014（2018年版）的相关规定。</w:t>
      </w:r>
    </w:p>
    <w:p w14:paraId="5B009A21">
      <w:pPr>
        <w:pStyle w:val="82"/>
        <w:spacing w:before="24" w:after="24"/>
        <w:ind w:firstLine="562"/>
        <w:rPr>
          <w:rFonts w:cs="Times New Roman"/>
        </w:rPr>
      </w:pPr>
      <w:r>
        <w:rPr>
          <w:rFonts w:cs="Times New Roman"/>
        </w:rPr>
        <w:t>3.2.13 无障碍设计</w:t>
      </w:r>
    </w:p>
    <w:p w14:paraId="4125C758">
      <w:pPr>
        <w:pStyle w:val="54"/>
        <w:spacing w:before="24" w:after="24"/>
      </w:pPr>
      <w:r>
        <w:t>1.无障碍设计需执行《建筑与市政工程无障碍通用规范》GB55019-2021、《无障碍设计规范》GB50763-2012和地方主管部门的有关规定。</w:t>
      </w:r>
    </w:p>
    <w:p w14:paraId="615D4F43">
      <w:pPr>
        <w:pStyle w:val="54"/>
        <w:spacing w:before="24" w:after="24"/>
      </w:pPr>
      <w:r>
        <w:t>2.建筑基地的无障碍设计需在总平面图或室外景观设计。</w:t>
      </w:r>
    </w:p>
    <w:p w14:paraId="53B6A471">
      <w:pPr>
        <w:pStyle w:val="54"/>
        <w:spacing w:before="24" w:after="24"/>
      </w:pPr>
      <w:r>
        <w:t>3.本工程无障碍设计范围包括：无障碍出入口，无障碍通道，无障碍楼梯、台阶，无障碍电梯、升降平台，公共厕所无障碍设施，无障碍厕所，无障碍住房，无障碍机动车停车位等。</w:t>
      </w:r>
    </w:p>
    <w:p w14:paraId="20CF5A7F">
      <w:pPr>
        <w:pStyle w:val="54"/>
        <w:spacing w:before="24" w:after="24"/>
      </w:pPr>
      <w:r>
        <w:t>4.无障碍的门不应采用力度大的弹簧门并不宜采用弹簧门、玻璃门；当采用玻璃门时，应有醒目的提示标志。满足无障碍要求的门不应设挡块和门槛，门口有高差时，高度不应大于15mm，并应以斜面过渡，斜面的纵向坡度不应大于1:10。</w:t>
      </w:r>
    </w:p>
    <w:p w14:paraId="4DCF6CA3">
      <w:pPr>
        <w:pStyle w:val="54"/>
        <w:spacing w:before="24" w:after="24"/>
      </w:pPr>
      <w:r>
        <w:t>5.主要出入口、建筑出入口、通道、停车位、厕所、电梯等无障碍设施的位置，应设置无障碍标志。</w:t>
      </w:r>
    </w:p>
    <w:p w14:paraId="29879364">
      <w:pPr>
        <w:pStyle w:val="54"/>
        <w:spacing w:before="24" w:after="24"/>
      </w:pPr>
      <w:r>
        <w:t>6.其他建筑细部需按照《建筑与市政工程无障碍通用规范》GB55019-2021、《无障碍设计规范》GB50763-2012完善设计，如需进行二次装修图纸时，需经发包人及建筑设计单位确认后方可施工。</w:t>
      </w:r>
    </w:p>
    <w:p w14:paraId="512E2590">
      <w:pPr>
        <w:pStyle w:val="82"/>
        <w:spacing w:before="24" w:after="24"/>
        <w:ind w:firstLine="562"/>
        <w:rPr>
          <w:rFonts w:cs="Times New Roman"/>
        </w:rPr>
      </w:pPr>
      <w:r>
        <w:rPr>
          <w:rFonts w:cs="Times New Roman"/>
        </w:rPr>
        <w:t>3.2.14 建筑环境设计</w:t>
      </w:r>
    </w:p>
    <w:p w14:paraId="7263F507">
      <w:pPr>
        <w:pStyle w:val="54"/>
        <w:spacing w:before="24" w:after="24"/>
      </w:pPr>
      <w:r>
        <w:t>1.建筑环境设计需执行《建筑环境通用规范》GB55016-2021、《民用建筑隔声设计规范》GB50118-2010、《建筑采光设计标准》GB50033-2013、《民用建筑热工设计规范》GB50176-2016、《民用建筑工程室内环境污染控制标准》GB50325-2020等。</w:t>
      </w:r>
    </w:p>
    <w:p w14:paraId="7FBC0713">
      <w:pPr>
        <w:pStyle w:val="54"/>
        <w:spacing w:before="24" w:after="24"/>
      </w:pPr>
      <w:r>
        <w:t>2.污染源情况：德钦县城地质灾害避险搬迁近期建设项目二期主要污染源来自生产生活产生的污水、污物（垃圾），噪声污染来源于生产生活的噪声。</w:t>
      </w:r>
    </w:p>
    <w:p w14:paraId="6B6855B7">
      <w:pPr>
        <w:pStyle w:val="54"/>
        <w:spacing w:before="24" w:after="24"/>
      </w:pPr>
      <w:r>
        <w:t>3.需根据有资质的检测机构出具的建筑工程所在区域土壤中氡浓度或土壤表面氡析出率检测报告，采取相应的建筑技术措施。</w:t>
      </w:r>
    </w:p>
    <w:p w14:paraId="1CAD4A63">
      <w:pPr>
        <w:pStyle w:val="54"/>
        <w:spacing w:before="24" w:after="24"/>
      </w:pPr>
      <w:r>
        <w:t>4.污水处理：本工程排水需采用雨污分流，污废合流。</w:t>
      </w:r>
    </w:p>
    <w:p w14:paraId="3F0B8A03">
      <w:pPr>
        <w:pStyle w:val="54"/>
        <w:spacing w:before="24" w:after="24"/>
      </w:pPr>
      <w:r>
        <w:t>5.固体垃圾处理：生活垃圾分类处理，生活垃圾全部袋装化，密闭容器存放。</w:t>
      </w:r>
    </w:p>
    <w:p w14:paraId="38BA6AF5">
      <w:pPr>
        <w:pStyle w:val="54"/>
        <w:spacing w:before="24" w:after="24"/>
      </w:pPr>
      <w:r>
        <w:t>6.民用建筑内的建筑设备隔振降噪设计应符合下列规定：</w:t>
      </w:r>
    </w:p>
    <w:p w14:paraId="62A618FC">
      <w:pPr>
        <w:pStyle w:val="54"/>
        <w:spacing w:before="24" w:after="24"/>
      </w:pPr>
      <w:r>
        <w:t>（1）民用建筑内当产生噪声与振动的建筑设备可能对噪声敏感房间产生噪声干扰时，应采取有效的隔振、隔声措施。</w:t>
      </w:r>
    </w:p>
    <w:p w14:paraId="19196F8A">
      <w:pPr>
        <w:pStyle w:val="54"/>
        <w:spacing w:before="24" w:after="24"/>
      </w:pPr>
      <w:r>
        <w:t>（2）与产生噪声与振动的建筑设备相连接的各类管道应采取软管连接、设置弹性支吊架等措施控制振动和固体噪声沿管道传播。并应采取控制流速、设置消声器等综合措施降低随管道传播的机械辐射噪声和气流再生噪声。</w:t>
      </w:r>
    </w:p>
    <w:p w14:paraId="7FD8BB80">
      <w:pPr>
        <w:pStyle w:val="54"/>
        <w:spacing w:before="24" w:after="24"/>
      </w:pPr>
      <w:r>
        <w:t>（3）当各类管道穿越噪声敏感房间的墙体和楼板时，孔洞周边应采取密封隔声措施；当在噪声敏感房间内的墙体上设置嵌入墙内对墙体隔声性能有显著降低的配套构件时，不得背对背布置，应相互错开位置，并应对所开的洞（槽）采取有效的隔声封堵措施。</w:t>
      </w:r>
    </w:p>
    <w:p w14:paraId="389E0A72">
      <w:pPr>
        <w:pStyle w:val="54"/>
        <w:spacing w:before="24" w:after="24"/>
      </w:pPr>
      <w:r>
        <w:t>7.设有机械通风系统的民用建筑，除事故风机、消防用风机外，室外露天安装的通风机应避免运行噪声及振动对周边环境的影响，必要时应采取可靠的防护和消声隔振措施。</w:t>
      </w:r>
    </w:p>
    <w:p w14:paraId="22039574">
      <w:pPr>
        <w:pStyle w:val="54"/>
        <w:spacing w:before="24" w:after="24"/>
      </w:pPr>
      <w:r>
        <w:t>8.设有空气调节系统的民用建筑，风冷室外机应设置在通风良好的位置；水冷设备既要通风良好，又要避免飘水对行人或环境的不利影响，靠近外窗时应采取防雾、防噪声干扰等措施。</w:t>
      </w:r>
    </w:p>
    <w:p w14:paraId="7E89350A">
      <w:pPr>
        <w:pStyle w:val="54"/>
        <w:spacing w:before="24" w:after="24"/>
      </w:pPr>
      <w:r>
        <w:t>9.电梯井道和机房与有安静要求的用房贴邻布置时，采取有效的隔振、隔声等措施。</w:t>
      </w:r>
    </w:p>
    <w:p w14:paraId="70C4BFC9">
      <w:pPr>
        <w:pStyle w:val="54"/>
        <w:spacing w:before="24" w:after="24"/>
      </w:pPr>
      <w:r>
        <w:t>10.本工程中建筑幕墙、磨光石材、釉面砖墙、金属、涂料等建筑材料应符合建筑内部和周边光环境的要求。</w:t>
      </w:r>
    </w:p>
    <w:p w14:paraId="46FE654D">
      <w:pPr>
        <w:pStyle w:val="54"/>
        <w:spacing w:before="24" w:after="24"/>
      </w:pPr>
      <w:r>
        <w:t>11.用于水池、厨房、泳池等房间、构件的所有建筑材料，均应无毒、无味，符合卫生及防疫环保标准，且应经相关部门检测合格后方可使用，应耐腐蚀且易于清洁。</w:t>
      </w:r>
    </w:p>
    <w:p w14:paraId="28810860">
      <w:pPr>
        <w:pStyle w:val="54"/>
        <w:spacing w:before="24" w:after="24"/>
      </w:pPr>
      <w:r>
        <w:t>12.生产和储存食品、饮料或药物的场所，在食品、饮料或药物有可能直接与地面接触的地段，地面面层严禁采用有毒的材料。当此场所生产和储存吸味较强的食物时，地面面层严禁采用散发异味的材料。</w:t>
      </w:r>
    </w:p>
    <w:p w14:paraId="792B16B3">
      <w:pPr>
        <w:pStyle w:val="82"/>
        <w:spacing w:before="24" w:after="24"/>
        <w:ind w:firstLine="562"/>
        <w:rPr>
          <w:rFonts w:cs="Times New Roman"/>
        </w:rPr>
      </w:pPr>
      <w:r>
        <w:rPr>
          <w:rFonts w:cs="Times New Roman"/>
        </w:rPr>
        <w:t>3.2.15 深化设计</w:t>
      </w:r>
    </w:p>
    <w:p w14:paraId="0512CA57">
      <w:pPr>
        <w:pStyle w:val="54"/>
        <w:spacing w:before="24" w:after="24"/>
      </w:pPr>
      <w:r>
        <w:t>承包人应按照国家、地方现行设计规范、标准并参照行业及相关图集进行本项目的二次深化设计、专项设计（如门窗、幕墙、基坑支护等）、工艺设计等，相关设计成果应提交发包人审核，审核通过后方可实施。</w:t>
      </w:r>
    </w:p>
    <w:p w14:paraId="3CE92214">
      <w:pPr>
        <w:pStyle w:val="82"/>
        <w:spacing w:before="24" w:after="24"/>
        <w:ind w:firstLine="562"/>
        <w:rPr>
          <w:rFonts w:cs="Times New Roman"/>
        </w:rPr>
      </w:pPr>
      <w:r>
        <w:rPr>
          <w:rFonts w:cs="Times New Roman"/>
        </w:rPr>
        <w:t>3.2.16 其他注意事项</w:t>
      </w:r>
    </w:p>
    <w:p w14:paraId="56CD3520">
      <w:pPr>
        <w:pStyle w:val="54"/>
        <w:spacing w:before="24" w:after="24"/>
      </w:pPr>
      <w:r>
        <w:t>1.施工图单体平面图与初设单体平面图关键要素应一致：包括但不限于外轮廓、公共部位尺度、功能空间进深面宽尺度等。</w:t>
      </w:r>
    </w:p>
    <w:p w14:paraId="197C00FE">
      <w:pPr>
        <w:pStyle w:val="54"/>
        <w:spacing w:before="24" w:after="24"/>
      </w:pPr>
      <w:r>
        <w:t>2.建筑、结构、设备图纸不应出现专业间碰撞问题：包括但不限于轴线编号及定位不一致、外轮廓及墙体位置不一致、结构梁破坏功能空间完整性、管井及留洞位置不一致等。</w:t>
      </w:r>
    </w:p>
    <w:p w14:paraId="453EC71F">
      <w:pPr>
        <w:pStyle w:val="54"/>
        <w:spacing w:before="24" w:after="24"/>
      </w:pPr>
      <w:r>
        <w:t>3.卫生间上下对齐时采用异层排水，下部为其他房间时采用同层排水。</w:t>
      </w:r>
    </w:p>
    <w:p w14:paraId="1469C89B">
      <w:pPr>
        <w:pStyle w:val="54"/>
        <w:spacing w:before="24" w:after="24"/>
      </w:pPr>
      <w:r>
        <w:t>4.用水空间与非用水空间楼地面交接处应有防止水流入非用水房间的措施。淋浴区墙面防水层翻起高度不应小于2000mm，且不低于淋浴喷淋口高度。盥洗池盆等用水处墙面防水层翻起高度不应小于1200mm。墙面其他部位泛水翻起高度不应小于250mm。</w:t>
      </w:r>
    </w:p>
    <w:p w14:paraId="39419BB4">
      <w:pPr>
        <w:pStyle w:val="54"/>
        <w:spacing w:before="24" w:after="24"/>
      </w:pPr>
      <w:r>
        <w:t>5.无外窗卫生间需设置排气道、换气扇等设施。</w:t>
      </w:r>
    </w:p>
    <w:p w14:paraId="24FF277A">
      <w:pPr>
        <w:pStyle w:val="54"/>
        <w:spacing w:before="24" w:after="24"/>
      </w:pPr>
      <w:r>
        <w:t>6.公共卫生间使用蹲便器，同层排水，结构降板450mm。</w:t>
      </w:r>
    </w:p>
    <w:p w14:paraId="6B9A3A0D">
      <w:pPr>
        <w:pStyle w:val="54"/>
        <w:spacing w:before="24" w:after="24"/>
      </w:pPr>
      <w:r>
        <w:t>7.楼梯踏步面宽、高度、净宽满足相关规范及疏散要求。</w:t>
      </w:r>
    </w:p>
    <w:p w14:paraId="16B1F08C">
      <w:pPr>
        <w:pStyle w:val="54"/>
        <w:spacing w:before="24" w:after="24"/>
      </w:pPr>
      <w:r>
        <w:t>8.建筑门窗高度控制，建筑外围外墙窗贴梁底，不再做过梁，除生产用房有特殊要求外，门洞高度、宽度满足相关规范要求。</w:t>
      </w:r>
    </w:p>
    <w:p w14:paraId="4365ED05">
      <w:pPr>
        <w:pStyle w:val="54"/>
        <w:spacing w:before="24" w:after="24"/>
      </w:pPr>
      <w:r>
        <w:t>9.墙体、楼板满足隔音要求，外墙满足防水、防潮、保温要求。</w:t>
      </w:r>
    </w:p>
    <w:p w14:paraId="3842C191">
      <w:pPr>
        <w:pStyle w:val="54"/>
        <w:spacing w:before="24" w:after="24"/>
      </w:pPr>
      <w:r>
        <w:t>10.外墙保温材料及厚度按节能计算确定，外立面大面积使用外墙涂料，颜色与周边建筑协调（涂料质保年限5年）。</w:t>
      </w:r>
    </w:p>
    <w:p w14:paraId="7408AEF7">
      <w:pPr>
        <w:pStyle w:val="54"/>
        <w:spacing w:before="24" w:after="24"/>
      </w:pPr>
      <w:r>
        <w:t>11.外窗材料及玻璃选型按节能计算的要求确定。</w:t>
      </w:r>
    </w:p>
    <w:p w14:paraId="0C2D2B07">
      <w:pPr>
        <w:pStyle w:val="54"/>
        <w:spacing w:before="24" w:after="24"/>
      </w:pPr>
      <w:r>
        <w:t>12.如设置空调室外机不使用支架安装，需安装在结构挑板上。</w:t>
      </w:r>
    </w:p>
    <w:p w14:paraId="3BD8513C">
      <w:pPr>
        <w:pStyle w:val="54"/>
        <w:spacing w:before="24" w:after="24"/>
      </w:pPr>
      <w:r>
        <w:t>13.建筑标准设计图集中有对结构工种的预埋件、预留洞，如楼梯、平台钢栏杆、门窗、建筑配件等，需与各工种密切配合，确认无误方可施工。</w:t>
      </w:r>
    </w:p>
    <w:p w14:paraId="74B12C48">
      <w:pPr>
        <w:pStyle w:val="54"/>
        <w:spacing w:before="24" w:after="24"/>
      </w:pPr>
      <w:r>
        <w:t>14.两种材料的墙体交接处，应根据饰面材质在做饰面前加钉金属网或在施工中加贴网格布，防止裂缝。</w:t>
      </w:r>
    </w:p>
    <w:p w14:paraId="4BFCBCEB">
      <w:pPr>
        <w:pStyle w:val="54"/>
        <w:spacing w:before="24" w:after="24"/>
      </w:pPr>
      <w:r>
        <w:t>15.预埋木砖及贴邻墙体的木质面均做防腐处理，露明铁件均做防锈处理。</w:t>
      </w:r>
    </w:p>
    <w:p w14:paraId="39E85977">
      <w:pPr>
        <w:pStyle w:val="54"/>
        <w:spacing w:before="24" w:after="24"/>
      </w:pPr>
      <w:r>
        <w:t>16.施工中必须严格遵守国家颁布的有关标准及各项施工验收规范的规定。</w:t>
      </w:r>
    </w:p>
    <w:p w14:paraId="21BCF8C2">
      <w:pPr>
        <w:pStyle w:val="54"/>
        <w:spacing w:before="24" w:after="24"/>
      </w:pPr>
      <w:r>
        <w:t>17.选用的产品及材料必须满足国家各项有关标准规定要求，必须是经法定部门鉴定合格准用产品，具有书面检测报告、准用证明等资料。</w:t>
      </w:r>
    </w:p>
    <w:p w14:paraId="699FEBBD">
      <w:pPr>
        <w:pStyle w:val="54"/>
        <w:spacing w:before="24" w:after="24"/>
      </w:pPr>
      <w:r>
        <w:t>18.未尽事宜应及时与发包人联系进行协调解决。</w:t>
      </w:r>
    </w:p>
    <w:p w14:paraId="37239384">
      <w:pPr>
        <w:pStyle w:val="64"/>
        <w:spacing w:before="24" w:after="24"/>
        <w:rPr>
          <w:rFonts w:cs="Times New Roman"/>
        </w:rPr>
      </w:pPr>
      <w:bookmarkStart w:id="99" w:name="_Toc221894132"/>
      <w:r>
        <w:rPr>
          <w:rFonts w:cs="Times New Roman"/>
        </w:rPr>
        <w:t>4、结构专业</w:t>
      </w:r>
      <w:bookmarkEnd w:id="99"/>
    </w:p>
    <w:p w14:paraId="6ADF1155">
      <w:pPr>
        <w:pStyle w:val="66"/>
        <w:rPr>
          <w:rFonts w:cs="Times New Roman"/>
        </w:rPr>
      </w:pPr>
      <w:r>
        <w:rPr>
          <w:rFonts w:cs="Times New Roman"/>
        </w:rPr>
        <w:t>4.1 总则</w:t>
      </w:r>
    </w:p>
    <w:p w14:paraId="0AA8D6AE">
      <w:pPr>
        <w:pStyle w:val="54"/>
        <w:spacing w:before="24" w:after="24"/>
      </w:pPr>
      <w:r>
        <w:t>4.1.1结构设计须满足国家及当地现行结构设计规范中强制性条文的要求，确保结构设计技术先进、安全可靠，顺利通过政府部门的检查和审图单位的审查。</w:t>
      </w:r>
    </w:p>
    <w:p w14:paraId="0A407ACD">
      <w:pPr>
        <w:pStyle w:val="54"/>
        <w:spacing w:before="24" w:after="24"/>
      </w:pPr>
      <w:r>
        <w:t>4.1.2根据《建设工程抗震管理条例》和《建筑工程抗震设防分类标准》，本工程抗震设防类别为标准设防类（丙类）或重点设防类（乙类）。</w:t>
      </w:r>
    </w:p>
    <w:p w14:paraId="66B3B6AE">
      <w:pPr>
        <w:pStyle w:val="54"/>
        <w:spacing w:before="24" w:after="24"/>
      </w:pPr>
      <w:r>
        <w:t>4.1.3结构设计需满足建筑功能要求，结构布置、结构构件尺寸要与建筑使用功能相适应，避免竖向构件局部突出、水平构件影响净高、完整的功能空间出现结构构件的情况。</w:t>
      </w:r>
    </w:p>
    <w:p w14:paraId="1774117F">
      <w:pPr>
        <w:pStyle w:val="54"/>
        <w:spacing w:before="24" w:after="24"/>
      </w:pPr>
      <w:r>
        <w:t>4.1.4结构方案应合理优化，设计应兼顾质量、成本与工期，在保证结构安全的前提下力求节约，构件尺寸及配筋应取最小值。</w:t>
      </w:r>
    </w:p>
    <w:p w14:paraId="5ACFF845">
      <w:pPr>
        <w:pStyle w:val="54"/>
        <w:spacing w:before="24" w:after="24"/>
      </w:pPr>
      <w:r>
        <w:t>4.1.5各工程子项的技术标准及绘图标准必须统一。</w:t>
      </w:r>
    </w:p>
    <w:p w14:paraId="777465AD">
      <w:pPr>
        <w:pStyle w:val="54"/>
        <w:spacing w:before="24" w:after="24"/>
      </w:pPr>
      <w:r>
        <w:t>4.1.6除个别特殊构件外，施工图配筋实配值不允许超过计算结果的10%。</w:t>
      </w:r>
    </w:p>
    <w:p w14:paraId="476D8C4B">
      <w:pPr>
        <w:pStyle w:val="54"/>
        <w:spacing w:before="24" w:after="24"/>
      </w:pPr>
      <w:r>
        <w:t>4.1.7图纸绘制应采用国家标准平法图集《22G101》表示，深度满足《建筑工程设计文件编制深度规定（2016版）》。</w:t>
      </w:r>
    </w:p>
    <w:p w14:paraId="50ABE932">
      <w:pPr>
        <w:pStyle w:val="54"/>
        <w:spacing w:before="24" w:after="24"/>
      </w:pPr>
      <w:r>
        <w:t>4.1.8本项目关于</w:t>
      </w:r>
      <w:r>
        <w:rPr>
          <w:rFonts w:hint="eastAsia"/>
        </w:rPr>
        <w:t>“</w:t>
      </w:r>
      <w:r>
        <w:t>超过一定规模的危险性较大及危险性较大的分部分项工程</w:t>
      </w:r>
      <w:r>
        <w:rPr>
          <w:rFonts w:hint="eastAsia"/>
        </w:rPr>
        <w:t>”</w:t>
      </w:r>
      <w:r>
        <w:t>应严格按住房和城乡建设部令第37号、建办质</w:t>
      </w:r>
      <w:r>
        <w:rPr>
          <w:rFonts w:hint="eastAsia"/>
        </w:rPr>
        <w:t>〔</w:t>
      </w:r>
      <w:r>
        <w:t>2018</w:t>
      </w:r>
      <w:r>
        <w:rPr>
          <w:rFonts w:hint="eastAsia"/>
        </w:rPr>
        <w:t>〕</w:t>
      </w:r>
      <w:r>
        <w:t>131号、云建规</w:t>
      </w:r>
      <w:r>
        <w:rPr>
          <w:rFonts w:hint="eastAsia"/>
        </w:rPr>
        <w:t>〔</w:t>
      </w:r>
      <w:r>
        <w:t>2018</w:t>
      </w:r>
      <w:r>
        <w:rPr>
          <w:rFonts w:hint="eastAsia"/>
        </w:rPr>
        <w:t>〕</w:t>
      </w:r>
      <w:r>
        <w:t>3号相关条文判定执行。</w:t>
      </w:r>
    </w:p>
    <w:p w14:paraId="6E1DF5BC">
      <w:pPr>
        <w:pStyle w:val="66"/>
        <w:rPr>
          <w:rFonts w:cs="Times New Roman"/>
        </w:rPr>
      </w:pPr>
      <w:r>
        <w:rPr>
          <w:rFonts w:cs="Times New Roman"/>
        </w:rPr>
        <w:t>4.2 技术要求</w:t>
      </w:r>
    </w:p>
    <w:p w14:paraId="0E690D95">
      <w:pPr>
        <w:pStyle w:val="54"/>
        <w:spacing w:before="24" w:after="24"/>
      </w:pPr>
      <w:r>
        <w:t>4.2.1 建筑结构安全及设计使用年限</w:t>
      </w:r>
    </w:p>
    <w:p w14:paraId="6F3AD056">
      <w:pPr>
        <w:pStyle w:val="54"/>
        <w:spacing w:before="24" w:after="24"/>
      </w:pPr>
      <w:r>
        <w:t>1.建筑结构安全等级：一、二级，结构重要性系数为1.1、1.0</w:t>
      </w:r>
    </w:p>
    <w:p w14:paraId="3E5770D3">
      <w:pPr>
        <w:pStyle w:val="54"/>
        <w:spacing w:before="24" w:after="24"/>
      </w:pPr>
      <w:r>
        <w:t>2.结构设计使用年限：50年</w:t>
      </w:r>
    </w:p>
    <w:p w14:paraId="3B90129D">
      <w:pPr>
        <w:pStyle w:val="54"/>
        <w:spacing w:before="24" w:after="24"/>
      </w:pPr>
      <w:r>
        <w:t>3.建筑抗震设防类别：</w:t>
      </w:r>
    </w:p>
    <w:p w14:paraId="2126E136">
      <w:pPr>
        <w:pStyle w:val="54"/>
        <w:spacing w:before="24" w:after="24"/>
      </w:pPr>
      <w:r>
        <w:t>标准设防类（丙类）：按7度进行抗震计算，按7度要求采取抗震措施；重点设防类（乙类）：按7度进行抗震计算，按8度要求采取抗震措施</w:t>
      </w:r>
    </w:p>
    <w:p w14:paraId="6B9A95BA">
      <w:pPr>
        <w:pStyle w:val="54"/>
        <w:spacing w:before="24" w:after="24"/>
      </w:pPr>
      <w:r>
        <w:t>4.2.2自然条件</w:t>
      </w:r>
    </w:p>
    <w:p w14:paraId="246EFADB">
      <w:pPr>
        <w:pStyle w:val="54"/>
        <w:spacing w:before="24" w:after="24"/>
      </w:pPr>
      <w:r>
        <w:t>1.基本风压:Wo=0.3KN／㎡</w:t>
      </w:r>
    </w:p>
    <w:p w14:paraId="509A67D1">
      <w:pPr>
        <w:pStyle w:val="54"/>
        <w:spacing w:before="24" w:after="24"/>
      </w:pPr>
      <w:r>
        <w:t>2.地面粗糙度类别:B类</w:t>
      </w:r>
    </w:p>
    <w:p w14:paraId="4E8DA8F9">
      <w:pPr>
        <w:pStyle w:val="54"/>
        <w:spacing w:before="24" w:after="24"/>
      </w:pPr>
      <w:r>
        <w:t>3.场地地震基本烈度:7度</w:t>
      </w:r>
    </w:p>
    <w:p w14:paraId="2B982F73">
      <w:pPr>
        <w:pStyle w:val="54"/>
        <w:spacing w:before="24" w:after="24"/>
      </w:pPr>
      <w:r>
        <w:t>4.抗震设防烈度：7度（0.15g），设计地震分组第二组；多遇及罕遇地震水平地震影响系数最大值αmax分别为0.12及0.72</w:t>
      </w:r>
    </w:p>
    <w:p w14:paraId="08612433">
      <w:pPr>
        <w:pStyle w:val="54"/>
        <w:spacing w:before="24" w:after="24"/>
      </w:pPr>
      <w:r>
        <w:t>5.建筑场地类别：根据地勘报告确定</w:t>
      </w:r>
    </w:p>
    <w:p w14:paraId="11B66EB4">
      <w:pPr>
        <w:pStyle w:val="54"/>
        <w:spacing w:before="24" w:after="24"/>
      </w:pPr>
      <w:r>
        <w:t>6.混凝土结构环境类别：±0.000以上为一类，卫生间、浴室等室内潮湿环境为二a类，±0.000以下为二a类</w:t>
      </w:r>
    </w:p>
    <w:p w14:paraId="1EC1AF62">
      <w:pPr>
        <w:pStyle w:val="54"/>
        <w:spacing w:before="24" w:after="24"/>
      </w:pPr>
      <w:r>
        <w:t>4.2.3主要荷载取值</w:t>
      </w:r>
    </w:p>
    <w:p w14:paraId="0771FABA">
      <w:pPr>
        <w:pStyle w:val="54"/>
        <w:spacing w:before="24" w:after="24"/>
      </w:pPr>
      <w:r>
        <w:t>1.楼面活荷载标准值：</w:t>
      </w:r>
    </w:p>
    <w:tbl>
      <w:tblPr>
        <w:tblStyle w:val="31"/>
        <w:tblW w:w="90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9"/>
        <w:gridCol w:w="4969"/>
        <w:gridCol w:w="3195"/>
      </w:tblGrid>
      <w:tr w14:paraId="129E1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6" w:hRule="atLeast"/>
          <w:tblHeader/>
          <w:jc w:val="center"/>
        </w:trPr>
        <w:tc>
          <w:tcPr>
            <w:tcW w:w="5898" w:type="dxa"/>
            <w:gridSpan w:val="2"/>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AAC66EB">
            <w:pPr>
              <w:pStyle w:val="71"/>
              <w:spacing w:before="24" w:after="24"/>
              <w:rPr>
                <w:rFonts w:cs="Times New Roman"/>
              </w:rPr>
            </w:pPr>
            <w:r>
              <w:rPr>
                <w:rFonts w:cs="Times New Roman"/>
              </w:rPr>
              <w:t>房间功能</w:t>
            </w:r>
          </w:p>
        </w:tc>
        <w:tc>
          <w:tcPr>
            <w:tcW w:w="319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2F52BCD">
            <w:pPr>
              <w:pStyle w:val="71"/>
              <w:spacing w:before="24" w:after="24"/>
              <w:rPr>
                <w:rFonts w:cs="Times New Roman"/>
              </w:rPr>
            </w:pPr>
            <w:r>
              <w:rPr>
                <w:rFonts w:cs="Times New Roman"/>
              </w:rPr>
              <w:t>荷载取值</w:t>
            </w:r>
          </w:p>
        </w:tc>
      </w:tr>
      <w:tr w14:paraId="18C152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3" w:hRule="atLeast"/>
          <w:jc w:val="center"/>
        </w:trPr>
        <w:tc>
          <w:tcPr>
            <w:tcW w:w="5898" w:type="dxa"/>
            <w:gridSpan w:val="2"/>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5D469E8">
            <w:pPr>
              <w:pStyle w:val="71"/>
              <w:spacing w:before="24" w:after="24"/>
              <w:rPr>
                <w:rFonts w:cs="Times New Roman"/>
              </w:rPr>
            </w:pPr>
            <w:r>
              <w:rPr>
                <w:rFonts w:cs="Times New Roman"/>
              </w:rPr>
              <w:t>住宅、宿舍、旅馆、医院病房、托儿所、幼儿园</w:t>
            </w:r>
          </w:p>
        </w:tc>
        <w:tc>
          <w:tcPr>
            <w:tcW w:w="319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0EFC0B9">
            <w:pPr>
              <w:pStyle w:val="71"/>
              <w:spacing w:before="24" w:after="24"/>
              <w:rPr>
                <w:rFonts w:cs="Times New Roman"/>
              </w:rPr>
            </w:pPr>
            <w:r>
              <w:rPr>
                <w:rFonts w:cs="Times New Roman"/>
              </w:rPr>
              <w:t>2.0kN/㎡</w:t>
            </w:r>
          </w:p>
        </w:tc>
      </w:tr>
      <w:tr w14:paraId="32D92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jc w:val="center"/>
        </w:trPr>
        <w:tc>
          <w:tcPr>
            <w:tcW w:w="5898" w:type="dxa"/>
            <w:gridSpan w:val="2"/>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B7666B6">
            <w:pPr>
              <w:pStyle w:val="71"/>
              <w:spacing w:before="24" w:after="24"/>
              <w:rPr>
                <w:rFonts w:cs="Times New Roman"/>
              </w:rPr>
            </w:pPr>
            <w:r>
              <w:rPr>
                <w:rFonts w:cs="Times New Roman"/>
              </w:rPr>
              <w:t>办公楼、教室、医院门诊室</w:t>
            </w:r>
          </w:p>
        </w:tc>
        <w:tc>
          <w:tcPr>
            <w:tcW w:w="319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84F3CB8">
            <w:pPr>
              <w:pStyle w:val="71"/>
              <w:spacing w:before="24" w:after="24"/>
              <w:rPr>
                <w:rFonts w:cs="Times New Roman"/>
              </w:rPr>
            </w:pPr>
            <w:r>
              <w:rPr>
                <w:rFonts w:cs="Times New Roman"/>
              </w:rPr>
              <w:t>2.5kN/㎡</w:t>
            </w:r>
          </w:p>
        </w:tc>
      </w:tr>
      <w:tr w14:paraId="1F5C22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jc w:val="center"/>
        </w:trPr>
        <w:tc>
          <w:tcPr>
            <w:tcW w:w="5898" w:type="dxa"/>
            <w:gridSpan w:val="2"/>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FE7FFB2">
            <w:pPr>
              <w:pStyle w:val="71"/>
              <w:spacing w:before="24" w:after="24"/>
              <w:rPr>
                <w:rFonts w:cs="Times New Roman"/>
              </w:rPr>
            </w:pPr>
            <w:r>
              <w:rPr>
                <w:rFonts w:cs="Times New Roman"/>
              </w:rPr>
              <w:t>食堂、餐厅、试验室、阅览室会议室、一般资料档案室</w:t>
            </w:r>
          </w:p>
        </w:tc>
        <w:tc>
          <w:tcPr>
            <w:tcW w:w="319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2494155">
            <w:pPr>
              <w:pStyle w:val="71"/>
              <w:spacing w:before="24" w:after="24"/>
              <w:rPr>
                <w:rFonts w:cs="Times New Roman"/>
              </w:rPr>
            </w:pPr>
            <w:r>
              <w:rPr>
                <w:rFonts w:cs="Times New Roman"/>
              </w:rPr>
              <w:t>3.0kN/㎡</w:t>
            </w:r>
          </w:p>
        </w:tc>
      </w:tr>
      <w:tr w14:paraId="422D9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jc w:val="center"/>
        </w:trPr>
        <w:tc>
          <w:tcPr>
            <w:tcW w:w="5898" w:type="dxa"/>
            <w:gridSpan w:val="2"/>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CA0E964">
            <w:pPr>
              <w:pStyle w:val="71"/>
              <w:spacing w:before="24" w:after="24"/>
              <w:rPr>
                <w:rFonts w:cs="Times New Roman"/>
              </w:rPr>
            </w:pPr>
            <w:r>
              <w:rPr>
                <w:rFonts w:cs="Times New Roman"/>
              </w:rPr>
              <w:t>礼堂、剧场、影院、有固定座位的看台、公共洗衣房</w:t>
            </w:r>
          </w:p>
        </w:tc>
        <w:tc>
          <w:tcPr>
            <w:tcW w:w="319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426739A">
            <w:pPr>
              <w:pStyle w:val="71"/>
              <w:spacing w:before="24" w:after="24"/>
              <w:rPr>
                <w:rFonts w:cs="Times New Roman"/>
              </w:rPr>
            </w:pPr>
            <w:r>
              <w:rPr>
                <w:rFonts w:cs="Times New Roman"/>
              </w:rPr>
              <w:t>3.5kN/㎡</w:t>
            </w:r>
          </w:p>
        </w:tc>
      </w:tr>
      <w:tr w14:paraId="14B831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jc w:val="center"/>
        </w:trPr>
        <w:tc>
          <w:tcPr>
            <w:tcW w:w="5898" w:type="dxa"/>
            <w:gridSpan w:val="2"/>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B4739AD">
            <w:pPr>
              <w:pStyle w:val="71"/>
              <w:spacing w:before="24" w:after="24"/>
              <w:rPr>
                <w:rFonts w:cs="Times New Roman"/>
              </w:rPr>
            </w:pPr>
            <w:r>
              <w:rPr>
                <w:rFonts w:cs="Times New Roman"/>
              </w:rPr>
              <w:t>商店、展览厅、无固定座位的看台</w:t>
            </w:r>
          </w:p>
        </w:tc>
        <w:tc>
          <w:tcPr>
            <w:tcW w:w="319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67C96F6">
            <w:pPr>
              <w:pStyle w:val="71"/>
              <w:spacing w:before="24" w:after="24"/>
              <w:rPr>
                <w:rFonts w:cs="Times New Roman"/>
              </w:rPr>
            </w:pPr>
            <w:r>
              <w:rPr>
                <w:rFonts w:cs="Times New Roman"/>
              </w:rPr>
              <w:t>4.0kN/㎡</w:t>
            </w:r>
          </w:p>
        </w:tc>
      </w:tr>
      <w:tr w14:paraId="5FB7A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jc w:val="center"/>
        </w:trPr>
        <w:tc>
          <w:tcPr>
            <w:tcW w:w="5898" w:type="dxa"/>
            <w:gridSpan w:val="2"/>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9540A21">
            <w:pPr>
              <w:pStyle w:val="71"/>
              <w:spacing w:before="24" w:after="24"/>
              <w:rPr>
                <w:rFonts w:cs="Times New Roman"/>
              </w:rPr>
            </w:pPr>
            <w:r>
              <w:rPr>
                <w:rFonts w:cs="Times New Roman"/>
              </w:rPr>
              <w:t>健身房、运动场</w:t>
            </w:r>
          </w:p>
        </w:tc>
        <w:tc>
          <w:tcPr>
            <w:tcW w:w="319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81599BD">
            <w:pPr>
              <w:pStyle w:val="71"/>
              <w:spacing w:before="24" w:after="24"/>
              <w:rPr>
                <w:rFonts w:cs="Times New Roman"/>
              </w:rPr>
            </w:pPr>
            <w:r>
              <w:rPr>
                <w:rFonts w:cs="Times New Roman"/>
              </w:rPr>
              <w:t>4.5kN/㎡</w:t>
            </w:r>
          </w:p>
        </w:tc>
      </w:tr>
      <w:tr w14:paraId="2CFC93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jc w:val="center"/>
        </w:trPr>
        <w:tc>
          <w:tcPr>
            <w:tcW w:w="5898" w:type="dxa"/>
            <w:gridSpan w:val="2"/>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31A9021">
            <w:pPr>
              <w:pStyle w:val="71"/>
              <w:spacing w:before="24" w:after="24"/>
              <w:rPr>
                <w:rFonts w:cs="Times New Roman"/>
              </w:rPr>
            </w:pPr>
            <w:r>
              <w:rPr>
                <w:rFonts w:cs="Times New Roman"/>
              </w:rPr>
              <w:t>书库、档案库、储藏室（书架高度不超过2.5m）</w:t>
            </w:r>
          </w:p>
        </w:tc>
        <w:tc>
          <w:tcPr>
            <w:tcW w:w="319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D180174">
            <w:pPr>
              <w:pStyle w:val="71"/>
              <w:spacing w:before="24" w:after="24"/>
              <w:rPr>
                <w:rFonts w:cs="Times New Roman"/>
              </w:rPr>
            </w:pPr>
            <w:r>
              <w:rPr>
                <w:rFonts w:cs="Times New Roman"/>
              </w:rPr>
              <w:t>6.0kN/㎡</w:t>
            </w:r>
          </w:p>
        </w:tc>
      </w:tr>
      <w:tr w14:paraId="6B8D30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jc w:val="center"/>
        </w:trPr>
        <w:tc>
          <w:tcPr>
            <w:tcW w:w="5898" w:type="dxa"/>
            <w:gridSpan w:val="2"/>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0A850D0">
            <w:pPr>
              <w:pStyle w:val="71"/>
              <w:spacing w:before="24" w:after="24"/>
              <w:rPr>
                <w:rFonts w:cs="Times New Roman"/>
              </w:rPr>
            </w:pPr>
            <w:r>
              <w:rPr>
                <w:rFonts w:cs="Times New Roman"/>
              </w:rPr>
              <w:t>密集柜书库（书架高度不超过2.5m）</w:t>
            </w:r>
          </w:p>
        </w:tc>
        <w:tc>
          <w:tcPr>
            <w:tcW w:w="319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4311F5F">
            <w:pPr>
              <w:pStyle w:val="71"/>
              <w:spacing w:before="24" w:after="24"/>
              <w:rPr>
                <w:rFonts w:cs="Times New Roman"/>
              </w:rPr>
            </w:pPr>
            <w:r>
              <w:rPr>
                <w:rFonts w:cs="Times New Roman"/>
              </w:rPr>
              <w:t>12.0kN/㎡</w:t>
            </w:r>
          </w:p>
        </w:tc>
      </w:tr>
      <w:tr w14:paraId="45F8D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jc w:val="center"/>
        </w:trPr>
        <w:tc>
          <w:tcPr>
            <w:tcW w:w="5898" w:type="dxa"/>
            <w:gridSpan w:val="2"/>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2996935">
            <w:pPr>
              <w:pStyle w:val="71"/>
              <w:spacing w:before="24" w:after="24"/>
              <w:rPr>
                <w:rFonts w:cs="Times New Roman"/>
              </w:rPr>
            </w:pPr>
            <w:r>
              <w:rPr>
                <w:rFonts w:cs="Times New Roman"/>
              </w:rPr>
              <w:t>通风机房、电梯机房</w:t>
            </w:r>
          </w:p>
        </w:tc>
        <w:tc>
          <w:tcPr>
            <w:tcW w:w="319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265C9BA">
            <w:pPr>
              <w:pStyle w:val="71"/>
              <w:spacing w:before="24" w:after="24"/>
              <w:rPr>
                <w:rFonts w:cs="Times New Roman"/>
              </w:rPr>
            </w:pPr>
            <w:r>
              <w:rPr>
                <w:rFonts w:cs="Times New Roman"/>
              </w:rPr>
              <w:t>8.0kN/㎡</w:t>
            </w:r>
          </w:p>
        </w:tc>
      </w:tr>
      <w:tr w14:paraId="24756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29" w:type="dxa"/>
            <w:vMerge w:val="restart"/>
            <w:tcBorders>
              <w:top w:val="nil"/>
              <w:left w:val="single" w:color="000000" w:sz="4" w:space="0"/>
              <w:bottom w:val="single" w:color="000000" w:sz="4" w:space="0"/>
              <w:right w:val="single" w:color="000000" w:sz="4" w:space="0"/>
            </w:tcBorders>
            <w:tcMar>
              <w:left w:w="0" w:type="dxa"/>
              <w:right w:w="0" w:type="dxa"/>
            </w:tcMar>
            <w:vAlign w:val="center"/>
          </w:tcPr>
          <w:p w14:paraId="7733FFD8">
            <w:pPr>
              <w:pStyle w:val="71"/>
              <w:spacing w:before="24" w:after="24"/>
              <w:rPr>
                <w:rFonts w:cs="Times New Roman"/>
              </w:rPr>
            </w:pPr>
            <w:r>
              <w:rPr>
                <w:rFonts w:cs="Times New Roman"/>
              </w:rPr>
              <w:t>厨房</w:t>
            </w:r>
          </w:p>
        </w:tc>
        <w:tc>
          <w:tcPr>
            <w:tcW w:w="496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0EB03FF">
            <w:pPr>
              <w:pStyle w:val="71"/>
              <w:spacing w:before="24" w:after="24"/>
              <w:rPr>
                <w:rFonts w:cs="Times New Roman"/>
              </w:rPr>
            </w:pPr>
            <w:r>
              <w:rPr>
                <w:rFonts w:cs="Times New Roman"/>
              </w:rPr>
              <w:t>餐厅</w:t>
            </w:r>
          </w:p>
        </w:tc>
        <w:tc>
          <w:tcPr>
            <w:tcW w:w="319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305114B">
            <w:pPr>
              <w:pStyle w:val="71"/>
              <w:spacing w:before="24" w:after="24"/>
              <w:rPr>
                <w:rFonts w:cs="Times New Roman"/>
              </w:rPr>
            </w:pPr>
            <w:r>
              <w:rPr>
                <w:rFonts w:cs="Times New Roman"/>
              </w:rPr>
              <w:t>4.0kN/㎡</w:t>
            </w:r>
          </w:p>
        </w:tc>
      </w:tr>
      <w:tr w14:paraId="41665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0" w:hRule="atLeast"/>
          <w:jc w:val="center"/>
        </w:trPr>
        <w:tc>
          <w:tcPr>
            <w:tcW w:w="929" w:type="dxa"/>
            <w:vMerge w:val="continue"/>
            <w:tcBorders>
              <w:top w:val="nil"/>
              <w:left w:val="single" w:color="000000" w:sz="4" w:space="0"/>
              <w:bottom w:val="single" w:color="000000" w:sz="4" w:space="0"/>
              <w:right w:val="single" w:color="000000" w:sz="4" w:space="0"/>
            </w:tcBorders>
            <w:tcMar>
              <w:left w:w="0" w:type="dxa"/>
              <w:right w:w="0" w:type="dxa"/>
            </w:tcMar>
            <w:vAlign w:val="center"/>
          </w:tcPr>
          <w:p w14:paraId="47A12E2D">
            <w:pPr>
              <w:pStyle w:val="71"/>
              <w:spacing w:before="24" w:after="24"/>
              <w:rPr>
                <w:rFonts w:cs="Times New Roman"/>
              </w:rPr>
            </w:pPr>
          </w:p>
        </w:tc>
        <w:tc>
          <w:tcPr>
            <w:tcW w:w="496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D7554B5">
            <w:pPr>
              <w:pStyle w:val="71"/>
              <w:spacing w:before="24" w:after="24"/>
              <w:rPr>
                <w:rFonts w:cs="Times New Roman"/>
              </w:rPr>
            </w:pPr>
            <w:r>
              <w:rPr>
                <w:rFonts w:cs="Times New Roman"/>
              </w:rPr>
              <w:t>其他</w:t>
            </w:r>
          </w:p>
        </w:tc>
        <w:tc>
          <w:tcPr>
            <w:tcW w:w="319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93F6DDB">
            <w:pPr>
              <w:pStyle w:val="71"/>
              <w:spacing w:before="24" w:after="24"/>
              <w:rPr>
                <w:rFonts w:cs="Times New Roman"/>
              </w:rPr>
            </w:pPr>
            <w:r>
              <w:rPr>
                <w:rFonts w:cs="Times New Roman"/>
              </w:rPr>
              <w:t>2.0kN/㎡</w:t>
            </w:r>
          </w:p>
        </w:tc>
      </w:tr>
      <w:tr w14:paraId="67C154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0" w:hRule="atLeast"/>
          <w:jc w:val="center"/>
        </w:trPr>
        <w:tc>
          <w:tcPr>
            <w:tcW w:w="5898" w:type="dxa"/>
            <w:gridSpan w:val="2"/>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F0C842E">
            <w:pPr>
              <w:pStyle w:val="71"/>
              <w:spacing w:before="24" w:after="24"/>
              <w:rPr>
                <w:rFonts w:cs="Times New Roman"/>
              </w:rPr>
            </w:pPr>
            <w:r>
              <w:rPr>
                <w:rFonts w:cs="Times New Roman"/>
              </w:rPr>
              <w:t>浴室、卫生间、盥洗室</w:t>
            </w:r>
          </w:p>
        </w:tc>
        <w:tc>
          <w:tcPr>
            <w:tcW w:w="319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E37A4FC">
            <w:pPr>
              <w:pStyle w:val="71"/>
              <w:spacing w:before="24" w:after="24"/>
              <w:rPr>
                <w:rFonts w:cs="Times New Roman"/>
              </w:rPr>
            </w:pPr>
            <w:r>
              <w:rPr>
                <w:rFonts w:cs="Times New Roman"/>
              </w:rPr>
              <w:t>2.5kN/㎡</w:t>
            </w:r>
          </w:p>
        </w:tc>
      </w:tr>
      <w:tr w14:paraId="49E0CF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29" w:type="dxa"/>
            <w:vMerge w:val="restart"/>
            <w:tcBorders>
              <w:top w:val="nil"/>
              <w:left w:val="single" w:color="000000" w:sz="4" w:space="0"/>
              <w:bottom w:val="single" w:color="000000" w:sz="4" w:space="0"/>
              <w:right w:val="single" w:color="000000" w:sz="4" w:space="0"/>
            </w:tcBorders>
            <w:tcMar>
              <w:left w:w="0" w:type="dxa"/>
              <w:right w:w="0" w:type="dxa"/>
            </w:tcMar>
            <w:vAlign w:val="center"/>
          </w:tcPr>
          <w:p w14:paraId="7ECBF871">
            <w:pPr>
              <w:pStyle w:val="71"/>
              <w:spacing w:before="24" w:after="24"/>
              <w:rPr>
                <w:rFonts w:cs="Times New Roman"/>
              </w:rPr>
            </w:pPr>
            <w:r>
              <w:rPr>
                <w:rFonts w:cs="Times New Roman"/>
              </w:rPr>
              <w:t>走廊、门厅</w:t>
            </w:r>
          </w:p>
        </w:tc>
        <w:tc>
          <w:tcPr>
            <w:tcW w:w="496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2070B85">
            <w:pPr>
              <w:pStyle w:val="71"/>
              <w:spacing w:before="24" w:after="24"/>
              <w:rPr>
                <w:rFonts w:cs="Times New Roman"/>
              </w:rPr>
            </w:pPr>
            <w:r>
              <w:rPr>
                <w:rFonts w:cs="Times New Roman"/>
              </w:rPr>
              <w:t>宿舍、旅馆、医院病房、托儿所、幼儿园、住宅</w:t>
            </w:r>
          </w:p>
        </w:tc>
        <w:tc>
          <w:tcPr>
            <w:tcW w:w="319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351F2EB">
            <w:pPr>
              <w:pStyle w:val="71"/>
              <w:spacing w:before="24" w:after="24"/>
              <w:rPr>
                <w:rFonts w:cs="Times New Roman"/>
              </w:rPr>
            </w:pPr>
            <w:r>
              <w:rPr>
                <w:rFonts w:cs="Times New Roman"/>
              </w:rPr>
              <w:t>2.0kN/㎡</w:t>
            </w:r>
          </w:p>
        </w:tc>
      </w:tr>
      <w:tr w14:paraId="036C2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0" w:hRule="atLeast"/>
          <w:jc w:val="center"/>
        </w:trPr>
        <w:tc>
          <w:tcPr>
            <w:tcW w:w="929" w:type="dxa"/>
            <w:vMerge w:val="continue"/>
            <w:tcBorders>
              <w:top w:val="nil"/>
              <w:left w:val="single" w:color="000000" w:sz="4" w:space="0"/>
              <w:bottom w:val="single" w:color="000000" w:sz="4" w:space="0"/>
              <w:right w:val="single" w:color="000000" w:sz="4" w:space="0"/>
            </w:tcBorders>
            <w:tcMar>
              <w:left w:w="0" w:type="dxa"/>
              <w:right w:w="0" w:type="dxa"/>
            </w:tcMar>
            <w:vAlign w:val="center"/>
          </w:tcPr>
          <w:p w14:paraId="508EE34C">
            <w:pPr>
              <w:pStyle w:val="71"/>
              <w:spacing w:before="24" w:after="24"/>
              <w:rPr>
                <w:rFonts w:cs="Times New Roman"/>
              </w:rPr>
            </w:pPr>
          </w:p>
        </w:tc>
        <w:tc>
          <w:tcPr>
            <w:tcW w:w="496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4B2BFB1">
            <w:pPr>
              <w:pStyle w:val="71"/>
              <w:spacing w:before="24" w:after="24"/>
              <w:rPr>
                <w:rFonts w:cs="Times New Roman"/>
              </w:rPr>
            </w:pPr>
            <w:r>
              <w:rPr>
                <w:rFonts w:cs="Times New Roman"/>
              </w:rPr>
              <w:t>办公楼、餐厅、医院门诊部</w:t>
            </w:r>
          </w:p>
        </w:tc>
        <w:tc>
          <w:tcPr>
            <w:tcW w:w="319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8709E0D">
            <w:pPr>
              <w:pStyle w:val="71"/>
              <w:spacing w:before="24" w:after="24"/>
              <w:rPr>
                <w:rFonts w:cs="Times New Roman"/>
              </w:rPr>
            </w:pPr>
            <w:r>
              <w:rPr>
                <w:rFonts w:cs="Times New Roman"/>
              </w:rPr>
              <w:t>3.0kN/㎡</w:t>
            </w:r>
          </w:p>
        </w:tc>
      </w:tr>
      <w:tr w14:paraId="65CBAE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0" w:hRule="atLeast"/>
          <w:jc w:val="center"/>
        </w:trPr>
        <w:tc>
          <w:tcPr>
            <w:tcW w:w="929" w:type="dxa"/>
            <w:vMerge w:val="continue"/>
            <w:tcBorders>
              <w:top w:val="nil"/>
              <w:left w:val="single" w:color="000000" w:sz="4" w:space="0"/>
              <w:bottom w:val="single" w:color="000000" w:sz="4" w:space="0"/>
              <w:right w:val="single" w:color="000000" w:sz="4" w:space="0"/>
            </w:tcBorders>
            <w:tcMar>
              <w:left w:w="0" w:type="dxa"/>
              <w:right w:w="0" w:type="dxa"/>
            </w:tcMar>
            <w:vAlign w:val="center"/>
          </w:tcPr>
          <w:p w14:paraId="68249842">
            <w:pPr>
              <w:pStyle w:val="71"/>
              <w:spacing w:before="24" w:after="24"/>
              <w:rPr>
                <w:rFonts w:cs="Times New Roman"/>
              </w:rPr>
            </w:pPr>
          </w:p>
        </w:tc>
        <w:tc>
          <w:tcPr>
            <w:tcW w:w="496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EF216EF">
            <w:pPr>
              <w:pStyle w:val="71"/>
              <w:spacing w:before="24" w:after="24"/>
              <w:rPr>
                <w:rFonts w:cs="Times New Roman"/>
              </w:rPr>
            </w:pPr>
            <w:r>
              <w:rPr>
                <w:rFonts w:cs="Times New Roman"/>
              </w:rPr>
              <w:t>教学楼及其他可能出现人员密集的情况</w:t>
            </w:r>
          </w:p>
        </w:tc>
        <w:tc>
          <w:tcPr>
            <w:tcW w:w="319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866AB70">
            <w:pPr>
              <w:pStyle w:val="71"/>
              <w:spacing w:before="24" w:after="24"/>
              <w:rPr>
                <w:rFonts w:cs="Times New Roman"/>
              </w:rPr>
            </w:pPr>
            <w:r>
              <w:rPr>
                <w:rFonts w:cs="Times New Roman"/>
              </w:rPr>
              <w:t>3.5kN/㎡</w:t>
            </w:r>
          </w:p>
        </w:tc>
      </w:tr>
      <w:tr w14:paraId="4C969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0" w:hRule="atLeast"/>
          <w:jc w:val="center"/>
        </w:trPr>
        <w:tc>
          <w:tcPr>
            <w:tcW w:w="929" w:type="dxa"/>
            <w:vMerge w:val="restart"/>
            <w:tcBorders>
              <w:top w:val="nil"/>
              <w:left w:val="single" w:color="000000" w:sz="4" w:space="0"/>
              <w:bottom w:val="single" w:color="000000" w:sz="4" w:space="0"/>
              <w:right w:val="single" w:color="000000" w:sz="4" w:space="0"/>
            </w:tcBorders>
            <w:tcMar>
              <w:left w:w="0" w:type="dxa"/>
              <w:right w:w="0" w:type="dxa"/>
            </w:tcMar>
            <w:vAlign w:val="center"/>
          </w:tcPr>
          <w:p w14:paraId="51F7CA4E">
            <w:pPr>
              <w:pStyle w:val="71"/>
              <w:spacing w:before="24" w:after="24"/>
              <w:rPr>
                <w:rFonts w:cs="Times New Roman"/>
              </w:rPr>
            </w:pPr>
            <w:r>
              <w:rPr>
                <w:rFonts w:cs="Times New Roman"/>
              </w:rPr>
              <w:t>楼梯</w:t>
            </w:r>
          </w:p>
        </w:tc>
        <w:tc>
          <w:tcPr>
            <w:tcW w:w="496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A18EE6D">
            <w:pPr>
              <w:pStyle w:val="71"/>
              <w:spacing w:before="24" w:after="24"/>
              <w:rPr>
                <w:rFonts w:cs="Times New Roman"/>
              </w:rPr>
            </w:pPr>
            <w:r>
              <w:rPr>
                <w:rFonts w:cs="Times New Roman"/>
              </w:rPr>
              <w:t>多层住宅</w:t>
            </w:r>
          </w:p>
        </w:tc>
        <w:tc>
          <w:tcPr>
            <w:tcW w:w="319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97F8824">
            <w:pPr>
              <w:pStyle w:val="71"/>
              <w:spacing w:before="24" w:after="24"/>
              <w:rPr>
                <w:rFonts w:cs="Times New Roman"/>
              </w:rPr>
            </w:pPr>
            <w:r>
              <w:rPr>
                <w:rFonts w:cs="Times New Roman"/>
              </w:rPr>
              <w:t>2.0kN/㎡</w:t>
            </w:r>
          </w:p>
        </w:tc>
      </w:tr>
      <w:tr w14:paraId="03F62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0" w:hRule="atLeast"/>
          <w:jc w:val="center"/>
        </w:trPr>
        <w:tc>
          <w:tcPr>
            <w:tcW w:w="929" w:type="dxa"/>
            <w:vMerge w:val="continue"/>
            <w:tcBorders>
              <w:top w:val="nil"/>
              <w:left w:val="single" w:color="000000" w:sz="4" w:space="0"/>
              <w:bottom w:val="single" w:color="000000" w:sz="4" w:space="0"/>
              <w:right w:val="single" w:color="000000" w:sz="4" w:space="0"/>
            </w:tcBorders>
            <w:tcMar>
              <w:left w:w="0" w:type="dxa"/>
              <w:right w:w="0" w:type="dxa"/>
            </w:tcMar>
            <w:vAlign w:val="center"/>
          </w:tcPr>
          <w:p w14:paraId="49356690">
            <w:pPr>
              <w:pStyle w:val="71"/>
              <w:spacing w:before="24" w:after="24"/>
              <w:rPr>
                <w:rFonts w:cs="Times New Roman"/>
              </w:rPr>
            </w:pPr>
          </w:p>
        </w:tc>
        <w:tc>
          <w:tcPr>
            <w:tcW w:w="496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0AC7782">
            <w:pPr>
              <w:pStyle w:val="71"/>
              <w:spacing w:before="24" w:after="24"/>
              <w:rPr>
                <w:rFonts w:cs="Times New Roman"/>
              </w:rPr>
            </w:pPr>
            <w:r>
              <w:rPr>
                <w:rFonts w:cs="Times New Roman"/>
              </w:rPr>
              <w:t>其他</w:t>
            </w:r>
          </w:p>
        </w:tc>
        <w:tc>
          <w:tcPr>
            <w:tcW w:w="319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3717DDC">
            <w:pPr>
              <w:pStyle w:val="71"/>
              <w:spacing w:before="24" w:after="24"/>
              <w:rPr>
                <w:rFonts w:cs="Times New Roman"/>
              </w:rPr>
            </w:pPr>
            <w:r>
              <w:rPr>
                <w:rFonts w:cs="Times New Roman"/>
              </w:rPr>
              <w:t>3.5kN/㎡</w:t>
            </w:r>
          </w:p>
        </w:tc>
      </w:tr>
      <w:tr w14:paraId="46C74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0" w:hRule="atLeast"/>
          <w:jc w:val="center"/>
        </w:trPr>
        <w:tc>
          <w:tcPr>
            <w:tcW w:w="929" w:type="dxa"/>
            <w:vMerge w:val="restart"/>
            <w:tcBorders>
              <w:top w:val="nil"/>
              <w:left w:val="single" w:color="000000" w:sz="4" w:space="0"/>
              <w:bottom w:val="single" w:color="000000" w:sz="4" w:space="0"/>
              <w:right w:val="single" w:color="000000" w:sz="4" w:space="0"/>
            </w:tcBorders>
            <w:tcMar>
              <w:left w:w="0" w:type="dxa"/>
              <w:right w:w="0" w:type="dxa"/>
            </w:tcMar>
            <w:vAlign w:val="center"/>
          </w:tcPr>
          <w:p w14:paraId="1633B3CB">
            <w:pPr>
              <w:pStyle w:val="71"/>
              <w:spacing w:before="24" w:after="24"/>
              <w:rPr>
                <w:rFonts w:cs="Times New Roman"/>
              </w:rPr>
            </w:pPr>
            <w:r>
              <w:rPr>
                <w:rFonts w:cs="Times New Roman"/>
              </w:rPr>
              <w:t>阳台</w:t>
            </w:r>
          </w:p>
        </w:tc>
        <w:tc>
          <w:tcPr>
            <w:tcW w:w="496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88532A9">
            <w:pPr>
              <w:pStyle w:val="71"/>
              <w:spacing w:before="24" w:after="24"/>
              <w:rPr>
                <w:rFonts w:cs="Times New Roman"/>
              </w:rPr>
            </w:pPr>
            <w:r>
              <w:rPr>
                <w:rFonts w:cs="Times New Roman"/>
              </w:rPr>
              <w:t>可能出现人员密集的情况</w:t>
            </w:r>
          </w:p>
        </w:tc>
        <w:tc>
          <w:tcPr>
            <w:tcW w:w="319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8F554EA">
            <w:pPr>
              <w:pStyle w:val="71"/>
              <w:spacing w:before="24" w:after="24"/>
              <w:rPr>
                <w:rFonts w:cs="Times New Roman"/>
              </w:rPr>
            </w:pPr>
            <w:r>
              <w:rPr>
                <w:rFonts w:cs="Times New Roman"/>
              </w:rPr>
              <w:t>3.5kN/㎡</w:t>
            </w:r>
          </w:p>
        </w:tc>
      </w:tr>
      <w:tr w14:paraId="16F3A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0" w:hRule="atLeast"/>
          <w:jc w:val="center"/>
        </w:trPr>
        <w:tc>
          <w:tcPr>
            <w:tcW w:w="929" w:type="dxa"/>
            <w:vMerge w:val="continue"/>
            <w:tcBorders>
              <w:top w:val="nil"/>
              <w:left w:val="single" w:color="000000" w:sz="4" w:space="0"/>
              <w:bottom w:val="single" w:color="000000" w:sz="4" w:space="0"/>
              <w:right w:val="single" w:color="000000" w:sz="4" w:space="0"/>
            </w:tcBorders>
            <w:tcMar>
              <w:left w:w="0" w:type="dxa"/>
              <w:right w:w="0" w:type="dxa"/>
            </w:tcMar>
            <w:vAlign w:val="center"/>
          </w:tcPr>
          <w:p w14:paraId="671A845F">
            <w:pPr>
              <w:pStyle w:val="71"/>
              <w:spacing w:before="24" w:after="24"/>
              <w:rPr>
                <w:rFonts w:cs="Times New Roman"/>
              </w:rPr>
            </w:pPr>
          </w:p>
        </w:tc>
        <w:tc>
          <w:tcPr>
            <w:tcW w:w="496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F55197C">
            <w:pPr>
              <w:pStyle w:val="71"/>
              <w:spacing w:before="24" w:after="24"/>
              <w:rPr>
                <w:rFonts w:cs="Times New Roman"/>
              </w:rPr>
            </w:pPr>
            <w:r>
              <w:rPr>
                <w:rFonts w:cs="Times New Roman"/>
              </w:rPr>
              <w:t>其他</w:t>
            </w:r>
          </w:p>
        </w:tc>
        <w:tc>
          <w:tcPr>
            <w:tcW w:w="319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EBF963D">
            <w:pPr>
              <w:pStyle w:val="71"/>
              <w:spacing w:before="24" w:after="24"/>
              <w:rPr>
                <w:rFonts w:cs="Times New Roman"/>
              </w:rPr>
            </w:pPr>
            <w:r>
              <w:rPr>
                <w:rFonts w:cs="Times New Roman"/>
              </w:rPr>
              <w:t>2.5kN/㎡</w:t>
            </w:r>
          </w:p>
        </w:tc>
      </w:tr>
      <w:tr w14:paraId="24D3D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6" w:hRule="atLeast"/>
          <w:jc w:val="center"/>
        </w:trPr>
        <w:tc>
          <w:tcPr>
            <w:tcW w:w="5898" w:type="dxa"/>
            <w:gridSpan w:val="2"/>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D520865">
            <w:pPr>
              <w:pStyle w:val="71"/>
              <w:spacing w:before="24" w:after="24"/>
              <w:rPr>
                <w:rFonts w:cs="Times New Roman"/>
              </w:rPr>
            </w:pPr>
            <w:r>
              <w:rPr>
                <w:rFonts w:cs="Times New Roman"/>
              </w:rPr>
              <w:t>露台</w:t>
            </w:r>
          </w:p>
        </w:tc>
        <w:tc>
          <w:tcPr>
            <w:tcW w:w="319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F18C894">
            <w:pPr>
              <w:pStyle w:val="71"/>
              <w:spacing w:before="24" w:after="24"/>
              <w:rPr>
                <w:rFonts w:cs="Times New Roman"/>
              </w:rPr>
            </w:pPr>
            <w:r>
              <w:rPr>
                <w:rFonts w:cs="Times New Roman"/>
              </w:rPr>
              <w:t>3.0kN/㎡</w:t>
            </w:r>
          </w:p>
        </w:tc>
      </w:tr>
      <w:tr w14:paraId="328636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8" w:hRule="atLeast"/>
          <w:jc w:val="center"/>
        </w:trPr>
        <w:tc>
          <w:tcPr>
            <w:tcW w:w="5898" w:type="dxa"/>
            <w:gridSpan w:val="2"/>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DF81A83">
            <w:pPr>
              <w:pStyle w:val="71"/>
              <w:spacing w:before="24" w:after="24"/>
              <w:rPr>
                <w:rFonts w:cs="Times New Roman"/>
              </w:rPr>
            </w:pPr>
            <w:r>
              <w:rPr>
                <w:rFonts w:cs="Times New Roman"/>
              </w:rPr>
              <w:t>上人屋面</w:t>
            </w:r>
          </w:p>
        </w:tc>
        <w:tc>
          <w:tcPr>
            <w:tcW w:w="319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21DF67E">
            <w:pPr>
              <w:pStyle w:val="71"/>
              <w:spacing w:before="24" w:after="24"/>
              <w:rPr>
                <w:rFonts w:cs="Times New Roman"/>
              </w:rPr>
            </w:pPr>
            <w:r>
              <w:rPr>
                <w:rFonts w:cs="Times New Roman"/>
              </w:rPr>
              <w:t>2.0kN/㎡</w:t>
            </w:r>
          </w:p>
        </w:tc>
      </w:tr>
      <w:tr w14:paraId="1C103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3" w:hRule="atLeast"/>
          <w:jc w:val="center"/>
        </w:trPr>
        <w:tc>
          <w:tcPr>
            <w:tcW w:w="5898" w:type="dxa"/>
            <w:gridSpan w:val="2"/>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1F83B02">
            <w:pPr>
              <w:pStyle w:val="71"/>
              <w:spacing w:before="24" w:after="24"/>
              <w:rPr>
                <w:rFonts w:cs="Times New Roman"/>
              </w:rPr>
            </w:pPr>
            <w:r>
              <w:rPr>
                <w:rFonts w:cs="Times New Roman"/>
              </w:rPr>
              <w:t>不上人屋面</w:t>
            </w:r>
          </w:p>
        </w:tc>
        <w:tc>
          <w:tcPr>
            <w:tcW w:w="319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AFCB749">
            <w:pPr>
              <w:pStyle w:val="71"/>
              <w:spacing w:before="24" w:after="24"/>
              <w:rPr>
                <w:rFonts w:cs="Times New Roman"/>
              </w:rPr>
            </w:pPr>
            <w:r>
              <w:rPr>
                <w:rFonts w:cs="Times New Roman"/>
              </w:rPr>
              <w:t>0.5kN/㎡</w:t>
            </w:r>
          </w:p>
        </w:tc>
      </w:tr>
      <w:tr w14:paraId="409D6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3" w:hRule="atLeast"/>
          <w:jc w:val="center"/>
        </w:trPr>
        <w:tc>
          <w:tcPr>
            <w:tcW w:w="9093" w:type="dxa"/>
            <w:gridSpan w:val="3"/>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4872B85">
            <w:pPr>
              <w:pStyle w:val="71"/>
              <w:spacing w:before="24" w:after="24"/>
              <w:jc w:val="both"/>
              <w:rPr>
                <w:rFonts w:cs="Times New Roman"/>
              </w:rPr>
            </w:pPr>
            <w:r>
              <w:rPr>
                <w:rFonts w:cs="Times New Roman"/>
              </w:rPr>
              <w:t>注：活荷载应严格按照《工程结构通用规范》（GB55001-2021）取值，并按4.2.4、4.2.5条对楼面梁、墙、柱及基础进行荷载折减</w:t>
            </w:r>
          </w:p>
        </w:tc>
      </w:tr>
    </w:tbl>
    <w:p w14:paraId="7212551F">
      <w:pPr>
        <w:pStyle w:val="54"/>
        <w:spacing w:before="24" w:after="24"/>
      </w:pPr>
      <w:r>
        <w:t>2.人防荷载：</w:t>
      </w:r>
    </w:p>
    <w:p w14:paraId="44588424">
      <w:pPr>
        <w:pStyle w:val="54"/>
        <w:spacing w:before="24" w:after="24"/>
      </w:pPr>
      <w:r>
        <w:t>作用在主体结构上的荷载包括顶板面层，结构自重，水压力，土压力，常规武器爆炸动荷载等。</w:t>
      </w:r>
    </w:p>
    <w:p w14:paraId="12D238EA">
      <w:pPr>
        <w:pStyle w:val="54"/>
        <w:spacing w:before="24" w:after="24"/>
      </w:pPr>
      <w:r>
        <w:t>覆土重量按r＝18kN/m³按实计算；钢筋混凝土按r＝25.5kN/m³按实计算；</w:t>
      </w:r>
    </w:p>
    <w:p w14:paraId="25DE28B3">
      <w:pPr>
        <w:pStyle w:val="54"/>
        <w:spacing w:before="24" w:after="24"/>
      </w:pPr>
      <w:r>
        <w:t>战时荷载按平战结合人防规范取用，由常规武器爆炸动的等效荷载依据顶板覆土情况根据《人民防空地下室设计规范》（GB 50038-2005</w:t>
      </w:r>
      <w:r>
        <w:rPr>
          <w:rFonts w:hint="eastAsia"/>
        </w:rPr>
        <w:t>〔</w:t>
      </w:r>
      <w:r>
        <w:t>2023年局部修订</w:t>
      </w:r>
      <w:r>
        <w:rPr>
          <w:rFonts w:hint="eastAsia"/>
        </w:rPr>
        <w:t xml:space="preserve"> 〕</w:t>
      </w:r>
      <w:r>
        <w:t>）第4.7.2条、4.7.3条确定，最终根据人防批复文件等级和实际覆土情况确定。</w:t>
      </w:r>
    </w:p>
    <w:p w14:paraId="56CC1DA3">
      <w:pPr>
        <w:pStyle w:val="54"/>
        <w:spacing w:before="24" w:after="24"/>
      </w:pPr>
      <w:r>
        <w:t>2.设备荷载：安放设备的结构应按实考虑设备荷载。</w:t>
      </w:r>
    </w:p>
    <w:p w14:paraId="6F99E269">
      <w:pPr>
        <w:pStyle w:val="54"/>
        <w:spacing w:before="24" w:after="24"/>
      </w:pPr>
      <w:r>
        <w:t>3.消防车荷载：须根据规范要求考虑覆土高度及板跨进行折减，范围应按建筑条件选取，基础设计时不应考虑车荷载组合。</w:t>
      </w:r>
    </w:p>
    <w:p w14:paraId="7D8FBB12">
      <w:pPr>
        <w:pStyle w:val="54"/>
        <w:spacing w:before="24" w:after="24"/>
      </w:pPr>
      <w:r>
        <w:t>4.施工荷载：首层楼面和地下室顶板应考虑不小于5kN/㎡的活荷载，地下室顶板有覆土时，覆土荷载与施工荷载不同时考虑。</w:t>
      </w:r>
    </w:p>
    <w:p w14:paraId="0E089528">
      <w:pPr>
        <w:pStyle w:val="54"/>
        <w:spacing w:before="24" w:after="24"/>
      </w:pPr>
      <w:r>
        <w:t>5.楼面恒荷载：</w:t>
      </w:r>
    </w:p>
    <w:p w14:paraId="7A4EDD7E">
      <w:pPr>
        <w:pStyle w:val="54"/>
        <w:spacing w:before="24" w:after="24"/>
      </w:pPr>
      <w:r>
        <w:t>（1）包括板底抹灰吊顶、板面保温隔热、找坡找平、防水及地面等，应根据建筑面层做法实际计算确定，输入不得大于10%以上,程序中应选择扣除楼板与梁墙、柱与梁墙重叠部分自重。</w:t>
      </w:r>
    </w:p>
    <w:p w14:paraId="3E94334B">
      <w:pPr>
        <w:pStyle w:val="54"/>
        <w:spacing w:before="24" w:after="24"/>
      </w:pPr>
      <w:r>
        <w:t>（2）建筑墙体恒荷载应按照实际采用的材料的容重并考虑墙体抹灰、扣除梁高后的实际墙高、扣除门窗洞口后的折减荷载进行计算，荷载输入时应区分100mm、200mm厚隔墙，对于无固定的隔墙荷载应严格按照《建筑结构荷载规范》GB50009-2012第5.1.1条备注确定。</w:t>
      </w:r>
    </w:p>
    <w:p w14:paraId="56809C49">
      <w:pPr>
        <w:pStyle w:val="54"/>
        <w:spacing w:before="24" w:after="24"/>
      </w:pPr>
      <w:r>
        <w:t>（3）墙体材料：免烧实心砖容重取19.0kN/m³，蒸压加气混凝土砌块容重取8.0kN/m³，土荷载容重取18.0kN/m³。</w:t>
      </w:r>
    </w:p>
    <w:p w14:paraId="1EF886C5">
      <w:pPr>
        <w:pStyle w:val="54"/>
        <w:spacing w:before="24" w:after="24"/>
      </w:pPr>
      <w:r>
        <w:t>（5）水箱等大型设备荷载按实际取值，不得漏输。</w:t>
      </w:r>
    </w:p>
    <w:p w14:paraId="3F56FCC6">
      <w:pPr>
        <w:pStyle w:val="54"/>
        <w:spacing w:before="24" w:after="24"/>
      </w:pPr>
      <w:r>
        <w:t>4.2.4材料</w:t>
      </w:r>
    </w:p>
    <w:p w14:paraId="072BFD2B">
      <w:pPr>
        <w:pStyle w:val="54"/>
        <w:spacing w:before="24" w:after="24"/>
      </w:pPr>
      <w:r>
        <w:t>1.混凝土</w:t>
      </w:r>
    </w:p>
    <w:p w14:paraId="3D9C07CE">
      <w:pPr>
        <w:pStyle w:val="54"/>
        <w:spacing w:before="24" w:after="24"/>
      </w:pPr>
      <w:r>
        <w:t>（1）</w:t>
      </w:r>
      <w:r>
        <w:rPr>
          <w:color w:val="auto"/>
        </w:rPr>
        <w:t>基础垫层：C15。</w:t>
      </w:r>
    </w:p>
    <w:p w14:paraId="25E4319F">
      <w:pPr>
        <w:pStyle w:val="54"/>
        <w:spacing w:before="24" w:after="24"/>
      </w:pPr>
      <w:r>
        <w:t>（2）基础及地下室：C30~C35。</w:t>
      </w:r>
    </w:p>
    <w:p w14:paraId="3E5054B0">
      <w:pPr>
        <w:pStyle w:val="54"/>
        <w:spacing w:before="24" w:after="24"/>
      </w:pPr>
      <w:r>
        <w:t>（3）柱、墙：C30~C35，随着层数的递增，应逐级降低剪力墙、柱的混凝土等级，但墙柱混凝土等级改变与截面收进不应在同一层。</w:t>
      </w:r>
    </w:p>
    <w:p w14:paraId="2ACDB90F">
      <w:pPr>
        <w:pStyle w:val="54"/>
        <w:spacing w:before="24" w:after="24"/>
      </w:pPr>
      <w:r>
        <w:t>（4）二层以上梁、板、楼梯：C30~C35。</w:t>
      </w:r>
    </w:p>
    <w:p w14:paraId="3141351D">
      <w:pPr>
        <w:pStyle w:val="54"/>
        <w:spacing w:before="24" w:after="24"/>
      </w:pPr>
      <w:r>
        <w:t>（5）构造柱、压顶、墙身节点等附属构件：C25。</w:t>
      </w:r>
    </w:p>
    <w:p w14:paraId="2D9F6A02">
      <w:pPr>
        <w:pStyle w:val="54"/>
        <w:spacing w:before="24" w:after="24"/>
      </w:pPr>
      <w:r>
        <w:t>（6）景观构件：C25。</w:t>
      </w:r>
    </w:p>
    <w:p w14:paraId="57B2ABB6">
      <w:pPr>
        <w:pStyle w:val="54"/>
        <w:spacing w:before="24" w:after="24"/>
      </w:pPr>
      <w:r>
        <w:t>2.钢筋</w:t>
      </w:r>
    </w:p>
    <w:p w14:paraId="7C724EEA">
      <w:pPr>
        <w:pStyle w:val="54"/>
        <w:spacing w:before="24" w:after="24"/>
      </w:pPr>
      <w:r>
        <w:t>（1）梁：纵筋、吊筋、构造腰筋、箍筋采用HRB400、HRB500钢筋。</w:t>
      </w:r>
    </w:p>
    <w:p w14:paraId="484A5321">
      <w:pPr>
        <w:pStyle w:val="54"/>
        <w:spacing w:before="24" w:after="24"/>
      </w:pPr>
      <w:r>
        <w:t>（2）柱：纵筋、箍筋采用HRB400、HRB500钢筋。</w:t>
      </w:r>
    </w:p>
    <w:p w14:paraId="6663F705">
      <w:pPr>
        <w:pStyle w:val="54"/>
        <w:spacing w:before="24" w:after="24"/>
      </w:pPr>
      <w:r>
        <w:t>（3）标准层楼板：受力钢筋、分布筋采用HRB400钢筋。</w:t>
      </w:r>
    </w:p>
    <w:p w14:paraId="24087972">
      <w:pPr>
        <w:pStyle w:val="54"/>
        <w:spacing w:before="24" w:after="24"/>
      </w:pPr>
      <w:r>
        <w:t>（4）地下室挡土墙：采用HRB400、HRB500钢筋。</w:t>
      </w:r>
    </w:p>
    <w:p w14:paraId="7427E334">
      <w:pPr>
        <w:pStyle w:val="54"/>
        <w:spacing w:before="24" w:after="24"/>
      </w:pPr>
      <w:r>
        <w:t>（5）独立柱基础、筏板基础、桩基承台、地下室抗水板：受力钢筋采用HRB400钢筋。</w:t>
      </w:r>
    </w:p>
    <w:p w14:paraId="39442519">
      <w:pPr>
        <w:pStyle w:val="54"/>
        <w:spacing w:before="24" w:after="24"/>
      </w:pPr>
      <w:r>
        <w:t>（6）构造柱：纵筋、箍筋采用HRB400钢筋。</w:t>
      </w:r>
    </w:p>
    <w:p w14:paraId="064FF672">
      <w:pPr>
        <w:pStyle w:val="54"/>
        <w:spacing w:before="24" w:after="24"/>
      </w:pPr>
      <w:r>
        <w:t>（7）各类挑板（如空调板，雨篷等）：受力钢筋采用HRB400钢筋；分布筋采用HRB400钢筋。</w:t>
      </w:r>
    </w:p>
    <w:p w14:paraId="44AE1608">
      <w:pPr>
        <w:pStyle w:val="54"/>
        <w:spacing w:before="24" w:after="24"/>
      </w:pPr>
      <w:r>
        <w:t>3.钢材</w:t>
      </w:r>
    </w:p>
    <w:p w14:paraId="65900799">
      <w:pPr>
        <w:pStyle w:val="54"/>
        <w:spacing w:before="24" w:after="24"/>
      </w:pPr>
      <w:r>
        <w:t>主要构件采用Q235、Q355，厚板构件可采用更高等级钢材。钢材的屈服强度实测值与抗拉强度实测值的比值不应大于0.85；钢材应有明显的屈服台阶，且伸长率不应小于20%；钢材应有良好的焊接性和合格的冲击韧性。</w:t>
      </w:r>
    </w:p>
    <w:p w14:paraId="6180587D">
      <w:pPr>
        <w:pStyle w:val="54"/>
        <w:spacing w:before="24" w:after="24"/>
      </w:pPr>
      <w:r>
        <w:t>4.砌体墙</w:t>
      </w:r>
    </w:p>
    <w:p w14:paraId="13CFA06F">
      <w:pPr>
        <w:pStyle w:val="54"/>
        <w:spacing w:before="24" w:after="24"/>
      </w:pPr>
      <w:r>
        <w:t>（1）内外墙、隔墙：优先采用A3.5蒸压加气混凝土砌块Ma5.0专用砂浆砌筑。</w:t>
      </w:r>
    </w:p>
    <w:p w14:paraId="1F4A80D1">
      <w:pPr>
        <w:pStyle w:val="54"/>
        <w:spacing w:before="24" w:after="24"/>
      </w:pPr>
      <w:r>
        <w:t>（2）室内潮湿环境（卫生间等）、室内地面以下及±0.000m以下：采用MU15免烧实心砖Mb10水泥砂浆砌筑。</w:t>
      </w:r>
    </w:p>
    <w:p w14:paraId="083C9823">
      <w:pPr>
        <w:pStyle w:val="54"/>
        <w:spacing w:before="24" w:after="24"/>
      </w:pPr>
      <w:r>
        <w:t>（3）墙体材料与建筑选用一致且满足节能保温等要求。</w:t>
      </w:r>
    </w:p>
    <w:p w14:paraId="17A531C3">
      <w:pPr>
        <w:pStyle w:val="54"/>
        <w:spacing w:before="24" w:after="24"/>
      </w:pPr>
      <w:r>
        <w:t>（4）砌体结构施工质量控制等级：B级。</w:t>
      </w:r>
    </w:p>
    <w:p w14:paraId="3772BE69">
      <w:pPr>
        <w:pStyle w:val="54"/>
        <w:spacing w:before="24" w:after="24"/>
      </w:pPr>
      <w:r>
        <w:t>5.钢筋连接</w:t>
      </w:r>
    </w:p>
    <w:p w14:paraId="47FFA14E">
      <w:pPr>
        <w:pStyle w:val="54"/>
        <w:spacing w:before="24" w:after="24"/>
      </w:pPr>
      <w:r>
        <w:t>（1）竖向构件：12mm＜直径＜20mm可采用电渣压力焊接或绑扎搭接，直径≥20mm采用机械连接。</w:t>
      </w:r>
    </w:p>
    <w:p w14:paraId="34DBFB0A">
      <w:pPr>
        <w:pStyle w:val="54"/>
        <w:spacing w:before="24" w:after="24"/>
      </w:pPr>
      <w:r>
        <w:t>（2）梁：支座筋与架立筋搭接均采用绑扎搭接。</w:t>
      </w:r>
    </w:p>
    <w:p w14:paraId="763A6FF8">
      <w:pPr>
        <w:pStyle w:val="54"/>
        <w:spacing w:before="24" w:after="24"/>
      </w:pPr>
      <w:r>
        <w:t>（3）板：地下室底板：直径≥20mm采用机械连接，直径＜20mm采用绑扎搭接；其余楼板均采用绑扎搭接。</w:t>
      </w:r>
    </w:p>
    <w:p w14:paraId="3AE665EB">
      <w:pPr>
        <w:pStyle w:val="54"/>
        <w:spacing w:before="24" w:after="24"/>
      </w:pPr>
      <w:r>
        <w:t>（4）焊条型号：一般HPB300级选用E43系列焊条；HRB400级选用E50系列焊条；对坡口焊、穿孔塞焊、熔条帮条焊，HPB300级选用E43系列焊条；HRB400级选用E55系列焊条。</w:t>
      </w:r>
    </w:p>
    <w:p w14:paraId="33E0C6B5">
      <w:pPr>
        <w:pStyle w:val="54"/>
        <w:spacing w:before="24" w:after="24"/>
      </w:pPr>
      <w:r>
        <w:t>4.2.5计算分析</w:t>
      </w:r>
    </w:p>
    <w:p w14:paraId="5133DB87">
      <w:pPr>
        <w:pStyle w:val="54"/>
        <w:spacing w:before="24" w:after="24"/>
      </w:pPr>
      <w:r>
        <w:t>1.设计参数</w:t>
      </w:r>
    </w:p>
    <w:p w14:paraId="4D79B8B6">
      <w:pPr>
        <w:pStyle w:val="54"/>
        <w:spacing w:before="24" w:after="24"/>
      </w:pPr>
      <w:r>
        <w:t>（1）常用计算软件PKPM或YJK进行分析。</w:t>
      </w:r>
    </w:p>
    <w:p w14:paraId="51B002D2">
      <w:pPr>
        <w:pStyle w:val="54"/>
        <w:spacing w:before="24" w:after="24"/>
      </w:pPr>
      <w:r>
        <w:t>（2）嵌固端为基础顶或地下室顶板。</w:t>
      </w:r>
    </w:p>
    <w:p w14:paraId="686910EC">
      <w:pPr>
        <w:pStyle w:val="54"/>
        <w:spacing w:before="24" w:after="24"/>
      </w:pPr>
      <w:r>
        <w:t>（3）混凝土容重取25.5kN/m³。</w:t>
      </w:r>
    </w:p>
    <w:p w14:paraId="21BB1763">
      <w:pPr>
        <w:pStyle w:val="54"/>
        <w:spacing w:before="24" w:after="24"/>
      </w:pPr>
      <w:r>
        <w:t>（4）钢筋混凝土结构为0.05。</w:t>
      </w:r>
    </w:p>
    <w:p w14:paraId="217CE8CA">
      <w:pPr>
        <w:pStyle w:val="54"/>
        <w:spacing w:before="24" w:after="24"/>
      </w:pPr>
      <w:r>
        <w:t>（5）梁、柱重叠部位简化为刚域。</w:t>
      </w:r>
    </w:p>
    <w:p w14:paraId="4FFB4D39">
      <w:pPr>
        <w:pStyle w:val="54"/>
        <w:spacing w:before="24" w:after="24"/>
      </w:pPr>
      <w:r>
        <w:t>（6）墙、柱、基础计算时考虑活荷载的折减，柱按照单偏压计算，框架结构角柱按双偏压计算。</w:t>
      </w:r>
    </w:p>
    <w:p w14:paraId="76CE5440">
      <w:pPr>
        <w:pStyle w:val="54"/>
        <w:spacing w:before="24" w:after="24"/>
      </w:pPr>
      <w:r>
        <w:t>（7）计算位移比和层间位移角时，楼板采用全刚假定。</w:t>
      </w:r>
    </w:p>
    <w:p w14:paraId="64832591">
      <w:pPr>
        <w:pStyle w:val="54"/>
        <w:spacing w:before="24" w:after="24"/>
      </w:pPr>
      <w:r>
        <w:t>（8）梁的弯矩放大系数应取1.0，梁端弯矩调幅系数取0.85。</w:t>
      </w:r>
    </w:p>
    <w:p w14:paraId="16451182">
      <w:pPr>
        <w:pStyle w:val="54"/>
        <w:spacing w:before="24" w:after="24"/>
      </w:pPr>
      <w:r>
        <w:t>（9）周期折减系数应按照内隔墙实际情况取值，剪力墙结构一般取0.95，框架结构取0.65～0.70。</w:t>
      </w:r>
    </w:p>
    <w:p w14:paraId="72BD55EE">
      <w:pPr>
        <w:pStyle w:val="54"/>
        <w:spacing w:before="24" w:after="24"/>
      </w:pPr>
      <w:r>
        <w:t>（10）连梁刚度计算层间位移角时不折减，计算配筋时连梁刚度应按照规范折减。</w:t>
      </w:r>
    </w:p>
    <w:p w14:paraId="64968405">
      <w:pPr>
        <w:pStyle w:val="54"/>
        <w:spacing w:before="24" w:after="24"/>
      </w:pPr>
      <w:r>
        <w:t>（11）梁柱保护层厚度应按规范要求输入。</w:t>
      </w:r>
    </w:p>
    <w:p w14:paraId="7D5397B1">
      <w:pPr>
        <w:pStyle w:val="54"/>
        <w:spacing w:before="24" w:after="24"/>
      </w:pPr>
      <w:r>
        <w:t>（12）梁、柱、墙计算结果全楼归并系数取0.1。</w:t>
      </w:r>
    </w:p>
    <w:p w14:paraId="0AEF6661">
      <w:pPr>
        <w:pStyle w:val="54"/>
        <w:spacing w:before="24" w:after="24"/>
      </w:pPr>
      <w:r>
        <w:t>（13）楼板均按有限元计算设计。</w:t>
      </w:r>
    </w:p>
    <w:p w14:paraId="1D373B22">
      <w:pPr>
        <w:pStyle w:val="54"/>
        <w:spacing w:before="24" w:after="24"/>
      </w:pPr>
      <w:r>
        <w:t>（14）禁止勾选“与剪力墙平面外相交的梁按框架梁设计”一项。</w:t>
      </w:r>
    </w:p>
    <w:p w14:paraId="6AE43B0D">
      <w:pPr>
        <w:pStyle w:val="54"/>
        <w:spacing w:before="24" w:after="24"/>
      </w:pPr>
      <w:r>
        <w:t>（15）禁止勾选“与剪力墙平面外相交的梁下自动生成暗柱”，是否需要设置暗柱，应人为考虑，原则上除框架梁及负荷面积很大的次梁下设置暗柱外，其余均不宜设置。</w:t>
      </w:r>
    </w:p>
    <w:p w14:paraId="50BA484C">
      <w:pPr>
        <w:pStyle w:val="54"/>
        <w:spacing w:before="24" w:after="24"/>
      </w:pPr>
      <w:r>
        <w:t>2.结构计算控制要求</w:t>
      </w:r>
    </w:p>
    <w:p w14:paraId="15747F14">
      <w:pPr>
        <w:pStyle w:val="54"/>
        <w:spacing w:before="24" w:after="24"/>
      </w:pPr>
      <w:r>
        <w:t>（1）避免出现超限情况。</w:t>
      </w:r>
    </w:p>
    <w:p w14:paraId="313BD239">
      <w:pPr>
        <w:pStyle w:val="54"/>
        <w:spacing w:before="24" w:after="24"/>
      </w:pPr>
      <w:r>
        <w:t>（2）在考虑偶然偏心影响的规定水平地震力作用下，楼层竖向构件最大的水平位移和层间位移不宜大于该楼层平均值的1.2倍，不应大于该楼层平均值的1.5倍。</w:t>
      </w:r>
    </w:p>
    <w:p w14:paraId="5EFC91C6">
      <w:pPr>
        <w:pStyle w:val="54"/>
        <w:spacing w:before="24" w:after="24"/>
      </w:pPr>
      <w:r>
        <w:t>（3）楼层侧向刚度不宜小于相邻上部楼层侧向刚度的70%或其上相邻三层侧向刚度平均值的80%。</w:t>
      </w:r>
    </w:p>
    <w:p w14:paraId="1A713432">
      <w:pPr>
        <w:pStyle w:val="54"/>
        <w:spacing w:before="24" w:after="24"/>
      </w:pPr>
      <w:r>
        <w:t>（4）振型参与质量不小于总质量的（有效质量系数）90%。</w:t>
      </w:r>
    </w:p>
    <w:p w14:paraId="03EC1EC9">
      <w:pPr>
        <w:pStyle w:val="54"/>
        <w:spacing w:before="24" w:after="24"/>
      </w:pPr>
      <w:r>
        <w:t>（5）板高差降不大于50时，可不设分界梁使用折板。</w:t>
      </w:r>
    </w:p>
    <w:p w14:paraId="1465B67A">
      <w:pPr>
        <w:pStyle w:val="54"/>
        <w:spacing w:before="24" w:after="24"/>
      </w:pPr>
      <w:r>
        <w:t>（6）结构计算成果指标如轴压比、周期、位移、剪重比、刚重比等应尽量接近规范限值，不得有太大的富余。</w:t>
      </w:r>
    </w:p>
    <w:p w14:paraId="1D16154E">
      <w:pPr>
        <w:pStyle w:val="54"/>
        <w:spacing w:before="24" w:after="24"/>
      </w:pPr>
      <w:r>
        <w:t>（7）当层间位移角控制计算时，层间位移角应控制在规范限值附近。如无特殊原因，位移角不宜小于规范限值10%，不应小于规范限值20%以上，否则应调整结构布置保证经济性及合理性。</w:t>
      </w:r>
    </w:p>
    <w:p w14:paraId="733C008A">
      <w:pPr>
        <w:pStyle w:val="54"/>
        <w:spacing w:before="24" w:after="24"/>
      </w:pPr>
      <w:r>
        <w:t>（8）钢结构构件应力比应控制在0.85附近。</w:t>
      </w:r>
    </w:p>
    <w:p w14:paraId="5FED989B">
      <w:pPr>
        <w:pStyle w:val="54"/>
        <w:spacing w:before="24" w:after="24"/>
      </w:pPr>
      <w:r>
        <w:t>（9）竖向构件严禁出现为了个别轴压比（应力比）超限而整体提高材料强度等级的做法。</w:t>
      </w:r>
    </w:p>
    <w:p w14:paraId="3904507F">
      <w:pPr>
        <w:pStyle w:val="54"/>
        <w:spacing w:before="24" w:after="24"/>
      </w:pPr>
      <w:r>
        <w:t>（10）除个别特殊构件外，施工图配筋实配值不允许超过计算结果的10%。</w:t>
      </w:r>
    </w:p>
    <w:p w14:paraId="7590D7F9">
      <w:pPr>
        <w:pStyle w:val="54"/>
        <w:spacing w:before="24" w:after="24"/>
      </w:pPr>
      <w:r>
        <w:t>3.基础设计</w:t>
      </w:r>
    </w:p>
    <w:p w14:paraId="50BA625E">
      <w:pPr>
        <w:pStyle w:val="54"/>
        <w:spacing w:before="24" w:after="24"/>
      </w:pPr>
      <w:r>
        <w:t>（1）基础选型应根据结构体系情况、地质条件、施工条件、经济性四个方面从技术上初步确定两个及以上方案。从工程造价方面考虑，基础选型优先顺序为天然基础＞复合地基＞长螺旋灌注桩＞旋挖灌注桩。</w:t>
      </w:r>
    </w:p>
    <w:p w14:paraId="195C942E">
      <w:pPr>
        <w:pStyle w:val="54"/>
        <w:spacing w:before="24" w:after="24"/>
      </w:pPr>
      <w:r>
        <w:t>（2）对初定的两个基础方案进行经济及工期比较,将该两个方案的比较数据及相关图纸资料提交发包人审批。</w:t>
      </w:r>
    </w:p>
    <w:p w14:paraId="0FAD6EFF">
      <w:pPr>
        <w:pStyle w:val="54"/>
        <w:spacing w:before="24" w:after="24"/>
      </w:pPr>
      <w:r>
        <w:t>（3）独立基础</w:t>
      </w:r>
    </w:p>
    <w:p w14:paraId="0B87EEA7">
      <w:pPr>
        <w:pStyle w:val="54"/>
        <w:spacing w:before="24" w:after="24"/>
      </w:pPr>
      <w:r>
        <w:t>1）独立基础归并应根据柱轴力细分进行，柱底内力相差大于15%以上时，不得归并。</w:t>
      </w:r>
    </w:p>
    <w:p w14:paraId="78DB311D">
      <w:pPr>
        <w:pStyle w:val="54"/>
        <w:spacing w:before="24" w:after="24"/>
      </w:pPr>
      <w:r>
        <w:t>2）独立基础高度根据冲切计算结果确定，钢筋采用多种间距，以10mm作为变化模数。</w:t>
      </w:r>
    </w:p>
    <w:p w14:paraId="0BF82B6F">
      <w:pPr>
        <w:pStyle w:val="54"/>
        <w:spacing w:before="24" w:after="24"/>
      </w:pPr>
      <w:r>
        <w:t>3）独立基础在符合《建筑地基基础设计规范》GB50007-2011第8.2.7.2条时才需考虑抗剪；</w:t>
      </w:r>
    </w:p>
    <w:p w14:paraId="4AA70B94">
      <w:pPr>
        <w:pStyle w:val="54"/>
        <w:spacing w:before="24" w:after="24"/>
      </w:pPr>
      <w:r>
        <w:t>4）柱下独立基础边长和墙下条基宽度≥2.5m时，底板受力钢筋长度应取边长或宽度的0.9倍，并交错布置。</w:t>
      </w:r>
    </w:p>
    <w:p w14:paraId="057406D5">
      <w:pPr>
        <w:pStyle w:val="54"/>
        <w:spacing w:before="24" w:after="24"/>
      </w:pPr>
      <w:r>
        <w:t>5）当挖深范围内无合适持力层时，局部换填，采用级配砂石换填，分层夯实;</w:t>
      </w:r>
    </w:p>
    <w:p w14:paraId="4F36D998">
      <w:pPr>
        <w:pStyle w:val="54"/>
        <w:spacing w:before="24" w:after="24"/>
      </w:pPr>
      <w:r>
        <w:t>（4）桩基础</w:t>
      </w:r>
    </w:p>
    <w:p w14:paraId="06466940">
      <w:pPr>
        <w:pStyle w:val="54"/>
        <w:spacing w:before="24" w:after="24"/>
      </w:pPr>
      <w:r>
        <w:t>1）单桩竖向承载力的确定，以静荷载实验结果为依据，在进行桩的静荷载实验前，按地质报告参数估算。</w:t>
      </w:r>
    </w:p>
    <w:p w14:paraId="5640653C">
      <w:pPr>
        <w:pStyle w:val="54"/>
        <w:spacing w:before="24" w:after="24"/>
      </w:pPr>
      <w:r>
        <w:t>2）当采用桩基础时，在单桩即可满足承载力的情况下，柱下应采用单桩承台基础，不得采用双桩基础。</w:t>
      </w:r>
    </w:p>
    <w:p w14:paraId="7F789658">
      <w:pPr>
        <w:pStyle w:val="54"/>
        <w:spacing w:before="24" w:after="24"/>
      </w:pPr>
      <w:r>
        <w:t>3）单桩承载力极限值尽量接近桩身结构强度，当承载力不由桩身承载力控制时，可适当降低桩身混凝土等级。</w:t>
      </w:r>
    </w:p>
    <w:p w14:paraId="502CAF38">
      <w:pPr>
        <w:pStyle w:val="54"/>
        <w:spacing w:before="24" w:after="24"/>
      </w:pPr>
      <w:r>
        <w:t>4）工程实施前期试桩应做到破坏性静载荷试验（达到《建筑地基基础设计规范GB50007-2011》附录Q.0.8终止加载条件）确定单桩竖向承载力极限值，在进行单桩静载荷试验前，按地质报告参数估算。</w:t>
      </w:r>
    </w:p>
    <w:p w14:paraId="5D4ADDEB">
      <w:pPr>
        <w:pStyle w:val="54"/>
        <w:spacing w:before="24" w:after="24"/>
      </w:pPr>
      <w:r>
        <w:t>5）三桩及三桩以上单柱承台，承台顶面不配置面筋。</w:t>
      </w:r>
    </w:p>
    <w:p w14:paraId="1C3073C3">
      <w:pPr>
        <w:pStyle w:val="54"/>
        <w:spacing w:before="24" w:after="24"/>
      </w:pPr>
      <w:r>
        <w:t>6）针对勘查报告提出的不良地质作用，应给出相应的处理措施。</w:t>
      </w:r>
    </w:p>
    <w:p w14:paraId="09D5CF31">
      <w:pPr>
        <w:pStyle w:val="54"/>
        <w:spacing w:before="24" w:after="24"/>
      </w:pPr>
      <w:r>
        <w:t>7）拟建场地抗震不利地段尚应估计不利地段对设计的震动参数可能产生的放大作用，水平地震影响系数最大值应乘以增大系数，其值在1.1～1.6范围内采用，具体参数结合场地地质条件按《建筑抗震设计规范》4.1.8条条文说明计算确定。</w:t>
      </w:r>
    </w:p>
    <w:p w14:paraId="6A7A4BFC">
      <w:pPr>
        <w:pStyle w:val="54"/>
        <w:spacing w:before="24" w:after="24"/>
      </w:pPr>
      <w:r>
        <w:t>（5）基坑支护设计：</w:t>
      </w:r>
    </w:p>
    <w:p w14:paraId="70C203CC">
      <w:pPr>
        <w:pStyle w:val="54"/>
        <w:spacing w:before="24" w:after="24"/>
      </w:pPr>
      <w:r>
        <w:t>1）设计使用年限：临时性支护工程，设计使用年限为2年。</w:t>
      </w:r>
    </w:p>
    <w:p w14:paraId="5E188F9C">
      <w:pPr>
        <w:pStyle w:val="54"/>
        <w:spacing w:before="24" w:after="24"/>
      </w:pPr>
      <w:r>
        <w:t>2）临时基坑支护荷载：暂按路面等效静荷载30KPa，坑边施工堆载20KPa，坑边建筑物15KPa/层。施工材料及土方运输道路等效静荷载50KPa。如实际不一致，需按实际取值。</w:t>
      </w:r>
    </w:p>
    <w:p w14:paraId="6F4A4017">
      <w:pPr>
        <w:pStyle w:val="54"/>
        <w:spacing w:before="24" w:after="24"/>
      </w:pPr>
      <w:r>
        <w:t>3）系数</w:t>
      </w:r>
    </w:p>
    <w:p w14:paraId="0E89AC31">
      <w:pPr>
        <w:pStyle w:val="54"/>
        <w:spacing w:before="24" w:after="24"/>
      </w:pPr>
      <w:r>
        <w:t>A、一级基坑：</w:t>
      </w:r>
    </w:p>
    <w:p w14:paraId="529F94C3">
      <w:pPr>
        <w:pStyle w:val="54"/>
        <w:spacing w:before="24" w:after="24"/>
      </w:pPr>
      <w:r>
        <w:t>基坑侧壁重要性系数γ=1.1；整体稳定安全系数γ≥1.35；</w:t>
      </w:r>
    </w:p>
    <w:p w14:paraId="4F1AE930">
      <w:pPr>
        <w:pStyle w:val="54"/>
        <w:spacing w:before="24" w:after="24"/>
      </w:pPr>
      <w:r>
        <w:t>抗倾覆稳定安全系数γ≥1.25；抗隆起稳定安全系数γ≥1.80；</w:t>
      </w:r>
    </w:p>
    <w:p w14:paraId="5670A2F0">
      <w:pPr>
        <w:pStyle w:val="54"/>
        <w:spacing w:before="24" w:after="24"/>
      </w:pPr>
      <w:r>
        <w:t>流土稳定性安全系数γ≥1.60。</w:t>
      </w:r>
    </w:p>
    <w:p w14:paraId="3A27BC7C">
      <w:pPr>
        <w:pStyle w:val="54"/>
        <w:spacing w:before="24" w:after="24"/>
      </w:pPr>
      <w:r>
        <w:t>B、二级基坑：</w:t>
      </w:r>
    </w:p>
    <w:p w14:paraId="2176BF16">
      <w:pPr>
        <w:pStyle w:val="54"/>
        <w:spacing w:before="24" w:after="24"/>
      </w:pPr>
      <w:r>
        <w:t>基坑侧壁重要性系数γ=1.0；整体稳定安全系数γ≥1.30；</w:t>
      </w:r>
    </w:p>
    <w:p w14:paraId="638D60E5">
      <w:pPr>
        <w:pStyle w:val="54"/>
        <w:spacing w:before="24" w:after="24"/>
      </w:pPr>
      <w:r>
        <w:t>抗倾覆稳定安全系数γ≥1.20；抗隆起稳定安全系数γ≥1.60；</w:t>
      </w:r>
    </w:p>
    <w:p w14:paraId="41CB09FB">
      <w:pPr>
        <w:pStyle w:val="54"/>
        <w:spacing w:before="24" w:after="24"/>
      </w:pPr>
      <w:r>
        <w:t>流土稳定性安全系数γ≥1.50。</w:t>
      </w:r>
    </w:p>
    <w:p w14:paraId="254AC564">
      <w:pPr>
        <w:pStyle w:val="54"/>
        <w:spacing w:before="24" w:after="24"/>
      </w:pPr>
      <w:r>
        <w:t>4.2.6设计要求</w:t>
      </w:r>
    </w:p>
    <w:p w14:paraId="408353B0">
      <w:pPr>
        <w:pStyle w:val="54"/>
        <w:spacing w:before="24" w:after="24"/>
      </w:pPr>
      <w:r>
        <w:t>1.地下室设计要求</w:t>
      </w:r>
    </w:p>
    <w:p w14:paraId="092E4FEC">
      <w:pPr>
        <w:pStyle w:val="54"/>
        <w:spacing w:before="24" w:after="24"/>
      </w:pPr>
      <w:r>
        <w:t>（1）本工程地下室均采用框架剪力墙结构体系，地下室顶板厚塔楼区域为180mm（人防区域为200mm），室外覆土区域为250，人防地下室外墙厚度300mm。</w:t>
      </w:r>
    </w:p>
    <w:p w14:paraId="50BCC110">
      <w:pPr>
        <w:pStyle w:val="54"/>
        <w:spacing w:before="24" w:after="24"/>
      </w:pPr>
      <w:r>
        <w:t>（2）地下室底板优先采用平板式，应按板的抗冲切、抗剪承载力综合确定板的厚度，计算板的配筋，底板配筋应按最低要求配置通长双层双向钢筋网，不足处另加短钢筋。</w:t>
      </w:r>
    </w:p>
    <w:p w14:paraId="744762B8">
      <w:pPr>
        <w:pStyle w:val="54"/>
        <w:spacing w:before="24" w:after="24"/>
      </w:pPr>
      <w:r>
        <w:t>（3）地下室外墙下基础应尽量减少外挑，以减少土方开挖量。</w:t>
      </w:r>
    </w:p>
    <w:p w14:paraId="71A319DD">
      <w:pPr>
        <w:pStyle w:val="54"/>
        <w:spacing w:before="24" w:after="24"/>
      </w:pPr>
      <w:r>
        <w:t>（4）避免地下室设变形缝，确需设缝时，慎重处理变形缝止水问题。</w:t>
      </w:r>
    </w:p>
    <w:p w14:paraId="19241837">
      <w:pPr>
        <w:pStyle w:val="54"/>
        <w:spacing w:before="24" w:after="24"/>
      </w:pPr>
      <w:r>
        <w:t>（5）地下室必须进行抗浮计算，满足整体及局部抗浮要求。抗浮不满足的：当采用桩基础的，桩基础应满足抗压和抗浮两种工况，不宜另外设置抗浮桩（锚杆）；当采用天然地基基础的，根据经济比选结果采用抗拔桩或锚杆抗浮，并均匀布置，如抗浮力稍小于浮力的，可采用加大基础埋深，底板回填素混凝土的压重方式抗浮。</w:t>
      </w:r>
    </w:p>
    <w:p w14:paraId="18C1C33C">
      <w:pPr>
        <w:pStyle w:val="54"/>
        <w:spacing w:before="24" w:after="24"/>
      </w:pPr>
      <w:r>
        <w:t>（6）地下室底板中的各种井坑（电梯井坑、集水坑等）均需做成下凹式，不应采用全面降低底板标高或加厚底板方法处理。</w:t>
      </w:r>
    </w:p>
    <w:p w14:paraId="5C6B92B0">
      <w:pPr>
        <w:pStyle w:val="54"/>
        <w:spacing w:before="24" w:after="24"/>
      </w:pPr>
      <w:r>
        <w:t>（7）梁截面根据跨度和受力大小合理取用，应满足地下室净空要求。</w:t>
      </w:r>
    </w:p>
    <w:p w14:paraId="25E74521">
      <w:pPr>
        <w:pStyle w:val="54"/>
        <w:spacing w:before="24" w:after="24"/>
      </w:pPr>
      <w:r>
        <w:t>（8）地下室外墙的设计应满足以下要求：</w:t>
      </w:r>
    </w:p>
    <w:p w14:paraId="3453B8A3">
      <w:pPr>
        <w:pStyle w:val="54"/>
        <w:spacing w:before="24" w:after="24"/>
      </w:pPr>
      <w:r>
        <w:t>1）外墙的布置应尽量横平竖直，避免过多转折。</w:t>
      </w:r>
    </w:p>
    <w:p w14:paraId="0ADF2128">
      <w:pPr>
        <w:pStyle w:val="54"/>
        <w:spacing w:before="24" w:after="24"/>
      </w:pPr>
      <w:r>
        <w:t>2）外墙应根据实际受力、有无顶盖板、不同挡土高度等情况，分别进行设计。</w:t>
      </w:r>
    </w:p>
    <w:p w14:paraId="2D07AA23">
      <w:pPr>
        <w:pStyle w:val="54"/>
        <w:spacing w:before="24" w:after="24"/>
      </w:pPr>
      <w:r>
        <w:t>3）外墙靠土侧和背土侧、墙下部和墙上部，计算内力不同时应分别配筋。外墙受力筋采用长、短筋交错布置。</w:t>
      </w:r>
    </w:p>
    <w:p w14:paraId="1A16D9CF">
      <w:pPr>
        <w:pStyle w:val="54"/>
        <w:spacing w:before="24" w:after="24"/>
      </w:pPr>
      <w:r>
        <w:t>4）当外墙中部有翼墙或大截面柱形成刚度较大的平面外支承时，应考虑支承的影响，根据受力情况按三边或四边支承板设计。</w:t>
      </w:r>
    </w:p>
    <w:p w14:paraId="79AE8C8C">
      <w:pPr>
        <w:pStyle w:val="54"/>
        <w:spacing w:before="24" w:after="24"/>
      </w:pPr>
      <w:r>
        <w:t>5）消防水池应尽量多利用地下室原有剪力墙作为侧墙，节省造价。</w:t>
      </w:r>
    </w:p>
    <w:p w14:paraId="3852D976">
      <w:pPr>
        <w:pStyle w:val="54"/>
        <w:spacing w:before="24" w:after="24"/>
      </w:pPr>
      <w:r>
        <w:t>（9）后浇带设计应满足以下要求：</w:t>
      </w:r>
    </w:p>
    <w:p w14:paraId="5D6D4E6B">
      <w:pPr>
        <w:pStyle w:val="54"/>
        <w:spacing w:before="24" w:after="24"/>
      </w:pPr>
      <w:r>
        <w:t>1）后浇带应明确注明沉降后浇带和收缩后浇带。</w:t>
      </w:r>
    </w:p>
    <w:p w14:paraId="456654CF">
      <w:pPr>
        <w:pStyle w:val="54"/>
        <w:spacing w:before="24" w:after="24"/>
      </w:pPr>
      <w:r>
        <w:t>2）主楼与地库间的沉降后浇带应设置于紧邻主楼的地库柱跨内，形成环状封闭。</w:t>
      </w:r>
    </w:p>
    <w:p w14:paraId="01D05F4C">
      <w:pPr>
        <w:pStyle w:val="54"/>
        <w:spacing w:before="24" w:after="24"/>
      </w:pPr>
      <w:r>
        <w:t>3）后浇带布置不应穿过承台、集水坑、电梯井、设备基础、柱帽、坡道、卫生间、飘窗、楼梯间、消防水池、大跨度和悬挑梁、人防口部等，并与塔吊位置相协调；后浇带间距结合材料、气候及养护条件宜控制在30～40m左右。</w:t>
      </w:r>
    </w:p>
    <w:p w14:paraId="31E48EC6">
      <w:pPr>
        <w:pStyle w:val="54"/>
        <w:spacing w:before="24" w:after="24"/>
      </w:pPr>
      <w:r>
        <w:t>4）沉降后浇带应在主楼施工完毕且沉降基本稳定后封闭；温度后浇带应在两侧混凝土浇筑45～60天后封闭。封闭后浇带之前，需设计院书面签字确认。当应施工进度要求需提前封闭沉降后浇带，需结合现场沉降观测结果，召开专项论证并得到设计院和沉降观测单位的书面认可</w:t>
      </w:r>
    </w:p>
    <w:p w14:paraId="28460332">
      <w:pPr>
        <w:pStyle w:val="54"/>
        <w:spacing w:before="24" w:after="24"/>
      </w:pPr>
      <w:r>
        <w:t>2.楼板设计与配筋要求</w:t>
      </w:r>
    </w:p>
    <w:p w14:paraId="20F567AA">
      <w:pPr>
        <w:pStyle w:val="54"/>
        <w:spacing w:before="24" w:after="24"/>
      </w:pPr>
      <w:r>
        <w:t>（1）楼板厚度的取值大于等于楼板净跨的1/40，且不小于100。</w:t>
      </w:r>
    </w:p>
    <w:p w14:paraId="019697B7">
      <w:pPr>
        <w:pStyle w:val="54"/>
        <w:spacing w:before="24" w:after="24"/>
      </w:pPr>
      <w:r>
        <w:t>（2）板上有墙以及楼板形状复杂时应适当加厚。</w:t>
      </w:r>
    </w:p>
    <w:p w14:paraId="0946E861">
      <w:pPr>
        <w:pStyle w:val="54"/>
        <w:spacing w:before="24" w:after="24"/>
      </w:pPr>
      <w:r>
        <w:t>（3）板跨不宜太小，建议能不布梁尽量不布（即使有降板或有隔墙），要充分发挥楼板作用和钢筋强度。有隔墙而未设梁时，可在总说明中统一采取加强措施，但在板配筋计算中要按等效荷载法考虑这部分荷载。</w:t>
      </w:r>
    </w:p>
    <w:p w14:paraId="004D7AC1">
      <w:pPr>
        <w:pStyle w:val="54"/>
        <w:spacing w:before="24" w:after="24"/>
      </w:pPr>
      <w:r>
        <w:t>（4）板的计算：弹性板计算时，板长边和短边之比＞2，按单向板计算；板长边和短边之比≤2，按双向板计算。</w:t>
      </w:r>
    </w:p>
    <w:p w14:paraId="376AEEDB">
      <w:pPr>
        <w:pStyle w:val="54"/>
        <w:spacing w:before="24" w:after="24"/>
      </w:pPr>
      <w:r>
        <w:t>（5）楼板配筋采用分离式配筋，负筋的配筋长度为1/4楼板短边净跨。</w:t>
      </w:r>
    </w:p>
    <w:p w14:paraId="1C5A1440">
      <w:pPr>
        <w:pStyle w:val="54"/>
        <w:spacing w:before="24" w:after="24"/>
      </w:pPr>
      <w:r>
        <w:t>（6）板支座与跨中配筋由计算确定时，配筋不宜超过计算面积的1.05，配筋不应超过计算面积的1.1。</w:t>
      </w:r>
    </w:p>
    <w:p w14:paraId="46C7ACC6">
      <w:pPr>
        <w:pStyle w:val="54"/>
        <w:spacing w:before="24" w:after="24"/>
      </w:pPr>
      <w:r>
        <w:t>（7）异形板按有限元程序进行核算，并在楼板阳角处附加放射筋。</w:t>
      </w:r>
    </w:p>
    <w:p w14:paraId="753BF361">
      <w:pPr>
        <w:pStyle w:val="54"/>
        <w:spacing w:before="24" w:after="24"/>
      </w:pPr>
      <w:r>
        <w:t>（8）板配筋间距可以采用多种间距，不宜只考虑间距为100、120、150、180、200。</w:t>
      </w:r>
    </w:p>
    <w:p w14:paraId="17F4CD12">
      <w:pPr>
        <w:pStyle w:val="54"/>
        <w:spacing w:before="24" w:after="24"/>
      </w:pPr>
      <w:r>
        <w:t>（9）楼板标高控制</w:t>
      </w:r>
    </w:p>
    <w:p w14:paraId="256BF6B2">
      <w:pPr>
        <w:pStyle w:val="54"/>
        <w:spacing w:before="24" w:after="24"/>
      </w:pPr>
      <w:r>
        <w:t>卫生做同层排水，安装马桶应降板350mm，安装蹲坑降板450mm。</w:t>
      </w:r>
    </w:p>
    <w:p w14:paraId="39E3C542">
      <w:pPr>
        <w:pStyle w:val="54"/>
        <w:spacing w:before="24" w:after="24"/>
      </w:pPr>
      <w:r>
        <w:t>3.钢筋混凝土梁设计与配筋要求</w:t>
      </w:r>
    </w:p>
    <w:p w14:paraId="72135076">
      <w:pPr>
        <w:pStyle w:val="54"/>
        <w:spacing w:before="24" w:after="24"/>
      </w:pPr>
      <w:r>
        <w:t>（1）梁截面宽度不宜小于200mm，高宽比不宜大于4；梁截面高度取（1/10～1/15）梁的计算跨度，且不宜大于1/4梁的净跨。</w:t>
      </w:r>
    </w:p>
    <w:p w14:paraId="6A02B6C0">
      <w:pPr>
        <w:pStyle w:val="54"/>
        <w:spacing w:before="24" w:after="24"/>
      </w:pPr>
      <w:r>
        <w:t>（2）框架梁支座不满足梁上部纵向钢筋的水平锚固长度0.4LaE时，不满足水平锚固要求时可采用机械锚固措施或计算时将支座设为铰接点。</w:t>
      </w:r>
    </w:p>
    <w:p w14:paraId="0529D592">
      <w:pPr>
        <w:pStyle w:val="54"/>
        <w:spacing w:before="24" w:after="24"/>
      </w:pPr>
      <w:r>
        <w:t>（3）一、二级框梁全长顶面和底面应最少各配两根纵向钢筋，直径不应小于max={2Φ14，纵向钢筋中较大截面面积的1/4},三级直径不小于Ф12。</w:t>
      </w:r>
    </w:p>
    <w:p w14:paraId="30F2F225">
      <w:pPr>
        <w:pStyle w:val="54"/>
        <w:spacing w:before="24" w:after="24"/>
      </w:pPr>
      <w:r>
        <w:t>（4）框架梁梁宽大于等于350mm时,当采用四肢箍时，跨中采用两根主筋＋架立钢筋（2Ф12）的配筋形式。</w:t>
      </w:r>
    </w:p>
    <w:p w14:paraId="73404071">
      <w:pPr>
        <w:pStyle w:val="54"/>
        <w:spacing w:before="24" w:after="24"/>
      </w:pPr>
      <w:r>
        <w:t>（5）次梁沿梁全长顶面和底面应最少配两根纵向钢筋，直径为12。</w:t>
      </w:r>
    </w:p>
    <w:p w14:paraId="02F52870">
      <w:pPr>
        <w:pStyle w:val="54"/>
        <w:spacing w:before="24" w:after="24"/>
      </w:pPr>
      <w:r>
        <w:t>（6）次梁箍筋无加密区，但当支座处计算配筋较大时，可采用局部加密的方式处理。</w:t>
      </w:r>
    </w:p>
    <w:p w14:paraId="121D0E0F">
      <w:pPr>
        <w:pStyle w:val="54"/>
        <w:spacing w:before="24" w:after="24"/>
      </w:pPr>
      <w:r>
        <w:t>（7）当次梁长大于4米时，梁跨中可采用通长钢筋HRB40012mm或HRB40014mm搭接。</w:t>
      </w:r>
    </w:p>
    <w:p w14:paraId="7FB0FFDB">
      <w:pPr>
        <w:pStyle w:val="54"/>
        <w:spacing w:before="24" w:after="24"/>
      </w:pPr>
      <w:r>
        <w:t>（8）梁支座与跨中配筋由计算决定，梁实配钢筋不宜放大。</w:t>
      </w:r>
    </w:p>
    <w:p w14:paraId="4454846C">
      <w:pPr>
        <w:pStyle w:val="54"/>
        <w:spacing w:before="24" w:after="24"/>
      </w:pPr>
      <w:r>
        <w:t>（9）外框梁的高度应与建筑窗子高度统一，避免边框梁高度不统一影响外立面效果。</w:t>
      </w:r>
    </w:p>
    <w:p w14:paraId="7968F37B">
      <w:pPr>
        <w:pStyle w:val="54"/>
        <w:spacing w:before="24" w:after="24"/>
      </w:pPr>
      <w:r>
        <w:t>（10）斜屋面水平梁板的设置。</w:t>
      </w:r>
    </w:p>
    <w:p w14:paraId="4A51A421">
      <w:pPr>
        <w:pStyle w:val="54"/>
        <w:spacing w:before="24" w:after="24"/>
      </w:pPr>
      <w:r>
        <w:t>1）原则上不设水平梁板，建筑要求除外。</w:t>
      </w:r>
    </w:p>
    <w:p w14:paraId="391255F0">
      <w:pPr>
        <w:pStyle w:val="54"/>
        <w:spacing w:before="24" w:after="24"/>
      </w:pPr>
      <w:r>
        <w:t>2）如结构计算需要设置水平梁时，可考虑设置斜屋面下水平梁，水平梁的设置位置应协调建筑确定，尽量设置在有墙处。</w:t>
      </w:r>
    </w:p>
    <w:p w14:paraId="0F77AAC3">
      <w:pPr>
        <w:pStyle w:val="54"/>
        <w:spacing w:before="24" w:after="24"/>
      </w:pPr>
      <w:r>
        <w:t>（11）楼梯梯级处梁高注意不得影响建筑使用。</w:t>
      </w:r>
    </w:p>
    <w:p w14:paraId="7CDEB4C2">
      <w:pPr>
        <w:pStyle w:val="54"/>
        <w:spacing w:before="24" w:after="24"/>
      </w:pPr>
      <w:r>
        <w:t>4.基坑支护设计要求</w:t>
      </w:r>
    </w:p>
    <w:p w14:paraId="06C95FFB">
      <w:pPr>
        <w:pStyle w:val="54"/>
        <w:spacing w:before="24" w:after="24"/>
      </w:pPr>
      <w:r>
        <w:t>（1）优先采用自然放坡，无条件时需根据工程的特点、周边环境、地层性质，结合地区经验，综合考虑安全、经济、技术，进行基坑支护方案的比选和技术经济比较，确认基坑支护方案。</w:t>
      </w:r>
    </w:p>
    <w:p w14:paraId="7673CA11">
      <w:pPr>
        <w:pStyle w:val="54"/>
        <w:spacing w:before="24" w:after="24"/>
      </w:pPr>
      <w:r>
        <w:t>（2）基坑计算成果指标应尽量接近规范限值，不得有太大富余。</w:t>
      </w:r>
    </w:p>
    <w:p w14:paraId="531BDC9F">
      <w:pPr>
        <w:pStyle w:val="54"/>
        <w:spacing w:before="24" w:after="24"/>
      </w:pPr>
      <w:r>
        <w:t>（3）完成基坑支护设计、组织专家方案评审并通过评审、根据审查意见对施工图进行调整。</w:t>
      </w:r>
    </w:p>
    <w:p w14:paraId="6EEB8FB5">
      <w:pPr>
        <w:pStyle w:val="54"/>
        <w:spacing w:before="24" w:after="24"/>
      </w:pPr>
      <w:r>
        <w:t>5.减隔震设计</w:t>
      </w:r>
    </w:p>
    <w:p w14:paraId="5DF50BB0">
      <w:pPr>
        <w:pStyle w:val="54"/>
        <w:spacing w:before="24" w:after="24"/>
      </w:pPr>
      <w:r>
        <w:t>（1）《建设工程抗震管理条例》（国令第744号）和《云南省住房和城乡建设厅关于明确隔震减震建筑工程有关问题的通知》（云建震2017-294号），学校、幼儿园、医院、养老机构、儿童福利机构、应急指挥中心、应急避难场所、广播电视等建筑，应当按照不低于重点设防类的要求采取抗震设防措施。</w:t>
      </w:r>
    </w:p>
    <w:p w14:paraId="1CCE3F5F">
      <w:pPr>
        <w:pStyle w:val="54"/>
        <w:spacing w:before="24" w:after="24"/>
      </w:pPr>
      <w:r>
        <w:t>（2）按上述文件要求，德钦县叶枝镇为非地震重点监视防御区，不考虑按设防地震进行设计。德钦新县城中学建设项目（二期）采用消能减震技术，德钦新县城养老院建设项目（一期）采用隔震技术，从而达到不同等级的抗震设防目标。</w:t>
      </w:r>
    </w:p>
    <w:p w14:paraId="2F61F096">
      <w:pPr>
        <w:pStyle w:val="66"/>
        <w:rPr>
          <w:rFonts w:cs="Times New Roman"/>
        </w:rPr>
      </w:pPr>
      <w:r>
        <w:rPr>
          <w:rFonts w:cs="Times New Roman"/>
        </w:rPr>
        <w:t>4.3 其它要求</w:t>
      </w:r>
    </w:p>
    <w:p w14:paraId="5B57727F">
      <w:pPr>
        <w:pStyle w:val="54"/>
        <w:spacing w:before="24" w:after="24"/>
      </w:pPr>
      <w:r>
        <w:t>4.3.1图纸深度应满足《建筑工程设计文件编制深度规定》。</w:t>
      </w:r>
    </w:p>
    <w:p w14:paraId="44D06155">
      <w:pPr>
        <w:pStyle w:val="54"/>
        <w:spacing w:before="24" w:after="24"/>
      </w:pPr>
      <w:r>
        <w:t>4.3.2结构施工图应内容齐全、表达清晰、方便施工，应包含以下内容：结构设计说明（应包含危重大工程设计说明），地基处理图、基础平面图、基础详图、沉降观测点布置图、结构平面布置图（模板图及墙、柱定位图）、结构构件（梁、板、柱、墙）配筋图、节点构造详图、楼梯结构图、预埋件详图等。</w:t>
      </w:r>
    </w:p>
    <w:p w14:paraId="0932C2A3">
      <w:pPr>
        <w:pStyle w:val="54"/>
        <w:spacing w:before="24" w:after="24"/>
      </w:pPr>
      <w:r>
        <w:t>4.3.3楼梯结构图中必须画出楼梯各层平面和剖面，梯梁、梯柱及有关框架梁必须在楼梯平面和剖面中表示出来。</w:t>
      </w:r>
    </w:p>
    <w:p w14:paraId="7B61A900">
      <w:pPr>
        <w:pStyle w:val="54"/>
        <w:spacing w:before="24" w:after="24"/>
      </w:pPr>
      <w:r>
        <w:t>4.3.4所有大于300mm的留洞（含集水井、截水沟、烟道等）均应在结构图上绘出，标注水平和竖向尺寸。</w:t>
      </w:r>
    </w:p>
    <w:p w14:paraId="6C9D5145">
      <w:pPr>
        <w:pStyle w:val="54"/>
        <w:spacing w:before="24" w:after="24"/>
      </w:pPr>
      <w:r>
        <w:t>4.3.5特种结构和构筑物：如水池、水箱、烟囱、烟道、管架、地沟、挡土墙、筒仓、大型或特殊要求的设备基础、工作平台等，均宜单独绘图；应绘出平面、特征部位剖面及配筋，注明定位关系、尺寸、标高、材料品种和规格、型号、性能。</w:t>
      </w:r>
    </w:p>
    <w:p w14:paraId="6A43B009">
      <w:pPr>
        <w:pStyle w:val="54"/>
        <w:spacing w:before="24" w:after="24"/>
      </w:pPr>
      <w:r>
        <w:t>4.3.6对于结构长度已超出了规范不设缝长度限值的结构单元，设计中应采取相应措施预防和减轻结构温度收缩带来的不利影响。</w:t>
      </w:r>
    </w:p>
    <w:p w14:paraId="41C53FBB">
      <w:pPr>
        <w:pStyle w:val="54"/>
        <w:spacing w:before="24" w:after="24"/>
      </w:pPr>
      <w:r>
        <w:t>1.通过留设后浇带，把结构分成若干块，以减少施工过程中的收缩应力。</w:t>
      </w:r>
    </w:p>
    <w:p w14:paraId="472AC971">
      <w:pPr>
        <w:pStyle w:val="54"/>
        <w:spacing w:before="24" w:after="24"/>
      </w:pPr>
      <w:r>
        <w:t>2.楼板设置双向通长钢筋网，适当增大楼板配筋量，加强水平构件的抗温度变化及抗收缩能力。</w:t>
      </w:r>
    </w:p>
    <w:p w14:paraId="4F7ECC17">
      <w:pPr>
        <w:pStyle w:val="54"/>
        <w:spacing w:before="24" w:after="24"/>
      </w:pPr>
      <w:r>
        <w:t>3.适当加大梁配筋，梁钢筋在构件截面周边均匀分布，通长配置。</w:t>
      </w:r>
    </w:p>
    <w:p w14:paraId="4E68789A">
      <w:pPr>
        <w:pStyle w:val="54"/>
        <w:spacing w:before="24" w:after="24"/>
      </w:pPr>
      <w:r>
        <w:t>4.混凝土中通过掺加带有微膨胀性能的添加剂，以补偿结构的部分收缩。</w:t>
      </w:r>
    </w:p>
    <w:p w14:paraId="18E79B84">
      <w:pPr>
        <w:pStyle w:val="54"/>
        <w:spacing w:before="24" w:after="24"/>
      </w:pPr>
      <w:r>
        <w:t>5.应进行温度应力分析，并根据温度应力分析结果对相应的梁、板等构件进行适当加强。</w:t>
      </w:r>
    </w:p>
    <w:p w14:paraId="0845DC31">
      <w:pPr>
        <w:pStyle w:val="54"/>
        <w:spacing w:before="24" w:after="24"/>
      </w:pPr>
      <w:r>
        <w:t>6.严格控制商品混凝土中的水泥含量及添加剂，合理控制粉煤灰掺量，减少混凝土硬化时的水化热；加强施工组织，切实做好养护工作等。</w:t>
      </w:r>
    </w:p>
    <w:p w14:paraId="7B1CF0FB">
      <w:pPr>
        <w:pStyle w:val="54"/>
        <w:spacing w:before="24" w:after="24"/>
      </w:pPr>
      <w:r>
        <w:t>4.3.7 基坑支护设计</w:t>
      </w:r>
    </w:p>
    <w:p w14:paraId="2055BB55">
      <w:pPr>
        <w:pStyle w:val="54"/>
        <w:spacing w:before="24" w:after="24"/>
      </w:pPr>
      <w:r>
        <w:t>1.基坑设计说明</w:t>
      </w:r>
    </w:p>
    <w:p w14:paraId="14005FF5">
      <w:pPr>
        <w:pStyle w:val="54"/>
        <w:spacing w:before="24" w:after="24"/>
      </w:pPr>
      <w:r>
        <w:t>（1）概况、各技术参数取值、依据、主要材料等</w:t>
      </w:r>
    </w:p>
    <w:p w14:paraId="6D6DF6B2">
      <w:pPr>
        <w:pStyle w:val="54"/>
        <w:spacing w:before="24" w:after="24"/>
      </w:pPr>
      <w:r>
        <w:t>（2）地下水控制设计、基坑施工要点及应急抢险预案、基坑监测要求、支护结构质量检测要求等。</w:t>
      </w:r>
    </w:p>
    <w:p w14:paraId="2E9DE973">
      <w:pPr>
        <w:pStyle w:val="54"/>
        <w:spacing w:before="24" w:after="24"/>
      </w:pPr>
      <w:r>
        <w:t>2.基坑设计施工图</w:t>
      </w:r>
    </w:p>
    <w:p w14:paraId="7B11B212">
      <w:pPr>
        <w:pStyle w:val="54"/>
        <w:spacing w:before="24" w:after="24"/>
      </w:pPr>
      <w:r>
        <w:t>基坑周边环境图、基坑周边地层展开图、基坑平面布置图、基坑支护结构剖面图和立面图、支撑平面布置图、构件详图、基坑监测布置图、基坑降水（排水）平面图、其他图纸（预埋件、栈桥结构图、土方开挖图、施工工序流程图）。</w:t>
      </w:r>
    </w:p>
    <w:p w14:paraId="70E95FD0">
      <w:pPr>
        <w:pStyle w:val="54"/>
        <w:spacing w:before="24" w:after="24"/>
      </w:pPr>
      <w:r>
        <w:t>3.计算书</w:t>
      </w:r>
    </w:p>
    <w:p w14:paraId="440D9165">
      <w:pPr>
        <w:pStyle w:val="54"/>
        <w:spacing w:before="24" w:after="24"/>
      </w:pPr>
      <w:r>
        <w:t>主要计算内容、计算软件、各技术参数及其取值依据、计算结果等。</w:t>
      </w:r>
    </w:p>
    <w:p w14:paraId="578F99A5">
      <w:pPr>
        <w:pStyle w:val="64"/>
        <w:spacing w:before="24" w:after="24"/>
        <w:rPr>
          <w:rFonts w:cs="Times New Roman"/>
        </w:rPr>
      </w:pPr>
      <w:bookmarkStart w:id="100" w:name="_Toc221894133"/>
      <w:r>
        <w:rPr>
          <w:rFonts w:cs="Times New Roman"/>
        </w:rPr>
        <w:t>5、给排水专业</w:t>
      </w:r>
      <w:bookmarkEnd w:id="100"/>
    </w:p>
    <w:p w14:paraId="3B06337F">
      <w:pPr>
        <w:spacing w:before="24" w:after="24"/>
        <w:ind w:firstLine="562" w:firstLineChars="200"/>
        <w:outlineLvl w:val="3"/>
        <w:rPr>
          <w:rFonts w:ascii="Times New Roman" w:hAnsi="Times New Roman" w:cs="Times New Roman"/>
          <w:b/>
        </w:rPr>
      </w:pPr>
      <w:r>
        <w:rPr>
          <w:rFonts w:ascii="Times New Roman" w:hAnsi="Times New Roman" w:cs="Times New Roman"/>
          <w:b/>
        </w:rPr>
        <w:t>5.1 总则</w:t>
      </w:r>
    </w:p>
    <w:p w14:paraId="77F25FD5">
      <w:pPr>
        <w:spacing w:before="24" w:after="24"/>
        <w:ind w:firstLine="560" w:firstLineChars="200"/>
        <w:rPr>
          <w:rFonts w:ascii="Times New Roman" w:hAnsi="Times New Roman" w:cs="Times New Roman"/>
        </w:rPr>
      </w:pPr>
      <w:r>
        <w:rPr>
          <w:rFonts w:ascii="Times New Roman" w:hAnsi="Times New Roman" w:cs="Times New Roman"/>
        </w:rPr>
        <w:t>5.1.1图纸深度应满足国家规定的《建筑工程设计文件编制深度规定》（2016年版）及发包人要求。</w:t>
      </w:r>
    </w:p>
    <w:p w14:paraId="28536046">
      <w:pPr>
        <w:spacing w:before="24" w:after="24"/>
        <w:ind w:firstLine="560" w:firstLineChars="200"/>
        <w:rPr>
          <w:rFonts w:ascii="Times New Roman" w:hAnsi="Times New Roman" w:cs="Times New Roman"/>
        </w:rPr>
      </w:pPr>
      <w:r>
        <w:rPr>
          <w:rFonts w:ascii="Times New Roman" w:hAnsi="Times New Roman" w:cs="Times New Roman"/>
        </w:rPr>
        <w:t>5.1.2设计前应充分了解项目所在地的给水、排水、再生水等市政条件及相关主管部门的要求。</w:t>
      </w:r>
    </w:p>
    <w:p w14:paraId="21A11481">
      <w:pPr>
        <w:spacing w:before="24" w:after="24"/>
        <w:ind w:firstLine="560" w:firstLineChars="200"/>
        <w:rPr>
          <w:rFonts w:ascii="Times New Roman" w:hAnsi="Times New Roman" w:cs="Times New Roman"/>
        </w:rPr>
      </w:pPr>
      <w:r>
        <w:rPr>
          <w:rFonts w:ascii="Times New Roman" w:hAnsi="Times New Roman" w:cs="Times New Roman"/>
        </w:rPr>
        <w:t>5.1.3给排水系统设计在满足使用要求的同时，还应为施工安装、操作管理、维修检测以及安全防护等提供便利条件。</w:t>
      </w:r>
    </w:p>
    <w:p w14:paraId="3B9C5FBF">
      <w:pPr>
        <w:spacing w:before="24" w:after="24"/>
        <w:ind w:firstLine="560" w:firstLineChars="200"/>
        <w:rPr>
          <w:rFonts w:ascii="Times New Roman" w:hAnsi="Times New Roman" w:cs="Times New Roman"/>
        </w:rPr>
      </w:pPr>
      <w:r>
        <w:rPr>
          <w:rFonts w:ascii="Times New Roman" w:hAnsi="Times New Roman" w:cs="Times New Roman"/>
        </w:rPr>
        <w:t>5.1.4给排水设备选型遵循经济合理、使用安全、运维便利的原则，采用低噪声、低能耗、低污染、高效率、高可靠性的成熟设备。</w:t>
      </w:r>
    </w:p>
    <w:p w14:paraId="7911F5C7">
      <w:pPr>
        <w:spacing w:before="24" w:after="24"/>
        <w:ind w:firstLine="562" w:firstLineChars="200"/>
        <w:outlineLvl w:val="3"/>
        <w:rPr>
          <w:rFonts w:ascii="Times New Roman" w:hAnsi="Times New Roman" w:cs="Times New Roman"/>
          <w:b/>
        </w:rPr>
      </w:pPr>
      <w:r>
        <w:rPr>
          <w:rFonts w:ascii="Times New Roman" w:hAnsi="Times New Roman" w:cs="Times New Roman"/>
          <w:b/>
        </w:rPr>
        <w:t>5.2 总图技术要求</w:t>
      </w:r>
    </w:p>
    <w:p w14:paraId="410ED9DD">
      <w:pPr>
        <w:spacing w:before="24" w:after="24"/>
        <w:ind w:firstLine="562" w:firstLineChars="200"/>
        <w:outlineLvl w:val="4"/>
        <w:rPr>
          <w:rFonts w:ascii="Times New Roman" w:hAnsi="Times New Roman" w:cs="Times New Roman"/>
          <w:b/>
        </w:rPr>
      </w:pPr>
      <w:r>
        <w:rPr>
          <w:rFonts w:ascii="Times New Roman" w:hAnsi="Times New Roman" w:cs="Times New Roman"/>
          <w:b/>
        </w:rPr>
        <w:t>5.2.1室外给水系统</w:t>
      </w:r>
    </w:p>
    <w:p w14:paraId="71C8D5D0">
      <w:pPr>
        <w:spacing w:before="24" w:after="24"/>
        <w:ind w:firstLine="560" w:firstLineChars="200"/>
        <w:rPr>
          <w:rFonts w:ascii="Times New Roman" w:hAnsi="Times New Roman" w:cs="Times New Roman"/>
        </w:rPr>
      </w:pPr>
      <w:r>
        <w:rPr>
          <w:rFonts w:ascii="Times New Roman" w:hAnsi="Times New Roman" w:cs="Times New Roman"/>
        </w:rPr>
        <w:t>1.水源：市政自来水。</w:t>
      </w:r>
    </w:p>
    <w:p w14:paraId="40BF874C">
      <w:pPr>
        <w:spacing w:before="24" w:after="24"/>
        <w:ind w:firstLine="560" w:firstLineChars="200"/>
        <w:rPr>
          <w:rFonts w:ascii="Times New Roman" w:hAnsi="Times New Roman" w:cs="Times New Roman"/>
        </w:rPr>
      </w:pPr>
      <w:r>
        <w:rPr>
          <w:rFonts w:ascii="Times New Roman" w:hAnsi="Times New Roman" w:cs="Times New Roman"/>
        </w:rPr>
        <w:t>2.供水方式：优先采用市政给水管网直接供水，压力无法满足用水要求时采用变频加压供水方式。</w:t>
      </w:r>
    </w:p>
    <w:p w14:paraId="0EB63678">
      <w:pPr>
        <w:spacing w:before="24" w:after="24"/>
        <w:ind w:firstLine="560" w:firstLineChars="200"/>
        <w:rPr>
          <w:rFonts w:ascii="Times New Roman" w:hAnsi="Times New Roman" w:cs="Times New Roman"/>
        </w:rPr>
      </w:pPr>
      <w:r>
        <w:rPr>
          <w:rFonts w:ascii="Times New Roman" w:hAnsi="Times New Roman" w:cs="Times New Roman"/>
        </w:rPr>
        <w:t>3.用水量标准取值：</w:t>
      </w:r>
    </w:p>
    <w:p w14:paraId="7F54547C">
      <w:pPr>
        <w:spacing w:before="24" w:after="24" w:line="288" w:lineRule="auto"/>
        <w:jc w:val="center"/>
        <w:rPr>
          <w:rFonts w:ascii="Times New Roman" w:hAnsi="Times New Roman" w:cs="Times New Roman"/>
        </w:rPr>
      </w:pPr>
      <w:r>
        <w:rPr>
          <w:rFonts w:ascii="Times New Roman" w:hAnsi="Times New Roman" w:cs="Times New Roman"/>
        </w:rPr>
        <w:t>项目用水量标准取值表</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73"/>
        <w:gridCol w:w="1814"/>
        <w:gridCol w:w="2004"/>
        <w:gridCol w:w="1065"/>
        <w:gridCol w:w="1309"/>
      </w:tblGrid>
      <w:tr w14:paraId="7D474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287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13A1068">
            <w:pPr>
              <w:pStyle w:val="71"/>
              <w:spacing w:before="24" w:after="24"/>
            </w:pPr>
            <w:r>
              <w:rPr>
                <w:rFonts w:hint="eastAsia"/>
              </w:rPr>
              <w:t>建筑类型</w:t>
            </w:r>
          </w:p>
        </w:tc>
        <w:tc>
          <w:tcPr>
            <w:tcW w:w="181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B944D43">
            <w:pPr>
              <w:pStyle w:val="71"/>
              <w:spacing w:before="24" w:after="24"/>
            </w:pPr>
            <w:r>
              <w:rPr>
                <w:rFonts w:hint="eastAsia"/>
              </w:rPr>
              <w:t>最高日用</w:t>
            </w:r>
          </w:p>
          <w:p w14:paraId="5364B0E5">
            <w:pPr>
              <w:pStyle w:val="71"/>
              <w:spacing w:before="24" w:after="24"/>
            </w:pPr>
            <w:r>
              <w:rPr>
                <w:rFonts w:hint="eastAsia"/>
              </w:rPr>
              <w:t>水量标准</w:t>
            </w:r>
          </w:p>
        </w:tc>
        <w:tc>
          <w:tcPr>
            <w:tcW w:w="200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8E32BD0">
            <w:pPr>
              <w:pStyle w:val="71"/>
              <w:spacing w:before="24" w:after="24"/>
            </w:pPr>
            <w:r>
              <w:rPr>
                <w:rFonts w:hint="eastAsia"/>
              </w:rPr>
              <w:t>平均日用</w:t>
            </w:r>
          </w:p>
          <w:p w14:paraId="1E14B69D">
            <w:pPr>
              <w:pStyle w:val="71"/>
              <w:spacing w:before="24" w:after="24"/>
            </w:pPr>
            <w:r>
              <w:rPr>
                <w:rFonts w:hint="eastAsia"/>
              </w:rPr>
              <w:t>水量标准</w:t>
            </w:r>
          </w:p>
        </w:tc>
        <w:tc>
          <w:tcPr>
            <w:tcW w:w="106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BAE55AB">
            <w:pPr>
              <w:pStyle w:val="71"/>
              <w:spacing w:before="24" w:after="24"/>
            </w:pPr>
            <w:r>
              <w:rPr>
                <w:rFonts w:hint="eastAsia"/>
              </w:rPr>
              <w:t>变化</w:t>
            </w:r>
          </w:p>
          <w:p w14:paraId="0A19302E">
            <w:pPr>
              <w:pStyle w:val="71"/>
              <w:spacing w:before="24" w:after="24"/>
            </w:pPr>
            <w:r>
              <w:rPr>
                <w:rFonts w:hint="eastAsia"/>
              </w:rPr>
              <w:t>系数</w:t>
            </w:r>
          </w:p>
        </w:tc>
        <w:tc>
          <w:tcPr>
            <w:tcW w:w="130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35A0AE3">
            <w:pPr>
              <w:pStyle w:val="71"/>
              <w:spacing w:before="24" w:after="24"/>
            </w:pPr>
            <w:r>
              <w:rPr>
                <w:rFonts w:hint="eastAsia"/>
              </w:rPr>
              <w:t>用水</w:t>
            </w:r>
          </w:p>
          <w:p w14:paraId="30606674">
            <w:pPr>
              <w:pStyle w:val="71"/>
              <w:spacing w:before="24" w:after="24"/>
            </w:pPr>
            <w:r>
              <w:rPr>
                <w:rFonts w:hint="eastAsia"/>
              </w:rPr>
              <w:t>时间</w:t>
            </w:r>
          </w:p>
        </w:tc>
      </w:tr>
      <w:tr w14:paraId="1652B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287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3A02BD7">
            <w:pPr>
              <w:pStyle w:val="71"/>
              <w:spacing w:before="24" w:after="24"/>
            </w:pPr>
            <w:r>
              <w:rPr>
                <w:rFonts w:hint="eastAsia"/>
              </w:rPr>
              <w:t>商业</w:t>
            </w:r>
          </w:p>
        </w:tc>
        <w:tc>
          <w:tcPr>
            <w:tcW w:w="181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2BE972C">
            <w:pPr>
              <w:pStyle w:val="71"/>
              <w:spacing w:before="24" w:after="24"/>
            </w:pPr>
            <w:r>
              <w:rPr>
                <w:rFonts w:hint="eastAsia"/>
              </w:rPr>
              <w:t>8L/（人.㎡）</w:t>
            </w:r>
          </w:p>
        </w:tc>
        <w:tc>
          <w:tcPr>
            <w:tcW w:w="200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4BA3214">
            <w:pPr>
              <w:pStyle w:val="71"/>
              <w:spacing w:before="24" w:after="24"/>
            </w:pPr>
            <w:r>
              <w:rPr>
                <w:rFonts w:hint="eastAsia"/>
              </w:rPr>
              <w:t>6L/（人.㎡）</w:t>
            </w:r>
          </w:p>
        </w:tc>
        <w:tc>
          <w:tcPr>
            <w:tcW w:w="106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61FDA7E">
            <w:pPr>
              <w:pStyle w:val="71"/>
              <w:spacing w:before="24" w:after="24"/>
            </w:pPr>
            <w:r>
              <w:rPr>
                <w:rFonts w:hint="eastAsia"/>
              </w:rPr>
              <w:t>1.2</w:t>
            </w:r>
          </w:p>
        </w:tc>
        <w:tc>
          <w:tcPr>
            <w:tcW w:w="130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F0DFA93">
            <w:pPr>
              <w:pStyle w:val="71"/>
              <w:spacing w:before="24" w:after="24"/>
            </w:pPr>
            <w:r>
              <w:rPr>
                <w:rFonts w:hint="eastAsia"/>
              </w:rPr>
              <w:t>12h</w:t>
            </w:r>
          </w:p>
        </w:tc>
      </w:tr>
      <w:tr w14:paraId="02CC4A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287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EE99539">
            <w:pPr>
              <w:pStyle w:val="71"/>
              <w:spacing w:before="24" w:after="24"/>
            </w:pPr>
            <w:r>
              <w:rPr>
                <w:rFonts w:hint="eastAsia"/>
              </w:rPr>
              <w:t>宿舍</w:t>
            </w:r>
          </w:p>
        </w:tc>
        <w:tc>
          <w:tcPr>
            <w:tcW w:w="181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20EBABE">
            <w:pPr>
              <w:pStyle w:val="71"/>
              <w:spacing w:before="24" w:after="24"/>
            </w:pPr>
            <w:r>
              <w:rPr>
                <w:rFonts w:hint="eastAsia"/>
              </w:rPr>
              <w:t>150L/（人.日）</w:t>
            </w:r>
          </w:p>
        </w:tc>
        <w:tc>
          <w:tcPr>
            <w:tcW w:w="200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A1F01C8">
            <w:pPr>
              <w:pStyle w:val="71"/>
              <w:spacing w:before="24" w:after="24"/>
            </w:pPr>
            <w:r>
              <w:rPr>
                <w:rFonts w:hint="eastAsia"/>
              </w:rPr>
              <w:t>130L/（人.日）</w:t>
            </w:r>
          </w:p>
        </w:tc>
        <w:tc>
          <w:tcPr>
            <w:tcW w:w="106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294520A">
            <w:pPr>
              <w:pStyle w:val="71"/>
              <w:spacing w:before="24" w:after="24"/>
            </w:pPr>
            <w:r>
              <w:rPr>
                <w:rFonts w:hint="eastAsia"/>
              </w:rPr>
              <w:t>3.0</w:t>
            </w:r>
          </w:p>
        </w:tc>
        <w:tc>
          <w:tcPr>
            <w:tcW w:w="130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F1C1130">
            <w:pPr>
              <w:pStyle w:val="71"/>
              <w:spacing w:before="24" w:after="24"/>
            </w:pPr>
            <w:r>
              <w:rPr>
                <w:rFonts w:hint="eastAsia"/>
              </w:rPr>
              <w:t>24h</w:t>
            </w:r>
          </w:p>
        </w:tc>
      </w:tr>
      <w:tr w14:paraId="10911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287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246CE8E">
            <w:pPr>
              <w:pStyle w:val="71"/>
              <w:spacing w:before="24" w:after="24"/>
            </w:pPr>
            <w:r>
              <w:t>养老</w:t>
            </w:r>
            <w:r>
              <w:rPr>
                <w:rFonts w:hint="eastAsia"/>
              </w:rPr>
              <w:t>院</w:t>
            </w:r>
          </w:p>
        </w:tc>
        <w:tc>
          <w:tcPr>
            <w:tcW w:w="181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16F037E">
            <w:pPr>
              <w:pStyle w:val="71"/>
              <w:spacing w:before="24" w:after="24"/>
            </w:pPr>
            <w:r>
              <w:t>1</w:t>
            </w:r>
            <w:r>
              <w:rPr>
                <w:rFonts w:hint="eastAsia"/>
              </w:rPr>
              <w:t>00L/（床.日）</w:t>
            </w:r>
          </w:p>
        </w:tc>
        <w:tc>
          <w:tcPr>
            <w:tcW w:w="200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AE5C487">
            <w:pPr>
              <w:pStyle w:val="71"/>
              <w:spacing w:before="24" w:after="24"/>
            </w:pPr>
            <w:r>
              <w:t>9</w:t>
            </w:r>
            <w:r>
              <w:rPr>
                <w:rFonts w:hint="eastAsia"/>
              </w:rPr>
              <w:t>0L/（床.日）</w:t>
            </w:r>
          </w:p>
        </w:tc>
        <w:tc>
          <w:tcPr>
            <w:tcW w:w="106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BB13B06">
            <w:pPr>
              <w:pStyle w:val="71"/>
              <w:spacing w:before="24" w:after="24"/>
            </w:pPr>
            <w:r>
              <w:rPr>
                <w:rFonts w:hint="eastAsia"/>
              </w:rPr>
              <w:t>2.</w:t>
            </w:r>
            <w:r>
              <w:t>5</w:t>
            </w:r>
          </w:p>
        </w:tc>
        <w:tc>
          <w:tcPr>
            <w:tcW w:w="130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9320FB2">
            <w:pPr>
              <w:pStyle w:val="71"/>
              <w:spacing w:before="24" w:after="24"/>
            </w:pPr>
            <w:r>
              <w:rPr>
                <w:rFonts w:hint="eastAsia"/>
              </w:rPr>
              <w:t>24h</w:t>
            </w:r>
          </w:p>
        </w:tc>
      </w:tr>
      <w:tr w14:paraId="07783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287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9B44281">
            <w:pPr>
              <w:pStyle w:val="71"/>
              <w:spacing w:before="24" w:after="24"/>
            </w:pPr>
            <w:r>
              <w:rPr>
                <w:rFonts w:hint="eastAsia"/>
              </w:rPr>
              <w:t>食堂</w:t>
            </w:r>
          </w:p>
        </w:tc>
        <w:tc>
          <w:tcPr>
            <w:tcW w:w="181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36819F2">
            <w:pPr>
              <w:pStyle w:val="71"/>
              <w:spacing w:before="24" w:after="24"/>
            </w:pPr>
            <w:r>
              <w:rPr>
                <w:rFonts w:hint="eastAsia"/>
              </w:rPr>
              <w:t>20L/（人.次）</w:t>
            </w:r>
          </w:p>
        </w:tc>
        <w:tc>
          <w:tcPr>
            <w:tcW w:w="200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BB80C8A">
            <w:pPr>
              <w:pStyle w:val="71"/>
              <w:spacing w:before="24" w:after="24"/>
            </w:pPr>
            <w:r>
              <w:rPr>
                <w:rFonts w:hint="eastAsia"/>
              </w:rPr>
              <w:t>15L/（人.次）</w:t>
            </w:r>
          </w:p>
        </w:tc>
        <w:tc>
          <w:tcPr>
            <w:tcW w:w="106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EC5E9BD">
            <w:pPr>
              <w:pStyle w:val="71"/>
              <w:spacing w:before="24" w:after="24"/>
            </w:pPr>
            <w:r>
              <w:rPr>
                <w:rFonts w:hint="eastAsia"/>
              </w:rPr>
              <w:t>1.5</w:t>
            </w:r>
          </w:p>
        </w:tc>
        <w:tc>
          <w:tcPr>
            <w:tcW w:w="130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9A4EF2C">
            <w:pPr>
              <w:pStyle w:val="71"/>
              <w:spacing w:before="24" w:after="24"/>
            </w:pPr>
            <w:r>
              <w:rPr>
                <w:rFonts w:hint="eastAsia"/>
              </w:rPr>
              <w:t>12h</w:t>
            </w:r>
          </w:p>
        </w:tc>
      </w:tr>
      <w:tr w14:paraId="48701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287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A5736F3">
            <w:pPr>
              <w:pStyle w:val="71"/>
              <w:spacing w:before="24" w:after="24"/>
            </w:pPr>
            <w:r>
              <w:rPr>
                <w:rFonts w:hint="eastAsia"/>
              </w:rPr>
              <w:t>办公</w:t>
            </w:r>
          </w:p>
        </w:tc>
        <w:tc>
          <w:tcPr>
            <w:tcW w:w="181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EE3CD49">
            <w:pPr>
              <w:pStyle w:val="71"/>
              <w:spacing w:before="24" w:after="24"/>
            </w:pPr>
            <w:r>
              <w:rPr>
                <w:rFonts w:hint="eastAsia"/>
              </w:rPr>
              <w:t>30L/（人.班）</w:t>
            </w:r>
          </w:p>
        </w:tc>
        <w:tc>
          <w:tcPr>
            <w:tcW w:w="200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4474E86">
            <w:pPr>
              <w:pStyle w:val="71"/>
              <w:spacing w:before="24" w:after="24"/>
            </w:pPr>
            <w:r>
              <w:rPr>
                <w:rFonts w:hint="eastAsia"/>
              </w:rPr>
              <w:t>25L/（人.班）</w:t>
            </w:r>
          </w:p>
        </w:tc>
        <w:tc>
          <w:tcPr>
            <w:tcW w:w="106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E9C3ED3">
            <w:pPr>
              <w:pStyle w:val="71"/>
              <w:spacing w:before="24" w:after="24"/>
            </w:pPr>
            <w:r>
              <w:rPr>
                <w:rFonts w:hint="eastAsia"/>
              </w:rPr>
              <w:t>1.5</w:t>
            </w:r>
          </w:p>
        </w:tc>
        <w:tc>
          <w:tcPr>
            <w:tcW w:w="130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B22FDD1">
            <w:pPr>
              <w:pStyle w:val="71"/>
              <w:spacing w:before="24" w:after="24"/>
            </w:pPr>
            <w:r>
              <w:rPr>
                <w:rFonts w:hint="eastAsia"/>
              </w:rPr>
              <w:t>8h</w:t>
            </w:r>
          </w:p>
        </w:tc>
      </w:tr>
      <w:tr w14:paraId="49CAD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287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FB9AACA">
            <w:pPr>
              <w:pStyle w:val="71"/>
              <w:spacing w:before="24" w:after="24"/>
            </w:pPr>
            <w:r>
              <w:rPr>
                <w:rFonts w:hint="eastAsia"/>
              </w:rPr>
              <w:t>教学楼</w:t>
            </w:r>
          </w:p>
        </w:tc>
        <w:tc>
          <w:tcPr>
            <w:tcW w:w="181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0D9D23C">
            <w:pPr>
              <w:pStyle w:val="71"/>
              <w:spacing w:before="24" w:after="24"/>
            </w:pPr>
            <w:r>
              <w:rPr>
                <w:rFonts w:hint="eastAsia"/>
              </w:rPr>
              <w:t>40L/（学生.日）</w:t>
            </w:r>
          </w:p>
        </w:tc>
        <w:tc>
          <w:tcPr>
            <w:tcW w:w="2004"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F63333F">
            <w:pPr>
              <w:pStyle w:val="71"/>
              <w:spacing w:before="24" w:after="24"/>
            </w:pPr>
            <w:r>
              <w:rPr>
                <w:rFonts w:hint="eastAsia"/>
              </w:rPr>
              <w:t>35L/（学生.日）</w:t>
            </w:r>
          </w:p>
        </w:tc>
        <w:tc>
          <w:tcPr>
            <w:tcW w:w="1065"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BB1BD7F">
            <w:pPr>
              <w:pStyle w:val="71"/>
              <w:spacing w:before="24" w:after="24"/>
            </w:pPr>
            <w:r>
              <w:rPr>
                <w:rFonts w:hint="eastAsia"/>
              </w:rPr>
              <w:t>1.5</w:t>
            </w:r>
          </w:p>
        </w:tc>
        <w:tc>
          <w:tcPr>
            <w:tcW w:w="1309"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CBF8129">
            <w:pPr>
              <w:pStyle w:val="71"/>
              <w:spacing w:before="24" w:after="24"/>
            </w:pPr>
            <w:r>
              <w:rPr>
                <w:rFonts w:hint="eastAsia"/>
              </w:rPr>
              <w:t>8h</w:t>
            </w:r>
          </w:p>
        </w:tc>
      </w:tr>
    </w:tbl>
    <w:p w14:paraId="06510D7D">
      <w:pPr>
        <w:spacing w:before="24" w:after="24"/>
        <w:ind w:firstLine="560" w:firstLineChars="200"/>
        <w:rPr>
          <w:rFonts w:ascii="Times New Roman" w:hAnsi="Times New Roman" w:cs="Times New Roman"/>
        </w:rPr>
      </w:pPr>
      <w:r>
        <w:rPr>
          <w:rFonts w:ascii="Times New Roman" w:hAnsi="Times New Roman" w:cs="Times New Roman"/>
        </w:rPr>
        <w:t>4.布置方式：各地块给水干管在各地块内呈环状布置，各单体支管直接从环状管网上接出。</w:t>
      </w:r>
    </w:p>
    <w:p w14:paraId="6E7F37EB">
      <w:pPr>
        <w:spacing w:before="24" w:after="24"/>
        <w:ind w:firstLine="560" w:firstLineChars="200"/>
        <w:rPr>
          <w:rFonts w:ascii="Times New Roman" w:hAnsi="Times New Roman" w:cs="Times New Roman"/>
        </w:rPr>
      </w:pPr>
      <w:r>
        <w:rPr>
          <w:rFonts w:ascii="Times New Roman" w:hAnsi="Times New Roman" w:cs="Times New Roman"/>
        </w:rPr>
        <w:t>5.管材要求：建议管径≥DN50时选用钢丝网骨架聚乙烯复合管，电熔连接，管径&lt;DN50时选用PE100高密度聚乙烯给水管，热熔连接。</w:t>
      </w:r>
    </w:p>
    <w:p w14:paraId="21912577">
      <w:pPr>
        <w:spacing w:before="24" w:after="24"/>
        <w:ind w:firstLine="560" w:firstLineChars="200"/>
        <w:rPr>
          <w:rFonts w:ascii="Times New Roman" w:hAnsi="Times New Roman" w:cs="Times New Roman"/>
        </w:rPr>
      </w:pPr>
      <w:r>
        <w:rPr>
          <w:rFonts w:ascii="Times New Roman" w:hAnsi="Times New Roman" w:cs="Times New Roman"/>
        </w:rPr>
        <w:t>6.覆土要求：冰冻地区覆土深度需在冰冻线以下0.15米，防止管道冻裂。非冰冻地区覆土深度需满足抗压要求，车行道下≥0.7米，人行道下＞0.5米。管道安装前需对管道基础进行处理，铺设砂垫层厚度在100~150毫米，确保管道均匀受力。</w:t>
      </w:r>
    </w:p>
    <w:p w14:paraId="5856F9B4">
      <w:pPr>
        <w:spacing w:before="24" w:after="24"/>
        <w:ind w:firstLine="560" w:firstLineChars="200"/>
        <w:rPr>
          <w:rFonts w:ascii="Times New Roman" w:hAnsi="Times New Roman" w:cs="Times New Roman"/>
        </w:rPr>
      </w:pPr>
      <w:r>
        <w:rPr>
          <w:rFonts w:ascii="Times New Roman" w:hAnsi="Times New Roman" w:cs="Times New Roman"/>
        </w:rPr>
        <w:t>7.给水管道埋置时，与排水管水平间距需≥1.5米，垂直交叉时给水管需设置在上方且净距需≥0.4米。</w:t>
      </w:r>
    </w:p>
    <w:p w14:paraId="1BB6666E">
      <w:pPr>
        <w:spacing w:before="24" w:after="24"/>
        <w:ind w:firstLine="560" w:firstLineChars="200"/>
        <w:rPr>
          <w:rFonts w:ascii="Times New Roman" w:hAnsi="Times New Roman" w:cs="Times New Roman"/>
        </w:rPr>
      </w:pPr>
      <w:r>
        <w:rPr>
          <w:rFonts w:ascii="Times New Roman" w:hAnsi="Times New Roman" w:cs="Times New Roman"/>
        </w:rPr>
        <w:t>8.自备水源的供水管道严禁与城镇给水管道直接连接。</w:t>
      </w:r>
    </w:p>
    <w:p w14:paraId="3F843CFD">
      <w:pPr>
        <w:spacing w:before="24" w:after="24"/>
        <w:ind w:firstLine="560" w:firstLineChars="200"/>
        <w:rPr>
          <w:rFonts w:ascii="Times New Roman" w:hAnsi="Times New Roman" w:cs="Times New Roman"/>
        </w:rPr>
      </w:pPr>
      <w:r>
        <w:rPr>
          <w:rFonts w:ascii="Times New Roman" w:hAnsi="Times New Roman" w:cs="Times New Roman"/>
        </w:rPr>
        <w:t>9.再生水、回用雨水等非生活饮用水管道严禁与生活饮用水管道连接。</w:t>
      </w:r>
    </w:p>
    <w:p w14:paraId="4F248422">
      <w:pPr>
        <w:spacing w:before="24" w:after="24"/>
        <w:ind w:firstLine="560" w:firstLineChars="200"/>
        <w:rPr>
          <w:rFonts w:ascii="Times New Roman" w:hAnsi="Times New Roman" w:cs="Times New Roman"/>
        </w:rPr>
      </w:pPr>
      <w:r>
        <w:rPr>
          <w:rFonts w:ascii="Times New Roman" w:hAnsi="Times New Roman" w:cs="Times New Roman"/>
        </w:rPr>
        <w:t>10.管道开挖：需严格按照标高拉线清底找平，机械开挖至沟槽底标高上20cm左右时，需采用人工清挖，不得破坏原状土。</w:t>
      </w:r>
    </w:p>
    <w:p w14:paraId="46EDFE78">
      <w:pPr>
        <w:spacing w:before="24" w:after="24"/>
        <w:ind w:firstLine="560" w:firstLineChars="200"/>
        <w:rPr>
          <w:rFonts w:ascii="Times New Roman" w:hAnsi="Times New Roman" w:cs="Times New Roman"/>
        </w:rPr>
      </w:pPr>
      <w:r>
        <w:rPr>
          <w:rFonts w:ascii="Times New Roman" w:hAnsi="Times New Roman" w:cs="Times New Roman"/>
        </w:rPr>
        <w:t>11.管道回填：采用厚度为100的细砂铺平夯实为垫层，管顶上部500mm以内，不得回填块石、碎石砖等；500mm以上不得集中回填块石、碎石。机械回填土时，回填用的机械不得在沟槽内行走。沟槽内的回填土应分层夯实。</w:t>
      </w:r>
    </w:p>
    <w:p w14:paraId="33480D92">
      <w:pPr>
        <w:spacing w:before="24" w:after="24"/>
        <w:ind w:firstLine="562" w:firstLineChars="200"/>
        <w:outlineLvl w:val="4"/>
        <w:rPr>
          <w:rFonts w:ascii="Times New Roman" w:hAnsi="Times New Roman" w:cs="Times New Roman"/>
          <w:b/>
        </w:rPr>
      </w:pPr>
      <w:r>
        <w:rPr>
          <w:rFonts w:ascii="Times New Roman" w:hAnsi="Times New Roman" w:cs="Times New Roman"/>
          <w:b/>
        </w:rPr>
        <w:t>5.2.2室外再生水系统</w:t>
      </w:r>
    </w:p>
    <w:p w14:paraId="6E3D7AEB">
      <w:pPr>
        <w:spacing w:before="24" w:after="24"/>
        <w:ind w:firstLine="560" w:firstLineChars="200"/>
        <w:rPr>
          <w:rFonts w:ascii="Times New Roman" w:hAnsi="Times New Roman" w:cs="Times New Roman"/>
        </w:rPr>
      </w:pPr>
      <w:r>
        <w:rPr>
          <w:rFonts w:ascii="Times New Roman" w:hAnsi="Times New Roman" w:cs="Times New Roman"/>
        </w:rPr>
        <w:t>1.水源：市政再生水。</w:t>
      </w:r>
    </w:p>
    <w:p w14:paraId="47A18441">
      <w:pPr>
        <w:spacing w:before="24" w:after="24"/>
        <w:ind w:firstLine="560" w:firstLineChars="200"/>
        <w:rPr>
          <w:rFonts w:ascii="Times New Roman" w:hAnsi="Times New Roman" w:cs="Times New Roman"/>
        </w:rPr>
      </w:pPr>
      <w:r>
        <w:rPr>
          <w:rFonts w:ascii="Times New Roman" w:hAnsi="Times New Roman" w:cs="Times New Roman"/>
        </w:rPr>
        <w:t>2.供水方式：充分利用市政再生水压力供水，压力无法满足用水要求时采用变频加压供水方式。</w:t>
      </w:r>
    </w:p>
    <w:p w14:paraId="1A5B8742">
      <w:pPr>
        <w:spacing w:before="24" w:after="24"/>
        <w:ind w:firstLine="560" w:firstLineChars="200"/>
        <w:rPr>
          <w:rFonts w:ascii="Times New Roman" w:hAnsi="Times New Roman" w:cs="Times New Roman"/>
        </w:rPr>
      </w:pPr>
      <w:r>
        <w:rPr>
          <w:rFonts w:ascii="Times New Roman" w:hAnsi="Times New Roman" w:cs="Times New Roman"/>
        </w:rPr>
        <w:t>3.再生水量预测</w:t>
      </w:r>
    </w:p>
    <w:p w14:paraId="4460BA0E">
      <w:pPr>
        <w:spacing w:before="24" w:after="24"/>
        <w:ind w:firstLine="560" w:firstLineChars="200"/>
        <w:rPr>
          <w:rFonts w:ascii="Times New Roman" w:hAnsi="Times New Roman" w:cs="Times New Roman"/>
        </w:rPr>
      </w:pPr>
      <w:r>
        <w:rPr>
          <w:rFonts w:ascii="Times New Roman" w:hAnsi="Times New Roman" w:cs="Times New Roman"/>
        </w:rPr>
        <w:t>（1）绿化用水</w:t>
      </w:r>
    </w:p>
    <w:p w14:paraId="4DCE8513">
      <w:pPr>
        <w:spacing w:before="24" w:after="24"/>
        <w:ind w:firstLine="560" w:firstLineChars="200"/>
        <w:rPr>
          <w:rFonts w:ascii="Times New Roman" w:hAnsi="Times New Roman" w:cs="Times New Roman"/>
        </w:rPr>
      </w:pPr>
      <w:r>
        <w:rPr>
          <w:rFonts w:ascii="Times New Roman" w:hAnsi="Times New Roman" w:cs="Times New Roman"/>
        </w:rPr>
        <w:t>根据《云南省用水定额》（2019年版经云水发〔2019〕122号发布），每平方米绿地每天需水量为3L/（㎡·次），按旱季每一天一次计算。</w:t>
      </w:r>
    </w:p>
    <w:p w14:paraId="06D40984">
      <w:pPr>
        <w:spacing w:before="24" w:after="24"/>
        <w:ind w:firstLine="560" w:firstLineChars="200"/>
        <w:rPr>
          <w:rFonts w:ascii="Times New Roman" w:hAnsi="Times New Roman" w:cs="Times New Roman"/>
        </w:rPr>
      </w:pPr>
      <w:r>
        <w:rPr>
          <w:rFonts w:ascii="Times New Roman" w:hAnsi="Times New Roman" w:cs="Times New Roman"/>
        </w:rPr>
        <w:t>（2）硬化地面浇洒用水</w:t>
      </w:r>
    </w:p>
    <w:p w14:paraId="0F7DB7BE">
      <w:pPr>
        <w:spacing w:before="24" w:after="24"/>
        <w:ind w:firstLine="560" w:firstLineChars="200"/>
        <w:rPr>
          <w:rFonts w:ascii="Times New Roman" w:hAnsi="Times New Roman" w:cs="Times New Roman"/>
        </w:rPr>
      </w:pPr>
      <w:r>
        <w:rPr>
          <w:rFonts w:ascii="Times New Roman" w:hAnsi="Times New Roman" w:cs="Times New Roman"/>
        </w:rPr>
        <w:t>根据《云南省用水定额》（2019年版经云水发〔2019〕122号发布），道路、亭廊等硬化地面环境浇洒用水定额为2L/（㎡·次），根据实际情况，按旱季每七天一次计算。</w:t>
      </w:r>
    </w:p>
    <w:p w14:paraId="64FE9CA2">
      <w:pPr>
        <w:spacing w:before="24" w:after="24"/>
        <w:ind w:firstLine="560" w:firstLineChars="200"/>
        <w:rPr>
          <w:rFonts w:ascii="Times New Roman" w:hAnsi="Times New Roman" w:cs="Times New Roman"/>
        </w:rPr>
      </w:pPr>
      <w:r>
        <w:rPr>
          <w:rFonts w:ascii="Times New Roman" w:hAnsi="Times New Roman" w:cs="Times New Roman"/>
        </w:rPr>
        <w:t>（3）公共卫生间</w:t>
      </w:r>
    </w:p>
    <w:p w14:paraId="16CBDDED">
      <w:pPr>
        <w:spacing w:before="24" w:after="24"/>
        <w:ind w:firstLine="560" w:firstLineChars="200"/>
        <w:rPr>
          <w:rFonts w:ascii="Times New Roman" w:hAnsi="Times New Roman" w:cs="Times New Roman"/>
        </w:rPr>
      </w:pPr>
      <w:r>
        <w:rPr>
          <w:rFonts w:ascii="Times New Roman" w:hAnsi="Times New Roman" w:cs="Times New Roman"/>
        </w:rPr>
        <w:t>根据《云南省用水定额》（2019年版经云水发〔2019〕122号发布）中大城市市内公厕用水定额，公共卫生间用水量按7L/（人·次）计算，根据项目情况，每天使用时间8小时。</w:t>
      </w:r>
    </w:p>
    <w:p w14:paraId="260D963B">
      <w:pPr>
        <w:spacing w:before="24" w:after="24"/>
        <w:ind w:firstLine="560" w:firstLineChars="200"/>
        <w:rPr>
          <w:rFonts w:ascii="Times New Roman" w:hAnsi="Times New Roman" w:cs="Times New Roman"/>
        </w:rPr>
      </w:pPr>
      <w:r>
        <w:rPr>
          <w:rFonts w:ascii="Times New Roman" w:hAnsi="Times New Roman" w:cs="Times New Roman"/>
        </w:rPr>
        <w:t>（4）停车场、设备用房清扫用水</w:t>
      </w:r>
    </w:p>
    <w:p w14:paraId="724913B2">
      <w:pPr>
        <w:spacing w:before="24" w:after="24"/>
        <w:ind w:firstLine="560" w:firstLineChars="200"/>
        <w:rPr>
          <w:rFonts w:ascii="Times New Roman" w:hAnsi="Times New Roman" w:cs="Times New Roman"/>
        </w:rPr>
      </w:pPr>
      <w:r>
        <w:rPr>
          <w:rFonts w:ascii="Times New Roman" w:hAnsi="Times New Roman" w:cs="Times New Roman"/>
        </w:rPr>
        <w:t>根据《民用建筑节水设计标准》（GB/50555-2010），停车库地面清扫水按每平米每次用水2~3L计，根据实际使用率，地下车库、设备用房冲洗主要以干清扫为主，此处取2L/（㎡·次），用水清洁采用每十五天浇洒一次计。</w:t>
      </w:r>
    </w:p>
    <w:p w14:paraId="788591B1">
      <w:pPr>
        <w:spacing w:before="24" w:after="24"/>
        <w:ind w:firstLine="560" w:firstLineChars="200"/>
        <w:rPr>
          <w:rFonts w:ascii="Times New Roman" w:hAnsi="Times New Roman" w:cs="Times New Roman"/>
        </w:rPr>
      </w:pPr>
      <w:r>
        <w:rPr>
          <w:rFonts w:ascii="Times New Roman" w:hAnsi="Times New Roman" w:cs="Times New Roman"/>
        </w:rPr>
        <w:t>4.再生水用水安全措施</w:t>
      </w:r>
    </w:p>
    <w:p w14:paraId="37332139">
      <w:pPr>
        <w:spacing w:before="24" w:after="24"/>
        <w:ind w:firstLine="560" w:firstLineChars="200"/>
        <w:rPr>
          <w:rFonts w:ascii="Times New Roman" w:hAnsi="Times New Roman" w:cs="Times New Roman"/>
        </w:rPr>
      </w:pPr>
      <w:r>
        <w:rPr>
          <w:rFonts w:ascii="Times New Roman" w:hAnsi="Times New Roman" w:cs="Times New Roman"/>
        </w:rPr>
        <w:t>（1）再生水管道严禁与生活饮用水给水管道连接。</w:t>
      </w:r>
    </w:p>
    <w:p w14:paraId="3F8E4D2A">
      <w:pPr>
        <w:spacing w:before="24" w:after="24"/>
        <w:ind w:firstLine="560" w:firstLineChars="200"/>
        <w:rPr>
          <w:rFonts w:ascii="Times New Roman" w:hAnsi="Times New Roman" w:cs="Times New Roman"/>
        </w:rPr>
      </w:pPr>
      <w:r>
        <w:rPr>
          <w:rFonts w:ascii="Times New Roman" w:hAnsi="Times New Roman" w:cs="Times New Roman"/>
        </w:rPr>
        <w:t>（2）再生水管网中所有组件和附属设施的显著位置应配置“再生水”耐久标识，再生水管道应涂浅绿色，埋地、暗敷再生水管道应设置连续耐久标志带。</w:t>
      </w:r>
    </w:p>
    <w:p w14:paraId="51332CB5">
      <w:pPr>
        <w:spacing w:before="24" w:after="24"/>
        <w:ind w:firstLine="560" w:firstLineChars="200"/>
        <w:rPr>
          <w:rFonts w:ascii="Times New Roman" w:hAnsi="Times New Roman" w:cs="Times New Roman"/>
        </w:rPr>
      </w:pPr>
      <w:r>
        <w:rPr>
          <w:rFonts w:ascii="Times New Roman" w:hAnsi="Times New Roman" w:cs="Times New Roman"/>
        </w:rPr>
        <w:t>（3）再生水取水接口处应配置“再生水禁止饮用”的耐久标识。</w:t>
      </w:r>
    </w:p>
    <w:p w14:paraId="3346FD89">
      <w:pPr>
        <w:spacing w:before="24" w:after="24"/>
        <w:ind w:firstLine="560" w:firstLineChars="200"/>
        <w:rPr>
          <w:rFonts w:ascii="Times New Roman" w:hAnsi="Times New Roman" w:cs="Times New Roman"/>
        </w:rPr>
      </w:pPr>
      <w:r>
        <w:rPr>
          <w:rFonts w:ascii="Times New Roman" w:hAnsi="Times New Roman" w:cs="Times New Roman"/>
        </w:rPr>
        <w:t>（4）绿化、道路浇洒用水口应设带锁装置。</w:t>
      </w:r>
    </w:p>
    <w:p w14:paraId="45794C2F">
      <w:pPr>
        <w:spacing w:before="24" w:after="24"/>
        <w:ind w:firstLine="560" w:firstLineChars="200"/>
        <w:rPr>
          <w:rFonts w:ascii="Times New Roman" w:hAnsi="Times New Roman" w:cs="Times New Roman"/>
        </w:rPr>
      </w:pPr>
      <w:r>
        <w:rPr>
          <w:rFonts w:ascii="Times New Roman" w:hAnsi="Times New Roman" w:cs="Times New Roman"/>
        </w:rPr>
        <w:t>（5）再生水贮存池内的自来水补水管应采取防污染措施，自来水补水 管应从贮存池上部或顶部接入，补水管口最低点高出溢流边缘的空气间隙不应小于150mm。</w:t>
      </w:r>
    </w:p>
    <w:p w14:paraId="596C71A0">
      <w:pPr>
        <w:spacing w:before="24" w:after="24"/>
        <w:ind w:firstLine="560" w:firstLineChars="200"/>
        <w:rPr>
          <w:rFonts w:ascii="Times New Roman" w:hAnsi="Times New Roman" w:cs="Times New Roman"/>
        </w:rPr>
      </w:pPr>
      <w:r>
        <w:rPr>
          <w:rFonts w:ascii="Times New Roman" w:hAnsi="Times New Roman" w:cs="Times New Roman"/>
        </w:rPr>
        <w:t>5.布置方式：项目区内再生水主管呈环状布置，各绿化用水点从环状管网上接出。</w:t>
      </w:r>
    </w:p>
    <w:p w14:paraId="304FFD10">
      <w:pPr>
        <w:spacing w:before="24" w:after="24"/>
        <w:ind w:firstLine="560" w:firstLineChars="200"/>
        <w:rPr>
          <w:rFonts w:ascii="Times New Roman" w:hAnsi="Times New Roman" w:cs="Times New Roman"/>
        </w:rPr>
      </w:pPr>
      <w:r>
        <w:rPr>
          <w:rFonts w:ascii="Times New Roman" w:hAnsi="Times New Roman" w:cs="Times New Roman"/>
        </w:rPr>
        <w:t>6.管材要求：建议管径≥DN50时选用钢丝网骨架聚乙烯复合管，电熔连接，管径&lt;DN50时选用PE100高密度聚乙烯给水管，热熔连接。</w:t>
      </w:r>
    </w:p>
    <w:p w14:paraId="07AC24E9">
      <w:pPr>
        <w:spacing w:before="24" w:after="24"/>
        <w:ind w:firstLine="560" w:firstLineChars="200"/>
        <w:rPr>
          <w:rFonts w:ascii="Times New Roman" w:hAnsi="Times New Roman" w:cs="Times New Roman"/>
        </w:rPr>
      </w:pPr>
      <w:r>
        <w:rPr>
          <w:rFonts w:ascii="Times New Roman" w:hAnsi="Times New Roman" w:cs="Times New Roman"/>
        </w:rPr>
        <w:t>7.覆土要求：冰冻地区覆土深度需在冰冻线以下0.15米，防止管道冻裂。非冰冻地区覆土深度需满足抗压要求，车行道下≥0.7米，人行道下≥0.5米。管道安装前需对管道基础进行处理，铺设砂垫层厚度在100~150毫米，确保管道均匀受力。</w:t>
      </w:r>
    </w:p>
    <w:p w14:paraId="7210A6CE">
      <w:pPr>
        <w:spacing w:before="24" w:after="24"/>
        <w:ind w:firstLine="560" w:firstLineChars="200"/>
        <w:rPr>
          <w:rFonts w:ascii="Times New Roman" w:hAnsi="Times New Roman" w:cs="Times New Roman"/>
        </w:rPr>
      </w:pPr>
      <w:r>
        <w:rPr>
          <w:rFonts w:ascii="Times New Roman" w:hAnsi="Times New Roman" w:cs="Times New Roman"/>
        </w:rPr>
        <w:t>8.管道开挖：需严格按照标高拉线清底找平，机械开挖至沟槽底标高上20cm左右时，需采用人工清挖，不得破坏原状土。</w:t>
      </w:r>
    </w:p>
    <w:p w14:paraId="03DC1477">
      <w:pPr>
        <w:spacing w:before="24" w:after="24"/>
        <w:ind w:firstLine="560" w:firstLineChars="200"/>
        <w:rPr>
          <w:rFonts w:ascii="Times New Roman" w:hAnsi="Times New Roman" w:cs="Times New Roman"/>
        </w:rPr>
      </w:pPr>
      <w:r>
        <w:rPr>
          <w:rFonts w:ascii="Times New Roman" w:hAnsi="Times New Roman" w:cs="Times New Roman"/>
        </w:rPr>
        <w:t>9.管道回填：采用厚度为100的细砂铺平夯实为垫层，管顶上部500mm以内，不得回填块石、碎石砖等；500mm以上不得集中回填块石、碎石。机械回填土时，回填用的机械不得在沟槽内行走。沟槽内的回填土应分层夯实。</w:t>
      </w:r>
    </w:p>
    <w:p w14:paraId="2D09D4CD">
      <w:pPr>
        <w:spacing w:before="24" w:after="24"/>
        <w:ind w:firstLine="562" w:firstLineChars="200"/>
        <w:outlineLvl w:val="4"/>
        <w:rPr>
          <w:rFonts w:ascii="Times New Roman" w:hAnsi="Times New Roman" w:cs="Times New Roman"/>
          <w:b/>
        </w:rPr>
      </w:pPr>
      <w:r>
        <w:rPr>
          <w:rFonts w:ascii="Times New Roman" w:hAnsi="Times New Roman" w:cs="Times New Roman"/>
          <w:b/>
        </w:rPr>
        <w:t>5.2.3室外消防系统</w:t>
      </w:r>
    </w:p>
    <w:p w14:paraId="6D357F75">
      <w:pPr>
        <w:numPr>
          <w:ilvl w:val="0"/>
          <w:numId w:val="6"/>
        </w:numPr>
        <w:spacing w:before="24" w:after="24"/>
        <w:ind w:firstLine="560" w:firstLineChars="200"/>
        <w:rPr>
          <w:rFonts w:ascii="Times New Roman" w:hAnsi="Times New Roman" w:cs="Times New Roman"/>
        </w:rPr>
      </w:pPr>
      <w:r>
        <w:rPr>
          <w:rFonts w:ascii="Times New Roman" w:hAnsi="Times New Roman" w:cs="Times New Roman"/>
        </w:rPr>
        <w:t>设计流量取值标准</w:t>
      </w:r>
    </w:p>
    <w:p w14:paraId="3867942E">
      <w:pPr>
        <w:spacing w:before="24" w:after="24"/>
        <w:ind w:firstLine="560" w:firstLineChars="200"/>
        <w:rPr>
          <w:rFonts w:ascii="Times New Roman" w:hAnsi="Times New Roman" w:cs="Times New Roman"/>
        </w:rPr>
      </w:pPr>
      <w:r>
        <w:rPr>
          <w:rFonts w:ascii="Times New Roman" w:hAnsi="Times New Roman" w:cs="Times New Roman"/>
        </w:rPr>
        <w:t>（1）工业建筑</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27"/>
        <w:gridCol w:w="622"/>
        <w:gridCol w:w="1307"/>
        <w:gridCol w:w="740"/>
        <w:gridCol w:w="1716"/>
        <w:gridCol w:w="1428"/>
        <w:gridCol w:w="1461"/>
        <w:gridCol w:w="1485"/>
      </w:tblGrid>
      <w:tr w14:paraId="2B716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149" w:type="dxa"/>
            <w:gridSpan w:val="2"/>
            <w:tcMar>
              <w:left w:w="108" w:type="dxa"/>
              <w:right w:w="108" w:type="dxa"/>
            </w:tcMar>
            <w:vAlign w:val="center"/>
          </w:tcPr>
          <w:p w14:paraId="78AC791B">
            <w:pPr>
              <w:pStyle w:val="71"/>
              <w:spacing w:before="24" w:after="24"/>
            </w:pPr>
            <w:r>
              <w:t>建筑物名称</w:t>
            </w:r>
          </w:p>
        </w:tc>
        <w:tc>
          <w:tcPr>
            <w:tcW w:w="3763" w:type="dxa"/>
            <w:gridSpan w:val="3"/>
            <w:tcMar>
              <w:left w:w="108" w:type="dxa"/>
              <w:right w:w="108" w:type="dxa"/>
            </w:tcMar>
            <w:vAlign w:val="center"/>
          </w:tcPr>
          <w:p w14:paraId="0BAEFD31">
            <w:pPr>
              <w:pStyle w:val="71"/>
              <w:spacing w:before="24" w:after="24"/>
            </w:pPr>
            <w:r>
              <w:t>高度h（m）、层数、体积V（m3）、座位数n（个）、火灾危险性</w:t>
            </w:r>
          </w:p>
        </w:tc>
        <w:tc>
          <w:tcPr>
            <w:tcW w:w="1428" w:type="dxa"/>
            <w:tcMar>
              <w:left w:w="108" w:type="dxa"/>
              <w:right w:w="108" w:type="dxa"/>
            </w:tcMar>
            <w:vAlign w:val="center"/>
          </w:tcPr>
          <w:p w14:paraId="5334085B">
            <w:pPr>
              <w:pStyle w:val="71"/>
              <w:spacing w:before="24" w:after="24"/>
            </w:pPr>
            <w:r>
              <w:t>消火栓设计流量（L/s）</w:t>
            </w:r>
          </w:p>
        </w:tc>
        <w:tc>
          <w:tcPr>
            <w:tcW w:w="1461" w:type="dxa"/>
            <w:tcMar>
              <w:left w:w="108" w:type="dxa"/>
              <w:right w:w="108" w:type="dxa"/>
            </w:tcMar>
            <w:vAlign w:val="center"/>
          </w:tcPr>
          <w:p w14:paraId="0E3176CF">
            <w:pPr>
              <w:pStyle w:val="71"/>
              <w:spacing w:before="24" w:after="24"/>
            </w:pPr>
            <w:r>
              <w:t>同时使用消防水枪数（支）</w:t>
            </w:r>
          </w:p>
        </w:tc>
        <w:tc>
          <w:tcPr>
            <w:tcW w:w="1485" w:type="dxa"/>
            <w:tcMar>
              <w:left w:w="108" w:type="dxa"/>
              <w:right w:w="108" w:type="dxa"/>
            </w:tcMar>
            <w:vAlign w:val="center"/>
          </w:tcPr>
          <w:p w14:paraId="1AA79E52">
            <w:pPr>
              <w:pStyle w:val="71"/>
              <w:spacing w:before="24" w:after="24"/>
            </w:pPr>
            <w:r>
              <w:t>每根竖管最小流量（L/s）</w:t>
            </w:r>
          </w:p>
        </w:tc>
      </w:tr>
      <w:tr w14:paraId="7D2C1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0" w:hRule="atLeast"/>
          <w:jc w:val="center"/>
        </w:trPr>
        <w:tc>
          <w:tcPr>
            <w:tcW w:w="527" w:type="dxa"/>
            <w:vMerge w:val="restart"/>
            <w:tcMar>
              <w:left w:w="108" w:type="dxa"/>
              <w:right w:w="108" w:type="dxa"/>
            </w:tcMar>
            <w:vAlign w:val="center"/>
          </w:tcPr>
          <w:p w14:paraId="39C8C48E">
            <w:pPr>
              <w:pStyle w:val="71"/>
              <w:spacing w:before="24" w:after="24"/>
            </w:pPr>
            <w:r>
              <w:t>工</w:t>
            </w:r>
            <w:r>
              <w:br w:type="textWrapping"/>
            </w:r>
            <w:r>
              <w:t>业</w:t>
            </w:r>
            <w:r>
              <w:br w:type="textWrapping"/>
            </w:r>
            <w:r>
              <w:t>建</w:t>
            </w:r>
            <w:r>
              <w:br w:type="textWrapping"/>
            </w:r>
            <w:r>
              <w:t>筑</w:t>
            </w:r>
          </w:p>
        </w:tc>
        <w:tc>
          <w:tcPr>
            <w:tcW w:w="622" w:type="dxa"/>
            <w:vMerge w:val="restart"/>
            <w:tcMar>
              <w:left w:w="108" w:type="dxa"/>
              <w:right w:w="108" w:type="dxa"/>
            </w:tcMar>
            <w:vAlign w:val="center"/>
          </w:tcPr>
          <w:p w14:paraId="662949A9">
            <w:pPr>
              <w:pStyle w:val="71"/>
              <w:spacing w:before="24" w:after="24"/>
            </w:pPr>
            <w:r>
              <w:t>厂房</w:t>
            </w:r>
          </w:p>
        </w:tc>
        <w:tc>
          <w:tcPr>
            <w:tcW w:w="1307" w:type="dxa"/>
            <w:vMerge w:val="restart"/>
            <w:tcMar>
              <w:left w:w="108" w:type="dxa"/>
              <w:right w:w="108" w:type="dxa"/>
            </w:tcMar>
            <w:vAlign w:val="center"/>
          </w:tcPr>
          <w:p w14:paraId="58FBBC93">
            <w:pPr>
              <w:pStyle w:val="71"/>
              <w:spacing w:before="24" w:after="24"/>
            </w:pPr>
            <w:r>
              <w:t>h≤24</w:t>
            </w:r>
          </w:p>
        </w:tc>
        <w:tc>
          <w:tcPr>
            <w:tcW w:w="2456" w:type="dxa"/>
            <w:gridSpan w:val="2"/>
            <w:tcMar>
              <w:left w:w="108" w:type="dxa"/>
              <w:right w:w="108" w:type="dxa"/>
            </w:tcMar>
            <w:vAlign w:val="center"/>
          </w:tcPr>
          <w:p w14:paraId="4C7E279F">
            <w:pPr>
              <w:pStyle w:val="71"/>
              <w:spacing w:before="24" w:after="24"/>
            </w:pPr>
            <w:r>
              <w:t>甲、乙、丁、戊</w:t>
            </w:r>
          </w:p>
        </w:tc>
        <w:tc>
          <w:tcPr>
            <w:tcW w:w="1428" w:type="dxa"/>
            <w:tcMar>
              <w:left w:w="108" w:type="dxa"/>
              <w:right w:w="108" w:type="dxa"/>
            </w:tcMar>
            <w:vAlign w:val="center"/>
          </w:tcPr>
          <w:p w14:paraId="1EC2DEE6">
            <w:pPr>
              <w:pStyle w:val="71"/>
              <w:spacing w:before="24" w:after="24"/>
            </w:pPr>
            <w:r>
              <w:t>10</w:t>
            </w:r>
          </w:p>
        </w:tc>
        <w:tc>
          <w:tcPr>
            <w:tcW w:w="1461" w:type="dxa"/>
            <w:tcMar>
              <w:left w:w="108" w:type="dxa"/>
              <w:right w:w="108" w:type="dxa"/>
            </w:tcMar>
            <w:vAlign w:val="center"/>
          </w:tcPr>
          <w:p w14:paraId="34EDD2C1">
            <w:pPr>
              <w:pStyle w:val="71"/>
              <w:spacing w:before="24" w:after="24"/>
            </w:pPr>
            <w:r>
              <w:t>2</w:t>
            </w:r>
          </w:p>
        </w:tc>
        <w:tc>
          <w:tcPr>
            <w:tcW w:w="1485" w:type="dxa"/>
            <w:tcMar>
              <w:left w:w="108" w:type="dxa"/>
              <w:right w:w="108" w:type="dxa"/>
            </w:tcMar>
            <w:vAlign w:val="center"/>
          </w:tcPr>
          <w:p w14:paraId="22BB0E9B">
            <w:pPr>
              <w:pStyle w:val="71"/>
              <w:spacing w:before="24" w:after="24"/>
            </w:pPr>
            <w:r>
              <w:t>10</w:t>
            </w:r>
          </w:p>
        </w:tc>
      </w:tr>
      <w:tr w14:paraId="0CB72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4" w:hRule="atLeast"/>
          <w:jc w:val="center"/>
        </w:trPr>
        <w:tc>
          <w:tcPr>
            <w:tcW w:w="527" w:type="dxa"/>
            <w:vMerge w:val="continue"/>
            <w:tcMar>
              <w:left w:w="108" w:type="dxa"/>
              <w:right w:w="108" w:type="dxa"/>
            </w:tcMar>
            <w:vAlign w:val="center"/>
          </w:tcPr>
          <w:p w14:paraId="1F93C56C">
            <w:pPr>
              <w:pStyle w:val="71"/>
              <w:spacing w:before="24" w:after="24"/>
            </w:pPr>
          </w:p>
        </w:tc>
        <w:tc>
          <w:tcPr>
            <w:tcW w:w="622" w:type="dxa"/>
            <w:vMerge w:val="continue"/>
            <w:tcMar>
              <w:left w:w="108" w:type="dxa"/>
              <w:right w:w="108" w:type="dxa"/>
            </w:tcMar>
            <w:vAlign w:val="center"/>
          </w:tcPr>
          <w:p w14:paraId="030987CC">
            <w:pPr>
              <w:pStyle w:val="71"/>
              <w:spacing w:before="24" w:after="24"/>
            </w:pPr>
          </w:p>
        </w:tc>
        <w:tc>
          <w:tcPr>
            <w:tcW w:w="1307" w:type="dxa"/>
            <w:vMerge w:val="continue"/>
            <w:tcMar>
              <w:left w:w="108" w:type="dxa"/>
              <w:right w:w="108" w:type="dxa"/>
            </w:tcMar>
            <w:vAlign w:val="center"/>
          </w:tcPr>
          <w:p w14:paraId="1FAB3C22">
            <w:pPr>
              <w:pStyle w:val="71"/>
              <w:spacing w:before="24" w:after="24"/>
            </w:pPr>
          </w:p>
        </w:tc>
        <w:tc>
          <w:tcPr>
            <w:tcW w:w="740" w:type="dxa"/>
            <w:vMerge w:val="restart"/>
            <w:tcMar>
              <w:left w:w="108" w:type="dxa"/>
              <w:right w:w="108" w:type="dxa"/>
            </w:tcMar>
            <w:vAlign w:val="center"/>
          </w:tcPr>
          <w:p w14:paraId="072E9F7A">
            <w:pPr>
              <w:pStyle w:val="71"/>
              <w:spacing w:before="24" w:after="24"/>
            </w:pPr>
            <w:r>
              <w:t>丙</w:t>
            </w:r>
          </w:p>
        </w:tc>
        <w:tc>
          <w:tcPr>
            <w:tcW w:w="1716" w:type="dxa"/>
            <w:tcMar>
              <w:left w:w="108" w:type="dxa"/>
              <w:right w:w="108" w:type="dxa"/>
            </w:tcMar>
            <w:vAlign w:val="center"/>
          </w:tcPr>
          <w:p w14:paraId="22A8BB80">
            <w:pPr>
              <w:pStyle w:val="71"/>
              <w:spacing w:before="24" w:after="24"/>
            </w:pPr>
            <w:r>
              <w:t>V≤5000</w:t>
            </w:r>
          </w:p>
        </w:tc>
        <w:tc>
          <w:tcPr>
            <w:tcW w:w="1428" w:type="dxa"/>
            <w:tcMar>
              <w:left w:w="108" w:type="dxa"/>
              <w:right w:w="108" w:type="dxa"/>
            </w:tcMar>
            <w:vAlign w:val="center"/>
          </w:tcPr>
          <w:p w14:paraId="3E2DEF79">
            <w:pPr>
              <w:pStyle w:val="71"/>
              <w:spacing w:before="24" w:after="24"/>
            </w:pPr>
            <w:r>
              <w:t>10</w:t>
            </w:r>
          </w:p>
        </w:tc>
        <w:tc>
          <w:tcPr>
            <w:tcW w:w="1461" w:type="dxa"/>
            <w:tcMar>
              <w:left w:w="108" w:type="dxa"/>
              <w:right w:w="108" w:type="dxa"/>
            </w:tcMar>
            <w:vAlign w:val="center"/>
          </w:tcPr>
          <w:p w14:paraId="0348C3DC">
            <w:pPr>
              <w:pStyle w:val="71"/>
              <w:spacing w:before="24" w:after="24"/>
            </w:pPr>
            <w:r>
              <w:t>2</w:t>
            </w:r>
          </w:p>
        </w:tc>
        <w:tc>
          <w:tcPr>
            <w:tcW w:w="1485" w:type="dxa"/>
            <w:tcMar>
              <w:left w:w="108" w:type="dxa"/>
              <w:right w:w="108" w:type="dxa"/>
            </w:tcMar>
            <w:vAlign w:val="center"/>
          </w:tcPr>
          <w:p w14:paraId="198E8CAA">
            <w:pPr>
              <w:pStyle w:val="71"/>
              <w:spacing w:before="24" w:after="24"/>
            </w:pPr>
            <w:r>
              <w:t>10</w:t>
            </w:r>
          </w:p>
        </w:tc>
      </w:tr>
      <w:tr w14:paraId="2652A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3" w:hRule="atLeast"/>
          <w:jc w:val="center"/>
        </w:trPr>
        <w:tc>
          <w:tcPr>
            <w:tcW w:w="527" w:type="dxa"/>
            <w:vMerge w:val="continue"/>
            <w:tcMar>
              <w:left w:w="108" w:type="dxa"/>
              <w:right w:w="108" w:type="dxa"/>
            </w:tcMar>
            <w:vAlign w:val="center"/>
          </w:tcPr>
          <w:p w14:paraId="68C6FEFB">
            <w:pPr>
              <w:pStyle w:val="71"/>
              <w:spacing w:before="24" w:after="24"/>
            </w:pPr>
          </w:p>
        </w:tc>
        <w:tc>
          <w:tcPr>
            <w:tcW w:w="622" w:type="dxa"/>
            <w:vMerge w:val="continue"/>
            <w:tcMar>
              <w:left w:w="108" w:type="dxa"/>
              <w:right w:w="108" w:type="dxa"/>
            </w:tcMar>
            <w:vAlign w:val="center"/>
          </w:tcPr>
          <w:p w14:paraId="3530DBAB">
            <w:pPr>
              <w:pStyle w:val="71"/>
              <w:spacing w:before="24" w:after="24"/>
            </w:pPr>
          </w:p>
        </w:tc>
        <w:tc>
          <w:tcPr>
            <w:tcW w:w="1307" w:type="dxa"/>
            <w:vMerge w:val="continue"/>
            <w:tcMar>
              <w:left w:w="108" w:type="dxa"/>
              <w:right w:w="108" w:type="dxa"/>
            </w:tcMar>
            <w:vAlign w:val="center"/>
          </w:tcPr>
          <w:p w14:paraId="2E680BF5">
            <w:pPr>
              <w:pStyle w:val="71"/>
              <w:spacing w:before="24" w:after="24"/>
            </w:pPr>
          </w:p>
        </w:tc>
        <w:tc>
          <w:tcPr>
            <w:tcW w:w="740" w:type="dxa"/>
            <w:vMerge w:val="continue"/>
            <w:tcMar>
              <w:left w:w="108" w:type="dxa"/>
              <w:right w:w="108" w:type="dxa"/>
            </w:tcMar>
            <w:vAlign w:val="center"/>
          </w:tcPr>
          <w:p w14:paraId="689F91DD">
            <w:pPr>
              <w:pStyle w:val="71"/>
              <w:spacing w:before="24" w:after="24"/>
            </w:pPr>
          </w:p>
        </w:tc>
        <w:tc>
          <w:tcPr>
            <w:tcW w:w="1716" w:type="dxa"/>
            <w:tcMar>
              <w:left w:w="108" w:type="dxa"/>
              <w:right w:w="108" w:type="dxa"/>
            </w:tcMar>
            <w:vAlign w:val="center"/>
          </w:tcPr>
          <w:p w14:paraId="4CABBFA6">
            <w:pPr>
              <w:pStyle w:val="71"/>
              <w:spacing w:before="24" w:after="24"/>
            </w:pPr>
            <w:r>
              <w:t>V＞5000</w:t>
            </w:r>
          </w:p>
        </w:tc>
        <w:tc>
          <w:tcPr>
            <w:tcW w:w="1428" w:type="dxa"/>
            <w:tcMar>
              <w:left w:w="108" w:type="dxa"/>
              <w:right w:w="108" w:type="dxa"/>
            </w:tcMar>
            <w:vAlign w:val="center"/>
          </w:tcPr>
          <w:p w14:paraId="73E42083">
            <w:pPr>
              <w:pStyle w:val="71"/>
              <w:spacing w:before="24" w:after="24"/>
            </w:pPr>
            <w:r>
              <w:t>20</w:t>
            </w:r>
          </w:p>
        </w:tc>
        <w:tc>
          <w:tcPr>
            <w:tcW w:w="1461" w:type="dxa"/>
            <w:tcMar>
              <w:left w:w="108" w:type="dxa"/>
              <w:right w:w="108" w:type="dxa"/>
            </w:tcMar>
            <w:vAlign w:val="center"/>
          </w:tcPr>
          <w:p w14:paraId="11C0404C">
            <w:pPr>
              <w:pStyle w:val="71"/>
              <w:spacing w:before="24" w:after="24"/>
            </w:pPr>
            <w:r>
              <w:t>4</w:t>
            </w:r>
          </w:p>
        </w:tc>
        <w:tc>
          <w:tcPr>
            <w:tcW w:w="1485" w:type="dxa"/>
            <w:tcMar>
              <w:left w:w="108" w:type="dxa"/>
              <w:right w:w="108" w:type="dxa"/>
            </w:tcMar>
            <w:vAlign w:val="center"/>
          </w:tcPr>
          <w:p w14:paraId="176F5D15">
            <w:pPr>
              <w:pStyle w:val="71"/>
              <w:spacing w:before="24" w:after="24"/>
            </w:pPr>
            <w:r>
              <w:t>15</w:t>
            </w:r>
          </w:p>
        </w:tc>
      </w:tr>
      <w:tr w14:paraId="5813B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5" w:hRule="atLeast"/>
          <w:jc w:val="center"/>
        </w:trPr>
        <w:tc>
          <w:tcPr>
            <w:tcW w:w="527" w:type="dxa"/>
            <w:vMerge w:val="continue"/>
            <w:tcMar>
              <w:left w:w="108" w:type="dxa"/>
              <w:right w:w="108" w:type="dxa"/>
            </w:tcMar>
            <w:vAlign w:val="center"/>
          </w:tcPr>
          <w:p w14:paraId="4CF64266">
            <w:pPr>
              <w:pStyle w:val="71"/>
              <w:spacing w:before="24" w:after="24"/>
            </w:pPr>
          </w:p>
        </w:tc>
        <w:tc>
          <w:tcPr>
            <w:tcW w:w="622" w:type="dxa"/>
            <w:vMerge w:val="continue"/>
            <w:tcMar>
              <w:left w:w="108" w:type="dxa"/>
              <w:right w:w="108" w:type="dxa"/>
            </w:tcMar>
            <w:vAlign w:val="center"/>
          </w:tcPr>
          <w:p w14:paraId="1E5E2F41">
            <w:pPr>
              <w:pStyle w:val="71"/>
              <w:spacing w:before="24" w:after="24"/>
            </w:pPr>
          </w:p>
        </w:tc>
        <w:tc>
          <w:tcPr>
            <w:tcW w:w="1307" w:type="dxa"/>
            <w:vMerge w:val="restart"/>
            <w:tcMar>
              <w:left w:w="108" w:type="dxa"/>
              <w:right w:w="108" w:type="dxa"/>
            </w:tcMar>
            <w:vAlign w:val="center"/>
          </w:tcPr>
          <w:p w14:paraId="1E478F2E">
            <w:pPr>
              <w:pStyle w:val="71"/>
              <w:spacing w:before="24" w:after="24"/>
            </w:pPr>
            <w:r>
              <w:t>24＜h</w:t>
            </w:r>
          </w:p>
          <w:p w14:paraId="3A4CA4E3">
            <w:pPr>
              <w:pStyle w:val="71"/>
              <w:spacing w:before="24" w:after="24"/>
            </w:pPr>
            <w:r>
              <w:t>≤50</w:t>
            </w:r>
          </w:p>
        </w:tc>
        <w:tc>
          <w:tcPr>
            <w:tcW w:w="2456" w:type="dxa"/>
            <w:gridSpan w:val="2"/>
            <w:tcMar>
              <w:left w:w="108" w:type="dxa"/>
              <w:right w:w="108" w:type="dxa"/>
            </w:tcMar>
            <w:vAlign w:val="center"/>
          </w:tcPr>
          <w:p w14:paraId="295E75C1">
            <w:pPr>
              <w:pStyle w:val="71"/>
              <w:spacing w:before="24" w:after="24"/>
            </w:pPr>
            <w:r>
              <w:t>乙、丁、戊</w:t>
            </w:r>
          </w:p>
        </w:tc>
        <w:tc>
          <w:tcPr>
            <w:tcW w:w="1428" w:type="dxa"/>
            <w:tcMar>
              <w:left w:w="108" w:type="dxa"/>
              <w:right w:w="108" w:type="dxa"/>
            </w:tcMar>
            <w:vAlign w:val="center"/>
          </w:tcPr>
          <w:p w14:paraId="27D82610">
            <w:pPr>
              <w:pStyle w:val="71"/>
              <w:spacing w:before="24" w:after="24"/>
            </w:pPr>
            <w:r>
              <w:t>25</w:t>
            </w:r>
          </w:p>
        </w:tc>
        <w:tc>
          <w:tcPr>
            <w:tcW w:w="1461" w:type="dxa"/>
            <w:tcMar>
              <w:left w:w="108" w:type="dxa"/>
              <w:right w:w="108" w:type="dxa"/>
            </w:tcMar>
            <w:vAlign w:val="center"/>
          </w:tcPr>
          <w:p w14:paraId="2A38E917">
            <w:pPr>
              <w:pStyle w:val="71"/>
              <w:spacing w:before="24" w:after="24"/>
            </w:pPr>
            <w:r>
              <w:t>5</w:t>
            </w:r>
          </w:p>
        </w:tc>
        <w:tc>
          <w:tcPr>
            <w:tcW w:w="1485" w:type="dxa"/>
            <w:tcMar>
              <w:left w:w="108" w:type="dxa"/>
              <w:right w:w="108" w:type="dxa"/>
            </w:tcMar>
            <w:vAlign w:val="center"/>
          </w:tcPr>
          <w:p w14:paraId="6452D073">
            <w:pPr>
              <w:pStyle w:val="71"/>
              <w:spacing w:before="24" w:after="24"/>
            </w:pPr>
            <w:r>
              <w:t>15</w:t>
            </w:r>
          </w:p>
        </w:tc>
      </w:tr>
      <w:tr w14:paraId="1845B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7" w:hRule="atLeast"/>
          <w:jc w:val="center"/>
        </w:trPr>
        <w:tc>
          <w:tcPr>
            <w:tcW w:w="527" w:type="dxa"/>
            <w:vMerge w:val="continue"/>
            <w:tcMar>
              <w:left w:w="108" w:type="dxa"/>
              <w:right w:w="108" w:type="dxa"/>
            </w:tcMar>
            <w:vAlign w:val="center"/>
          </w:tcPr>
          <w:p w14:paraId="072114EA">
            <w:pPr>
              <w:pStyle w:val="71"/>
              <w:spacing w:before="24" w:after="24"/>
            </w:pPr>
          </w:p>
        </w:tc>
        <w:tc>
          <w:tcPr>
            <w:tcW w:w="622" w:type="dxa"/>
            <w:vMerge w:val="continue"/>
            <w:tcMar>
              <w:left w:w="108" w:type="dxa"/>
              <w:right w:w="108" w:type="dxa"/>
            </w:tcMar>
            <w:vAlign w:val="center"/>
          </w:tcPr>
          <w:p w14:paraId="1B2C18F8">
            <w:pPr>
              <w:pStyle w:val="71"/>
              <w:spacing w:before="24" w:after="24"/>
            </w:pPr>
          </w:p>
        </w:tc>
        <w:tc>
          <w:tcPr>
            <w:tcW w:w="1307" w:type="dxa"/>
            <w:vMerge w:val="continue"/>
            <w:tcMar>
              <w:left w:w="108" w:type="dxa"/>
              <w:right w:w="108" w:type="dxa"/>
            </w:tcMar>
            <w:vAlign w:val="center"/>
          </w:tcPr>
          <w:p w14:paraId="05C6B245">
            <w:pPr>
              <w:pStyle w:val="71"/>
              <w:spacing w:before="24" w:after="24"/>
            </w:pPr>
          </w:p>
        </w:tc>
        <w:tc>
          <w:tcPr>
            <w:tcW w:w="2456" w:type="dxa"/>
            <w:gridSpan w:val="2"/>
            <w:tcMar>
              <w:left w:w="108" w:type="dxa"/>
              <w:right w:w="108" w:type="dxa"/>
            </w:tcMar>
            <w:vAlign w:val="center"/>
          </w:tcPr>
          <w:p w14:paraId="32B1C22E">
            <w:pPr>
              <w:pStyle w:val="71"/>
              <w:spacing w:before="24" w:after="24"/>
            </w:pPr>
            <w:r>
              <w:t>丙</w:t>
            </w:r>
          </w:p>
        </w:tc>
        <w:tc>
          <w:tcPr>
            <w:tcW w:w="1428" w:type="dxa"/>
            <w:tcMar>
              <w:left w:w="108" w:type="dxa"/>
              <w:right w:w="108" w:type="dxa"/>
            </w:tcMar>
            <w:vAlign w:val="center"/>
          </w:tcPr>
          <w:p w14:paraId="687332A1">
            <w:pPr>
              <w:pStyle w:val="71"/>
              <w:spacing w:before="24" w:after="24"/>
            </w:pPr>
            <w:r>
              <w:t>30</w:t>
            </w:r>
          </w:p>
        </w:tc>
        <w:tc>
          <w:tcPr>
            <w:tcW w:w="1461" w:type="dxa"/>
            <w:tcMar>
              <w:left w:w="108" w:type="dxa"/>
              <w:right w:w="108" w:type="dxa"/>
            </w:tcMar>
            <w:vAlign w:val="center"/>
          </w:tcPr>
          <w:p w14:paraId="266A351D">
            <w:pPr>
              <w:pStyle w:val="71"/>
              <w:spacing w:before="24" w:after="24"/>
            </w:pPr>
            <w:r>
              <w:t>6</w:t>
            </w:r>
          </w:p>
        </w:tc>
        <w:tc>
          <w:tcPr>
            <w:tcW w:w="1485" w:type="dxa"/>
            <w:tcMar>
              <w:left w:w="108" w:type="dxa"/>
              <w:right w:w="108" w:type="dxa"/>
            </w:tcMar>
            <w:vAlign w:val="center"/>
          </w:tcPr>
          <w:p w14:paraId="53845F38">
            <w:pPr>
              <w:pStyle w:val="71"/>
              <w:spacing w:before="24" w:after="24"/>
            </w:pPr>
            <w:r>
              <w:t>15</w:t>
            </w:r>
          </w:p>
        </w:tc>
      </w:tr>
      <w:tr w14:paraId="4975C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27" w:type="dxa"/>
            <w:vMerge w:val="continue"/>
            <w:tcMar>
              <w:left w:w="108" w:type="dxa"/>
              <w:right w:w="108" w:type="dxa"/>
            </w:tcMar>
            <w:vAlign w:val="center"/>
          </w:tcPr>
          <w:p w14:paraId="46A3BEA9">
            <w:pPr>
              <w:pStyle w:val="71"/>
              <w:spacing w:before="24" w:after="24"/>
            </w:pPr>
          </w:p>
        </w:tc>
        <w:tc>
          <w:tcPr>
            <w:tcW w:w="622" w:type="dxa"/>
            <w:vMerge w:val="continue"/>
            <w:tcMar>
              <w:left w:w="108" w:type="dxa"/>
              <w:right w:w="108" w:type="dxa"/>
            </w:tcMar>
            <w:vAlign w:val="center"/>
          </w:tcPr>
          <w:p w14:paraId="12D635EF">
            <w:pPr>
              <w:pStyle w:val="71"/>
              <w:spacing w:before="24" w:after="24"/>
            </w:pPr>
          </w:p>
        </w:tc>
        <w:tc>
          <w:tcPr>
            <w:tcW w:w="1307" w:type="dxa"/>
            <w:vMerge w:val="restart"/>
            <w:tcMar>
              <w:left w:w="108" w:type="dxa"/>
              <w:right w:w="108" w:type="dxa"/>
            </w:tcMar>
            <w:vAlign w:val="center"/>
          </w:tcPr>
          <w:p w14:paraId="3EDFD1D0">
            <w:pPr>
              <w:pStyle w:val="71"/>
              <w:spacing w:before="24" w:after="24"/>
            </w:pPr>
            <w:r>
              <w:t>h＞50</w:t>
            </w:r>
          </w:p>
        </w:tc>
        <w:tc>
          <w:tcPr>
            <w:tcW w:w="2456" w:type="dxa"/>
            <w:gridSpan w:val="2"/>
            <w:tcMar>
              <w:left w:w="108" w:type="dxa"/>
              <w:right w:w="108" w:type="dxa"/>
            </w:tcMar>
            <w:vAlign w:val="center"/>
          </w:tcPr>
          <w:p w14:paraId="2B80F70C">
            <w:pPr>
              <w:pStyle w:val="71"/>
              <w:spacing w:before="24" w:after="24"/>
            </w:pPr>
            <w:r>
              <w:t>乙、丁、戊</w:t>
            </w:r>
          </w:p>
        </w:tc>
        <w:tc>
          <w:tcPr>
            <w:tcW w:w="1428" w:type="dxa"/>
            <w:tcMar>
              <w:left w:w="108" w:type="dxa"/>
              <w:right w:w="108" w:type="dxa"/>
            </w:tcMar>
            <w:vAlign w:val="center"/>
          </w:tcPr>
          <w:p w14:paraId="0D926313">
            <w:pPr>
              <w:pStyle w:val="71"/>
              <w:spacing w:before="24" w:after="24"/>
            </w:pPr>
            <w:r>
              <w:t>30</w:t>
            </w:r>
          </w:p>
        </w:tc>
        <w:tc>
          <w:tcPr>
            <w:tcW w:w="1461" w:type="dxa"/>
            <w:tcMar>
              <w:left w:w="108" w:type="dxa"/>
              <w:right w:w="108" w:type="dxa"/>
            </w:tcMar>
            <w:vAlign w:val="center"/>
          </w:tcPr>
          <w:p w14:paraId="43EF8FF7">
            <w:pPr>
              <w:pStyle w:val="71"/>
              <w:spacing w:before="24" w:after="24"/>
            </w:pPr>
            <w:r>
              <w:t>6</w:t>
            </w:r>
          </w:p>
        </w:tc>
        <w:tc>
          <w:tcPr>
            <w:tcW w:w="1485" w:type="dxa"/>
            <w:tcMar>
              <w:left w:w="108" w:type="dxa"/>
              <w:right w:w="108" w:type="dxa"/>
            </w:tcMar>
            <w:vAlign w:val="center"/>
          </w:tcPr>
          <w:p w14:paraId="5872DC2F">
            <w:pPr>
              <w:pStyle w:val="71"/>
              <w:spacing w:before="24" w:after="24"/>
            </w:pPr>
            <w:r>
              <w:t>15</w:t>
            </w:r>
          </w:p>
        </w:tc>
      </w:tr>
      <w:tr w14:paraId="1A63D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27" w:type="dxa"/>
            <w:vMerge w:val="continue"/>
            <w:tcMar>
              <w:left w:w="108" w:type="dxa"/>
              <w:right w:w="108" w:type="dxa"/>
            </w:tcMar>
            <w:vAlign w:val="center"/>
          </w:tcPr>
          <w:p w14:paraId="4786368F">
            <w:pPr>
              <w:pStyle w:val="71"/>
              <w:spacing w:before="24" w:after="24"/>
            </w:pPr>
          </w:p>
        </w:tc>
        <w:tc>
          <w:tcPr>
            <w:tcW w:w="622" w:type="dxa"/>
            <w:vMerge w:val="continue"/>
            <w:tcMar>
              <w:left w:w="108" w:type="dxa"/>
              <w:right w:w="108" w:type="dxa"/>
            </w:tcMar>
            <w:vAlign w:val="center"/>
          </w:tcPr>
          <w:p w14:paraId="02E7EDE2">
            <w:pPr>
              <w:pStyle w:val="71"/>
              <w:spacing w:before="24" w:after="24"/>
            </w:pPr>
          </w:p>
        </w:tc>
        <w:tc>
          <w:tcPr>
            <w:tcW w:w="1307" w:type="dxa"/>
            <w:vMerge w:val="continue"/>
            <w:tcMar>
              <w:left w:w="108" w:type="dxa"/>
              <w:right w:w="108" w:type="dxa"/>
            </w:tcMar>
            <w:vAlign w:val="center"/>
          </w:tcPr>
          <w:p w14:paraId="169DBA17">
            <w:pPr>
              <w:pStyle w:val="71"/>
              <w:spacing w:before="24" w:after="24"/>
            </w:pPr>
          </w:p>
        </w:tc>
        <w:tc>
          <w:tcPr>
            <w:tcW w:w="2456" w:type="dxa"/>
            <w:gridSpan w:val="2"/>
            <w:tcMar>
              <w:left w:w="108" w:type="dxa"/>
              <w:right w:w="108" w:type="dxa"/>
            </w:tcMar>
            <w:vAlign w:val="center"/>
          </w:tcPr>
          <w:p w14:paraId="3BF8C6AC">
            <w:pPr>
              <w:pStyle w:val="71"/>
              <w:spacing w:before="24" w:after="24"/>
            </w:pPr>
            <w:r>
              <w:t>丙</w:t>
            </w:r>
          </w:p>
        </w:tc>
        <w:tc>
          <w:tcPr>
            <w:tcW w:w="1428" w:type="dxa"/>
            <w:tcMar>
              <w:left w:w="108" w:type="dxa"/>
              <w:right w:w="108" w:type="dxa"/>
            </w:tcMar>
            <w:vAlign w:val="center"/>
          </w:tcPr>
          <w:p w14:paraId="51EA7572">
            <w:pPr>
              <w:pStyle w:val="71"/>
              <w:spacing w:before="24" w:after="24"/>
            </w:pPr>
            <w:r>
              <w:t>40</w:t>
            </w:r>
          </w:p>
        </w:tc>
        <w:tc>
          <w:tcPr>
            <w:tcW w:w="1461" w:type="dxa"/>
            <w:tcMar>
              <w:left w:w="108" w:type="dxa"/>
              <w:right w:w="108" w:type="dxa"/>
            </w:tcMar>
            <w:vAlign w:val="center"/>
          </w:tcPr>
          <w:p w14:paraId="2AA882C3">
            <w:pPr>
              <w:pStyle w:val="71"/>
              <w:spacing w:before="24" w:after="24"/>
            </w:pPr>
            <w:r>
              <w:t>8</w:t>
            </w:r>
          </w:p>
        </w:tc>
        <w:tc>
          <w:tcPr>
            <w:tcW w:w="1485" w:type="dxa"/>
            <w:tcMar>
              <w:left w:w="108" w:type="dxa"/>
              <w:right w:w="108" w:type="dxa"/>
            </w:tcMar>
            <w:vAlign w:val="center"/>
          </w:tcPr>
          <w:p w14:paraId="1DAD3F58">
            <w:pPr>
              <w:pStyle w:val="71"/>
              <w:spacing w:before="24" w:after="24"/>
            </w:pPr>
            <w:r>
              <w:t>15</w:t>
            </w:r>
          </w:p>
        </w:tc>
      </w:tr>
      <w:tr w14:paraId="2E69E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27" w:type="dxa"/>
            <w:vMerge w:val="continue"/>
            <w:tcMar>
              <w:left w:w="108" w:type="dxa"/>
              <w:right w:w="108" w:type="dxa"/>
            </w:tcMar>
            <w:vAlign w:val="center"/>
          </w:tcPr>
          <w:p w14:paraId="035E96F5">
            <w:pPr>
              <w:pStyle w:val="71"/>
              <w:spacing w:before="24" w:after="24"/>
            </w:pPr>
          </w:p>
        </w:tc>
        <w:tc>
          <w:tcPr>
            <w:tcW w:w="622" w:type="dxa"/>
            <w:vMerge w:val="restart"/>
            <w:tcMar>
              <w:left w:w="108" w:type="dxa"/>
              <w:right w:w="108" w:type="dxa"/>
            </w:tcMar>
            <w:vAlign w:val="center"/>
          </w:tcPr>
          <w:p w14:paraId="5ED1E6E8">
            <w:pPr>
              <w:pStyle w:val="71"/>
              <w:spacing w:before="24" w:after="24"/>
            </w:pPr>
            <w:r>
              <w:t>仓库</w:t>
            </w:r>
          </w:p>
        </w:tc>
        <w:tc>
          <w:tcPr>
            <w:tcW w:w="1307" w:type="dxa"/>
            <w:vMerge w:val="restart"/>
            <w:tcMar>
              <w:left w:w="108" w:type="dxa"/>
              <w:right w:w="108" w:type="dxa"/>
            </w:tcMar>
            <w:vAlign w:val="center"/>
          </w:tcPr>
          <w:p w14:paraId="35942B12">
            <w:pPr>
              <w:pStyle w:val="71"/>
              <w:spacing w:before="24" w:after="24"/>
            </w:pPr>
            <w:r>
              <w:t>h≤24</w:t>
            </w:r>
          </w:p>
        </w:tc>
        <w:tc>
          <w:tcPr>
            <w:tcW w:w="2456" w:type="dxa"/>
            <w:gridSpan w:val="2"/>
            <w:tcMar>
              <w:left w:w="108" w:type="dxa"/>
              <w:right w:w="108" w:type="dxa"/>
            </w:tcMar>
            <w:vAlign w:val="center"/>
          </w:tcPr>
          <w:p w14:paraId="104534BF">
            <w:pPr>
              <w:pStyle w:val="71"/>
              <w:spacing w:before="24" w:after="24"/>
            </w:pPr>
            <w:r>
              <w:t>甲、乙、丁、戊</w:t>
            </w:r>
          </w:p>
        </w:tc>
        <w:tc>
          <w:tcPr>
            <w:tcW w:w="1428" w:type="dxa"/>
            <w:tcMar>
              <w:left w:w="108" w:type="dxa"/>
              <w:right w:w="108" w:type="dxa"/>
            </w:tcMar>
            <w:vAlign w:val="center"/>
          </w:tcPr>
          <w:p w14:paraId="4A0549BE">
            <w:pPr>
              <w:pStyle w:val="71"/>
              <w:spacing w:before="24" w:after="24"/>
            </w:pPr>
            <w:r>
              <w:t>10</w:t>
            </w:r>
          </w:p>
        </w:tc>
        <w:tc>
          <w:tcPr>
            <w:tcW w:w="1461" w:type="dxa"/>
            <w:tcMar>
              <w:left w:w="108" w:type="dxa"/>
              <w:right w:w="108" w:type="dxa"/>
            </w:tcMar>
            <w:vAlign w:val="center"/>
          </w:tcPr>
          <w:p w14:paraId="47EAED5E">
            <w:pPr>
              <w:pStyle w:val="71"/>
              <w:spacing w:before="24" w:after="24"/>
            </w:pPr>
            <w:r>
              <w:t>2</w:t>
            </w:r>
          </w:p>
        </w:tc>
        <w:tc>
          <w:tcPr>
            <w:tcW w:w="1485" w:type="dxa"/>
            <w:tcMar>
              <w:left w:w="108" w:type="dxa"/>
              <w:right w:w="108" w:type="dxa"/>
            </w:tcMar>
            <w:vAlign w:val="center"/>
          </w:tcPr>
          <w:p w14:paraId="1AA105D8">
            <w:pPr>
              <w:pStyle w:val="71"/>
              <w:spacing w:before="24" w:after="24"/>
            </w:pPr>
            <w:r>
              <w:t>10</w:t>
            </w:r>
          </w:p>
        </w:tc>
      </w:tr>
      <w:tr w14:paraId="67066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27" w:type="dxa"/>
            <w:vMerge w:val="continue"/>
            <w:tcMar>
              <w:left w:w="108" w:type="dxa"/>
              <w:right w:w="108" w:type="dxa"/>
            </w:tcMar>
            <w:vAlign w:val="center"/>
          </w:tcPr>
          <w:p w14:paraId="301D051D">
            <w:pPr>
              <w:pStyle w:val="71"/>
              <w:spacing w:before="24" w:after="24"/>
            </w:pPr>
          </w:p>
        </w:tc>
        <w:tc>
          <w:tcPr>
            <w:tcW w:w="622" w:type="dxa"/>
            <w:vMerge w:val="continue"/>
            <w:tcMar>
              <w:left w:w="108" w:type="dxa"/>
              <w:right w:w="108" w:type="dxa"/>
            </w:tcMar>
            <w:vAlign w:val="center"/>
          </w:tcPr>
          <w:p w14:paraId="6459E806">
            <w:pPr>
              <w:pStyle w:val="71"/>
              <w:spacing w:before="24" w:after="24"/>
            </w:pPr>
          </w:p>
        </w:tc>
        <w:tc>
          <w:tcPr>
            <w:tcW w:w="1307" w:type="dxa"/>
            <w:vMerge w:val="continue"/>
            <w:tcMar>
              <w:left w:w="108" w:type="dxa"/>
              <w:right w:w="108" w:type="dxa"/>
            </w:tcMar>
            <w:vAlign w:val="center"/>
          </w:tcPr>
          <w:p w14:paraId="68271AC0">
            <w:pPr>
              <w:pStyle w:val="71"/>
              <w:spacing w:before="24" w:after="24"/>
            </w:pPr>
          </w:p>
        </w:tc>
        <w:tc>
          <w:tcPr>
            <w:tcW w:w="740" w:type="dxa"/>
            <w:vMerge w:val="restart"/>
            <w:tcMar>
              <w:left w:w="108" w:type="dxa"/>
              <w:right w:w="108" w:type="dxa"/>
            </w:tcMar>
            <w:vAlign w:val="center"/>
          </w:tcPr>
          <w:p w14:paraId="3F3A1928">
            <w:pPr>
              <w:pStyle w:val="71"/>
              <w:spacing w:before="24" w:after="24"/>
            </w:pPr>
            <w:r>
              <w:t>丙</w:t>
            </w:r>
          </w:p>
        </w:tc>
        <w:tc>
          <w:tcPr>
            <w:tcW w:w="1716" w:type="dxa"/>
            <w:tcMar>
              <w:left w:w="108" w:type="dxa"/>
              <w:right w:w="108" w:type="dxa"/>
            </w:tcMar>
            <w:vAlign w:val="center"/>
          </w:tcPr>
          <w:p w14:paraId="32E3F277">
            <w:pPr>
              <w:pStyle w:val="71"/>
              <w:spacing w:before="24" w:after="24"/>
            </w:pPr>
            <w:r>
              <w:t>V≤5000</w:t>
            </w:r>
          </w:p>
        </w:tc>
        <w:tc>
          <w:tcPr>
            <w:tcW w:w="1428" w:type="dxa"/>
            <w:tcMar>
              <w:left w:w="108" w:type="dxa"/>
              <w:right w:w="108" w:type="dxa"/>
            </w:tcMar>
            <w:vAlign w:val="center"/>
          </w:tcPr>
          <w:p w14:paraId="6DD99E63">
            <w:pPr>
              <w:pStyle w:val="71"/>
              <w:spacing w:before="24" w:after="24"/>
            </w:pPr>
            <w:r>
              <w:t>15</w:t>
            </w:r>
          </w:p>
        </w:tc>
        <w:tc>
          <w:tcPr>
            <w:tcW w:w="1461" w:type="dxa"/>
            <w:tcMar>
              <w:left w:w="108" w:type="dxa"/>
              <w:right w:w="108" w:type="dxa"/>
            </w:tcMar>
            <w:vAlign w:val="center"/>
          </w:tcPr>
          <w:p w14:paraId="509E3007">
            <w:pPr>
              <w:pStyle w:val="71"/>
              <w:spacing w:before="24" w:after="24"/>
            </w:pPr>
            <w:r>
              <w:t>3</w:t>
            </w:r>
          </w:p>
        </w:tc>
        <w:tc>
          <w:tcPr>
            <w:tcW w:w="1485" w:type="dxa"/>
            <w:tcMar>
              <w:left w:w="108" w:type="dxa"/>
              <w:right w:w="108" w:type="dxa"/>
            </w:tcMar>
            <w:vAlign w:val="center"/>
          </w:tcPr>
          <w:p w14:paraId="5FA56451">
            <w:pPr>
              <w:pStyle w:val="71"/>
              <w:spacing w:before="24" w:after="24"/>
            </w:pPr>
            <w:r>
              <w:t>15</w:t>
            </w:r>
          </w:p>
        </w:tc>
      </w:tr>
      <w:tr w14:paraId="521AE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27" w:type="dxa"/>
            <w:vMerge w:val="continue"/>
            <w:tcMar>
              <w:left w:w="108" w:type="dxa"/>
              <w:right w:w="108" w:type="dxa"/>
            </w:tcMar>
            <w:vAlign w:val="center"/>
          </w:tcPr>
          <w:p w14:paraId="7BB2A97B">
            <w:pPr>
              <w:pStyle w:val="71"/>
              <w:spacing w:before="24" w:after="24"/>
            </w:pPr>
          </w:p>
        </w:tc>
        <w:tc>
          <w:tcPr>
            <w:tcW w:w="622" w:type="dxa"/>
            <w:vMerge w:val="continue"/>
            <w:tcMar>
              <w:left w:w="108" w:type="dxa"/>
              <w:right w:w="108" w:type="dxa"/>
            </w:tcMar>
            <w:vAlign w:val="center"/>
          </w:tcPr>
          <w:p w14:paraId="101CC13B">
            <w:pPr>
              <w:pStyle w:val="71"/>
              <w:spacing w:before="24" w:after="24"/>
            </w:pPr>
          </w:p>
        </w:tc>
        <w:tc>
          <w:tcPr>
            <w:tcW w:w="1307" w:type="dxa"/>
            <w:vMerge w:val="continue"/>
            <w:tcMar>
              <w:left w:w="108" w:type="dxa"/>
              <w:right w:w="108" w:type="dxa"/>
            </w:tcMar>
            <w:vAlign w:val="center"/>
          </w:tcPr>
          <w:p w14:paraId="3A2DBD7D">
            <w:pPr>
              <w:pStyle w:val="71"/>
              <w:spacing w:before="24" w:after="24"/>
            </w:pPr>
          </w:p>
        </w:tc>
        <w:tc>
          <w:tcPr>
            <w:tcW w:w="740" w:type="dxa"/>
            <w:vMerge w:val="continue"/>
            <w:tcMar>
              <w:left w:w="108" w:type="dxa"/>
              <w:right w:w="108" w:type="dxa"/>
            </w:tcMar>
            <w:vAlign w:val="center"/>
          </w:tcPr>
          <w:p w14:paraId="07CB4213">
            <w:pPr>
              <w:pStyle w:val="71"/>
              <w:spacing w:before="24" w:after="24"/>
            </w:pPr>
          </w:p>
        </w:tc>
        <w:tc>
          <w:tcPr>
            <w:tcW w:w="1716" w:type="dxa"/>
            <w:tcMar>
              <w:left w:w="108" w:type="dxa"/>
              <w:right w:w="108" w:type="dxa"/>
            </w:tcMar>
            <w:vAlign w:val="center"/>
          </w:tcPr>
          <w:p w14:paraId="1BB28854">
            <w:pPr>
              <w:pStyle w:val="71"/>
              <w:spacing w:before="24" w:after="24"/>
            </w:pPr>
            <w:r>
              <w:t>V＞5000</w:t>
            </w:r>
          </w:p>
        </w:tc>
        <w:tc>
          <w:tcPr>
            <w:tcW w:w="1428" w:type="dxa"/>
            <w:tcMar>
              <w:left w:w="108" w:type="dxa"/>
              <w:right w:w="108" w:type="dxa"/>
            </w:tcMar>
            <w:vAlign w:val="center"/>
          </w:tcPr>
          <w:p w14:paraId="2B24C58D">
            <w:pPr>
              <w:pStyle w:val="71"/>
              <w:spacing w:before="24" w:after="24"/>
            </w:pPr>
            <w:r>
              <w:t>25</w:t>
            </w:r>
          </w:p>
        </w:tc>
        <w:tc>
          <w:tcPr>
            <w:tcW w:w="1461" w:type="dxa"/>
            <w:tcMar>
              <w:left w:w="108" w:type="dxa"/>
              <w:right w:w="108" w:type="dxa"/>
            </w:tcMar>
            <w:vAlign w:val="center"/>
          </w:tcPr>
          <w:p w14:paraId="3CBB6D31">
            <w:pPr>
              <w:pStyle w:val="71"/>
              <w:spacing w:before="24" w:after="24"/>
            </w:pPr>
            <w:r>
              <w:t>5</w:t>
            </w:r>
          </w:p>
        </w:tc>
        <w:tc>
          <w:tcPr>
            <w:tcW w:w="1485" w:type="dxa"/>
            <w:tcMar>
              <w:left w:w="108" w:type="dxa"/>
              <w:right w:w="108" w:type="dxa"/>
            </w:tcMar>
            <w:vAlign w:val="center"/>
          </w:tcPr>
          <w:p w14:paraId="7D58C8C3">
            <w:pPr>
              <w:pStyle w:val="71"/>
              <w:spacing w:before="24" w:after="24"/>
            </w:pPr>
            <w:r>
              <w:t>15</w:t>
            </w:r>
          </w:p>
        </w:tc>
      </w:tr>
      <w:tr w14:paraId="0E4E6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27" w:type="dxa"/>
            <w:vMerge w:val="continue"/>
            <w:tcMar>
              <w:left w:w="108" w:type="dxa"/>
              <w:right w:w="108" w:type="dxa"/>
            </w:tcMar>
            <w:vAlign w:val="center"/>
          </w:tcPr>
          <w:p w14:paraId="6DA26472">
            <w:pPr>
              <w:pStyle w:val="71"/>
              <w:spacing w:before="24" w:after="24"/>
            </w:pPr>
          </w:p>
        </w:tc>
        <w:tc>
          <w:tcPr>
            <w:tcW w:w="622" w:type="dxa"/>
            <w:vMerge w:val="continue"/>
            <w:tcMar>
              <w:left w:w="108" w:type="dxa"/>
              <w:right w:w="108" w:type="dxa"/>
            </w:tcMar>
            <w:vAlign w:val="center"/>
          </w:tcPr>
          <w:p w14:paraId="09F45B9C">
            <w:pPr>
              <w:pStyle w:val="71"/>
              <w:spacing w:before="24" w:after="24"/>
            </w:pPr>
          </w:p>
        </w:tc>
        <w:tc>
          <w:tcPr>
            <w:tcW w:w="1307" w:type="dxa"/>
            <w:vMerge w:val="restart"/>
            <w:tcMar>
              <w:left w:w="108" w:type="dxa"/>
              <w:right w:w="108" w:type="dxa"/>
            </w:tcMar>
            <w:vAlign w:val="center"/>
          </w:tcPr>
          <w:p w14:paraId="7E6B1C40">
            <w:pPr>
              <w:pStyle w:val="71"/>
              <w:spacing w:before="24" w:after="24"/>
            </w:pPr>
            <w:r>
              <w:t>h＞24</w:t>
            </w:r>
          </w:p>
        </w:tc>
        <w:tc>
          <w:tcPr>
            <w:tcW w:w="2456" w:type="dxa"/>
            <w:gridSpan w:val="2"/>
            <w:tcMar>
              <w:left w:w="108" w:type="dxa"/>
              <w:right w:w="108" w:type="dxa"/>
            </w:tcMar>
            <w:vAlign w:val="center"/>
          </w:tcPr>
          <w:p w14:paraId="6E27C65F">
            <w:pPr>
              <w:pStyle w:val="71"/>
              <w:spacing w:before="24" w:after="24"/>
            </w:pPr>
            <w:r>
              <w:t>丁、戊</w:t>
            </w:r>
          </w:p>
        </w:tc>
        <w:tc>
          <w:tcPr>
            <w:tcW w:w="1428" w:type="dxa"/>
            <w:tcMar>
              <w:left w:w="108" w:type="dxa"/>
              <w:right w:w="108" w:type="dxa"/>
            </w:tcMar>
            <w:vAlign w:val="center"/>
          </w:tcPr>
          <w:p w14:paraId="06F225EC">
            <w:pPr>
              <w:pStyle w:val="71"/>
              <w:spacing w:before="24" w:after="24"/>
            </w:pPr>
            <w:r>
              <w:t>30</w:t>
            </w:r>
          </w:p>
        </w:tc>
        <w:tc>
          <w:tcPr>
            <w:tcW w:w="1461" w:type="dxa"/>
            <w:tcMar>
              <w:left w:w="108" w:type="dxa"/>
              <w:right w:w="108" w:type="dxa"/>
            </w:tcMar>
            <w:vAlign w:val="center"/>
          </w:tcPr>
          <w:p w14:paraId="12A58882">
            <w:pPr>
              <w:pStyle w:val="71"/>
              <w:spacing w:before="24" w:after="24"/>
            </w:pPr>
            <w:r>
              <w:t>6</w:t>
            </w:r>
          </w:p>
        </w:tc>
        <w:tc>
          <w:tcPr>
            <w:tcW w:w="1485" w:type="dxa"/>
            <w:tcMar>
              <w:left w:w="108" w:type="dxa"/>
              <w:right w:w="108" w:type="dxa"/>
            </w:tcMar>
            <w:vAlign w:val="center"/>
          </w:tcPr>
          <w:p w14:paraId="7372986C">
            <w:pPr>
              <w:pStyle w:val="71"/>
              <w:spacing w:before="24" w:after="24"/>
            </w:pPr>
            <w:r>
              <w:t>15</w:t>
            </w:r>
          </w:p>
        </w:tc>
      </w:tr>
      <w:tr w14:paraId="2F17D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527" w:type="dxa"/>
            <w:vMerge w:val="continue"/>
            <w:tcMar>
              <w:left w:w="108" w:type="dxa"/>
              <w:right w:w="108" w:type="dxa"/>
            </w:tcMar>
            <w:vAlign w:val="center"/>
          </w:tcPr>
          <w:p w14:paraId="70AF47C2">
            <w:pPr>
              <w:pStyle w:val="71"/>
              <w:spacing w:before="24" w:after="24"/>
            </w:pPr>
          </w:p>
        </w:tc>
        <w:tc>
          <w:tcPr>
            <w:tcW w:w="622" w:type="dxa"/>
            <w:vMerge w:val="continue"/>
            <w:tcMar>
              <w:left w:w="108" w:type="dxa"/>
              <w:right w:w="108" w:type="dxa"/>
            </w:tcMar>
            <w:vAlign w:val="center"/>
          </w:tcPr>
          <w:p w14:paraId="0F60E1A7">
            <w:pPr>
              <w:pStyle w:val="71"/>
              <w:spacing w:before="24" w:after="24"/>
            </w:pPr>
          </w:p>
        </w:tc>
        <w:tc>
          <w:tcPr>
            <w:tcW w:w="1307" w:type="dxa"/>
            <w:vMerge w:val="continue"/>
            <w:tcMar>
              <w:left w:w="108" w:type="dxa"/>
              <w:right w:w="108" w:type="dxa"/>
            </w:tcMar>
            <w:vAlign w:val="center"/>
          </w:tcPr>
          <w:p w14:paraId="12BD8708">
            <w:pPr>
              <w:pStyle w:val="71"/>
              <w:spacing w:before="24" w:after="24"/>
            </w:pPr>
          </w:p>
        </w:tc>
        <w:tc>
          <w:tcPr>
            <w:tcW w:w="2456" w:type="dxa"/>
            <w:gridSpan w:val="2"/>
            <w:tcMar>
              <w:left w:w="108" w:type="dxa"/>
              <w:right w:w="108" w:type="dxa"/>
            </w:tcMar>
            <w:vAlign w:val="center"/>
          </w:tcPr>
          <w:p w14:paraId="0BF1FCB3">
            <w:pPr>
              <w:pStyle w:val="71"/>
              <w:spacing w:before="24" w:after="24"/>
            </w:pPr>
            <w:r>
              <w:t>丙</w:t>
            </w:r>
          </w:p>
        </w:tc>
        <w:tc>
          <w:tcPr>
            <w:tcW w:w="1428" w:type="dxa"/>
            <w:tcMar>
              <w:left w:w="108" w:type="dxa"/>
              <w:right w:w="108" w:type="dxa"/>
            </w:tcMar>
            <w:vAlign w:val="center"/>
          </w:tcPr>
          <w:p w14:paraId="5D781ABE">
            <w:pPr>
              <w:pStyle w:val="71"/>
              <w:spacing w:before="24" w:after="24"/>
            </w:pPr>
            <w:r>
              <w:t>40</w:t>
            </w:r>
          </w:p>
        </w:tc>
        <w:tc>
          <w:tcPr>
            <w:tcW w:w="1461" w:type="dxa"/>
            <w:tcMar>
              <w:left w:w="108" w:type="dxa"/>
              <w:right w:w="108" w:type="dxa"/>
            </w:tcMar>
            <w:vAlign w:val="center"/>
          </w:tcPr>
          <w:p w14:paraId="63A6E24F">
            <w:pPr>
              <w:pStyle w:val="71"/>
              <w:spacing w:before="24" w:after="24"/>
            </w:pPr>
            <w:r>
              <w:t>8</w:t>
            </w:r>
          </w:p>
        </w:tc>
        <w:tc>
          <w:tcPr>
            <w:tcW w:w="1485" w:type="dxa"/>
            <w:tcMar>
              <w:left w:w="108" w:type="dxa"/>
              <w:right w:w="108" w:type="dxa"/>
            </w:tcMar>
            <w:vAlign w:val="center"/>
          </w:tcPr>
          <w:p w14:paraId="1444D123">
            <w:pPr>
              <w:pStyle w:val="71"/>
              <w:spacing w:before="24" w:after="24"/>
            </w:pPr>
            <w:r>
              <w:t>15</w:t>
            </w:r>
          </w:p>
        </w:tc>
      </w:tr>
    </w:tbl>
    <w:p w14:paraId="4089DB9B">
      <w:pPr>
        <w:numPr>
          <w:ilvl w:val="0"/>
          <w:numId w:val="7"/>
        </w:numPr>
        <w:spacing w:before="24" w:after="24"/>
        <w:ind w:firstLine="560" w:firstLineChars="200"/>
        <w:rPr>
          <w:rFonts w:ascii="Times New Roman" w:hAnsi="Times New Roman" w:cs="Times New Roman"/>
        </w:rPr>
      </w:pPr>
      <w:r>
        <w:rPr>
          <w:rFonts w:ascii="Times New Roman" w:hAnsi="Times New Roman" w:cs="Times New Roman"/>
        </w:rPr>
        <w:t>民用建筑</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1"/>
        <w:gridCol w:w="660"/>
        <w:gridCol w:w="1998"/>
        <w:gridCol w:w="2233"/>
        <w:gridCol w:w="1243"/>
        <w:gridCol w:w="1189"/>
        <w:gridCol w:w="1272"/>
      </w:tblGrid>
      <w:tr w14:paraId="381B9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349" w:type="dxa"/>
            <w:gridSpan w:val="3"/>
            <w:tcMar>
              <w:left w:w="108" w:type="dxa"/>
              <w:right w:w="108" w:type="dxa"/>
            </w:tcMar>
            <w:vAlign w:val="center"/>
          </w:tcPr>
          <w:p w14:paraId="03BA9225">
            <w:pPr>
              <w:spacing w:before="24" w:after="24" w:line="288" w:lineRule="auto"/>
              <w:jc w:val="center"/>
              <w:rPr>
                <w:rFonts w:ascii="Times New Roman" w:hAnsi="Times New Roman" w:cs="Times New Roman"/>
                <w:sz w:val="24"/>
              </w:rPr>
            </w:pPr>
            <w:r>
              <w:rPr>
                <w:rFonts w:ascii="Times New Roman" w:hAnsi="Times New Roman" w:cs="Times New Roman"/>
                <w:sz w:val="24"/>
              </w:rPr>
              <w:t>建筑物名称</w:t>
            </w:r>
          </w:p>
        </w:tc>
        <w:tc>
          <w:tcPr>
            <w:tcW w:w="2233" w:type="dxa"/>
            <w:tcMar>
              <w:left w:w="108" w:type="dxa"/>
              <w:right w:w="108" w:type="dxa"/>
            </w:tcMar>
            <w:vAlign w:val="center"/>
          </w:tcPr>
          <w:p w14:paraId="278537D6">
            <w:pPr>
              <w:spacing w:before="24" w:after="24" w:line="288" w:lineRule="auto"/>
              <w:jc w:val="left"/>
              <w:rPr>
                <w:rFonts w:ascii="Times New Roman" w:hAnsi="Times New Roman" w:cs="Times New Roman"/>
                <w:sz w:val="24"/>
              </w:rPr>
            </w:pPr>
            <w:r>
              <w:rPr>
                <w:rFonts w:ascii="Times New Roman" w:hAnsi="Times New Roman" w:cs="Times New Roman"/>
                <w:sz w:val="24"/>
              </w:rPr>
              <w:t>高度h（m）、层数、体积V（m3）、座位数n（个）、火灾危险性</w:t>
            </w:r>
          </w:p>
        </w:tc>
        <w:tc>
          <w:tcPr>
            <w:tcW w:w="1243" w:type="dxa"/>
            <w:tcMar>
              <w:left w:w="108" w:type="dxa"/>
              <w:right w:w="108" w:type="dxa"/>
            </w:tcMar>
            <w:vAlign w:val="center"/>
          </w:tcPr>
          <w:p w14:paraId="3CBBCE88">
            <w:pPr>
              <w:spacing w:before="24" w:after="24" w:line="288" w:lineRule="auto"/>
              <w:jc w:val="center"/>
              <w:rPr>
                <w:rFonts w:ascii="Times New Roman" w:hAnsi="Times New Roman" w:cs="Times New Roman"/>
                <w:sz w:val="24"/>
              </w:rPr>
            </w:pPr>
            <w:r>
              <w:rPr>
                <w:rFonts w:ascii="Times New Roman" w:hAnsi="Times New Roman" w:cs="Times New Roman"/>
                <w:sz w:val="24"/>
              </w:rPr>
              <w:t>消火栓设计流量 （L/s）</w:t>
            </w:r>
          </w:p>
        </w:tc>
        <w:tc>
          <w:tcPr>
            <w:tcW w:w="1189" w:type="dxa"/>
            <w:tcMar>
              <w:left w:w="108" w:type="dxa"/>
              <w:right w:w="108" w:type="dxa"/>
            </w:tcMar>
            <w:vAlign w:val="center"/>
          </w:tcPr>
          <w:p w14:paraId="0BEEFD51">
            <w:pPr>
              <w:spacing w:before="24" w:after="24" w:line="288" w:lineRule="auto"/>
              <w:jc w:val="center"/>
              <w:rPr>
                <w:rFonts w:ascii="Times New Roman" w:hAnsi="Times New Roman" w:cs="Times New Roman"/>
                <w:sz w:val="24"/>
              </w:rPr>
            </w:pPr>
            <w:r>
              <w:rPr>
                <w:rFonts w:ascii="Times New Roman" w:hAnsi="Times New Roman" w:cs="Times New Roman"/>
                <w:sz w:val="24"/>
              </w:rPr>
              <w:t>同时使用消防水枪数（支）</w:t>
            </w:r>
          </w:p>
        </w:tc>
        <w:tc>
          <w:tcPr>
            <w:tcW w:w="1272" w:type="dxa"/>
            <w:tcMar>
              <w:left w:w="108" w:type="dxa"/>
              <w:right w:w="108" w:type="dxa"/>
            </w:tcMar>
            <w:vAlign w:val="center"/>
          </w:tcPr>
          <w:p w14:paraId="6A78D1F5">
            <w:pPr>
              <w:spacing w:before="24" w:after="24" w:line="288" w:lineRule="auto"/>
              <w:jc w:val="center"/>
              <w:rPr>
                <w:rFonts w:ascii="Times New Roman" w:hAnsi="Times New Roman" w:cs="Times New Roman"/>
                <w:sz w:val="24"/>
              </w:rPr>
            </w:pPr>
            <w:r>
              <w:rPr>
                <w:rFonts w:ascii="Times New Roman" w:hAnsi="Times New Roman" w:cs="Times New Roman"/>
                <w:sz w:val="24"/>
              </w:rPr>
              <w:t>每根竖管最小流量（L/s）</w:t>
            </w:r>
          </w:p>
        </w:tc>
      </w:tr>
      <w:tr w14:paraId="3D69F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1" w:type="dxa"/>
            <w:vMerge w:val="restart"/>
            <w:tcMar>
              <w:left w:w="108" w:type="dxa"/>
              <w:right w:w="108" w:type="dxa"/>
            </w:tcMar>
            <w:vAlign w:val="center"/>
          </w:tcPr>
          <w:p w14:paraId="14F373E6">
            <w:pPr>
              <w:spacing w:before="24" w:after="24" w:line="288" w:lineRule="auto"/>
              <w:jc w:val="center"/>
              <w:rPr>
                <w:rFonts w:ascii="Times New Roman" w:hAnsi="Times New Roman" w:cs="Times New Roman"/>
                <w:sz w:val="24"/>
              </w:rPr>
            </w:pPr>
            <w:r>
              <w:rPr>
                <w:rFonts w:ascii="Times New Roman" w:hAnsi="Times New Roman" w:cs="Times New Roman"/>
                <w:sz w:val="24"/>
              </w:rPr>
              <w:t>民 用 建 筑</w:t>
            </w:r>
          </w:p>
        </w:tc>
        <w:tc>
          <w:tcPr>
            <w:tcW w:w="660" w:type="dxa"/>
            <w:vMerge w:val="restart"/>
            <w:tcMar>
              <w:left w:w="108" w:type="dxa"/>
              <w:right w:w="108" w:type="dxa"/>
            </w:tcMar>
            <w:vAlign w:val="center"/>
          </w:tcPr>
          <w:p w14:paraId="5AB1F3FA">
            <w:pPr>
              <w:spacing w:before="24" w:after="24" w:line="288" w:lineRule="auto"/>
              <w:jc w:val="center"/>
              <w:rPr>
                <w:rFonts w:ascii="Times New Roman" w:hAnsi="Times New Roman" w:cs="Times New Roman"/>
                <w:sz w:val="24"/>
              </w:rPr>
            </w:pPr>
            <w:r>
              <w:rPr>
                <w:rFonts w:ascii="Times New Roman" w:hAnsi="Times New Roman" w:cs="Times New Roman"/>
                <w:sz w:val="24"/>
              </w:rPr>
              <w:t>单层及多层</w:t>
            </w:r>
          </w:p>
        </w:tc>
        <w:tc>
          <w:tcPr>
            <w:tcW w:w="1998" w:type="dxa"/>
            <w:vMerge w:val="restart"/>
            <w:tcMar>
              <w:left w:w="108" w:type="dxa"/>
              <w:right w:w="108" w:type="dxa"/>
            </w:tcMar>
            <w:vAlign w:val="center"/>
          </w:tcPr>
          <w:p w14:paraId="77E9AB36">
            <w:pPr>
              <w:spacing w:before="24" w:after="24" w:line="288" w:lineRule="auto"/>
              <w:jc w:val="center"/>
              <w:rPr>
                <w:rFonts w:ascii="Times New Roman" w:hAnsi="Times New Roman" w:cs="Times New Roman"/>
                <w:sz w:val="24"/>
              </w:rPr>
            </w:pPr>
            <w:r>
              <w:rPr>
                <w:rFonts w:ascii="Times New Roman" w:hAnsi="Times New Roman" w:cs="Times New Roman"/>
                <w:sz w:val="24"/>
              </w:rPr>
              <w:t>科研楼、试验楼</w:t>
            </w:r>
          </w:p>
        </w:tc>
        <w:tc>
          <w:tcPr>
            <w:tcW w:w="2233" w:type="dxa"/>
            <w:tcMar>
              <w:left w:w="108" w:type="dxa"/>
              <w:right w:w="108" w:type="dxa"/>
            </w:tcMar>
            <w:vAlign w:val="center"/>
          </w:tcPr>
          <w:p w14:paraId="5A5A3E50">
            <w:pPr>
              <w:spacing w:before="24" w:after="24" w:line="288" w:lineRule="auto"/>
              <w:jc w:val="center"/>
              <w:rPr>
                <w:rFonts w:ascii="Times New Roman" w:hAnsi="Times New Roman" w:cs="Times New Roman"/>
                <w:sz w:val="24"/>
              </w:rPr>
            </w:pPr>
            <w:r>
              <w:rPr>
                <w:rFonts w:ascii="Times New Roman" w:hAnsi="Times New Roman" w:cs="Times New Roman"/>
                <w:sz w:val="24"/>
              </w:rPr>
              <w:t>V≤10000</w:t>
            </w:r>
          </w:p>
        </w:tc>
        <w:tc>
          <w:tcPr>
            <w:tcW w:w="1243" w:type="dxa"/>
            <w:tcMar>
              <w:left w:w="108" w:type="dxa"/>
              <w:right w:w="108" w:type="dxa"/>
            </w:tcMar>
            <w:vAlign w:val="center"/>
          </w:tcPr>
          <w:p w14:paraId="53155B1A">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c>
          <w:tcPr>
            <w:tcW w:w="1189" w:type="dxa"/>
            <w:tcMar>
              <w:left w:w="108" w:type="dxa"/>
              <w:right w:w="108" w:type="dxa"/>
            </w:tcMar>
            <w:vAlign w:val="center"/>
          </w:tcPr>
          <w:p w14:paraId="7554DEB1">
            <w:pPr>
              <w:spacing w:before="24" w:after="24" w:line="288" w:lineRule="auto"/>
              <w:jc w:val="center"/>
              <w:rPr>
                <w:rFonts w:ascii="Times New Roman" w:hAnsi="Times New Roman" w:cs="Times New Roman"/>
                <w:sz w:val="24"/>
              </w:rPr>
            </w:pPr>
            <w:r>
              <w:rPr>
                <w:rFonts w:ascii="Times New Roman" w:hAnsi="Times New Roman" w:cs="Times New Roman"/>
                <w:sz w:val="24"/>
              </w:rPr>
              <w:t>2</w:t>
            </w:r>
          </w:p>
        </w:tc>
        <w:tc>
          <w:tcPr>
            <w:tcW w:w="1272" w:type="dxa"/>
            <w:tcMar>
              <w:left w:w="108" w:type="dxa"/>
              <w:right w:w="108" w:type="dxa"/>
            </w:tcMar>
            <w:vAlign w:val="center"/>
          </w:tcPr>
          <w:p w14:paraId="53F01BDE">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4B298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1" w:type="dxa"/>
            <w:vMerge w:val="continue"/>
            <w:tcMar>
              <w:left w:w="108" w:type="dxa"/>
              <w:right w:w="108" w:type="dxa"/>
            </w:tcMar>
            <w:vAlign w:val="center"/>
          </w:tcPr>
          <w:p w14:paraId="2674C74E">
            <w:pPr>
              <w:spacing w:before="24" w:after="24" w:line="288" w:lineRule="auto"/>
              <w:jc w:val="center"/>
              <w:rPr>
                <w:rFonts w:ascii="Times New Roman" w:hAnsi="Times New Roman" w:cs="Times New Roman"/>
                <w:sz w:val="24"/>
              </w:rPr>
            </w:pPr>
          </w:p>
        </w:tc>
        <w:tc>
          <w:tcPr>
            <w:tcW w:w="660" w:type="dxa"/>
            <w:vMerge w:val="continue"/>
            <w:tcMar>
              <w:left w:w="108" w:type="dxa"/>
              <w:right w:w="108" w:type="dxa"/>
            </w:tcMar>
            <w:vAlign w:val="center"/>
          </w:tcPr>
          <w:p w14:paraId="690EBEFE">
            <w:pPr>
              <w:spacing w:before="24" w:after="24" w:line="288" w:lineRule="auto"/>
              <w:jc w:val="center"/>
              <w:rPr>
                <w:rFonts w:ascii="Times New Roman" w:hAnsi="Times New Roman" w:cs="Times New Roman"/>
                <w:sz w:val="24"/>
              </w:rPr>
            </w:pPr>
          </w:p>
        </w:tc>
        <w:tc>
          <w:tcPr>
            <w:tcW w:w="1998" w:type="dxa"/>
            <w:vMerge w:val="continue"/>
            <w:tcMar>
              <w:left w:w="108" w:type="dxa"/>
              <w:right w:w="108" w:type="dxa"/>
            </w:tcMar>
            <w:vAlign w:val="center"/>
          </w:tcPr>
          <w:p w14:paraId="75C2174C">
            <w:pPr>
              <w:spacing w:before="24" w:after="24" w:line="288" w:lineRule="auto"/>
              <w:jc w:val="center"/>
              <w:rPr>
                <w:rFonts w:ascii="Times New Roman" w:hAnsi="Times New Roman" w:cs="Times New Roman"/>
                <w:sz w:val="24"/>
              </w:rPr>
            </w:pPr>
          </w:p>
        </w:tc>
        <w:tc>
          <w:tcPr>
            <w:tcW w:w="2233" w:type="dxa"/>
            <w:tcMar>
              <w:left w:w="108" w:type="dxa"/>
              <w:right w:w="108" w:type="dxa"/>
            </w:tcMar>
            <w:vAlign w:val="center"/>
          </w:tcPr>
          <w:p w14:paraId="3204B692">
            <w:pPr>
              <w:spacing w:before="24" w:after="24" w:line="288" w:lineRule="auto"/>
              <w:jc w:val="center"/>
              <w:rPr>
                <w:rFonts w:ascii="Times New Roman" w:hAnsi="Times New Roman" w:cs="Times New Roman"/>
                <w:sz w:val="24"/>
              </w:rPr>
            </w:pPr>
            <w:r>
              <w:rPr>
                <w:rFonts w:ascii="Times New Roman" w:hAnsi="Times New Roman" w:cs="Times New Roman"/>
                <w:sz w:val="24"/>
              </w:rPr>
              <w:t>V＞10000</w:t>
            </w:r>
          </w:p>
        </w:tc>
        <w:tc>
          <w:tcPr>
            <w:tcW w:w="1243" w:type="dxa"/>
            <w:tcMar>
              <w:left w:w="108" w:type="dxa"/>
              <w:right w:w="108" w:type="dxa"/>
            </w:tcMar>
            <w:vAlign w:val="center"/>
          </w:tcPr>
          <w:p w14:paraId="79DCD188">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c>
          <w:tcPr>
            <w:tcW w:w="1189" w:type="dxa"/>
            <w:tcMar>
              <w:left w:w="108" w:type="dxa"/>
              <w:right w:w="108" w:type="dxa"/>
            </w:tcMar>
            <w:vAlign w:val="center"/>
          </w:tcPr>
          <w:p w14:paraId="275F4E16">
            <w:pPr>
              <w:spacing w:before="24" w:after="24" w:line="288" w:lineRule="auto"/>
              <w:jc w:val="center"/>
              <w:rPr>
                <w:rFonts w:ascii="Times New Roman" w:hAnsi="Times New Roman" w:cs="Times New Roman"/>
                <w:sz w:val="24"/>
              </w:rPr>
            </w:pPr>
            <w:r>
              <w:rPr>
                <w:rFonts w:ascii="Times New Roman" w:hAnsi="Times New Roman" w:cs="Times New Roman"/>
                <w:sz w:val="24"/>
              </w:rPr>
              <w:t>3</w:t>
            </w:r>
          </w:p>
        </w:tc>
        <w:tc>
          <w:tcPr>
            <w:tcW w:w="1272" w:type="dxa"/>
            <w:tcMar>
              <w:left w:w="108" w:type="dxa"/>
              <w:right w:w="108" w:type="dxa"/>
            </w:tcMar>
            <w:vAlign w:val="center"/>
          </w:tcPr>
          <w:p w14:paraId="0E436941">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18912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1" w:type="dxa"/>
            <w:vMerge w:val="continue"/>
            <w:tcMar>
              <w:left w:w="108" w:type="dxa"/>
              <w:right w:w="108" w:type="dxa"/>
            </w:tcMar>
            <w:vAlign w:val="center"/>
          </w:tcPr>
          <w:p w14:paraId="13F1733B">
            <w:pPr>
              <w:spacing w:before="24" w:after="24" w:line="288" w:lineRule="auto"/>
              <w:jc w:val="center"/>
              <w:rPr>
                <w:rFonts w:ascii="Times New Roman" w:hAnsi="Times New Roman" w:cs="Times New Roman"/>
                <w:sz w:val="24"/>
              </w:rPr>
            </w:pPr>
          </w:p>
        </w:tc>
        <w:tc>
          <w:tcPr>
            <w:tcW w:w="660" w:type="dxa"/>
            <w:vMerge w:val="continue"/>
            <w:tcMar>
              <w:left w:w="108" w:type="dxa"/>
              <w:right w:w="108" w:type="dxa"/>
            </w:tcMar>
            <w:vAlign w:val="center"/>
          </w:tcPr>
          <w:p w14:paraId="30DE5C7A">
            <w:pPr>
              <w:spacing w:before="24" w:after="24" w:line="288" w:lineRule="auto"/>
              <w:jc w:val="center"/>
              <w:rPr>
                <w:rFonts w:ascii="Times New Roman" w:hAnsi="Times New Roman" w:cs="Times New Roman"/>
                <w:sz w:val="24"/>
              </w:rPr>
            </w:pPr>
          </w:p>
        </w:tc>
        <w:tc>
          <w:tcPr>
            <w:tcW w:w="1998" w:type="dxa"/>
            <w:vMerge w:val="restart"/>
            <w:tcMar>
              <w:left w:w="108" w:type="dxa"/>
              <w:right w:w="108" w:type="dxa"/>
            </w:tcMar>
            <w:vAlign w:val="center"/>
          </w:tcPr>
          <w:p w14:paraId="5D8E7714">
            <w:pPr>
              <w:spacing w:before="24" w:after="24" w:line="288" w:lineRule="auto"/>
              <w:jc w:val="center"/>
              <w:rPr>
                <w:rFonts w:ascii="Times New Roman" w:hAnsi="Times New Roman" w:cs="Times New Roman"/>
                <w:sz w:val="24"/>
              </w:rPr>
            </w:pPr>
            <w:r>
              <w:rPr>
                <w:rFonts w:ascii="Times New Roman" w:hAnsi="Times New Roman" w:cs="Times New Roman"/>
                <w:sz w:val="24"/>
              </w:rPr>
              <w:t>车站、码头、机场的候车（船、机）楼和展览建筑（包括博物馆）等</w:t>
            </w:r>
          </w:p>
        </w:tc>
        <w:tc>
          <w:tcPr>
            <w:tcW w:w="2233" w:type="dxa"/>
            <w:tcMar>
              <w:left w:w="108" w:type="dxa"/>
              <w:right w:w="108" w:type="dxa"/>
            </w:tcMar>
            <w:vAlign w:val="center"/>
          </w:tcPr>
          <w:p w14:paraId="3D7B3466">
            <w:pPr>
              <w:spacing w:before="24" w:after="24" w:line="288" w:lineRule="auto"/>
              <w:jc w:val="center"/>
              <w:rPr>
                <w:rFonts w:ascii="Times New Roman" w:hAnsi="Times New Roman" w:cs="Times New Roman"/>
                <w:sz w:val="24"/>
              </w:rPr>
            </w:pPr>
            <w:r>
              <w:rPr>
                <w:rFonts w:ascii="Times New Roman" w:hAnsi="Times New Roman" w:cs="Times New Roman"/>
                <w:sz w:val="24"/>
              </w:rPr>
              <w:t>5000＜V≤25000</w:t>
            </w:r>
          </w:p>
        </w:tc>
        <w:tc>
          <w:tcPr>
            <w:tcW w:w="1243" w:type="dxa"/>
            <w:tcMar>
              <w:left w:w="108" w:type="dxa"/>
              <w:right w:w="108" w:type="dxa"/>
            </w:tcMar>
            <w:vAlign w:val="center"/>
          </w:tcPr>
          <w:p w14:paraId="3A9609BE">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c>
          <w:tcPr>
            <w:tcW w:w="1189" w:type="dxa"/>
            <w:tcMar>
              <w:left w:w="108" w:type="dxa"/>
              <w:right w:w="108" w:type="dxa"/>
            </w:tcMar>
            <w:vAlign w:val="center"/>
          </w:tcPr>
          <w:p w14:paraId="29008BF3">
            <w:pPr>
              <w:spacing w:before="24" w:after="24" w:line="288" w:lineRule="auto"/>
              <w:jc w:val="center"/>
              <w:rPr>
                <w:rFonts w:ascii="Times New Roman" w:hAnsi="Times New Roman" w:cs="Times New Roman"/>
                <w:sz w:val="24"/>
              </w:rPr>
            </w:pPr>
            <w:r>
              <w:rPr>
                <w:rFonts w:ascii="Times New Roman" w:hAnsi="Times New Roman" w:cs="Times New Roman"/>
                <w:sz w:val="24"/>
              </w:rPr>
              <w:t>2</w:t>
            </w:r>
          </w:p>
        </w:tc>
        <w:tc>
          <w:tcPr>
            <w:tcW w:w="1272" w:type="dxa"/>
            <w:tcMar>
              <w:left w:w="108" w:type="dxa"/>
              <w:right w:w="108" w:type="dxa"/>
            </w:tcMar>
            <w:vAlign w:val="center"/>
          </w:tcPr>
          <w:p w14:paraId="1505BF86">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0B5C1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1" w:type="dxa"/>
            <w:vMerge w:val="continue"/>
            <w:tcMar>
              <w:left w:w="108" w:type="dxa"/>
              <w:right w:w="108" w:type="dxa"/>
            </w:tcMar>
            <w:vAlign w:val="center"/>
          </w:tcPr>
          <w:p w14:paraId="14960AAE">
            <w:pPr>
              <w:spacing w:before="24" w:after="24" w:line="288" w:lineRule="auto"/>
              <w:jc w:val="center"/>
              <w:rPr>
                <w:rFonts w:ascii="Times New Roman" w:hAnsi="Times New Roman" w:cs="Times New Roman"/>
                <w:sz w:val="24"/>
              </w:rPr>
            </w:pPr>
          </w:p>
        </w:tc>
        <w:tc>
          <w:tcPr>
            <w:tcW w:w="660" w:type="dxa"/>
            <w:vMerge w:val="continue"/>
            <w:tcMar>
              <w:left w:w="108" w:type="dxa"/>
              <w:right w:w="108" w:type="dxa"/>
            </w:tcMar>
            <w:vAlign w:val="center"/>
          </w:tcPr>
          <w:p w14:paraId="5B247174">
            <w:pPr>
              <w:spacing w:before="24" w:after="24" w:line="288" w:lineRule="auto"/>
              <w:jc w:val="center"/>
              <w:rPr>
                <w:rFonts w:ascii="Times New Roman" w:hAnsi="Times New Roman" w:cs="Times New Roman"/>
                <w:sz w:val="24"/>
              </w:rPr>
            </w:pPr>
          </w:p>
        </w:tc>
        <w:tc>
          <w:tcPr>
            <w:tcW w:w="1998" w:type="dxa"/>
            <w:vMerge w:val="continue"/>
            <w:tcMar>
              <w:left w:w="108" w:type="dxa"/>
              <w:right w:w="108" w:type="dxa"/>
            </w:tcMar>
            <w:vAlign w:val="center"/>
          </w:tcPr>
          <w:p w14:paraId="20214A7B">
            <w:pPr>
              <w:spacing w:before="24" w:after="24" w:line="288" w:lineRule="auto"/>
              <w:jc w:val="center"/>
              <w:rPr>
                <w:rFonts w:ascii="Times New Roman" w:hAnsi="Times New Roman" w:cs="Times New Roman"/>
                <w:sz w:val="24"/>
              </w:rPr>
            </w:pPr>
          </w:p>
        </w:tc>
        <w:tc>
          <w:tcPr>
            <w:tcW w:w="2233" w:type="dxa"/>
            <w:tcMar>
              <w:left w:w="108" w:type="dxa"/>
              <w:right w:w="108" w:type="dxa"/>
            </w:tcMar>
            <w:vAlign w:val="center"/>
          </w:tcPr>
          <w:p w14:paraId="38331445">
            <w:pPr>
              <w:spacing w:before="24" w:after="24" w:line="288" w:lineRule="auto"/>
              <w:jc w:val="center"/>
              <w:rPr>
                <w:rFonts w:ascii="Times New Roman" w:hAnsi="Times New Roman" w:cs="Times New Roman"/>
                <w:sz w:val="24"/>
              </w:rPr>
            </w:pPr>
            <w:r>
              <w:rPr>
                <w:rFonts w:ascii="Times New Roman" w:hAnsi="Times New Roman" w:cs="Times New Roman"/>
                <w:sz w:val="24"/>
              </w:rPr>
              <w:t>25000＜V≤50000</w:t>
            </w:r>
          </w:p>
        </w:tc>
        <w:tc>
          <w:tcPr>
            <w:tcW w:w="1243" w:type="dxa"/>
            <w:tcMar>
              <w:left w:w="108" w:type="dxa"/>
              <w:right w:w="108" w:type="dxa"/>
            </w:tcMar>
            <w:vAlign w:val="center"/>
          </w:tcPr>
          <w:p w14:paraId="1A9D6EC4">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c>
          <w:tcPr>
            <w:tcW w:w="1189" w:type="dxa"/>
            <w:tcMar>
              <w:left w:w="108" w:type="dxa"/>
              <w:right w:w="108" w:type="dxa"/>
            </w:tcMar>
            <w:vAlign w:val="center"/>
          </w:tcPr>
          <w:p w14:paraId="24AF048F">
            <w:pPr>
              <w:spacing w:before="24" w:after="24" w:line="288" w:lineRule="auto"/>
              <w:jc w:val="center"/>
              <w:rPr>
                <w:rFonts w:ascii="Times New Roman" w:hAnsi="Times New Roman" w:cs="Times New Roman"/>
                <w:sz w:val="24"/>
              </w:rPr>
            </w:pPr>
            <w:r>
              <w:rPr>
                <w:rFonts w:ascii="Times New Roman" w:hAnsi="Times New Roman" w:cs="Times New Roman"/>
                <w:sz w:val="24"/>
              </w:rPr>
              <w:t>3</w:t>
            </w:r>
          </w:p>
        </w:tc>
        <w:tc>
          <w:tcPr>
            <w:tcW w:w="1272" w:type="dxa"/>
            <w:tcMar>
              <w:left w:w="108" w:type="dxa"/>
              <w:right w:w="108" w:type="dxa"/>
            </w:tcMar>
            <w:vAlign w:val="center"/>
          </w:tcPr>
          <w:p w14:paraId="694EB3FE">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2AF2E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1" w:type="dxa"/>
            <w:vMerge w:val="continue"/>
            <w:tcMar>
              <w:left w:w="108" w:type="dxa"/>
              <w:right w:w="108" w:type="dxa"/>
            </w:tcMar>
            <w:vAlign w:val="center"/>
          </w:tcPr>
          <w:p w14:paraId="66651BD8">
            <w:pPr>
              <w:spacing w:before="24" w:after="24" w:line="288" w:lineRule="auto"/>
              <w:jc w:val="center"/>
              <w:rPr>
                <w:rFonts w:ascii="Times New Roman" w:hAnsi="Times New Roman" w:cs="Times New Roman"/>
                <w:sz w:val="24"/>
              </w:rPr>
            </w:pPr>
          </w:p>
        </w:tc>
        <w:tc>
          <w:tcPr>
            <w:tcW w:w="660" w:type="dxa"/>
            <w:vMerge w:val="continue"/>
            <w:tcMar>
              <w:left w:w="108" w:type="dxa"/>
              <w:right w:w="108" w:type="dxa"/>
            </w:tcMar>
            <w:vAlign w:val="center"/>
          </w:tcPr>
          <w:p w14:paraId="4FEA2175">
            <w:pPr>
              <w:spacing w:before="24" w:after="24" w:line="288" w:lineRule="auto"/>
              <w:jc w:val="center"/>
              <w:rPr>
                <w:rFonts w:ascii="Times New Roman" w:hAnsi="Times New Roman" w:cs="Times New Roman"/>
                <w:sz w:val="24"/>
              </w:rPr>
            </w:pPr>
          </w:p>
        </w:tc>
        <w:tc>
          <w:tcPr>
            <w:tcW w:w="1998" w:type="dxa"/>
            <w:vMerge w:val="continue"/>
            <w:tcMar>
              <w:left w:w="108" w:type="dxa"/>
              <w:right w:w="108" w:type="dxa"/>
            </w:tcMar>
            <w:vAlign w:val="center"/>
          </w:tcPr>
          <w:p w14:paraId="6412663C">
            <w:pPr>
              <w:spacing w:before="24" w:after="24" w:line="288" w:lineRule="auto"/>
              <w:jc w:val="center"/>
              <w:rPr>
                <w:rFonts w:ascii="Times New Roman" w:hAnsi="Times New Roman" w:cs="Times New Roman"/>
                <w:sz w:val="24"/>
              </w:rPr>
            </w:pPr>
          </w:p>
        </w:tc>
        <w:tc>
          <w:tcPr>
            <w:tcW w:w="2233" w:type="dxa"/>
            <w:tcMar>
              <w:left w:w="108" w:type="dxa"/>
              <w:right w:w="108" w:type="dxa"/>
            </w:tcMar>
            <w:vAlign w:val="center"/>
          </w:tcPr>
          <w:p w14:paraId="30E8F8BE">
            <w:pPr>
              <w:spacing w:before="24" w:after="24" w:line="288" w:lineRule="auto"/>
              <w:jc w:val="center"/>
              <w:rPr>
                <w:rFonts w:ascii="Times New Roman" w:hAnsi="Times New Roman" w:cs="Times New Roman"/>
                <w:sz w:val="24"/>
              </w:rPr>
            </w:pPr>
            <w:r>
              <w:rPr>
                <w:rFonts w:ascii="Times New Roman" w:hAnsi="Times New Roman" w:cs="Times New Roman"/>
                <w:sz w:val="24"/>
              </w:rPr>
              <w:t>V＞50000</w:t>
            </w:r>
          </w:p>
        </w:tc>
        <w:tc>
          <w:tcPr>
            <w:tcW w:w="1243" w:type="dxa"/>
            <w:tcMar>
              <w:left w:w="108" w:type="dxa"/>
              <w:right w:w="108" w:type="dxa"/>
            </w:tcMar>
            <w:vAlign w:val="center"/>
          </w:tcPr>
          <w:p w14:paraId="749B6EE8">
            <w:pPr>
              <w:spacing w:before="24" w:after="24" w:line="288" w:lineRule="auto"/>
              <w:jc w:val="center"/>
              <w:rPr>
                <w:rFonts w:ascii="Times New Roman" w:hAnsi="Times New Roman" w:cs="Times New Roman"/>
                <w:sz w:val="24"/>
              </w:rPr>
            </w:pPr>
            <w:r>
              <w:rPr>
                <w:rFonts w:ascii="Times New Roman" w:hAnsi="Times New Roman" w:cs="Times New Roman"/>
                <w:sz w:val="24"/>
              </w:rPr>
              <w:t>20</w:t>
            </w:r>
          </w:p>
        </w:tc>
        <w:tc>
          <w:tcPr>
            <w:tcW w:w="1189" w:type="dxa"/>
            <w:tcMar>
              <w:left w:w="108" w:type="dxa"/>
              <w:right w:w="108" w:type="dxa"/>
            </w:tcMar>
            <w:vAlign w:val="center"/>
          </w:tcPr>
          <w:p w14:paraId="09FAAAFA">
            <w:pPr>
              <w:spacing w:before="24" w:after="24" w:line="288" w:lineRule="auto"/>
              <w:jc w:val="center"/>
              <w:rPr>
                <w:rFonts w:ascii="Times New Roman" w:hAnsi="Times New Roman" w:cs="Times New Roman"/>
                <w:sz w:val="24"/>
              </w:rPr>
            </w:pPr>
            <w:r>
              <w:rPr>
                <w:rFonts w:ascii="Times New Roman" w:hAnsi="Times New Roman" w:cs="Times New Roman"/>
                <w:sz w:val="24"/>
              </w:rPr>
              <w:t>4</w:t>
            </w:r>
          </w:p>
        </w:tc>
        <w:tc>
          <w:tcPr>
            <w:tcW w:w="1272" w:type="dxa"/>
            <w:tcMar>
              <w:left w:w="108" w:type="dxa"/>
              <w:right w:w="108" w:type="dxa"/>
            </w:tcMar>
            <w:vAlign w:val="center"/>
          </w:tcPr>
          <w:p w14:paraId="707DF37D">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r>
      <w:tr w14:paraId="3B58C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1" w:type="dxa"/>
            <w:vMerge w:val="continue"/>
            <w:tcMar>
              <w:left w:w="108" w:type="dxa"/>
              <w:right w:w="108" w:type="dxa"/>
            </w:tcMar>
            <w:vAlign w:val="center"/>
          </w:tcPr>
          <w:p w14:paraId="4342E633">
            <w:pPr>
              <w:spacing w:before="24" w:after="24" w:line="288" w:lineRule="auto"/>
              <w:jc w:val="center"/>
              <w:rPr>
                <w:rFonts w:ascii="Times New Roman" w:hAnsi="Times New Roman" w:cs="Times New Roman"/>
                <w:sz w:val="24"/>
              </w:rPr>
            </w:pPr>
          </w:p>
        </w:tc>
        <w:tc>
          <w:tcPr>
            <w:tcW w:w="660" w:type="dxa"/>
            <w:vMerge w:val="continue"/>
            <w:tcMar>
              <w:left w:w="108" w:type="dxa"/>
              <w:right w:w="108" w:type="dxa"/>
            </w:tcMar>
            <w:vAlign w:val="center"/>
          </w:tcPr>
          <w:p w14:paraId="78860C4A">
            <w:pPr>
              <w:spacing w:before="24" w:after="24" w:line="288" w:lineRule="auto"/>
              <w:jc w:val="center"/>
              <w:rPr>
                <w:rFonts w:ascii="Times New Roman" w:hAnsi="Times New Roman" w:cs="Times New Roman"/>
                <w:sz w:val="24"/>
              </w:rPr>
            </w:pPr>
          </w:p>
        </w:tc>
        <w:tc>
          <w:tcPr>
            <w:tcW w:w="1998" w:type="dxa"/>
            <w:vMerge w:val="restart"/>
            <w:tcMar>
              <w:left w:w="108" w:type="dxa"/>
              <w:right w:w="108" w:type="dxa"/>
            </w:tcMar>
            <w:vAlign w:val="center"/>
          </w:tcPr>
          <w:p w14:paraId="499263F3">
            <w:pPr>
              <w:spacing w:before="24" w:after="24" w:line="288" w:lineRule="auto"/>
              <w:jc w:val="center"/>
              <w:rPr>
                <w:rFonts w:ascii="Times New Roman" w:hAnsi="Times New Roman" w:cs="Times New Roman"/>
                <w:sz w:val="24"/>
              </w:rPr>
            </w:pPr>
            <w:r>
              <w:rPr>
                <w:rFonts w:ascii="Times New Roman" w:hAnsi="Times New Roman" w:cs="Times New Roman"/>
                <w:sz w:val="24"/>
              </w:rPr>
              <w:t>剧场、电影院、会堂、礼堂、体育馆等</w:t>
            </w:r>
          </w:p>
        </w:tc>
        <w:tc>
          <w:tcPr>
            <w:tcW w:w="2233" w:type="dxa"/>
            <w:tcMar>
              <w:left w:w="108" w:type="dxa"/>
              <w:right w:w="108" w:type="dxa"/>
            </w:tcMar>
            <w:vAlign w:val="center"/>
          </w:tcPr>
          <w:p w14:paraId="10113EDE">
            <w:pPr>
              <w:spacing w:before="24" w:after="24" w:line="288" w:lineRule="auto"/>
              <w:jc w:val="center"/>
              <w:rPr>
                <w:rFonts w:ascii="Times New Roman" w:hAnsi="Times New Roman" w:cs="Times New Roman"/>
                <w:sz w:val="24"/>
              </w:rPr>
            </w:pPr>
            <w:r>
              <w:rPr>
                <w:rFonts w:ascii="Times New Roman" w:hAnsi="Times New Roman" w:cs="Times New Roman"/>
                <w:sz w:val="24"/>
              </w:rPr>
              <w:t>800＜n≤1200</w:t>
            </w:r>
          </w:p>
        </w:tc>
        <w:tc>
          <w:tcPr>
            <w:tcW w:w="1243" w:type="dxa"/>
            <w:tcMar>
              <w:left w:w="108" w:type="dxa"/>
              <w:right w:w="108" w:type="dxa"/>
            </w:tcMar>
            <w:vAlign w:val="center"/>
          </w:tcPr>
          <w:p w14:paraId="00A5791C">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c>
          <w:tcPr>
            <w:tcW w:w="1189" w:type="dxa"/>
            <w:tcMar>
              <w:left w:w="108" w:type="dxa"/>
              <w:right w:w="108" w:type="dxa"/>
            </w:tcMar>
            <w:vAlign w:val="center"/>
          </w:tcPr>
          <w:p w14:paraId="6723CBF6">
            <w:pPr>
              <w:spacing w:before="24" w:after="24" w:line="288" w:lineRule="auto"/>
              <w:jc w:val="center"/>
              <w:rPr>
                <w:rFonts w:ascii="Times New Roman" w:hAnsi="Times New Roman" w:cs="Times New Roman"/>
                <w:sz w:val="24"/>
              </w:rPr>
            </w:pPr>
            <w:r>
              <w:rPr>
                <w:rFonts w:ascii="Times New Roman" w:hAnsi="Times New Roman" w:cs="Times New Roman"/>
                <w:sz w:val="24"/>
              </w:rPr>
              <w:t>2</w:t>
            </w:r>
          </w:p>
        </w:tc>
        <w:tc>
          <w:tcPr>
            <w:tcW w:w="1272" w:type="dxa"/>
            <w:tcMar>
              <w:left w:w="108" w:type="dxa"/>
              <w:right w:w="108" w:type="dxa"/>
            </w:tcMar>
            <w:vAlign w:val="center"/>
          </w:tcPr>
          <w:p w14:paraId="63547D53">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3087C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1" w:type="dxa"/>
            <w:vMerge w:val="continue"/>
            <w:tcMar>
              <w:left w:w="108" w:type="dxa"/>
              <w:right w:w="108" w:type="dxa"/>
            </w:tcMar>
            <w:vAlign w:val="center"/>
          </w:tcPr>
          <w:p w14:paraId="56CE9550">
            <w:pPr>
              <w:spacing w:before="24" w:after="24" w:line="288" w:lineRule="auto"/>
              <w:jc w:val="center"/>
              <w:rPr>
                <w:rFonts w:ascii="Times New Roman" w:hAnsi="Times New Roman" w:cs="Times New Roman"/>
                <w:sz w:val="24"/>
              </w:rPr>
            </w:pPr>
          </w:p>
        </w:tc>
        <w:tc>
          <w:tcPr>
            <w:tcW w:w="660" w:type="dxa"/>
            <w:vMerge w:val="continue"/>
            <w:tcMar>
              <w:left w:w="108" w:type="dxa"/>
              <w:right w:w="108" w:type="dxa"/>
            </w:tcMar>
            <w:vAlign w:val="center"/>
          </w:tcPr>
          <w:p w14:paraId="4E42FF2B">
            <w:pPr>
              <w:spacing w:before="24" w:after="24" w:line="288" w:lineRule="auto"/>
              <w:jc w:val="center"/>
              <w:rPr>
                <w:rFonts w:ascii="Times New Roman" w:hAnsi="Times New Roman" w:cs="Times New Roman"/>
                <w:sz w:val="24"/>
              </w:rPr>
            </w:pPr>
          </w:p>
        </w:tc>
        <w:tc>
          <w:tcPr>
            <w:tcW w:w="1998" w:type="dxa"/>
            <w:vMerge w:val="continue"/>
            <w:tcMar>
              <w:left w:w="108" w:type="dxa"/>
              <w:right w:w="108" w:type="dxa"/>
            </w:tcMar>
            <w:vAlign w:val="center"/>
          </w:tcPr>
          <w:p w14:paraId="7B43FE0B">
            <w:pPr>
              <w:spacing w:before="24" w:after="24" w:line="288" w:lineRule="auto"/>
              <w:jc w:val="center"/>
              <w:rPr>
                <w:rFonts w:ascii="Times New Roman" w:hAnsi="Times New Roman" w:cs="Times New Roman"/>
                <w:sz w:val="24"/>
              </w:rPr>
            </w:pPr>
          </w:p>
        </w:tc>
        <w:tc>
          <w:tcPr>
            <w:tcW w:w="2233" w:type="dxa"/>
            <w:tcMar>
              <w:left w:w="108" w:type="dxa"/>
              <w:right w:w="108" w:type="dxa"/>
            </w:tcMar>
            <w:vAlign w:val="center"/>
          </w:tcPr>
          <w:p w14:paraId="7A75DBA3">
            <w:pPr>
              <w:spacing w:before="24" w:after="24" w:line="288" w:lineRule="auto"/>
              <w:jc w:val="center"/>
              <w:rPr>
                <w:rFonts w:ascii="Times New Roman" w:hAnsi="Times New Roman" w:cs="Times New Roman"/>
                <w:sz w:val="24"/>
              </w:rPr>
            </w:pPr>
            <w:r>
              <w:rPr>
                <w:rFonts w:ascii="Times New Roman" w:hAnsi="Times New Roman" w:cs="Times New Roman"/>
                <w:sz w:val="24"/>
              </w:rPr>
              <w:t>1200＜n≤5000</w:t>
            </w:r>
          </w:p>
        </w:tc>
        <w:tc>
          <w:tcPr>
            <w:tcW w:w="1243" w:type="dxa"/>
            <w:tcMar>
              <w:left w:w="108" w:type="dxa"/>
              <w:right w:w="108" w:type="dxa"/>
            </w:tcMar>
            <w:vAlign w:val="center"/>
          </w:tcPr>
          <w:p w14:paraId="1677EEEF">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c>
          <w:tcPr>
            <w:tcW w:w="1189" w:type="dxa"/>
            <w:tcMar>
              <w:left w:w="108" w:type="dxa"/>
              <w:right w:w="108" w:type="dxa"/>
            </w:tcMar>
            <w:vAlign w:val="center"/>
          </w:tcPr>
          <w:p w14:paraId="1215FDE6">
            <w:pPr>
              <w:spacing w:before="24" w:after="24" w:line="288" w:lineRule="auto"/>
              <w:jc w:val="center"/>
              <w:rPr>
                <w:rFonts w:ascii="Times New Roman" w:hAnsi="Times New Roman" w:cs="Times New Roman"/>
                <w:sz w:val="24"/>
              </w:rPr>
            </w:pPr>
            <w:r>
              <w:rPr>
                <w:rFonts w:ascii="Times New Roman" w:hAnsi="Times New Roman" w:cs="Times New Roman"/>
                <w:sz w:val="24"/>
              </w:rPr>
              <w:t>3</w:t>
            </w:r>
          </w:p>
        </w:tc>
        <w:tc>
          <w:tcPr>
            <w:tcW w:w="1272" w:type="dxa"/>
            <w:tcMar>
              <w:left w:w="108" w:type="dxa"/>
              <w:right w:w="108" w:type="dxa"/>
            </w:tcMar>
            <w:vAlign w:val="center"/>
          </w:tcPr>
          <w:p w14:paraId="70BA276F">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783F0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1" w:type="dxa"/>
            <w:vMerge w:val="continue"/>
            <w:tcMar>
              <w:left w:w="108" w:type="dxa"/>
              <w:right w:w="108" w:type="dxa"/>
            </w:tcMar>
            <w:vAlign w:val="center"/>
          </w:tcPr>
          <w:p w14:paraId="63ED50E9">
            <w:pPr>
              <w:spacing w:before="24" w:after="24" w:line="288" w:lineRule="auto"/>
              <w:jc w:val="center"/>
              <w:rPr>
                <w:rFonts w:ascii="Times New Roman" w:hAnsi="Times New Roman" w:cs="Times New Roman"/>
                <w:sz w:val="24"/>
              </w:rPr>
            </w:pPr>
          </w:p>
        </w:tc>
        <w:tc>
          <w:tcPr>
            <w:tcW w:w="660" w:type="dxa"/>
            <w:vMerge w:val="continue"/>
            <w:tcMar>
              <w:left w:w="108" w:type="dxa"/>
              <w:right w:w="108" w:type="dxa"/>
            </w:tcMar>
            <w:vAlign w:val="center"/>
          </w:tcPr>
          <w:p w14:paraId="2245E425">
            <w:pPr>
              <w:spacing w:before="24" w:after="24" w:line="288" w:lineRule="auto"/>
              <w:jc w:val="center"/>
              <w:rPr>
                <w:rFonts w:ascii="Times New Roman" w:hAnsi="Times New Roman" w:cs="Times New Roman"/>
                <w:sz w:val="24"/>
              </w:rPr>
            </w:pPr>
          </w:p>
        </w:tc>
        <w:tc>
          <w:tcPr>
            <w:tcW w:w="1998" w:type="dxa"/>
            <w:vMerge w:val="continue"/>
            <w:tcMar>
              <w:left w:w="108" w:type="dxa"/>
              <w:right w:w="108" w:type="dxa"/>
            </w:tcMar>
            <w:vAlign w:val="center"/>
          </w:tcPr>
          <w:p w14:paraId="6E4E2FB0">
            <w:pPr>
              <w:spacing w:before="24" w:after="24" w:line="288" w:lineRule="auto"/>
              <w:jc w:val="center"/>
              <w:rPr>
                <w:rFonts w:ascii="Times New Roman" w:hAnsi="Times New Roman" w:cs="Times New Roman"/>
                <w:sz w:val="24"/>
              </w:rPr>
            </w:pPr>
          </w:p>
        </w:tc>
        <w:tc>
          <w:tcPr>
            <w:tcW w:w="2233" w:type="dxa"/>
            <w:tcMar>
              <w:left w:w="108" w:type="dxa"/>
              <w:right w:w="108" w:type="dxa"/>
            </w:tcMar>
            <w:vAlign w:val="center"/>
          </w:tcPr>
          <w:p w14:paraId="48886162">
            <w:pPr>
              <w:spacing w:before="24" w:after="24" w:line="288" w:lineRule="auto"/>
              <w:jc w:val="center"/>
              <w:rPr>
                <w:rFonts w:ascii="Times New Roman" w:hAnsi="Times New Roman" w:cs="Times New Roman"/>
                <w:sz w:val="24"/>
              </w:rPr>
            </w:pPr>
            <w:r>
              <w:rPr>
                <w:rFonts w:ascii="Times New Roman" w:hAnsi="Times New Roman" w:cs="Times New Roman"/>
                <w:sz w:val="24"/>
              </w:rPr>
              <w:t>5000＜n≤10000</w:t>
            </w:r>
          </w:p>
        </w:tc>
        <w:tc>
          <w:tcPr>
            <w:tcW w:w="1243" w:type="dxa"/>
            <w:tcMar>
              <w:left w:w="108" w:type="dxa"/>
              <w:right w:w="108" w:type="dxa"/>
            </w:tcMar>
            <w:vAlign w:val="center"/>
          </w:tcPr>
          <w:p w14:paraId="330CBC8D">
            <w:pPr>
              <w:spacing w:before="24" w:after="24" w:line="288" w:lineRule="auto"/>
              <w:jc w:val="center"/>
              <w:rPr>
                <w:rFonts w:ascii="Times New Roman" w:hAnsi="Times New Roman" w:cs="Times New Roman"/>
                <w:sz w:val="24"/>
              </w:rPr>
            </w:pPr>
            <w:r>
              <w:rPr>
                <w:rFonts w:ascii="Times New Roman" w:hAnsi="Times New Roman" w:cs="Times New Roman"/>
                <w:sz w:val="24"/>
              </w:rPr>
              <w:t>20</w:t>
            </w:r>
          </w:p>
        </w:tc>
        <w:tc>
          <w:tcPr>
            <w:tcW w:w="1189" w:type="dxa"/>
            <w:tcMar>
              <w:left w:w="108" w:type="dxa"/>
              <w:right w:w="108" w:type="dxa"/>
            </w:tcMar>
            <w:vAlign w:val="center"/>
          </w:tcPr>
          <w:p w14:paraId="0AAA3FCC">
            <w:pPr>
              <w:spacing w:before="24" w:after="24" w:line="288" w:lineRule="auto"/>
              <w:jc w:val="center"/>
              <w:rPr>
                <w:rFonts w:ascii="Times New Roman" w:hAnsi="Times New Roman" w:cs="Times New Roman"/>
                <w:sz w:val="24"/>
              </w:rPr>
            </w:pPr>
            <w:r>
              <w:rPr>
                <w:rFonts w:ascii="Times New Roman" w:hAnsi="Times New Roman" w:cs="Times New Roman"/>
                <w:sz w:val="24"/>
              </w:rPr>
              <w:t>4</w:t>
            </w:r>
          </w:p>
        </w:tc>
        <w:tc>
          <w:tcPr>
            <w:tcW w:w="1272" w:type="dxa"/>
            <w:tcMar>
              <w:left w:w="108" w:type="dxa"/>
              <w:right w:w="108" w:type="dxa"/>
            </w:tcMar>
            <w:vAlign w:val="center"/>
          </w:tcPr>
          <w:p w14:paraId="405E2F07">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r>
      <w:tr w14:paraId="20118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1" w:type="dxa"/>
            <w:vMerge w:val="continue"/>
            <w:tcMar>
              <w:left w:w="108" w:type="dxa"/>
              <w:right w:w="108" w:type="dxa"/>
            </w:tcMar>
            <w:vAlign w:val="center"/>
          </w:tcPr>
          <w:p w14:paraId="254ABB3F">
            <w:pPr>
              <w:spacing w:before="24" w:after="24" w:line="288" w:lineRule="auto"/>
              <w:jc w:val="center"/>
              <w:rPr>
                <w:rFonts w:ascii="Times New Roman" w:hAnsi="Times New Roman" w:cs="Times New Roman"/>
                <w:sz w:val="24"/>
              </w:rPr>
            </w:pPr>
          </w:p>
        </w:tc>
        <w:tc>
          <w:tcPr>
            <w:tcW w:w="660" w:type="dxa"/>
            <w:vMerge w:val="continue"/>
            <w:tcMar>
              <w:left w:w="108" w:type="dxa"/>
              <w:right w:w="108" w:type="dxa"/>
            </w:tcMar>
            <w:vAlign w:val="center"/>
          </w:tcPr>
          <w:p w14:paraId="3EFE280B">
            <w:pPr>
              <w:spacing w:before="24" w:after="24" w:line="288" w:lineRule="auto"/>
              <w:jc w:val="center"/>
              <w:rPr>
                <w:rFonts w:ascii="Times New Roman" w:hAnsi="Times New Roman" w:cs="Times New Roman"/>
                <w:sz w:val="24"/>
              </w:rPr>
            </w:pPr>
          </w:p>
        </w:tc>
        <w:tc>
          <w:tcPr>
            <w:tcW w:w="1998" w:type="dxa"/>
            <w:vMerge w:val="continue"/>
            <w:tcMar>
              <w:left w:w="108" w:type="dxa"/>
              <w:right w:w="108" w:type="dxa"/>
            </w:tcMar>
            <w:vAlign w:val="center"/>
          </w:tcPr>
          <w:p w14:paraId="375304C4">
            <w:pPr>
              <w:spacing w:before="24" w:after="24" w:line="288" w:lineRule="auto"/>
              <w:jc w:val="center"/>
              <w:rPr>
                <w:rFonts w:ascii="Times New Roman" w:hAnsi="Times New Roman" w:cs="Times New Roman"/>
                <w:sz w:val="24"/>
              </w:rPr>
            </w:pPr>
          </w:p>
        </w:tc>
        <w:tc>
          <w:tcPr>
            <w:tcW w:w="2233" w:type="dxa"/>
            <w:tcMar>
              <w:left w:w="108" w:type="dxa"/>
              <w:right w:w="108" w:type="dxa"/>
            </w:tcMar>
            <w:vAlign w:val="center"/>
          </w:tcPr>
          <w:p w14:paraId="06EA93B8">
            <w:pPr>
              <w:spacing w:before="24" w:after="24" w:line="288" w:lineRule="auto"/>
              <w:jc w:val="center"/>
              <w:rPr>
                <w:rFonts w:ascii="Times New Roman" w:hAnsi="Times New Roman" w:cs="Times New Roman"/>
                <w:sz w:val="24"/>
              </w:rPr>
            </w:pPr>
            <w:r>
              <w:rPr>
                <w:rFonts w:ascii="Times New Roman" w:hAnsi="Times New Roman" w:cs="Times New Roman"/>
                <w:sz w:val="24"/>
              </w:rPr>
              <w:t>n&gt;10000</w:t>
            </w:r>
          </w:p>
        </w:tc>
        <w:tc>
          <w:tcPr>
            <w:tcW w:w="1243" w:type="dxa"/>
            <w:tcMar>
              <w:left w:w="108" w:type="dxa"/>
              <w:right w:w="108" w:type="dxa"/>
            </w:tcMar>
            <w:vAlign w:val="center"/>
          </w:tcPr>
          <w:p w14:paraId="7031BC61">
            <w:pPr>
              <w:spacing w:before="24" w:after="24" w:line="288" w:lineRule="auto"/>
              <w:jc w:val="center"/>
              <w:rPr>
                <w:rFonts w:ascii="Times New Roman" w:hAnsi="Times New Roman" w:cs="Times New Roman"/>
                <w:sz w:val="24"/>
              </w:rPr>
            </w:pPr>
            <w:r>
              <w:rPr>
                <w:rFonts w:ascii="Times New Roman" w:hAnsi="Times New Roman" w:cs="Times New Roman"/>
                <w:sz w:val="24"/>
              </w:rPr>
              <w:t>30</w:t>
            </w:r>
          </w:p>
        </w:tc>
        <w:tc>
          <w:tcPr>
            <w:tcW w:w="1189" w:type="dxa"/>
            <w:tcMar>
              <w:left w:w="108" w:type="dxa"/>
              <w:right w:w="108" w:type="dxa"/>
            </w:tcMar>
            <w:vAlign w:val="center"/>
          </w:tcPr>
          <w:p w14:paraId="3F14BA77">
            <w:pPr>
              <w:spacing w:before="24" w:after="24" w:line="288" w:lineRule="auto"/>
              <w:jc w:val="center"/>
              <w:rPr>
                <w:rFonts w:ascii="Times New Roman" w:hAnsi="Times New Roman" w:cs="Times New Roman"/>
                <w:sz w:val="24"/>
              </w:rPr>
            </w:pPr>
            <w:r>
              <w:rPr>
                <w:rFonts w:ascii="Times New Roman" w:hAnsi="Times New Roman" w:cs="Times New Roman"/>
                <w:sz w:val="24"/>
              </w:rPr>
              <w:t>6</w:t>
            </w:r>
          </w:p>
        </w:tc>
        <w:tc>
          <w:tcPr>
            <w:tcW w:w="1272" w:type="dxa"/>
            <w:tcMar>
              <w:left w:w="108" w:type="dxa"/>
              <w:right w:w="108" w:type="dxa"/>
            </w:tcMar>
            <w:vAlign w:val="center"/>
          </w:tcPr>
          <w:p w14:paraId="1942505C">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r>
      <w:tr w14:paraId="0887B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1" w:type="dxa"/>
            <w:vMerge w:val="continue"/>
            <w:tcMar>
              <w:left w:w="108" w:type="dxa"/>
              <w:right w:w="108" w:type="dxa"/>
            </w:tcMar>
            <w:vAlign w:val="center"/>
          </w:tcPr>
          <w:p w14:paraId="5B6E4FB3">
            <w:pPr>
              <w:spacing w:before="24" w:after="24" w:line="288" w:lineRule="auto"/>
              <w:jc w:val="center"/>
              <w:rPr>
                <w:rFonts w:ascii="Times New Roman" w:hAnsi="Times New Roman" w:cs="Times New Roman"/>
                <w:sz w:val="24"/>
              </w:rPr>
            </w:pPr>
          </w:p>
        </w:tc>
        <w:tc>
          <w:tcPr>
            <w:tcW w:w="660" w:type="dxa"/>
            <w:vMerge w:val="continue"/>
            <w:tcMar>
              <w:left w:w="108" w:type="dxa"/>
              <w:right w:w="108" w:type="dxa"/>
            </w:tcMar>
            <w:vAlign w:val="center"/>
          </w:tcPr>
          <w:p w14:paraId="31F47A51">
            <w:pPr>
              <w:spacing w:before="24" w:after="24" w:line="288" w:lineRule="auto"/>
              <w:jc w:val="center"/>
              <w:rPr>
                <w:rFonts w:ascii="Times New Roman" w:hAnsi="Times New Roman" w:cs="Times New Roman"/>
                <w:sz w:val="24"/>
              </w:rPr>
            </w:pPr>
          </w:p>
        </w:tc>
        <w:tc>
          <w:tcPr>
            <w:tcW w:w="1998" w:type="dxa"/>
            <w:vMerge w:val="restart"/>
            <w:tcMar>
              <w:left w:w="108" w:type="dxa"/>
              <w:right w:w="108" w:type="dxa"/>
            </w:tcMar>
            <w:vAlign w:val="center"/>
          </w:tcPr>
          <w:p w14:paraId="0B054BAC">
            <w:pPr>
              <w:spacing w:before="24" w:after="24" w:line="288" w:lineRule="auto"/>
              <w:jc w:val="center"/>
              <w:rPr>
                <w:rFonts w:ascii="Times New Roman" w:hAnsi="Times New Roman" w:cs="Times New Roman"/>
                <w:sz w:val="24"/>
              </w:rPr>
            </w:pPr>
            <w:r>
              <w:rPr>
                <w:rFonts w:ascii="Times New Roman" w:hAnsi="Times New Roman" w:cs="Times New Roman"/>
                <w:sz w:val="24"/>
              </w:rPr>
              <w:t>旅馆</w:t>
            </w:r>
          </w:p>
        </w:tc>
        <w:tc>
          <w:tcPr>
            <w:tcW w:w="2233" w:type="dxa"/>
            <w:tcMar>
              <w:left w:w="108" w:type="dxa"/>
              <w:right w:w="108" w:type="dxa"/>
            </w:tcMar>
            <w:vAlign w:val="center"/>
          </w:tcPr>
          <w:p w14:paraId="6534BB95">
            <w:pPr>
              <w:spacing w:before="24" w:after="24" w:line="288" w:lineRule="auto"/>
              <w:jc w:val="center"/>
              <w:rPr>
                <w:rFonts w:ascii="Times New Roman" w:hAnsi="Times New Roman" w:cs="Times New Roman"/>
                <w:sz w:val="24"/>
              </w:rPr>
            </w:pPr>
            <w:r>
              <w:rPr>
                <w:rFonts w:ascii="Times New Roman" w:hAnsi="Times New Roman" w:cs="Times New Roman"/>
                <w:sz w:val="24"/>
              </w:rPr>
              <w:t>5000＜V≤10000</w:t>
            </w:r>
          </w:p>
        </w:tc>
        <w:tc>
          <w:tcPr>
            <w:tcW w:w="1243" w:type="dxa"/>
            <w:tcMar>
              <w:left w:w="108" w:type="dxa"/>
              <w:right w:w="108" w:type="dxa"/>
            </w:tcMar>
            <w:vAlign w:val="center"/>
          </w:tcPr>
          <w:p w14:paraId="330D2284">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c>
          <w:tcPr>
            <w:tcW w:w="1189" w:type="dxa"/>
            <w:tcMar>
              <w:left w:w="108" w:type="dxa"/>
              <w:right w:w="108" w:type="dxa"/>
            </w:tcMar>
            <w:vAlign w:val="center"/>
          </w:tcPr>
          <w:p w14:paraId="19F1DE33">
            <w:pPr>
              <w:spacing w:before="24" w:after="24" w:line="288" w:lineRule="auto"/>
              <w:jc w:val="center"/>
              <w:rPr>
                <w:rFonts w:ascii="Times New Roman" w:hAnsi="Times New Roman" w:cs="Times New Roman"/>
                <w:sz w:val="24"/>
              </w:rPr>
            </w:pPr>
            <w:r>
              <w:rPr>
                <w:rFonts w:ascii="Times New Roman" w:hAnsi="Times New Roman" w:cs="Times New Roman"/>
                <w:sz w:val="24"/>
              </w:rPr>
              <w:t>2</w:t>
            </w:r>
          </w:p>
        </w:tc>
        <w:tc>
          <w:tcPr>
            <w:tcW w:w="1272" w:type="dxa"/>
            <w:tcMar>
              <w:left w:w="108" w:type="dxa"/>
              <w:right w:w="108" w:type="dxa"/>
            </w:tcMar>
            <w:vAlign w:val="center"/>
          </w:tcPr>
          <w:p w14:paraId="6EE5FF80">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6DC4B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1" w:type="dxa"/>
            <w:vMerge w:val="continue"/>
            <w:tcMar>
              <w:left w:w="108" w:type="dxa"/>
              <w:right w:w="108" w:type="dxa"/>
            </w:tcMar>
            <w:vAlign w:val="center"/>
          </w:tcPr>
          <w:p w14:paraId="5A2EFE9F">
            <w:pPr>
              <w:spacing w:before="24" w:after="24" w:line="288" w:lineRule="auto"/>
              <w:jc w:val="center"/>
              <w:rPr>
                <w:rFonts w:ascii="Times New Roman" w:hAnsi="Times New Roman" w:cs="Times New Roman"/>
                <w:sz w:val="24"/>
              </w:rPr>
            </w:pPr>
          </w:p>
        </w:tc>
        <w:tc>
          <w:tcPr>
            <w:tcW w:w="660" w:type="dxa"/>
            <w:vMerge w:val="continue"/>
            <w:tcMar>
              <w:left w:w="108" w:type="dxa"/>
              <w:right w:w="108" w:type="dxa"/>
            </w:tcMar>
            <w:vAlign w:val="center"/>
          </w:tcPr>
          <w:p w14:paraId="57EAFD6A">
            <w:pPr>
              <w:spacing w:before="24" w:after="24" w:line="288" w:lineRule="auto"/>
              <w:jc w:val="center"/>
              <w:rPr>
                <w:rFonts w:ascii="Times New Roman" w:hAnsi="Times New Roman" w:cs="Times New Roman"/>
                <w:sz w:val="24"/>
              </w:rPr>
            </w:pPr>
          </w:p>
        </w:tc>
        <w:tc>
          <w:tcPr>
            <w:tcW w:w="1998" w:type="dxa"/>
            <w:vMerge w:val="continue"/>
            <w:tcMar>
              <w:left w:w="108" w:type="dxa"/>
              <w:right w:w="108" w:type="dxa"/>
            </w:tcMar>
            <w:vAlign w:val="center"/>
          </w:tcPr>
          <w:p w14:paraId="6D08BBAC">
            <w:pPr>
              <w:spacing w:before="24" w:after="24" w:line="288" w:lineRule="auto"/>
              <w:jc w:val="center"/>
              <w:rPr>
                <w:rFonts w:ascii="Times New Roman" w:hAnsi="Times New Roman" w:cs="Times New Roman"/>
                <w:sz w:val="24"/>
              </w:rPr>
            </w:pPr>
          </w:p>
        </w:tc>
        <w:tc>
          <w:tcPr>
            <w:tcW w:w="2233" w:type="dxa"/>
            <w:tcMar>
              <w:left w:w="108" w:type="dxa"/>
              <w:right w:w="108" w:type="dxa"/>
            </w:tcMar>
            <w:vAlign w:val="center"/>
          </w:tcPr>
          <w:p w14:paraId="0314B278">
            <w:pPr>
              <w:spacing w:before="24" w:after="24" w:line="288" w:lineRule="auto"/>
              <w:jc w:val="center"/>
              <w:rPr>
                <w:rFonts w:ascii="Times New Roman" w:hAnsi="Times New Roman" w:cs="Times New Roman"/>
                <w:sz w:val="24"/>
              </w:rPr>
            </w:pPr>
            <w:r>
              <w:rPr>
                <w:rFonts w:ascii="Times New Roman" w:hAnsi="Times New Roman" w:cs="Times New Roman"/>
                <w:sz w:val="24"/>
              </w:rPr>
              <w:t>10000＜V≤25000</w:t>
            </w:r>
          </w:p>
        </w:tc>
        <w:tc>
          <w:tcPr>
            <w:tcW w:w="1243" w:type="dxa"/>
            <w:tcMar>
              <w:left w:w="108" w:type="dxa"/>
              <w:right w:w="108" w:type="dxa"/>
            </w:tcMar>
            <w:vAlign w:val="center"/>
          </w:tcPr>
          <w:p w14:paraId="4C0F582C">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c>
          <w:tcPr>
            <w:tcW w:w="1189" w:type="dxa"/>
            <w:tcMar>
              <w:left w:w="108" w:type="dxa"/>
              <w:right w:w="108" w:type="dxa"/>
            </w:tcMar>
            <w:vAlign w:val="center"/>
          </w:tcPr>
          <w:p w14:paraId="03B65AC5">
            <w:pPr>
              <w:spacing w:before="24" w:after="24" w:line="288" w:lineRule="auto"/>
              <w:jc w:val="center"/>
              <w:rPr>
                <w:rFonts w:ascii="Times New Roman" w:hAnsi="Times New Roman" w:cs="Times New Roman"/>
                <w:sz w:val="24"/>
              </w:rPr>
            </w:pPr>
            <w:r>
              <w:rPr>
                <w:rFonts w:ascii="Times New Roman" w:hAnsi="Times New Roman" w:cs="Times New Roman"/>
                <w:sz w:val="24"/>
              </w:rPr>
              <w:t>3</w:t>
            </w:r>
          </w:p>
        </w:tc>
        <w:tc>
          <w:tcPr>
            <w:tcW w:w="1272" w:type="dxa"/>
            <w:tcMar>
              <w:left w:w="108" w:type="dxa"/>
              <w:right w:w="108" w:type="dxa"/>
            </w:tcMar>
            <w:vAlign w:val="center"/>
          </w:tcPr>
          <w:p w14:paraId="05C4E653">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629EC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1" w:type="dxa"/>
            <w:vMerge w:val="continue"/>
            <w:tcMar>
              <w:left w:w="108" w:type="dxa"/>
              <w:right w:w="108" w:type="dxa"/>
            </w:tcMar>
            <w:vAlign w:val="center"/>
          </w:tcPr>
          <w:p w14:paraId="2FD92866">
            <w:pPr>
              <w:spacing w:before="24" w:after="24" w:line="288" w:lineRule="auto"/>
              <w:jc w:val="center"/>
              <w:rPr>
                <w:rFonts w:ascii="Times New Roman" w:hAnsi="Times New Roman" w:cs="Times New Roman"/>
                <w:sz w:val="24"/>
              </w:rPr>
            </w:pPr>
          </w:p>
        </w:tc>
        <w:tc>
          <w:tcPr>
            <w:tcW w:w="660" w:type="dxa"/>
            <w:vMerge w:val="continue"/>
            <w:tcMar>
              <w:left w:w="108" w:type="dxa"/>
              <w:right w:w="108" w:type="dxa"/>
            </w:tcMar>
            <w:vAlign w:val="center"/>
          </w:tcPr>
          <w:p w14:paraId="38EFAE31">
            <w:pPr>
              <w:spacing w:before="24" w:after="24" w:line="288" w:lineRule="auto"/>
              <w:jc w:val="center"/>
              <w:rPr>
                <w:rFonts w:ascii="Times New Roman" w:hAnsi="Times New Roman" w:cs="Times New Roman"/>
                <w:sz w:val="24"/>
              </w:rPr>
            </w:pPr>
          </w:p>
        </w:tc>
        <w:tc>
          <w:tcPr>
            <w:tcW w:w="1998" w:type="dxa"/>
            <w:vMerge w:val="continue"/>
            <w:tcMar>
              <w:left w:w="108" w:type="dxa"/>
              <w:right w:w="108" w:type="dxa"/>
            </w:tcMar>
            <w:vAlign w:val="center"/>
          </w:tcPr>
          <w:p w14:paraId="5DFA5F2C">
            <w:pPr>
              <w:spacing w:before="24" w:after="24" w:line="288" w:lineRule="auto"/>
              <w:jc w:val="center"/>
              <w:rPr>
                <w:rFonts w:ascii="Times New Roman" w:hAnsi="Times New Roman" w:cs="Times New Roman"/>
                <w:sz w:val="24"/>
              </w:rPr>
            </w:pPr>
          </w:p>
        </w:tc>
        <w:tc>
          <w:tcPr>
            <w:tcW w:w="2233" w:type="dxa"/>
            <w:tcMar>
              <w:left w:w="108" w:type="dxa"/>
              <w:right w:w="108" w:type="dxa"/>
            </w:tcMar>
            <w:vAlign w:val="center"/>
          </w:tcPr>
          <w:p w14:paraId="6921FEDD">
            <w:pPr>
              <w:spacing w:before="24" w:after="24" w:line="288" w:lineRule="auto"/>
              <w:jc w:val="center"/>
              <w:rPr>
                <w:rFonts w:ascii="Times New Roman" w:hAnsi="Times New Roman" w:cs="Times New Roman"/>
                <w:sz w:val="24"/>
              </w:rPr>
            </w:pPr>
            <w:r>
              <w:rPr>
                <w:rFonts w:ascii="Times New Roman" w:hAnsi="Times New Roman" w:cs="Times New Roman"/>
                <w:sz w:val="24"/>
              </w:rPr>
              <w:t>V&gt;25000</w:t>
            </w:r>
          </w:p>
        </w:tc>
        <w:tc>
          <w:tcPr>
            <w:tcW w:w="1243" w:type="dxa"/>
            <w:tcMar>
              <w:left w:w="108" w:type="dxa"/>
              <w:right w:w="108" w:type="dxa"/>
            </w:tcMar>
            <w:vAlign w:val="center"/>
          </w:tcPr>
          <w:p w14:paraId="583B42FE">
            <w:pPr>
              <w:spacing w:before="24" w:after="24" w:line="288" w:lineRule="auto"/>
              <w:jc w:val="center"/>
              <w:rPr>
                <w:rFonts w:ascii="Times New Roman" w:hAnsi="Times New Roman" w:cs="Times New Roman"/>
                <w:sz w:val="24"/>
              </w:rPr>
            </w:pPr>
            <w:r>
              <w:rPr>
                <w:rFonts w:ascii="Times New Roman" w:hAnsi="Times New Roman" w:cs="Times New Roman"/>
                <w:sz w:val="24"/>
              </w:rPr>
              <w:t>20</w:t>
            </w:r>
          </w:p>
        </w:tc>
        <w:tc>
          <w:tcPr>
            <w:tcW w:w="1189" w:type="dxa"/>
            <w:tcMar>
              <w:left w:w="108" w:type="dxa"/>
              <w:right w:w="108" w:type="dxa"/>
            </w:tcMar>
            <w:vAlign w:val="center"/>
          </w:tcPr>
          <w:p w14:paraId="7485FAE3">
            <w:pPr>
              <w:spacing w:before="24" w:after="24" w:line="288" w:lineRule="auto"/>
              <w:jc w:val="center"/>
              <w:rPr>
                <w:rFonts w:ascii="Times New Roman" w:hAnsi="Times New Roman" w:cs="Times New Roman"/>
                <w:sz w:val="24"/>
              </w:rPr>
            </w:pPr>
            <w:r>
              <w:rPr>
                <w:rFonts w:ascii="Times New Roman" w:hAnsi="Times New Roman" w:cs="Times New Roman"/>
                <w:sz w:val="24"/>
              </w:rPr>
              <w:t>4</w:t>
            </w:r>
          </w:p>
        </w:tc>
        <w:tc>
          <w:tcPr>
            <w:tcW w:w="1272" w:type="dxa"/>
            <w:tcMar>
              <w:left w:w="108" w:type="dxa"/>
              <w:right w:w="108" w:type="dxa"/>
            </w:tcMar>
            <w:vAlign w:val="center"/>
          </w:tcPr>
          <w:p w14:paraId="52F6D6E4">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r>
      <w:tr w14:paraId="67647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1" w:type="dxa"/>
            <w:vMerge w:val="continue"/>
            <w:tcMar>
              <w:left w:w="108" w:type="dxa"/>
              <w:right w:w="108" w:type="dxa"/>
            </w:tcMar>
            <w:vAlign w:val="center"/>
          </w:tcPr>
          <w:p w14:paraId="018D558E">
            <w:pPr>
              <w:spacing w:before="24" w:after="24" w:line="288" w:lineRule="auto"/>
              <w:jc w:val="center"/>
              <w:rPr>
                <w:rFonts w:ascii="Times New Roman" w:hAnsi="Times New Roman" w:cs="Times New Roman"/>
                <w:sz w:val="24"/>
              </w:rPr>
            </w:pPr>
          </w:p>
        </w:tc>
        <w:tc>
          <w:tcPr>
            <w:tcW w:w="660" w:type="dxa"/>
            <w:vMerge w:val="continue"/>
            <w:tcMar>
              <w:left w:w="108" w:type="dxa"/>
              <w:right w:w="108" w:type="dxa"/>
            </w:tcMar>
            <w:vAlign w:val="center"/>
          </w:tcPr>
          <w:p w14:paraId="2617C955">
            <w:pPr>
              <w:spacing w:before="24" w:after="24" w:line="288" w:lineRule="auto"/>
              <w:jc w:val="center"/>
              <w:rPr>
                <w:rFonts w:ascii="Times New Roman" w:hAnsi="Times New Roman" w:cs="Times New Roman"/>
                <w:sz w:val="24"/>
              </w:rPr>
            </w:pPr>
          </w:p>
        </w:tc>
        <w:tc>
          <w:tcPr>
            <w:tcW w:w="1998" w:type="dxa"/>
            <w:vMerge w:val="restart"/>
            <w:tcMar>
              <w:left w:w="108" w:type="dxa"/>
              <w:right w:w="108" w:type="dxa"/>
            </w:tcMar>
            <w:vAlign w:val="center"/>
          </w:tcPr>
          <w:p w14:paraId="799383D0">
            <w:pPr>
              <w:spacing w:before="24" w:after="24" w:line="288" w:lineRule="auto"/>
              <w:jc w:val="center"/>
              <w:rPr>
                <w:rFonts w:ascii="Times New Roman" w:hAnsi="Times New Roman" w:cs="Times New Roman"/>
                <w:sz w:val="24"/>
              </w:rPr>
            </w:pPr>
            <w:r>
              <w:rPr>
                <w:rFonts w:ascii="Times New Roman" w:hAnsi="Times New Roman" w:cs="Times New Roman"/>
                <w:sz w:val="24"/>
              </w:rPr>
              <w:t>商店、图书馆、档案馆等</w:t>
            </w:r>
          </w:p>
        </w:tc>
        <w:tc>
          <w:tcPr>
            <w:tcW w:w="2233" w:type="dxa"/>
            <w:tcMar>
              <w:left w:w="108" w:type="dxa"/>
              <w:right w:w="108" w:type="dxa"/>
            </w:tcMar>
            <w:vAlign w:val="center"/>
          </w:tcPr>
          <w:p w14:paraId="2B34C846">
            <w:pPr>
              <w:spacing w:before="24" w:after="24" w:line="288" w:lineRule="auto"/>
              <w:jc w:val="center"/>
              <w:rPr>
                <w:rFonts w:ascii="Times New Roman" w:hAnsi="Times New Roman" w:cs="Times New Roman"/>
                <w:sz w:val="24"/>
              </w:rPr>
            </w:pPr>
            <w:r>
              <w:rPr>
                <w:rFonts w:ascii="Times New Roman" w:hAnsi="Times New Roman" w:cs="Times New Roman"/>
                <w:sz w:val="24"/>
              </w:rPr>
              <w:t>5000＜V≤10000</w:t>
            </w:r>
          </w:p>
        </w:tc>
        <w:tc>
          <w:tcPr>
            <w:tcW w:w="1243" w:type="dxa"/>
            <w:tcMar>
              <w:left w:w="108" w:type="dxa"/>
              <w:right w:w="108" w:type="dxa"/>
            </w:tcMar>
            <w:vAlign w:val="center"/>
          </w:tcPr>
          <w:p w14:paraId="22F3F17C">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c>
          <w:tcPr>
            <w:tcW w:w="1189" w:type="dxa"/>
            <w:tcMar>
              <w:left w:w="108" w:type="dxa"/>
              <w:right w:w="108" w:type="dxa"/>
            </w:tcMar>
            <w:vAlign w:val="center"/>
          </w:tcPr>
          <w:p w14:paraId="0383E38A">
            <w:pPr>
              <w:spacing w:before="24" w:after="24" w:line="288" w:lineRule="auto"/>
              <w:jc w:val="center"/>
              <w:rPr>
                <w:rFonts w:ascii="Times New Roman" w:hAnsi="Times New Roman" w:cs="Times New Roman"/>
                <w:sz w:val="24"/>
              </w:rPr>
            </w:pPr>
            <w:r>
              <w:rPr>
                <w:rFonts w:ascii="Times New Roman" w:hAnsi="Times New Roman" w:cs="Times New Roman"/>
                <w:sz w:val="24"/>
              </w:rPr>
              <w:t>3</w:t>
            </w:r>
          </w:p>
        </w:tc>
        <w:tc>
          <w:tcPr>
            <w:tcW w:w="1272" w:type="dxa"/>
            <w:tcMar>
              <w:left w:w="108" w:type="dxa"/>
              <w:right w:w="108" w:type="dxa"/>
            </w:tcMar>
            <w:vAlign w:val="center"/>
          </w:tcPr>
          <w:p w14:paraId="75BCCF2A">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25761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1" w:type="dxa"/>
            <w:vMerge w:val="continue"/>
            <w:tcMar>
              <w:left w:w="108" w:type="dxa"/>
              <w:right w:w="108" w:type="dxa"/>
            </w:tcMar>
            <w:vAlign w:val="center"/>
          </w:tcPr>
          <w:p w14:paraId="14C1AD23">
            <w:pPr>
              <w:spacing w:before="24" w:after="24" w:line="288" w:lineRule="auto"/>
              <w:jc w:val="center"/>
              <w:rPr>
                <w:rFonts w:ascii="Times New Roman" w:hAnsi="Times New Roman" w:cs="Times New Roman"/>
                <w:sz w:val="24"/>
              </w:rPr>
            </w:pPr>
          </w:p>
        </w:tc>
        <w:tc>
          <w:tcPr>
            <w:tcW w:w="660" w:type="dxa"/>
            <w:vMerge w:val="continue"/>
            <w:tcMar>
              <w:left w:w="108" w:type="dxa"/>
              <w:right w:w="108" w:type="dxa"/>
            </w:tcMar>
            <w:vAlign w:val="center"/>
          </w:tcPr>
          <w:p w14:paraId="651BDD19">
            <w:pPr>
              <w:spacing w:before="24" w:after="24" w:line="288" w:lineRule="auto"/>
              <w:jc w:val="center"/>
              <w:rPr>
                <w:rFonts w:ascii="Times New Roman" w:hAnsi="Times New Roman" w:cs="Times New Roman"/>
                <w:sz w:val="24"/>
              </w:rPr>
            </w:pPr>
          </w:p>
        </w:tc>
        <w:tc>
          <w:tcPr>
            <w:tcW w:w="1998" w:type="dxa"/>
            <w:vMerge w:val="continue"/>
            <w:tcMar>
              <w:left w:w="108" w:type="dxa"/>
              <w:right w:w="108" w:type="dxa"/>
            </w:tcMar>
            <w:vAlign w:val="center"/>
          </w:tcPr>
          <w:p w14:paraId="78FDE990">
            <w:pPr>
              <w:spacing w:before="24" w:after="24" w:line="288" w:lineRule="auto"/>
              <w:jc w:val="center"/>
              <w:rPr>
                <w:rFonts w:ascii="Times New Roman" w:hAnsi="Times New Roman" w:cs="Times New Roman"/>
                <w:sz w:val="24"/>
              </w:rPr>
            </w:pPr>
          </w:p>
        </w:tc>
        <w:tc>
          <w:tcPr>
            <w:tcW w:w="2233" w:type="dxa"/>
            <w:tcMar>
              <w:left w:w="108" w:type="dxa"/>
              <w:right w:w="108" w:type="dxa"/>
            </w:tcMar>
            <w:vAlign w:val="center"/>
          </w:tcPr>
          <w:p w14:paraId="3FF61F37">
            <w:pPr>
              <w:spacing w:before="24" w:after="24" w:line="288" w:lineRule="auto"/>
              <w:jc w:val="center"/>
              <w:rPr>
                <w:rFonts w:ascii="Times New Roman" w:hAnsi="Times New Roman" w:cs="Times New Roman"/>
                <w:sz w:val="24"/>
              </w:rPr>
            </w:pPr>
            <w:r>
              <w:rPr>
                <w:rFonts w:ascii="Times New Roman" w:hAnsi="Times New Roman" w:cs="Times New Roman"/>
                <w:sz w:val="24"/>
              </w:rPr>
              <w:t>10000＜V≤25000</w:t>
            </w:r>
          </w:p>
        </w:tc>
        <w:tc>
          <w:tcPr>
            <w:tcW w:w="1243" w:type="dxa"/>
            <w:tcMar>
              <w:left w:w="108" w:type="dxa"/>
              <w:right w:w="108" w:type="dxa"/>
            </w:tcMar>
            <w:vAlign w:val="center"/>
          </w:tcPr>
          <w:p w14:paraId="60185C04">
            <w:pPr>
              <w:spacing w:before="24" w:after="24" w:line="288" w:lineRule="auto"/>
              <w:jc w:val="center"/>
              <w:rPr>
                <w:rFonts w:ascii="Times New Roman" w:hAnsi="Times New Roman" w:cs="Times New Roman"/>
                <w:sz w:val="24"/>
              </w:rPr>
            </w:pPr>
            <w:r>
              <w:rPr>
                <w:rFonts w:ascii="Times New Roman" w:hAnsi="Times New Roman" w:cs="Times New Roman"/>
                <w:sz w:val="24"/>
              </w:rPr>
              <w:t>25</w:t>
            </w:r>
          </w:p>
        </w:tc>
        <w:tc>
          <w:tcPr>
            <w:tcW w:w="1189" w:type="dxa"/>
            <w:tcMar>
              <w:left w:w="108" w:type="dxa"/>
              <w:right w:w="108" w:type="dxa"/>
            </w:tcMar>
            <w:vAlign w:val="center"/>
          </w:tcPr>
          <w:p w14:paraId="218EF9E5">
            <w:pPr>
              <w:spacing w:before="24" w:after="24" w:line="288" w:lineRule="auto"/>
              <w:jc w:val="center"/>
              <w:rPr>
                <w:rFonts w:ascii="Times New Roman" w:hAnsi="Times New Roman" w:cs="Times New Roman"/>
                <w:sz w:val="24"/>
              </w:rPr>
            </w:pPr>
            <w:r>
              <w:rPr>
                <w:rFonts w:ascii="Times New Roman" w:hAnsi="Times New Roman" w:cs="Times New Roman"/>
                <w:sz w:val="24"/>
              </w:rPr>
              <w:t>5</w:t>
            </w:r>
          </w:p>
        </w:tc>
        <w:tc>
          <w:tcPr>
            <w:tcW w:w="1272" w:type="dxa"/>
            <w:tcMar>
              <w:left w:w="108" w:type="dxa"/>
              <w:right w:w="108" w:type="dxa"/>
            </w:tcMar>
            <w:vAlign w:val="center"/>
          </w:tcPr>
          <w:p w14:paraId="05158403">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r>
      <w:tr w14:paraId="3A36C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1" w:type="dxa"/>
            <w:vMerge w:val="continue"/>
            <w:tcMar>
              <w:left w:w="108" w:type="dxa"/>
              <w:right w:w="108" w:type="dxa"/>
            </w:tcMar>
            <w:vAlign w:val="center"/>
          </w:tcPr>
          <w:p w14:paraId="3E0E680C">
            <w:pPr>
              <w:spacing w:before="24" w:after="24" w:line="288" w:lineRule="auto"/>
              <w:jc w:val="center"/>
              <w:rPr>
                <w:rFonts w:ascii="Times New Roman" w:hAnsi="Times New Roman" w:cs="Times New Roman"/>
                <w:sz w:val="24"/>
              </w:rPr>
            </w:pPr>
          </w:p>
        </w:tc>
        <w:tc>
          <w:tcPr>
            <w:tcW w:w="660" w:type="dxa"/>
            <w:vMerge w:val="continue"/>
            <w:tcMar>
              <w:left w:w="108" w:type="dxa"/>
              <w:right w:w="108" w:type="dxa"/>
            </w:tcMar>
            <w:vAlign w:val="center"/>
          </w:tcPr>
          <w:p w14:paraId="49BA6FEC">
            <w:pPr>
              <w:spacing w:before="24" w:after="24" w:line="288" w:lineRule="auto"/>
              <w:jc w:val="center"/>
              <w:rPr>
                <w:rFonts w:ascii="Times New Roman" w:hAnsi="Times New Roman" w:cs="Times New Roman"/>
                <w:sz w:val="24"/>
              </w:rPr>
            </w:pPr>
          </w:p>
        </w:tc>
        <w:tc>
          <w:tcPr>
            <w:tcW w:w="1998" w:type="dxa"/>
            <w:vMerge w:val="continue"/>
            <w:tcMar>
              <w:left w:w="108" w:type="dxa"/>
              <w:right w:w="108" w:type="dxa"/>
            </w:tcMar>
            <w:vAlign w:val="center"/>
          </w:tcPr>
          <w:p w14:paraId="1064893A">
            <w:pPr>
              <w:spacing w:before="24" w:after="24" w:line="288" w:lineRule="auto"/>
              <w:jc w:val="center"/>
              <w:rPr>
                <w:rFonts w:ascii="Times New Roman" w:hAnsi="Times New Roman" w:cs="Times New Roman"/>
                <w:sz w:val="24"/>
              </w:rPr>
            </w:pPr>
          </w:p>
        </w:tc>
        <w:tc>
          <w:tcPr>
            <w:tcW w:w="2233" w:type="dxa"/>
            <w:tcMar>
              <w:left w:w="108" w:type="dxa"/>
              <w:right w:w="108" w:type="dxa"/>
            </w:tcMar>
            <w:vAlign w:val="center"/>
          </w:tcPr>
          <w:p w14:paraId="7BF13D66">
            <w:pPr>
              <w:spacing w:before="24" w:after="24" w:line="288" w:lineRule="auto"/>
              <w:jc w:val="center"/>
              <w:rPr>
                <w:rFonts w:ascii="Times New Roman" w:hAnsi="Times New Roman" w:cs="Times New Roman"/>
                <w:sz w:val="24"/>
              </w:rPr>
            </w:pPr>
            <w:r>
              <w:rPr>
                <w:rFonts w:ascii="Times New Roman" w:hAnsi="Times New Roman" w:cs="Times New Roman"/>
                <w:sz w:val="24"/>
              </w:rPr>
              <w:t>V＞25000</w:t>
            </w:r>
          </w:p>
        </w:tc>
        <w:tc>
          <w:tcPr>
            <w:tcW w:w="1243" w:type="dxa"/>
            <w:tcMar>
              <w:left w:w="108" w:type="dxa"/>
              <w:right w:w="108" w:type="dxa"/>
            </w:tcMar>
            <w:vAlign w:val="center"/>
          </w:tcPr>
          <w:p w14:paraId="70CD6F42">
            <w:pPr>
              <w:spacing w:before="24" w:after="24" w:line="288" w:lineRule="auto"/>
              <w:jc w:val="center"/>
              <w:rPr>
                <w:rFonts w:ascii="Times New Roman" w:hAnsi="Times New Roman" w:cs="Times New Roman"/>
                <w:sz w:val="24"/>
              </w:rPr>
            </w:pPr>
            <w:r>
              <w:rPr>
                <w:rFonts w:ascii="Times New Roman" w:hAnsi="Times New Roman" w:cs="Times New Roman"/>
                <w:sz w:val="24"/>
              </w:rPr>
              <w:t>40</w:t>
            </w:r>
          </w:p>
        </w:tc>
        <w:tc>
          <w:tcPr>
            <w:tcW w:w="1189" w:type="dxa"/>
            <w:tcMar>
              <w:left w:w="108" w:type="dxa"/>
              <w:right w:w="108" w:type="dxa"/>
            </w:tcMar>
            <w:vAlign w:val="center"/>
          </w:tcPr>
          <w:p w14:paraId="143224E6">
            <w:pPr>
              <w:spacing w:before="24" w:after="24" w:line="288" w:lineRule="auto"/>
              <w:jc w:val="center"/>
              <w:rPr>
                <w:rFonts w:ascii="Times New Roman" w:hAnsi="Times New Roman" w:cs="Times New Roman"/>
                <w:sz w:val="24"/>
              </w:rPr>
            </w:pPr>
            <w:r>
              <w:rPr>
                <w:rFonts w:ascii="Times New Roman" w:hAnsi="Times New Roman" w:cs="Times New Roman"/>
                <w:sz w:val="24"/>
              </w:rPr>
              <w:t>8</w:t>
            </w:r>
          </w:p>
        </w:tc>
        <w:tc>
          <w:tcPr>
            <w:tcW w:w="1272" w:type="dxa"/>
            <w:tcMar>
              <w:left w:w="108" w:type="dxa"/>
              <w:right w:w="108" w:type="dxa"/>
            </w:tcMar>
            <w:vAlign w:val="center"/>
          </w:tcPr>
          <w:p w14:paraId="62BE5103">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r>
      <w:tr w14:paraId="3BD78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1" w:type="dxa"/>
            <w:vMerge w:val="continue"/>
            <w:tcMar>
              <w:left w:w="108" w:type="dxa"/>
              <w:right w:w="108" w:type="dxa"/>
            </w:tcMar>
            <w:vAlign w:val="center"/>
          </w:tcPr>
          <w:p w14:paraId="62B837EA">
            <w:pPr>
              <w:spacing w:before="24" w:after="24" w:line="288" w:lineRule="auto"/>
              <w:jc w:val="center"/>
              <w:rPr>
                <w:rFonts w:ascii="Times New Roman" w:hAnsi="Times New Roman" w:cs="Times New Roman"/>
                <w:sz w:val="24"/>
              </w:rPr>
            </w:pPr>
          </w:p>
        </w:tc>
        <w:tc>
          <w:tcPr>
            <w:tcW w:w="660" w:type="dxa"/>
            <w:vMerge w:val="continue"/>
            <w:tcMar>
              <w:left w:w="108" w:type="dxa"/>
              <w:right w:w="108" w:type="dxa"/>
            </w:tcMar>
            <w:vAlign w:val="center"/>
          </w:tcPr>
          <w:p w14:paraId="5045E76B">
            <w:pPr>
              <w:spacing w:before="24" w:after="24" w:line="288" w:lineRule="auto"/>
              <w:jc w:val="center"/>
              <w:rPr>
                <w:rFonts w:ascii="Times New Roman" w:hAnsi="Times New Roman" w:cs="Times New Roman"/>
                <w:sz w:val="24"/>
              </w:rPr>
            </w:pPr>
          </w:p>
        </w:tc>
        <w:tc>
          <w:tcPr>
            <w:tcW w:w="1998" w:type="dxa"/>
            <w:vMerge w:val="restart"/>
            <w:tcMar>
              <w:left w:w="108" w:type="dxa"/>
              <w:right w:w="108" w:type="dxa"/>
            </w:tcMar>
            <w:vAlign w:val="center"/>
          </w:tcPr>
          <w:p w14:paraId="24CBE4CA">
            <w:pPr>
              <w:spacing w:before="24" w:after="24" w:line="288" w:lineRule="auto"/>
              <w:jc w:val="center"/>
              <w:rPr>
                <w:rFonts w:ascii="Times New Roman" w:hAnsi="Times New Roman" w:cs="Times New Roman"/>
                <w:sz w:val="24"/>
              </w:rPr>
            </w:pPr>
            <w:r>
              <w:rPr>
                <w:rFonts w:ascii="Times New Roman" w:hAnsi="Times New Roman" w:cs="Times New Roman"/>
                <w:sz w:val="24"/>
              </w:rPr>
              <w:t>病房楼、门诊楼等</w:t>
            </w:r>
          </w:p>
        </w:tc>
        <w:tc>
          <w:tcPr>
            <w:tcW w:w="2233" w:type="dxa"/>
            <w:tcMar>
              <w:left w:w="108" w:type="dxa"/>
              <w:right w:w="108" w:type="dxa"/>
            </w:tcMar>
            <w:vAlign w:val="center"/>
          </w:tcPr>
          <w:p w14:paraId="3D14E8F5">
            <w:pPr>
              <w:spacing w:before="24" w:after="24" w:line="288" w:lineRule="auto"/>
              <w:jc w:val="center"/>
              <w:rPr>
                <w:rFonts w:ascii="Times New Roman" w:hAnsi="Times New Roman" w:cs="Times New Roman"/>
                <w:sz w:val="24"/>
              </w:rPr>
            </w:pPr>
            <w:r>
              <w:rPr>
                <w:rFonts w:ascii="Times New Roman" w:hAnsi="Times New Roman" w:cs="Times New Roman"/>
                <w:sz w:val="24"/>
              </w:rPr>
              <w:t>5000＜V≤25000</w:t>
            </w:r>
          </w:p>
        </w:tc>
        <w:tc>
          <w:tcPr>
            <w:tcW w:w="1243" w:type="dxa"/>
            <w:tcMar>
              <w:left w:w="108" w:type="dxa"/>
              <w:right w:w="108" w:type="dxa"/>
            </w:tcMar>
            <w:vAlign w:val="center"/>
          </w:tcPr>
          <w:p w14:paraId="6639D518">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c>
          <w:tcPr>
            <w:tcW w:w="1189" w:type="dxa"/>
            <w:tcMar>
              <w:left w:w="108" w:type="dxa"/>
              <w:right w:w="108" w:type="dxa"/>
            </w:tcMar>
            <w:vAlign w:val="center"/>
          </w:tcPr>
          <w:p w14:paraId="53B0EE9B">
            <w:pPr>
              <w:spacing w:before="24" w:after="24" w:line="288" w:lineRule="auto"/>
              <w:jc w:val="center"/>
              <w:rPr>
                <w:rFonts w:ascii="Times New Roman" w:hAnsi="Times New Roman" w:cs="Times New Roman"/>
                <w:sz w:val="24"/>
              </w:rPr>
            </w:pPr>
            <w:r>
              <w:rPr>
                <w:rFonts w:ascii="Times New Roman" w:hAnsi="Times New Roman" w:cs="Times New Roman"/>
                <w:sz w:val="24"/>
              </w:rPr>
              <w:t>2</w:t>
            </w:r>
          </w:p>
        </w:tc>
        <w:tc>
          <w:tcPr>
            <w:tcW w:w="1272" w:type="dxa"/>
            <w:tcMar>
              <w:left w:w="108" w:type="dxa"/>
              <w:right w:w="108" w:type="dxa"/>
            </w:tcMar>
            <w:vAlign w:val="center"/>
          </w:tcPr>
          <w:p w14:paraId="45BE97EF">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1491B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1" w:type="dxa"/>
            <w:vMerge w:val="continue"/>
            <w:tcMar>
              <w:left w:w="108" w:type="dxa"/>
              <w:right w:w="108" w:type="dxa"/>
            </w:tcMar>
            <w:vAlign w:val="center"/>
          </w:tcPr>
          <w:p w14:paraId="57632E97">
            <w:pPr>
              <w:spacing w:before="24" w:after="24" w:line="288" w:lineRule="auto"/>
              <w:jc w:val="center"/>
              <w:rPr>
                <w:rFonts w:ascii="Times New Roman" w:hAnsi="Times New Roman" w:cs="Times New Roman"/>
                <w:sz w:val="24"/>
              </w:rPr>
            </w:pPr>
          </w:p>
        </w:tc>
        <w:tc>
          <w:tcPr>
            <w:tcW w:w="660" w:type="dxa"/>
            <w:vMerge w:val="continue"/>
            <w:tcMar>
              <w:left w:w="108" w:type="dxa"/>
              <w:right w:w="108" w:type="dxa"/>
            </w:tcMar>
            <w:vAlign w:val="center"/>
          </w:tcPr>
          <w:p w14:paraId="12FF43A8">
            <w:pPr>
              <w:spacing w:before="24" w:after="24" w:line="288" w:lineRule="auto"/>
              <w:jc w:val="center"/>
              <w:rPr>
                <w:rFonts w:ascii="Times New Roman" w:hAnsi="Times New Roman" w:cs="Times New Roman"/>
                <w:sz w:val="24"/>
              </w:rPr>
            </w:pPr>
          </w:p>
        </w:tc>
        <w:tc>
          <w:tcPr>
            <w:tcW w:w="1998" w:type="dxa"/>
            <w:vMerge w:val="continue"/>
            <w:tcMar>
              <w:left w:w="108" w:type="dxa"/>
              <w:right w:w="108" w:type="dxa"/>
            </w:tcMar>
            <w:vAlign w:val="center"/>
          </w:tcPr>
          <w:p w14:paraId="65D32D9D">
            <w:pPr>
              <w:spacing w:before="24" w:after="24" w:line="288" w:lineRule="auto"/>
              <w:jc w:val="center"/>
              <w:rPr>
                <w:rFonts w:ascii="Times New Roman" w:hAnsi="Times New Roman" w:cs="Times New Roman"/>
                <w:sz w:val="24"/>
              </w:rPr>
            </w:pPr>
          </w:p>
        </w:tc>
        <w:tc>
          <w:tcPr>
            <w:tcW w:w="2233" w:type="dxa"/>
            <w:tcMar>
              <w:left w:w="108" w:type="dxa"/>
              <w:right w:w="108" w:type="dxa"/>
            </w:tcMar>
            <w:vAlign w:val="center"/>
          </w:tcPr>
          <w:p w14:paraId="7189D8F7">
            <w:pPr>
              <w:spacing w:before="24" w:after="24" w:line="288" w:lineRule="auto"/>
              <w:jc w:val="center"/>
              <w:rPr>
                <w:rFonts w:ascii="Times New Roman" w:hAnsi="Times New Roman" w:cs="Times New Roman"/>
                <w:sz w:val="24"/>
              </w:rPr>
            </w:pPr>
            <w:r>
              <w:rPr>
                <w:rFonts w:ascii="Times New Roman" w:hAnsi="Times New Roman" w:cs="Times New Roman"/>
                <w:sz w:val="24"/>
              </w:rPr>
              <w:t>V＞25000</w:t>
            </w:r>
          </w:p>
        </w:tc>
        <w:tc>
          <w:tcPr>
            <w:tcW w:w="1243" w:type="dxa"/>
            <w:tcMar>
              <w:left w:w="108" w:type="dxa"/>
              <w:right w:w="108" w:type="dxa"/>
            </w:tcMar>
            <w:vAlign w:val="center"/>
          </w:tcPr>
          <w:p w14:paraId="50558260">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c>
          <w:tcPr>
            <w:tcW w:w="1189" w:type="dxa"/>
            <w:tcMar>
              <w:left w:w="108" w:type="dxa"/>
              <w:right w:w="108" w:type="dxa"/>
            </w:tcMar>
            <w:vAlign w:val="center"/>
          </w:tcPr>
          <w:p w14:paraId="7B778672">
            <w:pPr>
              <w:spacing w:before="24" w:after="24" w:line="288" w:lineRule="auto"/>
              <w:jc w:val="center"/>
              <w:rPr>
                <w:rFonts w:ascii="Times New Roman" w:hAnsi="Times New Roman" w:cs="Times New Roman"/>
                <w:sz w:val="24"/>
              </w:rPr>
            </w:pPr>
            <w:r>
              <w:rPr>
                <w:rFonts w:ascii="Times New Roman" w:hAnsi="Times New Roman" w:cs="Times New Roman"/>
                <w:sz w:val="24"/>
              </w:rPr>
              <w:t>3</w:t>
            </w:r>
          </w:p>
        </w:tc>
        <w:tc>
          <w:tcPr>
            <w:tcW w:w="1272" w:type="dxa"/>
            <w:tcMar>
              <w:left w:w="108" w:type="dxa"/>
              <w:right w:w="108" w:type="dxa"/>
            </w:tcMar>
            <w:vAlign w:val="center"/>
          </w:tcPr>
          <w:p w14:paraId="336DC0FF">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5F660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1" w:type="dxa"/>
            <w:vMerge w:val="continue"/>
            <w:tcMar>
              <w:left w:w="108" w:type="dxa"/>
              <w:right w:w="108" w:type="dxa"/>
            </w:tcMar>
            <w:vAlign w:val="center"/>
          </w:tcPr>
          <w:p w14:paraId="35B04FC2">
            <w:pPr>
              <w:spacing w:before="24" w:after="24" w:line="288" w:lineRule="auto"/>
              <w:jc w:val="center"/>
              <w:rPr>
                <w:rFonts w:ascii="Times New Roman" w:hAnsi="Times New Roman" w:cs="Times New Roman"/>
                <w:sz w:val="24"/>
              </w:rPr>
            </w:pPr>
          </w:p>
        </w:tc>
        <w:tc>
          <w:tcPr>
            <w:tcW w:w="660" w:type="dxa"/>
            <w:vMerge w:val="continue"/>
            <w:tcMar>
              <w:left w:w="108" w:type="dxa"/>
              <w:right w:w="108" w:type="dxa"/>
            </w:tcMar>
            <w:vAlign w:val="center"/>
          </w:tcPr>
          <w:p w14:paraId="47F08697">
            <w:pPr>
              <w:spacing w:before="24" w:after="24" w:line="288" w:lineRule="auto"/>
              <w:jc w:val="center"/>
              <w:rPr>
                <w:rFonts w:ascii="Times New Roman" w:hAnsi="Times New Roman" w:cs="Times New Roman"/>
                <w:sz w:val="24"/>
              </w:rPr>
            </w:pPr>
          </w:p>
        </w:tc>
        <w:tc>
          <w:tcPr>
            <w:tcW w:w="1998" w:type="dxa"/>
            <w:tcMar>
              <w:left w:w="108" w:type="dxa"/>
              <w:right w:w="108" w:type="dxa"/>
            </w:tcMar>
            <w:vAlign w:val="center"/>
          </w:tcPr>
          <w:p w14:paraId="716822C6">
            <w:pPr>
              <w:spacing w:before="24" w:after="24" w:line="288" w:lineRule="auto"/>
              <w:jc w:val="center"/>
              <w:rPr>
                <w:rFonts w:ascii="Times New Roman" w:hAnsi="Times New Roman" w:cs="Times New Roman"/>
                <w:sz w:val="24"/>
              </w:rPr>
            </w:pPr>
            <w:r>
              <w:rPr>
                <w:rFonts w:ascii="Times New Roman" w:hAnsi="Times New Roman" w:cs="Times New Roman"/>
                <w:sz w:val="24"/>
              </w:rPr>
              <w:t>办公楼、教学楼、公寓、宿舍等其他建筑</w:t>
            </w:r>
          </w:p>
        </w:tc>
        <w:tc>
          <w:tcPr>
            <w:tcW w:w="2233" w:type="dxa"/>
            <w:tcMar>
              <w:left w:w="108" w:type="dxa"/>
              <w:right w:w="108" w:type="dxa"/>
            </w:tcMar>
            <w:vAlign w:val="center"/>
          </w:tcPr>
          <w:p w14:paraId="430AF08E">
            <w:pPr>
              <w:spacing w:before="24" w:after="24" w:line="288" w:lineRule="auto"/>
              <w:jc w:val="center"/>
              <w:rPr>
                <w:rFonts w:ascii="Times New Roman" w:hAnsi="Times New Roman" w:cs="Times New Roman"/>
                <w:sz w:val="24"/>
              </w:rPr>
            </w:pPr>
            <w:r>
              <w:rPr>
                <w:rFonts w:ascii="Times New Roman" w:hAnsi="Times New Roman" w:cs="Times New Roman"/>
                <w:sz w:val="24"/>
              </w:rPr>
              <w:t>高度超过15m或V＞10000</w:t>
            </w:r>
          </w:p>
        </w:tc>
        <w:tc>
          <w:tcPr>
            <w:tcW w:w="1243" w:type="dxa"/>
            <w:tcMar>
              <w:left w:w="108" w:type="dxa"/>
              <w:right w:w="108" w:type="dxa"/>
            </w:tcMar>
            <w:vAlign w:val="center"/>
          </w:tcPr>
          <w:p w14:paraId="15BB3D59">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c>
          <w:tcPr>
            <w:tcW w:w="1189" w:type="dxa"/>
            <w:tcMar>
              <w:left w:w="108" w:type="dxa"/>
              <w:right w:w="108" w:type="dxa"/>
            </w:tcMar>
            <w:vAlign w:val="center"/>
          </w:tcPr>
          <w:p w14:paraId="4B2D36EE">
            <w:pPr>
              <w:spacing w:before="24" w:after="24" w:line="288" w:lineRule="auto"/>
              <w:jc w:val="center"/>
              <w:rPr>
                <w:rFonts w:ascii="Times New Roman" w:hAnsi="Times New Roman" w:cs="Times New Roman"/>
                <w:sz w:val="24"/>
              </w:rPr>
            </w:pPr>
            <w:r>
              <w:rPr>
                <w:rFonts w:ascii="Times New Roman" w:hAnsi="Times New Roman" w:cs="Times New Roman"/>
                <w:sz w:val="24"/>
              </w:rPr>
              <w:t>3</w:t>
            </w:r>
          </w:p>
        </w:tc>
        <w:tc>
          <w:tcPr>
            <w:tcW w:w="1272" w:type="dxa"/>
            <w:tcMar>
              <w:left w:w="108" w:type="dxa"/>
              <w:right w:w="108" w:type="dxa"/>
            </w:tcMar>
            <w:vAlign w:val="center"/>
          </w:tcPr>
          <w:p w14:paraId="20A119C3">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2957B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1" w:type="dxa"/>
            <w:vMerge w:val="continue"/>
            <w:tcMar>
              <w:left w:w="108" w:type="dxa"/>
              <w:right w:w="108" w:type="dxa"/>
            </w:tcMar>
            <w:vAlign w:val="center"/>
          </w:tcPr>
          <w:p w14:paraId="67C32CCB">
            <w:pPr>
              <w:spacing w:before="24" w:after="24" w:line="288" w:lineRule="auto"/>
              <w:jc w:val="center"/>
              <w:rPr>
                <w:rFonts w:ascii="Times New Roman" w:hAnsi="Times New Roman" w:cs="Times New Roman"/>
                <w:sz w:val="24"/>
              </w:rPr>
            </w:pPr>
          </w:p>
        </w:tc>
        <w:tc>
          <w:tcPr>
            <w:tcW w:w="660" w:type="dxa"/>
            <w:vMerge w:val="continue"/>
            <w:tcMar>
              <w:left w:w="108" w:type="dxa"/>
              <w:right w:w="108" w:type="dxa"/>
            </w:tcMar>
            <w:vAlign w:val="center"/>
          </w:tcPr>
          <w:p w14:paraId="459A57FD">
            <w:pPr>
              <w:spacing w:before="24" w:after="24" w:line="288" w:lineRule="auto"/>
              <w:jc w:val="center"/>
              <w:rPr>
                <w:rFonts w:ascii="Times New Roman" w:hAnsi="Times New Roman" w:cs="Times New Roman"/>
                <w:sz w:val="24"/>
              </w:rPr>
            </w:pPr>
          </w:p>
        </w:tc>
        <w:tc>
          <w:tcPr>
            <w:tcW w:w="1998" w:type="dxa"/>
            <w:tcMar>
              <w:left w:w="108" w:type="dxa"/>
              <w:right w:w="108" w:type="dxa"/>
            </w:tcMar>
            <w:vAlign w:val="center"/>
          </w:tcPr>
          <w:p w14:paraId="4D2E627F">
            <w:pPr>
              <w:spacing w:before="24" w:after="24" w:line="288" w:lineRule="auto"/>
              <w:jc w:val="center"/>
              <w:rPr>
                <w:rFonts w:ascii="Times New Roman" w:hAnsi="Times New Roman" w:cs="Times New Roman"/>
                <w:sz w:val="24"/>
              </w:rPr>
            </w:pPr>
            <w:r>
              <w:rPr>
                <w:rFonts w:ascii="Times New Roman" w:hAnsi="Times New Roman" w:cs="Times New Roman"/>
                <w:sz w:val="24"/>
              </w:rPr>
              <w:t>住宅</w:t>
            </w:r>
          </w:p>
        </w:tc>
        <w:tc>
          <w:tcPr>
            <w:tcW w:w="2233" w:type="dxa"/>
            <w:tcMar>
              <w:left w:w="108" w:type="dxa"/>
              <w:right w:w="108" w:type="dxa"/>
            </w:tcMar>
            <w:vAlign w:val="center"/>
          </w:tcPr>
          <w:p w14:paraId="078576F6">
            <w:pPr>
              <w:spacing w:before="24" w:after="24" w:line="288" w:lineRule="auto"/>
              <w:jc w:val="center"/>
              <w:rPr>
                <w:rFonts w:ascii="Times New Roman" w:hAnsi="Times New Roman" w:cs="Times New Roman"/>
                <w:sz w:val="24"/>
              </w:rPr>
            </w:pPr>
            <w:r>
              <w:rPr>
                <w:rFonts w:ascii="Times New Roman" w:hAnsi="Times New Roman" w:cs="Times New Roman"/>
                <w:sz w:val="24"/>
              </w:rPr>
              <w:t>21＜h≤27</w:t>
            </w:r>
          </w:p>
        </w:tc>
        <w:tc>
          <w:tcPr>
            <w:tcW w:w="1243" w:type="dxa"/>
            <w:tcMar>
              <w:left w:w="108" w:type="dxa"/>
              <w:right w:w="108" w:type="dxa"/>
            </w:tcMar>
            <w:vAlign w:val="center"/>
          </w:tcPr>
          <w:p w14:paraId="26316029">
            <w:pPr>
              <w:spacing w:before="24" w:after="24" w:line="288" w:lineRule="auto"/>
              <w:jc w:val="center"/>
              <w:rPr>
                <w:rFonts w:ascii="Times New Roman" w:hAnsi="Times New Roman" w:cs="Times New Roman"/>
                <w:sz w:val="24"/>
              </w:rPr>
            </w:pPr>
            <w:r>
              <w:rPr>
                <w:rFonts w:ascii="Times New Roman" w:hAnsi="Times New Roman" w:cs="Times New Roman"/>
                <w:sz w:val="24"/>
              </w:rPr>
              <w:t>5</w:t>
            </w:r>
          </w:p>
        </w:tc>
        <w:tc>
          <w:tcPr>
            <w:tcW w:w="1189" w:type="dxa"/>
            <w:tcMar>
              <w:left w:w="108" w:type="dxa"/>
              <w:right w:w="108" w:type="dxa"/>
            </w:tcMar>
            <w:vAlign w:val="center"/>
          </w:tcPr>
          <w:p w14:paraId="4F42BF7D">
            <w:pPr>
              <w:spacing w:before="24" w:after="24" w:line="288" w:lineRule="auto"/>
              <w:jc w:val="center"/>
              <w:rPr>
                <w:rFonts w:ascii="Times New Roman" w:hAnsi="Times New Roman" w:cs="Times New Roman"/>
                <w:sz w:val="24"/>
              </w:rPr>
            </w:pPr>
            <w:r>
              <w:rPr>
                <w:rFonts w:ascii="Times New Roman" w:hAnsi="Times New Roman" w:cs="Times New Roman"/>
                <w:sz w:val="24"/>
              </w:rPr>
              <w:t>2</w:t>
            </w:r>
          </w:p>
        </w:tc>
        <w:tc>
          <w:tcPr>
            <w:tcW w:w="1272" w:type="dxa"/>
            <w:tcMar>
              <w:left w:w="108" w:type="dxa"/>
              <w:right w:w="108" w:type="dxa"/>
            </w:tcMar>
            <w:vAlign w:val="center"/>
          </w:tcPr>
          <w:p w14:paraId="4EB8F9E6">
            <w:pPr>
              <w:spacing w:before="24" w:after="24" w:line="288" w:lineRule="auto"/>
              <w:jc w:val="center"/>
              <w:rPr>
                <w:rFonts w:ascii="Times New Roman" w:hAnsi="Times New Roman" w:cs="Times New Roman"/>
                <w:sz w:val="24"/>
              </w:rPr>
            </w:pPr>
            <w:r>
              <w:rPr>
                <w:rFonts w:ascii="Times New Roman" w:hAnsi="Times New Roman" w:cs="Times New Roman"/>
                <w:sz w:val="24"/>
              </w:rPr>
              <w:t>5</w:t>
            </w:r>
          </w:p>
        </w:tc>
      </w:tr>
      <w:tr w14:paraId="21791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1" w:type="dxa"/>
            <w:vMerge w:val="continue"/>
            <w:tcMar>
              <w:left w:w="108" w:type="dxa"/>
              <w:right w:w="108" w:type="dxa"/>
            </w:tcMar>
            <w:vAlign w:val="center"/>
          </w:tcPr>
          <w:p w14:paraId="2623D0B8">
            <w:pPr>
              <w:spacing w:before="24" w:after="24" w:line="288" w:lineRule="auto"/>
              <w:jc w:val="center"/>
              <w:rPr>
                <w:rFonts w:ascii="Times New Roman" w:hAnsi="Times New Roman" w:cs="Times New Roman"/>
                <w:sz w:val="24"/>
              </w:rPr>
            </w:pPr>
          </w:p>
        </w:tc>
        <w:tc>
          <w:tcPr>
            <w:tcW w:w="660" w:type="dxa"/>
            <w:vMerge w:val="restart"/>
            <w:tcMar>
              <w:left w:w="108" w:type="dxa"/>
              <w:right w:w="108" w:type="dxa"/>
            </w:tcMar>
            <w:vAlign w:val="center"/>
          </w:tcPr>
          <w:p w14:paraId="470AF950">
            <w:pPr>
              <w:spacing w:before="24" w:after="24" w:line="288" w:lineRule="auto"/>
              <w:jc w:val="center"/>
              <w:rPr>
                <w:rFonts w:ascii="Times New Roman" w:hAnsi="Times New Roman" w:cs="Times New Roman"/>
                <w:sz w:val="24"/>
              </w:rPr>
            </w:pPr>
            <w:r>
              <w:rPr>
                <w:rFonts w:ascii="Times New Roman" w:hAnsi="Times New Roman" w:cs="Times New Roman"/>
                <w:sz w:val="24"/>
              </w:rPr>
              <w:t>高层</w:t>
            </w:r>
          </w:p>
        </w:tc>
        <w:tc>
          <w:tcPr>
            <w:tcW w:w="1998" w:type="dxa"/>
            <w:vMerge w:val="restart"/>
            <w:tcMar>
              <w:left w:w="108" w:type="dxa"/>
              <w:right w:w="108" w:type="dxa"/>
            </w:tcMar>
            <w:vAlign w:val="center"/>
          </w:tcPr>
          <w:p w14:paraId="0B0B3D12">
            <w:pPr>
              <w:spacing w:before="24" w:after="24" w:line="288" w:lineRule="auto"/>
              <w:jc w:val="center"/>
              <w:rPr>
                <w:rFonts w:ascii="Times New Roman" w:hAnsi="Times New Roman" w:cs="Times New Roman"/>
                <w:sz w:val="24"/>
              </w:rPr>
            </w:pPr>
            <w:r>
              <w:rPr>
                <w:rFonts w:ascii="Times New Roman" w:hAnsi="Times New Roman" w:cs="Times New Roman"/>
                <w:sz w:val="24"/>
              </w:rPr>
              <w:t>住宅</w:t>
            </w:r>
          </w:p>
        </w:tc>
        <w:tc>
          <w:tcPr>
            <w:tcW w:w="2233" w:type="dxa"/>
            <w:tcMar>
              <w:left w:w="108" w:type="dxa"/>
              <w:right w:w="108" w:type="dxa"/>
            </w:tcMar>
            <w:vAlign w:val="center"/>
          </w:tcPr>
          <w:p w14:paraId="49328832">
            <w:pPr>
              <w:spacing w:before="24" w:after="24" w:line="288" w:lineRule="auto"/>
              <w:jc w:val="center"/>
              <w:rPr>
                <w:rFonts w:ascii="Times New Roman" w:hAnsi="Times New Roman" w:cs="Times New Roman"/>
                <w:sz w:val="24"/>
              </w:rPr>
            </w:pPr>
            <w:r>
              <w:rPr>
                <w:rFonts w:ascii="Times New Roman" w:hAnsi="Times New Roman" w:cs="Times New Roman"/>
                <w:sz w:val="24"/>
              </w:rPr>
              <w:t>27＜h≤54</w:t>
            </w:r>
          </w:p>
        </w:tc>
        <w:tc>
          <w:tcPr>
            <w:tcW w:w="1243" w:type="dxa"/>
            <w:tcMar>
              <w:left w:w="108" w:type="dxa"/>
              <w:right w:w="108" w:type="dxa"/>
            </w:tcMar>
            <w:vAlign w:val="center"/>
          </w:tcPr>
          <w:p w14:paraId="329FC9E5">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c>
          <w:tcPr>
            <w:tcW w:w="1189" w:type="dxa"/>
            <w:tcMar>
              <w:left w:w="108" w:type="dxa"/>
              <w:right w:w="108" w:type="dxa"/>
            </w:tcMar>
            <w:vAlign w:val="center"/>
          </w:tcPr>
          <w:p w14:paraId="371126F7">
            <w:pPr>
              <w:spacing w:before="24" w:after="24" w:line="288" w:lineRule="auto"/>
              <w:jc w:val="center"/>
              <w:rPr>
                <w:rFonts w:ascii="Times New Roman" w:hAnsi="Times New Roman" w:cs="Times New Roman"/>
                <w:sz w:val="24"/>
              </w:rPr>
            </w:pPr>
            <w:r>
              <w:rPr>
                <w:rFonts w:ascii="Times New Roman" w:hAnsi="Times New Roman" w:cs="Times New Roman"/>
                <w:sz w:val="24"/>
              </w:rPr>
              <w:t>2</w:t>
            </w:r>
          </w:p>
        </w:tc>
        <w:tc>
          <w:tcPr>
            <w:tcW w:w="1272" w:type="dxa"/>
            <w:tcMar>
              <w:left w:w="108" w:type="dxa"/>
              <w:right w:w="108" w:type="dxa"/>
            </w:tcMar>
            <w:vAlign w:val="center"/>
          </w:tcPr>
          <w:p w14:paraId="2810A43A">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78C84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1" w:type="dxa"/>
            <w:vMerge w:val="continue"/>
            <w:tcMar>
              <w:left w:w="108" w:type="dxa"/>
              <w:right w:w="108" w:type="dxa"/>
            </w:tcMar>
            <w:vAlign w:val="center"/>
          </w:tcPr>
          <w:p w14:paraId="3E8F8339">
            <w:pPr>
              <w:spacing w:before="24" w:after="24" w:line="288" w:lineRule="auto"/>
              <w:jc w:val="center"/>
              <w:rPr>
                <w:rFonts w:ascii="Times New Roman" w:hAnsi="Times New Roman" w:cs="Times New Roman"/>
                <w:sz w:val="24"/>
              </w:rPr>
            </w:pPr>
          </w:p>
        </w:tc>
        <w:tc>
          <w:tcPr>
            <w:tcW w:w="660" w:type="dxa"/>
            <w:vMerge w:val="continue"/>
            <w:tcMar>
              <w:left w:w="108" w:type="dxa"/>
              <w:right w:w="108" w:type="dxa"/>
            </w:tcMar>
            <w:vAlign w:val="center"/>
          </w:tcPr>
          <w:p w14:paraId="22A9F195">
            <w:pPr>
              <w:spacing w:before="24" w:after="24" w:line="288" w:lineRule="auto"/>
              <w:jc w:val="center"/>
              <w:rPr>
                <w:rFonts w:ascii="Times New Roman" w:hAnsi="Times New Roman" w:cs="Times New Roman"/>
                <w:sz w:val="24"/>
              </w:rPr>
            </w:pPr>
          </w:p>
        </w:tc>
        <w:tc>
          <w:tcPr>
            <w:tcW w:w="1998" w:type="dxa"/>
            <w:vMerge w:val="continue"/>
            <w:tcMar>
              <w:left w:w="108" w:type="dxa"/>
              <w:right w:w="108" w:type="dxa"/>
            </w:tcMar>
            <w:vAlign w:val="center"/>
          </w:tcPr>
          <w:p w14:paraId="6CA5ACBB">
            <w:pPr>
              <w:spacing w:before="24" w:after="24" w:line="288" w:lineRule="auto"/>
              <w:jc w:val="center"/>
              <w:rPr>
                <w:rFonts w:ascii="Times New Roman" w:hAnsi="Times New Roman" w:cs="Times New Roman"/>
                <w:sz w:val="24"/>
              </w:rPr>
            </w:pPr>
          </w:p>
        </w:tc>
        <w:tc>
          <w:tcPr>
            <w:tcW w:w="2233" w:type="dxa"/>
            <w:tcMar>
              <w:left w:w="108" w:type="dxa"/>
              <w:right w:w="108" w:type="dxa"/>
            </w:tcMar>
            <w:vAlign w:val="center"/>
          </w:tcPr>
          <w:p w14:paraId="2AE06657">
            <w:pPr>
              <w:spacing w:before="24" w:after="24" w:line="288" w:lineRule="auto"/>
              <w:jc w:val="center"/>
              <w:rPr>
                <w:rFonts w:ascii="Times New Roman" w:hAnsi="Times New Roman" w:cs="Times New Roman"/>
                <w:sz w:val="24"/>
              </w:rPr>
            </w:pPr>
            <w:r>
              <w:rPr>
                <w:rFonts w:ascii="Times New Roman" w:hAnsi="Times New Roman" w:cs="Times New Roman"/>
                <w:sz w:val="24"/>
              </w:rPr>
              <w:t>h＞54</w:t>
            </w:r>
          </w:p>
        </w:tc>
        <w:tc>
          <w:tcPr>
            <w:tcW w:w="1243" w:type="dxa"/>
            <w:tcMar>
              <w:left w:w="108" w:type="dxa"/>
              <w:right w:w="108" w:type="dxa"/>
            </w:tcMar>
            <w:vAlign w:val="center"/>
          </w:tcPr>
          <w:p w14:paraId="7DC2DA5D">
            <w:pPr>
              <w:spacing w:before="24" w:after="24" w:line="288" w:lineRule="auto"/>
              <w:jc w:val="center"/>
              <w:rPr>
                <w:rFonts w:ascii="Times New Roman" w:hAnsi="Times New Roman" w:cs="Times New Roman"/>
                <w:sz w:val="24"/>
              </w:rPr>
            </w:pPr>
            <w:r>
              <w:rPr>
                <w:rFonts w:ascii="Times New Roman" w:hAnsi="Times New Roman" w:cs="Times New Roman"/>
                <w:sz w:val="24"/>
              </w:rPr>
              <w:t>20</w:t>
            </w:r>
          </w:p>
        </w:tc>
        <w:tc>
          <w:tcPr>
            <w:tcW w:w="1189" w:type="dxa"/>
            <w:tcMar>
              <w:left w:w="108" w:type="dxa"/>
              <w:right w:w="108" w:type="dxa"/>
            </w:tcMar>
            <w:vAlign w:val="center"/>
          </w:tcPr>
          <w:p w14:paraId="37401BEB">
            <w:pPr>
              <w:spacing w:before="24" w:after="24" w:line="288" w:lineRule="auto"/>
              <w:jc w:val="center"/>
              <w:rPr>
                <w:rFonts w:ascii="Times New Roman" w:hAnsi="Times New Roman" w:cs="Times New Roman"/>
                <w:sz w:val="24"/>
              </w:rPr>
            </w:pPr>
            <w:r>
              <w:rPr>
                <w:rFonts w:ascii="Times New Roman" w:hAnsi="Times New Roman" w:cs="Times New Roman"/>
                <w:sz w:val="24"/>
              </w:rPr>
              <w:t>4</w:t>
            </w:r>
          </w:p>
        </w:tc>
        <w:tc>
          <w:tcPr>
            <w:tcW w:w="1272" w:type="dxa"/>
            <w:tcMar>
              <w:left w:w="108" w:type="dxa"/>
              <w:right w:w="108" w:type="dxa"/>
            </w:tcMar>
            <w:vAlign w:val="center"/>
          </w:tcPr>
          <w:p w14:paraId="317BE335">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27866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1" w:type="dxa"/>
            <w:vMerge w:val="continue"/>
            <w:tcMar>
              <w:left w:w="108" w:type="dxa"/>
              <w:right w:w="108" w:type="dxa"/>
            </w:tcMar>
            <w:vAlign w:val="center"/>
          </w:tcPr>
          <w:p w14:paraId="35EA00E6">
            <w:pPr>
              <w:spacing w:before="24" w:after="24" w:line="288" w:lineRule="auto"/>
              <w:jc w:val="center"/>
              <w:rPr>
                <w:rFonts w:ascii="Times New Roman" w:hAnsi="Times New Roman" w:cs="Times New Roman"/>
                <w:sz w:val="24"/>
              </w:rPr>
            </w:pPr>
          </w:p>
        </w:tc>
        <w:tc>
          <w:tcPr>
            <w:tcW w:w="660" w:type="dxa"/>
            <w:vMerge w:val="continue"/>
            <w:tcMar>
              <w:left w:w="108" w:type="dxa"/>
              <w:right w:w="108" w:type="dxa"/>
            </w:tcMar>
            <w:vAlign w:val="center"/>
          </w:tcPr>
          <w:p w14:paraId="6D3154D7">
            <w:pPr>
              <w:spacing w:before="24" w:after="24" w:line="288" w:lineRule="auto"/>
              <w:jc w:val="center"/>
              <w:rPr>
                <w:rFonts w:ascii="Times New Roman" w:hAnsi="Times New Roman" w:cs="Times New Roman"/>
                <w:sz w:val="24"/>
              </w:rPr>
            </w:pPr>
          </w:p>
        </w:tc>
        <w:tc>
          <w:tcPr>
            <w:tcW w:w="1998" w:type="dxa"/>
            <w:tcMar>
              <w:left w:w="108" w:type="dxa"/>
              <w:right w:w="108" w:type="dxa"/>
            </w:tcMar>
            <w:vAlign w:val="center"/>
          </w:tcPr>
          <w:p w14:paraId="18909B6B">
            <w:pPr>
              <w:spacing w:before="24" w:after="24" w:line="288" w:lineRule="auto"/>
              <w:jc w:val="center"/>
              <w:rPr>
                <w:rFonts w:ascii="Times New Roman" w:hAnsi="Times New Roman" w:cs="Times New Roman"/>
                <w:sz w:val="24"/>
              </w:rPr>
            </w:pPr>
            <w:r>
              <w:rPr>
                <w:rFonts w:ascii="Times New Roman" w:hAnsi="Times New Roman" w:cs="Times New Roman"/>
                <w:sz w:val="24"/>
              </w:rPr>
              <w:t>二类公共建筑</w:t>
            </w:r>
          </w:p>
        </w:tc>
        <w:tc>
          <w:tcPr>
            <w:tcW w:w="2233" w:type="dxa"/>
            <w:tcMar>
              <w:left w:w="108" w:type="dxa"/>
              <w:right w:w="108" w:type="dxa"/>
            </w:tcMar>
            <w:vAlign w:val="center"/>
          </w:tcPr>
          <w:p w14:paraId="7EA70D24">
            <w:pPr>
              <w:spacing w:before="24" w:after="24" w:line="288" w:lineRule="auto"/>
              <w:jc w:val="center"/>
              <w:rPr>
                <w:rFonts w:ascii="Times New Roman" w:hAnsi="Times New Roman" w:cs="Times New Roman"/>
                <w:sz w:val="24"/>
              </w:rPr>
            </w:pPr>
            <w:r>
              <w:rPr>
                <w:rFonts w:ascii="Times New Roman" w:hAnsi="Times New Roman" w:cs="Times New Roman"/>
                <w:sz w:val="24"/>
              </w:rPr>
              <w:t>h≤50</w:t>
            </w:r>
          </w:p>
        </w:tc>
        <w:tc>
          <w:tcPr>
            <w:tcW w:w="1243" w:type="dxa"/>
            <w:tcMar>
              <w:left w:w="108" w:type="dxa"/>
              <w:right w:w="108" w:type="dxa"/>
            </w:tcMar>
            <w:vAlign w:val="center"/>
          </w:tcPr>
          <w:p w14:paraId="69B023E6">
            <w:pPr>
              <w:spacing w:before="24" w:after="24" w:line="288" w:lineRule="auto"/>
              <w:jc w:val="center"/>
              <w:rPr>
                <w:rFonts w:ascii="Times New Roman" w:hAnsi="Times New Roman" w:cs="Times New Roman"/>
                <w:sz w:val="24"/>
              </w:rPr>
            </w:pPr>
            <w:r>
              <w:rPr>
                <w:rFonts w:ascii="Times New Roman" w:hAnsi="Times New Roman" w:cs="Times New Roman"/>
                <w:sz w:val="24"/>
              </w:rPr>
              <w:t>20</w:t>
            </w:r>
          </w:p>
        </w:tc>
        <w:tc>
          <w:tcPr>
            <w:tcW w:w="1189" w:type="dxa"/>
            <w:tcMar>
              <w:left w:w="108" w:type="dxa"/>
              <w:right w:w="108" w:type="dxa"/>
            </w:tcMar>
            <w:vAlign w:val="center"/>
          </w:tcPr>
          <w:p w14:paraId="255E1848">
            <w:pPr>
              <w:spacing w:before="24" w:after="24" w:line="288" w:lineRule="auto"/>
              <w:jc w:val="center"/>
              <w:rPr>
                <w:rFonts w:ascii="Times New Roman" w:hAnsi="Times New Roman" w:cs="Times New Roman"/>
                <w:sz w:val="24"/>
              </w:rPr>
            </w:pPr>
            <w:r>
              <w:rPr>
                <w:rFonts w:ascii="Times New Roman" w:hAnsi="Times New Roman" w:cs="Times New Roman"/>
                <w:sz w:val="24"/>
              </w:rPr>
              <w:t>4</w:t>
            </w:r>
          </w:p>
        </w:tc>
        <w:tc>
          <w:tcPr>
            <w:tcW w:w="1272" w:type="dxa"/>
            <w:tcMar>
              <w:left w:w="108" w:type="dxa"/>
              <w:right w:w="108" w:type="dxa"/>
            </w:tcMar>
            <w:vAlign w:val="center"/>
          </w:tcPr>
          <w:p w14:paraId="25D640F3">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r>
      <w:tr w14:paraId="17AD3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1" w:type="dxa"/>
            <w:vMerge w:val="continue"/>
            <w:tcMar>
              <w:left w:w="108" w:type="dxa"/>
              <w:right w:w="108" w:type="dxa"/>
            </w:tcMar>
            <w:vAlign w:val="center"/>
          </w:tcPr>
          <w:p w14:paraId="6A03B88F">
            <w:pPr>
              <w:spacing w:before="24" w:after="24" w:line="288" w:lineRule="auto"/>
              <w:jc w:val="center"/>
              <w:rPr>
                <w:rFonts w:ascii="Times New Roman" w:hAnsi="Times New Roman" w:cs="Times New Roman"/>
                <w:sz w:val="24"/>
              </w:rPr>
            </w:pPr>
          </w:p>
        </w:tc>
        <w:tc>
          <w:tcPr>
            <w:tcW w:w="660" w:type="dxa"/>
            <w:vMerge w:val="continue"/>
            <w:tcMar>
              <w:left w:w="108" w:type="dxa"/>
              <w:right w:w="108" w:type="dxa"/>
            </w:tcMar>
            <w:vAlign w:val="center"/>
          </w:tcPr>
          <w:p w14:paraId="2BCC2662">
            <w:pPr>
              <w:spacing w:before="24" w:after="24" w:line="288" w:lineRule="auto"/>
              <w:jc w:val="center"/>
              <w:rPr>
                <w:rFonts w:ascii="Times New Roman" w:hAnsi="Times New Roman" w:cs="Times New Roman"/>
                <w:sz w:val="24"/>
              </w:rPr>
            </w:pPr>
          </w:p>
        </w:tc>
        <w:tc>
          <w:tcPr>
            <w:tcW w:w="1998" w:type="dxa"/>
            <w:vMerge w:val="restart"/>
            <w:tcMar>
              <w:left w:w="108" w:type="dxa"/>
              <w:right w:w="108" w:type="dxa"/>
            </w:tcMar>
            <w:vAlign w:val="center"/>
          </w:tcPr>
          <w:p w14:paraId="51E94EAC">
            <w:pPr>
              <w:spacing w:before="24" w:after="24" w:line="288" w:lineRule="auto"/>
              <w:jc w:val="center"/>
              <w:rPr>
                <w:rFonts w:ascii="Times New Roman" w:hAnsi="Times New Roman" w:cs="Times New Roman"/>
                <w:sz w:val="24"/>
              </w:rPr>
            </w:pPr>
            <w:r>
              <w:rPr>
                <w:rFonts w:ascii="Times New Roman" w:hAnsi="Times New Roman" w:cs="Times New Roman"/>
                <w:sz w:val="24"/>
              </w:rPr>
              <w:t>一类公共建筑</w:t>
            </w:r>
          </w:p>
        </w:tc>
        <w:tc>
          <w:tcPr>
            <w:tcW w:w="2233" w:type="dxa"/>
            <w:tcMar>
              <w:left w:w="108" w:type="dxa"/>
              <w:right w:w="108" w:type="dxa"/>
            </w:tcMar>
            <w:vAlign w:val="center"/>
          </w:tcPr>
          <w:p w14:paraId="7E7C0ADA">
            <w:pPr>
              <w:spacing w:before="24" w:after="24" w:line="288" w:lineRule="auto"/>
              <w:jc w:val="center"/>
              <w:rPr>
                <w:rFonts w:ascii="Times New Roman" w:hAnsi="Times New Roman" w:cs="Times New Roman"/>
                <w:sz w:val="24"/>
              </w:rPr>
            </w:pPr>
            <w:r>
              <w:rPr>
                <w:rFonts w:ascii="Times New Roman" w:hAnsi="Times New Roman" w:cs="Times New Roman"/>
                <w:sz w:val="24"/>
              </w:rPr>
              <w:t>h≤50</w:t>
            </w:r>
          </w:p>
        </w:tc>
        <w:tc>
          <w:tcPr>
            <w:tcW w:w="1243" w:type="dxa"/>
            <w:tcMar>
              <w:left w:w="108" w:type="dxa"/>
              <w:right w:w="108" w:type="dxa"/>
            </w:tcMar>
            <w:vAlign w:val="center"/>
          </w:tcPr>
          <w:p w14:paraId="77B93C63">
            <w:pPr>
              <w:spacing w:before="24" w:after="24" w:line="288" w:lineRule="auto"/>
              <w:jc w:val="center"/>
              <w:rPr>
                <w:rFonts w:ascii="Times New Roman" w:hAnsi="Times New Roman" w:cs="Times New Roman"/>
                <w:sz w:val="24"/>
              </w:rPr>
            </w:pPr>
            <w:r>
              <w:rPr>
                <w:rFonts w:ascii="Times New Roman" w:hAnsi="Times New Roman" w:cs="Times New Roman"/>
                <w:sz w:val="24"/>
              </w:rPr>
              <w:t>30</w:t>
            </w:r>
          </w:p>
        </w:tc>
        <w:tc>
          <w:tcPr>
            <w:tcW w:w="1189" w:type="dxa"/>
            <w:tcMar>
              <w:left w:w="108" w:type="dxa"/>
              <w:right w:w="108" w:type="dxa"/>
            </w:tcMar>
            <w:vAlign w:val="center"/>
          </w:tcPr>
          <w:p w14:paraId="184E9116">
            <w:pPr>
              <w:spacing w:before="24" w:after="24" w:line="288" w:lineRule="auto"/>
              <w:jc w:val="center"/>
              <w:rPr>
                <w:rFonts w:ascii="Times New Roman" w:hAnsi="Times New Roman" w:cs="Times New Roman"/>
                <w:sz w:val="24"/>
              </w:rPr>
            </w:pPr>
            <w:r>
              <w:rPr>
                <w:rFonts w:ascii="Times New Roman" w:hAnsi="Times New Roman" w:cs="Times New Roman"/>
                <w:sz w:val="24"/>
              </w:rPr>
              <w:t>6</w:t>
            </w:r>
          </w:p>
        </w:tc>
        <w:tc>
          <w:tcPr>
            <w:tcW w:w="1272" w:type="dxa"/>
            <w:tcMar>
              <w:left w:w="108" w:type="dxa"/>
              <w:right w:w="108" w:type="dxa"/>
            </w:tcMar>
            <w:vAlign w:val="center"/>
          </w:tcPr>
          <w:p w14:paraId="1920BADB">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r>
      <w:tr w14:paraId="397B2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1" w:type="dxa"/>
            <w:vMerge w:val="continue"/>
            <w:tcMar>
              <w:left w:w="108" w:type="dxa"/>
              <w:right w:w="108" w:type="dxa"/>
            </w:tcMar>
            <w:vAlign w:val="center"/>
          </w:tcPr>
          <w:p w14:paraId="6A27FA19">
            <w:pPr>
              <w:spacing w:before="24" w:after="24" w:line="288" w:lineRule="auto"/>
              <w:jc w:val="center"/>
              <w:rPr>
                <w:rFonts w:ascii="Times New Roman" w:hAnsi="Times New Roman" w:cs="Times New Roman"/>
                <w:sz w:val="24"/>
              </w:rPr>
            </w:pPr>
          </w:p>
        </w:tc>
        <w:tc>
          <w:tcPr>
            <w:tcW w:w="660" w:type="dxa"/>
            <w:vMerge w:val="continue"/>
            <w:tcMar>
              <w:left w:w="108" w:type="dxa"/>
              <w:right w:w="108" w:type="dxa"/>
            </w:tcMar>
            <w:vAlign w:val="center"/>
          </w:tcPr>
          <w:p w14:paraId="1AB280E1">
            <w:pPr>
              <w:spacing w:before="24" w:after="24" w:line="288" w:lineRule="auto"/>
              <w:jc w:val="center"/>
              <w:rPr>
                <w:rFonts w:ascii="Times New Roman" w:hAnsi="Times New Roman" w:cs="Times New Roman"/>
                <w:sz w:val="24"/>
              </w:rPr>
            </w:pPr>
          </w:p>
        </w:tc>
        <w:tc>
          <w:tcPr>
            <w:tcW w:w="1998" w:type="dxa"/>
            <w:vMerge w:val="continue"/>
            <w:tcMar>
              <w:left w:w="108" w:type="dxa"/>
              <w:right w:w="108" w:type="dxa"/>
            </w:tcMar>
            <w:vAlign w:val="center"/>
          </w:tcPr>
          <w:p w14:paraId="4D06EB83">
            <w:pPr>
              <w:spacing w:before="24" w:after="24" w:line="288" w:lineRule="auto"/>
              <w:jc w:val="center"/>
              <w:rPr>
                <w:rFonts w:ascii="Times New Roman" w:hAnsi="Times New Roman" w:cs="Times New Roman"/>
                <w:sz w:val="24"/>
              </w:rPr>
            </w:pPr>
          </w:p>
        </w:tc>
        <w:tc>
          <w:tcPr>
            <w:tcW w:w="2233" w:type="dxa"/>
            <w:tcMar>
              <w:left w:w="108" w:type="dxa"/>
              <w:right w:w="108" w:type="dxa"/>
            </w:tcMar>
            <w:vAlign w:val="center"/>
          </w:tcPr>
          <w:p w14:paraId="1D85EE23">
            <w:pPr>
              <w:spacing w:before="24" w:after="24" w:line="288" w:lineRule="auto"/>
              <w:jc w:val="center"/>
              <w:rPr>
                <w:rFonts w:ascii="Times New Roman" w:hAnsi="Times New Roman" w:cs="Times New Roman"/>
                <w:sz w:val="24"/>
              </w:rPr>
            </w:pPr>
            <w:r>
              <w:rPr>
                <w:rFonts w:ascii="Times New Roman" w:hAnsi="Times New Roman" w:cs="Times New Roman"/>
                <w:sz w:val="24"/>
              </w:rPr>
              <w:t>h＞50</w:t>
            </w:r>
          </w:p>
        </w:tc>
        <w:tc>
          <w:tcPr>
            <w:tcW w:w="1243" w:type="dxa"/>
            <w:tcMar>
              <w:left w:w="108" w:type="dxa"/>
              <w:right w:w="108" w:type="dxa"/>
            </w:tcMar>
            <w:vAlign w:val="center"/>
          </w:tcPr>
          <w:p w14:paraId="360D7D9F">
            <w:pPr>
              <w:spacing w:before="24" w:after="24" w:line="288" w:lineRule="auto"/>
              <w:jc w:val="center"/>
              <w:rPr>
                <w:rFonts w:ascii="Times New Roman" w:hAnsi="Times New Roman" w:cs="Times New Roman"/>
                <w:sz w:val="24"/>
              </w:rPr>
            </w:pPr>
            <w:r>
              <w:rPr>
                <w:rFonts w:ascii="Times New Roman" w:hAnsi="Times New Roman" w:cs="Times New Roman"/>
                <w:sz w:val="24"/>
              </w:rPr>
              <w:t>40</w:t>
            </w:r>
          </w:p>
        </w:tc>
        <w:tc>
          <w:tcPr>
            <w:tcW w:w="1189" w:type="dxa"/>
            <w:tcMar>
              <w:left w:w="108" w:type="dxa"/>
              <w:right w:w="108" w:type="dxa"/>
            </w:tcMar>
            <w:vAlign w:val="center"/>
          </w:tcPr>
          <w:p w14:paraId="3E990C7C">
            <w:pPr>
              <w:spacing w:before="24" w:after="24" w:line="288" w:lineRule="auto"/>
              <w:jc w:val="center"/>
              <w:rPr>
                <w:rFonts w:ascii="Times New Roman" w:hAnsi="Times New Roman" w:cs="Times New Roman"/>
                <w:sz w:val="24"/>
              </w:rPr>
            </w:pPr>
            <w:r>
              <w:rPr>
                <w:rFonts w:ascii="Times New Roman" w:hAnsi="Times New Roman" w:cs="Times New Roman"/>
                <w:sz w:val="24"/>
              </w:rPr>
              <w:t>8</w:t>
            </w:r>
          </w:p>
        </w:tc>
        <w:tc>
          <w:tcPr>
            <w:tcW w:w="1272" w:type="dxa"/>
            <w:tcMar>
              <w:left w:w="108" w:type="dxa"/>
              <w:right w:w="108" w:type="dxa"/>
            </w:tcMar>
            <w:vAlign w:val="center"/>
          </w:tcPr>
          <w:p w14:paraId="1080D514">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r>
    </w:tbl>
    <w:p w14:paraId="4482B13C">
      <w:pPr>
        <w:spacing w:before="24" w:after="24"/>
        <w:ind w:firstLine="560" w:firstLineChars="200"/>
        <w:rPr>
          <w:rFonts w:ascii="Times New Roman" w:hAnsi="Times New Roman" w:cs="Times New Roman"/>
        </w:rPr>
      </w:pPr>
      <w:r>
        <w:rPr>
          <w:rFonts w:ascii="Times New Roman" w:hAnsi="Times New Roman" w:cs="Times New Roman"/>
        </w:rPr>
        <w:t>2.供水方式：市政管网压力和流量满足消防要求时，优先采用市政给水管网直接供水；压力和流量不满足消防要求时，室外消防用水储存在消防水池中，采用消防泵加压供水。</w:t>
      </w:r>
    </w:p>
    <w:p w14:paraId="64D6259C">
      <w:pPr>
        <w:spacing w:before="24" w:after="24"/>
        <w:ind w:firstLine="560" w:firstLineChars="200"/>
        <w:rPr>
          <w:rFonts w:ascii="Times New Roman" w:hAnsi="Times New Roman" w:cs="Times New Roman"/>
        </w:rPr>
      </w:pPr>
      <w:r>
        <w:rPr>
          <w:rFonts w:ascii="Times New Roman" w:hAnsi="Times New Roman" w:cs="Times New Roman"/>
        </w:rPr>
        <w:t>3.管材要求：埋地管道建议采用钢丝网骨架聚乙烯复合管，电熔连接；室内外架空管道建议采用热浸锌镀锌钢管，当管径≤DN50时，应采用螺纹和卡压连接，当管径</w:t>
      </w:r>
      <w:r>
        <w:rPr>
          <w:rFonts w:ascii="Times New Roman" w:hAnsi="Times New Roman" w:eastAsia="楷体" w:cs="Times New Roman"/>
        </w:rPr>
        <w:t>＞</w:t>
      </w:r>
      <w:r>
        <w:rPr>
          <w:rFonts w:ascii="Times New Roman" w:hAnsi="Times New Roman" w:cs="Times New Roman"/>
        </w:rPr>
        <w:t>DN50时，应采用沟槽连接件连接、法兰连接，当安装空间较小时应采用沟槽连接件连接。</w:t>
      </w:r>
    </w:p>
    <w:p w14:paraId="066DB136">
      <w:pPr>
        <w:spacing w:before="24" w:after="24"/>
        <w:ind w:firstLine="560" w:firstLineChars="200"/>
        <w:rPr>
          <w:rFonts w:ascii="Times New Roman" w:hAnsi="Times New Roman" w:cs="Times New Roman"/>
        </w:rPr>
      </w:pPr>
      <w:r>
        <w:rPr>
          <w:rFonts w:ascii="Times New Roman" w:hAnsi="Times New Roman" w:cs="Times New Roman"/>
        </w:rPr>
        <w:t>4.管顶覆土：在人行道下不宜小于0.80m，在轻型车行道下不应小于1.0m，且应在冰冻线下0.30m；穿越机动车道时应设置保护套管，套管与钢丝网骨架塑料复合管的净距不应小于100mm。</w:t>
      </w:r>
    </w:p>
    <w:p w14:paraId="3934086F">
      <w:pPr>
        <w:spacing w:before="24" w:after="24"/>
        <w:ind w:firstLine="560" w:firstLineChars="200"/>
        <w:rPr>
          <w:rFonts w:ascii="Times New Roman" w:hAnsi="Times New Roman" w:cs="Times New Roman"/>
        </w:rPr>
      </w:pPr>
      <w:r>
        <w:rPr>
          <w:rFonts w:ascii="Times New Roman" w:hAnsi="Times New Roman" w:cs="Times New Roman"/>
        </w:rPr>
        <w:t>5.室外消火栓：在室外消防用水管道上设置SS100/65-1.0型地上式室外消火栓，保护半径不应超过150m，间距不应大于120m。</w:t>
      </w:r>
    </w:p>
    <w:p w14:paraId="1C345D6C">
      <w:pPr>
        <w:spacing w:before="24" w:after="24"/>
        <w:ind w:firstLine="560" w:firstLineChars="200"/>
        <w:rPr>
          <w:rFonts w:ascii="Times New Roman" w:hAnsi="Times New Roman" w:cs="Times New Roman"/>
        </w:rPr>
      </w:pPr>
      <w:r>
        <w:rPr>
          <w:rFonts w:ascii="Times New Roman" w:hAnsi="Times New Roman" w:cs="Times New Roman"/>
        </w:rPr>
        <w:t>6.管槽开挖：需严格按照标高拉线清底找平，机械开挖至沟槽底标高上20cm左右时，需采用人工清挖，不得破坏原状土。</w:t>
      </w:r>
    </w:p>
    <w:p w14:paraId="1FF0BC92">
      <w:pPr>
        <w:spacing w:before="24" w:after="24"/>
        <w:ind w:firstLine="560" w:firstLineChars="200"/>
        <w:rPr>
          <w:rFonts w:ascii="Times New Roman" w:hAnsi="Times New Roman" w:cs="Times New Roman"/>
        </w:rPr>
      </w:pPr>
      <w:r>
        <w:rPr>
          <w:rFonts w:ascii="Times New Roman" w:hAnsi="Times New Roman" w:cs="Times New Roman"/>
        </w:rPr>
        <w:t>7.管槽回填：采用厚度为100的细砂铺平夯实为垫层，管顶上部500mm以内，不得回填块石、碎石砖等；500mm以上不得集中回填块石、碎石。机械回填土时，回填用的机械不得在沟槽内行走。沟槽内的回填土应分层夯实。</w:t>
      </w:r>
    </w:p>
    <w:p w14:paraId="717EF9B0">
      <w:pPr>
        <w:spacing w:before="24" w:after="24"/>
        <w:ind w:firstLine="560" w:firstLineChars="200"/>
        <w:rPr>
          <w:rFonts w:ascii="Times New Roman" w:hAnsi="Times New Roman" w:cs="Times New Roman"/>
        </w:rPr>
      </w:pPr>
      <w:r>
        <w:rPr>
          <w:rFonts w:ascii="Times New Roman" w:hAnsi="Times New Roman" w:cs="Times New Roman"/>
        </w:rPr>
        <w:t>8.取水口：室外消防水池设置消防车取水口，距道路边间距0.5m≤d≤2.0m。</w:t>
      </w:r>
    </w:p>
    <w:p w14:paraId="2F3DCE2C">
      <w:pPr>
        <w:spacing w:before="24" w:after="24"/>
        <w:ind w:firstLine="562" w:firstLineChars="200"/>
        <w:outlineLvl w:val="4"/>
        <w:rPr>
          <w:rFonts w:ascii="Times New Roman" w:hAnsi="Times New Roman" w:cs="Times New Roman"/>
          <w:b/>
        </w:rPr>
      </w:pPr>
      <w:r>
        <w:rPr>
          <w:rFonts w:ascii="Times New Roman" w:hAnsi="Times New Roman" w:cs="Times New Roman"/>
          <w:b/>
        </w:rPr>
        <w:t>5.2.4 室外污水系统</w:t>
      </w:r>
    </w:p>
    <w:p w14:paraId="711B43ED">
      <w:pPr>
        <w:spacing w:before="24" w:after="24"/>
        <w:ind w:firstLine="560" w:firstLineChars="200"/>
        <w:rPr>
          <w:rFonts w:ascii="Times New Roman" w:hAnsi="Times New Roman" w:cs="Times New Roman"/>
        </w:rPr>
      </w:pPr>
      <w:r>
        <w:rPr>
          <w:rFonts w:ascii="Times New Roman" w:hAnsi="Times New Roman" w:cs="Times New Roman"/>
        </w:rPr>
        <w:t>1.排水体制：采用雨污分流制排水。</w:t>
      </w:r>
    </w:p>
    <w:p w14:paraId="3E09C20D">
      <w:pPr>
        <w:spacing w:before="24" w:after="24"/>
        <w:ind w:firstLine="560" w:firstLineChars="200"/>
        <w:rPr>
          <w:rFonts w:ascii="Times New Roman" w:hAnsi="Times New Roman" w:cs="Times New Roman"/>
        </w:rPr>
      </w:pPr>
      <w:r>
        <w:rPr>
          <w:rFonts w:ascii="Times New Roman" w:hAnsi="Times New Roman" w:cs="Times New Roman"/>
        </w:rPr>
        <w:t>2.系统布置：生活污废水由室内污废水管道收集后，输送至室外污水管网，经化粪池初步处理后部分排入市政污水管网。职工食堂的含油脂污水，应经除油装置后方许排入室外污水管道。</w:t>
      </w:r>
    </w:p>
    <w:p w14:paraId="17663661">
      <w:pPr>
        <w:spacing w:before="24" w:after="24"/>
        <w:ind w:firstLine="560" w:firstLineChars="200"/>
        <w:rPr>
          <w:rFonts w:ascii="Times New Roman" w:hAnsi="Times New Roman" w:cs="Times New Roman"/>
        </w:rPr>
      </w:pPr>
      <w:r>
        <w:rPr>
          <w:rFonts w:ascii="Times New Roman" w:hAnsi="Times New Roman" w:cs="Times New Roman"/>
        </w:rPr>
        <w:t>3.污水量预测</w:t>
      </w:r>
    </w:p>
    <w:p w14:paraId="4740EFEB">
      <w:pPr>
        <w:spacing w:before="24" w:after="24"/>
        <w:ind w:firstLine="560" w:firstLineChars="200"/>
        <w:rPr>
          <w:rFonts w:ascii="Times New Roman" w:hAnsi="Times New Roman" w:cs="Times New Roman"/>
        </w:rPr>
      </w:pPr>
      <w:r>
        <w:rPr>
          <w:rFonts w:ascii="Times New Roman" w:hAnsi="Times New Roman" w:cs="Times New Roman"/>
        </w:rPr>
        <w:t>本工程建筑生活污水量按其生活用水量的100%计算。</w:t>
      </w:r>
    </w:p>
    <w:p w14:paraId="2140EB8E">
      <w:pPr>
        <w:spacing w:before="24" w:after="24"/>
        <w:ind w:firstLine="560" w:firstLineChars="200"/>
        <w:rPr>
          <w:rFonts w:ascii="Times New Roman" w:hAnsi="Times New Roman" w:cs="Times New Roman"/>
        </w:rPr>
      </w:pPr>
      <w:r>
        <w:rPr>
          <w:rFonts w:ascii="Times New Roman" w:hAnsi="Times New Roman" w:cs="Times New Roman"/>
        </w:rPr>
        <w:t>4.水力计算</w:t>
      </w:r>
    </w:p>
    <w:p w14:paraId="5299709D">
      <w:pPr>
        <w:spacing w:before="24" w:after="24"/>
        <w:ind w:firstLine="560" w:firstLineChars="200"/>
        <w:rPr>
          <w:rFonts w:ascii="Times New Roman" w:hAnsi="Times New Roman" w:cs="Times New Roman"/>
        </w:rPr>
      </w:pPr>
      <w:r>
        <w:rPr>
          <w:rFonts w:ascii="Times New Roman" w:hAnsi="Times New Roman" w:cs="Times New Roman"/>
        </w:rPr>
        <w:t>水流有效断面计算公式：</w:t>
      </w:r>
      <w:r>
        <w:rPr>
          <w:rFonts w:ascii="Times New Roman" w:hAnsi="Times New Roman" w:cs="Times New Roman"/>
        </w:rPr>
        <w:drawing>
          <wp:inline distT="0" distB="0" distL="114300" distR="114300">
            <wp:extent cx="533400" cy="323850"/>
            <wp:effectExtent l="0" t="0" r="0" b="0"/>
            <wp:docPr id="18"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descr="IMG_256"/>
                    <pic:cNvPicPr>
                      <a:picLocks noChangeAspect="1"/>
                    </pic:cNvPicPr>
                  </pic:nvPicPr>
                  <pic:blipFill>
                    <a:blip r:embed="rId21"/>
                    <a:stretch>
                      <a:fillRect/>
                    </a:stretch>
                  </pic:blipFill>
                  <pic:spPr>
                    <a:xfrm>
                      <a:off x="0" y="0"/>
                      <a:ext cx="533400" cy="323850"/>
                    </a:xfrm>
                    <a:prstGeom prst="rect">
                      <a:avLst/>
                    </a:prstGeom>
                    <a:noFill/>
                    <a:ln w="9525">
                      <a:noFill/>
                    </a:ln>
                  </pic:spPr>
                </pic:pic>
              </a:graphicData>
            </a:graphic>
          </wp:inline>
        </w:drawing>
      </w:r>
    </w:p>
    <w:p w14:paraId="6382228E">
      <w:pPr>
        <w:spacing w:before="24" w:after="24"/>
        <w:ind w:firstLine="560" w:firstLineChars="200"/>
        <w:rPr>
          <w:rFonts w:ascii="Times New Roman" w:hAnsi="Times New Roman" w:cs="Times New Roman"/>
        </w:rPr>
      </w:pPr>
      <w:r>
        <w:rPr>
          <w:rFonts w:ascii="Times New Roman" w:hAnsi="Times New Roman" w:cs="Times New Roman"/>
        </w:rPr>
        <w:t>式中：A－水流有效断面积，㎡；Q－设计流量，m³/s；V－流速，m/s。</w:t>
      </w:r>
    </w:p>
    <w:p w14:paraId="12749487">
      <w:pPr>
        <w:spacing w:before="24" w:after="24"/>
        <w:ind w:firstLine="560" w:firstLineChars="200"/>
        <w:rPr>
          <w:rFonts w:ascii="Times New Roman" w:hAnsi="Times New Roman" w:cs="Times New Roman"/>
        </w:rPr>
      </w:pPr>
      <w:r>
        <w:rPr>
          <w:rFonts w:ascii="Times New Roman" w:hAnsi="Times New Roman" w:cs="Times New Roman"/>
        </w:rPr>
        <w:t>流速计算公式：</w:t>
      </w:r>
      <w:r>
        <w:rPr>
          <w:rFonts w:ascii="Times New Roman" w:hAnsi="Times New Roman" w:cs="Times New Roman"/>
        </w:rPr>
        <w:drawing>
          <wp:inline distT="0" distB="0" distL="114300" distR="114300">
            <wp:extent cx="752475" cy="381000"/>
            <wp:effectExtent l="0" t="0" r="9525" b="0"/>
            <wp:docPr id="15"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descr="IMG_257"/>
                    <pic:cNvPicPr>
                      <a:picLocks noChangeAspect="1"/>
                    </pic:cNvPicPr>
                  </pic:nvPicPr>
                  <pic:blipFill>
                    <a:blip r:embed="rId22"/>
                    <a:stretch>
                      <a:fillRect/>
                    </a:stretch>
                  </pic:blipFill>
                  <pic:spPr>
                    <a:xfrm>
                      <a:off x="0" y="0"/>
                      <a:ext cx="752475" cy="381000"/>
                    </a:xfrm>
                    <a:prstGeom prst="rect">
                      <a:avLst/>
                    </a:prstGeom>
                    <a:noFill/>
                    <a:ln w="9525">
                      <a:noFill/>
                    </a:ln>
                  </pic:spPr>
                </pic:pic>
              </a:graphicData>
            </a:graphic>
          </wp:inline>
        </w:drawing>
      </w:r>
    </w:p>
    <w:p w14:paraId="1D72CAF3">
      <w:pPr>
        <w:spacing w:before="24" w:after="24"/>
        <w:ind w:firstLine="560" w:firstLineChars="200"/>
        <w:rPr>
          <w:rFonts w:ascii="Times New Roman" w:hAnsi="Times New Roman" w:cs="Times New Roman"/>
        </w:rPr>
      </w:pPr>
      <w:r>
        <w:rPr>
          <w:rFonts w:ascii="Times New Roman" w:hAnsi="Times New Roman" w:cs="Times New Roman"/>
        </w:rPr>
        <w:t>式中：n－粗糙系数；R－水力半径，m，</w:t>
      </w:r>
      <w:r>
        <w:rPr>
          <w:rFonts w:ascii="Times New Roman" w:hAnsi="Times New Roman" w:cs="Times New Roman"/>
        </w:rPr>
        <w:drawing>
          <wp:inline distT="0" distB="0" distL="114300" distR="114300">
            <wp:extent cx="533400" cy="304800"/>
            <wp:effectExtent l="0" t="0" r="0" b="0"/>
            <wp:docPr id="16"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descr="IMG_258"/>
                    <pic:cNvPicPr>
                      <a:picLocks noChangeAspect="1"/>
                    </pic:cNvPicPr>
                  </pic:nvPicPr>
                  <pic:blipFill>
                    <a:blip r:embed="rId23"/>
                    <a:stretch>
                      <a:fillRect/>
                    </a:stretch>
                  </pic:blipFill>
                  <pic:spPr>
                    <a:xfrm>
                      <a:off x="0" y="0"/>
                      <a:ext cx="533400" cy="304800"/>
                    </a:xfrm>
                    <a:prstGeom prst="rect">
                      <a:avLst/>
                    </a:prstGeom>
                    <a:noFill/>
                    <a:ln w="9525">
                      <a:noFill/>
                    </a:ln>
                  </pic:spPr>
                </pic:pic>
              </a:graphicData>
            </a:graphic>
          </wp:inline>
        </w:drawing>
      </w:r>
      <w:r>
        <w:rPr>
          <w:rFonts w:ascii="Times New Roman" w:hAnsi="Times New Roman" w:cs="Times New Roman"/>
        </w:rPr>
        <w:t>，P为湿周，m；i－水力坡降。</w:t>
      </w:r>
    </w:p>
    <w:p w14:paraId="57E07FD4">
      <w:pPr>
        <w:spacing w:before="24" w:after="24"/>
        <w:ind w:firstLine="560" w:firstLineChars="200"/>
        <w:rPr>
          <w:rFonts w:ascii="Times New Roman" w:hAnsi="Times New Roman" w:cs="Times New Roman"/>
        </w:rPr>
      </w:pPr>
      <w:r>
        <w:rPr>
          <w:rFonts w:ascii="Times New Roman" w:hAnsi="Times New Roman" w:cs="Times New Roman"/>
        </w:rPr>
        <w:t>4.计算程序</w:t>
      </w:r>
    </w:p>
    <w:p w14:paraId="5A94C0A8">
      <w:pPr>
        <w:spacing w:before="24" w:after="24"/>
        <w:ind w:firstLine="560" w:firstLineChars="200"/>
        <w:rPr>
          <w:rFonts w:ascii="Times New Roman" w:hAnsi="Times New Roman" w:cs="Times New Roman"/>
        </w:rPr>
      </w:pPr>
      <w:r>
        <w:rPr>
          <w:rFonts w:ascii="Times New Roman" w:hAnsi="Times New Roman" w:cs="Times New Roman"/>
        </w:rPr>
        <w:t>（1）确定计算管段的服务面积、人口及接入该管段的生活污水量，确定总变化系数；</w:t>
      </w:r>
    </w:p>
    <w:p w14:paraId="17AFC24D">
      <w:pPr>
        <w:spacing w:before="24" w:after="24"/>
        <w:ind w:firstLine="560" w:firstLineChars="200"/>
        <w:rPr>
          <w:rFonts w:ascii="Times New Roman" w:hAnsi="Times New Roman" w:cs="Times New Roman"/>
        </w:rPr>
      </w:pPr>
      <w:r>
        <w:rPr>
          <w:rFonts w:ascii="Times New Roman" w:hAnsi="Times New Roman" w:cs="Times New Roman"/>
        </w:rPr>
        <w:t>（2）根据地形确定管段纵向坡度；</w:t>
      </w:r>
    </w:p>
    <w:p w14:paraId="4CBDD292">
      <w:pPr>
        <w:spacing w:before="24" w:after="24"/>
        <w:ind w:firstLine="560" w:firstLineChars="200"/>
        <w:rPr>
          <w:rFonts w:ascii="Times New Roman" w:hAnsi="Times New Roman" w:cs="Times New Roman"/>
        </w:rPr>
      </w:pPr>
      <w:r>
        <w:rPr>
          <w:rFonts w:ascii="Times New Roman" w:hAnsi="Times New Roman" w:cs="Times New Roman"/>
        </w:rPr>
        <w:t>（3）查水力计算表，确定管径、流速等参数。</w:t>
      </w:r>
    </w:p>
    <w:p w14:paraId="294419A3">
      <w:pPr>
        <w:spacing w:before="24" w:after="24"/>
        <w:ind w:firstLine="560" w:firstLineChars="200"/>
        <w:rPr>
          <w:rFonts w:ascii="Times New Roman" w:hAnsi="Times New Roman" w:cs="Times New Roman"/>
        </w:rPr>
      </w:pPr>
      <w:r>
        <w:rPr>
          <w:rFonts w:ascii="Times New Roman" w:hAnsi="Times New Roman" w:cs="Times New Roman"/>
        </w:rPr>
        <w:t>（4）污水管道按非满流计算，最大充满度见表5-4：</w:t>
      </w:r>
    </w:p>
    <w:p w14:paraId="34983996">
      <w:pPr>
        <w:spacing w:before="24" w:after="24" w:line="288" w:lineRule="auto"/>
        <w:jc w:val="center"/>
        <w:rPr>
          <w:rFonts w:ascii="Times New Roman" w:hAnsi="Times New Roman" w:cs="Times New Roman"/>
        </w:rPr>
      </w:pPr>
      <w:r>
        <w:rPr>
          <w:rFonts w:ascii="Times New Roman" w:hAnsi="Times New Roman" w:cs="Times New Roman"/>
        </w:rPr>
        <w:t>表5-4管道最大设计充满度</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2"/>
        <w:gridCol w:w="1701"/>
        <w:gridCol w:w="1842"/>
        <w:gridCol w:w="1843"/>
      </w:tblGrid>
      <w:tr w14:paraId="79C73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02" w:type="dxa"/>
            <w:tcBorders>
              <w:top w:val="single" w:color="auto" w:sz="4" w:space="0"/>
              <w:left w:val="single" w:color="auto" w:sz="4" w:space="0"/>
              <w:bottom w:val="single" w:color="auto" w:sz="4" w:space="0"/>
              <w:right w:val="single" w:color="auto" w:sz="4" w:space="0"/>
            </w:tcBorders>
          </w:tcPr>
          <w:p w14:paraId="4EE6123F">
            <w:pPr>
              <w:pStyle w:val="71"/>
              <w:spacing w:before="24" w:after="24"/>
            </w:pPr>
            <w:r>
              <w:t>管径DN（mm）</w:t>
            </w:r>
          </w:p>
        </w:tc>
        <w:tc>
          <w:tcPr>
            <w:tcW w:w="1701" w:type="dxa"/>
            <w:tcBorders>
              <w:top w:val="single" w:color="auto" w:sz="4" w:space="0"/>
              <w:left w:val="single" w:color="auto" w:sz="4" w:space="0"/>
              <w:bottom w:val="single" w:color="auto" w:sz="4" w:space="0"/>
              <w:right w:val="single" w:color="auto" w:sz="4" w:space="0"/>
            </w:tcBorders>
          </w:tcPr>
          <w:p w14:paraId="6B56E429">
            <w:pPr>
              <w:pStyle w:val="71"/>
              <w:spacing w:before="24" w:after="24"/>
            </w:pPr>
            <w:r>
              <w:t>200~300</w:t>
            </w:r>
          </w:p>
        </w:tc>
        <w:tc>
          <w:tcPr>
            <w:tcW w:w="1842" w:type="dxa"/>
            <w:tcBorders>
              <w:top w:val="single" w:color="auto" w:sz="4" w:space="0"/>
              <w:left w:val="single" w:color="auto" w:sz="4" w:space="0"/>
              <w:bottom w:val="single" w:color="auto" w:sz="4" w:space="0"/>
              <w:right w:val="single" w:color="auto" w:sz="4" w:space="0"/>
            </w:tcBorders>
          </w:tcPr>
          <w:p w14:paraId="7F7BDA99">
            <w:pPr>
              <w:pStyle w:val="71"/>
              <w:spacing w:before="24" w:after="24"/>
            </w:pPr>
            <w:r>
              <w:t>350~450</w:t>
            </w:r>
          </w:p>
        </w:tc>
        <w:tc>
          <w:tcPr>
            <w:tcW w:w="1843" w:type="dxa"/>
            <w:tcBorders>
              <w:top w:val="single" w:color="auto" w:sz="4" w:space="0"/>
              <w:left w:val="single" w:color="auto" w:sz="4" w:space="0"/>
              <w:bottom w:val="single" w:color="auto" w:sz="4" w:space="0"/>
              <w:right w:val="single" w:color="auto" w:sz="4" w:space="0"/>
            </w:tcBorders>
          </w:tcPr>
          <w:p w14:paraId="4D7E1A64">
            <w:pPr>
              <w:pStyle w:val="71"/>
              <w:spacing w:before="24" w:after="24"/>
            </w:pPr>
            <w:r>
              <w:t>500~900</w:t>
            </w:r>
          </w:p>
        </w:tc>
      </w:tr>
      <w:tr w14:paraId="05D3C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02" w:type="dxa"/>
            <w:tcBorders>
              <w:top w:val="single" w:color="auto" w:sz="4" w:space="0"/>
              <w:left w:val="single" w:color="auto" w:sz="4" w:space="0"/>
              <w:bottom w:val="single" w:color="auto" w:sz="4" w:space="0"/>
              <w:right w:val="single" w:color="auto" w:sz="4" w:space="0"/>
            </w:tcBorders>
          </w:tcPr>
          <w:p w14:paraId="6B7EFE6E">
            <w:pPr>
              <w:pStyle w:val="71"/>
              <w:spacing w:before="24" w:after="24"/>
            </w:pPr>
            <w:r>
              <w:t>设计最大充满度（h/D）</w:t>
            </w:r>
          </w:p>
        </w:tc>
        <w:tc>
          <w:tcPr>
            <w:tcW w:w="1701" w:type="dxa"/>
            <w:tcBorders>
              <w:top w:val="single" w:color="auto" w:sz="4" w:space="0"/>
              <w:left w:val="single" w:color="auto" w:sz="4" w:space="0"/>
              <w:bottom w:val="single" w:color="auto" w:sz="4" w:space="0"/>
              <w:right w:val="single" w:color="auto" w:sz="4" w:space="0"/>
            </w:tcBorders>
          </w:tcPr>
          <w:p w14:paraId="01F3BDF9">
            <w:pPr>
              <w:pStyle w:val="71"/>
              <w:spacing w:before="24" w:after="24"/>
            </w:pPr>
            <w:r>
              <w:t>0.6</w:t>
            </w:r>
          </w:p>
        </w:tc>
        <w:tc>
          <w:tcPr>
            <w:tcW w:w="1842" w:type="dxa"/>
            <w:tcBorders>
              <w:top w:val="single" w:color="auto" w:sz="4" w:space="0"/>
              <w:left w:val="single" w:color="auto" w:sz="4" w:space="0"/>
              <w:bottom w:val="single" w:color="auto" w:sz="4" w:space="0"/>
              <w:right w:val="single" w:color="auto" w:sz="4" w:space="0"/>
            </w:tcBorders>
          </w:tcPr>
          <w:p w14:paraId="7ECB9E3E">
            <w:pPr>
              <w:pStyle w:val="71"/>
              <w:spacing w:before="24" w:after="24"/>
            </w:pPr>
            <w:r>
              <w:t>0.7</w:t>
            </w:r>
          </w:p>
        </w:tc>
        <w:tc>
          <w:tcPr>
            <w:tcW w:w="1843" w:type="dxa"/>
            <w:tcBorders>
              <w:top w:val="single" w:color="auto" w:sz="4" w:space="0"/>
              <w:left w:val="single" w:color="auto" w:sz="4" w:space="0"/>
              <w:bottom w:val="single" w:color="auto" w:sz="4" w:space="0"/>
              <w:right w:val="single" w:color="auto" w:sz="4" w:space="0"/>
            </w:tcBorders>
          </w:tcPr>
          <w:p w14:paraId="6482B7D8">
            <w:pPr>
              <w:pStyle w:val="71"/>
              <w:spacing w:before="24" w:after="24"/>
            </w:pPr>
            <w:r>
              <w:t>0.75</w:t>
            </w:r>
          </w:p>
        </w:tc>
      </w:tr>
    </w:tbl>
    <w:p w14:paraId="294744B2">
      <w:pPr>
        <w:spacing w:before="24" w:after="24"/>
        <w:ind w:firstLine="560" w:firstLineChars="200"/>
        <w:rPr>
          <w:rFonts w:ascii="Times New Roman" w:hAnsi="Times New Roman" w:cs="Times New Roman"/>
        </w:rPr>
      </w:pPr>
      <w:r>
        <w:rPr>
          <w:rFonts w:ascii="Times New Roman" w:hAnsi="Times New Roman" w:cs="Times New Roman"/>
        </w:rPr>
        <w:t>（5）污水管道最小设计流速取0.7m/s；</w:t>
      </w:r>
    </w:p>
    <w:p w14:paraId="2E2328D2">
      <w:pPr>
        <w:spacing w:before="24" w:after="24"/>
        <w:ind w:firstLine="560" w:firstLineChars="200"/>
        <w:rPr>
          <w:rFonts w:ascii="Times New Roman" w:hAnsi="Times New Roman" w:cs="Times New Roman"/>
        </w:rPr>
      </w:pPr>
      <w:r>
        <w:rPr>
          <w:rFonts w:ascii="Times New Roman" w:hAnsi="Times New Roman" w:cs="Times New Roman"/>
        </w:rPr>
        <w:t>（6）污水管道的最小管径采用DN300mm，相应最小设计坡度为0.003。</w:t>
      </w:r>
    </w:p>
    <w:p w14:paraId="15E1D70F">
      <w:pPr>
        <w:spacing w:before="24" w:after="24"/>
        <w:ind w:firstLine="560" w:firstLineChars="200"/>
        <w:rPr>
          <w:rFonts w:ascii="Times New Roman" w:hAnsi="Times New Roman" w:cs="Times New Roman"/>
        </w:rPr>
      </w:pPr>
      <w:r>
        <w:rPr>
          <w:rFonts w:ascii="Times New Roman" w:hAnsi="Times New Roman" w:cs="Times New Roman"/>
        </w:rPr>
        <w:t>5.管材：建议采用埋地排水塑料管。</w:t>
      </w:r>
    </w:p>
    <w:p w14:paraId="14041AF7">
      <w:pPr>
        <w:spacing w:before="24" w:after="24"/>
        <w:ind w:firstLine="560" w:firstLineChars="200"/>
        <w:rPr>
          <w:rFonts w:ascii="Times New Roman" w:hAnsi="Times New Roman" w:cs="Times New Roman"/>
        </w:rPr>
      </w:pPr>
      <w:bookmarkStart w:id="101" w:name="_Toc8560"/>
      <w:bookmarkEnd w:id="101"/>
      <w:bookmarkStart w:id="102" w:name="_Toc168815871"/>
      <w:bookmarkEnd w:id="102"/>
      <w:r>
        <w:rPr>
          <w:rFonts w:ascii="Times New Roman" w:hAnsi="Times New Roman" w:cs="Times New Roman"/>
        </w:rPr>
        <w:t>6.管顶覆土：</w:t>
      </w:r>
    </w:p>
    <w:p w14:paraId="7C8B3843">
      <w:pPr>
        <w:spacing w:before="24" w:after="24"/>
        <w:ind w:firstLine="560" w:firstLineChars="200"/>
        <w:rPr>
          <w:rFonts w:ascii="Times New Roman" w:hAnsi="Times New Roman" w:cs="Times New Roman"/>
        </w:rPr>
      </w:pPr>
      <w:r>
        <w:rPr>
          <w:rFonts w:ascii="Times New Roman" w:hAnsi="Times New Roman" w:cs="Times New Roman"/>
        </w:rPr>
        <w:t>（1）道路下的生活排水管道，其覆土深度不宜小于0.70m；</w:t>
      </w:r>
    </w:p>
    <w:p w14:paraId="03FA6DEF">
      <w:pPr>
        <w:spacing w:before="24" w:after="24"/>
        <w:ind w:firstLine="560" w:firstLineChars="200"/>
        <w:rPr>
          <w:rFonts w:ascii="Times New Roman" w:hAnsi="Times New Roman" w:cs="Times New Roman"/>
        </w:rPr>
      </w:pPr>
      <w:r>
        <w:rPr>
          <w:rFonts w:ascii="Times New Roman" w:hAnsi="Times New Roman" w:cs="Times New Roman"/>
        </w:rPr>
        <w:t>（2）生活排水管道埋设深度不得高于土壤冰冻线以上0.15m，且覆土深度不宜小于0.30m；当采用埋地塑料管道时，排出管埋设深度可不高于土壤冰冻线以上0.50m。</w:t>
      </w:r>
    </w:p>
    <w:p w14:paraId="39582C96">
      <w:pPr>
        <w:spacing w:before="24" w:after="24"/>
        <w:ind w:firstLine="560" w:firstLineChars="200"/>
        <w:rPr>
          <w:rFonts w:ascii="Times New Roman" w:hAnsi="Times New Roman" w:cs="Times New Roman"/>
        </w:rPr>
      </w:pPr>
      <w:r>
        <w:rPr>
          <w:rFonts w:ascii="Times New Roman" w:hAnsi="Times New Roman" w:cs="Times New Roman"/>
        </w:rPr>
        <w:t>7.检查井：宜采用塑料污水排水检查井。</w:t>
      </w:r>
    </w:p>
    <w:p w14:paraId="06B34A44">
      <w:pPr>
        <w:spacing w:before="24" w:after="24"/>
        <w:ind w:firstLine="560" w:firstLineChars="200"/>
        <w:rPr>
          <w:rFonts w:ascii="Times New Roman" w:hAnsi="Times New Roman" w:cs="Times New Roman"/>
        </w:rPr>
      </w:pPr>
      <w:r>
        <w:rPr>
          <w:rFonts w:ascii="Times New Roman" w:hAnsi="Times New Roman" w:cs="Times New Roman"/>
        </w:rPr>
        <w:t>8.管槽开挖：需槽底原状地基土不得扰动，机械开挖时槽底预留200～300mm土层由人工开挖至设计高程，并严格按照设计标高拉线清底找平。</w:t>
      </w:r>
    </w:p>
    <w:p w14:paraId="2734C907">
      <w:pPr>
        <w:spacing w:before="24" w:after="24"/>
        <w:ind w:firstLine="560" w:firstLineChars="200"/>
        <w:rPr>
          <w:rFonts w:ascii="Times New Roman" w:hAnsi="Times New Roman" w:cs="Times New Roman"/>
        </w:rPr>
      </w:pPr>
      <w:r>
        <w:rPr>
          <w:rFonts w:ascii="Times New Roman" w:hAnsi="Times New Roman" w:cs="Times New Roman"/>
        </w:rPr>
        <w:t>9.管槽回填：管道基础采用中砂、粗砂，管底基础垫层厚度不小于150mm；管道两侧和管顶以上500mm以内采用中砂、粗砂、碎石屑、最大粒径小于40mm的砂砾或符合要求的原土回填；超过管顶500mm以上土层采用原土回填或根据地面结构做法要求回填。机械回填土时，回填用的机械不得在沟槽内行走。沟槽内的回填土应分层夯实。</w:t>
      </w:r>
    </w:p>
    <w:p w14:paraId="2F10DF78">
      <w:pPr>
        <w:spacing w:before="24" w:after="24"/>
        <w:ind w:firstLine="562" w:firstLineChars="200"/>
        <w:outlineLvl w:val="4"/>
        <w:rPr>
          <w:rFonts w:ascii="Times New Roman" w:hAnsi="Times New Roman" w:cs="Times New Roman"/>
          <w:b/>
        </w:rPr>
      </w:pPr>
      <w:r>
        <w:rPr>
          <w:rFonts w:ascii="Times New Roman" w:hAnsi="Times New Roman" w:cs="Times New Roman"/>
          <w:b/>
        </w:rPr>
        <w:t>5.2.5 室外雨水系统</w:t>
      </w:r>
    </w:p>
    <w:p w14:paraId="3559D4D6">
      <w:pPr>
        <w:spacing w:before="24" w:after="24"/>
        <w:ind w:firstLine="560" w:firstLineChars="200"/>
        <w:rPr>
          <w:rFonts w:ascii="Times New Roman" w:hAnsi="Times New Roman" w:cs="Times New Roman"/>
        </w:rPr>
      </w:pPr>
      <w:r>
        <w:rPr>
          <w:rFonts w:ascii="Times New Roman" w:hAnsi="Times New Roman" w:cs="Times New Roman"/>
        </w:rPr>
        <w:t>1.雨水量计算：</w:t>
      </w:r>
    </w:p>
    <w:p w14:paraId="5246F234">
      <w:pPr>
        <w:spacing w:before="24" w:after="24"/>
        <w:ind w:firstLine="560" w:firstLineChars="200"/>
        <w:rPr>
          <w:rFonts w:ascii="Times New Roman" w:hAnsi="Times New Roman" w:cs="Times New Roman"/>
        </w:rPr>
      </w:pPr>
      <w:r>
        <w:rPr>
          <w:rFonts w:ascii="Times New Roman" w:hAnsi="Times New Roman" w:cs="Times New Roman"/>
        </w:rPr>
        <w:t>（1）暴雨强度公式</w:t>
      </w:r>
    </w:p>
    <w:p w14:paraId="06C69447">
      <w:pPr>
        <w:spacing w:before="24" w:after="24"/>
        <w:ind w:firstLine="560" w:firstLineChars="200"/>
        <w:rPr>
          <w:rFonts w:ascii="Times New Roman" w:hAnsi="Times New Roman" w:cs="Times New Roman"/>
        </w:rPr>
      </w:pPr>
      <w:r>
        <w:rPr>
          <w:rFonts w:ascii="Times New Roman" w:hAnsi="Times New Roman" w:cs="Times New Roman"/>
        </w:rPr>
        <w:t>i=（24.751+28.0719lgT）/（t+24.803）</w:t>
      </w:r>
      <w:r>
        <w:rPr>
          <w:rFonts w:ascii="Times New Roman" w:hAnsi="Times New Roman" w:cs="Times New Roman"/>
          <w:vertAlign w:val="superscript"/>
        </w:rPr>
        <w:t>1.1671</w:t>
      </w:r>
      <w:r>
        <w:rPr>
          <w:rFonts w:ascii="Times New Roman" w:hAnsi="Times New Roman" w:cs="Times New Roman"/>
        </w:rPr>
        <w:t>（mm/min）</w:t>
      </w:r>
    </w:p>
    <w:p w14:paraId="0B33240A">
      <w:pPr>
        <w:spacing w:before="24" w:after="24"/>
        <w:ind w:firstLine="560" w:firstLineChars="200"/>
        <w:rPr>
          <w:rFonts w:ascii="Times New Roman" w:hAnsi="Times New Roman" w:cs="Times New Roman"/>
        </w:rPr>
      </w:pPr>
      <w:r>
        <w:rPr>
          <w:rFonts w:ascii="Times New Roman" w:hAnsi="Times New Roman" w:cs="Times New Roman"/>
        </w:rPr>
        <w:t>式中：i为暴雨强度（mm/min）；屋面雨水：重现期T=5年，集水时间t=5min；屋面溢流设施：重现期T=50年，集水时间t=5min；场地雨水：重现期T=3年，集水时间t=t</w:t>
      </w:r>
      <w:r>
        <w:rPr>
          <w:rFonts w:ascii="Times New Roman" w:hAnsi="Times New Roman" w:cs="Times New Roman"/>
          <w:vertAlign w:val="subscript"/>
        </w:rPr>
        <w:t>1</w:t>
      </w:r>
      <w:r>
        <w:rPr>
          <w:rFonts w:ascii="Times New Roman" w:hAnsi="Times New Roman" w:cs="Times New Roman"/>
        </w:rPr>
        <w:t>+t</w:t>
      </w:r>
      <w:r>
        <w:rPr>
          <w:rFonts w:ascii="Times New Roman" w:hAnsi="Times New Roman" w:cs="Times New Roman"/>
          <w:vertAlign w:val="subscript"/>
        </w:rPr>
        <w:t>2</w:t>
      </w:r>
      <w:r>
        <w:rPr>
          <w:rFonts w:ascii="Times New Roman" w:hAnsi="Times New Roman" w:cs="Times New Roman"/>
        </w:rPr>
        <w:t>，地面集水时间t</w:t>
      </w:r>
      <w:r>
        <w:rPr>
          <w:rFonts w:ascii="Times New Roman" w:hAnsi="Times New Roman" w:cs="Times New Roman"/>
          <w:vertAlign w:val="subscript"/>
        </w:rPr>
        <w:t>1</w:t>
      </w:r>
      <w:r>
        <w:rPr>
          <w:rFonts w:ascii="Times New Roman" w:hAnsi="Times New Roman" w:cs="Times New Roman"/>
        </w:rPr>
        <w:t>=10min，管内雨水流行时间为t</w:t>
      </w:r>
      <w:r>
        <w:rPr>
          <w:rFonts w:ascii="Times New Roman" w:hAnsi="Times New Roman" w:cs="Times New Roman"/>
          <w:vertAlign w:val="subscript"/>
        </w:rPr>
        <w:t>2</w:t>
      </w:r>
      <w:r>
        <w:rPr>
          <w:rFonts w:ascii="Times New Roman" w:hAnsi="Times New Roman" w:cs="Times New Roman"/>
        </w:rPr>
        <w:t>。</w:t>
      </w:r>
    </w:p>
    <w:p w14:paraId="43FA489B">
      <w:pPr>
        <w:spacing w:before="24" w:after="24"/>
        <w:ind w:firstLine="560" w:firstLineChars="200"/>
        <w:rPr>
          <w:rFonts w:ascii="Times New Roman" w:hAnsi="Times New Roman" w:cs="Times New Roman"/>
        </w:rPr>
      </w:pPr>
      <w:r>
        <w:rPr>
          <w:rFonts w:ascii="Times New Roman" w:hAnsi="Times New Roman" w:cs="Times New Roman"/>
        </w:rPr>
        <w:t>（2）雨水设计流量</w:t>
      </w:r>
    </w:p>
    <w:p w14:paraId="73C04C41">
      <w:pPr>
        <w:spacing w:before="24" w:after="24"/>
        <w:ind w:firstLine="560" w:firstLineChars="200"/>
        <w:rPr>
          <w:rFonts w:ascii="Times New Roman" w:hAnsi="Times New Roman" w:cs="Times New Roman"/>
        </w:rPr>
      </w:pPr>
      <w:r>
        <w:rPr>
          <w:rFonts w:ascii="Times New Roman" w:hAnsi="Times New Roman" w:cs="Times New Roman"/>
        </w:rPr>
        <w:t>Qs=167·iΨF</w:t>
      </w:r>
    </w:p>
    <w:p w14:paraId="333A53AC">
      <w:pPr>
        <w:spacing w:before="24" w:after="24"/>
        <w:ind w:firstLine="560" w:firstLineChars="200"/>
        <w:rPr>
          <w:rFonts w:ascii="Times New Roman" w:hAnsi="Times New Roman" w:cs="Times New Roman"/>
        </w:rPr>
      </w:pPr>
      <w:r>
        <w:rPr>
          <w:rFonts w:ascii="Times New Roman" w:hAnsi="Times New Roman" w:cs="Times New Roman"/>
        </w:rPr>
        <w:t>式中：Qs为雨水设计流量（L/s），i为设计暴雨强度（mm/min）；Ψ--综合径流系数；F--汇水面积（h㎡）。</w:t>
      </w:r>
    </w:p>
    <w:p w14:paraId="5FA8C347">
      <w:pPr>
        <w:spacing w:before="24" w:after="24"/>
        <w:ind w:firstLine="560" w:firstLineChars="200"/>
        <w:rPr>
          <w:rFonts w:ascii="Times New Roman" w:hAnsi="Times New Roman" w:cs="Times New Roman"/>
        </w:rPr>
      </w:pPr>
      <w:r>
        <w:rPr>
          <w:rFonts w:ascii="Times New Roman" w:hAnsi="Times New Roman" w:cs="Times New Roman"/>
        </w:rPr>
        <w:t>2.雨水管网布置原则</w:t>
      </w:r>
    </w:p>
    <w:p w14:paraId="685853CE">
      <w:pPr>
        <w:spacing w:before="24" w:after="24"/>
        <w:ind w:firstLine="560" w:firstLineChars="200"/>
        <w:rPr>
          <w:rFonts w:ascii="Times New Roman" w:hAnsi="Times New Roman" w:cs="Times New Roman"/>
        </w:rPr>
      </w:pPr>
      <w:r>
        <w:rPr>
          <w:rFonts w:ascii="Times New Roman" w:hAnsi="Times New Roman" w:cs="Times New Roman"/>
        </w:rPr>
        <w:t>（1）顺应地形，就近排入受纳水体</w:t>
      </w:r>
    </w:p>
    <w:p w14:paraId="1F93FDF3">
      <w:pPr>
        <w:spacing w:before="24" w:after="24"/>
        <w:ind w:firstLine="840" w:firstLineChars="300"/>
        <w:rPr>
          <w:rFonts w:ascii="Times New Roman" w:hAnsi="Times New Roman" w:cs="Times New Roman"/>
        </w:rPr>
      </w:pPr>
      <w:r>
        <w:rPr>
          <w:rFonts w:ascii="Times New Roman" w:hAnsi="Times New Roman" w:cs="Times New Roman"/>
        </w:rPr>
        <w:t>1）雨水应利用重力流，沿地面坡度方向布置管线，尽量减少提升泵站；</w:t>
      </w:r>
    </w:p>
    <w:p w14:paraId="0B820D46">
      <w:pPr>
        <w:spacing w:before="24" w:after="24"/>
        <w:ind w:firstLine="840" w:firstLineChars="300"/>
        <w:rPr>
          <w:rFonts w:ascii="Times New Roman" w:hAnsi="Times New Roman" w:cs="Times New Roman"/>
        </w:rPr>
      </w:pPr>
      <w:r>
        <w:rPr>
          <w:rFonts w:ascii="Times New Roman" w:hAnsi="Times New Roman" w:cs="Times New Roman"/>
        </w:rPr>
        <w:t>2）管线走向应短捷、顺直，就近排入河道、湖泊、调蓄池等自然或人工受纳水体；</w:t>
      </w:r>
    </w:p>
    <w:p w14:paraId="17440089">
      <w:pPr>
        <w:spacing w:before="24" w:after="24"/>
        <w:ind w:firstLine="560" w:firstLineChars="200"/>
        <w:rPr>
          <w:rFonts w:ascii="Times New Roman" w:hAnsi="Times New Roman" w:cs="Times New Roman"/>
        </w:rPr>
      </w:pPr>
      <w:r>
        <w:rPr>
          <w:rFonts w:ascii="Times New Roman" w:hAnsi="Times New Roman" w:cs="Times New Roman"/>
        </w:rPr>
        <w:t>（2）与总体规划协调</w:t>
      </w:r>
    </w:p>
    <w:p w14:paraId="26D553E6">
      <w:pPr>
        <w:spacing w:before="24" w:after="24"/>
        <w:ind w:firstLine="840" w:firstLineChars="300"/>
        <w:rPr>
          <w:rFonts w:ascii="Times New Roman" w:hAnsi="Times New Roman" w:cs="Times New Roman"/>
        </w:rPr>
      </w:pPr>
      <w:r>
        <w:rPr>
          <w:rFonts w:ascii="Times New Roman" w:hAnsi="Times New Roman" w:cs="Times New Roman"/>
        </w:rPr>
        <w:t>1）与道路、绿地、建筑布局同步设计；</w:t>
      </w:r>
    </w:p>
    <w:p w14:paraId="61006702">
      <w:pPr>
        <w:spacing w:before="24" w:after="24"/>
        <w:ind w:firstLine="840" w:firstLineChars="300"/>
        <w:rPr>
          <w:rFonts w:ascii="Times New Roman" w:hAnsi="Times New Roman" w:cs="Times New Roman"/>
        </w:rPr>
      </w:pPr>
      <w:r>
        <w:rPr>
          <w:rFonts w:ascii="Times New Roman" w:hAnsi="Times New Roman" w:cs="Times New Roman"/>
        </w:rPr>
        <w:t>2）结合竖向规划，合理划分汇水分区；</w:t>
      </w:r>
    </w:p>
    <w:p w14:paraId="677CAA5D">
      <w:pPr>
        <w:spacing w:before="24" w:after="24"/>
        <w:ind w:firstLine="840" w:firstLineChars="300"/>
        <w:rPr>
          <w:rFonts w:ascii="Times New Roman" w:hAnsi="Times New Roman" w:cs="Times New Roman"/>
        </w:rPr>
      </w:pPr>
      <w:r>
        <w:rPr>
          <w:rFonts w:ascii="Times New Roman" w:hAnsi="Times New Roman" w:cs="Times New Roman"/>
        </w:rPr>
        <w:t>3）与污水、给水、电力等地下管线统筹布局，避免冲突。</w:t>
      </w:r>
    </w:p>
    <w:p w14:paraId="34A0AE8B">
      <w:pPr>
        <w:spacing w:before="24" w:after="24"/>
        <w:ind w:firstLine="560" w:firstLineChars="200"/>
        <w:rPr>
          <w:rFonts w:ascii="Times New Roman" w:hAnsi="Times New Roman" w:cs="Times New Roman"/>
        </w:rPr>
      </w:pPr>
      <w:r>
        <w:rPr>
          <w:rFonts w:ascii="Times New Roman" w:hAnsi="Times New Roman" w:cs="Times New Roman"/>
        </w:rPr>
        <w:t>（3）分区收集，分散排放</w:t>
      </w:r>
    </w:p>
    <w:p w14:paraId="1354CE89">
      <w:pPr>
        <w:spacing w:before="24" w:after="24"/>
        <w:ind w:firstLine="840" w:firstLineChars="300"/>
        <w:rPr>
          <w:rFonts w:ascii="Times New Roman" w:hAnsi="Times New Roman" w:cs="Times New Roman"/>
        </w:rPr>
      </w:pPr>
      <w:r>
        <w:rPr>
          <w:rFonts w:ascii="Times New Roman" w:hAnsi="Times New Roman" w:cs="Times New Roman"/>
        </w:rPr>
        <w:t>1）根据地形、水系和道路网络，将地块划分为若干独立的雨水排水分区；</w:t>
      </w:r>
    </w:p>
    <w:p w14:paraId="37840E8C">
      <w:pPr>
        <w:spacing w:before="24" w:after="24"/>
        <w:ind w:firstLine="840" w:firstLineChars="300"/>
        <w:rPr>
          <w:rFonts w:ascii="Times New Roman" w:hAnsi="Times New Roman" w:cs="Times New Roman"/>
        </w:rPr>
      </w:pPr>
      <w:r>
        <w:rPr>
          <w:rFonts w:ascii="Times New Roman" w:hAnsi="Times New Roman" w:cs="Times New Roman"/>
        </w:rPr>
        <w:t>2）每个分区自成系统，避免跨区转输造成管径过大或内涝风险集中；</w:t>
      </w:r>
    </w:p>
    <w:p w14:paraId="602EF436">
      <w:pPr>
        <w:spacing w:before="24" w:after="24"/>
        <w:ind w:firstLine="840" w:firstLineChars="300"/>
        <w:rPr>
          <w:rFonts w:ascii="Times New Roman" w:hAnsi="Times New Roman" w:cs="Times New Roman"/>
        </w:rPr>
      </w:pPr>
      <w:r>
        <w:rPr>
          <w:rFonts w:ascii="Times New Roman" w:hAnsi="Times New Roman" w:cs="Times New Roman"/>
        </w:rPr>
        <w:t>3）在低洼或易涝区域可设置局部调蓄设施（如雨水花园、调蓄池）。</w:t>
      </w:r>
    </w:p>
    <w:p w14:paraId="045BB647">
      <w:pPr>
        <w:spacing w:before="24" w:after="24"/>
        <w:ind w:firstLine="560" w:firstLineChars="200"/>
        <w:rPr>
          <w:rFonts w:ascii="Times New Roman" w:hAnsi="Times New Roman" w:cs="Times New Roman"/>
        </w:rPr>
      </w:pPr>
      <w:r>
        <w:rPr>
          <w:rFonts w:ascii="Times New Roman" w:hAnsi="Times New Roman" w:cs="Times New Roman"/>
        </w:rPr>
        <w:t>3.雨水口：采用成品雨水口或砖砌雨水口，雨水口和雨水连接管流量应为雨水管渠设计重现期计算流量的2.0倍，雨水连接管采用HDPE塑料排水管，橡胶圈承插连接，管径≥DN200，采用0.01坡向雨水检查井。</w:t>
      </w:r>
    </w:p>
    <w:p w14:paraId="4D6C8288">
      <w:pPr>
        <w:spacing w:before="24" w:after="24"/>
        <w:ind w:firstLine="560" w:firstLineChars="200"/>
        <w:rPr>
          <w:rFonts w:ascii="Times New Roman" w:hAnsi="Times New Roman" w:cs="Times New Roman"/>
        </w:rPr>
      </w:pPr>
      <w:r>
        <w:rPr>
          <w:rFonts w:ascii="Times New Roman" w:hAnsi="Times New Roman" w:cs="Times New Roman"/>
        </w:rPr>
        <w:t>4.散水沟：沟内底坡≥0.005，单体散水沟就近接入雨水检查井。</w:t>
      </w:r>
    </w:p>
    <w:p w14:paraId="56D872D9">
      <w:pPr>
        <w:spacing w:before="24" w:after="24"/>
        <w:ind w:firstLine="560" w:firstLineChars="200"/>
        <w:rPr>
          <w:rFonts w:ascii="Times New Roman" w:hAnsi="Times New Roman" w:cs="Times New Roman"/>
        </w:rPr>
      </w:pPr>
      <w:r>
        <w:rPr>
          <w:rFonts w:ascii="Times New Roman" w:hAnsi="Times New Roman" w:cs="Times New Roman"/>
        </w:rPr>
        <w:t>5.管顶覆土：0.8m≤管顶覆土≤1.5m。</w:t>
      </w:r>
    </w:p>
    <w:p w14:paraId="48BAC7B2">
      <w:pPr>
        <w:spacing w:before="24" w:after="24"/>
        <w:ind w:firstLine="560" w:firstLineChars="200"/>
        <w:rPr>
          <w:rFonts w:ascii="Times New Roman" w:hAnsi="Times New Roman" w:cs="Times New Roman"/>
        </w:rPr>
      </w:pPr>
      <w:r>
        <w:rPr>
          <w:rFonts w:ascii="Times New Roman" w:hAnsi="Times New Roman" w:cs="Times New Roman"/>
        </w:rPr>
        <w:t>6.管材：管径＜DN600时，优先采用HDPE埋地塑料排水管，橡胶圈承插连接。管径≥DN600时，优先采用钢筋混凝土管，橡胶圈承插连接。</w:t>
      </w:r>
    </w:p>
    <w:p w14:paraId="408BE1D6">
      <w:pPr>
        <w:spacing w:before="24" w:after="24"/>
        <w:ind w:firstLine="560" w:firstLineChars="200"/>
        <w:rPr>
          <w:rFonts w:ascii="Times New Roman" w:hAnsi="Times New Roman" w:cs="Times New Roman"/>
        </w:rPr>
      </w:pPr>
      <w:r>
        <w:rPr>
          <w:rFonts w:ascii="Times New Roman" w:hAnsi="Times New Roman" w:cs="Times New Roman"/>
        </w:rPr>
        <w:t>7.管径：道路下雨水管最小管径为DN300。</w:t>
      </w:r>
    </w:p>
    <w:p w14:paraId="5163B757">
      <w:pPr>
        <w:spacing w:before="24" w:after="24"/>
        <w:ind w:firstLine="560" w:firstLineChars="200"/>
        <w:rPr>
          <w:rFonts w:ascii="Times New Roman" w:hAnsi="Times New Roman" w:cs="Times New Roman"/>
        </w:rPr>
      </w:pPr>
      <w:r>
        <w:rPr>
          <w:rFonts w:ascii="Times New Roman" w:hAnsi="Times New Roman" w:cs="Times New Roman"/>
        </w:rPr>
        <w:t>8.检查井：优先塑料雨水排水检查井。</w:t>
      </w:r>
    </w:p>
    <w:p w14:paraId="797D7452">
      <w:pPr>
        <w:spacing w:before="24" w:after="24"/>
        <w:ind w:firstLine="560" w:firstLineChars="200"/>
        <w:rPr>
          <w:rFonts w:ascii="Times New Roman" w:hAnsi="Times New Roman" w:cs="Times New Roman"/>
        </w:rPr>
      </w:pPr>
      <w:r>
        <w:rPr>
          <w:rFonts w:ascii="Times New Roman" w:hAnsi="Times New Roman" w:cs="Times New Roman"/>
        </w:rPr>
        <w:t>9.管槽开挖：需槽底原状地基土不得扰动，机械开挖时槽底预留200～300mm土层由人工开挖至设计高程，并严格按照设计标高拉线清底找平。</w:t>
      </w:r>
    </w:p>
    <w:p w14:paraId="5CE46752">
      <w:pPr>
        <w:spacing w:before="24" w:after="24"/>
        <w:ind w:firstLine="560" w:firstLineChars="200"/>
        <w:rPr>
          <w:rFonts w:ascii="Times New Roman" w:hAnsi="Times New Roman" w:cs="Times New Roman"/>
        </w:rPr>
      </w:pPr>
      <w:r>
        <w:rPr>
          <w:rFonts w:ascii="Times New Roman" w:hAnsi="Times New Roman" w:cs="Times New Roman"/>
        </w:rPr>
        <w:t>10.管槽回填：</w:t>
      </w:r>
    </w:p>
    <w:p w14:paraId="415CA69B">
      <w:pPr>
        <w:spacing w:before="24" w:after="24"/>
        <w:ind w:firstLine="560" w:firstLineChars="200"/>
        <w:rPr>
          <w:rFonts w:ascii="Times New Roman" w:hAnsi="Times New Roman" w:cs="Times New Roman"/>
        </w:rPr>
      </w:pPr>
      <w:r>
        <w:rPr>
          <w:rFonts w:ascii="Times New Roman" w:hAnsi="Times New Roman" w:cs="Times New Roman"/>
        </w:rPr>
        <w:t>（1）塑料排水管：管道基础采用中砂、粗砂，管底基础垫层厚度不小于150mm；管道两侧和管顶以上500mm以内采用中砂、粗砂、碎石屑、最大粒径小于40mm的砂砾或符合设计要求的原土回填；超过管顶500mm以上土层采用原土回填或根据地面结构做法要求回填。机械回填土时，回填用的机械不得在沟槽内行走。沟槽内的回填土应分层夯实。</w:t>
      </w:r>
    </w:p>
    <w:p w14:paraId="1A705EC7">
      <w:pPr>
        <w:spacing w:before="24" w:after="24"/>
        <w:ind w:firstLine="560" w:firstLineChars="200"/>
        <w:rPr>
          <w:rFonts w:ascii="Times New Roman" w:hAnsi="Times New Roman" w:cs="Times New Roman"/>
        </w:rPr>
      </w:pPr>
      <w:r>
        <w:rPr>
          <w:rFonts w:ascii="Times New Roman" w:hAnsi="Times New Roman" w:cs="Times New Roman"/>
        </w:rPr>
        <w:t>（2）钢筋混凝土排水管：采用符合设计要求的原土回填，槽底至管顶以上500mm范围内，土中不得含有机物、冻土以及大于50mm的砖、石等硬块；超过管顶500mm以上土层采用原土回填或根据地面结构做法要求回填。机械回填土时，回填用的机械不得在沟槽内行走。沟槽内的回填土应分层夯实。</w:t>
      </w:r>
    </w:p>
    <w:p w14:paraId="63F0C34B">
      <w:pPr>
        <w:spacing w:before="24" w:after="24"/>
        <w:ind w:firstLine="562" w:firstLineChars="200"/>
        <w:outlineLvl w:val="4"/>
        <w:rPr>
          <w:rFonts w:ascii="Times New Roman" w:hAnsi="Times New Roman" w:cs="Times New Roman"/>
          <w:b/>
        </w:rPr>
      </w:pPr>
      <w:r>
        <w:rPr>
          <w:rFonts w:ascii="Times New Roman" w:hAnsi="Times New Roman" w:cs="Times New Roman"/>
          <w:b/>
        </w:rPr>
        <w:t>5.2.6海绵城市</w:t>
      </w:r>
    </w:p>
    <w:p w14:paraId="26810DA2">
      <w:pPr>
        <w:spacing w:before="24" w:after="24"/>
        <w:ind w:firstLine="560" w:firstLineChars="200"/>
        <w:rPr>
          <w:rFonts w:ascii="Times New Roman" w:hAnsi="Times New Roman" w:cs="Times New Roman"/>
        </w:rPr>
      </w:pPr>
      <w:r>
        <w:rPr>
          <w:rFonts w:ascii="Times New Roman" w:hAnsi="Times New Roman" w:cs="Times New Roman"/>
        </w:rPr>
        <w:t>1.总体要求</w:t>
      </w:r>
    </w:p>
    <w:p w14:paraId="3FF4BD38">
      <w:pPr>
        <w:spacing w:before="24" w:after="24"/>
        <w:ind w:firstLine="560" w:firstLineChars="200"/>
        <w:rPr>
          <w:rFonts w:ascii="Times New Roman" w:hAnsi="Times New Roman" w:cs="Times New Roman"/>
        </w:rPr>
      </w:pPr>
      <w:r>
        <w:rPr>
          <w:rFonts w:ascii="Times New Roman" w:hAnsi="Times New Roman" w:cs="Times New Roman"/>
        </w:rPr>
        <w:t>（1）海绵城市建设工程设计应充分结合项目总体布局、建筑密度、绿地率、景观格局、地形、水文地质情况进行设计，按因地制宜原则和经济高效原则选择低影响开发技术及其组合。</w:t>
      </w:r>
    </w:p>
    <w:p w14:paraId="2B0BDE1E">
      <w:pPr>
        <w:spacing w:before="24" w:after="24"/>
        <w:ind w:firstLine="560" w:firstLineChars="200"/>
        <w:rPr>
          <w:rFonts w:ascii="Times New Roman" w:hAnsi="Times New Roman" w:cs="Times New Roman"/>
        </w:rPr>
      </w:pPr>
      <w:r>
        <w:rPr>
          <w:rFonts w:ascii="Times New Roman" w:hAnsi="Times New Roman" w:cs="Times New Roman"/>
        </w:rPr>
        <w:t>（2）海绵城市建设工程设计应对涉及存在水土流失及地质灾害风险等特殊区域进行风险分析，避免造成地质灾害。</w:t>
      </w:r>
    </w:p>
    <w:p w14:paraId="0154F766">
      <w:pPr>
        <w:spacing w:before="24" w:after="24"/>
        <w:ind w:firstLine="560" w:firstLineChars="200"/>
        <w:rPr>
          <w:rFonts w:ascii="Times New Roman" w:hAnsi="Times New Roman" w:cs="Times New Roman"/>
        </w:rPr>
      </w:pPr>
      <w:r>
        <w:rPr>
          <w:rFonts w:ascii="Times New Roman" w:hAnsi="Times New Roman" w:cs="Times New Roman"/>
        </w:rPr>
        <w:t>（3）植物选型时应综合考虑地域特点、植物特性、环境景观等方面的因素选择合适的植物配置。优先选择多年生及常绿乡土植物或引种成功的物种根系发达又有一定耐旱、耐污能力，以减轻养护成本。</w:t>
      </w:r>
    </w:p>
    <w:p w14:paraId="33A3B702">
      <w:pPr>
        <w:spacing w:before="24" w:after="24"/>
        <w:ind w:firstLine="560" w:firstLineChars="200"/>
        <w:rPr>
          <w:rFonts w:ascii="Times New Roman" w:hAnsi="Times New Roman" w:cs="Times New Roman"/>
        </w:rPr>
      </w:pPr>
      <w:r>
        <w:rPr>
          <w:rFonts w:ascii="Times New Roman" w:hAnsi="Times New Roman" w:cs="Times New Roman"/>
        </w:rPr>
        <w:t>（4）应优先利用低洼地形，采用下沉式绿地、透水铺装等就地入渗设施。</w:t>
      </w:r>
    </w:p>
    <w:p w14:paraId="2AB08EFC">
      <w:pPr>
        <w:spacing w:before="24" w:after="24"/>
        <w:ind w:firstLine="560" w:firstLineChars="200"/>
        <w:rPr>
          <w:rFonts w:ascii="Times New Roman" w:hAnsi="Times New Roman" w:cs="Times New Roman"/>
        </w:rPr>
      </w:pPr>
      <w:r>
        <w:rPr>
          <w:rFonts w:ascii="Times New Roman" w:hAnsi="Times New Roman" w:cs="Times New Roman"/>
        </w:rPr>
        <w:t>（5）景观设计应与海绵城市系统设计相结合。适宜的景观水体、草坪绿地和低洼地应具有雨水储存或调节功能，水系景观区域可建成集雨水调蓄、水体净化和生态景观为一体的多功能生态水体。</w:t>
      </w:r>
    </w:p>
    <w:p w14:paraId="526A34EC">
      <w:pPr>
        <w:spacing w:before="24" w:after="24"/>
        <w:ind w:firstLine="560" w:firstLineChars="200"/>
        <w:rPr>
          <w:rFonts w:ascii="Times New Roman" w:hAnsi="Times New Roman" w:cs="Times New Roman"/>
        </w:rPr>
      </w:pPr>
      <w:r>
        <w:rPr>
          <w:rFonts w:ascii="Times New Roman" w:hAnsi="Times New Roman" w:cs="Times New Roman"/>
        </w:rPr>
        <w:t>（6）建筑屋面应采用对雨水无污染或污染较小的材料，不得采用沥青或沥青油毡。</w:t>
      </w:r>
    </w:p>
    <w:p w14:paraId="4F7D1BFC">
      <w:pPr>
        <w:spacing w:before="24" w:after="24"/>
        <w:ind w:firstLine="560" w:firstLineChars="200"/>
        <w:rPr>
          <w:rFonts w:ascii="Times New Roman" w:hAnsi="Times New Roman" w:cs="Times New Roman"/>
        </w:rPr>
      </w:pPr>
      <w:r>
        <w:rPr>
          <w:rFonts w:ascii="Times New Roman" w:hAnsi="Times New Roman" w:cs="Times New Roman"/>
        </w:rPr>
        <w:t>（7）建筑屋面雨水宜采取雨落管断接或设置集水井等方式将其引入周边绿地内小型、分散的雨水利用设施，或通过植草沟、雨水管渠将雨水引入场地内的集中调蓄、入渗设施。</w:t>
      </w:r>
    </w:p>
    <w:p w14:paraId="0DA77767">
      <w:pPr>
        <w:spacing w:before="24" w:after="24"/>
        <w:ind w:firstLine="560" w:firstLineChars="200"/>
        <w:rPr>
          <w:rFonts w:ascii="Times New Roman" w:hAnsi="Times New Roman" w:cs="Times New Roman"/>
        </w:rPr>
      </w:pPr>
      <w:r>
        <w:rPr>
          <w:rFonts w:ascii="Times New Roman" w:hAnsi="Times New Roman" w:cs="Times New Roman"/>
        </w:rPr>
        <w:t>（8）地面停车位、人行道、步行道、步行街、自行车道和休闲广场、室外庭院等可采用透水铺装地面。透水铺装率不低于70%。</w:t>
      </w:r>
    </w:p>
    <w:p w14:paraId="6C9C70A0">
      <w:pPr>
        <w:spacing w:before="24" w:after="24"/>
        <w:ind w:firstLine="560" w:firstLineChars="200"/>
        <w:rPr>
          <w:rFonts w:ascii="Times New Roman" w:hAnsi="Times New Roman" w:cs="Times New Roman"/>
        </w:rPr>
      </w:pPr>
      <w:r>
        <w:rPr>
          <w:rFonts w:ascii="Times New Roman" w:hAnsi="Times New Roman" w:cs="Times New Roman"/>
        </w:rPr>
        <w:t>（9）绿地位于校区道路、广场及建筑物周边时应根据匹配性原则采用下沉式设计。</w:t>
      </w:r>
    </w:p>
    <w:p w14:paraId="48998B88">
      <w:pPr>
        <w:spacing w:before="24" w:after="24"/>
        <w:ind w:firstLine="560" w:firstLineChars="200"/>
        <w:rPr>
          <w:rFonts w:ascii="Times New Roman" w:hAnsi="Times New Roman" w:cs="Times New Roman"/>
        </w:rPr>
      </w:pPr>
      <w:r>
        <w:rPr>
          <w:rFonts w:ascii="Times New Roman" w:hAnsi="Times New Roman" w:cs="Times New Roman"/>
        </w:rPr>
        <w:t>（10）下沉式绿地内的植物宜选择耐盐、耐淹、耐污等能力较强的本土植物。</w:t>
      </w:r>
    </w:p>
    <w:p w14:paraId="458ABF57">
      <w:pPr>
        <w:spacing w:before="24" w:after="24"/>
        <w:ind w:firstLine="560" w:firstLineChars="200"/>
        <w:rPr>
          <w:rFonts w:ascii="Times New Roman" w:hAnsi="Times New Roman" w:cs="Times New Roman"/>
        </w:rPr>
      </w:pPr>
      <w:r>
        <w:rPr>
          <w:rFonts w:ascii="Times New Roman" w:hAnsi="Times New Roman" w:cs="Times New Roman"/>
        </w:rPr>
        <w:t>（11）景观水体宜具备雨水调蓄功能，景观水体补水宜优先采用屋面雨水。雨水进入景观水体前宜设置植物浅沟、前置塘、植被缓冲带等预处理设施，降低径流污染。</w:t>
      </w:r>
    </w:p>
    <w:p w14:paraId="76DB4BC3">
      <w:pPr>
        <w:spacing w:before="24" w:after="24"/>
        <w:ind w:firstLine="560" w:firstLineChars="200"/>
        <w:rPr>
          <w:rFonts w:ascii="Times New Roman" w:hAnsi="Times New Roman" w:cs="Times New Roman"/>
        </w:rPr>
      </w:pPr>
      <w:r>
        <w:rPr>
          <w:rFonts w:ascii="Times New Roman" w:hAnsi="Times New Roman" w:cs="Times New Roman"/>
        </w:rPr>
        <w:t>（12）雨水回用管道严禁与生活饮用水管道相连接。</w:t>
      </w:r>
    </w:p>
    <w:p w14:paraId="55F66BE7">
      <w:pPr>
        <w:spacing w:before="24" w:after="24"/>
        <w:ind w:firstLine="560" w:firstLineChars="200"/>
        <w:rPr>
          <w:rFonts w:ascii="Times New Roman" w:hAnsi="Times New Roman" w:cs="Times New Roman"/>
        </w:rPr>
      </w:pPr>
      <w:r>
        <w:rPr>
          <w:rFonts w:ascii="Times New Roman" w:hAnsi="Times New Roman" w:cs="Times New Roman"/>
        </w:rPr>
        <w:t>2.系统设计</w:t>
      </w:r>
    </w:p>
    <w:p w14:paraId="699664B1">
      <w:pPr>
        <w:spacing w:before="24" w:after="24"/>
        <w:ind w:firstLine="560" w:firstLineChars="200"/>
        <w:rPr>
          <w:rFonts w:ascii="Times New Roman" w:hAnsi="Times New Roman" w:cs="Times New Roman"/>
        </w:rPr>
      </w:pPr>
      <w:r>
        <w:rPr>
          <w:rFonts w:ascii="Times New Roman" w:hAnsi="Times New Roman" w:cs="Times New Roman"/>
        </w:rPr>
        <w:t>（1）根据用地性质、容积率、绿地率等指标及规划方案对区域下垫面进行解析；</w:t>
      </w:r>
    </w:p>
    <w:p w14:paraId="49A1CA18">
      <w:pPr>
        <w:spacing w:before="24" w:after="24"/>
        <w:ind w:firstLine="560" w:firstLineChars="200"/>
        <w:rPr>
          <w:rFonts w:ascii="Times New Roman" w:hAnsi="Times New Roman" w:cs="Times New Roman"/>
        </w:rPr>
      </w:pPr>
      <w:r>
        <w:rPr>
          <w:rFonts w:ascii="Times New Roman" w:hAnsi="Times New Roman" w:cs="Times New Roman"/>
        </w:rPr>
        <w:t>（2）参考《迪庆藏族自治州人民政府办公室关于印发加快推进海绵城市建设实施意见的通知》（迪政办发[2016]58号）的规定，确定径流总量控制规模和透水铺装率以及需要控制的初期径流总量。</w:t>
      </w:r>
    </w:p>
    <w:p w14:paraId="5ED2D4DB">
      <w:pPr>
        <w:spacing w:before="24" w:after="24"/>
        <w:ind w:firstLine="560" w:firstLineChars="200"/>
        <w:rPr>
          <w:rFonts w:ascii="Times New Roman" w:hAnsi="Times New Roman" w:cs="Times New Roman"/>
        </w:rPr>
      </w:pPr>
      <w:r>
        <w:rPr>
          <w:rFonts w:ascii="Times New Roman" w:hAnsi="Times New Roman" w:cs="Times New Roman"/>
        </w:rPr>
        <w:t>（3）结合下垫面解析和控制指标，因地制宜,选用适宜的海绵设施并确定其建设规模和布局；</w:t>
      </w:r>
    </w:p>
    <w:p w14:paraId="593CC31A">
      <w:pPr>
        <w:spacing w:before="24" w:after="24"/>
        <w:ind w:firstLine="560" w:firstLineChars="200"/>
        <w:rPr>
          <w:rFonts w:ascii="Times New Roman" w:hAnsi="Times New Roman" w:cs="Times New Roman"/>
        </w:rPr>
      </w:pPr>
      <w:r>
        <w:rPr>
          <w:rFonts w:ascii="Times New Roman" w:hAnsi="Times New Roman" w:cs="Times New Roman"/>
        </w:rPr>
        <w:t>（4）根据海绵设施的内容和规模，复核海绵性指标，并根据复核结果优化调整海绵性工程内容。</w:t>
      </w:r>
    </w:p>
    <w:p w14:paraId="0B15ABB8">
      <w:pPr>
        <w:spacing w:before="24" w:after="24"/>
        <w:ind w:firstLine="560" w:firstLineChars="200"/>
        <w:rPr>
          <w:rFonts w:ascii="Times New Roman" w:hAnsi="Times New Roman" w:cs="Times New Roman"/>
        </w:rPr>
      </w:pPr>
      <w:r>
        <w:rPr>
          <w:rFonts w:ascii="Times New Roman" w:hAnsi="Times New Roman" w:cs="Times New Roman"/>
        </w:rPr>
        <w:t>3.海绵设施设置要求</w:t>
      </w:r>
    </w:p>
    <w:p w14:paraId="59695B34">
      <w:pPr>
        <w:spacing w:before="24" w:after="24"/>
        <w:ind w:firstLine="560" w:firstLineChars="200"/>
        <w:rPr>
          <w:rFonts w:ascii="Times New Roman" w:hAnsi="Times New Roman" w:cs="Times New Roman"/>
        </w:rPr>
      </w:pPr>
      <w:r>
        <w:rPr>
          <w:rFonts w:ascii="Times New Roman" w:hAnsi="Times New Roman" w:cs="Times New Roman"/>
        </w:rPr>
        <w:t>（1）下凹式绿地</w:t>
      </w:r>
    </w:p>
    <w:p w14:paraId="39DCBDEC">
      <w:pPr>
        <w:spacing w:before="24" w:after="24"/>
        <w:ind w:firstLine="560" w:firstLineChars="200"/>
        <w:rPr>
          <w:rFonts w:ascii="Times New Roman" w:hAnsi="Times New Roman" w:cs="Times New Roman"/>
        </w:rPr>
      </w:pPr>
      <w:r>
        <w:rPr>
          <w:rFonts w:ascii="Times New Roman" w:hAnsi="Times New Roman" w:cs="Times New Roman"/>
        </w:rPr>
        <w:t>1）下凹式绿地的下凹深度应根据植物耐淹性能和土壤渗透性能确定，一般大于100mm；</w:t>
      </w:r>
    </w:p>
    <w:p w14:paraId="646ECD04">
      <w:pPr>
        <w:spacing w:before="24" w:after="24"/>
        <w:ind w:firstLine="560" w:firstLineChars="200"/>
        <w:rPr>
          <w:rFonts w:ascii="Times New Roman" w:hAnsi="Times New Roman" w:cs="Times New Roman"/>
        </w:rPr>
      </w:pPr>
      <w:r>
        <w:rPr>
          <w:rFonts w:ascii="Times New Roman" w:hAnsi="Times New Roman" w:cs="Times New Roman"/>
        </w:rPr>
        <w:t>2）硬化面雨水径流宜分散进入下凹式绿地，当集中进入时应采用多点进入的方式，且应在接入口处设置缓冲措施，防止冲刷；</w:t>
      </w:r>
    </w:p>
    <w:p w14:paraId="09BBFAD5">
      <w:pPr>
        <w:spacing w:before="24" w:after="24"/>
        <w:ind w:firstLine="560" w:firstLineChars="200"/>
        <w:rPr>
          <w:rFonts w:ascii="Times New Roman" w:hAnsi="Times New Roman" w:cs="Times New Roman"/>
        </w:rPr>
      </w:pPr>
      <w:r>
        <w:rPr>
          <w:rFonts w:ascii="Times New Roman" w:hAnsi="Times New Roman" w:cs="Times New Roman"/>
        </w:rPr>
        <w:t>3）硬化道路两侧的绿地宜设置为下凹式绿地，宽度宜大于0.8m；绿地宽度小于0.8m时宜设置为渗透沟；</w:t>
      </w:r>
    </w:p>
    <w:p w14:paraId="0B9271D5">
      <w:pPr>
        <w:spacing w:before="24" w:after="24"/>
        <w:ind w:firstLine="560" w:firstLineChars="200"/>
        <w:rPr>
          <w:rFonts w:ascii="Times New Roman" w:hAnsi="Times New Roman" w:cs="Times New Roman"/>
        </w:rPr>
      </w:pPr>
      <w:r>
        <w:rPr>
          <w:rFonts w:ascii="Times New Roman" w:hAnsi="Times New Roman" w:cs="Times New Roman"/>
        </w:rPr>
        <w:t>4）当采用下凹式绿地入渗不能满足控制雨水量要求时可设置埋地模块渗透池、入渗井等入渗设施增加入渗能力；</w:t>
      </w:r>
    </w:p>
    <w:p w14:paraId="0C25B18D">
      <w:pPr>
        <w:spacing w:before="24" w:after="24"/>
        <w:ind w:firstLine="560" w:firstLineChars="200"/>
        <w:rPr>
          <w:rFonts w:ascii="Times New Roman" w:hAnsi="Times New Roman" w:cs="Times New Roman"/>
        </w:rPr>
      </w:pPr>
      <w:r>
        <w:rPr>
          <w:rFonts w:ascii="Times New Roman" w:hAnsi="Times New Roman" w:cs="Times New Roman"/>
        </w:rPr>
        <w:t>5）下凹式绿地内应设置雨水口排出超控制规模雨水，雨水口设置数量应满足汇水范围内的雨水量和雨水收集系统引入的客地雨水量;雨水口顶面标高低于路面不宜少于30mm；</w:t>
      </w:r>
    </w:p>
    <w:p w14:paraId="1D193867">
      <w:pPr>
        <w:spacing w:before="24" w:after="24"/>
        <w:ind w:firstLine="560" w:firstLineChars="200"/>
        <w:rPr>
          <w:rFonts w:ascii="Times New Roman" w:hAnsi="Times New Roman" w:cs="Times New Roman"/>
        </w:rPr>
      </w:pPr>
      <w:r>
        <w:rPr>
          <w:rFonts w:ascii="Times New Roman" w:hAnsi="Times New Roman" w:cs="Times New Roman"/>
        </w:rPr>
        <w:t>6）下凹式绿地植物宜选用耐短时淹水的本地品种。</w:t>
      </w:r>
    </w:p>
    <w:p w14:paraId="6B959A83">
      <w:pPr>
        <w:spacing w:before="24" w:after="24"/>
        <w:ind w:firstLine="560" w:firstLineChars="200"/>
        <w:rPr>
          <w:rFonts w:ascii="Times New Roman" w:hAnsi="Times New Roman" w:cs="Times New Roman"/>
        </w:rPr>
      </w:pPr>
      <w:r>
        <w:rPr>
          <w:rFonts w:ascii="Times New Roman" w:hAnsi="Times New Roman" w:cs="Times New Roman"/>
        </w:rPr>
        <w:t>（2）旱溪</w:t>
      </w:r>
    </w:p>
    <w:p w14:paraId="65557E49">
      <w:pPr>
        <w:spacing w:before="24" w:after="24"/>
        <w:ind w:firstLine="560" w:firstLineChars="200"/>
        <w:rPr>
          <w:rFonts w:ascii="Times New Roman" w:hAnsi="Times New Roman" w:cs="Times New Roman"/>
        </w:rPr>
      </w:pPr>
      <w:r>
        <w:rPr>
          <w:rFonts w:ascii="Times New Roman" w:hAnsi="Times New Roman" w:cs="Times New Roman"/>
        </w:rPr>
        <w:t>1）旱溪应充分结合项目用地布局和景观格局，因地制宜灵活设置，不拘泥于形式；</w:t>
      </w:r>
    </w:p>
    <w:p w14:paraId="1BDAA989">
      <w:pPr>
        <w:spacing w:before="24" w:after="24"/>
        <w:ind w:firstLine="560" w:firstLineChars="200"/>
        <w:rPr>
          <w:rFonts w:ascii="Times New Roman" w:hAnsi="Times New Roman" w:cs="Times New Roman"/>
        </w:rPr>
      </w:pPr>
      <w:r>
        <w:rPr>
          <w:rFonts w:ascii="Times New Roman" w:hAnsi="Times New Roman" w:cs="Times New Roman"/>
        </w:rPr>
        <w:t>2）利用多种类型植物、卵石和其它生态造景方法形成旱溪景观,旱季为景，雨季为溪，主要功能是滞蓄地表径流；</w:t>
      </w:r>
    </w:p>
    <w:p w14:paraId="2EA6BFA4">
      <w:pPr>
        <w:spacing w:before="24" w:after="24"/>
        <w:ind w:firstLine="560" w:firstLineChars="200"/>
        <w:rPr>
          <w:rFonts w:ascii="Times New Roman" w:hAnsi="Times New Roman" w:cs="Times New Roman"/>
        </w:rPr>
      </w:pPr>
      <w:r>
        <w:rPr>
          <w:rFonts w:ascii="Times New Roman" w:hAnsi="Times New Roman" w:cs="Times New Roman"/>
        </w:rPr>
        <w:t>3）底部渗透层渗透系数应不小于1×10</w:t>
      </w:r>
      <w:r>
        <w:rPr>
          <w:rFonts w:ascii="Times New Roman" w:hAnsi="Times New Roman" w:cs="Times New Roman"/>
          <w:vertAlign w:val="superscript"/>
        </w:rPr>
        <w:t>-5</w:t>
      </w:r>
      <w:r>
        <w:rPr>
          <w:rFonts w:ascii="Times New Roman" w:hAnsi="Times New Roman" w:cs="Times New Roman"/>
        </w:rPr>
        <w:t>m/s；</w:t>
      </w:r>
    </w:p>
    <w:p w14:paraId="4E12CC5F">
      <w:pPr>
        <w:spacing w:before="24" w:after="24"/>
        <w:ind w:firstLine="560" w:firstLineChars="200"/>
        <w:rPr>
          <w:rFonts w:ascii="Times New Roman" w:hAnsi="Times New Roman" w:cs="Times New Roman"/>
        </w:rPr>
      </w:pPr>
      <w:r>
        <w:rPr>
          <w:rFonts w:ascii="Times New Roman" w:hAnsi="Times New Roman" w:cs="Times New Roman"/>
        </w:rPr>
        <w:t>4）地表雨水收集、预处理、溢流设施等其它要求参照类似滞渗设施的规定。</w:t>
      </w:r>
    </w:p>
    <w:p w14:paraId="42373187">
      <w:pPr>
        <w:spacing w:before="24" w:after="24"/>
        <w:ind w:firstLine="560" w:firstLineChars="200"/>
        <w:rPr>
          <w:rFonts w:ascii="Times New Roman" w:hAnsi="Times New Roman" w:cs="Times New Roman"/>
        </w:rPr>
      </w:pPr>
      <w:r>
        <w:rPr>
          <w:rFonts w:ascii="Times New Roman" w:hAnsi="Times New Roman" w:cs="Times New Roman"/>
        </w:rPr>
        <w:t>（3）透水铺装</w:t>
      </w:r>
    </w:p>
    <w:p w14:paraId="5A73D9CA">
      <w:pPr>
        <w:spacing w:before="24" w:after="24"/>
        <w:ind w:firstLine="560" w:firstLineChars="200"/>
        <w:rPr>
          <w:rFonts w:ascii="Times New Roman" w:hAnsi="Times New Roman" w:cs="Times New Roman"/>
        </w:rPr>
      </w:pPr>
      <w:r>
        <w:rPr>
          <w:rFonts w:ascii="Times New Roman" w:hAnsi="Times New Roman" w:cs="Times New Roman"/>
        </w:rPr>
        <w:t>1）透水铺装地面宜在土基上建造；透水砖路面、碎石透水铺装路面自上而下设置透水面层、透水找平层、透水基层；透水混凝土和透水沥青路面自上而下设置透水面层、透水基层、垫层；</w:t>
      </w:r>
    </w:p>
    <w:p w14:paraId="2976FABE">
      <w:pPr>
        <w:spacing w:before="24" w:after="24"/>
        <w:ind w:firstLine="560" w:firstLineChars="200"/>
        <w:rPr>
          <w:rFonts w:ascii="Times New Roman" w:hAnsi="Times New Roman" w:cs="Times New Roman"/>
        </w:rPr>
      </w:pPr>
      <w:r>
        <w:rPr>
          <w:rFonts w:ascii="Times New Roman" w:hAnsi="Times New Roman" w:cs="Times New Roman"/>
        </w:rPr>
        <w:t>2）透水面层应满足下列要求：</w:t>
      </w:r>
    </w:p>
    <w:p w14:paraId="547E1520">
      <w:pPr>
        <w:spacing w:before="24" w:after="24"/>
        <w:ind w:firstLine="560" w:firstLineChars="200"/>
        <w:rPr>
          <w:rFonts w:ascii="Times New Roman" w:hAnsi="Times New Roman" w:cs="Times New Roman"/>
        </w:rPr>
      </w:pPr>
      <w:r>
        <w:rPr>
          <w:rFonts w:ascii="Times New Roman" w:hAnsi="Times New Roman" w:cs="Times New Roman"/>
        </w:rPr>
        <w:t>a、可采用透水面砖、透水混凝土、透水沥青、草坪砖、碎石、砾石、粗砂等，当采用可种植植物的面层时，宜在下面垫层中混合一定比例的营养土；</w:t>
      </w:r>
    </w:p>
    <w:p w14:paraId="03FD5F1F">
      <w:pPr>
        <w:spacing w:before="24" w:after="24"/>
        <w:ind w:firstLine="560" w:firstLineChars="200"/>
        <w:rPr>
          <w:rFonts w:ascii="Times New Roman" w:hAnsi="Times New Roman" w:cs="Times New Roman"/>
        </w:rPr>
      </w:pPr>
      <w:r>
        <w:rPr>
          <w:rFonts w:ascii="Times New Roman" w:hAnsi="Times New Roman" w:cs="Times New Roman"/>
        </w:rPr>
        <w:t>b、透水砖透水系数应大于0.1mm/s，透水水泥混凝土路面的透水系数≥0.5mm/s，透水沥青路面渗透系数≥800ml/15s（连通空隙率测试方法）；</w:t>
      </w:r>
    </w:p>
    <w:p w14:paraId="2A36CA5B">
      <w:pPr>
        <w:spacing w:before="24" w:after="24"/>
        <w:ind w:firstLine="560" w:firstLineChars="200"/>
        <w:rPr>
          <w:rFonts w:ascii="Times New Roman" w:hAnsi="Times New Roman" w:cs="Times New Roman"/>
        </w:rPr>
      </w:pPr>
      <w:r>
        <w:rPr>
          <w:rFonts w:ascii="Times New Roman" w:hAnsi="Times New Roman" w:cs="Times New Roman"/>
        </w:rPr>
        <w:t>c、透水面砖的有效孔隙率应不小于8%，其它形式透水面层的有效孔隙率应不小于10%。</w:t>
      </w:r>
    </w:p>
    <w:p w14:paraId="12FDD157">
      <w:pPr>
        <w:spacing w:before="24" w:after="24"/>
        <w:ind w:firstLine="560" w:firstLineChars="200"/>
        <w:rPr>
          <w:rFonts w:ascii="Times New Roman" w:hAnsi="Times New Roman" w:cs="Times New Roman"/>
        </w:rPr>
      </w:pPr>
      <w:r>
        <w:rPr>
          <w:rFonts w:ascii="Times New Roman" w:hAnsi="Times New Roman" w:cs="Times New Roman"/>
        </w:rPr>
        <w:t>3）透水找平层应满足下列要求：</w:t>
      </w:r>
    </w:p>
    <w:p w14:paraId="2E54A6A3">
      <w:pPr>
        <w:spacing w:before="24" w:after="24"/>
        <w:ind w:firstLine="560" w:firstLineChars="200"/>
        <w:rPr>
          <w:rFonts w:ascii="Times New Roman" w:hAnsi="Times New Roman" w:cs="Times New Roman"/>
        </w:rPr>
      </w:pPr>
      <w:r>
        <w:rPr>
          <w:rFonts w:ascii="Times New Roman" w:hAnsi="Times New Roman" w:cs="Times New Roman"/>
        </w:rPr>
        <w:t>a、透水系数不小于面层，宜采用细石透水混凝土、干砂、碎石或石屑等；</w:t>
      </w:r>
    </w:p>
    <w:p w14:paraId="00897F41">
      <w:pPr>
        <w:spacing w:before="24" w:after="24"/>
        <w:ind w:firstLine="560" w:firstLineChars="200"/>
        <w:rPr>
          <w:rFonts w:ascii="Times New Roman" w:hAnsi="Times New Roman" w:cs="Times New Roman"/>
        </w:rPr>
      </w:pPr>
      <w:r>
        <w:rPr>
          <w:rFonts w:ascii="Times New Roman" w:hAnsi="Times New Roman" w:cs="Times New Roman"/>
        </w:rPr>
        <w:t>b、有效孔隙应不小于面层；</w:t>
      </w:r>
    </w:p>
    <w:p w14:paraId="35E39164">
      <w:pPr>
        <w:spacing w:before="24" w:after="24"/>
        <w:ind w:firstLine="560" w:firstLineChars="200"/>
        <w:rPr>
          <w:rFonts w:ascii="Times New Roman" w:hAnsi="Times New Roman" w:cs="Times New Roman"/>
        </w:rPr>
      </w:pPr>
      <w:r>
        <w:rPr>
          <w:rFonts w:ascii="Times New Roman" w:hAnsi="Times New Roman" w:cs="Times New Roman"/>
        </w:rPr>
        <w:t>c、厚度宜为20～50mm；</w:t>
      </w:r>
    </w:p>
    <w:p w14:paraId="764D8CAE">
      <w:pPr>
        <w:spacing w:before="24" w:after="24"/>
        <w:ind w:firstLine="560" w:firstLineChars="200"/>
        <w:rPr>
          <w:rFonts w:ascii="Times New Roman" w:hAnsi="Times New Roman" w:cs="Times New Roman"/>
        </w:rPr>
      </w:pPr>
      <w:r>
        <w:rPr>
          <w:rFonts w:ascii="Times New Roman" w:hAnsi="Times New Roman" w:cs="Times New Roman"/>
        </w:rPr>
        <w:t>4）透水基层和垫层应满足下列要求：</w:t>
      </w:r>
    </w:p>
    <w:p w14:paraId="181AF556">
      <w:pPr>
        <w:spacing w:before="24" w:after="24"/>
        <w:ind w:firstLine="560" w:firstLineChars="200"/>
        <w:rPr>
          <w:rFonts w:ascii="Times New Roman" w:hAnsi="Times New Roman" w:cs="Times New Roman"/>
        </w:rPr>
      </w:pPr>
      <w:r>
        <w:rPr>
          <w:rFonts w:ascii="Times New Roman" w:hAnsi="Times New Roman" w:cs="Times New Roman"/>
        </w:rPr>
        <w:t>a、渗透系数应大于面层，基层宜采用级配碎石或者透水混凝土，垫层宜采用级配碎石、中、粗砂或天然级配砂砾料等；</w:t>
      </w:r>
    </w:p>
    <w:p w14:paraId="5D429D1C">
      <w:pPr>
        <w:spacing w:before="24" w:after="24"/>
        <w:ind w:firstLine="560" w:firstLineChars="200"/>
        <w:rPr>
          <w:rFonts w:ascii="Times New Roman" w:hAnsi="Times New Roman" w:cs="Times New Roman"/>
        </w:rPr>
      </w:pPr>
      <w:r>
        <w:rPr>
          <w:rFonts w:ascii="Times New Roman" w:hAnsi="Times New Roman" w:cs="Times New Roman"/>
        </w:rPr>
        <w:t>b、透水混凝土的有效孔隙率应大于10%，砂砾料和砾石的有效孔隙率应大于20%；</w:t>
      </w:r>
    </w:p>
    <w:p w14:paraId="5F923634">
      <w:pPr>
        <w:spacing w:before="24" w:after="24"/>
        <w:ind w:firstLine="560" w:firstLineChars="200"/>
        <w:rPr>
          <w:rFonts w:ascii="Times New Roman" w:hAnsi="Times New Roman" w:cs="Times New Roman"/>
        </w:rPr>
      </w:pPr>
      <w:r>
        <w:rPr>
          <w:rFonts w:ascii="Times New Roman" w:hAnsi="Times New Roman" w:cs="Times New Roman"/>
        </w:rPr>
        <w:t>c、透水基层的厚度不宜小于180mm；</w:t>
      </w:r>
    </w:p>
    <w:p w14:paraId="07364C79">
      <w:pPr>
        <w:spacing w:before="24" w:after="24"/>
        <w:ind w:firstLine="560" w:firstLineChars="200"/>
        <w:rPr>
          <w:rFonts w:ascii="Times New Roman" w:hAnsi="Times New Roman" w:cs="Times New Roman"/>
        </w:rPr>
      </w:pPr>
      <w:r>
        <w:rPr>
          <w:rFonts w:ascii="Times New Roman" w:hAnsi="Times New Roman" w:cs="Times New Roman"/>
        </w:rPr>
        <w:t>5）透水铺装地面不应接纳客地雨水；</w:t>
      </w:r>
    </w:p>
    <w:p w14:paraId="492080CB">
      <w:pPr>
        <w:spacing w:before="24" w:after="24"/>
        <w:ind w:firstLine="560" w:firstLineChars="200"/>
        <w:rPr>
          <w:rFonts w:ascii="Times New Roman" w:hAnsi="Times New Roman" w:cs="Times New Roman"/>
        </w:rPr>
      </w:pPr>
      <w:r>
        <w:rPr>
          <w:rFonts w:ascii="Times New Roman" w:hAnsi="Times New Roman" w:cs="Times New Roman"/>
        </w:rPr>
        <w:t>6）透水性面层铺装一段时间后（2～3年），因空气中的尘土会造成面层空隙的堵塞，影响雨水下渗，需定期对透水面层进行清洗养护；</w:t>
      </w:r>
    </w:p>
    <w:p w14:paraId="7EF9C67B">
      <w:pPr>
        <w:spacing w:before="24" w:after="24"/>
        <w:ind w:firstLine="560" w:firstLineChars="200"/>
        <w:rPr>
          <w:rFonts w:ascii="Times New Roman" w:hAnsi="Times New Roman" w:cs="Times New Roman"/>
        </w:rPr>
      </w:pPr>
      <w:r>
        <w:rPr>
          <w:rFonts w:ascii="Times New Roman" w:hAnsi="Times New Roman" w:cs="Times New Roman"/>
        </w:rPr>
        <w:t>7）土壤透水能力有限时，应在透水铺装的透水基层内设置排水管或排水板；</w:t>
      </w:r>
    </w:p>
    <w:p w14:paraId="4F405B9D">
      <w:pPr>
        <w:spacing w:before="24" w:after="24"/>
        <w:ind w:firstLine="560" w:firstLineChars="200"/>
        <w:rPr>
          <w:rFonts w:ascii="Times New Roman" w:hAnsi="Times New Roman" w:cs="Times New Roman"/>
        </w:rPr>
      </w:pPr>
      <w:r>
        <w:rPr>
          <w:rFonts w:ascii="Times New Roman" w:hAnsi="Times New Roman" w:cs="Times New Roman"/>
        </w:rPr>
        <w:t>8）当透水铺装设置在地下室顶板上时，顶板覆土厚度不应小于600mm，并应设置排水层。</w:t>
      </w:r>
    </w:p>
    <w:p w14:paraId="7307647B">
      <w:pPr>
        <w:spacing w:before="24" w:after="24"/>
        <w:ind w:firstLine="560" w:firstLineChars="200"/>
        <w:rPr>
          <w:rFonts w:ascii="Times New Roman" w:hAnsi="Times New Roman" w:cs="Times New Roman"/>
        </w:rPr>
      </w:pPr>
      <w:r>
        <w:rPr>
          <w:rFonts w:ascii="Times New Roman" w:hAnsi="Times New Roman" w:cs="Times New Roman"/>
        </w:rPr>
        <w:t>（4）雨水调蓄池</w:t>
      </w:r>
    </w:p>
    <w:p w14:paraId="7DA6C9B3">
      <w:pPr>
        <w:spacing w:before="24" w:after="24"/>
        <w:ind w:firstLine="560" w:firstLineChars="200"/>
        <w:rPr>
          <w:rFonts w:ascii="Times New Roman" w:hAnsi="Times New Roman" w:cs="Times New Roman"/>
        </w:rPr>
      </w:pPr>
      <w:r>
        <w:rPr>
          <w:rFonts w:ascii="Times New Roman" w:hAnsi="Times New Roman" w:cs="Times New Roman"/>
        </w:rPr>
        <w:t>1）优先采用景观水体作为雨水调蓄池，一池两用，节约投资。</w:t>
      </w:r>
    </w:p>
    <w:p w14:paraId="0294E486">
      <w:pPr>
        <w:spacing w:before="24" w:after="24"/>
        <w:ind w:firstLine="560" w:firstLineChars="200"/>
        <w:rPr>
          <w:rFonts w:ascii="Times New Roman" w:hAnsi="Times New Roman" w:cs="Times New Roman"/>
        </w:rPr>
      </w:pPr>
      <w:r>
        <w:rPr>
          <w:rFonts w:ascii="Times New Roman" w:hAnsi="Times New Roman" w:cs="Times New Roman"/>
        </w:rPr>
        <w:t>2）引入景观水体的径流雨水应满足景观用水水质，宜采用屋面雨水作为调蓄水源；</w:t>
      </w:r>
    </w:p>
    <w:p w14:paraId="250F8BF9">
      <w:pPr>
        <w:spacing w:before="24" w:after="24"/>
        <w:ind w:firstLine="560" w:firstLineChars="200"/>
        <w:rPr>
          <w:rFonts w:ascii="Times New Roman" w:hAnsi="Times New Roman" w:cs="Times New Roman"/>
        </w:rPr>
      </w:pPr>
      <w:r>
        <w:rPr>
          <w:rFonts w:ascii="Times New Roman" w:hAnsi="Times New Roman" w:cs="Times New Roman"/>
        </w:rPr>
        <w:t>3）景观水体调蓄空间为溢流水位与常态水位的差值；应有必要的配套设施实现调蓄雨水的引入和排除；</w:t>
      </w:r>
    </w:p>
    <w:p w14:paraId="60799823">
      <w:pPr>
        <w:spacing w:before="24" w:after="24"/>
        <w:ind w:firstLine="560" w:firstLineChars="200"/>
        <w:rPr>
          <w:rFonts w:ascii="Times New Roman" w:hAnsi="Times New Roman" w:cs="Times New Roman"/>
        </w:rPr>
      </w:pPr>
      <w:r>
        <w:rPr>
          <w:rFonts w:ascii="Times New Roman" w:hAnsi="Times New Roman" w:cs="Times New Roman"/>
        </w:rPr>
        <w:t>4）调蓄池应设置排空设施，排空时间为6～12h。使用水泵强排时应采用水位自动控制；</w:t>
      </w:r>
    </w:p>
    <w:p w14:paraId="33CE6EE7">
      <w:pPr>
        <w:spacing w:before="24" w:after="24"/>
        <w:ind w:firstLine="560" w:firstLineChars="200"/>
        <w:rPr>
          <w:rFonts w:ascii="Times New Roman" w:hAnsi="Times New Roman" w:cs="Times New Roman"/>
        </w:rPr>
      </w:pPr>
      <w:r>
        <w:rPr>
          <w:rFonts w:ascii="Times New Roman" w:hAnsi="Times New Roman" w:cs="Times New Roman"/>
        </w:rPr>
        <w:t>5）调蓄池采用重力排水的，出水管直径不应小于200mm，且不超过校区管道排水能力；</w:t>
      </w:r>
    </w:p>
    <w:p w14:paraId="118154E2">
      <w:pPr>
        <w:spacing w:before="24" w:after="24"/>
        <w:ind w:firstLine="560" w:firstLineChars="200"/>
        <w:rPr>
          <w:rFonts w:ascii="Times New Roman" w:hAnsi="Times New Roman" w:cs="Times New Roman"/>
        </w:rPr>
      </w:pPr>
      <w:r>
        <w:rPr>
          <w:rFonts w:ascii="Times New Roman" w:hAnsi="Times New Roman" w:cs="Times New Roman"/>
        </w:rPr>
        <w:t>6）调蓄池应设外排雨水溢流口，溢流雨水应采用重力流排出；</w:t>
      </w:r>
    </w:p>
    <w:p w14:paraId="29A22816">
      <w:pPr>
        <w:spacing w:before="24" w:after="24"/>
        <w:ind w:firstLine="560" w:firstLineChars="200"/>
        <w:rPr>
          <w:rFonts w:ascii="Times New Roman" w:hAnsi="Times New Roman" w:cs="Times New Roman"/>
        </w:rPr>
      </w:pPr>
      <w:r>
        <w:rPr>
          <w:rFonts w:ascii="Times New Roman" w:hAnsi="Times New Roman" w:cs="Times New Roman"/>
        </w:rPr>
        <w:t>7）设置检测口或人孔，并便于沉积物的清除。</w:t>
      </w:r>
    </w:p>
    <w:p w14:paraId="4CE8A07E">
      <w:pPr>
        <w:spacing w:before="24" w:after="24"/>
        <w:ind w:firstLine="560" w:firstLineChars="200"/>
        <w:rPr>
          <w:rFonts w:ascii="Times New Roman" w:hAnsi="Times New Roman" w:cs="Times New Roman"/>
        </w:rPr>
      </w:pPr>
      <w:r>
        <w:rPr>
          <w:rFonts w:ascii="Times New Roman" w:hAnsi="Times New Roman" w:cs="Times New Roman"/>
        </w:rPr>
        <w:t>4.雨水回用系统</w:t>
      </w:r>
    </w:p>
    <w:p w14:paraId="1361ED13">
      <w:pPr>
        <w:spacing w:before="24" w:after="24"/>
        <w:ind w:firstLine="560" w:firstLineChars="200"/>
        <w:rPr>
          <w:rFonts w:ascii="Times New Roman" w:hAnsi="Times New Roman" w:cs="Times New Roman"/>
        </w:rPr>
      </w:pPr>
      <w:r>
        <w:rPr>
          <w:rFonts w:ascii="Times New Roman" w:hAnsi="Times New Roman" w:cs="Times New Roman"/>
        </w:rPr>
        <w:t>（1）安全措施</w:t>
      </w:r>
    </w:p>
    <w:p w14:paraId="2ED0A993">
      <w:pPr>
        <w:spacing w:before="24" w:after="24"/>
        <w:ind w:firstLine="560" w:firstLineChars="200"/>
        <w:rPr>
          <w:rFonts w:ascii="Times New Roman" w:hAnsi="Times New Roman" w:cs="Times New Roman"/>
        </w:rPr>
      </w:pPr>
      <w:r>
        <w:rPr>
          <w:rFonts w:ascii="Times New Roman" w:hAnsi="Times New Roman" w:cs="Times New Roman"/>
        </w:rPr>
        <w:t>1）雨水供水管道应与生活饮用水管道分开设置。</w:t>
      </w:r>
    </w:p>
    <w:p w14:paraId="160644AC">
      <w:pPr>
        <w:spacing w:before="24" w:after="24"/>
        <w:ind w:firstLine="560" w:firstLineChars="200"/>
        <w:rPr>
          <w:rFonts w:ascii="Times New Roman" w:hAnsi="Times New Roman" w:cs="Times New Roman"/>
        </w:rPr>
      </w:pPr>
      <w:r>
        <w:rPr>
          <w:rFonts w:ascii="Times New Roman" w:hAnsi="Times New Roman" w:cs="Times New Roman"/>
        </w:rPr>
        <w:t>2）雨水供水管道上不得装设取水龙头,并应采取下列防止误接、误用、误饮的措施：</w:t>
      </w:r>
    </w:p>
    <w:p w14:paraId="09852CEA">
      <w:pPr>
        <w:spacing w:before="24" w:after="24"/>
        <w:ind w:firstLine="560" w:firstLineChars="200"/>
        <w:rPr>
          <w:rFonts w:ascii="Times New Roman" w:hAnsi="Times New Roman" w:cs="Times New Roman"/>
        </w:rPr>
      </w:pPr>
      <w:r>
        <w:rPr>
          <w:rFonts w:ascii="Times New Roman" w:hAnsi="Times New Roman" w:cs="Times New Roman"/>
        </w:rPr>
        <w:t>a、供水管外壁应按设计规定涂色或标识；</w:t>
      </w:r>
    </w:p>
    <w:p w14:paraId="5518C9D9">
      <w:pPr>
        <w:spacing w:before="24" w:after="24"/>
        <w:ind w:firstLine="560" w:firstLineChars="200"/>
        <w:rPr>
          <w:rFonts w:ascii="Times New Roman" w:hAnsi="Times New Roman" w:cs="Times New Roman"/>
        </w:rPr>
      </w:pPr>
      <w:r>
        <w:rPr>
          <w:rFonts w:ascii="Times New Roman" w:hAnsi="Times New Roman" w:cs="Times New Roman"/>
        </w:rPr>
        <w:t>b、当设有取水口时,应设锁具或专门开启工具；</w:t>
      </w:r>
    </w:p>
    <w:p w14:paraId="3304768E">
      <w:pPr>
        <w:spacing w:before="24" w:after="24"/>
        <w:ind w:firstLine="560" w:firstLineChars="200"/>
        <w:rPr>
          <w:rFonts w:ascii="Times New Roman" w:hAnsi="Times New Roman" w:cs="Times New Roman"/>
        </w:rPr>
      </w:pPr>
      <w:r>
        <w:rPr>
          <w:rFonts w:ascii="Times New Roman" w:hAnsi="Times New Roman" w:cs="Times New Roman"/>
        </w:rPr>
        <w:t>c、阀门、水表、给水栓、取水口应有明显“雨水”标识。</w:t>
      </w:r>
    </w:p>
    <w:p w14:paraId="4D44EE91">
      <w:pPr>
        <w:spacing w:before="24" w:after="24"/>
        <w:ind w:firstLine="560" w:firstLineChars="200"/>
        <w:rPr>
          <w:rFonts w:ascii="Times New Roman" w:hAnsi="Times New Roman" w:cs="Times New Roman"/>
        </w:rPr>
      </w:pPr>
      <w:r>
        <w:rPr>
          <w:rFonts w:ascii="Times New Roman" w:hAnsi="Times New Roman" w:cs="Times New Roman"/>
        </w:rPr>
        <w:t>（2）管材</w:t>
      </w:r>
    </w:p>
    <w:p w14:paraId="6881075E">
      <w:pPr>
        <w:spacing w:before="24" w:after="24"/>
        <w:ind w:firstLine="560" w:firstLineChars="200"/>
        <w:rPr>
          <w:rFonts w:ascii="Times New Roman" w:hAnsi="Times New Roman" w:cs="Times New Roman"/>
        </w:rPr>
      </w:pPr>
      <w:r>
        <w:rPr>
          <w:rFonts w:ascii="Times New Roman" w:hAnsi="Times New Roman" w:cs="Times New Roman"/>
        </w:rPr>
        <w:t>室外雨水回用管材采用塑料给水管、钢塑复合管或其他具有可靠防腐性能的给水管材，不得采用非镀锌钢管。</w:t>
      </w:r>
    </w:p>
    <w:p w14:paraId="3904810F">
      <w:pPr>
        <w:spacing w:before="24" w:after="24"/>
        <w:ind w:firstLine="560" w:firstLineChars="200"/>
        <w:rPr>
          <w:rFonts w:ascii="Times New Roman" w:hAnsi="Times New Roman" w:cs="Times New Roman"/>
        </w:rPr>
      </w:pPr>
      <w:r>
        <w:rPr>
          <w:rFonts w:ascii="Times New Roman" w:hAnsi="Times New Roman" w:cs="Times New Roman"/>
        </w:rPr>
        <w:t>（3）回用系统</w:t>
      </w:r>
    </w:p>
    <w:p w14:paraId="7CD7E31A">
      <w:pPr>
        <w:spacing w:before="24" w:after="24"/>
        <w:ind w:firstLine="560" w:firstLineChars="200"/>
        <w:rPr>
          <w:rFonts w:ascii="Times New Roman" w:hAnsi="Times New Roman" w:cs="Times New Roman"/>
        </w:rPr>
      </w:pPr>
      <w:r>
        <w:rPr>
          <w:rFonts w:ascii="Times New Roman" w:hAnsi="Times New Roman" w:cs="Times New Roman"/>
        </w:rPr>
        <w:t>可以与中水共用回用管网，但中水不得回流进入雨水存储系统。</w:t>
      </w:r>
    </w:p>
    <w:p w14:paraId="013067AB">
      <w:pPr>
        <w:spacing w:before="24" w:after="24"/>
        <w:ind w:firstLine="562" w:firstLineChars="200"/>
        <w:outlineLvl w:val="3"/>
        <w:rPr>
          <w:rFonts w:ascii="Times New Roman" w:hAnsi="Times New Roman" w:cs="Times New Roman"/>
          <w:b/>
        </w:rPr>
      </w:pPr>
      <w:r>
        <w:rPr>
          <w:rFonts w:ascii="Times New Roman" w:hAnsi="Times New Roman" w:cs="Times New Roman"/>
          <w:b/>
        </w:rPr>
        <w:t>5.3 单体技术要求</w:t>
      </w:r>
    </w:p>
    <w:p w14:paraId="3905AB1E">
      <w:pPr>
        <w:spacing w:before="24" w:after="24"/>
        <w:ind w:firstLine="562" w:firstLineChars="200"/>
        <w:outlineLvl w:val="4"/>
        <w:rPr>
          <w:rFonts w:ascii="Times New Roman" w:hAnsi="Times New Roman" w:cs="Times New Roman"/>
          <w:b/>
        </w:rPr>
      </w:pPr>
      <w:r>
        <w:rPr>
          <w:rFonts w:ascii="Times New Roman" w:hAnsi="Times New Roman" w:cs="Times New Roman"/>
          <w:b/>
        </w:rPr>
        <w:t>5.3.1室内给水系统</w:t>
      </w:r>
    </w:p>
    <w:p w14:paraId="298266E2">
      <w:pPr>
        <w:spacing w:before="24" w:after="24"/>
        <w:ind w:firstLine="560" w:firstLineChars="200"/>
        <w:rPr>
          <w:rFonts w:ascii="Times New Roman" w:hAnsi="Times New Roman" w:cs="Times New Roman"/>
        </w:rPr>
      </w:pPr>
      <w:r>
        <w:rPr>
          <w:rFonts w:ascii="Times New Roman" w:hAnsi="Times New Roman" w:cs="Times New Roman"/>
        </w:rPr>
        <w:t>1.室内给水系统</w:t>
      </w:r>
    </w:p>
    <w:p w14:paraId="0AB1A7E6">
      <w:pPr>
        <w:spacing w:before="24" w:after="24"/>
        <w:ind w:firstLine="560" w:firstLineChars="200"/>
        <w:rPr>
          <w:rFonts w:ascii="Times New Roman" w:hAnsi="Times New Roman" w:cs="Times New Roman"/>
        </w:rPr>
      </w:pPr>
      <w:r>
        <w:rPr>
          <w:rFonts w:ascii="Times New Roman" w:hAnsi="Times New Roman" w:cs="Times New Roman"/>
        </w:rPr>
        <w:t>充分利用市政管网压力供水，市政压力无法满足的建筑楼层，采用变频加压供水。</w:t>
      </w:r>
    </w:p>
    <w:p w14:paraId="5C82D415">
      <w:pPr>
        <w:spacing w:before="24" w:after="24"/>
        <w:ind w:firstLine="560" w:firstLineChars="200"/>
        <w:rPr>
          <w:rFonts w:ascii="Times New Roman" w:hAnsi="Times New Roman" w:cs="Times New Roman"/>
        </w:rPr>
      </w:pPr>
      <w:r>
        <w:rPr>
          <w:rFonts w:ascii="Times New Roman" w:hAnsi="Times New Roman" w:cs="Times New Roman"/>
        </w:rPr>
        <w:t>单体引入管上设置冷水表计量，楼层和用水房间根据用户需求设置用户水表计量。</w:t>
      </w:r>
    </w:p>
    <w:p w14:paraId="220F05F1">
      <w:pPr>
        <w:spacing w:before="24" w:after="24"/>
        <w:ind w:firstLine="560" w:firstLineChars="200"/>
        <w:rPr>
          <w:rFonts w:ascii="Times New Roman" w:hAnsi="Times New Roman" w:cs="Times New Roman"/>
        </w:rPr>
      </w:pPr>
      <w:r>
        <w:rPr>
          <w:rFonts w:ascii="Times New Roman" w:hAnsi="Times New Roman" w:cs="Times New Roman"/>
        </w:rPr>
        <w:t>2.一般规定</w:t>
      </w:r>
    </w:p>
    <w:p w14:paraId="3563C000">
      <w:pPr>
        <w:spacing w:before="24" w:after="24"/>
        <w:ind w:firstLine="560" w:firstLineChars="200"/>
        <w:rPr>
          <w:rFonts w:ascii="Times New Roman" w:hAnsi="Times New Roman" w:cs="Times New Roman"/>
        </w:rPr>
      </w:pPr>
      <w:r>
        <w:rPr>
          <w:rFonts w:ascii="Times New Roman" w:hAnsi="Times New Roman" w:cs="Times New Roman"/>
        </w:rPr>
        <w:t>（1）自备水源的供水管道严禁与城镇给水管道直接连接。</w:t>
      </w:r>
    </w:p>
    <w:p w14:paraId="4EC9847C">
      <w:pPr>
        <w:spacing w:before="24" w:after="24"/>
        <w:ind w:firstLine="560" w:firstLineChars="200"/>
        <w:rPr>
          <w:rFonts w:ascii="Times New Roman" w:hAnsi="Times New Roman" w:cs="Times New Roman"/>
        </w:rPr>
      </w:pPr>
      <w:r>
        <w:rPr>
          <w:rFonts w:ascii="Times New Roman" w:hAnsi="Times New Roman" w:cs="Times New Roman"/>
        </w:rPr>
        <w:t>（2）中水、回用雨水等非生活饮用水管道严禁与生活饮用水管道连接。</w:t>
      </w:r>
    </w:p>
    <w:p w14:paraId="23EC63A3">
      <w:pPr>
        <w:spacing w:before="24" w:after="24"/>
        <w:ind w:firstLine="560" w:firstLineChars="200"/>
        <w:rPr>
          <w:rFonts w:ascii="Times New Roman" w:hAnsi="Times New Roman" w:cs="Times New Roman"/>
        </w:rPr>
      </w:pPr>
      <w:r>
        <w:rPr>
          <w:rFonts w:ascii="Times New Roman" w:hAnsi="Times New Roman" w:cs="Times New Roman"/>
        </w:rPr>
        <w:t>（3）生活饮用水应设有防止管道内产生虹吸回流、背压回流等污染的措施。</w:t>
      </w:r>
    </w:p>
    <w:p w14:paraId="3EB72ED8">
      <w:pPr>
        <w:spacing w:before="24" w:after="24"/>
        <w:ind w:firstLine="560" w:firstLineChars="200"/>
        <w:rPr>
          <w:rFonts w:ascii="Times New Roman" w:hAnsi="Times New Roman" w:cs="Times New Roman"/>
        </w:rPr>
      </w:pPr>
      <w:r>
        <w:rPr>
          <w:rFonts w:ascii="Times New Roman" w:hAnsi="Times New Roman" w:cs="Times New Roman"/>
        </w:rPr>
        <w:t>3.公共场所卫生间的卫生器具设置要求</w:t>
      </w:r>
    </w:p>
    <w:p w14:paraId="148CEB04">
      <w:pPr>
        <w:spacing w:before="24" w:after="24"/>
        <w:ind w:firstLine="560" w:firstLineChars="200"/>
        <w:rPr>
          <w:rFonts w:ascii="Times New Roman" w:hAnsi="Times New Roman" w:cs="Times New Roman"/>
        </w:rPr>
      </w:pPr>
      <w:r>
        <w:rPr>
          <w:rFonts w:ascii="Times New Roman" w:hAnsi="Times New Roman" w:cs="Times New Roman"/>
        </w:rPr>
        <w:t>（1）洗手盆应采用感应式水嘴或延时自闭式水嘴；</w:t>
      </w:r>
    </w:p>
    <w:p w14:paraId="7D20A40F">
      <w:pPr>
        <w:spacing w:before="24" w:after="24"/>
        <w:ind w:firstLine="560" w:firstLineChars="200"/>
        <w:rPr>
          <w:rFonts w:ascii="Times New Roman" w:hAnsi="Times New Roman" w:cs="Times New Roman"/>
        </w:rPr>
      </w:pPr>
      <w:r>
        <w:rPr>
          <w:rFonts w:ascii="Times New Roman" w:hAnsi="Times New Roman" w:cs="Times New Roman"/>
        </w:rPr>
        <w:t>（2）小便器应采用感应式或延时自闭式冲洗阀；</w:t>
      </w:r>
    </w:p>
    <w:p w14:paraId="6842C8B6">
      <w:pPr>
        <w:spacing w:before="24" w:after="24"/>
        <w:ind w:firstLine="560" w:firstLineChars="200"/>
        <w:rPr>
          <w:rFonts w:ascii="Times New Roman" w:hAnsi="Times New Roman" w:cs="Times New Roman"/>
        </w:rPr>
      </w:pPr>
      <w:r>
        <w:rPr>
          <w:rFonts w:ascii="Times New Roman" w:hAnsi="Times New Roman" w:cs="Times New Roman"/>
        </w:rPr>
        <w:t>（3）坐式大便器采用设有大、小便分档的冲洗水箱，水箱容积≤6L，蹲式大便器应采用脚踏延时自闭式冲洗阀等。</w:t>
      </w:r>
    </w:p>
    <w:p w14:paraId="651AD24B">
      <w:pPr>
        <w:spacing w:before="24" w:after="24"/>
        <w:ind w:firstLine="560" w:firstLineChars="200"/>
        <w:rPr>
          <w:rFonts w:ascii="Times New Roman" w:hAnsi="Times New Roman" w:cs="Times New Roman"/>
        </w:rPr>
      </w:pPr>
      <w:r>
        <w:rPr>
          <w:rFonts w:ascii="Times New Roman" w:hAnsi="Times New Roman" w:cs="Times New Roman"/>
        </w:rPr>
        <w:t>4.水质和防水质污染</w:t>
      </w:r>
    </w:p>
    <w:p w14:paraId="510281D4">
      <w:pPr>
        <w:spacing w:before="24" w:after="24"/>
        <w:ind w:firstLine="560" w:firstLineChars="200"/>
        <w:rPr>
          <w:rFonts w:ascii="Times New Roman" w:hAnsi="Times New Roman" w:cs="Times New Roman"/>
        </w:rPr>
      </w:pPr>
      <w:r>
        <w:rPr>
          <w:rFonts w:ascii="Times New Roman" w:hAnsi="Times New Roman" w:cs="Times New Roman"/>
        </w:rPr>
        <w:t>（1）卫生器具和用水设备等的生活饮用水管配水件出水口不得被任何液体或杂质所淹没，并高出承接用水容器溢流边缘不得小于出水口直径的2.5倍。</w:t>
      </w:r>
    </w:p>
    <w:p w14:paraId="683B8226">
      <w:pPr>
        <w:spacing w:before="24" w:after="24"/>
        <w:ind w:firstLine="560" w:firstLineChars="200"/>
        <w:rPr>
          <w:rFonts w:ascii="Times New Roman" w:hAnsi="Times New Roman" w:cs="Times New Roman"/>
        </w:rPr>
      </w:pPr>
      <w:r>
        <w:rPr>
          <w:rFonts w:ascii="Times New Roman" w:hAnsi="Times New Roman" w:cs="Times New Roman"/>
        </w:rPr>
        <w:t>（2）消防水池进水管口最低点高出溢流边缘的空气间隙不应小于150mm；中水、雨水回用水等回用水系统的贮水池（箱）补水管口最低点高出溢流边缘的空气间隙不应小于进水管管径的2.5倍，且不应小于150mm。</w:t>
      </w:r>
    </w:p>
    <w:p w14:paraId="4DFCC75E">
      <w:pPr>
        <w:spacing w:before="24" w:after="24"/>
        <w:ind w:firstLine="560" w:firstLineChars="200"/>
        <w:rPr>
          <w:rFonts w:ascii="Times New Roman" w:hAnsi="Times New Roman" w:cs="Times New Roman"/>
        </w:rPr>
      </w:pPr>
      <w:r>
        <w:rPr>
          <w:rFonts w:ascii="Times New Roman" w:hAnsi="Times New Roman" w:cs="Times New Roman"/>
        </w:rPr>
        <w:t>（3）两路及两路以上市政给水引入管上、生活给水管上单独接出消防用水管道上应设置倒流防止器。</w:t>
      </w:r>
    </w:p>
    <w:p w14:paraId="757939A3">
      <w:pPr>
        <w:spacing w:before="24" w:after="24"/>
        <w:ind w:firstLine="560" w:firstLineChars="200"/>
        <w:rPr>
          <w:rFonts w:ascii="Times New Roman" w:hAnsi="Times New Roman" w:cs="Times New Roman"/>
        </w:rPr>
      </w:pPr>
      <w:r>
        <w:rPr>
          <w:rFonts w:ascii="Times New Roman" w:hAnsi="Times New Roman" w:cs="Times New Roman"/>
        </w:rPr>
        <w:t>（4）生活水箱：采用不锈钢生活水箱，水箱内设置消毒设备，不应设置于与厕所、垃圾间、污（废）水泵房、污（废）水处理机房及其他污染源毗邻的房间内</w:t>
      </w:r>
      <w:r>
        <w:rPr>
          <w:rFonts w:hint="eastAsia" w:ascii="Times New Roman" w:hAnsi="Times New Roman" w:cs="Times New Roman"/>
        </w:rPr>
        <w:t>；</w:t>
      </w:r>
      <w:r>
        <w:rPr>
          <w:rFonts w:ascii="Times New Roman" w:hAnsi="Times New Roman" w:cs="Times New Roman"/>
        </w:rPr>
        <w:t>其上层不应有上述用房及浴室、盥洗室、厨房、洗衣房和其他产生污染源的房间。</w:t>
      </w:r>
    </w:p>
    <w:p w14:paraId="46A50FE9">
      <w:pPr>
        <w:spacing w:before="24" w:after="24"/>
        <w:ind w:firstLine="560" w:firstLineChars="200"/>
        <w:rPr>
          <w:rFonts w:ascii="Times New Roman" w:hAnsi="Times New Roman" w:cs="Times New Roman"/>
        </w:rPr>
      </w:pPr>
      <w:r>
        <w:rPr>
          <w:rFonts w:ascii="Times New Roman" w:hAnsi="Times New Roman" w:cs="Times New Roman"/>
        </w:rPr>
        <w:t>5.管材、附件、支吊架和水表</w:t>
      </w:r>
    </w:p>
    <w:p w14:paraId="4560347D">
      <w:pPr>
        <w:spacing w:before="24" w:after="24"/>
        <w:ind w:firstLine="560" w:firstLineChars="200"/>
        <w:rPr>
          <w:rFonts w:ascii="Times New Roman" w:hAnsi="Times New Roman" w:cs="Times New Roman"/>
        </w:rPr>
      </w:pPr>
      <w:r>
        <w:rPr>
          <w:rFonts w:ascii="Times New Roman" w:hAnsi="Times New Roman" w:cs="Times New Roman"/>
        </w:rPr>
        <w:t>（1）管材：室内的给水管道，应选用耐腐蚀和安装连接方便可靠的管材，可采用不锈钢管、铜管、塑料给水管和金属塑料复合管及经防腐处理的钢管。高层建筑给水立管不宜采用塑料管。给水系统采用的管材和管件及连接方式，应符合国家现行标准的有关规定。管材和管件及连接方式的工作压力不得大于国家现行标准中公称压力或标称的允许工作压力。</w:t>
      </w:r>
    </w:p>
    <w:p w14:paraId="16CA66E5">
      <w:pPr>
        <w:spacing w:before="24" w:after="24"/>
        <w:ind w:firstLine="560" w:firstLineChars="200"/>
        <w:rPr>
          <w:rFonts w:ascii="Times New Roman" w:hAnsi="Times New Roman" w:cs="Times New Roman"/>
        </w:rPr>
      </w:pPr>
      <w:r>
        <w:rPr>
          <w:rFonts w:ascii="Times New Roman" w:hAnsi="Times New Roman" w:cs="Times New Roman"/>
        </w:rPr>
        <w:t>给水管道阀门材质应根据耐腐蚀、管径、压力等级、使用温度等因素确定，可采用全铜、全不锈钢、铁壳铜芯和全塑阀门等。阀门的公称压力不得小于管材及管件的公称压力。</w:t>
      </w:r>
    </w:p>
    <w:p w14:paraId="6DDA1D9B">
      <w:pPr>
        <w:spacing w:before="24" w:after="24"/>
        <w:ind w:firstLine="560" w:firstLineChars="200"/>
        <w:rPr>
          <w:rFonts w:ascii="Times New Roman" w:hAnsi="Times New Roman" w:cs="Times New Roman"/>
        </w:rPr>
      </w:pPr>
      <w:r>
        <w:rPr>
          <w:rFonts w:ascii="Times New Roman" w:hAnsi="Times New Roman" w:cs="Times New Roman"/>
        </w:rPr>
        <w:t>（2）阀门及配件：</w:t>
      </w:r>
    </w:p>
    <w:tbl>
      <w:tblPr>
        <w:tblStyle w:val="31"/>
        <w:tblW w:w="49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1301"/>
        <w:gridCol w:w="2898"/>
        <w:gridCol w:w="1481"/>
        <w:gridCol w:w="1465"/>
        <w:gridCol w:w="1248"/>
      </w:tblGrid>
      <w:tr w14:paraId="30071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95" w:type="pct"/>
            <w:vAlign w:val="center"/>
          </w:tcPr>
          <w:p w14:paraId="63AEA8E9">
            <w:pPr>
              <w:pStyle w:val="71"/>
              <w:spacing w:before="24" w:after="24"/>
            </w:pPr>
            <w:r>
              <w:t>序号</w:t>
            </w:r>
          </w:p>
        </w:tc>
        <w:tc>
          <w:tcPr>
            <w:tcW w:w="713" w:type="pct"/>
            <w:vAlign w:val="center"/>
          </w:tcPr>
          <w:p w14:paraId="3E92D82C">
            <w:pPr>
              <w:pStyle w:val="71"/>
              <w:spacing w:before="24" w:after="24"/>
            </w:pPr>
            <w:r>
              <w:t>附件名称</w:t>
            </w:r>
          </w:p>
        </w:tc>
        <w:tc>
          <w:tcPr>
            <w:tcW w:w="1589" w:type="pct"/>
            <w:vAlign w:val="center"/>
          </w:tcPr>
          <w:p w14:paraId="227BEE8C">
            <w:pPr>
              <w:pStyle w:val="71"/>
              <w:spacing w:before="24" w:after="24"/>
            </w:pPr>
            <w:r>
              <w:t>设置部位</w:t>
            </w:r>
          </w:p>
        </w:tc>
        <w:tc>
          <w:tcPr>
            <w:tcW w:w="812" w:type="pct"/>
            <w:vAlign w:val="center"/>
          </w:tcPr>
          <w:p w14:paraId="077B2D2E">
            <w:pPr>
              <w:pStyle w:val="71"/>
              <w:spacing w:before="24" w:after="24"/>
            </w:pPr>
            <w:r>
              <w:t>设置要求</w:t>
            </w:r>
          </w:p>
        </w:tc>
        <w:tc>
          <w:tcPr>
            <w:tcW w:w="803" w:type="pct"/>
            <w:vAlign w:val="center"/>
          </w:tcPr>
          <w:p w14:paraId="1B80F9A8">
            <w:pPr>
              <w:pStyle w:val="71"/>
              <w:spacing w:before="24" w:after="24"/>
            </w:pPr>
            <w:r>
              <w:t>材质</w:t>
            </w:r>
          </w:p>
        </w:tc>
        <w:tc>
          <w:tcPr>
            <w:tcW w:w="684" w:type="pct"/>
            <w:vAlign w:val="center"/>
          </w:tcPr>
          <w:p w14:paraId="3DF6617F">
            <w:pPr>
              <w:pStyle w:val="71"/>
              <w:spacing w:before="24" w:after="24"/>
            </w:pPr>
            <w:r>
              <w:t>备注</w:t>
            </w:r>
          </w:p>
        </w:tc>
      </w:tr>
      <w:tr w14:paraId="705DE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395" w:type="pct"/>
            <w:vAlign w:val="center"/>
          </w:tcPr>
          <w:p w14:paraId="1B5ED874">
            <w:pPr>
              <w:pStyle w:val="71"/>
              <w:spacing w:before="24" w:after="24"/>
            </w:pPr>
            <w:r>
              <w:t>1</w:t>
            </w:r>
          </w:p>
        </w:tc>
        <w:tc>
          <w:tcPr>
            <w:tcW w:w="713" w:type="pct"/>
            <w:vAlign w:val="center"/>
          </w:tcPr>
          <w:p w14:paraId="20A29796">
            <w:pPr>
              <w:pStyle w:val="71"/>
              <w:spacing w:before="24" w:after="24"/>
            </w:pPr>
            <w:r>
              <w:t>截止阀</w:t>
            </w:r>
          </w:p>
        </w:tc>
        <w:tc>
          <w:tcPr>
            <w:tcW w:w="1589" w:type="pct"/>
            <w:vMerge w:val="restart"/>
            <w:vAlign w:val="center"/>
          </w:tcPr>
          <w:p w14:paraId="189E06DF">
            <w:pPr>
              <w:pStyle w:val="71"/>
              <w:spacing w:before="24" w:after="24"/>
              <w:jc w:val="both"/>
            </w:pPr>
            <w:r>
              <w:t>从给水干管上接出的支管起端；入户管、水表前和各分支立管；室内给水管道向用户、公用卫生间等接出的配水管起端；水池（箱）、加压泵房、水加热器、减压阀、倒流防止器等处应按安装要求配置</w:t>
            </w:r>
          </w:p>
        </w:tc>
        <w:tc>
          <w:tcPr>
            <w:tcW w:w="812" w:type="pct"/>
            <w:vAlign w:val="center"/>
          </w:tcPr>
          <w:p w14:paraId="017A6764">
            <w:pPr>
              <w:pStyle w:val="71"/>
              <w:spacing w:before="24" w:after="24"/>
            </w:pPr>
            <w:r>
              <w:t>管径≤DN50</w:t>
            </w:r>
          </w:p>
        </w:tc>
        <w:tc>
          <w:tcPr>
            <w:tcW w:w="803" w:type="pct"/>
            <w:vAlign w:val="center"/>
          </w:tcPr>
          <w:p w14:paraId="4FDD1AA7">
            <w:pPr>
              <w:pStyle w:val="71"/>
              <w:spacing w:before="24" w:after="24"/>
            </w:pPr>
            <w:r>
              <w:t>不锈钢</w:t>
            </w:r>
          </w:p>
        </w:tc>
        <w:tc>
          <w:tcPr>
            <w:tcW w:w="684" w:type="pct"/>
            <w:vAlign w:val="center"/>
          </w:tcPr>
          <w:p w14:paraId="705462C4">
            <w:pPr>
              <w:pStyle w:val="71"/>
              <w:spacing w:before="24" w:after="24"/>
            </w:pPr>
          </w:p>
        </w:tc>
      </w:tr>
      <w:tr w14:paraId="7165B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2" w:hRule="atLeast"/>
          <w:jc w:val="center"/>
        </w:trPr>
        <w:tc>
          <w:tcPr>
            <w:tcW w:w="395" w:type="pct"/>
            <w:vAlign w:val="center"/>
          </w:tcPr>
          <w:p w14:paraId="5D58DD6E">
            <w:pPr>
              <w:pStyle w:val="71"/>
              <w:spacing w:before="24" w:after="24"/>
            </w:pPr>
            <w:r>
              <w:t>2</w:t>
            </w:r>
          </w:p>
        </w:tc>
        <w:tc>
          <w:tcPr>
            <w:tcW w:w="713" w:type="pct"/>
            <w:vAlign w:val="center"/>
          </w:tcPr>
          <w:p w14:paraId="3533AD7D">
            <w:pPr>
              <w:pStyle w:val="71"/>
              <w:spacing w:before="24" w:after="24"/>
            </w:pPr>
            <w:r>
              <w:t>闸阀</w:t>
            </w:r>
          </w:p>
        </w:tc>
        <w:tc>
          <w:tcPr>
            <w:tcW w:w="1589" w:type="pct"/>
            <w:vMerge w:val="continue"/>
            <w:vAlign w:val="center"/>
          </w:tcPr>
          <w:p w14:paraId="1A9356CD">
            <w:pPr>
              <w:pStyle w:val="71"/>
              <w:spacing w:before="24" w:after="24"/>
              <w:jc w:val="both"/>
            </w:pPr>
          </w:p>
        </w:tc>
        <w:tc>
          <w:tcPr>
            <w:tcW w:w="812" w:type="pct"/>
            <w:vAlign w:val="center"/>
          </w:tcPr>
          <w:p w14:paraId="2175A767">
            <w:pPr>
              <w:pStyle w:val="71"/>
              <w:spacing w:before="24" w:after="24"/>
            </w:pPr>
            <w:r>
              <w:t>管径＞DN50</w:t>
            </w:r>
          </w:p>
        </w:tc>
        <w:tc>
          <w:tcPr>
            <w:tcW w:w="803" w:type="pct"/>
            <w:vAlign w:val="center"/>
          </w:tcPr>
          <w:p w14:paraId="39A3E559">
            <w:pPr>
              <w:pStyle w:val="71"/>
              <w:spacing w:before="24" w:after="24"/>
            </w:pPr>
            <w:r>
              <w:t>铸铁阀体+不锈钢阀芯</w:t>
            </w:r>
          </w:p>
        </w:tc>
        <w:tc>
          <w:tcPr>
            <w:tcW w:w="684" w:type="pct"/>
            <w:vAlign w:val="center"/>
          </w:tcPr>
          <w:p w14:paraId="5FA25362">
            <w:pPr>
              <w:pStyle w:val="71"/>
              <w:spacing w:before="24" w:after="24"/>
            </w:pPr>
          </w:p>
        </w:tc>
      </w:tr>
      <w:tr w14:paraId="77141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5" w:type="pct"/>
            <w:vMerge w:val="restart"/>
            <w:vAlign w:val="center"/>
          </w:tcPr>
          <w:p w14:paraId="67483889">
            <w:pPr>
              <w:pStyle w:val="71"/>
              <w:spacing w:before="24" w:after="24"/>
            </w:pPr>
            <w:r>
              <w:t>3</w:t>
            </w:r>
          </w:p>
        </w:tc>
        <w:tc>
          <w:tcPr>
            <w:tcW w:w="713" w:type="pct"/>
            <w:vMerge w:val="restart"/>
            <w:vAlign w:val="center"/>
          </w:tcPr>
          <w:p w14:paraId="58ADDC39">
            <w:pPr>
              <w:pStyle w:val="71"/>
              <w:spacing w:before="24" w:after="24"/>
            </w:pPr>
            <w:r>
              <w:t>止回阀</w:t>
            </w:r>
          </w:p>
        </w:tc>
        <w:tc>
          <w:tcPr>
            <w:tcW w:w="1589" w:type="pct"/>
            <w:vMerge w:val="restart"/>
            <w:vAlign w:val="center"/>
          </w:tcPr>
          <w:p w14:paraId="20E66B99">
            <w:pPr>
              <w:pStyle w:val="71"/>
              <w:spacing w:before="24" w:after="24"/>
              <w:jc w:val="both"/>
            </w:pPr>
            <w:r>
              <w:t>密闭的水加热器或用水设备的进水管上；每台水泵的出水管上</w:t>
            </w:r>
          </w:p>
        </w:tc>
        <w:tc>
          <w:tcPr>
            <w:tcW w:w="812" w:type="pct"/>
            <w:vAlign w:val="center"/>
          </w:tcPr>
          <w:p w14:paraId="42BA8DD8">
            <w:pPr>
              <w:pStyle w:val="71"/>
              <w:spacing w:before="24" w:after="24"/>
            </w:pPr>
            <w:r>
              <w:t>管径≤DN50</w:t>
            </w:r>
          </w:p>
        </w:tc>
        <w:tc>
          <w:tcPr>
            <w:tcW w:w="803" w:type="pct"/>
            <w:vAlign w:val="center"/>
          </w:tcPr>
          <w:p w14:paraId="09E07954">
            <w:pPr>
              <w:pStyle w:val="71"/>
              <w:spacing w:before="24" w:after="24"/>
            </w:pPr>
            <w:r>
              <w:t>不锈钢</w:t>
            </w:r>
          </w:p>
        </w:tc>
        <w:tc>
          <w:tcPr>
            <w:tcW w:w="684" w:type="pct"/>
            <w:vAlign w:val="center"/>
          </w:tcPr>
          <w:p w14:paraId="039B478A">
            <w:pPr>
              <w:pStyle w:val="71"/>
              <w:spacing w:before="24" w:after="24"/>
            </w:pPr>
          </w:p>
        </w:tc>
      </w:tr>
      <w:tr w14:paraId="007EE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7" w:hRule="atLeast"/>
          <w:jc w:val="center"/>
        </w:trPr>
        <w:tc>
          <w:tcPr>
            <w:tcW w:w="395" w:type="pct"/>
            <w:vMerge w:val="continue"/>
            <w:vAlign w:val="center"/>
          </w:tcPr>
          <w:p w14:paraId="5917AFD7">
            <w:pPr>
              <w:pStyle w:val="71"/>
              <w:spacing w:before="24" w:after="24"/>
            </w:pPr>
          </w:p>
        </w:tc>
        <w:tc>
          <w:tcPr>
            <w:tcW w:w="713" w:type="pct"/>
            <w:vMerge w:val="continue"/>
            <w:vAlign w:val="center"/>
          </w:tcPr>
          <w:p w14:paraId="7CC19DBF">
            <w:pPr>
              <w:pStyle w:val="71"/>
              <w:spacing w:before="24" w:after="24"/>
            </w:pPr>
          </w:p>
        </w:tc>
        <w:tc>
          <w:tcPr>
            <w:tcW w:w="1589" w:type="pct"/>
            <w:vMerge w:val="continue"/>
            <w:vAlign w:val="center"/>
          </w:tcPr>
          <w:p w14:paraId="2ACDB601">
            <w:pPr>
              <w:pStyle w:val="71"/>
              <w:spacing w:before="24" w:after="24"/>
              <w:jc w:val="both"/>
            </w:pPr>
          </w:p>
        </w:tc>
        <w:tc>
          <w:tcPr>
            <w:tcW w:w="812" w:type="pct"/>
            <w:vAlign w:val="center"/>
          </w:tcPr>
          <w:p w14:paraId="30CC0387">
            <w:pPr>
              <w:pStyle w:val="71"/>
              <w:spacing w:before="24" w:after="24"/>
            </w:pPr>
            <w:r>
              <w:t>管径＞DN50</w:t>
            </w:r>
          </w:p>
        </w:tc>
        <w:tc>
          <w:tcPr>
            <w:tcW w:w="803" w:type="pct"/>
            <w:vAlign w:val="center"/>
          </w:tcPr>
          <w:p w14:paraId="1DB0309B">
            <w:pPr>
              <w:pStyle w:val="71"/>
              <w:spacing w:before="24" w:after="24"/>
            </w:pPr>
            <w:r>
              <w:t>铸钢</w:t>
            </w:r>
          </w:p>
        </w:tc>
        <w:tc>
          <w:tcPr>
            <w:tcW w:w="684" w:type="pct"/>
            <w:vAlign w:val="center"/>
          </w:tcPr>
          <w:p w14:paraId="0B4566A1">
            <w:pPr>
              <w:pStyle w:val="71"/>
              <w:spacing w:before="24" w:after="24"/>
            </w:pPr>
          </w:p>
        </w:tc>
      </w:tr>
      <w:tr w14:paraId="76E2D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5" w:type="pct"/>
            <w:vAlign w:val="center"/>
          </w:tcPr>
          <w:p w14:paraId="1FF463CA">
            <w:pPr>
              <w:pStyle w:val="71"/>
              <w:spacing w:before="24" w:after="24"/>
            </w:pPr>
            <w:r>
              <w:t>4</w:t>
            </w:r>
          </w:p>
        </w:tc>
        <w:tc>
          <w:tcPr>
            <w:tcW w:w="713" w:type="pct"/>
            <w:vAlign w:val="center"/>
          </w:tcPr>
          <w:p w14:paraId="7DA51073">
            <w:pPr>
              <w:pStyle w:val="71"/>
              <w:spacing w:before="24" w:after="24"/>
            </w:pPr>
            <w:r>
              <w:t>可调式减压阀</w:t>
            </w:r>
          </w:p>
        </w:tc>
        <w:tc>
          <w:tcPr>
            <w:tcW w:w="1589" w:type="pct"/>
            <w:vAlign w:val="center"/>
          </w:tcPr>
          <w:p w14:paraId="40750FD7">
            <w:pPr>
              <w:pStyle w:val="71"/>
              <w:spacing w:before="24" w:after="24"/>
              <w:jc w:val="both"/>
            </w:pPr>
            <w:r>
              <w:t>系统压力大于0.2MPa干管或支管</w:t>
            </w:r>
          </w:p>
        </w:tc>
        <w:tc>
          <w:tcPr>
            <w:tcW w:w="812" w:type="pct"/>
            <w:vAlign w:val="center"/>
          </w:tcPr>
          <w:p w14:paraId="65ED774E">
            <w:pPr>
              <w:pStyle w:val="71"/>
              <w:spacing w:before="24" w:after="24"/>
            </w:pPr>
            <w:r>
              <w:t>——</w:t>
            </w:r>
          </w:p>
        </w:tc>
        <w:tc>
          <w:tcPr>
            <w:tcW w:w="803" w:type="pct"/>
            <w:vAlign w:val="center"/>
          </w:tcPr>
          <w:p w14:paraId="6206E11F">
            <w:pPr>
              <w:pStyle w:val="71"/>
              <w:spacing w:before="24" w:after="24"/>
            </w:pPr>
            <w:r>
              <w:t>球墨铸铁</w:t>
            </w:r>
          </w:p>
        </w:tc>
        <w:tc>
          <w:tcPr>
            <w:tcW w:w="684" w:type="pct"/>
            <w:vAlign w:val="center"/>
          </w:tcPr>
          <w:p w14:paraId="3CF750C8">
            <w:pPr>
              <w:pStyle w:val="71"/>
              <w:spacing w:before="24" w:after="24"/>
            </w:pPr>
          </w:p>
        </w:tc>
      </w:tr>
      <w:tr w14:paraId="01C2A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5" w:type="pct"/>
            <w:vAlign w:val="center"/>
          </w:tcPr>
          <w:p w14:paraId="78A2191C">
            <w:pPr>
              <w:pStyle w:val="71"/>
              <w:spacing w:before="24" w:after="24"/>
            </w:pPr>
            <w:r>
              <w:t>5</w:t>
            </w:r>
          </w:p>
        </w:tc>
        <w:tc>
          <w:tcPr>
            <w:tcW w:w="713" w:type="pct"/>
            <w:vAlign w:val="center"/>
          </w:tcPr>
          <w:p w14:paraId="7DAA3025">
            <w:pPr>
              <w:pStyle w:val="71"/>
              <w:spacing w:before="24" w:after="24"/>
            </w:pPr>
            <w:r>
              <w:t>自动排气阀</w:t>
            </w:r>
          </w:p>
        </w:tc>
        <w:tc>
          <w:tcPr>
            <w:tcW w:w="1589" w:type="pct"/>
            <w:vAlign w:val="center"/>
          </w:tcPr>
          <w:p w14:paraId="0505E7B7">
            <w:pPr>
              <w:pStyle w:val="71"/>
              <w:spacing w:before="24" w:after="24"/>
              <w:jc w:val="both"/>
            </w:pPr>
            <w:r>
              <w:t>管网末端或最高点处</w:t>
            </w:r>
          </w:p>
        </w:tc>
        <w:tc>
          <w:tcPr>
            <w:tcW w:w="812" w:type="pct"/>
            <w:vAlign w:val="center"/>
          </w:tcPr>
          <w:p w14:paraId="4E971D17">
            <w:pPr>
              <w:pStyle w:val="71"/>
              <w:spacing w:before="24" w:after="24"/>
            </w:pPr>
            <w:r>
              <w:t>——</w:t>
            </w:r>
          </w:p>
        </w:tc>
        <w:tc>
          <w:tcPr>
            <w:tcW w:w="803" w:type="pct"/>
            <w:vAlign w:val="center"/>
          </w:tcPr>
          <w:p w14:paraId="1643CB62">
            <w:pPr>
              <w:pStyle w:val="71"/>
              <w:spacing w:before="24" w:after="24"/>
            </w:pPr>
            <w:r>
              <w:t>铜及铜合金</w:t>
            </w:r>
          </w:p>
        </w:tc>
        <w:tc>
          <w:tcPr>
            <w:tcW w:w="684" w:type="pct"/>
            <w:vAlign w:val="center"/>
          </w:tcPr>
          <w:p w14:paraId="41DE21C7">
            <w:pPr>
              <w:pStyle w:val="71"/>
              <w:spacing w:before="24" w:after="24"/>
            </w:pPr>
          </w:p>
        </w:tc>
      </w:tr>
      <w:tr w14:paraId="1DE1C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5" w:type="pct"/>
            <w:vAlign w:val="center"/>
          </w:tcPr>
          <w:p w14:paraId="24386B04">
            <w:pPr>
              <w:pStyle w:val="71"/>
              <w:spacing w:before="24" w:after="24"/>
            </w:pPr>
            <w:r>
              <w:t>6</w:t>
            </w:r>
          </w:p>
        </w:tc>
        <w:tc>
          <w:tcPr>
            <w:tcW w:w="713" w:type="pct"/>
            <w:vAlign w:val="center"/>
          </w:tcPr>
          <w:p w14:paraId="236E452F">
            <w:pPr>
              <w:pStyle w:val="71"/>
              <w:spacing w:before="24" w:after="24"/>
            </w:pPr>
            <w:r>
              <w:t>管道过滤器</w:t>
            </w:r>
          </w:p>
        </w:tc>
        <w:tc>
          <w:tcPr>
            <w:tcW w:w="1589" w:type="pct"/>
            <w:vAlign w:val="center"/>
          </w:tcPr>
          <w:p w14:paraId="5860E68D">
            <w:pPr>
              <w:pStyle w:val="71"/>
              <w:spacing w:before="24" w:after="24"/>
              <w:jc w:val="both"/>
            </w:pPr>
            <w:r>
              <w:t>减压阀、持压泄压阀、倒流防止器、自动水位控制阀、温度调节阀等阀件前</w:t>
            </w:r>
          </w:p>
        </w:tc>
        <w:tc>
          <w:tcPr>
            <w:tcW w:w="812" w:type="pct"/>
            <w:vAlign w:val="center"/>
          </w:tcPr>
          <w:p w14:paraId="18799E32">
            <w:pPr>
              <w:pStyle w:val="71"/>
              <w:spacing w:before="24" w:after="24"/>
            </w:pPr>
            <w:r>
              <w:t>——</w:t>
            </w:r>
          </w:p>
        </w:tc>
        <w:tc>
          <w:tcPr>
            <w:tcW w:w="803" w:type="pct"/>
            <w:vAlign w:val="center"/>
          </w:tcPr>
          <w:p w14:paraId="0CB69805">
            <w:pPr>
              <w:pStyle w:val="71"/>
              <w:spacing w:before="24" w:after="24"/>
            </w:pPr>
            <w:r>
              <w:t>球墨铸铁</w:t>
            </w:r>
          </w:p>
        </w:tc>
        <w:tc>
          <w:tcPr>
            <w:tcW w:w="684" w:type="pct"/>
            <w:vAlign w:val="center"/>
          </w:tcPr>
          <w:p w14:paraId="53F29F9A">
            <w:pPr>
              <w:pStyle w:val="71"/>
              <w:spacing w:before="24" w:after="24"/>
            </w:pPr>
          </w:p>
        </w:tc>
      </w:tr>
    </w:tbl>
    <w:p w14:paraId="78DFE2D0">
      <w:pPr>
        <w:spacing w:before="24" w:after="24"/>
        <w:ind w:firstLine="560" w:firstLineChars="200"/>
        <w:rPr>
          <w:rFonts w:ascii="Times New Roman" w:hAnsi="Times New Roman" w:cs="Times New Roman"/>
        </w:rPr>
      </w:pPr>
      <w:r>
        <w:rPr>
          <w:rFonts w:ascii="Times New Roman" w:hAnsi="Times New Roman" w:cs="Times New Roman"/>
        </w:rPr>
        <w:t>（3）水表：各单体引入管上设置水表计量，物管、网点等设置分户水表计量；管径≤DN50时采用旋翼干式水表，管径＞DN50时采用水平螺翼式水表。水表应安装在便于检修、不受暴晒、污染和冻结的地方。安装螺翼式水表，表前与阀门应有不小于8倍水表接口直径的直线管段。表外壳距墙表面净距为10～30mm；水表进水口中心标高按设计要求，允许偏差为±10mm。</w:t>
      </w:r>
    </w:p>
    <w:p w14:paraId="400D4C6F">
      <w:pPr>
        <w:spacing w:before="24" w:after="24"/>
        <w:ind w:firstLine="560" w:firstLineChars="200"/>
        <w:rPr>
          <w:rFonts w:ascii="Times New Roman" w:hAnsi="Times New Roman" w:cs="Times New Roman"/>
        </w:rPr>
      </w:pPr>
      <w:r>
        <w:rPr>
          <w:rFonts w:ascii="Times New Roman" w:hAnsi="Times New Roman" w:cs="Times New Roman"/>
        </w:rPr>
        <w:t>（4）支吊架：</w:t>
      </w:r>
    </w:p>
    <w:p w14:paraId="593A165D">
      <w:pPr>
        <w:spacing w:before="24" w:after="24"/>
        <w:ind w:firstLine="560" w:firstLineChars="200"/>
        <w:rPr>
          <w:rFonts w:ascii="Times New Roman" w:hAnsi="Times New Roman" w:cs="Times New Roman"/>
        </w:rPr>
      </w:pPr>
      <w:r>
        <w:rPr>
          <w:rFonts w:ascii="Times New Roman" w:hAnsi="Times New Roman" w:cs="Times New Roman"/>
        </w:rPr>
        <w:t>1）衬塑钢管支、吊架安装间距</w:t>
      </w:r>
    </w:p>
    <w:p w14:paraId="2478D809">
      <w:pPr>
        <w:spacing w:before="24" w:after="24"/>
        <w:ind w:firstLine="560" w:firstLineChars="200"/>
        <w:rPr>
          <w:rFonts w:ascii="Times New Roman" w:hAnsi="Times New Roman" w:cs="Times New Roman"/>
        </w:rPr>
      </w:pPr>
      <w:r>
        <w:rPr>
          <w:rFonts w:ascii="Times New Roman" w:hAnsi="Times New Roman" w:cs="Times New Roman"/>
        </w:rPr>
        <w:t>a、横管支、吊架最大间距：</w:t>
      </w:r>
    </w:p>
    <w:tbl>
      <w:tblPr>
        <w:tblStyle w:val="31"/>
        <w:tblW w:w="499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3"/>
        <w:gridCol w:w="748"/>
        <w:gridCol w:w="540"/>
        <w:gridCol w:w="540"/>
        <w:gridCol w:w="540"/>
        <w:gridCol w:w="540"/>
        <w:gridCol w:w="540"/>
        <w:gridCol w:w="492"/>
        <w:gridCol w:w="494"/>
        <w:gridCol w:w="494"/>
        <w:gridCol w:w="577"/>
        <w:gridCol w:w="577"/>
        <w:gridCol w:w="577"/>
        <w:gridCol w:w="577"/>
        <w:gridCol w:w="577"/>
        <w:gridCol w:w="577"/>
      </w:tblGrid>
      <w:tr w14:paraId="0C3C6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trPr>
        <w:tc>
          <w:tcPr>
            <w:tcW w:w="847" w:type="pct"/>
            <w:gridSpan w:val="2"/>
            <w:tcBorders>
              <w:top w:val="single" w:color="000000" w:sz="4" w:space="0"/>
              <w:left w:val="single" w:color="000000" w:sz="4" w:space="0"/>
              <w:bottom w:val="single" w:color="000000" w:sz="4" w:space="0"/>
              <w:right w:val="single" w:color="000000" w:sz="4" w:space="0"/>
            </w:tcBorders>
            <w:vAlign w:val="center"/>
          </w:tcPr>
          <w:p w14:paraId="4B049A79">
            <w:pPr>
              <w:pStyle w:val="71"/>
              <w:spacing w:before="24" w:after="24"/>
            </w:pPr>
            <w:r>
              <w:t>公称直径（mm）</w:t>
            </w:r>
          </w:p>
        </w:tc>
        <w:tc>
          <w:tcPr>
            <w:tcW w:w="301" w:type="pct"/>
            <w:tcBorders>
              <w:top w:val="single" w:color="000000" w:sz="4" w:space="0"/>
              <w:left w:val="single" w:color="000000" w:sz="4" w:space="0"/>
              <w:bottom w:val="single" w:color="000000" w:sz="4" w:space="0"/>
              <w:right w:val="single" w:color="000000" w:sz="4" w:space="0"/>
            </w:tcBorders>
            <w:vAlign w:val="center"/>
          </w:tcPr>
          <w:p w14:paraId="0AA6FF8F">
            <w:pPr>
              <w:pStyle w:val="71"/>
              <w:spacing w:before="24" w:after="24"/>
            </w:pPr>
            <w:r>
              <w:t>15</w:t>
            </w:r>
          </w:p>
        </w:tc>
        <w:tc>
          <w:tcPr>
            <w:tcW w:w="301" w:type="pct"/>
            <w:tcBorders>
              <w:top w:val="single" w:color="000000" w:sz="4" w:space="0"/>
              <w:left w:val="single" w:color="000000" w:sz="4" w:space="0"/>
              <w:bottom w:val="single" w:color="000000" w:sz="4" w:space="0"/>
              <w:right w:val="single" w:color="000000" w:sz="4" w:space="0"/>
            </w:tcBorders>
            <w:vAlign w:val="center"/>
          </w:tcPr>
          <w:p w14:paraId="43A6BE22">
            <w:pPr>
              <w:pStyle w:val="71"/>
              <w:spacing w:before="24" w:after="24"/>
            </w:pPr>
            <w:r>
              <w:t>20</w:t>
            </w:r>
          </w:p>
        </w:tc>
        <w:tc>
          <w:tcPr>
            <w:tcW w:w="301" w:type="pct"/>
            <w:tcBorders>
              <w:top w:val="single" w:color="000000" w:sz="4" w:space="0"/>
              <w:left w:val="single" w:color="000000" w:sz="4" w:space="0"/>
              <w:bottom w:val="single" w:color="000000" w:sz="4" w:space="0"/>
              <w:right w:val="single" w:color="000000" w:sz="4" w:space="0"/>
            </w:tcBorders>
            <w:vAlign w:val="center"/>
          </w:tcPr>
          <w:p w14:paraId="6ED8E621">
            <w:pPr>
              <w:pStyle w:val="71"/>
              <w:spacing w:before="24" w:after="24"/>
            </w:pPr>
            <w:r>
              <w:t>25</w:t>
            </w:r>
          </w:p>
        </w:tc>
        <w:tc>
          <w:tcPr>
            <w:tcW w:w="301" w:type="pct"/>
            <w:tcBorders>
              <w:top w:val="single" w:color="000000" w:sz="4" w:space="0"/>
              <w:left w:val="single" w:color="000000" w:sz="4" w:space="0"/>
              <w:bottom w:val="single" w:color="000000" w:sz="4" w:space="0"/>
              <w:right w:val="single" w:color="000000" w:sz="4" w:space="0"/>
            </w:tcBorders>
            <w:vAlign w:val="center"/>
          </w:tcPr>
          <w:p w14:paraId="120180A5">
            <w:pPr>
              <w:pStyle w:val="71"/>
              <w:spacing w:before="24" w:after="24"/>
            </w:pPr>
            <w:r>
              <w:t>32</w:t>
            </w:r>
          </w:p>
        </w:tc>
        <w:tc>
          <w:tcPr>
            <w:tcW w:w="301" w:type="pct"/>
            <w:tcBorders>
              <w:top w:val="single" w:color="000000" w:sz="4" w:space="0"/>
              <w:left w:val="single" w:color="000000" w:sz="4" w:space="0"/>
              <w:bottom w:val="single" w:color="000000" w:sz="4" w:space="0"/>
              <w:right w:val="single" w:color="000000" w:sz="4" w:space="0"/>
            </w:tcBorders>
            <w:vAlign w:val="center"/>
          </w:tcPr>
          <w:p w14:paraId="5EB0E8C5">
            <w:pPr>
              <w:pStyle w:val="71"/>
              <w:spacing w:before="24" w:after="24"/>
            </w:pPr>
            <w:r>
              <w:t>40</w:t>
            </w:r>
          </w:p>
        </w:tc>
        <w:tc>
          <w:tcPr>
            <w:tcW w:w="275" w:type="pct"/>
            <w:tcBorders>
              <w:top w:val="single" w:color="000000" w:sz="4" w:space="0"/>
              <w:left w:val="single" w:color="000000" w:sz="4" w:space="0"/>
              <w:bottom w:val="single" w:color="000000" w:sz="4" w:space="0"/>
              <w:right w:val="single" w:color="000000" w:sz="4" w:space="0"/>
            </w:tcBorders>
            <w:vAlign w:val="center"/>
          </w:tcPr>
          <w:p w14:paraId="43DEBB90">
            <w:pPr>
              <w:pStyle w:val="71"/>
              <w:spacing w:before="24" w:after="24"/>
            </w:pPr>
            <w:r>
              <w:t>50</w:t>
            </w:r>
          </w:p>
        </w:tc>
        <w:tc>
          <w:tcPr>
            <w:tcW w:w="276" w:type="pct"/>
            <w:tcBorders>
              <w:top w:val="single" w:color="000000" w:sz="4" w:space="0"/>
              <w:left w:val="single" w:color="000000" w:sz="4" w:space="0"/>
              <w:bottom w:val="single" w:color="000000" w:sz="4" w:space="0"/>
              <w:right w:val="single" w:color="000000" w:sz="4" w:space="0"/>
            </w:tcBorders>
            <w:vAlign w:val="center"/>
          </w:tcPr>
          <w:p w14:paraId="52CE4FAA">
            <w:pPr>
              <w:pStyle w:val="71"/>
              <w:spacing w:before="24" w:after="24"/>
            </w:pPr>
            <w:r>
              <w:t>70</w:t>
            </w:r>
          </w:p>
        </w:tc>
        <w:tc>
          <w:tcPr>
            <w:tcW w:w="276" w:type="pct"/>
            <w:tcBorders>
              <w:top w:val="single" w:color="000000" w:sz="4" w:space="0"/>
              <w:left w:val="single" w:color="000000" w:sz="4" w:space="0"/>
              <w:bottom w:val="single" w:color="000000" w:sz="4" w:space="0"/>
              <w:right w:val="single" w:color="000000" w:sz="4" w:space="0"/>
            </w:tcBorders>
            <w:vAlign w:val="center"/>
          </w:tcPr>
          <w:p w14:paraId="4FD30A1E">
            <w:pPr>
              <w:pStyle w:val="71"/>
              <w:spacing w:before="24" w:after="24"/>
            </w:pPr>
            <w:r>
              <w:t>80</w:t>
            </w:r>
          </w:p>
        </w:tc>
        <w:tc>
          <w:tcPr>
            <w:tcW w:w="302" w:type="pct"/>
            <w:tcBorders>
              <w:top w:val="single" w:color="000000" w:sz="4" w:space="0"/>
              <w:left w:val="single" w:color="000000" w:sz="4" w:space="0"/>
              <w:bottom w:val="single" w:color="000000" w:sz="4" w:space="0"/>
              <w:right w:val="single" w:color="000000" w:sz="4" w:space="0"/>
            </w:tcBorders>
            <w:vAlign w:val="center"/>
          </w:tcPr>
          <w:p w14:paraId="6E38072C">
            <w:pPr>
              <w:pStyle w:val="71"/>
              <w:spacing w:before="24" w:after="24"/>
            </w:pPr>
            <w:r>
              <w:t>100</w:t>
            </w:r>
          </w:p>
        </w:tc>
        <w:tc>
          <w:tcPr>
            <w:tcW w:w="302" w:type="pct"/>
            <w:tcBorders>
              <w:top w:val="single" w:color="000000" w:sz="4" w:space="0"/>
              <w:left w:val="single" w:color="000000" w:sz="4" w:space="0"/>
              <w:bottom w:val="single" w:color="000000" w:sz="4" w:space="0"/>
              <w:right w:val="single" w:color="000000" w:sz="4" w:space="0"/>
            </w:tcBorders>
            <w:vAlign w:val="center"/>
          </w:tcPr>
          <w:p w14:paraId="767820DC">
            <w:pPr>
              <w:pStyle w:val="71"/>
              <w:spacing w:before="24" w:after="24"/>
            </w:pPr>
            <w:r>
              <w:t>125</w:t>
            </w:r>
          </w:p>
        </w:tc>
        <w:tc>
          <w:tcPr>
            <w:tcW w:w="302" w:type="pct"/>
            <w:tcBorders>
              <w:top w:val="single" w:color="000000" w:sz="4" w:space="0"/>
              <w:left w:val="single" w:color="000000" w:sz="4" w:space="0"/>
              <w:bottom w:val="single" w:color="000000" w:sz="4" w:space="0"/>
              <w:right w:val="single" w:color="000000" w:sz="4" w:space="0"/>
            </w:tcBorders>
            <w:vAlign w:val="center"/>
          </w:tcPr>
          <w:p w14:paraId="79919E1E">
            <w:pPr>
              <w:pStyle w:val="71"/>
              <w:spacing w:before="24" w:after="24"/>
            </w:pPr>
            <w:r>
              <w:t>150</w:t>
            </w:r>
          </w:p>
        </w:tc>
        <w:tc>
          <w:tcPr>
            <w:tcW w:w="302" w:type="pct"/>
            <w:tcBorders>
              <w:top w:val="single" w:color="000000" w:sz="4" w:space="0"/>
              <w:left w:val="single" w:color="000000" w:sz="4" w:space="0"/>
              <w:bottom w:val="single" w:color="000000" w:sz="4" w:space="0"/>
              <w:right w:val="single" w:color="000000" w:sz="4" w:space="0"/>
            </w:tcBorders>
            <w:vAlign w:val="center"/>
          </w:tcPr>
          <w:p w14:paraId="626BCB06">
            <w:pPr>
              <w:pStyle w:val="71"/>
              <w:spacing w:before="24" w:after="24"/>
            </w:pPr>
            <w:r>
              <w:t>200</w:t>
            </w:r>
          </w:p>
        </w:tc>
        <w:tc>
          <w:tcPr>
            <w:tcW w:w="302" w:type="pct"/>
            <w:tcBorders>
              <w:top w:val="single" w:color="000000" w:sz="4" w:space="0"/>
              <w:left w:val="single" w:color="000000" w:sz="4" w:space="0"/>
              <w:bottom w:val="single" w:color="000000" w:sz="4" w:space="0"/>
              <w:right w:val="single" w:color="000000" w:sz="4" w:space="0"/>
            </w:tcBorders>
            <w:vAlign w:val="center"/>
          </w:tcPr>
          <w:p w14:paraId="5C589532">
            <w:pPr>
              <w:pStyle w:val="71"/>
              <w:spacing w:before="24" w:after="24"/>
            </w:pPr>
            <w:r>
              <w:t>250</w:t>
            </w:r>
          </w:p>
        </w:tc>
        <w:tc>
          <w:tcPr>
            <w:tcW w:w="302" w:type="pct"/>
            <w:tcBorders>
              <w:top w:val="single" w:color="000000" w:sz="4" w:space="0"/>
              <w:left w:val="single" w:color="000000" w:sz="4" w:space="0"/>
              <w:bottom w:val="single" w:color="000000" w:sz="4" w:space="0"/>
              <w:right w:val="single" w:color="000000" w:sz="4" w:space="0"/>
            </w:tcBorders>
            <w:vAlign w:val="center"/>
          </w:tcPr>
          <w:p w14:paraId="4D608E35">
            <w:pPr>
              <w:pStyle w:val="71"/>
              <w:spacing w:before="24" w:after="24"/>
            </w:pPr>
            <w:r>
              <w:t>300</w:t>
            </w:r>
          </w:p>
        </w:tc>
      </w:tr>
      <w:tr w14:paraId="530D3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0" w:hRule="atLeast"/>
        </w:trPr>
        <w:tc>
          <w:tcPr>
            <w:tcW w:w="434" w:type="pct"/>
            <w:vMerge w:val="restart"/>
            <w:tcBorders>
              <w:top w:val="nil"/>
              <w:left w:val="single" w:color="000000" w:sz="4" w:space="0"/>
              <w:bottom w:val="single" w:color="000000" w:sz="4" w:space="0"/>
              <w:right w:val="single" w:color="000000" w:sz="4" w:space="0"/>
            </w:tcBorders>
            <w:vAlign w:val="center"/>
          </w:tcPr>
          <w:p w14:paraId="047F5AB8">
            <w:pPr>
              <w:pStyle w:val="71"/>
              <w:spacing w:before="24" w:after="24"/>
            </w:pPr>
            <w:r>
              <w:t>支架的最大间距（m）</w:t>
            </w:r>
          </w:p>
        </w:tc>
        <w:tc>
          <w:tcPr>
            <w:tcW w:w="412" w:type="pct"/>
            <w:tcBorders>
              <w:top w:val="single" w:color="000000" w:sz="4" w:space="0"/>
              <w:left w:val="single" w:color="000000" w:sz="4" w:space="0"/>
              <w:bottom w:val="single" w:color="000000" w:sz="4" w:space="0"/>
              <w:right w:val="single" w:color="000000" w:sz="4" w:space="0"/>
            </w:tcBorders>
            <w:vAlign w:val="center"/>
          </w:tcPr>
          <w:p w14:paraId="24C80A01">
            <w:pPr>
              <w:pStyle w:val="71"/>
              <w:spacing w:before="24" w:after="24"/>
            </w:pPr>
            <w:r>
              <w:t>保温管</w:t>
            </w:r>
          </w:p>
        </w:tc>
        <w:tc>
          <w:tcPr>
            <w:tcW w:w="301" w:type="pct"/>
            <w:tcBorders>
              <w:top w:val="single" w:color="000000" w:sz="4" w:space="0"/>
              <w:left w:val="single" w:color="000000" w:sz="4" w:space="0"/>
              <w:bottom w:val="single" w:color="000000" w:sz="4" w:space="0"/>
              <w:right w:val="single" w:color="000000" w:sz="4" w:space="0"/>
            </w:tcBorders>
            <w:vAlign w:val="center"/>
          </w:tcPr>
          <w:p w14:paraId="293494F1">
            <w:pPr>
              <w:pStyle w:val="71"/>
              <w:spacing w:before="24" w:after="24"/>
            </w:pPr>
            <w:r>
              <w:t>2</w:t>
            </w:r>
          </w:p>
        </w:tc>
        <w:tc>
          <w:tcPr>
            <w:tcW w:w="301" w:type="pct"/>
            <w:tcBorders>
              <w:top w:val="single" w:color="000000" w:sz="4" w:space="0"/>
              <w:left w:val="single" w:color="000000" w:sz="4" w:space="0"/>
              <w:bottom w:val="single" w:color="000000" w:sz="4" w:space="0"/>
              <w:right w:val="single" w:color="000000" w:sz="4" w:space="0"/>
            </w:tcBorders>
            <w:vAlign w:val="center"/>
          </w:tcPr>
          <w:p w14:paraId="6142AD74">
            <w:pPr>
              <w:pStyle w:val="71"/>
              <w:spacing w:before="24" w:after="24"/>
            </w:pPr>
            <w:r>
              <w:t>2.5</w:t>
            </w:r>
          </w:p>
        </w:tc>
        <w:tc>
          <w:tcPr>
            <w:tcW w:w="301" w:type="pct"/>
            <w:tcBorders>
              <w:top w:val="single" w:color="000000" w:sz="4" w:space="0"/>
              <w:left w:val="single" w:color="000000" w:sz="4" w:space="0"/>
              <w:bottom w:val="single" w:color="000000" w:sz="4" w:space="0"/>
              <w:right w:val="single" w:color="000000" w:sz="4" w:space="0"/>
            </w:tcBorders>
            <w:vAlign w:val="center"/>
          </w:tcPr>
          <w:p w14:paraId="5605150E">
            <w:pPr>
              <w:pStyle w:val="71"/>
              <w:spacing w:before="24" w:after="24"/>
            </w:pPr>
            <w:r>
              <w:t>2.5</w:t>
            </w:r>
          </w:p>
        </w:tc>
        <w:tc>
          <w:tcPr>
            <w:tcW w:w="301" w:type="pct"/>
            <w:tcBorders>
              <w:top w:val="single" w:color="000000" w:sz="4" w:space="0"/>
              <w:left w:val="single" w:color="000000" w:sz="4" w:space="0"/>
              <w:bottom w:val="single" w:color="000000" w:sz="4" w:space="0"/>
              <w:right w:val="single" w:color="000000" w:sz="4" w:space="0"/>
            </w:tcBorders>
            <w:vAlign w:val="center"/>
          </w:tcPr>
          <w:p w14:paraId="1C0592BB">
            <w:pPr>
              <w:pStyle w:val="71"/>
              <w:spacing w:before="24" w:after="24"/>
            </w:pPr>
            <w:r>
              <w:t>2.5</w:t>
            </w:r>
          </w:p>
        </w:tc>
        <w:tc>
          <w:tcPr>
            <w:tcW w:w="301" w:type="pct"/>
            <w:tcBorders>
              <w:top w:val="single" w:color="000000" w:sz="4" w:space="0"/>
              <w:left w:val="single" w:color="000000" w:sz="4" w:space="0"/>
              <w:bottom w:val="single" w:color="000000" w:sz="4" w:space="0"/>
              <w:right w:val="single" w:color="000000" w:sz="4" w:space="0"/>
            </w:tcBorders>
            <w:vAlign w:val="center"/>
          </w:tcPr>
          <w:p w14:paraId="1CDABED7">
            <w:pPr>
              <w:pStyle w:val="71"/>
              <w:spacing w:before="24" w:after="24"/>
            </w:pPr>
            <w:r>
              <w:t>3</w:t>
            </w:r>
          </w:p>
        </w:tc>
        <w:tc>
          <w:tcPr>
            <w:tcW w:w="275" w:type="pct"/>
            <w:tcBorders>
              <w:top w:val="single" w:color="000000" w:sz="4" w:space="0"/>
              <w:left w:val="single" w:color="000000" w:sz="4" w:space="0"/>
              <w:bottom w:val="single" w:color="000000" w:sz="4" w:space="0"/>
              <w:right w:val="single" w:color="000000" w:sz="4" w:space="0"/>
            </w:tcBorders>
            <w:vAlign w:val="center"/>
          </w:tcPr>
          <w:p w14:paraId="0ED80CB5">
            <w:pPr>
              <w:pStyle w:val="71"/>
              <w:spacing w:before="24" w:after="24"/>
            </w:pPr>
            <w:r>
              <w:t>3</w:t>
            </w:r>
          </w:p>
        </w:tc>
        <w:tc>
          <w:tcPr>
            <w:tcW w:w="276" w:type="pct"/>
            <w:tcBorders>
              <w:top w:val="single" w:color="000000" w:sz="4" w:space="0"/>
              <w:left w:val="single" w:color="000000" w:sz="4" w:space="0"/>
              <w:bottom w:val="single" w:color="000000" w:sz="4" w:space="0"/>
              <w:right w:val="single" w:color="000000" w:sz="4" w:space="0"/>
            </w:tcBorders>
            <w:vAlign w:val="center"/>
          </w:tcPr>
          <w:p w14:paraId="116C43FD">
            <w:pPr>
              <w:pStyle w:val="71"/>
              <w:spacing w:before="24" w:after="24"/>
            </w:pPr>
            <w:r>
              <w:t>4</w:t>
            </w:r>
          </w:p>
        </w:tc>
        <w:tc>
          <w:tcPr>
            <w:tcW w:w="276" w:type="pct"/>
            <w:tcBorders>
              <w:top w:val="single" w:color="000000" w:sz="4" w:space="0"/>
              <w:left w:val="single" w:color="000000" w:sz="4" w:space="0"/>
              <w:bottom w:val="single" w:color="000000" w:sz="4" w:space="0"/>
              <w:right w:val="single" w:color="000000" w:sz="4" w:space="0"/>
            </w:tcBorders>
            <w:vAlign w:val="center"/>
          </w:tcPr>
          <w:p w14:paraId="0178F849">
            <w:pPr>
              <w:pStyle w:val="71"/>
              <w:spacing w:before="24" w:after="24"/>
            </w:pPr>
            <w:r>
              <w:t>4</w:t>
            </w:r>
          </w:p>
        </w:tc>
        <w:tc>
          <w:tcPr>
            <w:tcW w:w="302" w:type="pct"/>
            <w:tcBorders>
              <w:top w:val="single" w:color="000000" w:sz="4" w:space="0"/>
              <w:left w:val="single" w:color="000000" w:sz="4" w:space="0"/>
              <w:bottom w:val="single" w:color="000000" w:sz="4" w:space="0"/>
              <w:right w:val="single" w:color="000000" w:sz="4" w:space="0"/>
            </w:tcBorders>
            <w:vAlign w:val="center"/>
          </w:tcPr>
          <w:p w14:paraId="18D9C4EA">
            <w:pPr>
              <w:pStyle w:val="71"/>
              <w:spacing w:before="24" w:after="24"/>
            </w:pPr>
            <w:r>
              <w:t>4.5</w:t>
            </w:r>
          </w:p>
        </w:tc>
        <w:tc>
          <w:tcPr>
            <w:tcW w:w="302" w:type="pct"/>
            <w:tcBorders>
              <w:top w:val="single" w:color="000000" w:sz="4" w:space="0"/>
              <w:left w:val="single" w:color="000000" w:sz="4" w:space="0"/>
              <w:bottom w:val="single" w:color="000000" w:sz="4" w:space="0"/>
              <w:right w:val="single" w:color="000000" w:sz="4" w:space="0"/>
            </w:tcBorders>
            <w:vAlign w:val="center"/>
          </w:tcPr>
          <w:p w14:paraId="756407EB">
            <w:pPr>
              <w:pStyle w:val="71"/>
              <w:spacing w:before="24" w:after="24"/>
            </w:pPr>
            <w:r>
              <w:t>6</w:t>
            </w:r>
          </w:p>
        </w:tc>
        <w:tc>
          <w:tcPr>
            <w:tcW w:w="302" w:type="pct"/>
            <w:tcBorders>
              <w:top w:val="single" w:color="000000" w:sz="4" w:space="0"/>
              <w:left w:val="single" w:color="000000" w:sz="4" w:space="0"/>
              <w:bottom w:val="single" w:color="000000" w:sz="4" w:space="0"/>
              <w:right w:val="single" w:color="000000" w:sz="4" w:space="0"/>
            </w:tcBorders>
            <w:vAlign w:val="center"/>
          </w:tcPr>
          <w:p w14:paraId="1990AF95">
            <w:pPr>
              <w:pStyle w:val="71"/>
              <w:spacing w:before="24" w:after="24"/>
            </w:pPr>
            <w:r>
              <w:t>7</w:t>
            </w:r>
          </w:p>
        </w:tc>
        <w:tc>
          <w:tcPr>
            <w:tcW w:w="302" w:type="pct"/>
            <w:tcBorders>
              <w:top w:val="single" w:color="000000" w:sz="4" w:space="0"/>
              <w:left w:val="single" w:color="000000" w:sz="4" w:space="0"/>
              <w:bottom w:val="single" w:color="000000" w:sz="4" w:space="0"/>
              <w:right w:val="single" w:color="000000" w:sz="4" w:space="0"/>
            </w:tcBorders>
            <w:vAlign w:val="center"/>
          </w:tcPr>
          <w:p w14:paraId="5EACA3E5">
            <w:pPr>
              <w:pStyle w:val="71"/>
              <w:spacing w:before="24" w:after="24"/>
            </w:pPr>
            <w:r>
              <w:t>7</w:t>
            </w:r>
          </w:p>
        </w:tc>
        <w:tc>
          <w:tcPr>
            <w:tcW w:w="302" w:type="pct"/>
            <w:tcBorders>
              <w:top w:val="single" w:color="000000" w:sz="4" w:space="0"/>
              <w:left w:val="single" w:color="000000" w:sz="4" w:space="0"/>
              <w:bottom w:val="single" w:color="000000" w:sz="4" w:space="0"/>
              <w:right w:val="single" w:color="000000" w:sz="4" w:space="0"/>
            </w:tcBorders>
            <w:vAlign w:val="center"/>
          </w:tcPr>
          <w:p w14:paraId="20186DF2">
            <w:pPr>
              <w:pStyle w:val="71"/>
              <w:spacing w:before="24" w:after="24"/>
            </w:pPr>
            <w:r>
              <w:t>8</w:t>
            </w:r>
          </w:p>
        </w:tc>
        <w:tc>
          <w:tcPr>
            <w:tcW w:w="302" w:type="pct"/>
            <w:tcBorders>
              <w:top w:val="single" w:color="000000" w:sz="4" w:space="0"/>
              <w:left w:val="single" w:color="000000" w:sz="4" w:space="0"/>
              <w:bottom w:val="single" w:color="000000" w:sz="4" w:space="0"/>
              <w:right w:val="single" w:color="000000" w:sz="4" w:space="0"/>
            </w:tcBorders>
            <w:vAlign w:val="center"/>
          </w:tcPr>
          <w:p w14:paraId="643EAA03">
            <w:pPr>
              <w:pStyle w:val="71"/>
              <w:spacing w:before="24" w:after="24"/>
            </w:pPr>
            <w:r>
              <w:t>8.5</w:t>
            </w:r>
          </w:p>
        </w:tc>
      </w:tr>
      <w:tr w14:paraId="140958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434" w:type="pct"/>
            <w:vMerge w:val="continue"/>
            <w:tcBorders>
              <w:top w:val="nil"/>
              <w:left w:val="single" w:color="000000" w:sz="4" w:space="0"/>
              <w:bottom w:val="single" w:color="000000" w:sz="4" w:space="0"/>
              <w:right w:val="single" w:color="000000" w:sz="4" w:space="0"/>
            </w:tcBorders>
            <w:vAlign w:val="center"/>
          </w:tcPr>
          <w:p w14:paraId="3C3B35FF">
            <w:pPr>
              <w:pStyle w:val="71"/>
              <w:spacing w:before="24" w:after="24"/>
            </w:pPr>
          </w:p>
        </w:tc>
        <w:tc>
          <w:tcPr>
            <w:tcW w:w="412" w:type="pct"/>
            <w:tcBorders>
              <w:top w:val="single" w:color="000000" w:sz="4" w:space="0"/>
              <w:left w:val="single" w:color="000000" w:sz="4" w:space="0"/>
              <w:bottom w:val="single" w:color="000000" w:sz="4" w:space="0"/>
              <w:right w:val="single" w:color="000000" w:sz="4" w:space="0"/>
            </w:tcBorders>
            <w:vAlign w:val="center"/>
          </w:tcPr>
          <w:p w14:paraId="469352E6">
            <w:pPr>
              <w:pStyle w:val="71"/>
              <w:spacing w:before="24" w:after="24"/>
            </w:pPr>
            <w:r>
              <w:t>不保温管</w:t>
            </w:r>
          </w:p>
        </w:tc>
        <w:tc>
          <w:tcPr>
            <w:tcW w:w="301" w:type="pct"/>
            <w:tcBorders>
              <w:top w:val="single" w:color="000000" w:sz="4" w:space="0"/>
              <w:left w:val="single" w:color="000000" w:sz="4" w:space="0"/>
              <w:bottom w:val="single" w:color="000000" w:sz="4" w:space="0"/>
              <w:right w:val="single" w:color="000000" w:sz="4" w:space="0"/>
            </w:tcBorders>
            <w:vAlign w:val="center"/>
          </w:tcPr>
          <w:p w14:paraId="1CE0248A">
            <w:pPr>
              <w:pStyle w:val="71"/>
              <w:spacing w:before="24" w:after="24"/>
            </w:pPr>
            <w:r>
              <w:t>2.5</w:t>
            </w:r>
          </w:p>
        </w:tc>
        <w:tc>
          <w:tcPr>
            <w:tcW w:w="301" w:type="pct"/>
            <w:tcBorders>
              <w:top w:val="single" w:color="000000" w:sz="4" w:space="0"/>
              <w:left w:val="single" w:color="000000" w:sz="4" w:space="0"/>
              <w:bottom w:val="single" w:color="000000" w:sz="4" w:space="0"/>
              <w:right w:val="single" w:color="000000" w:sz="4" w:space="0"/>
            </w:tcBorders>
            <w:vAlign w:val="center"/>
          </w:tcPr>
          <w:p w14:paraId="5DE67396">
            <w:pPr>
              <w:pStyle w:val="71"/>
              <w:spacing w:before="24" w:after="24"/>
            </w:pPr>
            <w:r>
              <w:t>3</w:t>
            </w:r>
          </w:p>
        </w:tc>
        <w:tc>
          <w:tcPr>
            <w:tcW w:w="301" w:type="pct"/>
            <w:tcBorders>
              <w:top w:val="single" w:color="000000" w:sz="4" w:space="0"/>
              <w:left w:val="single" w:color="000000" w:sz="4" w:space="0"/>
              <w:bottom w:val="single" w:color="000000" w:sz="4" w:space="0"/>
              <w:right w:val="single" w:color="000000" w:sz="4" w:space="0"/>
            </w:tcBorders>
            <w:vAlign w:val="center"/>
          </w:tcPr>
          <w:p w14:paraId="6CED16D5">
            <w:pPr>
              <w:pStyle w:val="71"/>
              <w:spacing w:before="24" w:after="24"/>
            </w:pPr>
            <w:r>
              <w:t>3.5</w:t>
            </w:r>
          </w:p>
        </w:tc>
        <w:tc>
          <w:tcPr>
            <w:tcW w:w="301" w:type="pct"/>
            <w:tcBorders>
              <w:top w:val="single" w:color="000000" w:sz="4" w:space="0"/>
              <w:left w:val="single" w:color="000000" w:sz="4" w:space="0"/>
              <w:bottom w:val="single" w:color="000000" w:sz="4" w:space="0"/>
              <w:right w:val="single" w:color="000000" w:sz="4" w:space="0"/>
            </w:tcBorders>
            <w:vAlign w:val="center"/>
          </w:tcPr>
          <w:p w14:paraId="5E91E54F">
            <w:pPr>
              <w:pStyle w:val="71"/>
              <w:spacing w:before="24" w:after="24"/>
            </w:pPr>
            <w:r>
              <w:t>4</w:t>
            </w:r>
          </w:p>
        </w:tc>
        <w:tc>
          <w:tcPr>
            <w:tcW w:w="301" w:type="pct"/>
            <w:tcBorders>
              <w:top w:val="single" w:color="000000" w:sz="4" w:space="0"/>
              <w:left w:val="single" w:color="000000" w:sz="4" w:space="0"/>
              <w:bottom w:val="single" w:color="000000" w:sz="4" w:space="0"/>
              <w:right w:val="single" w:color="000000" w:sz="4" w:space="0"/>
            </w:tcBorders>
            <w:vAlign w:val="center"/>
          </w:tcPr>
          <w:p w14:paraId="1E16F253">
            <w:pPr>
              <w:pStyle w:val="71"/>
              <w:spacing w:before="24" w:after="24"/>
            </w:pPr>
            <w:r>
              <w:t>4.5</w:t>
            </w:r>
          </w:p>
        </w:tc>
        <w:tc>
          <w:tcPr>
            <w:tcW w:w="275" w:type="pct"/>
            <w:tcBorders>
              <w:top w:val="single" w:color="000000" w:sz="4" w:space="0"/>
              <w:left w:val="single" w:color="000000" w:sz="4" w:space="0"/>
              <w:bottom w:val="single" w:color="000000" w:sz="4" w:space="0"/>
              <w:right w:val="single" w:color="000000" w:sz="4" w:space="0"/>
            </w:tcBorders>
            <w:vAlign w:val="center"/>
          </w:tcPr>
          <w:p w14:paraId="715B1FD5">
            <w:pPr>
              <w:pStyle w:val="71"/>
              <w:spacing w:before="24" w:after="24"/>
            </w:pPr>
            <w:r>
              <w:t>5</w:t>
            </w:r>
          </w:p>
        </w:tc>
        <w:tc>
          <w:tcPr>
            <w:tcW w:w="276" w:type="pct"/>
            <w:tcBorders>
              <w:top w:val="single" w:color="000000" w:sz="4" w:space="0"/>
              <w:left w:val="single" w:color="000000" w:sz="4" w:space="0"/>
              <w:bottom w:val="single" w:color="000000" w:sz="4" w:space="0"/>
              <w:right w:val="single" w:color="000000" w:sz="4" w:space="0"/>
            </w:tcBorders>
            <w:vAlign w:val="center"/>
          </w:tcPr>
          <w:p w14:paraId="4FE12BBC">
            <w:pPr>
              <w:pStyle w:val="71"/>
              <w:spacing w:before="24" w:after="24"/>
            </w:pPr>
            <w:r>
              <w:t>6</w:t>
            </w:r>
          </w:p>
        </w:tc>
        <w:tc>
          <w:tcPr>
            <w:tcW w:w="276" w:type="pct"/>
            <w:tcBorders>
              <w:top w:val="single" w:color="000000" w:sz="4" w:space="0"/>
              <w:left w:val="single" w:color="000000" w:sz="4" w:space="0"/>
              <w:bottom w:val="single" w:color="000000" w:sz="4" w:space="0"/>
              <w:right w:val="single" w:color="000000" w:sz="4" w:space="0"/>
            </w:tcBorders>
            <w:vAlign w:val="center"/>
          </w:tcPr>
          <w:p w14:paraId="0C57A0CB">
            <w:pPr>
              <w:pStyle w:val="71"/>
              <w:spacing w:before="24" w:after="24"/>
            </w:pPr>
            <w:r>
              <w:t>6</w:t>
            </w:r>
          </w:p>
        </w:tc>
        <w:tc>
          <w:tcPr>
            <w:tcW w:w="302" w:type="pct"/>
            <w:tcBorders>
              <w:top w:val="single" w:color="000000" w:sz="4" w:space="0"/>
              <w:left w:val="single" w:color="000000" w:sz="4" w:space="0"/>
              <w:bottom w:val="single" w:color="000000" w:sz="4" w:space="0"/>
              <w:right w:val="single" w:color="000000" w:sz="4" w:space="0"/>
            </w:tcBorders>
            <w:vAlign w:val="center"/>
          </w:tcPr>
          <w:p w14:paraId="18C048E4">
            <w:pPr>
              <w:pStyle w:val="71"/>
              <w:spacing w:before="24" w:after="24"/>
            </w:pPr>
            <w:r>
              <w:t>6.5</w:t>
            </w:r>
          </w:p>
        </w:tc>
        <w:tc>
          <w:tcPr>
            <w:tcW w:w="302" w:type="pct"/>
            <w:tcBorders>
              <w:top w:val="single" w:color="000000" w:sz="4" w:space="0"/>
              <w:left w:val="single" w:color="000000" w:sz="4" w:space="0"/>
              <w:bottom w:val="single" w:color="000000" w:sz="4" w:space="0"/>
              <w:right w:val="single" w:color="000000" w:sz="4" w:space="0"/>
            </w:tcBorders>
            <w:vAlign w:val="center"/>
          </w:tcPr>
          <w:p w14:paraId="23B90EB3">
            <w:pPr>
              <w:pStyle w:val="71"/>
              <w:spacing w:before="24" w:after="24"/>
            </w:pPr>
            <w:r>
              <w:t>7</w:t>
            </w:r>
          </w:p>
        </w:tc>
        <w:tc>
          <w:tcPr>
            <w:tcW w:w="302" w:type="pct"/>
            <w:tcBorders>
              <w:top w:val="single" w:color="000000" w:sz="4" w:space="0"/>
              <w:left w:val="single" w:color="000000" w:sz="4" w:space="0"/>
              <w:bottom w:val="single" w:color="000000" w:sz="4" w:space="0"/>
              <w:right w:val="single" w:color="000000" w:sz="4" w:space="0"/>
            </w:tcBorders>
            <w:vAlign w:val="center"/>
          </w:tcPr>
          <w:p w14:paraId="0D75A187">
            <w:pPr>
              <w:pStyle w:val="71"/>
              <w:spacing w:before="24" w:after="24"/>
            </w:pPr>
            <w:r>
              <w:t>8</w:t>
            </w:r>
          </w:p>
        </w:tc>
        <w:tc>
          <w:tcPr>
            <w:tcW w:w="302" w:type="pct"/>
            <w:tcBorders>
              <w:top w:val="single" w:color="000000" w:sz="4" w:space="0"/>
              <w:left w:val="single" w:color="000000" w:sz="4" w:space="0"/>
              <w:bottom w:val="single" w:color="000000" w:sz="4" w:space="0"/>
              <w:right w:val="single" w:color="000000" w:sz="4" w:space="0"/>
            </w:tcBorders>
            <w:vAlign w:val="center"/>
          </w:tcPr>
          <w:p w14:paraId="74C269DE">
            <w:pPr>
              <w:pStyle w:val="71"/>
              <w:spacing w:before="24" w:after="24"/>
            </w:pPr>
            <w:r>
              <w:t>9.5</w:t>
            </w:r>
          </w:p>
        </w:tc>
        <w:tc>
          <w:tcPr>
            <w:tcW w:w="302" w:type="pct"/>
            <w:tcBorders>
              <w:top w:val="single" w:color="000000" w:sz="4" w:space="0"/>
              <w:left w:val="single" w:color="000000" w:sz="4" w:space="0"/>
              <w:bottom w:val="single" w:color="000000" w:sz="4" w:space="0"/>
              <w:right w:val="single" w:color="000000" w:sz="4" w:space="0"/>
            </w:tcBorders>
            <w:vAlign w:val="center"/>
          </w:tcPr>
          <w:p w14:paraId="616461D5">
            <w:pPr>
              <w:pStyle w:val="71"/>
              <w:spacing w:before="24" w:after="24"/>
            </w:pPr>
            <w:r>
              <w:t>11</w:t>
            </w:r>
          </w:p>
        </w:tc>
        <w:tc>
          <w:tcPr>
            <w:tcW w:w="302" w:type="pct"/>
            <w:tcBorders>
              <w:top w:val="single" w:color="000000" w:sz="4" w:space="0"/>
              <w:left w:val="single" w:color="000000" w:sz="4" w:space="0"/>
              <w:bottom w:val="single" w:color="000000" w:sz="4" w:space="0"/>
              <w:right w:val="single" w:color="000000" w:sz="4" w:space="0"/>
            </w:tcBorders>
            <w:vAlign w:val="center"/>
          </w:tcPr>
          <w:p w14:paraId="630A0FB4">
            <w:pPr>
              <w:pStyle w:val="71"/>
              <w:spacing w:before="24" w:after="24"/>
            </w:pPr>
            <w:r>
              <w:t>12</w:t>
            </w:r>
          </w:p>
        </w:tc>
      </w:tr>
    </w:tbl>
    <w:p w14:paraId="459E1729">
      <w:pPr>
        <w:pStyle w:val="54"/>
        <w:spacing w:before="24" w:after="24"/>
      </w:pPr>
      <w:r>
        <w:t>b、立管管卡</w:t>
      </w:r>
      <w:r>
        <w:rPr>
          <w:rFonts w:hint="eastAsia"/>
        </w:rPr>
        <w:t>的</w:t>
      </w:r>
      <w:r>
        <w:t>最大间距：楼层高度小于或等于5m，每层必须安装1个。楼层高度大于5m，每层不得少于2个。管卡安装高度，距地面应为1．5～1．8m，2个以上管卡应匀称安装，同一房间管卡应安装在同一高度上。</w:t>
      </w:r>
    </w:p>
    <w:p w14:paraId="5CEB6B31">
      <w:pPr>
        <w:spacing w:before="24" w:after="24"/>
        <w:ind w:firstLine="560" w:firstLineChars="200"/>
        <w:rPr>
          <w:rFonts w:ascii="Times New Roman" w:hAnsi="Times New Roman" w:cs="Times New Roman"/>
        </w:rPr>
      </w:pPr>
      <w:r>
        <w:rPr>
          <w:rFonts w:ascii="Times New Roman" w:hAnsi="Times New Roman" w:cs="Times New Roman"/>
        </w:rPr>
        <w:t>2）塑料管及复合管管道支架最大间距</w:t>
      </w:r>
    </w:p>
    <w:tbl>
      <w:tblPr>
        <w:tblStyle w:val="31"/>
        <w:tblW w:w="499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3"/>
        <w:gridCol w:w="1116"/>
        <w:gridCol w:w="1369"/>
        <w:gridCol w:w="596"/>
        <w:gridCol w:w="712"/>
        <w:gridCol w:w="614"/>
        <w:gridCol w:w="597"/>
        <w:gridCol w:w="597"/>
        <w:gridCol w:w="681"/>
        <w:gridCol w:w="632"/>
        <w:gridCol w:w="712"/>
        <w:gridCol w:w="766"/>
      </w:tblGrid>
      <w:tr w14:paraId="50EC3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78" w:type="pct"/>
            <w:gridSpan w:val="3"/>
            <w:tcBorders>
              <w:top w:val="single" w:color="000000" w:sz="4" w:space="0"/>
              <w:left w:val="single" w:color="000000" w:sz="4" w:space="0"/>
              <w:bottom w:val="single" w:color="000000" w:sz="4" w:space="0"/>
              <w:right w:val="single" w:color="000000" w:sz="4" w:space="0"/>
            </w:tcBorders>
            <w:vAlign w:val="center"/>
          </w:tcPr>
          <w:p w14:paraId="4E7C14D6">
            <w:pPr>
              <w:pStyle w:val="71"/>
              <w:spacing w:before="24" w:after="24"/>
            </w:pPr>
            <w:r>
              <w:t>管径（mm）</w:t>
            </w:r>
          </w:p>
        </w:tc>
        <w:tc>
          <w:tcPr>
            <w:tcW w:w="325" w:type="pct"/>
            <w:tcBorders>
              <w:top w:val="single" w:color="000000" w:sz="4" w:space="0"/>
              <w:left w:val="single" w:color="000000" w:sz="4" w:space="0"/>
              <w:bottom w:val="single" w:color="000000" w:sz="4" w:space="0"/>
              <w:right w:val="single" w:color="000000" w:sz="4" w:space="0"/>
            </w:tcBorders>
            <w:vAlign w:val="center"/>
          </w:tcPr>
          <w:p w14:paraId="09382E03">
            <w:pPr>
              <w:pStyle w:val="71"/>
              <w:spacing w:before="24" w:after="24"/>
            </w:pPr>
            <w:r>
              <w:t>20</w:t>
            </w:r>
          </w:p>
        </w:tc>
        <w:tc>
          <w:tcPr>
            <w:tcW w:w="387" w:type="pct"/>
            <w:tcBorders>
              <w:top w:val="single" w:color="000000" w:sz="4" w:space="0"/>
              <w:left w:val="single" w:color="000000" w:sz="4" w:space="0"/>
              <w:bottom w:val="single" w:color="000000" w:sz="4" w:space="0"/>
              <w:right w:val="single" w:color="000000" w:sz="4" w:space="0"/>
            </w:tcBorders>
            <w:vAlign w:val="center"/>
          </w:tcPr>
          <w:p w14:paraId="4B49DB84">
            <w:pPr>
              <w:pStyle w:val="71"/>
              <w:spacing w:before="24" w:after="24"/>
            </w:pPr>
            <w:r>
              <w:t>25</w:t>
            </w:r>
          </w:p>
        </w:tc>
        <w:tc>
          <w:tcPr>
            <w:tcW w:w="334" w:type="pct"/>
            <w:tcBorders>
              <w:top w:val="single" w:color="000000" w:sz="4" w:space="0"/>
              <w:left w:val="single" w:color="000000" w:sz="4" w:space="0"/>
              <w:bottom w:val="single" w:color="000000" w:sz="4" w:space="0"/>
              <w:right w:val="single" w:color="000000" w:sz="4" w:space="0"/>
            </w:tcBorders>
            <w:vAlign w:val="center"/>
          </w:tcPr>
          <w:p w14:paraId="6B773A28">
            <w:pPr>
              <w:pStyle w:val="71"/>
              <w:spacing w:before="24" w:after="24"/>
            </w:pPr>
            <w:r>
              <w:t>32</w:t>
            </w:r>
          </w:p>
        </w:tc>
        <w:tc>
          <w:tcPr>
            <w:tcW w:w="325" w:type="pct"/>
            <w:tcBorders>
              <w:top w:val="single" w:color="000000" w:sz="4" w:space="0"/>
              <w:left w:val="single" w:color="000000" w:sz="4" w:space="0"/>
              <w:bottom w:val="single" w:color="000000" w:sz="4" w:space="0"/>
              <w:right w:val="single" w:color="000000" w:sz="4" w:space="0"/>
            </w:tcBorders>
            <w:vAlign w:val="center"/>
          </w:tcPr>
          <w:p w14:paraId="57FEFD40">
            <w:pPr>
              <w:pStyle w:val="71"/>
              <w:spacing w:before="24" w:after="24"/>
            </w:pPr>
            <w:r>
              <w:t>40</w:t>
            </w:r>
          </w:p>
        </w:tc>
        <w:tc>
          <w:tcPr>
            <w:tcW w:w="325" w:type="pct"/>
            <w:tcBorders>
              <w:top w:val="single" w:color="000000" w:sz="4" w:space="0"/>
              <w:left w:val="single" w:color="000000" w:sz="4" w:space="0"/>
              <w:bottom w:val="single" w:color="000000" w:sz="4" w:space="0"/>
              <w:right w:val="single" w:color="000000" w:sz="4" w:space="0"/>
            </w:tcBorders>
            <w:vAlign w:val="center"/>
          </w:tcPr>
          <w:p w14:paraId="6C466FAA">
            <w:pPr>
              <w:pStyle w:val="71"/>
              <w:spacing w:before="24" w:after="24"/>
            </w:pPr>
            <w:r>
              <w:t>50</w:t>
            </w:r>
          </w:p>
        </w:tc>
        <w:tc>
          <w:tcPr>
            <w:tcW w:w="370" w:type="pct"/>
            <w:tcBorders>
              <w:top w:val="single" w:color="000000" w:sz="4" w:space="0"/>
              <w:left w:val="single" w:color="000000" w:sz="4" w:space="0"/>
              <w:bottom w:val="single" w:color="000000" w:sz="4" w:space="0"/>
              <w:right w:val="single" w:color="000000" w:sz="4" w:space="0"/>
            </w:tcBorders>
            <w:vAlign w:val="center"/>
          </w:tcPr>
          <w:p w14:paraId="6536D0C8">
            <w:pPr>
              <w:pStyle w:val="71"/>
              <w:spacing w:before="24" w:after="24"/>
            </w:pPr>
            <w:r>
              <w:t>63</w:t>
            </w:r>
          </w:p>
        </w:tc>
        <w:tc>
          <w:tcPr>
            <w:tcW w:w="344" w:type="pct"/>
            <w:tcBorders>
              <w:top w:val="single" w:color="000000" w:sz="4" w:space="0"/>
              <w:left w:val="single" w:color="000000" w:sz="4" w:space="0"/>
              <w:bottom w:val="single" w:color="000000" w:sz="4" w:space="0"/>
              <w:right w:val="single" w:color="000000" w:sz="4" w:space="0"/>
            </w:tcBorders>
            <w:vAlign w:val="center"/>
          </w:tcPr>
          <w:p w14:paraId="02F46499">
            <w:pPr>
              <w:pStyle w:val="71"/>
              <w:spacing w:before="24" w:after="24"/>
            </w:pPr>
            <w:r>
              <w:t>75</w:t>
            </w:r>
          </w:p>
        </w:tc>
        <w:tc>
          <w:tcPr>
            <w:tcW w:w="387" w:type="pct"/>
            <w:tcBorders>
              <w:top w:val="single" w:color="000000" w:sz="4" w:space="0"/>
              <w:left w:val="single" w:color="000000" w:sz="4" w:space="0"/>
              <w:bottom w:val="single" w:color="000000" w:sz="4" w:space="0"/>
              <w:right w:val="single" w:color="000000" w:sz="4" w:space="0"/>
            </w:tcBorders>
            <w:vAlign w:val="center"/>
          </w:tcPr>
          <w:p w14:paraId="74C3F02F">
            <w:pPr>
              <w:pStyle w:val="71"/>
              <w:spacing w:before="24" w:after="24"/>
            </w:pPr>
            <w:r>
              <w:t>90</w:t>
            </w:r>
          </w:p>
        </w:tc>
        <w:tc>
          <w:tcPr>
            <w:tcW w:w="416" w:type="pct"/>
            <w:tcBorders>
              <w:top w:val="single" w:color="000000" w:sz="4" w:space="0"/>
              <w:left w:val="single" w:color="000000" w:sz="4" w:space="0"/>
              <w:bottom w:val="single" w:color="000000" w:sz="4" w:space="0"/>
              <w:right w:val="single" w:color="000000" w:sz="4" w:space="0"/>
            </w:tcBorders>
            <w:vAlign w:val="center"/>
          </w:tcPr>
          <w:p w14:paraId="1BE23A88">
            <w:pPr>
              <w:pStyle w:val="71"/>
              <w:spacing w:before="24" w:after="24"/>
            </w:pPr>
            <w:r>
              <w:t>110</w:t>
            </w:r>
          </w:p>
        </w:tc>
      </w:tr>
      <w:tr w14:paraId="20FD6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2" w:type="pct"/>
            <w:vMerge w:val="restart"/>
            <w:tcBorders>
              <w:top w:val="nil"/>
              <w:left w:val="single" w:color="000000" w:sz="4" w:space="0"/>
              <w:bottom w:val="single" w:color="000000" w:sz="4" w:space="0"/>
              <w:right w:val="single" w:color="000000" w:sz="4" w:space="0"/>
            </w:tcBorders>
            <w:vAlign w:val="center"/>
          </w:tcPr>
          <w:p w14:paraId="11E3D803">
            <w:pPr>
              <w:pStyle w:val="71"/>
              <w:spacing w:before="24" w:after="24"/>
            </w:pPr>
            <w:r>
              <w:t>最大间距（m）</w:t>
            </w:r>
          </w:p>
        </w:tc>
        <w:tc>
          <w:tcPr>
            <w:tcW w:w="1346" w:type="pct"/>
            <w:gridSpan w:val="2"/>
            <w:tcBorders>
              <w:top w:val="single" w:color="000000" w:sz="4" w:space="0"/>
              <w:left w:val="single" w:color="000000" w:sz="4" w:space="0"/>
              <w:bottom w:val="single" w:color="000000" w:sz="4" w:space="0"/>
              <w:right w:val="single" w:color="000000" w:sz="4" w:space="0"/>
            </w:tcBorders>
            <w:vAlign w:val="center"/>
          </w:tcPr>
          <w:p w14:paraId="6CE2B664">
            <w:pPr>
              <w:pStyle w:val="71"/>
              <w:spacing w:before="24" w:after="24"/>
            </w:pPr>
            <w:r>
              <w:t>立管</w:t>
            </w:r>
          </w:p>
        </w:tc>
        <w:tc>
          <w:tcPr>
            <w:tcW w:w="325" w:type="pct"/>
            <w:tcBorders>
              <w:top w:val="single" w:color="000000" w:sz="4" w:space="0"/>
              <w:left w:val="single" w:color="000000" w:sz="4" w:space="0"/>
              <w:bottom w:val="single" w:color="000000" w:sz="4" w:space="0"/>
              <w:right w:val="single" w:color="000000" w:sz="4" w:space="0"/>
            </w:tcBorders>
            <w:vAlign w:val="center"/>
          </w:tcPr>
          <w:p w14:paraId="507C0939">
            <w:pPr>
              <w:pStyle w:val="71"/>
              <w:spacing w:before="24" w:after="24"/>
            </w:pPr>
            <w:r>
              <w:t>0.9</w:t>
            </w:r>
          </w:p>
        </w:tc>
        <w:tc>
          <w:tcPr>
            <w:tcW w:w="387" w:type="pct"/>
            <w:tcBorders>
              <w:top w:val="single" w:color="000000" w:sz="4" w:space="0"/>
              <w:left w:val="single" w:color="000000" w:sz="4" w:space="0"/>
              <w:bottom w:val="single" w:color="000000" w:sz="4" w:space="0"/>
              <w:right w:val="single" w:color="000000" w:sz="4" w:space="0"/>
            </w:tcBorders>
            <w:vAlign w:val="center"/>
          </w:tcPr>
          <w:p w14:paraId="417AA2F4">
            <w:pPr>
              <w:pStyle w:val="71"/>
              <w:spacing w:before="24" w:after="24"/>
            </w:pPr>
            <w:r>
              <w:t>1.0</w:t>
            </w:r>
          </w:p>
        </w:tc>
        <w:tc>
          <w:tcPr>
            <w:tcW w:w="334" w:type="pct"/>
            <w:tcBorders>
              <w:top w:val="single" w:color="000000" w:sz="4" w:space="0"/>
              <w:left w:val="single" w:color="000000" w:sz="4" w:space="0"/>
              <w:bottom w:val="single" w:color="000000" w:sz="4" w:space="0"/>
              <w:right w:val="single" w:color="000000" w:sz="4" w:space="0"/>
            </w:tcBorders>
            <w:vAlign w:val="center"/>
          </w:tcPr>
          <w:p w14:paraId="18CA3CEA">
            <w:pPr>
              <w:pStyle w:val="71"/>
              <w:spacing w:before="24" w:after="24"/>
            </w:pPr>
            <w:r>
              <w:t>1.1</w:t>
            </w:r>
          </w:p>
        </w:tc>
        <w:tc>
          <w:tcPr>
            <w:tcW w:w="325" w:type="pct"/>
            <w:tcBorders>
              <w:top w:val="single" w:color="000000" w:sz="4" w:space="0"/>
              <w:left w:val="single" w:color="000000" w:sz="4" w:space="0"/>
              <w:bottom w:val="single" w:color="000000" w:sz="4" w:space="0"/>
              <w:right w:val="single" w:color="000000" w:sz="4" w:space="0"/>
            </w:tcBorders>
            <w:vAlign w:val="center"/>
          </w:tcPr>
          <w:p w14:paraId="218FA16B">
            <w:pPr>
              <w:pStyle w:val="71"/>
              <w:spacing w:before="24" w:after="24"/>
            </w:pPr>
            <w:r>
              <w:t>1.3</w:t>
            </w:r>
          </w:p>
        </w:tc>
        <w:tc>
          <w:tcPr>
            <w:tcW w:w="325" w:type="pct"/>
            <w:tcBorders>
              <w:top w:val="single" w:color="000000" w:sz="4" w:space="0"/>
              <w:left w:val="single" w:color="000000" w:sz="4" w:space="0"/>
              <w:bottom w:val="single" w:color="000000" w:sz="4" w:space="0"/>
              <w:right w:val="single" w:color="000000" w:sz="4" w:space="0"/>
            </w:tcBorders>
            <w:vAlign w:val="center"/>
          </w:tcPr>
          <w:p w14:paraId="1E30597E">
            <w:pPr>
              <w:pStyle w:val="71"/>
              <w:spacing w:before="24" w:after="24"/>
            </w:pPr>
            <w:r>
              <w:t>1.6</w:t>
            </w:r>
          </w:p>
        </w:tc>
        <w:tc>
          <w:tcPr>
            <w:tcW w:w="370" w:type="pct"/>
            <w:tcBorders>
              <w:top w:val="single" w:color="000000" w:sz="4" w:space="0"/>
              <w:left w:val="single" w:color="000000" w:sz="4" w:space="0"/>
              <w:bottom w:val="single" w:color="000000" w:sz="4" w:space="0"/>
              <w:right w:val="single" w:color="000000" w:sz="4" w:space="0"/>
            </w:tcBorders>
            <w:vAlign w:val="center"/>
          </w:tcPr>
          <w:p w14:paraId="3FE60586">
            <w:pPr>
              <w:pStyle w:val="71"/>
              <w:spacing w:before="24" w:after="24"/>
            </w:pPr>
            <w:r>
              <w:t>1.8</w:t>
            </w:r>
          </w:p>
        </w:tc>
        <w:tc>
          <w:tcPr>
            <w:tcW w:w="344" w:type="pct"/>
            <w:tcBorders>
              <w:top w:val="single" w:color="000000" w:sz="4" w:space="0"/>
              <w:left w:val="single" w:color="000000" w:sz="4" w:space="0"/>
              <w:bottom w:val="single" w:color="000000" w:sz="4" w:space="0"/>
              <w:right w:val="single" w:color="000000" w:sz="4" w:space="0"/>
            </w:tcBorders>
            <w:vAlign w:val="center"/>
          </w:tcPr>
          <w:p w14:paraId="766EBBD8">
            <w:pPr>
              <w:pStyle w:val="71"/>
              <w:spacing w:before="24" w:after="24"/>
            </w:pPr>
            <w:r>
              <w:t>2.0</w:t>
            </w:r>
          </w:p>
        </w:tc>
        <w:tc>
          <w:tcPr>
            <w:tcW w:w="387" w:type="pct"/>
            <w:tcBorders>
              <w:top w:val="single" w:color="000000" w:sz="4" w:space="0"/>
              <w:left w:val="single" w:color="000000" w:sz="4" w:space="0"/>
              <w:bottom w:val="single" w:color="000000" w:sz="4" w:space="0"/>
              <w:right w:val="single" w:color="000000" w:sz="4" w:space="0"/>
            </w:tcBorders>
            <w:vAlign w:val="center"/>
          </w:tcPr>
          <w:p w14:paraId="11294954">
            <w:pPr>
              <w:pStyle w:val="71"/>
              <w:spacing w:before="24" w:after="24"/>
            </w:pPr>
            <w:r>
              <w:t>2.2</w:t>
            </w:r>
          </w:p>
        </w:tc>
        <w:tc>
          <w:tcPr>
            <w:tcW w:w="416" w:type="pct"/>
            <w:tcBorders>
              <w:top w:val="single" w:color="000000" w:sz="4" w:space="0"/>
              <w:left w:val="single" w:color="000000" w:sz="4" w:space="0"/>
              <w:bottom w:val="single" w:color="000000" w:sz="4" w:space="0"/>
              <w:right w:val="single" w:color="000000" w:sz="4" w:space="0"/>
            </w:tcBorders>
            <w:vAlign w:val="center"/>
          </w:tcPr>
          <w:p w14:paraId="77EED8BB">
            <w:pPr>
              <w:pStyle w:val="71"/>
              <w:spacing w:before="24" w:after="24"/>
            </w:pPr>
            <w:r>
              <w:t>2.4</w:t>
            </w:r>
          </w:p>
        </w:tc>
      </w:tr>
      <w:tr w14:paraId="720038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2" w:type="pct"/>
            <w:vMerge w:val="continue"/>
            <w:tcBorders>
              <w:top w:val="nil"/>
              <w:left w:val="single" w:color="000000" w:sz="4" w:space="0"/>
              <w:bottom w:val="single" w:color="000000" w:sz="4" w:space="0"/>
              <w:right w:val="single" w:color="000000" w:sz="4" w:space="0"/>
            </w:tcBorders>
            <w:vAlign w:val="center"/>
          </w:tcPr>
          <w:p w14:paraId="346A5E17">
            <w:pPr>
              <w:pStyle w:val="71"/>
              <w:spacing w:before="24" w:after="24"/>
            </w:pPr>
          </w:p>
        </w:tc>
        <w:tc>
          <w:tcPr>
            <w:tcW w:w="605" w:type="pct"/>
            <w:vMerge w:val="restart"/>
            <w:tcBorders>
              <w:top w:val="nil"/>
              <w:left w:val="single" w:color="000000" w:sz="4" w:space="0"/>
              <w:bottom w:val="single" w:color="000000" w:sz="4" w:space="0"/>
              <w:right w:val="single" w:color="000000" w:sz="4" w:space="0"/>
            </w:tcBorders>
            <w:vAlign w:val="center"/>
          </w:tcPr>
          <w:p w14:paraId="6FA870EB">
            <w:pPr>
              <w:pStyle w:val="71"/>
              <w:spacing w:before="24" w:after="24"/>
            </w:pPr>
            <w:r>
              <w:t>水平管</w:t>
            </w:r>
          </w:p>
        </w:tc>
        <w:tc>
          <w:tcPr>
            <w:tcW w:w="740" w:type="pct"/>
            <w:tcBorders>
              <w:top w:val="single" w:color="000000" w:sz="4" w:space="0"/>
              <w:left w:val="single" w:color="000000" w:sz="4" w:space="0"/>
              <w:bottom w:val="single" w:color="000000" w:sz="4" w:space="0"/>
              <w:right w:val="single" w:color="000000" w:sz="4" w:space="0"/>
            </w:tcBorders>
            <w:vAlign w:val="center"/>
          </w:tcPr>
          <w:p w14:paraId="2C00DC09">
            <w:pPr>
              <w:pStyle w:val="71"/>
              <w:spacing w:before="24" w:after="24"/>
            </w:pPr>
            <w:r>
              <w:t>冷水管</w:t>
            </w:r>
          </w:p>
        </w:tc>
        <w:tc>
          <w:tcPr>
            <w:tcW w:w="325" w:type="pct"/>
            <w:tcBorders>
              <w:top w:val="single" w:color="000000" w:sz="4" w:space="0"/>
              <w:left w:val="single" w:color="000000" w:sz="4" w:space="0"/>
              <w:bottom w:val="single" w:color="000000" w:sz="4" w:space="0"/>
              <w:right w:val="single" w:color="000000" w:sz="4" w:space="0"/>
            </w:tcBorders>
            <w:vAlign w:val="center"/>
          </w:tcPr>
          <w:p w14:paraId="38061811">
            <w:pPr>
              <w:pStyle w:val="71"/>
              <w:spacing w:before="24" w:after="24"/>
            </w:pPr>
            <w:r>
              <w:t>0.6</w:t>
            </w:r>
          </w:p>
        </w:tc>
        <w:tc>
          <w:tcPr>
            <w:tcW w:w="387" w:type="pct"/>
            <w:tcBorders>
              <w:top w:val="single" w:color="000000" w:sz="4" w:space="0"/>
              <w:left w:val="single" w:color="000000" w:sz="4" w:space="0"/>
              <w:bottom w:val="single" w:color="000000" w:sz="4" w:space="0"/>
              <w:right w:val="single" w:color="000000" w:sz="4" w:space="0"/>
            </w:tcBorders>
            <w:vAlign w:val="center"/>
          </w:tcPr>
          <w:p w14:paraId="5CD61300">
            <w:pPr>
              <w:pStyle w:val="71"/>
              <w:spacing w:before="24" w:after="24"/>
            </w:pPr>
            <w:r>
              <w:t>0.7</w:t>
            </w:r>
          </w:p>
        </w:tc>
        <w:tc>
          <w:tcPr>
            <w:tcW w:w="334" w:type="pct"/>
            <w:tcBorders>
              <w:top w:val="single" w:color="000000" w:sz="4" w:space="0"/>
              <w:left w:val="single" w:color="000000" w:sz="4" w:space="0"/>
              <w:bottom w:val="single" w:color="000000" w:sz="4" w:space="0"/>
              <w:right w:val="single" w:color="000000" w:sz="4" w:space="0"/>
            </w:tcBorders>
            <w:vAlign w:val="center"/>
          </w:tcPr>
          <w:p w14:paraId="1BA3C423">
            <w:pPr>
              <w:pStyle w:val="71"/>
              <w:spacing w:before="24" w:after="24"/>
            </w:pPr>
            <w:r>
              <w:t>0.8</w:t>
            </w:r>
          </w:p>
        </w:tc>
        <w:tc>
          <w:tcPr>
            <w:tcW w:w="325" w:type="pct"/>
            <w:tcBorders>
              <w:top w:val="single" w:color="000000" w:sz="4" w:space="0"/>
              <w:left w:val="single" w:color="000000" w:sz="4" w:space="0"/>
              <w:bottom w:val="single" w:color="000000" w:sz="4" w:space="0"/>
              <w:right w:val="single" w:color="000000" w:sz="4" w:space="0"/>
            </w:tcBorders>
            <w:vAlign w:val="center"/>
          </w:tcPr>
          <w:p w14:paraId="74A84416">
            <w:pPr>
              <w:pStyle w:val="71"/>
              <w:spacing w:before="24" w:after="24"/>
            </w:pPr>
            <w:r>
              <w:t>0.9</w:t>
            </w:r>
          </w:p>
        </w:tc>
        <w:tc>
          <w:tcPr>
            <w:tcW w:w="325" w:type="pct"/>
            <w:tcBorders>
              <w:top w:val="single" w:color="000000" w:sz="4" w:space="0"/>
              <w:left w:val="single" w:color="000000" w:sz="4" w:space="0"/>
              <w:bottom w:val="single" w:color="000000" w:sz="4" w:space="0"/>
              <w:right w:val="single" w:color="000000" w:sz="4" w:space="0"/>
            </w:tcBorders>
            <w:vAlign w:val="center"/>
          </w:tcPr>
          <w:p w14:paraId="7648E3DE">
            <w:pPr>
              <w:pStyle w:val="71"/>
              <w:spacing w:before="24" w:after="24"/>
            </w:pPr>
            <w:r>
              <w:t>1.0</w:t>
            </w:r>
          </w:p>
        </w:tc>
        <w:tc>
          <w:tcPr>
            <w:tcW w:w="370" w:type="pct"/>
            <w:tcBorders>
              <w:top w:val="single" w:color="000000" w:sz="4" w:space="0"/>
              <w:left w:val="single" w:color="000000" w:sz="4" w:space="0"/>
              <w:bottom w:val="single" w:color="000000" w:sz="4" w:space="0"/>
              <w:right w:val="single" w:color="000000" w:sz="4" w:space="0"/>
            </w:tcBorders>
            <w:vAlign w:val="center"/>
          </w:tcPr>
          <w:p w14:paraId="655AC0CB">
            <w:pPr>
              <w:pStyle w:val="71"/>
              <w:spacing w:before="24" w:after="24"/>
            </w:pPr>
            <w:r>
              <w:t>1.1</w:t>
            </w:r>
          </w:p>
        </w:tc>
        <w:tc>
          <w:tcPr>
            <w:tcW w:w="344" w:type="pct"/>
            <w:tcBorders>
              <w:top w:val="single" w:color="000000" w:sz="4" w:space="0"/>
              <w:left w:val="single" w:color="000000" w:sz="4" w:space="0"/>
              <w:bottom w:val="single" w:color="000000" w:sz="4" w:space="0"/>
              <w:right w:val="single" w:color="000000" w:sz="4" w:space="0"/>
            </w:tcBorders>
            <w:vAlign w:val="center"/>
          </w:tcPr>
          <w:p w14:paraId="65A32368">
            <w:pPr>
              <w:pStyle w:val="71"/>
              <w:spacing w:before="24" w:after="24"/>
            </w:pPr>
            <w:r>
              <w:t>1.2</w:t>
            </w:r>
          </w:p>
        </w:tc>
        <w:tc>
          <w:tcPr>
            <w:tcW w:w="387" w:type="pct"/>
            <w:tcBorders>
              <w:top w:val="single" w:color="000000" w:sz="4" w:space="0"/>
              <w:left w:val="single" w:color="000000" w:sz="4" w:space="0"/>
              <w:bottom w:val="single" w:color="000000" w:sz="4" w:space="0"/>
              <w:right w:val="single" w:color="000000" w:sz="4" w:space="0"/>
            </w:tcBorders>
            <w:vAlign w:val="center"/>
          </w:tcPr>
          <w:p w14:paraId="3E9229B1">
            <w:pPr>
              <w:pStyle w:val="71"/>
              <w:spacing w:before="24" w:after="24"/>
            </w:pPr>
            <w:r>
              <w:t>1.35</w:t>
            </w:r>
          </w:p>
        </w:tc>
        <w:tc>
          <w:tcPr>
            <w:tcW w:w="416" w:type="pct"/>
            <w:tcBorders>
              <w:top w:val="single" w:color="000000" w:sz="4" w:space="0"/>
              <w:left w:val="single" w:color="000000" w:sz="4" w:space="0"/>
              <w:bottom w:val="single" w:color="000000" w:sz="4" w:space="0"/>
              <w:right w:val="single" w:color="000000" w:sz="4" w:space="0"/>
            </w:tcBorders>
            <w:vAlign w:val="center"/>
          </w:tcPr>
          <w:p w14:paraId="08564E23">
            <w:pPr>
              <w:pStyle w:val="71"/>
              <w:spacing w:before="24" w:after="24"/>
            </w:pPr>
            <w:r>
              <w:t>1.55</w:t>
            </w:r>
          </w:p>
        </w:tc>
      </w:tr>
      <w:tr w14:paraId="6628A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2" w:type="pct"/>
            <w:vMerge w:val="continue"/>
            <w:tcBorders>
              <w:top w:val="nil"/>
              <w:left w:val="single" w:color="000000" w:sz="4" w:space="0"/>
              <w:bottom w:val="single" w:color="000000" w:sz="4" w:space="0"/>
              <w:right w:val="single" w:color="000000" w:sz="4" w:space="0"/>
            </w:tcBorders>
            <w:vAlign w:val="center"/>
          </w:tcPr>
          <w:p w14:paraId="0D7A0D06">
            <w:pPr>
              <w:pStyle w:val="71"/>
              <w:spacing w:before="24" w:after="24"/>
            </w:pPr>
          </w:p>
        </w:tc>
        <w:tc>
          <w:tcPr>
            <w:tcW w:w="605" w:type="pct"/>
            <w:vMerge w:val="continue"/>
            <w:tcBorders>
              <w:top w:val="nil"/>
              <w:left w:val="single" w:color="000000" w:sz="4" w:space="0"/>
              <w:bottom w:val="single" w:color="000000" w:sz="4" w:space="0"/>
              <w:right w:val="single" w:color="000000" w:sz="4" w:space="0"/>
            </w:tcBorders>
            <w:vAlign w:val="center"/>
          </w:tcPr>
          <w:p w14:paraId="1E524DB6">
            <w:pPr>
              <w:pStyle w:val="71"/>
              <w:spacing w:before="24" w:after="24"/>
            </w:pPr>
          </w:p>
        </w:tc>
        <w:tc>
          <w:tcPr>
            <w:tcW w:w="740" w:type="pct"/>
            <w:tcBorders>
              <w:top w:val="single" w:color="000000" w:sz="4" w:space="0"/>
              <w:left w:val="single" w:color="000000" w:sz="4" w:space="0"/>
              <w:bottom w:val="single" w:color="000000" w:sz="4" w:space="0"/>
              <w:right w:val="single" w:color="000000" w:sz="4" w:space="0"/>
            </w:tcBorders>
            <w:vAlign w:val="center"/>
          </w:tcPr>
          <w:p w14:paraId="567C113D">
            <w:pPr>
              <w:pStyle w:val="71"/>
              <w:spacing w:before="24" w:after="24"/>
            </w:pPr>
            <w:r>
              <w:t>热水管</w:t>
            </w:r>
          </w:p>
        </w:tc>
        <w:tc>
          <w:tcPr>
            <w:tcW w:w="325" w:type="pct"/>
            <w:tcBorders>
              <w:top w:val="single" w:color="000000" w:sz="4" w:space="0"/>
              <w:left w:val="single" w:color="000000" w:sz="4" w:space="0"/>
              <w:bottom w:val="single" w:color="000000" w:sz="4" w:space="0"/>
              <w:right w:val="single" w:color="000000" w:sz="4" w:space="0"/>
            </w:tcBorders>
            <w:vAlign w:val="center"/>
          </w:tcPr>
          <w:p w14:paraId="70AE2DFE">
            <w:pPr>
              <w:pStyle w:val="71"/>
              <w:spacing w:before="24" w:after="24"/>
            </w:pPr>
            <w:r>
              <w:t>0.3</w:t>
            </w:r>
          </w:p>
        </w:tc>
        <w:tc>
          <w:tcPr>
            <w:tcW w:w="387" w:type="pct"/>
            <w:tcBorders>
              <w:top w:val="single" w:color="000000" w:sz="4" w:space="0"/>
              <w:left w:val="single" w:color="000000" w:sz="4" w:space="0"/>
              <w:bottom w:val="single" w:color="000000" w:sz="4" w:space="0"/>
              <w:right w:val="single" w:color="000000" w:sz="4" w:space="0"/>
            </w:tcBorders>
            <w:vAlign w:val="center"/>
          </w:tcPr>
          <w:p w14:paraId="65276B7F">
            <w:pPr>
              <w:pStyle w:val="71"/>
              <w:spacing w:before="24" w:after="24"/>
            </w:pPr>
            <w:r>
              <w:t>0.35</w:t>
            </w:r>
          </w:p>
        </w:tc>
        <w:tc>
          <w:tcPr>
            <w:tcW w:w="334" w:type="pct"/>
            <w:tcBorders>
              <w:top w:val="single" w:color="000000" w:sz="4" w:space="0"/>
              <w:left w:val="single" w:color="000000" w:sz="4" w:space="0"/>
              <w:bottom w:val="single" w:color="000000" w:sz="4" w:space="0"/>
              <w:right w:val="single" w:color="000000" w:sz="4" w:space="0"/>
            </w:tcBorders>
            <w:vAlign w:val="center"/>
          </w:tcPr>
          <w:p w14:paraId="3453DBA7">
            <w:pPr>
              <w:pStyle w:val="71"/>
              <w:spacing w:before="24" w:after="24"/>
            </w:pPr>
            <w:r>
              <w:t>0.4</w:t>
            </w:r>
          </w:p>
        </w:tc>
        <w:tc>
          <w:tcPr>
            <w:tcW w:w="325" w:type="pct"/>
            <w:tcBorders>
              <w:top w:val="single" w:color="000000" w:sz="4" w:space="0"/>
              <w:left w:val="single" w:color="000000" w:sz="4" w:space="0"/>
              <w:bottom w:val="single" w:color="000000" w:sz="4" w:space="0"/>
              <w:right w:val="single" w:color="000000" w:sz="4" w:space="0"/>
            </w:tcBorders>
            <w:vAlign w:val="center"/>
          </w:tcPr>
          <w:p w14:paraId="101E5A75">
            <w:pPr>
              <w:pStyle w:val="71"/>
              <w:spacing w:before="24" w:after="24"/>
            </w:pPr>
            <w:r>
              <w:t>0.5</w:t>
            </w:r>
          </w:p>
        </w:tc>
        <w:tc>
          <w:tcPr>
            <w:tcW w:w="325" w:type="pct"/>
            <w:tcBorders>
              <w:top w:val="single" w:color="000000" w:sz="4" w:space="0"/>
              <w:left w:val="single" w:color="000000" w:sz="4" w:space="0"/>
              <w:bottom w:val="single" w:color="000000" w:sz="4" w:space="0"/>
              <w:right w:val="single" w:color="000000" w:sz="4" w:space="0"/>
            </w:tcBorders>
            <w:vAlign w:val="center"/>
          </w:tcPr>
          <w:p w14:paraId="7780E43C">
            <w:pPr>
              <w:pStyle w:val="71"/>
              <w:spacing w:before="24" w:after="24"/>
            </w:pPr>
            <w:r>
              <w:t>0.6</w:t>
            </w:r>
          </w:p>
        </w:tc>
        <w:tc>
          <w:tcPr>
            <w:tcW w:w="370" w:type="pct"/>
            <w:tcBorders>
              <w:top w:val="single" w:color="000000" w:sz="4" w:space="0"/>
              <w:left w:val="single" w:color="000000" w:sz="4" w:space="0"/>
              <w:bottom w:val="single" w:color="000000" w:sz="4" w:space="0"/>
              <w:right w:val="single" w:color="000000" w:sz="4" w:space="0"/>
            </w:tcBorders>
            <w:vAlign w:val="center"/>
          </w:tcPr>
          <w:p w14:paraId="26C0D8AB">
            <w:pPr>
              <w:pStyle w:val="71"/>
              <w:spacing w:before="24" w:after="24"/>
            </w:pPr>
            <w:r>
              <w:t>0.7</w:t>
            </w:r>
          </w:p>
        </w:tc>
        <w:tc>
          <w:tcPr>
            <w:tcW w:w="344" w:type="pct"/>
            <w:tcBorders>
              <w:top w:val="single" w:color="000000" w:sz="4" w:space="0"/>
              <w:left w:val="single" w:color="000000" w:sz="4" w:space="0"/>
              <w:bottom w:val="single" w:color="000000" w:sz="4" w:space="0"/>
              <w:right w:val="single" w:color="000000" w:sz="4" w:space="0"/>
            </w:tcBorders>
            <w:vAlign w:val="center"/>
          </w:tcPr>
          <w:p w14:paraId="4F44F029">
            <w:pPr>
              <w:pStyle w:val="71"/>
              <w:spacing w:before="24" w:after="24"/>
            </w:pPr>
            <w:r>
              <w:t>0.8</w:t>
            </w:r>
          </w:p>
        </w:tc>
        <w:tc>
          <w:tcPr>
            <w:tcW w:w="387" w:type="pct"/>
            <w:tcBorders>
              <w:top w:val="single" w:color="000000" w:sz="4" w:space="0"/>
              <w:left w:val="single" w:color="000000" w:sz="4" w:space="0"/>
              <w:bottom w:val="single" w:color="000000" w:sz="4" w:space="0"/>
              <w:right w:val="single" w:color="000000" w:sz="4" w:space="0"/>
            </w:tcBorders>
            <w:vAlign w:val="center"/>
          </w:tcPr>
          <w:p w14:paraId="22BE3F25">
            <w:pPr>
              <w:pStyle w:val="71"/>
              <w:spacing w:before="24" w:after="24"/>
            </w:pPr>
          </w:p>
        </w:tc>
        <w:tc>
          <w:tcPr>
            <w:tcW w:w="416" w:type="pct"/>
            <w:tcBorders>
              <w:top w:val="single" w:color="000000" w:sz="4" w:space="0"/>
              <w:left w:val="single" w:color="000000" w:sz="4" w:space="0"/>
              <w:bottom w:val="single" w:color="000000" w:sz="4" w:space="0"/>
              <w:right w:val="single" w:color="000000" w:sz="4" w:space="0"/>
            </w:tcBorders>
            <w:vAlign w:val="center"/>
          </w:tcPr>
          <w:p w14:paraId="778937A5">
            <w:pPr>
              <w:pStyle w:val="71"/>
              <w:spacing w:before="24" w:after="24"/>
            </w:pPr>
          </w:p>
        </w:tc>
      </w:tr>
    </w:tbl>
    <w:p w14:paraId="3FA3A1AE">
      <w:pPr>
        <w:spacing w:before="24" w:after="24"/>
        <w:ind w:firstLine="560" w:firstLineChars="200"/>
        <w:rPr>
          <w:rFonts w:ascii="Times New Roman" w:hAnsi="Times New Roman" w:cs="Times New Roman"/>
        </w:rPr>
      </w:pPr>
      <w:r>
        <w:rPr>
          <w:rFonts w:ascii="Times New Roman" w:hAnsi="Times New Roman" w:cs="Times New Roman"/>
        </w:rPr>
        <w:t>3）抗震支架</w:t>
      </w:r>
    </w:p>
    <w:p w14:paraId="037E57FF">
      <w:pPr>
        <w:spacing w:before="24" w:after="24"/>
        <w:ind w:firstLine="560" w:firstLineChars="200"/>
        <w:rPr>
          <w:rFonts w:ascii="Times New Roman" w:hAnsi="Times New Roman" w:cs="Times New Roman"/>
        </w:rPr>
      </w:pPr>
      <w:r>
        <w:rPr>
          <w:rFonts w:ascii="Times New Roman" w:hAnsi="Times New Roman" w:cs="Times New Roman"/>
        </w:rPr>
        <w:t>需要设防的室内给水、热水以及消防管道管径大于DN65的水平管道，当其采用吊架、支架或托架固定时，应按要求设置抗震支架。</w:t>
      </w:r>
    </w:p>
    <w:p w14:paraId="21028590">
      <w:pPr>
        <w:spacing w:before="24" w:after="24"/>
        <w:ind w:firstLine="560" w:firstLineChars="200"/>
        <w:rPr>
          <w:rFonts w:ascii="Times New Roman" w:hAnsi="Times New Roman" w:cs="Times New Roman"/>
        </w:rPr>
      </w:pPr>
      <w:r>
        <w:rPr>
          <w:rFonts w:ascii="Times New Roman" w:hAnsi="Times New Roman" w:cs="Times New Roman"/>
        </w:rPr>
        <w:t>6.管道布置和敷设</w:t>
      </w:r>
    </w:p>
    <w:p w14:paraId="78CABA6E">
      <w:pPr>
        <w:spacing w:before="24" w:after="24"/>
        <w:ind w:firstLine="560" w:firstLineChars="200"/>
        <w:rPr>
          <w:rFonts w:ascii="Times New Roman" w:hAnsi="Times New Roman" w:cs="Times New Roman"/>
        </w:rPr>
      </w:pPr>
      <w:r>
        <w:rPr>
          <w:rFonts w:ascii="Times New Roman" w:hAnsi="Times New Roman" w:cs="Times New Roman"/>
        </w:rPr>
        <w:t>（1）室内给水管道不得布置在遇水会引起燃烧、爆炸的原料、产品和设备的上面。</w:t>
      </w:r>
    </w:p>
    <w:p w14:paraId="145EF4FE">
      <w:pPr>
        <w:spacing w:before="24" w:after="24"/>
        <w:ind w:firstLine="560" w:firstLineChars="200"/>
        <w:rPr>
          <w:rFonts w:ascii="Times New Roman" w:hAnsi="Times New Roman" w:cs="Times New Roman"/>
        </w:rPr>
      </w:pPr>
      <w:r>
        <w:rPr>
          <w:rFonts w:ascii="Times New Roman" w:hAnsi="Times New Roman" w:cs="Times New Roman"/>
        </w:rPr>
        <w:t>（2）不得穿越变配电房、电梯机房、通信机房、大中型计算机房、计算机网络中心、音像库房等遇水会损坏设备或引发事故的房间。</w:t>
      </w:r>
    </w:p>
    <w:p w14:paraId="19E95E76">
      <w:pPr>
        <w:spacing w:before="24" w:after="24"/>
        <w:ind w:firstLine="560" w:firstLineChars="200"/>
        <w:rPr>
          <w:rFonts w:ascii="Times New Roman" w:hAnsi="Times New Roman" w:cs="Times New Roman"/>
        </w:rPr>
      </w:pPr>
      <w:r>
        <w:rPr>
          <w:rFonts w:ascii="Times New Roman" w:hAnsi="Times New Roman" w:cs="Times New Roman"/>
        </w:rPr>
        <w:t>（3）不得在生产设备、配电柜上方通过。</w:t>
      </w:r>
    </w:p>
    <w:p w14:paraId="28D99276">
      <w:pPr>
        <w:spacing w:before="24" w:after="24"/>
        <w:ind w:firstLine="560" w:firstLineChars="200"/>
        <w:rPr>
          <w:rFonts w:ascii="Times New Roman" w:hAnsi="Times New Roman" w:cs="Times New Roman"/>
        </w:rPr>
      </w:pPr>
      <w:r>
        <w:rPr>
          <w:rFonts w:ascii="Times New Roman" w:hAnsi="Times New Roman" w:cs="Times New Roman"/>
        </w:rPr>
        <w:t>（4）不得妨碍生产操作、交通运输和建筑物的使用。</w:t>
      </w:r>
    </w:p>
    <w:p w14:paraId="3DD4782F">
      <w:pPr>
        <w:spacing w:before="24" w:after="24"/>
        <w:ind w:firstLine="560" w:firstLineChars="200"/>
        <w:rPr>
          <w:rFonts w:ascii="Times New Roman" w:hAnsi="Times New Roman" w:cs="Times New Roman"/>
        </w:rPr>
      </w:pPr>
      <w:r>
        <w:rPr>
          <w:rFonts w:ascii="Times New Roman" w:hAnsi="Times New Roman" w:cs="Times New Roman"/>
        </w:rPr>
        <w:t>（5）给水管道不得敷设在烟道、风道、电梯井、排水沟内。给水管道不得穿过大便槽和小便槽，且立管离大、小便槽端部不得小于0.5m。给水管道不宜穿越橱窗、壁柜。</w:t>
      </w:r>
    </w:p>
    <w:p w14:paraId="1B136936">
      <w:pPr>
        <w:spacing w:before="24" w:after="24"/>
        <w:ind w:firstLine="560" w:firstLineChars="200"/>
        <w:rPr>
          <w:rFonts w:ascii="Times New Roman" w:hAnsi="Times New Roman" w:cs="Times New Roman"/>
        </w:rPr>
      </w:pPr>
      <w:r>
        <w:rPr>
          <w:rFonts w:ascii="Times New Roman" w:hAnsi="Times New Roman" w:cs="Times New Roman"/>
        </w:rPr>
        <w:t>（6）给水管道不宜穿越变形缝。当必须穿越时，应设置补偿管道伸缩和剪切变形的装置。</w:t>
      </w:r>
    </w:p>
    <w:p w14:paraId="52B7F0B1">
      <w:pPr>
        <w:spacing w:before="24" w:after="24"/>
        <w:ind w:firstLine="560" w:firstLineChars="200"/>
        <w:rPr>
          <w:rFonts w:ascii="Times New Roman" w:hAnsi="Times New Roman" w:cs="Times New Roman"/>
        </w:rPr>
      </w:pPr>
      <w:r>
        <w:rPr>
          <w:rFonts w:ascii="Times New Roman" w:hAnsi="Times New Roman" w:cs="Times New Roman"/>
        </w:rPr>
        <w:t>（7）尽可能与墙、梁、柱平行，呈直线走向，力求管路简短。</w:t>
      </w:r>
    </w:p>
    <w:p w14:paraId="7599995A">
      <w:pPr>
        <w:spacing w:before="24" w:after="24"/>
        <w:ind w:firstLine="560" w:firstLineChars="200"/>
        <w:rPr>
          <w:rFonts w:ascii="Times New Roman" w:hAnsi="Times New Roman" w:cs="Times New Roman"/>
        </w:rPr>
      </w:pPr>
      <w:r>
        <w:rPr>
          <w:rFonts w:ascii="Times New Roman" w:hAnsi="Times New Roman" w:cs="Times New Roman"/>
        </w:rPr>
        <w:t>干管应布置在用水量大或不允许间断供水的配水点附近，利于供水安全，减少流程中不合理的转输流量。</w:t>
      </w:r>
    </w:p>
    <w:p w14:paraId="209D16D8">
      <w:pPr>
        <w:spacing w:before="24" w:after="24"/>
        <w:ind w:firstLine="560" w:firstLineChars="200"/>
        <w:rPr>
          <w:rFonts w:ascii="Times New Roman" w:hAnsi="Times New Roman" w:cs="Times New Roman"/>
        </w:rPr>
      </w:pPr>
      <w:r>
        <w:rPr>
          <w:rFonts w:ascii="Times New Roman" w:hAnsi="Times New Roman" w:cs="Times New Roman"/>
        </w:rPr>
        <w:t>（8）埋地敷设的给水管道不应布置在可能受重物压坏处。管道不得穿越生产设备基础，在特殊情况下必须穿越时，应采取有效的保护措施。</w:t>
      </w:r>
    </w:p>
    <w:p w14:paraId="45822DC4">
      <w:pPr>
        <w:spacing w:before="24" w:after="24"/>
        <w:ind w:firstLine="560" w:firstLineChars="200"/>
        <w:rPr>
          <w:rFonts w:ascii="Times New Roman" w:hAnsi="Times New Roman" w:cs="Times New Roman"/>
        </w:rPr>
      </w:pPr>
      <w:r>
        <w:rPr>
          <w:rFonts w:ascii="Times New Roman" w:hAnsi="Times New Roman" w:cs="Times New Roman"/>
        </w:rPr>
        <w:t>（9）水平给水干管沿屋面或地下室敷设，尽量减少或避免在功能房间和公共走道敷设。</w:t>
      </w:r>
    </w:p>
    <w:p w14:paraId="2E22951E">
      <w:pPr>
        <w:spacing w:before="24" w:after="24"/>
        <w:ind w:firstLine="560" w:firstLineChars="200"/>
        <w:rPr>
          <w:rFonts w:ascii="Times New Roman" w:hAnsi="Times New Roman" w:cs="Times New Roman"/>
        </w:rPr>
      </w:pPr>
      <w:r>
        <w:rPr>
          <w:rFonts w:ascii="Times New Roman" w:hAnsi="Times New Roman" w:cs="Times New Roman"/>
        </w:rPr>
        <w:t>（10）冷、热水管道同时安装应符合下列规定：</w:t>
      </w:r>
    </w:p>
    <w:p w14:paraId="7FBF5C5D">
      <w:pPr>
        <w:spacing w:before="24" w:after="24"/>
        <w:ind w:firstLine="560" w:firstLineChars="200"/>
        <w:rPr>
          <w:rFonts w:ascii="Times New Roman" w:hAnsi="Times New Roman" w:cs="Times New Roman"/>
        </w:rPr>
      </w:pPr>
      <w:r>
        <w:rPr>
          <w:rFonts w:ascii="Times New Roman" w:hAnsi="Times New Roman" w:cs="Times New Roman"/>
        </w:rPr>
        <w:t>1）上、下平行安装时热水管应在冷水管上方。</w:t>
      </w:r>
    </w:p>
    <w:p w14:paraId="6B474C07">
      <w:pPr>
        <w:spacing w:before="24" w:after="24"/>
        <w:ind w:firstLine="560" w:firstLineChars="200"/>
        <w:rPr>
          <w:rFonts w:ascii="Times New Roman" w:hAnsi="Times New Roman" w:cs="Times New Roman"/>
        </w:rPr>
      </w:pPr>
      <w:r>
        <w:rPr>
          <w:rFonts w:ascii="Times New Roman" w:hAnsi="Times New Roman" w:cs="Times New Roman"/>
        </w:rPr>
        <w:t>2）垂直平行安装时热水管应在冷水管左侧。</w:t>
      </w:r>
    </w:p>
    <w:p w14:paraId="293C8648">
      <w:pPr>
        <w:spacing w:before="24" w:after="24"/>
        <w:ind w:firstLine="560" w:firstLineChars="200"/>
        <w:rPr>
          <w:rFonts w:ascii="Times New Roman" w:hAnsi="Times New Roman" w:cs="Times New Roman"/>
        </w:rPr>
      </w:pPr>
      <w:r>
        <w:rPr>
          <w:rFonts w:ascii="Times New Roman" w:hAnsi="Times New Roman" w:cs="Times New Roman"/>
        </w:rPr>
        <w:t>（11）给水引入管与排水排出管的水平净距不得小于1m。室内给水与排水管道平行敷设时，两管间的最小水平净距不得小于0</w:t>
      </w:r>
      <w:r>
        <w:rPr>
          <w:rFonts w:hint="eastAsia" w:ascii="Times New Roman" w:hAnsi="Times New Roman" w:cs="Times New Roman"/>
        </w:rPr>
        <w:t>.</w:t>
      </w:r>
      <w:r>
        <w:rPr>
          <w:rFonts w:ascii="Times New Roman" w:hAnsi="Times New Roman" w:cs="Times New Roman"/>
        </w:rPr>
        <w:t>5m；交叉铺设时，垂直净距不得小于0.15m。给水管应铺在排水管上面，若给水管必须铺在排水管的下面时，给水管应加套管，其长度不得小于排水管管径的3倍。</w:t>
      </w:r>
    </w:p>
    <w:p w14:paraId="11F834A0">
      <w:pPr>
        <w:spacing w:before="24" w:after="24"/>
        <w:ind w:firstLine="560" w:firstLineChars="200"/>
        <w:rPr>
          <w:rFonts w:ascii="Times New Roman" w:hAnsi="Times New Roman" w:cs="Times New Roman"/>
        </w:rPr>
      </w:pPr>
      <w:r>
        <w:rPr>
          <w:rFonts w:ascii="Times New Roman" w:hAnsi="Times New Roman" w:cs="Times New Roman"/>
        </w:rPr>
        <w:t>（12）给水水平管道应有2‰～5‰的坡度坡向泄水装置。</w:t>
      </w:r>
    </w:p>
    <w:p w14:paraId="7A07A800">
      <w:pPr>
        <w:spacing w:before="24" w:after="24"/>
        <w:ind w:firstLine="560" w:firstLineChars="200"/>
        <w:rPr>
          <w:rFonts w:ascii="Times New Roman" w:hAnsi="Times New Roman" w:cs="Times New Roman"/>
        </w:rPr>
      </w:pPr>
      <w:r>
        <w:rPr>
          <w:rFonts w:ascii="Times New Roman" w:hAnsi="Times New Roman" w:cs="Times New Roman"/>
        </w:rPr>
        <w:t>7.水压试验</w:t>
      </w:r>
    </w:p>
    <w:p w14:paraId="12C50BF4">
      <w:pPr>
        <w:spacing w:before="24" w:after="24"/>
        <w:ind w:firstLine="560" w:firstLineChars="200"/>
        <w:rPr>
          <w:rFonts w:ascii="Times New Roman" w:hAnsi="Times New Roman" w:cs="Times New Roman"/>
        </w:rPr>
      </w:pPr>
      <w:r>
        <w:rPr>
          <w:rFonts w:ascii="Times New Roman" w:hAnsi="Times New Roman" w:cs="Times New Roman"/>
        </w:rPr>
        <w:t>（1）试验压力</w:t>
      </w:r>
    </w:p>
    <w:p w14:paraId="2C683E2C">
      <w:pPr>
        <w:spacing w:before="24" w:after="24"/>
        <w:ind w:firstLine="560" w:firstLineChars="200"/>
        <w:rPr>
          <w:rFonts w:ascii="Times New Roman" w:hAnsi="Times New Roman" w:cs="Times New Roman"/>
        </w:rPr>
      </w:pPr>
      <w:r>
        <w:rPr>
          <w:rFonts w:ascii="Times New Roman" w:hAnsi="Times New Roman" w:cs="Times New Roman"/>
        </w:rPr>
        <w:t>设计说明中应明确给水系统工作压力，试验压力为工作压力的1.5倍，但不得小于0.6MPa。</w:t>
      </w:r>
    </w:p>
    <w:p w14:paraId="3625F01B">
      <w:pPr>
        <w:spacing w:before="24" w:after="24"/>
        <w:ind w:firstLine="560" w:firstLineChars="200"/>
        <w:rPr>
          <w:rFonts w:ascii="Times New Roman" w:hAnsi="Times New Roman" w:cs="Times New Roman"/>
        </w:rPr>
      </w:pPr>
      <w:r>
        <w:rPr>
          <w:rFonts w:ascii="Times New Roman" w:hAnsi="Times New Roman" w:cs="Times New Roman"/>
        </w:rPr>
        <w:t>（2）检验方法</w:t>
      </w:r>
    </w:p>
    <w:p w14:paraId="687918A5">
      <w:pPr>
        <w:spacing w:before="24" w:after="24"/>
        <w:ind w:firstLine="560" w:firstLineChars="200"/>
        <w:rPr>
          <w:rFonts w:ascii="Times New Roman" w:hAnsi="Times New Roman" w:cs="Times New Roman"/>
        </w:rPr>
      </w:pPr>
      <w:r>
        <w:rPr>
          <w:rFonts w:ascii="Times New Roman" w:hAnsi="Times New Roman" w:cs="Times New Roman"/>
        </w:rPr>
        <w:t>金属及复合管给水管道系统在试验压力下观测10min，压力降不应大于0.02MPa，然后降到工作压力进行检查，应不渗不漏；塑料管给水系统应在试验压力下稳压1h，压力降不得超过0.05MPa，然后在工作压力的1.15倍状态下稳压2h，压力降不得超过0.03MPa，同时检查各连接处不得渗漏。</w:t>
      </w:r>
    </w:p>
    <w:p w14:paraId="08B34DCF">
      <w:pPr>
        <w:spacing w:before="24" w:after="24"/>
        <w:ind w:firstLine="560" w:firstLineChars="200"/>
        <w:rPr>
          <w:rFonts w:ascii="Times New Roman" w:hAnsi="Times New Roman" w:cs="Times New Roman"/>
        </w:rPr>
      </w:pPr>
      <w:r>
        <w:rPr>
          <w:rFonts w:ascii="Times New Roman" w:hAnsi="Times New Roman" w:cs="Times New Roman"/>
        </w:rPr>
        <w:t>8.通水试验</w:t>
      </w:r>
    </w:p>
    <w:p w14:paraId="61BCA5D6">
      <w:pPr>
        <w:spacing w:before="24" w:after="24"/>
        <w:ind w:firstLine="560" w:firstLineChars="200"/>
        <w:rPr>
          <w:rFonts w:ascii="Times New Roman" w:hAnsi="Times New Roman" w:cs="Times New Roman"/>
        </w:rPr>
      </w:pPr>
      <w:r>
        <w:rPr>
          <w:rFonts w:ascii="Times New Roman" w:hAnsi="Times New Roman" w:cs="Times New Roman"/>
        </w:rPr>
        <w:t>给水系统交付使用前必须进行通水试验，系统通水后观察和开启阀门、水嘴等放水情况，并做好记录。</w:t>
      </w:r>
    </w:p>
    <w:p w14:paraId="1D32DFF5">
      <w:pPr>
        <w:spacing w:before="24" w:after="24"/>
        <w:ind w:firstLine="560" w:firstLineChars="200"/>
        <w:rPr>
          <w:rFonts w:ascii="Times New Roman" w:hAnsi="Times New Roman" w:cs="Times New Roman"/>
        </w:rPr>
      </w:pPr>
      <w:r>
        <w:rPr>
          <w:rFonts w:ascii="Times New Roman" w:hAnsi="Times New Roman" w:cs="Times New Roman"/>
        </w:rPr>
        <w:t>9.冲洗消毒</w:t>
      </w:r>
    </w:p>
    <w:p w14:paraId="43C66BFB">
      <w:pPr>
        <w:spacing w:before="24" w:after="24"/>
        <w:ind w:firstLine="560" w:firstLineChars="200"/>
        <w:rPr>
          <w:rFonts w:ascii="Times New Roman" w:hAnsi="Times New Roman" w:cs="Times New Roman"/>
        </w:rPr>
      </w:pPr>
      <w:r>
        <w:rPr>
          <w:rFonts w:ascii="Times New Roman" w:hAnsi="Times New Roman" w:cs="Times New Roman"/>
        </w:rPr>
        <w:t>生产给水系统管道在交付使用前必须冲洗和消毒，并经有关部门取样检验，符合国家《生活饮用水标准》方可使用。</w:t>
      </w:r>
    </w:p>
    <w:p w14:paraId="2E295BF2">
      <w:pPr>
        <w:spacing w:before="24" w:after="24"/>
        <w:ind w:firstLine="562" w:firstLineChars="200"/>
        <w:outlineLvl w:val="4"/>
        <w:rPr>
          <w:rFonts w:ascii="Times New Roman" w:hAnsi="Times New Roman" w:cs="Times New Roman"/>
          <w:b/>
        </w:rPr>
      </w:pPr>
      <w:r>
        <w:rPr>
          <w:rFonts w:ascii="Times New Roman" w:hAnsi="Times New Roman" w:cs="Times New Roman"/>
          <w:b/>
        </w:rPr>
        <w:t>5.3.2室内再生水系统</w:t>
      </w:r>
    </w:p>
    <w:p w14:paraId="03B90BA4">
      <w:pPr>
        <w:spacing w:before="24" w:after="24"/>
        <w:ind w:firstLine="560" w:firstLineChars="200"/>
        <w:rPr>
          <w:rFonts w:ascii="Times New Roman" w:hAnsi="Times New Roman" w:cs="Times New Roman"/>
        </w:rPr>
      </w:pPr>
      <w:r>
        <w:rPr>
          <w:rFonts w:ascii="Times New Roman" w:hAnsi="Times New Roman" w:cs="Times New Roman"/>
        </w:rPr>
        <w:t>1.室内再生水系统</w:t>
      </w:r>
    </w:p>
    <w:p w14:paraId="6D0032F2">
      <w:pPr>
        <w:spacing w:before="24" w:after="24"/>
        <w:ind w:firstLine="560" w:firstLineChars="200"/>
        <w:rPr>
          <w:rFonts w:ascii="Times New Roman" w:hAnsi="Times New Roman" w:cs="Times New Roman"/>
        </w:rPr>
      </w:pPr>
      <w:r>
        <w:rPr>
          <w:rFonts w:ascii="Times New Roman" w:hAnsi="Times New Roman" w:cs="Times New Roman"/>
        </w:rPr>
        <w:t>充分利用市政管网压力供水，市政压力无法满足的建筑楼层，采用变频加压供水。</w:t>
      </w:r>
    </w:p>
    <w:p w14:paraId="3BAF59BD">
      <w:pPr>
        <w:spacing w:before="24" w:after="24"/>
        <w:ind w:firstLine="560" w:firstLineChars="200"/>
        <w:rPr>
          <w:rFonts w:ascii="Times New Roman" w:hAnsi="Times New Roman" w:cs="Times New Roman"/>
        </w:rPr>
      </w:pPr>
      <w:r>
        <w:rPr>
          <w:rFonts w:ascii="Times New Roman" w:hAnsi="Times New Roman" w:cs="Times New Roman"/>
        </w:rPr>
        <w:t>2.水质和防水质污染</w:t>
      </w:r>
    </w:p>
    <w:p w14:paraId="511269D2">
      <w:pPr>
        <w:spacing w:before="24" w:after="24"/>
        <w:ind w:firstLine="560" w:firstLineChars="200"/>
        <w:rPr>
          <w:rFonts w:ascii="Times New Roman" w:hAnsi="Times New Roman" w:cs="Times New Roman"/>
        </w:rPr>
      </w:pPr>
      <w:r>
        <w:rPr>
          <w:rFonts w:ascii="Times New Roman" w:hAnsi="Times New Roman" w:cs="Times New Roman"/>
        </w:rPr>
        <w:t>（1）再生水供水系统出水必须保障用水终端的日常供水水质安全可靠，严禁对人体健康和室内卫生环境产生负面影响。</w:t>
      </w:r>
    </w:p>
    <w:p w14:paraId="4A72860A">
      <w:pPr>
        <w:spacing w:before="24" w:after="24"/>
        <w:ind w:firstLine="560" w:firstLineChars="200"/>
        <w:rPr>
          <w:rFonts w:ascii="Times New Roman" w:hAnsi="Times New Roman" w:cs="Times New Roman"/>
        </w:rPr>
      </w:pPr>
      <w:r>
        <w:rPr>
          <w:rFonts w:ascii="Times New Roman" w:hAnsi="Times New Roman" w:cs="Times New Roman"/>
        </w:rPr>
        <w:t>（2）再生水供水系统与生活饮用水给水系统应分别独立设置。</w:t>
      </w:r>
    </w:p>
    <w:p w14:paraId="268D04ED">
      <w:pPr>
        <w:spacing w:before="24" w:after="24"/>
        <w:ind w:firstLine="560" w:firstLineChars="200"/>
        <w:rPr>
          <w:rFonts w:ascii="Times New Roman" w:hAnsi="Times New Roman" w:cs="Times New Roman"/>
        </w:rPr>
      </w:pPr>
      <w:r>
        <w:rPr>
          <w:rFonts w:ascii="Times New Roman" w:hAnsi="Times New Roman" w:cs="Times New Roman"/>
        </w:rPr>
        <w:t>（3）再生水管道上不得装设取水龙头。当装有取水接口时，必须采取严格的误饮、误用的防护措施。如：管网中所有组件和附属设施的显著位置应设置非传统水源的耐久标识，埋地、暗敷管道应设置连续耐久标识；管道取水接口处应设置“禁止饮用”的耐久标识；公共场所及绿化用水的取水口应设置采用专用工具才能打开的装置。</w:t>
      </w:r>
    </w:p>
    <w:p w14:paraId="0B02C308">
      <w:pPr>
        <w:spacing w:before="24" w:after="24"/>
        <w:ind w:firstLine="560" w:firstLineChars="200"/>
        <w:rPr>
          <w:rFonts w:ascii="Times New Roman" w:hAnsi="Times New Roman" w:cs="Times New Roman"/>
        </w:rPr>
      </w:pPr>
      <w:r>
        <w:rPr>
          <w:rFonts w:ascii="Times New Roman" w:hAnsi="Times New Roman" w:cs="Times New Roman"/>
        </w:rPr>
        <w:t>3.管材、附件、支吊架和水表</w:t>
      </w:r>
    </w:p>
    <w:p w14:paraId="0400AF99">
      <w:pPr>
        <w:spacing w:before="24" w:after="24"/>
        <w:ind w:firstLine="560" w:firstLineChars="200"/>
        <w:rPr>
          <w:rFonts w:ascii="Times New Roman" w:hAnsi="Times New Roman" w:cs="Times New Roman"/>
        </w:rPr>
      </w:pPr>
      <w:r>
        <w:rPr>
          <w:rFonts w:ascii="Times New Roman" w:hAnsi="Times New Roman" w:cs="Times New Roman"/>
        </w:rPr>
        <w:t>（1）管材：室内的再生水管道，应选用耐腐蚀和安装连接方便可靠的管材，可采用不锈钢管、铜管、塑料给水管和金属塑料复合管及经防腐处理的钢管。再生水系统采用的管材和管件及连接方式，应符合国家现行标准的有关规定。管材和管件及连接方式的工作压力不得大于国家现行标准中公称压力或标称的允许工作压力。</w:t>
      </w:r>
    </w:p>
    <w:p w14:paraId="295D4212">
      <w:pPr>
        <w:spacing w:before="24" w:after="24"/>
        <w:ind w:firstLine="560" w:firstLineChars="200"/>
        <w:rPr>
          <w:rFonts w:ascii="Times New Roman" w:hAnsi="Times New Roman" w:cs="Times New Roman"/>
        </w:rPr>
      </w:pPr>
      <w:r>
        <w:rPr>
          <w:rFonts w:ascii="Times New Roman" w:hAnsi="Times New Roman" w:cs="Times New Roman"/>
        </w:rPr>
        <w:t>再生水管道阀门材质应根据耐腐蚀、管径、压力等级、使用温度等因素确定，可采用全铜、全不锈钢、铁壳铜芯和全塑阀门等。阀门的公称压力不得小于管材及管件的公称压力。</w:t>
      </w:r>
    </w:p>
    <w:p w14:paraId="79BC7CEF">
      <w:pPr>
        <w:spacing w:before="24" w:after="24"/>
        <w:ind w:firstLine="560" w:firstLineChars="200"/>
        <w:rPr>
          <w:rFonts w:ascii="Times New Roman" w:hAnsi="Times New Roman" w:cs="Times New Roman"/>
        </w:rPr>
      </w:pPr>
      <w:r>
        <w:rPr>
          <w:rFonts w:ascii="Times New Roman" w:hAnsi="Times New Roman" w:cs="Times New Roman"/>
        </w:rPr>
        <w:t>（2）阀门及配件：</w:t>
      </w:r>
    </w:p>
    <w:tbl>
      <w:tblPr>
        <w:tblStyle w:val="31"/>
        <w:tblW w:w="49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1395"/>
        <w:gridCol w:w="2760"/>
        <w:gridCol w:w="1643"/>
        <w:gridCol w:w="1411"/>
        <w:gridCol w:w="1200"/>
      </w:tblGrid>
      <w:tr w14:paraId="5240A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Align w:val="center"/>
          </w:tcPr>
          <w:p w14:paraId="4F11D934">
            <w:pPr>
              <w:pStyle w:val="71"/>
              <w:spacing w:before="24" w:after="24"/>
            </w:pPr>
            <w:r>
              <w:t>序号</w:t>
            </w:r>
          </w:p>
        </w:tc>
        <w:tc>
          <w:tcPr>
            <w:tcW w:w="764" w:type="pct"/>
            <w:vAlign w:val="center"/>
          </w:tcPr>
          <w:p w14:paraId="7AC68DCF">
            <w:pPr>
              <w:pStyle w:val="71"/>
              <w:spacing w:before="24" w:after="24"/>
            </w:pPr>
            <w:r>
              <w:t>附件名称</w:t>
            </w:r>
          </w:p>
        </w:tc>
        <w:tc>
          <w:tcPr>
            <w:tcW w:w="1512" w:type="pct"/>
            <w:vAlign w:val="center"/>
          </w:tcPr>
          <w:p w14:paraId="2E3B29F3">
            <w:pPr>
              <w:pStyle w:val="71"/>
              <w:spacing w:before="24" w:after="24"/>
            </w:pPr>
            <w:r>
              <w:t>设置部位</w:t>
            </w:r>
          </w:p>
        </w:tc>
        <w:tc>
          <w:tcPr>
            <w:tcW w:w="900" w:type="pct"/>
            <w:vAlign w:val="center"/>
          </w:tcPr>
          <w:p w14:paraId="2EC50A8C">
            <w:pPr>
              <w:pStyle w:val="71"/>
              <w:spacing w:before="24" w:after="24"/>
            </w:pPr>
            <w:r>
              <w:t>设置要求</w:t>
            </w:r>
          </w:p>
        </w:tc>
        <w:tc>
          <w:tcPr>
            <w:tcW w:w="773" w:type="pct"/>
            <w:vAlign w:val="center"/>
          </w:tcPr>
          <w:p w14:paraId="58326A56">
            <w:pPr>
              <w:pStyle w:val="71"/>
              <w:spacing w:before="24" w:after="24"/>
            </w:pPr>
            <w:r>
              <w:t>材质</w:t>
            </w:r>
          </w:p>
        </w:tc>
        <w:tc>
          <w:tcPr>
            <w:tcW w:w="657" w:type="pct"/>
            <w:vAlign w:val="center"/>
          </w:tcPr>
          <w:p w14:paraId="2126380A">
            <w:pPr>
              <w:pStyle w:val="71"/>
              <w:spacing w:before="24" w:after="24"/>
            </w:pPr>
            <w:r>
              <w:t>备注</w:t>
            </w:r>
          </w:p>
        </w:tc>
      </w:tr>
      <w:tr w14:paraId="1382C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1" w:hRule="atLeast"/>
          <w:jc w:val="center"/>
        </w:trPr>
        <w:tc>
          <w:tcPr>
            <w:tcW w:w="391" w:type="pct"/>
            <w:vAlign w:val="center"/>
          </w:tcPr>
          <w:p w14:paraId="153EB3A5">
            <w:pPr>
              <w:pStyle w:val="71"/>
              <w:spacing w:before="24" w:after="24"/>
            </w:pPr>
            <w:r>
              <w:t>1</w:t>
            </w:r>
          </w:p>
        </w:tc>
        <w:tc>
          <w:tcPr>
            <w:tcW w:w="764" w:type="pct"/>
            <w:vAlign w:val="center"/>
          </w:tcPr>
          <w:p w14:paraId="217E6BF4">
            <w:pPr>
              <w:pStyle w:val="71"/>
              <w:spacing w:before="24" w:after="24"/>
            </w:pPr>
            <w:r>
              <w:t>截止阀</w:t>
            </w:r>
          </w:p>
        </w:tc>
        <w:tc>
          <w:tcPr>
            <w:tcW w:w="1512" w:type="pct"/>
            <w:vMerge w:val="restart"/>
            <w:vAlign w:val="center"/>
          </w:tcPr>
          <w:p w14:paraId="0A002D29">
            <w:pPr>
              <w:pStyle w:val="71"/>
              <w:spacing w:before="24" w:after="24"/>
              <w:jc w:val="both"/>
            </w:pPr>
            <w:r>
              <w:t>从中水干管上接出的支管起端；入户管、水表前和各分支立管；室内中水管道向公用卫生间等接出的配水管起端；加压泵房、减压阀等处应按安装要求配置</w:t>
            </w:r>
          </w:p>
        </w:tc>
        <w:tc>
          <w:tcPr>
            <w:tcW w:w="900" w:type="pct"/>
            <w:vAlign w:val="center"/>
          </w:tcPr>
          <w:p w14:paraId="43D1363E">
            <w:pPr>
              <w:pStyle w:val="71"/>
              <w:spacing w:before="24" w:after="24"/>
            </w:pPr>
            <w:r>
              <w:t>管径≤DN50</w:t>
            </w:r>
          </w:p>
        </w:tc>
        <w:tc>
          <w:tcPr>
            <w:tcW w:w="773" w:type="pct"/>
            <w:vAlign w:val="center"/>
          </w:tcPr>
          <w:p w14:paraId="4C1AB2C7">
            <w:pPr>
              <w:pStyle w:val="71"/>
              <w:spacing w:before="24" w:after="24"/>
            </w:pPr>
            <w:r>
              <w:t>不锈钢</w:t>
            </w:r>
          </w:p>
        </w:tc>
        <w:tc>
          <w:tcPr>
            <w:tcW w:w="657" w:type="pct"/>
            <w:vAlign w:val="center"/>
          </w:tcPr>
          <w:p w14:paraId="3749565C">
            <w:pPr>
              <w:pStyle w:val="71"/>
              <w:spacing w:before="24" w:after="24"/>
            </w:pPr>
          </w:p>
        </w:tc>
      </w:tr>
      <w:tr w14:paraId="6CBF5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91" w:type="pct"/>
            <w:vAlign w:val="center"/>
          </w:tcPr>
          <w:p w14:paraId="1B31853E">
            <w:pPr>
              <w:pStyle w:val="71"/>
              <w:spacing w:before="24" w:after="24"/>
            </w:pPr>
            <w:r>
              <w:t>2</w:t>
            </w:r>
          </w:p>
        </w:tc>
        <w:tc>
          <w:tcPr>
            <w:tcW w:w="764" w:type="pct"/>
            <w:vAlign w:val="center"/>
          </w:tcPr>
          <w:p w14:paraId="55D16ADF">
            <w:pPr>
              <w:pStyle w:val="71"/>
              <w:spacing w:before="24" w:after="24"/>
            </w:pPr>
            <w:r>
              <w:t>闸阀</w:t>
            </w:r>
          </w:p>
        </w:tc>
        <w:tc>
          <w:tcPr>
            <w:tcW w:w="1512" w:type="pct"/>
            <w:vMerge w:val="continue"/>
            <w:vAlign w:val="center"/>
          </w:tcPr>
          <w:p w14:paraId="5DFDD490">
            <w:pPr>
              <w:pStyle w:val="71"/>
              <w:spacing w:before="24" w:after="24"/>
              <w:jc w:val="both"/>
            </w:pPr>
          </w:p>
        </w:tc>
        <w:tc>
          <w:tcPr>
            <w:tcW w:w="900" w:type="pct"/>
            <w:vAlign w:val="center"/>
          </w:tcPr>
          <w:p w14:paraId="6DD07333">
            <w:pPr>
              <w:pStyle w:val="71"/>
              <w:spacing w:before="24" w:after="24"/>
            </w:pPr>
            <w:r>
              <w:t>管径＞DN50</w:t>
            </w:r>
          </w:p>
        </w:tc>
        <w:tc>
          <w:tcPr>
            <w:tcW w:w="773" w:type="pct"/>
            <w:vAlign w:val="center"/>
          </w:tcPr>
          <w:p w14:paraId="70E05207">
            <w:pPr>
              <w:pStyle w:val="71"/>
              <w:spacing w:before="24" w:after="24"/>
            </w:pPr>
            <w:r>
              <w:t>不锈钢</w:t>
            </w:r>
          </w:p>
        </w:tc>
        <w:tc>
          <w:tcPr>
            <w:tcW w:w="657" w:type="pct"/>
            <w:vAlign w:val="center"/>
          </w:tcPr>
          <w:p w14:paraId="68B7C2F6">
            <w:pPr>
              <w:pStyle w:val="71"/>
              <w:spacing w:before="24" w:after="24"/>
            </w:pPr>
          </w:p>
        </w:tc>
      </w:tr>
      <w:tr w14:paraId="6420B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jc w:val="center"/>
        </w:trPr>
        <w:tc>
          <w:tcPr>
            <w:tcW w:w="391" w:type="pct"/>
            <w:vMerge w:val="restart"/>
            <w:vAlign w:val="center"/>
          </w:tcPr>
          <w:p w14:paraId="029DD894">
            <w:pPr>
              <w:pStyle w:val="71"/>
              <w:spacing w:before="24" w:after="24"/>
            </w:pPr>
            <w:r>
              <w:t>3</w:t>
            </w:r>
          </w:p>
        </w:tc>
        <w:tc>
          <w:tcPr>
            <w:tcW w:w="764" w:type="pct"/>
            <w:vMerge w:val="restart"/>
            <w:vAlign w:val="center"/>
          </w:tcPr>
          <w:p w14:paraId="7C8A59D6">
            <w:pPr>
              <w:pStyle w:val="71"/>
              <w:spacing w:before="24" w:after="24"/>
            </w:pPr>
            <w:r>
              <w:t>止回阀</w:t>
            </w:r>
          </w:p>
        </w:tc>
        <w:tc>
          <w:tcPr>
            <w:tcW w:w="1512" w:type="pct"/>
            <w:vMerge w:val="restart"/>
            <w:vAlign w:val="center"/>
          </w:tcPr>
          <w:p w14:paraId="62A57029">
            <w:pPr>
              <w:pStyle w:val="71"/>
              <w:spacing w:before="24" w:after="24"/>
              <w:jc w:val="both"/>
            </w:pPr>
            <w:r>
              <w:t>用水设备的进水管上；每台水泵的出水管上</w:t>
            </w:r>
          </w:p>
        </w:tc>
        <w:tc>
          <w:tcPr>
            <w:tcW w:w="900" w:type="pct"/>
            <w:vAlign w:val="center"/>
          </w:tcPr>
          <w:p w14:paraId="7FCCCAC1">
            <w:pPr>
              <w:pStyle w:val="71"/>
              <w:spacing w:before="24" w:after="24"/>
            </w:pPr>
            <w:r>
              <w:t>管径≤DN50</w:t>
            </w:r>
          </w:p>
        </w:tc>
        <w:tc>
          <w:tcPr>
            <w:tcW w:w="773" w:type="pct"/>
            <w:vAlign w:val="center"/>
          </w:tcPr>
          <w:p w14:paraId="6E8B4399">
            <w:pPr>
              <w:pStyle w:val="71"/>
              <w:spacing w:before="24" w:after="24"/>
            </w:pPr>
            <w:r>
              <w:t>不锈钢</w:t>
            </w:r>
          </w:p>
        </w:tc>
        <w:tc>
          <w:tcPr>
            <w:tcW w:w="657" w:type="pct"/>
            <w:vAlign w:val="center"/>
          </w:tcPr>
          <w:p w14:paraId="6FAD3D97">
            <w:pPr>
              <w:pStyle w:val="71"/>
              <w:spacing w:before="24" w:after="24"/>
            </w:pPr>
          </w:p>
        </w:tc>
      </w:tr>
      <w:tr w14:paraId="403BD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391" w:type="pct"/>
            <w:vMerge w:val="continue"/>
            <w:vAlign w:val="center"/>
          </w:tcPr>
          <w:p w14:paraId="553A1E22">
            <w:pPr>
              <w:pStyle w:val="71"/>
              <w:spacing w:before="24" w:after="24"/>
            </w:pPr>
          </w:p>
        </w:tc>
        <w:tc>
          <w:tcPr>
            <w:tcW w:w="764" w:type="pct"/>
            <w:vMerge w:val="continue"/>
            <w:vAlign w:val="center"/>
          </w:tcPr>
          <w:p w14:paraId="31A2D1D3">
            <w:pPr>
              <w:pStyle w:val="71"/>
              <w:spacing w:before="24" w:after="24"/>
            </w:pPr>
          </w:p>
        </w:tc>
        <w:tc>
          <w:tcPr>
            <w:tcW w:w="1512" w:type="pct"/>
            <w:vMerge w:val="continue"/>
            <w:vAlign w:val="center"/>
          </w:tcPr>
          <w:p w14:paraId="4E584C77">
            <w:pPr>
              <w:pStyle w:val="71"/>
              <w:spacing w:before="24" w:after="24"/>
            </w:pPr>
          </w:p>
        </w:tc>
        <w:tc>
          <w:tcPr>
            <w:tcW w:w="900" w:type="pct"/>
            <w:vAlign w:val="center"/>
          </w:tcPr>
          <w:p w14:paraId="2C7A4FA4">
            <w:pPr>
              <w:pStyle w:val="71"/>
              <w:spacing w:before="24" w:after="24"/>
            </w:pPr>
            <w:r>
              <w:t>管径＞DN50</w:t>
            </w:r>
          </w:p>
        </w:tc>
        <w:tc>
          <w:tcPr>
            <w:tcW w:w="773" w:type="pct"/>
            <w:vAlign w:val="center"/>
          </w:tcPr>
          <w:p w14:paraId="6B4E1B52">
            <w:pPr>
              <w:pStyle w:val="71"/>
              <w:spacing w:before="24" w:after="24"/>
            </w:pPr>
            <w:r>
              <w:t>铸钢</w:t>
            </w:r>
          </w:p>
        </w:tc>
        <w:tc>
          <w:tcPr>
            <w:tcW w:w="657" w:type="pct"/>
            <w:vAlign w:val="center"/>
          </w:tcPr>
          <w:p w14:paraId="2E7B0357">
            <w:pPr>
              <w:pStyle w:val="71"/>
              <w:spacing w:before="24" w:after="24"/>
            </w:pPr>
          </w:p>
        </w:tc>
      </w:tr>
      <w:tr w14:paraId="0E19B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Align w:val="center"/>
          </w:tcPr>
          <w:p w14:paraId="53F8E7A4">
            <w:pPr>
              <w:pStyle w:val="71"/>
              <w:spacing w:before="24" w:after="24"/>
            </w:pPr>
            <w:r>
              <w:t>4</w:t>
            </w:r>
          </w:p>
        </w:tc>
        <w:tc>
          <w:tcPr>
            <w:tcW w:w="764" w:type="pct"/>
            <w:vAlign w:val="center"/>
          </w:tcPr>
          <w:p w14:paraId="0EDB71BF">
            <w:pPr>
              <w:pStyle w:val="71"/>
              <w:spacing w:before="24" w:after="24"/>
            </w:pPr>
            <w:r>
              <w:t>可调式减压阀</w:t>
            </w:r>
          </w:p>
        </w:tc>
        <w:tc>
          <w:tcPr>
            <w:tcW w:w="1512" w:type="pct"/>
            <w:vAlign w:val="center"/>
          </w:tcPr>
          <w:p w14:paraId="13A766D5">
            <w:pPr>
              <w:pStyle w:val="71"/>
              <w:spacing w:before="24" w:after="24"/>
              <w:jc w:val="both"/>
            </w:pPr>
            <w:r>
              <w:t>系统压力大于0.2MPa干管或支管</w:t>
            </w:r>
          </w:p>
        </w:tc>
        <w:tc>
          <w:tcPr>
            <w:tcW w:w="900" w:type="pct"/>
            <w:vAlign w:val="center"/>
          </w:tcPr>
          <w:p w14:paraId="1820C6EF">
            <w:pPr>
              <w:pStyle w:val="71"/>
              <w:spacing w:before="24" w:after="24"/>
            </w:pPr>
            <w:r>
              <w:t>——</w:t>
            </w:r>
          </w:p>
        </w:tc>
        <w:tc>
          <w:tcPr>
            <w:tcW w:w="773" w:type="pct"/>
            <w:vAlign w:val="center"/>
          </w:tcPr>
          <w:p w14:paraId="3C7C723A">
            <w:pPr>
              <w:pStyle w:val="71"/>
              <w:spacing w:before="24" w:after="24"/>
            </w:pPr>
            <w:r>
              <w:t>球墨铸铁</w:t>
            </w:r>
          </w:p>
        </w:tc>
        <w:tc>
          <w:tcPr>
            <w:tcW w:w="657" w:type="pct"/>
            <w:vAlign w:val="center"/>
          </w:tcPr>
          <w:p w14:paraId="0D36E5C7">
            <w:pPr>
              <w:pStyle w:val="71"/>
              <w:spacing w:before="24" w:after="24"/>
            </w:pPr>
          </w:p>
        </w:tc>
      </w:tr>
      <w:tr w14:paraId="3EF5E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Align w:val="center"/>
          </w:tcPr>
          <w:p w14:paraId="0C124EE8">
            <w:pPr>
              <w:pStyle w:val="71"/>
              <w:spacing w:before="24" w:after="24"/>
            </w:pPr>
            <w:r>
              <w:t>5</w:t>
            </w:r>
          </w:p>
        </w:tc>
        <w:tc>
          <w:tcPr>
            <w:tcW w:w="764" w:type="pct"/>
            <w:vAlign w:val="center"/>
          </w:tcPr>
          <w:p w14:paraId="3569C331">
            <w:pPr>
              <w:pStyle w:val="71"/>
              <w:spacing w:before="24" w:after="24"/>
            </w:pPr>
            <w:r>
              <w:t>自动排气阀</w:t>
            </w:r>
          </w:p>
        </w:tc>
        <w:tc>
          <w:tcPr>
            <w:tcW w:w="1512" w:type="pct"/>
            <w:vAlign w:val="center"/>
          </w:tcPr>
          <w:p w14:paraId="35720F62">
            <w:pPr>
              <w:pStyle w:val="71"/>
              <w:spacing w:before="24" w:after="24"/>
              <w:jc w:val="both"/>
            </w:pPr>
            <w:r>
              <w:t>管网末端或最高点处</w:t>
            </w:r>
          </w:p>
        </w:tc>
        <w:tc>
          <w:tcPr>
            <w:tcW w:w="900" w:type="pct"/>
            <w:vAlign w:val="center"/>
          </w:tcPr>
          <w:p w14:paraId="73C5019C">
            <w:pPr>
              <w:pStyle w:val="71"/>
              <w:spacing w:before="24" w:after="24"/>
            </w:pPr>
            <w:r>
              <w:t>——</w:t>
            </w:r>
          </w:p>
        </w:tc>
        <w:tc>
          <w:tcPr>
            <w:tcW w:w="773" w:type="pct"/>
            <w:vAlign w:val="center"/>
          </w:tcPr>
          <w:p w14:paraId="67DBA3CC">
            <w:pPr>
              <w:pStyle w:val="71"/>
              <w:spacing w:before="24" w:after="24"/>
            </w:pPr>
            <w:r>
              <w:t>铜及铜合金</w:t>
            </w:r>
          </w:p>
        </w:tc>
        <w:tc>
          <w:tcPr>
            <w:tcW w:w="657" w:type="pct"/>
            <w:vAlign w:val="center"/>
          </w:tcPr>
          <w:p w14:paraId="7027B920">
            <w:pPr>
              <w:pStyle w:val="71"/>
              <w:spacing w:before="24" w:after="24"/>
            </w:pPr>
          </w:p>
        </w:tc>
      </w:tr>
      <w:tr w14:paraId="12E03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Align w:val="center"/>
          </w:tcPr>
          <w:p w14:paraId="7BF85473">
            <w:pPr>
              <w:pStyle w:val="71"/>
              <w:spacing w:before="24" w:after="24"/>
            </w:pPr>
            <w:r>
              <w:t>6</w:t>
            </w:r>
          </w:p>
        </w:tc>
        <w:tc>
          <w:tcPr>
            <w:tcW w:w="764" w:type="pct"/>
            <w:vAlign w:val="center"/>
          </w:tcPr>
          <w:p w14:paraId="00CCBE1C">
            <w:pPr>
              <w:pStyle w:val="71"/>
              <w:spacing w:before="24" w:after="24"/>
            </w:pPr>
            <w:r>
              <w:t>管道过滤器</w:t>
            </w:r>
          </w:p>
        </w:tc>
        <w:tc>
          <w:tcPr>
            <w:tcW w:w="1512" w:type="pct"/>
            <w:vAlign w:val="center"/>
          </w:tcPr>
          <w:p w14:paraId="49A5F53D">
            <w:pPr>
              <w:pStyle w:val="71"/>
              <w:spacing w:before="24" w:after="24"/>
              <w:jc w:val="both"/>
            </w:pPr>
            <w:r>
              <w:t>减压阀、持压泄压阀、倒流防止器、自动水位控制阀、温度调节阀等阀件前</w:t>
            </w:r>
          </w:p>
        </w:tc>
        <w:tc>
          <w:tcPr>
            <w:tcW w:w="900" w:type="pct"/>
            <w:vAlign w:val="center"/>
          </w:tcPr>
          <w:p w14:paraId="7EBE006C">
            <w:pPr>
              <w:pStyle w:val="71"/>
              <w:spacing w:before="24" w:after="24"/>
            </w:pPr>
            <w:r>
              <w:t>——</w:t>
            </w:r>
          </w:p>
        </w:tc>
        <w:tc>
          <w:tcPr>
            <w:tcW w:w="773" w:type="pct"/>
            <w:vAlign w:val="center"/>
          </w:tcPr>
          <w:p w14:paraId="5A231DAD">
            <w:pPr>
              <w:pStyle w:val="71"/>
              <w:spacing w:before="24" w:after="24"/>
            </w:pPr>
            <w:r>
              <w:t>球墨铸铁</w:t>
            </w:r>
          </w:p>
        </w:tc>
        <w:tc>
          <w:tcPr>
            <w:tcW w:w="657" w:type="pct"/>
            <w:vAlign w:val="center"/>
          </w:tcPr>
          <w:p w14:paraId="10366C2A">
            <w:pPr>
              <w:pStyle w:val="71"/>
              <w:spacing w:before="24" w:after="24"/>
            </w:pPr>
          </w:p>
        </w:tc>
      </w:tr>
    </w:tbl>
    <w:p w14:paraId="3E233C84">
      <w:pPr>
        <w:spacing w:before="24" w:after="24"/>
        <w:ind w:firstLine="560" w:firstLineChars="200"/>
        <w:rPr>
          <w:rFonts w:ascii="Times New Roman" w:hAnsi="Times New Roman" w:cs="Times New Roman"/>
        </w:rPr>
      </w:pPr>
      <w:r>
        <w:rPr>
          <w:rFonts w:ascii="Times New Roman" w:hAnsi="Times New Roman" w:cs="Times New Roman"/>
        </w:rPr>
        <w:t>（3）支吊架技术要求同室内给水系统。</w:t>
      </w:r>
    </w:p>
    <w:p w14:paraId="68D55716">
      <w:pPr>
        <w:spacing w:before="24" w:after="24"/>
        <w:ind w:firstLine="560" w:firstLineChars="200"/>
        <w:rPr>
          <w:rFonts w:ascii="Times New Roman" w:hAnsi="Times New Roman" w:cs="Times New Roman"/>
        </w:rPr>
      </w:pPr>
      <w:r>
        <w:rPr>
          <w:rFonts w:ascii="Times New Roman" w:hAnsi="Times New Roman" w:cs="Times New Roman"/>
        </w:rPr>
        <w:t>（4）水表：各单体引入管上设置水表计量；管径≤DN50时采用旋翼干式水表，管径＞DN50时采用水平螺翼式水表。</w:t>
      </w:r>
    </w:p>
    <w:p w14:paraId="5B7ADD9A">
      <w:pPr>
        <w:spacing w:before="24" w:after="24"/>
        <w:ind w:firstLine="560" w:firstLineChars="200"/>
        <w:rPr>
          <w:rFonts w:ascii="Times New Roman" w:hAnsi="Times New Roman" w:cs="Times New Roman"/>
        </w:rPr>
      </w:pPr>
      <w:r>
        <w:rPr>
          <w:rFonts w:ascii="Times New Roman" w:hAnsi="Times New Roman" w:cs="Times New Roman"/>
        </w:rPr>
        <w:t>4.管道布置和敷设</w:t>
      </w:r>
    </w:p>
    <w:p w14:paraId="13944B65">
      <w:pPr>
        <w:spacing w:before="24" w:after="24"/>
        <w:ind w:firstLine="560" w:firstLineChars="200"/>
        <w:rPr>
          <w:rFonts w:ascii="Times New Roman" w:hAnsi="Times New Roman" w:cs="Times New Roman"/>
        </w:rPr>
      </w:pPr>
      <w:r>
        <w:rPr>
          <w:rFonts w:ascii="Times New Roman" w:hAnsi="Times New Roman" w:cs="Times New Roman"/>
        </w:rPr>
        <w:t>（1）室内再生水管道不得布置在遇水会引起燃烧、爆炸的原料、产品和设备的上面。</w:t>
      </w:r>
    </w:p>
    <w:p w14:paraId="3B1D0B21">
      <w:pPr>
        <w:spacing w:before="24" w:after="24"/>
        <w:ind w:firstLine="560" w:firstLineChars="200"/>
        <w:rPr>
          <w:rFonts w:ascii="Times New Roman" w:hAnsi="Times New Roman" w:cs="Times New Roman"/>
        </w:rPr>
      </w:pPr>
      <w:r>
        <w:rPr>
          <w:rFonts w:ascii="Times New Roman" w:hAnsi="Times New Roman" w:cs="Times New Roman"/>
        </w:rPr>
        <w:t>（2）不得穿越变配电房、电梯机房、通信机房、大中型计算机房、计算机网络中心、音像库房等遇水会损坏设备或引发事故的房间。</w:t>
      </w:r>
    </w:p>
    <w:p w14:paraId="6440B59F">
      <w:pPr>
        <w:spacing w:before="24" w:after="24"/>
        <w:ind w:firstLine="560" w:firstLineChars="200"/>
        <w:rPr>
          <w:rFonts w:ascii="Times New Roman" w:hAnsi="Times New Roman" w:cs="Times New Roman"/>
        </w:rPr>
      </w:pPr>
      <w:r>
        <w:rPr>
          <w:rFonts w:ascii="Times New Roman" w:hAnsi="Times New Roman" w:cs="Times New Roman"/>
        </w:rPr>
        <w:t>（3）不得在生产设备、配电柜上方通过。</w:t>
      </w:r>
    </w:p>
    <w:p w14:paraId="21847D4A">
      <w:pPr>
        <w:spacing w:before="24" w:after="24"/>
        <w:ind w:firstLine="560" w:firstLineChars="200"/>
        <w:rPr>
          <w:rFonts w:ascii="Times New Roman" w:hAnsi="Times New Roman" w:cs="Times New Roman"/>
        </w:rPr>
      </w:pPr>
      <w:r>
        <w:rPr>
          <w:rFonts w:ascii="Times New Roman" w:hAnsi="Times New Roman" w:cs="Times New Roman"/>
        </w:rPr>
        <w:t>（4）不得妨碍生产操作、交通运输和建筑物的使用。</w:t>
      </w:r>
    </w:p>
    <w:p w14:paraId="72C74244">
      <w:pPr>
        <w:spacing w:before="24" w:after="24"/>
        <w:ind w:firstLine="560" w:firstLineChars="200"/>
        <w:rPr>
          <w:rFonts w:ascii="Times New Roman" w:hAnsi="Times New Roman" w:cs="Times New Roman"/>
        </w:rPr>
      </w:pPr>
      <w:r>
        <w:rPr>
          <w:rFonts w:ascii="Times New Roman" w:hAnsi="Times New Roman" w:cs="Times New Roman"/>
        </w:rPr>
        <w:t>（5）再生水管道不得敷设在烟道、风道、电梯井、排水沟内。中水管道不得穿过大便槽和小便槽，且立管离大、小便槽端部不得小于0.5m。给水管道不宜穿越橱窗、壁柜。</w:t>
      </w:r>
    </w:p>
    <w:p w14:paraId="6146285B">
      <w:pPr>
        <w:spacing w:before="24" w:after="24"/>
        <w:ind w:firstLine="560" w:firstLineChars="200"/>
        <w:rPr>
          <w:rFonts w:ascii="Times New Roman" w:hAnsi="Times New Roman" w:cs="Times New Roman"/>
        </w:rPr>
      </w:pPr>
      <w:r>
        <w:rPr>
          <w:rFonts w:ascii="Times New Roman" w:hAnsi="Times New Roman" w:cs="Times New Roman"/>
        </w:rPr>
        <w:t>（6）再生水管道不宜穿越变形缝。当必须穿越时，应设置补偿管道伸缩和剪切变形的装置。</w:t>
      </w:r>
    </w:p>
    <w:p w14:paraId="5B871C6C">
      <w:pPr>
        <w:spacing w:before="24" w:after="24"/>
        <w:ind w:firstLine="560" w:firstLineChars="200"/>
        <w:rPr>
          <w:rFonts w:ascii="Times New Roman" w:hAnsi="Times New Roman" w:cs="Times New Roman"/>
        </w:rPr>
      </w:pPr>
      <w:r>
        <w:rPr>
          <w:rFonts w:ascii="Times New Roman" w:hAnsi="Times New Roman" w:cs="Times New Roman"/>
        </w:rPr>
        <w:t>（7）尽可能与墙、梁、柱平行，呈直线走向，力求管路简短。</w:t>
      </w:r>
    </w:p>
    <w:p w14:paraId="695A549E">
      <w:pPr>
        <w:spacing w:before="24" w:after="24"/>
        <w:ind w:firstLine="560" w:firstLineChars="200"/>
        <w:rPr>
          <w:rFonts w:ascii="Times New Roman" w:hAnsi="Times New Roman" w:cs="Times New Roman"/>
        </w:rPr>
      </w:pPr>
      <w:r>
        <w:rPr>
          <w:rFonts w:ascii="Times New Roman" w:hAnsi="Times New Roman" w:cs="Times New Roman"/>
        </w:rPr>
        <w:t>干管应布置在用水量大或不允许间断供水的配水点附近，利于供水安全，减少流程中不合理的转输流量。</w:t>
      </w:r>
    </w:p>
    <w:p w14:paraId="496D1521">
      <w:pPr>
        <w:spacing w:before="24" w:after="24"/>
        <w:ind w:firstLine="560" w:firstLineChars="200"/>
        <w:rPr>
          <w:rFonts w:ascii="Times New Roman" w:hAnsi="Times New Roman" w:cs="Times New Roman"/>
        </w:rPr>
      </w:pPr>
      <w:r>
        <w:rPr>
          <w:rFonts w:ascii="Times New Roman" w:hAnsi="Times New Roman" w:cs="Times New Roman"/>
        </w:rPr>
        <w:t>（8）埋地敷设的再生水管道不应布置在可能受重物压坏处。管道不得穿越生产设备基础，在特殊情况下必须穿越时，应采取有效的保护措施。</w:t>
      </w:r>
    </w:p>
    <w:p w14:paraId="78D063C2">
      <w:pPr>
        <w:spacing w:before="24" w:after="24"/>
        <w:ind w:firstLine="560" w:firstLineChars="200"/>
        <w:rPr>
          <w:rFonts w:ascii="Times New Roman" w:hAnsi="Times New Roman" w:cs="Times New Roman"/>
        </w:rPr>
      </w:pPr>
      <w:r>
        <w:rPr>
          <w:rFonts w:ascii="Times New Roman" w:hAnsi="Times New Roman" w:cs="Times New Roman"/>
        </w:rPr>
        <w:t>（9）水平再生水干管沿隔震层、地下室或屋面敷设，尽量减少或避免在功能房间和公共走道敷设。</w:t>
      </w:r>
    </w:p>
    <w:p w14:paraId="6D900255">
      <w:pPr>
        <w:spacing w:before="24" w:after="24"/>
        <w:ind w:firstLine="560" w:firstLineChars="200"/>
        <w:rPr>
          <w:rFonts w:ascii="Times New Roman" w:hAnsi="Times New Roman" w:cs="Times New Roman"/>
        </w:rPr>
      </w:pPr>
      <w:r>
        <w:rPr>
          <w:rFonts w:ascii="Times New Roman" w:hAnsi="Times New Roman" w:cs="Times New Roman"/>
        </w:rPr>
        <w:t>（10）冷、热水管道同时安装应符合下列规定：</w:t>
      </w:r>
    </w:p>
    <w:p w14:paraId="48B676A2">
      <w:pPr>
        <w:spacing w:before="24" w:after="24"/>
        <w:ind w:firstLine="560" w:firstLineChars="200"/>
        <w:rPr>
          <w:rFonts w:ascii="Times New Roman" w:hAnsi="Times New Roman" w:cs="Times New Roman"/>
        </w:rPr>
      </w:pPr>
      <w:r>
        <w:rPr>
          <w:rFonts w:ascii="Times New Roman" w:hAnsi="Times New Roman" w:cs="Times New Roman"/>
        </w:rPr>
        <w:t>1）上、下平行安装时热水管应在冷水管上方。</w:t>
      </w:r>
    </w:p>
    <w:p w14:paraId="1AF1F327">
      <w:pPr>
        <w:spacing w:before="24" w:after="24"/>
        <w:ind w:firstLine="560" w:firstLineChars="200"/>
        <w:rPr>
          <w:rFonts w:ascii="Times New Roman" w:hAnsi="Times New Roman" w:cs="Times New Roman"/>
        </w:rPr>
      </w:pPr>
      <w:r>
        <w:rPr>
          <w:rFonts w:ascii="Times New Roman" w:hAnsi="Times New Roman" w:cs="Times New Roman"/>
        </w:rPr>
        <w:t>2）垂直平行安装时热水管应在冷水管左侧。</w:t>
      </w:r>
    </w:p>
    <w:p w14:paraId="4F09F1E3">
      <w:pPr>
        <w:spacing w:before="24" w:after="24"/>
        <w:ind w:firstLine="560" w:firstLineChars="200"/>
        <w:rPr>
          <w:rFonts w:ascii="Times New Roman" w:hAnsi="Times New Roman" w:cs="Times New Roman"/>
        </w:rPr>
      </w:pPr>
      <w:r>
        <w:rPr>
          <w:rFonts w:ascii="Times New Roman" w:hAnsi="Times New Roman" w:cs="Times New Roman"/>
        </w:rPr>
        <w:t>（11）再生水引入管与排水排出管的水平净距不得小于1m。室内再生水与排水管道平行敷设时，两管间的最小水平净距不得小于0.5m；交叉铺设时，垂直净距不得小于0.15m。再生水管应铺在排水管上面，若再生水管必须铺在排水管的下面时，再生水管应加套管，其长度不得小于排水管管径的3倍。</w:t>
      </w:r>
    </w:p>
    <w:p w14:paraId="4B917FAF">
      <w:pPr>
        <w:spacing w:before="24" w:after="24"/>
        <w:ind w:firstLine="560" w:firstLineChars="200"/>
        <w:rPr>
          <w:rFonts w:ascii="Times New Roman" w:hAnsi="Times New Roman" w:cs="Times New Roman"/>
        </w:rPr>
      </w:pPr>
      <w:r>
        <w:rPr>
          <w:rFonts w:ascii="Times New Roman" w:hAnsi="Times New Roman" w:cs="Times New Roman"/>
        </w:rPr>
        <w:t>（12）再生水水平管道应有2‰～5‰的坡度坡向泄水装置。</w:t>
      </w:r>
    </w:p>
    <w:p w14:paraId="27DC3DD5">
      <w:pPr>
        <w:spacing w:before="24" w:after="24"/>
        <w:ind w:firstLine="560" w:firstLineChars="200"/>
        <w:rPr>
          <w:rFonts w:ascii="Times New Roman" w:hAnsi="Times New Roman" w:cs="Times New Roman"/>
        </w:rPr>
      </w:pPr>
      <w:r>
        <w:rPr>
          <w:rFonts w:ascii="Times New Roman" w:hAnsi="Times New Roman" w:cs="Times New Roman"/>
        </w:rPr>
        <w:t>5.水压试验</w:t>
      </w:r>
    </w:p>
    <w:p w14:paraId="473CE560">
      <w:pPr>
        <w:spacing w:before="24" w:after="24"/>
        <w:ind w:firstLine="560" w:firstLineChars="200"/>
        <w:rPr>
          <w:rFonts w:ascii="Times New Roman" w:hAnsi="Times New Roman" w:cs="Times New Roman"/>
        </w:rPr>
      </w:pPr>
      <w:r>
        <w:rPr>
          <w:rFonts w:ascii="Times New Roman" w:hAnsi="Times New Roman" w:cs="Times New Roman"/>
        </w:rPr>
        <w:t>（1）试验压力</w:t>
      </w:r>
    </w:p>
    <w:p w14:paraId="06387B48">
      <w:pPr>
        <w:spacing w:before="24" w:after="24"/>
        <w:ind w:firstLine="560" w:firstLineChars="200"/>
        <w:rPr>
          <w:rFonts w:ascii="Times New Roman" w:hAnsi="Times New Roman" w:cs="Times New Roman"/>
        </w:rPr>
      </w:pPr>
      <w:r>
        <w:rPr>
          <w:rFonts w:ascii="Times New Roman" w:hAnsi="Times New Roman" w:cs="Times New Roman"/>
        </w:rPr>
        <w:t>设计说明中应明确给水系统工作压力，试验压力为工作压力的1.5倍，但不得小于0.6MPa。</w:t>
      </w:r>
    </w:p>
    <w:p w14:paraId="3FDE1FBF">
      <w:pPr>
        <w:spacing w:before="24" w:after="24"/>
        <w:ind w:firstLine="560" w:firstLineChars="200"/>
        <w:rPr>
          <w:rFonts w:ascii="Times New Roman" w:hAnsi="Times New Roman" w:cs="Times New Roman"/>
        </w:rPr>
      </w:pPr>
      <w:r>
        <w:rPr>
          <w:rFonts w:ascii="Times New Roman" w:hAnsi="Times New Roman" w:cs="Times New Roman"/>
        </w:rPr>
        <w:t>（2）检验方法</w:t>
      </w:r>
    </w:p>
    <w:p w14:paraId="4774AAC4">
      <w:pPr>
        <w:spacing w:before="24" w:after="24"/>
        <w:ind w:firstLine="560" w:firstLineChars="200"/>
        <w:rPr>
          <w:rFonts w:ascii="Times New Roman" w:hAnsi="Times New Roman" w:cs="Times New Roman"/>
        </w:rPr>
      </w:pPr>
      <w:r>
        <w:rPr>
          <w:rFonts w:ascii="Times New Roman" w:hAnsi="Times New Roman" w:cs="Times New Roman"/>
        </w:rPr>
        <w:t>金属及复合管给水管道系统在试验压力下观测10min，压力降不应大于0.02MPa，然后降到工作压力进行检查，应不渗不漏；塑料管给水系统应在试验压力下稳压1h，压力降不得超过0.05MPa，然后在工作压力的1.15倍状态下稳压2h，压力降不得超过0.03MPa，同时检查各连接处不得渗漏。</w:t>
      </w:r>
    </w:p>
    <w:p w14:paraId="61C80CE0">
      <w:pPr>
        <w:spacing w:before="24" w:after="24"/>
        <w:ind w:firstLine="560" w:firstLineChars="200"/>
        <w:rPr>
          <w:rFonts w:ascii="Times New Roman" w:hAnsi="Times New Roman" w:cs="Times New Roman"/>
        </w:rPr>
      </w:pPr>
      <w:r>
        <w:rPr>
          <w:rFonts w:ascii="Times New Roman" w:hAnsi="Times New Roman" w:cs="Times New Roman"/>
        </w:rPr>
        <w:t>6.通水试验</w:t>
      </w:r>
    </w:p>
    <w:p w14:paraId="52A2C7E3">
      <w:pPr>
        <w:spacing w:before="24" w:after="24"/>
        <w:ind w:firstLine="560" w:firstLineChars="200"/>
        <w:rPr>
          <w:rFonts w:ascii="Times New Roman" w:hAnsi="Times New Roman" w:cs="Times New Roman"/>
        </w:rPr>
      </w:pPr>
      <w:r>
        <w:rPr>
          <w:rFonts w:ascii="Times New Roman" w:hAnsi="Times New Roman" w:cs="Times New Roman"/>
        </w:rPr>
        <w:t>给水系统交付使用前必须进行通水试验，系统通水后观察和开启阀门、水嘴等放水情况，并做好记录。</w:t>
      </w:r>
    </w:p>
    <w:p w14:paraId="49DB397D">
      <w:pPr>
        <w:spacing w:before="24" w:after="24"/>
        <w:ind w:firstLine="562" w:firstLineChars="200"/>
        <w:outlineLvl w:val="4"/>
        <w:rPr>
          <w:rFonts w:ascii="Times New Roman" w:hAnsi="Times New Roman" w:cs="Times New Roman"/>
          <w:b/>
        </w:rPr>
      </w:pPr>
      <w:r>
        <w:rPr>
          <w:rFonts w:ascii="Times New Roman" w:hAnsi="Times New Roman" w:cs="Times New Roman"/>
          <w:b/>
        </w:rPr>
        <w:t>5.3.3室内排水系统</w:t>
      </w:r>
    </w:p>
    <w:p w14:paraId="7A394B12">
      <w:pPr>
        <w:spacing w:before="24" w:after="24"/>
        <w:ind w:firstLine="560" w:firstLineChars="200"/>
        <w:rPr>
          <w:rFonts w:ascii="Times New Roman" w:hAnsi="Times New Roman" w:cs="Times New Roman"/>
        </w:rPr>
      </w:pPr>
      <w:r>
        <w:rPr>
          <w:rFonts w:ascii="Times New Roman" w:hAnsi="Times New Roman" w:cs="Times New Roman"/>
        </w:rPr>
        <w:t>1.室内排水系统</w:t>
      </w:r>
    </w:p>
    <w:p w14:paraId="0301E981">
      <w:pPr>
        <w:spacing w:before="24" w:after="24"/>
        <w:ind w:firstLine="560" w:firstLineChars="200"/>
        <w:rPr>
          <w:rFonts w:ascii="Times New Roman" w:hAnsi="Times New Roman" w:cs="Times New Roman"/>
        </w:rPr>
      </w:pPr>
      <w:r>
        <w:rPr>
          <w:rFonts w:ascii="Times New Roman" w:hAnsi="Times New Roman" w:cs="Times New Roman"/>
        </w:rPr>
        <w:t>采用生活污水与生活废水合流排水系统。</w:t>
      </w:r>
    </w:p>
    <w:p w14:paraId="7B67A5FE">
      <w:pPr>
        <w:spacing w:before="24" w:after="24"/>
        <w:ind w:firstLine="560" w:firstLineChars="200"/>
        <w:rPr>
          <w:rFonts w:ascii="Times New Roman" w:hAnsi="Times New Roman" w:cs="Times New Roman"/>
        </w:rPr>
      </w:pPr>
      <w:r>
        <w:rPr>
          <w:rFonts w:ascii="Times New Roman" w:hAnsi="Times New Roman" w:cs="Times New Roman"/>
        </w:rPr>
        <w:t>2.一般规定</w:t>
      </w:r>
    </w:p>
    <w:p w14:paraId="525800F4">
      <w:pPr>
        <w:spacing w:before="24" w:after="24"/>
        <w:ind w:firstLine="560" w:firstLineChars="200"/>
        <w:rPr>
          <w:rFonts w:ascii="Times New Roman" w:hAnsi="Times New Roman" w:cs="Times New Roman"/>
        </w:rPr>
      </w:pPr>
      <w:r>
        <w:rPr>
          <w:rFonts w:ascii="Times New Roman" w:hAnsi="Times New Roman" w:cs="Times New Roman"/>
        </w:rPr>
        <w:t>优先采用重力流，并以管线最短、转弯最少为原则，使管道水力条件良好，当不能自流排水或会发生倒灌时，应采用机械提升排水。</w:t>
      </w:r>
    </w:p>
    <w:p w14:paraId="15296EFA">
      <w:pPr>
        <w:spacing w:before="24" w:after="24"/>
        <w:ind w:firstLine="560" w:firstLineChars="200"/>
        <w:rPr>
          <w:rFonts w:ascii="Times New Roman" w:hAnsi="Times New Roman" w:cs="Times New Roman"/>
        </w:rPr>
      </w:pPr>
      <w:r>
        <w:rPr>
          <w:rFonts w:ascii="Times New Roman" w:hAnsi="Times New Roman" w:cs="Times New Roman"/>
        </w:rPr>
        <w:t>3.管材、配件</w:t>
      </w:r>
    </w:p>
    <w:p w14:paraId="71933A98">
      <w:pPr>
        <w:spacing w:before="24" w:after="24"/>
        <w:ind w:firstLine="560" w:firstLineChars="200"/>
        <w:rPr>
          <w:rFonts w:ascii="Times New Roman" w:hAnsi="Times New Roman" w:cs="Times New Roman"/>
        </w:rPr>
      </w:pPr>
      <w:r>
        <w:rPr>
          <w:rFonts w:ascii="Times New Roman" w:hAnsi="Times New Roman" w:cs="Times New Roman"/>
        </w:rPr>
        <w:t>室内生活排水管道应采用建筑排水塑料管材、柔性接口机制排水铸铁管及相应管件；通气管材宜与排水管管材一致；当连续排水温度大于40℃时，应采用金属排水管或耐热塑料排水管；压力排水管道可采用耐压塑料管、金属管或钢塑复合管。</w:t>
      </w:r>
    </w:p>
    <w:p w14:paraId="383BC7E3">
      <w:pPr>
        <w:spacing w:before="24" w:after="24"/>
        <w:ind w:firstLine="560" w:firstLineChars="200"/>
        <w:rPr>
          <w:rFonts w:ascii="Times New Roman" w:hAnsi="Times New Roman" w:cs="Times New Roman"/>
        </w:rPr>
      </w:pPr>
      <w:r>
        <w:rPr>
          <w:rFonts w:ascii="Times New Roman" w:hAnsi="Times New Roman" w:cs="Times New Roman"/>
        </w:rPr>
        <w:t>4.卫生器具、地漏及存水弯</w:t>
      </w:r>
    </w:p>
    <w:p w14:paraId="6870343E">
      <w:pPr>
        <w:spacing w:before="24" w:after="24"/>
        <w:ind w:firstLine="560" w:firstLineChars="200"/>
        <w:rPr>
          <w:rFonts w:ascii="Times New Roman" w:hAnsi="Times New Roman" w:cs="Times New Roman"/>
        </w:rPr>
      </w:pPr>
      <w:r>
        <w:rPr>
          <w:rFonts w:ascii="Times New Roman" w:hAnsi="Times New Roman" w:cs="Times New Roman"/>
        </w:rPr>
        <w:t>（1）卫生器具：蹲式大便器采用自带存水弯大便器。</w:t>
      </w:r>
    </w:p>
    <w:p w14:paraId="33911421">
      <w:pPr>
        <w:spacing w:before="24" w:after="24"/>
        <w:ind w:firstLine="560" w:firstLineChars="200"/>
        <w:rPr>
          <w:rFonts w:ascii="Times New Roman" w:hAnsi="Times New Roman" w:cs="Times New Roman"/>
        </w:rPr>
      </w:pPr>
      <w:r>
        <w:rPr>
          <w:rFonts w:ascii="Times New Roman" w:hAnsi="Times New Roman" w:cs="Times New Roman"/>
        </w:rPr>
        <w:t>（2）地漏：食堂、厨房和公共浴室等排水宜设置网筐式地漏;不经常排水的场所设置地漏时，应采用密闭地漏；事故排水地漏不宜设水封，连接地漏的排水管道应采用间接排水；设备排水应采用直通式地漏；地下车库如有消防排水时，宜设置大流量专用地漏。</w:t>
      </w:r>
    </w:p>
    <w:p w14:paraId="5FBDF527">
      <w:pPr>
        <w:spacing w:before="24" w:after="24"/>
        <w:ind w:firstLine="560" w:firstLineChars="200"/>
        <w:rPr>
          <w:rFonts w:ascii="Times New Roman" w:hAnsi="Times New Roman" w:cs="Times New Roman"/>
        </w:rPr>
      </w:pPr>
      <w:r>
        <w:rPr>
          <w:rFonts w:ascii="Times New Roman" w:hAnsi="Times New Roman" w:cs="Times New Roman"/>
        </w:rPr>
        <w:t>（3）存水弯：构造内无存水弯的卫生器具、无水封的地漏、其他设备的排水口或排水沟的排水口必须设置存水弯。水封装置的水封深度不得小于50mm，卫生器具排水管段上不得重复设置水封。</w:t>
      </w:r>
    </w:p>
    <w:p w14:paraId="1572B7BB">
      <w:pPr>
        <w:spacing w:before="24" w:after="24"/>
        <w:ind w:firstLine="560" w:firstLineChars="200"/>
        <w:rPr>
          <w:rFonts w:ascii="Times New Roman" w:hAnsi="Times New Roman" w:cs="Times New Roman"/>
        </w:rPr>
      </w:pPr>
      <w:r>
        <w:rPr>
          <w:rFonts w:ascii="Times New Roman" w:hAnsi="Times New Roman" w:cs="Times New Roman"/>
        </w:rPr>
        <w:t>5.管道布置和敷设</w:t>
      </w:r>
    </w:p>
    <w:p w14:paraId="6CFF3D40">
      <w:pPr>
        <w:spacing w:before="24" w:after="24"/>
        <w:ind w:firstLine="560" w:firstLineChars="200"/>
        <w:rPr>
          <w:rFonts w:ascii="Times New Roman" w:hAnsi="Times New Roman" w:cs="Times New Roman"/>
        </w:rPr>
      </w:pPr>
      <w:r>
        <w:rPr>
          <w:rFonts w:ascii="Times New Roman" w:hAnsi="Times New Roman" w:cs="Times New Roman"/>
        </w:rPr>
        <w:t>（1）不得穿越卧室、客房、病房和宿舍等人员居住的房间，生活饮用水池（箱）上方，遇水会引起燃烧、爆炸的原料、产品和设备的上面，食堂厨房和饮食业厨房的主副食操作、烹调和备餐的上方。</w:t>
      </w:r>
    </w:p>
    <w:p w14:paraId="16DDA28F">
      <w:pPr>
        <w:spacing w:before="24" w:after="24"/>
        <w:ind w:firstLine="560" w:firstLineChars="200"/>
        <w:rPr>
          <w:rFonts w:ascii="Times New Roman" w:hAnsi="Times New Roman" w:cs="Times New Roman"/>
        </w:rPr>
      </w:pPr>
      <w:r>
        <w:rPr>
          <w:rFonts w:ascii="Times New Roman" w:hAnsi="Times New Roman" w:cs="Times New Roman"/>
        </w:rPr>
        <w:t>（2）自卫生器具排至室外检查井的距离应最短，管道转弯应最少。</w:t>
      </w:r>
    </w:p>
    <w:p w14:paraId="4FB2076A">
      <w:pPr>
        <w:spacing w:before="24" w:after="24"/>
        <w:ind w:firstLine="560" w:firstLineChars="200"/>
        <w:rPr>
          <w:rFonts w:ascii="Times New Roman" w:hAnsi="Times New Roman" w:cs="Times New Roman"/>
        </w:rPr>
      </w:pPr>
      <w:r>
        <w:rPr>
          <w:rFonts w:ascii="Times New Roman" w:hAnsi="Times New Roman" w:cs="Times New Roman"/>
        </w:rPr>
        <w:t>（3）排水立管宜靠近排水量最大或水质最差的排水点。</w:t>
      </w:r>
    </w:p>
    <w:p w14:paraId="7BD34193">
      <w:pPr>
        <w:spacing w:before="24" w:after="24"/>
        <w:ind w:firstLine="560" w:firstLineChars="200"/>
        <w:rPr>
          <w:rFonts w:ascii="Times New Roman" w:hAnsi="Times New Roman" w:cs="Times New Roman"/>
        </w:rPr>
      </w:pPr>
      <w:r>
        <w:rPr>
          <w:rFonts w:ascii="Times New Roman" w:hAnsi="Times New Roman" w:cs="Times New Roman"/>
        </w:rPr>
        <w:t>（4）排水管道不得敷设在食品和贵重商品仓库、通风小室、电气机房和电梯机房内。</w:t>
      </w:r>
    </w:p>
    <w:p w14:paraId="72879CF6">
      <w:pPr>
        <w:spacing w:before="24" w:after="24"/>
        <w:ind w:firstLine="560" w:firstLineChars="200"/>
        <w:rPr>
          <w:rFonts w:ascii="Times New Roman" w:hAnsi="Times New Roman" w:cs="Times New Roman"/>
        </w:rPr>
      </w:pPr>
      <w:r>
        <w:rPr>
          <w:rFonts w:ascii="Times New Roman" w:hAnsi="Times New Roman" w:cs="Times New Roman"/>
        </w:rPr>
        <w:t>（5）排水管道不得穿过变形缝、烟道和风道;当排水管道必须穿过变形缝时，应采取相应技术措施。</w:t>
      </w:r>
    </w:p>
    <w:p w14:paraId="579D6D3F">
      <w:pPr>
        <w:spacing w:before="24" w:after="24"/>
        <w:ind w:firstLine="560" w:firstLineChars="200"/>
        <w:rPr>
          <w:rFonts w:ascii="Times New Roman" w:hAnsi="Times New Roman" w:cs="Times New Roman"/>
        </w:rPr>
      </w:pPr>
      <w:r>
        <w:rPr>
          <w:rFonts w:ascii="Times New Roman" w:hAnsi="Times New Roman" w:cs="Times New Roman"/>
        </w:rPr>
        <w:t>（6）排水埋地管道不得布置在可能受重物压坏处或穿越生产设备基础。</w:t>
      </w:r>
    </w:p>
    <w:p w14:paraId="4D74E8AC">
      <w:pPr>
        <w:spacing w:before="24" w:after="24"/>
        <w:ind w:firstLine="560" w:firstLineChars="200"/>
        <w:rPr>
          <w:rFonts w:ascii="Times New Roman" w:hAnsi="Times New Roman" w:cs="Times New Roman"/>
        </w:rPr>
      </w:pPr>
      <w:r>
        <w:rPr>
          <w:rFonts w:ascii="Times New Roman" w:hAnsi="Times New Roman" w:cs="Times New Roman"/>
        </w:rPr>
        <w:t>（7）排水管、通气管不得穿越住户客厅、餐厅，排水立管不宜靠近与卧室相邻的内墙。</w:t>
      </w:r>
    </w:p>
    <w:p w14:paraId="190EDFB6">
      <w:pPr>
        <w:spacing w:before="24" w:after="24"/>
        <w:ind w:firstLine="560" w:firstLineChars="200"/>
        <w:rPr>
          <w:rFonts w:ascii="Times New Roman" w:hAnsi="Times New Roman" w:cs="Times New Roman"/>
        </w:rPr>
      </w:pPr>
      <w:r>
        <w:rPr>
          <w:rFonts w:ascii="Times New Roman" w:hAnsi="Times New Roman" w:cs="Times New Roman"/>
        </w:rPr>
        <w:t>（8）排水管道不宜穿越橱窗、壁柜，不得穿越贮藏室。</w:t>
      </w:r>
    </w:p>
    <w:p w14:paraId="6AA8F8B2">
      <w:pPr>
        <w:spacing w:before="24" w:after="24"/>
        <w:ind w:firstLine="560" w:firstLineChars="200"/>
        <w:rPr>
          <w:rFonts w:ascii="Times New Roman" w:hAnsi="Times New Roman" w:cs="Times New Roman"/>
        </w:rPr>
      </w:pPr>
      <w:r>
        <w:rPr>
          <w:rFonts w:ascii="Times New Roman" w:hAnsi="Times New Roman" w:cs="Times New Roman"/>
        </w:rPr>
        <w:t>排水管道不应布置在易受机械撞击处</w:t>
      </w:r>
      <w:r>
        <w:rPr>
          <w:rFonts w:hint="eastAsia" w:ascii="Times New Roman" w:hAnsi="Times New Roman" w:cs="Times New Roman"/>
        </w:rPr>
        <w:t>；</w:t>
      </w:r>
      <w:r>
        <w:rPr>
          <w:rFonts w:ascii="Times New Roman" w:hAnsi="Times New Roman" w:cs="Times New Roman"/>
        </w:rPr>
        <w:t>当不能避免时，应采取保护措施。</w:t>
      </w:r>
    </w:p>
    <w:p w14:paraId="6F59AB9D">
      <w:pPr>
        <w:spacing w:before="24" w:after="24"/>
        <w:ind w:firstLine="560" w:firstLineChars="200"/>
        <w:rPr>
          <w:rFonts w:ascii="Times New Roman" w:hAnsi="Times New Roman" w:cs="Times New Roman"/>
        </w:rPr>
      </w:pPr>
      <w:r>
        <w:rPr>
          <w:rFonts w:ascii="Times New Roman" w:hAnsi="Times New Roman" w:cs="Times New Roman"/>
        </w:rPr>
        <w:t>（9）塑料排水管不应布置在热源附近;当不能避免，并导致管道表面受热温度大于60℃时，应采取隔热措施</w:t>
      </w:r>
      <w:r>
        <w:rPr>
          <w:rFonts w:hint="eastAsia" w:ascii="Times New Roman" w:hAnsi="Times New Roman" w:cs="Times New Roman"/>
        </w:rPr>
        <w:t>；</w:t>
      </w:r>
      <w:r>
        <w:rPr>
          <w:rFonts w:ascii="Times New Roman" w:hAnsi="Times New Roman" w:cs="Times New Roman"/>
        </w:rPr>
        <w:t>塑料排水立管与家用灶具边净距不得小于0.4m。</w:t>
      </w:r>
    </w:p>
    <w:p w14:paraId="5E1995E7">
      <w:pPr>
        <w:spacing w:before="24" w:after="24"/>
        <w:ind w:firstLine="560" w:firstLineChars="200"/>
        <w:rPr>
          <w:rFonts w:ascii="Times New Roman" w:hAnsi="Times New Roman" w:cs="Times New Roman"/>
        </w:rPr>
      </w:pPr>
      <w:r>
        <w:rPr>
          <w:rFonts w:ascii="Times New Roman" w:hAnsi="Times New Roman" w:cs="Times New Roman"/>
        </w:rPr>
        <w:t>（10）防结露：当排水管道外表面可能结露时，应根据建筑物性质和使用要求，采取防结露措施。</w:t>
      </w:r>
    </w:p>
    <w:p w14:paraId="1698A01A">
      <w:pPr>
        <w:spacing w:before="24" w:after="24"/>
        <w:ind w:firstLine="560" w:firstLineChars="200"/>
        <w:rPr>
          <w:rFonts w:ascii="Times New Roman" w:hAnsi="Times New Roman" w:cs="Times New Roman"/>
        </w:rPr>
      </w:pPr>
      <w:r>
        <w:rPr>
          <w:rFonts w:ascii="Times New Roman" w:hAnsi="Times New Roman" w:cs="Times New Roman"/>
        </w:rPr>
        <w:t>（11）同层排水：单元式住宅卫及联排住宅卫生间下层为其他房间的，做同层排水，安装马桶应降板350mm，安装蹲坑降板450mm。</w:t>
      </w:r>
    </w:p>
    <w:p w14:paraId="7842CF79">
      <w:pPr>
        <w:spacing w:before="24" w:after="24"/>
        <w:ind w:firstLine="560" w:firstLineChars="200"/>
        <w:rPr>
          <w:rFonts w:ascii="Times New Roman" w:hAnsi="Times New Roman" w:cs="Times New Roman"/>
        </w:rPr>
      </w:pPr>
      <w:r>
        <w:rPr>
          <w:rFonts w:ascii="Times New Roman" w:hAnsi="Times New Roman" w:cs="Times New Roman"/>
        </w:rPr>
        <w:t>异层排水：联排住宅卫生间上下层对齐时，做异层排水，安装马桶应降板50mm。</w:t>
      </w:r>
    </w:p>
    <w:p w14:paraId="361E407B">
      <w:pPr>
        <w:spacing w:before="24" w:after="24"/>
        <w:ind w:firstLine="560" w:firstLineChars="200"/>
        <w:rPr>
          <w:rFonts w:ascii="Times New Roman" w:hAnsi="Times New Roman" w:cs="Times New Roman"/>
        </w:rPr>
      </w:pPr>
      <w:r>
        <w:rPr>
          <w:rFonts w:ascii="Times New Roman" w:hAnsi="Times New Roman" w:cs="Times New Roman"/>
        </w:rPr>
        <w:t>（12）间接排水：生活饮用水贮水箱（池）的泄水管和溢流管，开水器、热水器排水、空调设备冷凝水的排水，贮存食品或饮料的冷藏库房的地面排水和冷风机溶霜水盘的排水采取间接排水的方式。</w:t>
      </w:r>
    </w:p>
    <w:p w14:paraId="419C7B56">
      <w:pPr>
        <w:spacing w:before="24" w:after="24"/>
        <w:ind w:firstLine="560" w:firstLineChars="200"/>
        <w:rPr>
          <w:rFonts w:ascii="Times New Roman" w:hAnsi="Times New Roman" w:cs="Times New Roman"/>
        </w:rPr>
      </w:pPr>
      <w:r>
        <w:rPr>
          <w:rFonts w:ascii="Times New Roman" w:hAnsi="Times New Roman" w:cs="Times New Roman"/>
        </w:rPr>
        <w:t>（13）室内生活废水排水沟与室外生活污水管道连接处，应设水封装置。</w:t>
      </w:r>
    </w:p>
    <w:p w14:paraId="2B34651D">
      <w:pPr>
        <w:spacing w:before="24" w:after="24"/>
        <w:ind w:firstLine="562" w:firstLineChars="200"/>
        <w:outlineLvl w:val="4"/>
        <w:rPr>
          <w:rFonts w:ascii="Times New Roman" w:hAnsi="Times New Roman" w:cs="Times New Roman"/>
          <w:b/>
        </w:rPr>
      </w:pPr>
      <w:r>
        <w:rPr>
          <w:rFonts w:ascii="Times New Roman" w:hAnsi="Times New Roman" w:cs="Times New Roman"/>
          <w:b/>
        </w:rPr>
        <w:t>5.3.4建筑雨水系统</w:t>
      </w:r>
    </w:p>
    <w:p w14:paraId="1417DF55">
      <w:pPr>
        <w:spacing w:before="24" w:after="24"/>
        <w:ind w:firstLine="560" w:firstLineChars="200"/>
        <w:rPr>
          <w:rFonts w:ascii="Times New Roman" w:hAnsi="Times New Roman" w:cs="Times New Roman"/>
        </w:rPr>
      </w:pPr>
      <w:r>
        <w:rPr>
          <w:rFonts w:ascii="Times New Roman" w:hAnsi="Times New Roman" w:cs="Times New Roman"/>
        </w:rPr>
        <w:t>1.建筑雨水系统</w:t>
      </w:r>
    </w:p>
    <w:p w14:paraId="72DF7287">
      <w:pPr>
        <w:spacing w:before="24" w:after="24"/>
        <w:ind w:firstLine="560" w:firstLineChars="200"/>
        <w:rPr>
          <w:rFonts w:ascii="Times New Roman" w:hAnsi="Times New Roman" w:cs="Times New Roman"/>
        </w:rPr>
      </w:pPr>
      <w:r>
        <w:rPr>
          <w:rFonts w:ascii="Times New Roman" w:hAnsi="Times New Roman" w:cs="Times New Roman"/>
        </w:rPr>
        <w:t>优先采用重力流雨水系统，当不能重力流排水或会发生倒灌时，应采用机械提升排水。</w:t>
      </w:r>
    </w:p>
    <w:p w14:paraId="01399D28">
      <w:pPr>
        <w:spacing w:before="24" w:after="24"/>
        <w:ind w:firstLine="560" w:firstLineChars="200"/>
        <w:rPr>
          <w:rFonts w:ascii="Times New Roman" w:hAnsi="Times New Roman" w:cs="Times New Roman"/>
        </w:rPr>
      </w:pPr>
      <w:r>
        <w:rPr>
          <w:rFonts w:ascii="Times New Roman" w:hAnsi="Times New Roman" w:cs="Times New Roman"/>
        </w:rPr>
        <w:t>2.屋面雨水设计参数</w:t>
      </w:r>
    </w:p>
    <w:p w14:paraId="1A4EC19A">
      <w:pPr>
        <w:spacing w:before="24" w:after="24"/>
        <w:ind w:firstLine="560" w:firstLineChars="200"/>
        <w:rPr>
          <w:rFonts w:ascii="Times New Roman" w:hAnsi="Times New Roman" w:cs="Times New Roman"/>
        </w:rPr>
      </w:pPr>
      <w:r>
        <w:rPr>
          <w:rFonts w:ascii="Times New Roman" w:hAnsi="Times New Roman" w:cs="Times New Roman"/>
        </w:rPr>
        <w:t>降雨历时5min，设计重现期5a，径流系数1.0，溢流设施设计重现期50a。</w:t>
      </w:r>
    </w:p>
    <w:p w14:paraId="5A660205">
      <w:pPr>
        <w:spacing w:before="24" w:after="24"/>
        <w:ind w:firstLine="560" w:firstLineChars="200"/>
        <w:rPr>
          <w:rFonts w:ascii="Times New Roman" w:hAnsi="Times New Roman" w:cs="Times New Roman"/>
        </w:rPr>
      </w:pPr>
      <w:r>
        <w:rPr>
          <w:rFonts w:ascii="Times New Roman" w:hAnsi="Times New Roman" w:cs="Times New Roman"/>
        </w:rPr>
        <w:t>3.管材</w:t>
      </w:r>
    </w:p>
    <w:p w14:paraId="16684D54">
      <w:pPr>
        <w:spacing w:before="24" w:after="24"/>
        <w:ind w:firstLine="560" w:firstLineChars="200"/>
        <w:rPr>
          <w:rFonts w:ascii="Times New Roman" w:hAnsi="Times New Roman" w:cs="Times New Roman"/>
        </w:rPr>
      </w:pPr>
      <w:r>
        <w:rPr>
          <w:rFonts w:ascii="Times New Roman" w:hAnsi="Times New Roman" w:cs="Times New Roman"/>
        </w:rPr>
        <w:t>重力流雨水排水系统当采用外排水时，可选用建筑排水塑料管；当采用内排水雨水系统时，宜采用承压塑料管、金属管或涂塑钢管等管材；满管压力流雨水排水系统宜采用承压塑料管、金属管、涂塑钢管、内壁较光滑的带内衬的承压排水铸铁管等，用于满管压力流排水的塑料管，其管材抗负压力应大于-80kPa。</w:t>
      </w:r>
    </w:p>
    <w:p w14:paraId="3A6B40AB">
      <w:pPr>
        <w:spacing w:before="24" w:after="24"/>
        <w:ind w:firstLine="560" w:firstLineChars="200"/>
        <w:rPr>
          <w:rFonts w:ascii="Times New Roman" w:hAnsi="Times New Roman" w:cs="Times New Roman"/>
        </w:rPr>
      </w:pPr>
      <w:r>
        <w:rPr>
          <w:rFonts w:ascii="Times New Roman" w:hAnsi="Times New Roman" w:cs="Times New Roman"/>
        </w:rPr>
        <w:t>4.管道布置和敷设</w:t>
      </w:r>
    </w:p>
    <w:p w14:paraId="3F9CBFF4">
      <w:pPr>
        <w:spacing w:before="24" w:after="24"/>
        <w:ind w:firstLine="560" w:firstLineChars="200"/>
        <w:rPr>
          <w:rFonts w:ascii="Times New Roman" w:hAnsi="Times New Roman" w:cs="Times New Roman"/>
        </w:rPr>
      </w:pPr>
      <w:r>
        <w:rPr>
          <w:rFonts w:ascii="Times New Roman" w:hAnsi="Times New Roman" w:cs="Times New Roman"/>
        </w:rPr>
        <w:t>（1）布置要求：雨水管不得穿越生产工艺或卫生有特殊要求的生产厂房、车间，贮存食品、贵重商品库房，通风小室、电气机房和电梯机房。</w:t>
      </w:r>
    </w:p>
    <w:p w14:paraId="7B7CD9B1">
      <w:pPr>
        <w:spacing w:before="24" w:after="24"/>
        <w:ind w:firstLine="560" w:firstLineChars="200"/>
        <w:rPr>
          <w:rFonts w:ascii="Times New Roman" w:hAnsi="Times New Roman" w:cs="Times New Roman"/>
        </w:rPr>
      </w:pPr>
      <w:r>
        <w:rPr>
          <w:rFonts w:ascii="Times New Roman" w:hAnsi="Times New Roman" w:cs="Times New Roman"/>
        </w:rPr>
        <w:t>（2）阻火圈：当管道穿越防火墙时应在墙两侧管道上设置;当排水管道穿管道井壁时，应在井壁外侧管道上设置。</w:t>
      </w:r>
    </w:p>
    <w:p w14:paraId="7FB84446">
      <w:pPr>
        <w:spacing w:before="24" w:after="24"/>
        <w:ind w:firstLine="560" w:firstLineChars="200"/>
        <w:rPr>
          <w:rFonts w:ascii="Times New Roman" w:hAnsi="Times New Roman" w:cs="Times New Roman"/>
        </w:rPr>
      </w:pPr>
      <w:r>
        <w:rPr>
          <w:rFonts w:ascii="Times New Roman" w:hAnsi="Times New Roman" w:cs="Times New Roman"/>
        </w:rPr>
        <w:t>（3）防水套管：雨水管道穿越地下室外墙处应设置防水套管。</w:t>
      </w:r>
    </w:p>
    <w:p w14:paraId="5B201DB3">
      <w:pPr>
        <w:spacing w:before="24" w:after="24"/>
        <w:ind w:firstLine="560" w:firstLineChars="200"/>
        <w:rPr>
          <w:rFonts w:ascii="Times New Roman" w:hAnsi="Times New Roman" w:cs="Times New Roman"/>
        </w:rPr>
      </w:pPr>
      <w:r>
        <w:rPr>
          <w:rFonts w:ascii="Times New Roman" w:hAnsi="Times New Roman" w:cs="Times New Roman"/>
        </w:rPr>
        <w:t>（4）检查口：重力流雨水排水系统中长度大于15m的雨水悬吊管，应设检查口，其间距不宜大于20m，且应布置在便于维修操作处；有埋地排出管的屋面雨水排出管系，在底层立管上宜设检查口。</w:t>
      </w:r>
    </w:p>
    <w:p w14:paraId="7A2047FF">
      <w:pPr>
        <w:spacing w:before="24" w:after="24"/>
        <w:ind w:firstLine="560" w:firstLineChars="200"/>
        <w:rPr>
          <w:rFonts w:ascii="Times New Roman" w:hAnsi="Times New Roman" w:cs="Times New Roman"/>
        </w:rPr>
      </w:pPr>
      <w:r>
        <w:rPr>
          <w:rFonts w:ascii="Times New Roman" w:hAnsi="Times New Roman" w:cs="Times New Roman"/>
        </w:rPr>
        <w:t>（5）雨水斗：单斗排水系统排水管道的管径应与雨水斗规格一致。</w:t>
      </w:r>
    </w:p>
    <w:p w14:paraId="4376F806">
      <w:pPr>
        <w:spacing w:before="24" w:after="24"/>
        <w:ind w:firstLine="560" w:firstLineChars="200"/>
        <w:rPr>
          <w:rFonts w:ascii="Times New Roman" w:hAnsi="Times New Roman" w:cs="Times New Roman"/>
        </w:rPr>
      </w:pPr>
      <w:r>
        <w:rPr>
          <w:rFonts w:ascii="Times New Roman" w:hAnsi="Times New Roman" w:cs="Times New Roman"/>
        </w:rPr>
        <w:t>（6）地下车库出入口的明沟雨水集水池的有效容积，不应小于最大一台排水泵5min的出水量。</w:t>
      </w:r>
    </w:p>
    <w:p w14:paraId="4615D7B8">
      <w:pPr>
        <w:spacing w:before="24" w:after="24"/>
        <w:ind w:firstLine="562" w:firstLineChars="200"/>
        <w:outlineLvl w:val="4"/>
        <w:rPr>
          <w:rFonts w:ascii="Times New Roman" w:hAnsi="Times New Roman" w:cs="Times New Roman"/>
          <w:b/>
        </w:rPr>
      </w:pPr>
      <w:r>
        <w:rPr>
          <w:rFonts w:ascii="Times New Roman" w:hAnsi="Times New Roman" w:cs="Times New Roman"/>
          <w:b/>
        </w:rPr>
        <w:t>5.3.5室内热水系统</w:t>
      </w:r>
    </w:p>
    <w:p w14:paraId="4F018A01">
      <w:pPr>
        <w:spacing w:before="24" w:after="24"/>
        <w:ind w:firstLine="560" w:firstLineChars="200"/>
        <w:rPr>
          <w:rFonts w:ascii="Times New Roman" w:hAnsi="Times New Roman" w:cs="Times New Roman"/>
        </w:rPr>
      </w:pPr>
      <w:r>
        <w:rPr>
          <w:rFonts w:ascii="Times New Roman" w:hAnsi="Times New Roman" w:cs="Times New Roman"/>
        </w:rPr>
        <w:t>1.室内热水系统</w:t>
      </w:r>
    </w:p>
    <w:p w14:paraId="0918323E">
      <w:pPr>
        <w:spacing w:before="24" w:after="24"/>
        <w:ind w:firstLine="560" w:firstLineChars="200"/>
        <w:rPr>
          <w:rFonts w:ascii="Times New Roman" w:hAnsi="Times New Roman" w:cs="Times New Roman"/>
        </w:rPr>
      </w:pPr>
      <w:r>
        <w:rPr>
          <w:rFonts w:ascii="Times New Roman" w:hAnsi="Times New Roman" w:cs="Times New Roman"/>
        </w:rPr>
        <w:t>采用太阳能热水供应系统，热源以太阳能为主，空气能、电能为辅，出水温度为60℃。</w:t>
      </w:r>
    </w:p>
    <w:p w14:paraId="004C1AE4">
      <w:pPr>
        <w:spacing w:before="24" w:after="24"/>
        <w:ind w:firstLine="560" w:firstLineChars="200"/>
        <w:rPr>
          <w:rFonts w:ascii="Times New Roman" w:hAnsi="Times New Roman" w:cs="Times New Roman"/>
        </w:rPr>
      </w:pPr>
      <w:r>
        <w:rPr>
          <w:rFonts w:ascii="Times New Roman" w:hAnsi="Times New Roman" w:cs="Times New Roman"/>
        </w:rPr>
        <w:t>2.管材、保温层、附件、支吊架和水表</w:t>
      </w:r>
    </w:p>
    <w:p w14:paraId="02B0504F">
      <w:pPr>
        <w:spacing w:before="24" w:after="24"/>
        <w:ind w:firstLine="560" w:firstLineChars="200"/>
        <w:rPr>
          <w:rFonts w:ascii="Times New Roman" w:hAnsi="Times New Roman" w:cs="Times New Roman"/>
        </w:rPr>
      </w:pPr>
      <w:r>
        <w:rPr>
          <w:rFonts w:ascii="Times New Roman" w:hAnsi="Times New Roman" w:cs="Times New Roman"/>
        </w:rPr>
        <w:t>（1）管材：热水系统采用的管材和管件，应符合国家现行标准的有关规定。管道的工作压力和工作温度不得大于国家现行标准规定的许用工作压力和工作温度。热水管道应选用耐腐蚀和安装连接方便可靠的管材，可采用薄壁不锈钢管、薄壁铜管、塑料热水管、复合热水管等。当采用塑料热水管或塑料和金属复合热水管材时，应符合下列规定：</w:t>
      </w:r>
      <w:r>
        <w:rPr>
          <w:rFonts w:ascii="Cambria Math" w:hAnsi="Cambria Math" w:cs="Cambria Math"/>
        </w:rPr>
        <w:t>①</w:t>
      </w:r>
      <w:r>
        <w:rPr>
          <w:rFonts w:ascii="Times New Roman" w:hAnsi="Times New Roman" w:cs="Times New Roman"/>
        </w:rPr>
        <w:t>管道的工作压力应按相应温度下的许用工作压力选择；</w:t>
      </w:r>
      <w:r>
        <w:rPr>
          <w:rFonts w:ascii="Cambria Math" w:hAnsi="Cambria Math" w:cs="Cambria Math"/>
        </w:rPr>
        <w:t>②</w:t>
      </w:r>
      <w:r>
        <w:rPr>
          <w:rFonts w:ascii="Times New Roman" w:hAnsi="Times New Roman" w:cs="Times New Roman"/>
        </w:rPr>
        <w:t>设备机房内的管道不应采用塑料热水管。</w:t>
      </w:r>
    </w:p>
    <w:p w14:paraId="41059202">
      <w:pPr>
        <w:spacing w:before="24" w:after="24"/>
        <w:ind w:firstLine="560" w:firstLineChars="200"/>
        <w:rPr>
          <w:rFonts w:ascii="Times New Roman" w:hAnsi="Times New Roman" w:cs="Times New Roman"/>
        </w:rPr>
      </w:pPr>
      <w:r>
        <w:rPr>
          <w:rFonts w:ascii="Times New Roman" w:hAnsi="Times New Roman" w:cs="Times New Roman"/>
        </w:rPr>
        <w:t>（2）保温层：采用橡塑保温管壳+铝皮保护层，橡塑保温管壳氧化指数＞32，导热系数0.037W/（m.k），橡塑保温管壳厚度应满足国家《公共建筑节能设计标准》（GB50189-2015）中的有关要求，可按下表选用。</w:t>
      </w:r>
    </w:p>
    <w:tbl>
      <w:tblPr>
        <w:tblStyle w:val="31"/>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00"/>
        <w:gridCol w:w="1491"/>
        <w:gridCol w:w="1589"/>
        <w:gridCol w:w="1805"/>
        <w:gridCol w:w="1392"/>
      </w:tblGrid>
      <w:tr w14:paraId="2E75A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trPr>
        <w:tc>
          <w:tcPr>
            <w:tcW w:w="1616" w:type="pct"/>
            <w:tcBorders>
              <w:top w:val="single" w:color="000000" w:sz="4" w:space="0"/>
              <w:left w:val="single" w:color="000000" w:sz="4" w:space="0"/>
              <w:bottom w:val="single" w:color="000000" w:sz="4" w:space="0"/>
              <w:right w:val="single" w:color="000000" w:sz="4" w:space="0"/>
            </w:tcBorders>
            <w:vAlign w:val="center"/>
          </w:tcPr>
          <w:p w14:paraId="0DBF3E7E">
            <w:pPr>
              <w:pStyle w:val="71"/>
              <w:spacing w:before="24" w:after="24"/>
            </w:pPr>
            <w:r>
              <w:t>公称直径DN（mm）</w:t>
            </w:r>
          </w:p>
        </w:tc>
        <w:tc>
          <w:tcPr>
            <w:tcW w:w="803" w:type="pct"/>
            <w:tcBorders>
              <w:top w:val="single" w:color="000000" w:sz="4" w:space="0"/>
              <w:left w:val="single" w:color="000000" w:sz="4" w:space="0"/>
              <w:bottom w:val="single" w:color="000000" w:sz="4" w:space="0"/>
              <w:right w:val="single" w:color="000000" w:sz="4" w:space="0"/>
            </w:tcBorders>
            <w:vAlign w:val="center"/>
          </w:tcPr>
          <w:p w14:paraId="7CCD3146">
            <w:pPr>
              <w:pStyle w:val="71"/>
              <w:spacing w:before="24" w:after="24"/>
            </w:pPr>
            <w:r>
              <w:t>≤DN40</w:t>
            </w:r>
          </w:p>
        </w:tc>
        <w:tc>
          <w:tcPr>
            <w:tcW w:w="856" w:type="pct"/>
            <w:tcBorders>
              <w:top w:val="single" w:color="000000" w:sz="4" w:space="0"/>
              <w:left w:val="single" w:color="000000" w:sz="4" w:space="0"/>
              <w:bottom w:val="single" w:color="000000" w:sz="4" w:space="0"/>
              <w:right w:val="single" w:color="000000" w:sz="4" w:space="0"/>
            </w:tcBorders>
            <w:vAlign w:val="center"/>
          </w:tcPr>
          <w:p w14:paraId="66E851E6">
            <w:pPr>
              <w:pStyle w:val="71"/>
              <w:spacing w:before="24" w:after="24"/>
            </w:pPr>
            <w:r>
              <w:t>DN50～DN80</w:t>
            </w:r>
          </w:p>
        </w:tc>
        <w:tc>
          <w:tcPr>
            <w:tcW w:w="972" w:type="pct"/>
            <w:tcBorders>
              <w:top w:val="single" w:color="000000" w:sz="4" w:space="0"/>
              <w:left w:val="single" w:color="000000" w:sz="4" w:space="0"/>
              <w:bottom w:val="single" w:color="000000" w:sz="4" w:space="0"/>
              <w:right w:val="single" w:color="000000" w:sz="4" w:space="0"/>
            </w:tcBorders>
            <w:vAlign w:val="center"/>
          </w:tcPr>
          <w:p w14:paraId="799ACDFA">
            <w:pPr>
              <w:pStyle w:val="71"/>
              <w:spacing w:before="24" w:after="24"/>
            </w:pPr>
            <w:r>
              <w:t>DN100～DN150</w:t>
            </w:r>
          </w:p>
        </w:tc>
        <w:tc>
          <w:tcPr>
            <w:tcW w:w="750" w:type="pct"/>
            <w:tcBorders>
              <w:top w:val="single" w:color="000000" w:sz="4" w:space="0"/>
              <w:left w:val="single" w:color="000000" w:sz="4" w:space="0"/>
              <w:bottom w:val="single" w:color="000000" w:sz="4" w:space="0"/>
              <w:right w:val="single" w:color="000000" w:sz="4" w:space="0"/>
            </w:tcBorders>
            <w:vAlign w:val="center"/>
          </w:tcPr>
          <w:p w14:paraId="42DCDF77">
            <w:pPr>
              <w:pStyle w:val="71"/>
              <w:spacing w:before="24" w:after="24"/>
            </w:pPr>
            <w:r>
              <w:t>≥DN200</w:t>
            </w:r>
          </w:p>
        </w:tc>
      </w:tr>
      <w:tr w14:paraId="2A0F40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16" w:type="pct"/>
            <w:tcBorders>
              <w:top w:val="single" w:color="000000" w:sz="4" w:space="0"/>
              <w:left w:val="single" w:color="000000" w:sz="4" w:space="0"/>
              <w:bottom w:val="single" w:color="000000" w:sz="4" w:space="0"/>
              <w:right w:val="single" w:color="000000" w:sz="4" w:space="0"/>
            </w:tcBorders>
            <w:vAlign w:val="center"/>
          </w:tcPr>
          <w:p w14:paraId="7237C57D">
            <w:pPr>
              <w:pStyle w:val="71"/>
              <w:spacing w:before="24" w:after="24"/>
            </w:pPr>
            <w:r>
              <w:t>橡塑保温管壳厚度（mm）</w:t>
            </w:r>
          </w:p>
        </w:tc>
        <w:tc>
          <w:tcPr>
            <w:tcW w:w="803" w:type="pct"/>
            <w:tcBorders>
              <w:top w:val="single" w:color="000000" w:sz="4" w:space="0"/>
              <w:left w:val="single" w:color="000000" w:sz="4" w:space="0"/>
              <w:bottom w:val="single" w:color="000000" w:sz="4" w:space="0"/>
              <w:right w:val="single" w:color="000000" w:sz="4" w:space="0"/>
            </w:tcBorders>
            <w:vAlign w:val="center"/>
          </w:tcPr>
          <w:p w14:paraId="60A032B0">
            <w:pPr>
              <w:pStyle w:val="71"/>
              <w:spacing w:before="24" w:after="24"/>
            </w:pPr>
            <w:r>
              <w:t>20</w:t>
            </w:r>
          </w:p>
        </w:tc>
        <w:tc>
          <w:tcPr>
            <w:tcW w:w="856" w:type="pct"/>
            <w:tcBorders>
              <w:top w:val="single" w:color="000000" w:sz="4" w:space="0"/>
              <w:left w:val="single" w:color="000000" w:sz="4" w:space="0"/>
              <w:bottom w:val="single" w:color="000000" w:sz="4" w:space="0"/>
              <w:right w:val="single" w:color="000000" w:sz="4" w:space="0"/>
            </w:tcBorders>
            <w:vAlign w:val="center"/>
          </w:tcPr>
          <w:p w14:paraId="7CC56186">
            <w:pPr>
              <w:pStyle w:val="71"/>
              <w:spacing w:before="24" w:after="24"/>
            </w:pPr>
            <w:r>
              <w:t>25</w:t>
            </w:r>
          </w:p>
        </w:tc>
        <w:tc>
          <w:tcPr>
            <w:tcW w:w="972" w:type="pct"/>
            <w:tcBorders>
              <w:top w:val="single" w:color="000000" w:sz="4" w:space="0"/>
              <w:left w:val="single" w:color="000000" w:sz="4" w:space="0"/>
              <w:bottom w:val="single" w:color="000000" w:sz="4" w:space="0"/>
              <w:right w:val="single" w:color="000000" w:sz="4" w:space="0"/>
            </w:tcBorders>
            <w:vAlign w:val="center"/>
          </w:tcPr>
          <w:p w14:paraId="3B3B5ED8">
            <w:pPr>
              <w:pStyle w:val="71"/>
              <w:spacing w:before="24" w:after="24"/>
            </w:pPr>
            <w:r>
              <w:t>32</w:t>
            </w:r>
          </w:p>
        </w:tc>
        <w:tc>
          <w:tcPr>
            <w:tcW w:w="750" w:type="pct"/>
            <w:tcBorders>
              <w:top w:val="single" w:color="000000" w:sz="4" w:space="0"/>
              <w:left w:val="single" w:color="000000" w:sz="4" w:space="0"/>
              <w:bottom w:val="single" w:color="000000" w:sz="4" w:space="0"/>
              <w:right w:val="single" w:color="000000" w:sz="4" w:space="0"/>
            </w:tcBorders>
            <w:vAlign w:val="center"/>
          </w:tcPr>
          <w:p w14:paraId="6FB26666">
            <w:pPr>
              <w:pStyle w:val="71"/>
              <w:spacing w:before="24" w:after="24"/>
            </w:pPr>
            <w:r>
              <w:t>40</w:t>
            </w:r>
          </w:p>
        </w:tc>
      </w:tr>
    </w:tbl>
    <w:p w14:paraId="2626983F">
      <w:pPr>
        <w:spacing w:before="24" w:after="24"/>
        <w:ind w:firstLine="560" w:firstLineChars="200"/>
        <w:rPr>
          <w:rFonts w:ascii="Times New Roman" w:hAnsi="Times New Roman" w:cs="Times New Roman"/>
        </w:rPr>
      </w:pPr>
      <w:r>
        <w:rPr>
          <w:rFonts w:ascii="Times New Roman" w:hAnsi="Times New Roman" w:cs="Times New Roman"/>
        </w:rPr>
        <w:t>（3）阀门及配件：</w:t>
      </w:r>
    </w:p>
    <w:tbl>
      <w:tblPr>
        <w:tblStyle w:val="31"/>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7"/>
        <w:gridCol w:w="1298"/>
        <w:gridCol w:w="2825"/>
        <w:gridCol w:w="1741"/>
        <w:gridCol w:w="1444"/>
        <w:gridCol w:w="1100"/>
      </w:tblGrid>
      <w:tr w14:paraId="24FD3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7" w:type="pct"/>
            <w:tcBorders>
              <w:top w:val="single" w:color="000000" w:sz="4" w:space="0"/>
              <w:left w:val="single" w:color="000000" w:sz="4" w:space="0"/>
              <w:bottom w:val="single" w:color="000000" w:sz="4" w:space="0"/>
              <w:right w:val="single" w:color="000000" w:sz="4" w:space="0"/>
            </w:tcBorders>
            <w:vAlign w:val="center"/>
          </w:tcPr>
          <w:p w14:paraId="31AB60C9">
            <w:pPr>
              <w:spacing w:before="24" w:after="24" w:line="288" w:lineRule="auto"/>
              <w:jc w:val="center"/>
              <w:rPr>
                <w:rFonts w:ascii="Times New Roman" w:hAnsi="Times New Roman" w:cs="Times New Roman"/>
                <w:sz w:val="24"/>
              </w:rPr>
            </w:pPr>
            <w:r>
              <w:rPr>
                <w:rFonts w:ascii="Times New Roman" w:hAnsi="Times New Roman" w:cs="Times New Roman"/>
                <w:sz w:val="24"/>
              </w:rPr>
              <w:t>序号</w:t>
            </w:r>
          </w:p>
        </w:tc>
        <w:tc>
          <w:tcPr>
            <w:tcW w:w="699" w:type="pct"/>
            <w:tcBorders>
              <w:top w:val="single" w:color="000000" w:sz="4" w:space="0"/>
              <w:left w:val="single" w:color="000000" w:sz="4" w:space="0"/>
              <w:bottom w:val="single" w:color="000000" w:sz="4" w:space="0"/>
              <w:right w:val="single" w:color="000000" w:sz="4" w:space="0"/>
            </w:tcBorders>
            <w:vAlign w:val="center"/>
          </w:tcPr>
          <w:p w14:paraId="16ACC5D4">
            <w:pPr>
              <w:spacing w:before="24" w:after="24" w:line="288" w:lineRule="auto"/>
              <w:jc w:val="center"/>
              <w:rPr>
                <w:rFonts w:ascii="Times New Roman" w:hAnsi="Times New Roman" w:cs="Times New Roman"/>
                <w:sz w:val="24"/>
              </w:rPr>
            </w:pPr>
            <w:r>
              <w:rPr>
                <w:rFonts w:ascii="Times New Roman" w:hAnsi="Times New Roman" w:cs="Times New Roman"/>
                <w:sz w:val="24"/>
              </w:rPr>
              <w:t>附件名称</w:t>
            </w:r>
          </w:p>
        </w:tc>
        <w:tc>
          <w:tcPr>
            <w:tcW w:w="1522" w:type="pct"/>
            <w:tcBorders>
              <w:top w:val="single" w:color="000000" w:sz="4" w:space="0"/>
              <w:left w:val="single" w:color="000000" w:sz="4" w:space="0"/>
              <w:bottom w:val="single" w:color="000000" w:sz="4" w:space="0"/>
              <w:right w:val="single" w:color="000000" w:sz="4" w:space="0"/>
            </w:tcBorders>
            <w:vAlign w:val="center"/>
          </w:tcPr>
          <w:p w14:paraId="7D2E2270">
            <w:pPr>
              <w:spacing w:before="24" w:after="24" w:line="288" w:lineRule="auto"/>
              <w:jc w:val="center"/>
              <w:rPr>
                <w:rFonts w:ascii="Times New Roman" w:hAnsi="Times New Roman" w:cs="Times New Roman"/>
                <w:sz w:val="24"/>
              </w:rPr>
            </w:pPr>
            <w:r>
              <w:rPr>
                <w:rFonts w:ascii="Times New Roman" w:hAnsi="Times New Roman" w:cs="Times New Roman"/>
                <w:sz w:val="24"/>
              </w:rPr>
              <w:t>设置部位</w:t>
            </w:r>
          </w:p>
        </w:tc>
        <w:tc>
          <w:tcPr>
            <w:tcW w:w="938" w:type="pct"/>
            <w:tcBorders>
              <w:top w:val="single" w:color="000000" w:sz="4" w:space="0"/>
              <w:left w:val="single" w:color="000000" w:sz="4" w:space="0"/>
              <w:bottom w:val="single" w:color="000000" w:sz="4" w:space="0"/>
              <w:right w:val="single" w:color="000000" w:sz="4" w:space="0"/>
            </w:tcBorders>
            <w:vAlign w:val="center"/>
          </w:tcPr>
          <w:p w14:paraId="6DEC2D61">
            <w:pPr>
              <w:spacing w:before="24" w:after="24" w:line="288" w:lineRule="auto"/>
              <w:jc w:val="center"/>
              <w:rPr>
                <w:rFonts w:ascii="Times New Roman" w:hAnsi="Times New Roman" w:cs="Times New Roman"/>
                <w:sz w:val="24"/>
              </w:rPr>
            </w:pPr>
            <w:r>
              <w:rPr>
                <w:rFonts w:ascii="Times New Roman" w:hAnsi="Times New Roman" w:cs="Times New Roman"/>
                <w:sz w:val="24"/>
              </w:rPr>
              <w:t>设置要求</w:t>
            </w:r>
          </w:p>
        </w:tc>
        <w:tc>
          <w:tcPr>
            <w:tcW w:w="778" w:type="pct"/>
            <w:tcBorders>
              <w:top w:val="single" w:color="000000" w:sz="4" w:space="0"/>
              <w:left w:val="single" w:color="000000" w:sz="4" w:space="0"/>
              <w:bottom w:val="single" w:color="000000" w:sz="4" w:space="0"/>
              <w:right w:val="single" w:color="000000" w:sz="4" w:space="0"/>
            </w:tcBorders>
            <w:vAlign w:val="center"/>
          </w:tcPr>
          <w:p w14:paraId="1895C479">
            <w:pPr>
              <w:spacing w:before="24" w:after="24" w:line="288" w:lineRule="auto"/>
              <w:jc w:val="center"/>
              <w:rPr>
                <w:rFonts w:ascii="Times New Roman" w:hAnsi="Times New Roman" w:cs="Times New Roman"/>
                <w:sz w:val="24"/>
              </w:rPr>
            </w:pPr>
            <w:r>
              <w:rPr>
                <w:rFonts w:ascii="Times New Roman" w:hAnsi="Times New Roman" w:cs="Times New Roman"/>
                <w:sz w:val="24"/>
              </w:rPr>
              <w:t>材质</w:t>
            </w:r>
          </w:p>
        </w:tc>
        <w:tc>
          <w:tcPr>
            <w:tcW w:w="592" w:type="pct"/>
            <w:tcBorders>
              <w:top w:val="single" w:color="000000" w:sz="4" w:space="0"/>
              <w:left w:val="single" w:color="000000" w:sz="4" w:space="0"/>
              <w:bottom w:val="single" w:color="000000" w:sz="4" w:space="0"/>
              <w:right w:val="single" w:color="000000" w:sz="4" w:space="0"/>
            </w:tcBorders>
            <w:vAlign w:val="center"/>
          </w:tcPr>
          <w:p w14:paraId="449F0E87">
            <w:pPr>
              <w:spacing w:before="24" w:after="24" w:line="288" w:lineRule="auto"/>
              <w:jc w:val="center"/>
              <w:rPr>
                <w:rFonts w:ascii="Times New Roman" w:hAnsi="Times New Roman" w:cs="Times New Roman"/>
                <w:sz w:val="24"/>
              </w:rPr>
            </w:pPr>
            <w:r>
              <w:rPr>
                <w:rFonts w:ascii="Times New Roman" w:hAnsi="Times New Roman" w:cs="Times New Roman"/>
                <w:sz w:val="24"/>
              </w:rPr>
              <w:t>备注</w:t>
            </w:r>
          </w:p>
        </w:tc>
      </w:tr>
      <w:tr w14:paraId="77497C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7" w:type="pct"/>
            <w:tcBorders>
              <w:top w:val="single" w:color="000000" w:sz="4" w:space="0"/>
              <w:left w:val="single" w:color="000000" w:sz="4" w:space="0"/>
              <w:bottom w:val="single" w:color="000000" w:sz="4" w:space="0"/>
              <w:right w:val="single" w:color="000000" w:sz="4" w:space="0"/>
            </w:tcBorders>
            <w:vAlign w:val="center"/>
          </w:tcPr>
          <w:p w14:paraId="202F0898">
            <w:pPr>
              <w:spacing w:before="24" w:after="24" w:line="288" w:lineRule="auto"/>
              <w:jc w:val="center"/>
              <w:rPr>
                <w:rFonts w:ascii="Times New Roman" w:hAnsi="Times New Roman" w:cs="Times New Roman"/>
                <w:sz w:val="24"/>
              </w:rPr>
            </w:pPr>
            <w:r>
              <w:rPr>
                <w:rFonts w:ascii="Times New Roman" w:hAnsi="Times New Roman" w:cs="Times New Roman"/>
                <w:sz w:val="24"/>
              </w:rPr>
              <w:t>1</w:t>
            </w:r>
          </w:p>
        </w:tc>
        <w:tc>
          <w:tcPr>
            <w:tcW w:w="699" w:type="pct"/>
            <w:tcBorders>
              <w:top w:val="single" w:color="000000" w:sz="4" w:space="0"/>
              <w:left w:val="single" w:color="000000" w:sz="4" w:space="0"/>
              <w:bottom w:val="single" w:color="000000" w:sz="4" w:space="0"/>
              <w:right w:val="single" w:color="000000" w:sz="4" w:space="0"/>
            </w:tcBorders>
            <w:vAlign w:val="center"/>
          </w:tcPr>
          <w:p w14:paraId="4769708E">
            <w:pPr>
              <w:spacing w:before="24" w:after="24" w:line="288" w:lineRule="auto"/>
              <w:jc w:val="center"/>
              <w:rPr>
                <w:rFonts w:ascii="Times New Roman" w:hAnsi="Times New Roman" w:cs="Times New Roman"/>
                <w:sz w:val="24"/>
              </w:rPr>
            </w:pPr>
            <w:r>
              <w:rPr>
                <w:rFonts w:ascii="Times New Roman" w:hAnsi="Times New Roman" w:cs="Times New Roman"/>
                <w:sz w:val="24"/>
              </w:rPr>
              <w:t>截止阀</w:t>
            </w:r>
          </w:p>
        </w:tc>
        <w:tc>
          <w:tcPr>
            <w:tcW w:w="1522" w:type="pct"/>
            <w:vMerge w:val="restart"/>
            <w:tcBorders>
              <w:top w:val="nil"/>
              <w:left w:val="single" w:color="000000" w:sz="4" w:space="0"/>
              <w:bottom w:val="single" w:color="000000" w:sz="4" w:space="0"/>
              <w:right w:val="single" w:color="000000" w:sz="4" w:space="0"/>
            </w:tcBorders>
            <w:vAlign w:val="center"/>
          </w:tcPr>
          <w:p w14:paraId="330FE069">
            <w:pPr>
              <w:spacing w:before="24" w:after="24" w:line="288" w:lineRule="auto"/>
              <w:jc w:val="left"/>
              <w:rPr>
                <w:rFonts w:ascii="Times New Roman" w:hAnsi="Times New Roman" w:cs="Times New Roman"/>
                <w:sz w:val="24"/>
              </w:rPr>
            </w:pPr>
            <w:r>
              <w:rPr>
                <w:rFonts w:ascii="Times New Roman" w:hAnsi="Times New Roman" w:cs="Times New Roman"/>
                <w:sz w:val="24"/>
              </w:rPr>
              <w:t>与配水、回水干管连接的分干管;配水立管和回水立管;从立管接出的支管;配水管的起端;水加热设备，水处理设备的进、出水管及系统用于温度、流量、压力等控制阀件连接处的管段上按其安装要求配置阀门</w:t>
            </w:r>
          </w:p>
        </w:tc>
        <w:tc>
          <w:tcPr>
            <w:tcW w:w="938" w:type="pct"/>
            <w:tcBorders>
              <w:top w:val="single" w:color="000000" w:sz="4" w:space="0"/>
              <w:left w:val="single" w:color="000000" w:sz="4" w:space="0"/>
              <w:bottom w:val="single" w:color="000000" w:sz="4" w:space="0"/>
              <w:right w:val="single" w:color="000000" w:sz="4" w:space="0"/>
            </w:tcBorders>
            <w:vAlign w:val="center"/>
          </w:tcPr>
          <w:p w14:paraId="0320FA69">
            <w:pPr>
              <w:spacing w:before="24" w:after="24" w:line="288" w:lineRule="auto"/>
              <w:jc w:val="center"/>
              <w:rPr>
                <w:rFonts w:ascii="Times New Roman" w:hAnsi="Times New Roman" w:cs="Times New Roman"/>
                <w:sz w:val="24"/>
              </w:rPr>
            </w:pPr>
            <w:r>
              <w:rPr>
                <w:rFonts w:ascii="Times New Roman" w:hAnsi="Times New Roman" w:cs="Times New Roman"/>
                <w:sz w:val="24"/>
              </w:rPr>
              <w:t>管径≤DN50</w:t>
            </w:r>
          </w:p>
        </w:tc>
        <w:tc>
          <w:tcPr>
            <w:tcW w:w="778" w:type="pct"/>
            <w:tcBorders>
              <w:top w:val="single" w:color="000000" w:sz="4" w:space="0"/>
              <w:left w:val="single" w:color="000000" w:sz="4" w:space="0"/>
              <w:bottom w:val="single" w:color="000000" w:sz="4" w:space="0"/>
              <w:right w:val="single" w:color="000000" w:sz="4" w:space="0"/>
            </w:tcBorders>
            <w:vAlign w:val="center"/>
          </w:tcPr>
          <w:p w14:paraId="23332E97">
            <w:pPr>
              <w:spacing w:before="24" w:after="24" w:line="288" w:lineRule="auto"/>
              <w:jc w:val="center"/>
              <w:rPr>
                <w:rFonts w:ascii="Times New Roman" w:hAnsi="Times New Roman" w:cs="Times New Roman"/>
                <w:sz w:val="24"/>
              </w:rPr>
            </w:pPr>
            <w:r>
              <w:rPr>
                <w:rFonts w:ascii="Times New Roman" w:hAnsi="Times New Roman" w:cs="Times New Roman"/>
                <w:sz w:val="24"/>
              </w:rPr>
              <w:t>铜质</w:t>
            </w:r>
          </w:p>
        </w:tc>
        <w:tc>
          <w:tcPr>
            <w:tcW w:w="592" w:type="pct"/>
            <w:tcBorders>
              <w:top w:val="single" w:color="000000" w:sz="4" w:space="0"/>
              <w:left w:val="single" w:color="000000" w:sz="4" w:space="0"/>
              <w:bottom w:val="single" w:color="000000" w:sz="4" w:space="0"/>
              <w:right w:val="single" w:color="000000" w:sz="4" w:space="0"/>
            </w:tcBorders>
            <w:vAlign w:val="center"/>
          </w:tcPr>
          <w:p w14:paraId="7D8F2348">
            <w:pPr>
              <w:spacing w:before="24" w:after="24" w:line="288" w:lineRule="auto"/>
              <w:jc w:val="center"/>
              <w:rPr>
                <w:rFonts w:ascii="Times New Roman" w:hAnsi="Times New Roman" w:cs="Times New Roman"/>
                <w:sz w:val="24"/>
              </w:rPr>
            </w:pPr>
          </w:p>
        </w:tc>
      </w:tr>
      <w:tr w14:paraId="6B780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7" w:type="pct"/>
            <w:tcBorders>
              <w:top w:val="single" w:color="000000" w:sz="4" w:space="0"/>
              <w:left w:val="single" w:color="000000" w:sz="4" w:space="0"/>
              <w:bottom w:val="single" w:color="000000" w:sz="4" w:space="0"/>
              <w:right w:val="single" w:color="000000" w:sz="4" w:space="0"/>
            </w:tcBorders>
            <w:vAlign w:val="center"/>
          </w:tcPr>
          <w:p w14:paraId="5939A0A6">
            <w:pPr>
              <w:spacing w:before="24" w:after="24" w:line="288" w:lineRule="auto"/>
              <w:jc w:val="center"/>
              <w:rPr>
                <w:rFonts w:ascii="Times New Roman" w:hAnsi="Times New Roman" w:cs="Times New Roman"/>
                <w:sz w:val="24"/>
              </w:rPr>
            </w:pPr>
            <w:r>
              <w:rPr>
                <w:rFonts w:ascii="Times New Roman" w:hAnsi="Times New Roman" w:cs="Times New Roman"/>
                <w:sz w:val="24"/>
              </w:rPr>
              <w:t>2</w:t>
            </w:r>
          </w:p>
        </w:tc>
        <w:tc>
          <w:tcPr>
            <w:tcW w:w="699" w:type="pct"/>
            <w:tcBorders>
              <w:top w:val="single" w:color="000000" w:sz="4" w:space="0"/>
              <w:left w:val="single" w:color="000000" w:sz="4" w:space="0"/>
              <w:bottom w:val="single" w:color="000000" w:sz="4" w:space="0"/>
              <w:right w:val="single" w:color="000000" w:sz="4" w:space="0"/>
            </w:tcBorders>
            <w:vAlign w:val="center"/>
          </w:tcPr>
          <w:p w14:paraId="12D4E709">
            <w:pPr>
              <w:spacing w:before="24" w:after="24" w:line="288" w:lineRule="auto"/>
              <w:jc w:val="center"/>
              <w:rPr>
                <w:rFonts w:ascii="Times New Roman" w:hAnsi="Times New Roman" w:cs="Times New Roman"/>
                <w:sz w:val="24"/>
              </w:rPr>
            </w:pPr>
            <w:r>
              <w:rPr>
                <w:rFonts w:ascii="Times New Roman" w:hAnsi="Times New Roman" w:cs="Times New Roman"/>
                <w:sz w:val="24"/>
              </w:rPr>
              <w:t>闸阀</w:t>
            </w:r>
          </w:p>
        </w:tc>
        <w:tc>
          <w:tcPr>
            <w:tcW w:w="1522" w:type="pct"/>
            <w:vMerge w:val="continue"/>
            <w:tcBorders>
              <w:top w:val="nil"/>
              <w:left w:val="single" w:color="000000" w:sz="4" w:space="0"/>
              <w:bottom w:val="single" w:color="000000" w:sz="4" w:space="0"/>
              <w:right w:val="single" w:color="000000" w:sz="4" w:space="0"/>
            </w:tcBorders>
            <w:vAlign w:val="center"/>
          </w:tcPr>
          <w:p w14:paraId="0CAFF8DF">
            <w:pPr>
              <w:spacing w:before="24" w:after="24" w:line="288" w:lineRule="auto"/>
              <w:jc w:val="center"/>
              <w:rPr>
                <w:rFonts w:ascii="Times New Roman" w:hAnsi="Times New Roman" w:cs="Times New Roman"/>
                <w:sz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55EB4A1E">
            <w:pPr>
              <w:spacing w:before="24" w:after="24" w:line="288" w:lineRule="auto"/>
              <w:jc w:val="center"/>
              <w:rPr>
                <w:rFonts w:ascii="Times New Roman" w:hAnsi="Times New Roman" w:cs="Times New Roman"/>
                <w:sz w:val="24"/>
              </w:rPr>
            </w:pPr>
            <w:r>
              <w:rPr>
                <w:rFonts w:ascii="Times New Roman" w:hAnsi="Times New Roman" w:cs="Times New Roman"/>
                <w:sz w:val="24"/>
              </w:rPr>
              <w:t>管径＞DN50</w:t>
            </w:r>
          </w:p>
        </w:tc>
        <w:tc>
          <w:tcPr>
            <w:tcW w:w="778" w:type="pct"/>
            <w:tcBorders>
              <w:top w:val="single" w:color="000000" w:sz="4" w:space="0"/>
              <w:left w:val="single" w:color="000000" w:sz="4" w:space="0"/>
              <w:bottom w:val="single" w:color="000000" w:sz="4" w:space="0"/>
              <w:right w:val="single" w:color="000000" w:sz="4" w:space="0"/>
            </w:tcBorders>
            <w:vAlign w:val="center"/>
          </w:tcPr>
          <w:p w14:paraId="3E874933">
            <w:pPr>
              <w:spacing w:before="24" w:after="24" w:line="288" w:lineRule="auto"/>
              <w:jc w:val="center"/>
              <w:rPr>
                <w:rFonts w:ascii="Times New Roman" w:hAnsi="Times New Roman" w:cs="Times New Roman"/>
                <w:sz w:val="24"/>
              </w:rPr>
            </w:pPr>
            <w:r>
              <w:rPr>
                <w:rFonts w:ascii="Times New Roman" w:hAnsi="Times New Roman" w:cs="Times New Roman"/>
                <w:sz w:val="24"/>
              </w:rPr>
              <w:t>不锈钢</w:t>
            </w:r>
          </w:p>
        </w:tc>
        <w:tc>
          <w:tcPr>
            <w:tcW w:w="592" w:type="pct"/>
            <w:tcBorders>
              <w:top w:val="single" w:color="000000" w:sz="4" w:space="0"/>
              <w:left w:val="single" w:color="000000" w:sz="4" w:space="0"/>
              <w:bottom w:val="single" w:color="000000" w:sz="4" w:space="0"/>
              <w:right w:val="single" w:color="000000" w:sz="4" w:space="0"/>
            </w:tcBorders>
            <w:vAlign w:val="center"/>
          </w:tcPr>
          <w:p w14:paraId="670FFD5F">
            <w:pPr>
              <w:spacing w:before="24" w:after="24" w:line="288" w:lineRule="auto"/>
              <w:jc w:val="center"/>
              <w:rPr>
                <w:rFonts w:ascii="Times New Roman" w:hAnsi="Times New Roman" w:cs="Times New Roman"/>
                <w:sz w:val="24"/>
              </w:rPr>
            </w:pPr>
          </w:p>
        </w:tc>
      </w:tr>
      <w:tr w14:paraId="40183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8" w:hRule="atLeast"/>
          <w:jc w:val="center"/>
        </w:trPr>
        <w:tc>
          <w:tcPr>
            <w:tcW w:w="467" w:type="pct"/>
            <w:vMerge w:val="restart"/>
            <w:tcBorders>
              <w:top w:val="nil"/>
              <w:left w:val="single" w:color="000000" w:sz="4" w:space="0"/>
              <w:bottom w:val="single" w:color="000000" w:sz="4" w:space="0"/>
              <w:right w:val="single" w:color="000000" w:sz="4" w:space="0"/>
            </w:tcBorders>
            <w:vAlign w:val="center"/>
          </w:tcPr>
          <w:p w14:paraId="7704806C">
            <w:pPr>
              <w:spacing w:before="24" w:after="24" w:line="288" w:lineRule="auto"/>
              <w:jc w:val="center"/>
              <w:rPr>
                <w:rFonts w:ascii="Times New Roman" w:hAnsi="Times New Roman" w:cs="Times New Roman"/>
                <w:sz w:val="24"/>
              </w:rPr>
            </w:pPr>
            <w:r>
              <w:rPr>
                <w:rFonts w:ascii="Times New Roman" w:hAnsi="Times New Roman" w:cs="Times New Roman"/>
                <w:sz w:val="24"/>
              </w:rPr>
              <w:t>3</w:t>
            </w:r>
          </w:p>
        </w:tc>
        <w:tc>
          <w:tcPr>
            <w:tcW w:w="699" w:type="pct"/>
            <w:vMerge w:val="restart"/>
            <w:tcBorders>
              <w:top w:val="nil"/>
              <w:left w:val="single" w:color="000000" w:sz="4" w:space="0"/>
              <w:bottom w:val="single" w:color="000000" w:sz="4" w:space="0"/>
              <w:right w:val="single" w:color="000000" w:sz="4" w:space="0"/>
            </w:tcBorders>
            <w:vAlign w:val="center"/>
          </w:tcPr>
          <w:p w14:paraId="02BFAC4B">
            <w:pPr>
              <w:spacing w:before="24" w:after="24" w:line="288" w:lineRule="auto"/>
              <w:jc w:val="center"/>
              <w:rPr>
                <w:rFonts w:ascii="Times New Roman" w:hAnsi="Times New Roman" w:cs="Times New Roman"/>
                <w:sz w:val="24"/>
              </w:rPr>
            </w:pPr>
            <w:r>
              <w:rPr>
                <w:rFonts w:ascii="Times New Roman" w:hAnsi="Times New Roman" w:cs="Times New Roman"/>
                <w:sz w:val="24"/>
              </w:rPr>
              <w:t>止回阀</w:t>
            </w:r>
          </w:p>
        </w:tc>
        <w:tc>
          <w:tcPr>
            <w:tcW w:w="1522" w:type="pct"/>
            <w:vMerge w:val="restart"/>
            <w:tcBorders>
              <w:top w:val="nil"/>
              <w:left w:val="single" w:color="000000" w:sz="4" w:space="0"/>
              <w:bottom w:val="single" w:color="000000" w:sz="4" w:space="0"/>
              <w:right w:val="single" w:color="000000" w:sz="4" w:space="0"/>
            </w:tcBorders>
            <w:vAlign w:val="center"/>
          </w:tcPr>
          <w:p w14:paraId="0E4172DF">
            <w:pPr>
              <w:spacing w:before="24" w:after="24" w:line="288" w:lineRule="auto"/>
              <w:jc w:val="center"/>
              <w:rPr>
                <w:rFonts w:ascii="Times New Roman" w:hAnsi="Times New Roman" w:cs="Times New Roman"/>
                <w:sz w:val="24"/>
              </w:rPr>
            </w:pPr>
            <w:r>
              <w:rPr>
                <w:rFonts w:ascii="Times New Roman" w:hAnsi="Times New Roman" w:cs="Times New Roman"/>
                <w:sz w:val="24"/>
              </w:rPr>
              <w:t>水加热器或贮热水罐的冷水供水管;机械循环的第二循环系统回水管；冷热水混水器、恒温混合阀等的冷、热水供水管</w:t>
            </w:r>
          </w:p>
        </w:tc>
        <w:tc>
          <w:tcPr>
            <w:tcW w:w="938" w:type="pct"/>
            <w:tcBorders>
              <w:top w:val="single" w:color="000000" w:sz="4" w:space="0"/>
              <w:left w:val="single" w:color="000000" w:sz="4" w:space="0"/>
              <w:bottom w:val="single" w:color="000000" w:sz="4" w:space="0"/>
              <w:right w:val="single" w:color="000000" w:sz="4" w:space="0"/>
            </w:tcBorders>
            <w:vAlign w:val="center"/>
          </w:tcPr>
          <w:p w14:paraId="7FE07C46">
            <w:pPr>
              <w:spacing w:before="24" w:after="24" w:line="288" w:lineRule="auto"/>
              <w:jc w:val="center"/>
              <w:rPr>
                <w:rFonts w:ascii="Times New Roman" w:hAnsi="Times New Roman" w:cs="Times New Roman"/>
                <w:sz w:val="24"/>
              </w:rPr>
            </w:pPr>
            <w:r>
              <w:rPr>
                <w:rFonts w:ascii="Times New Roman" w:hAnsi="Times New Roman" w:cs="Times New Roman"/>
                <w:sz w:val="24"/>
              </w:rPr>
              <w:t>管径≤DN50</w:t>
            </w:r>
          </w:p>
        </w:tc>
        <w:tc>
          <w:tcPr>
            <w:tcW w:w="778" w:type="pct"/>
            <w:tcBorders>
              <w:top w:val="single" w:color="000000" w:sz="4" w:space="0"/>
              <w:left w:val="single" w:color="000000" w:sz="4" w:space="0"/>
              <w:bottom w:val="single" w:color="000000" w:sz="4" w:space="0"/>
              <w:right w:val="single" w:color="000000" w:sz="4" w:space="0"/>
            </w:tcBorders>
            <w:vAlign w:val="center"/>
          </w:tcPr>
          <w:p w14:paraId="620C812A">
            <w:pPr>
              <w:spacing w:before="24" w:after="24" w:line="288" w:lineRule="auto"/>
              <w:jc w:val="center"/>
              <w:rPr>
                <w:rFonts w:ascii="Times New Roman" w:hAnsi="Times New Roman" w:cs="Times New Roman"/>
                <w:sz w:val="24"/>
              </w:rPr>
            </w:pPr>
            <w:r>
              <w:rPr>
                <w:rFonts w:ascii="Times New Roman" w:hAnsi="Times New Roman" w:cs="Times New Roman"/>
                <w:sz w:val="24"/>
              </w:rPr>
              <w:t>不锈钢</w:t>
            </w:r>
          </w:p>
        </w:tc>
        <w:tc>
          <w:tcPr>
            <w:tcW w:w="592" w:type="pct"/>
            <w:tcBorders>
              <w:top w:val="single" w:color="000000" w:sz="4" w:space="0"/>
              <w:left w:val="single" w:color="000000" w:sz="4" w:space="0"/>
              <w:bottom w:val="single" w:color="000000" w:sz="4" w:space="0"/>
              <w:right w:val="single" w:color="000000" w:sz="4" w:space="0"/>
            </w:tcBorders>
            <w:vAlign w:val="center"/>
          </w:tcPr>
          <w:p w14:paraId="14C40C4A">
            <w:pPr>
              <w:spacing w:before="24" w:after="24" w:line="288" w:lineRule="auto"/>
              <w:jc w:val="center"/>
              <w:rPr>
                <w:rFonts w:ascii="Times New Roman" w:hAnsi="Times New Roman" w:cs="Times New Roman"/>
                <w:sz w:val="24"/>
              </w:rPr>
            </w:pPr>
          </w:p>
        </w:tc>
      </w:tr>
      <w:tr w14:paraId="12204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164" w:hRule="atLeast"/>
          <w:jc w:val="center"/>
        </w:trPr>
        <w:tc>
          <w:tcPr>
            <w:tcW w:w="467" w:type="pct"/>
            <w:vMerge w:val="continue"/>
            <w:tcBorders>
              <w:top w:val="nil"/>
              <w:left w:val="single" w:color="000000" w:sz="4" w:space="0"/>
              <w:bottom w:val="single" w:color="000000" w:sz="4" w:space="0"/>
              <w:right w:val="single" w:color="000000" w:sz="4" w:space="0"/>
            </w:tcBorders>
            <w:vAlign w:val="center"/>
          </w:tcPr>
          <w:p w14:paraId="7C55E8A1">
            <w:pPr>
              <w:spacing w:before="24" w:after="24" w:line="288" w:lineRule="auto"/>
              <w:jc w:val="center"/>
              <w:rPr>
                <w:rFonts w:ascii="Times New Roman" w:hAnsi="Times New Roman" w:cs="Times New Roman"/>
                <w:sz w:val="24"/>
              </w:rPr>
            </w:pPr>
          </w:p>
        </w:tc>
        <w:tc>
          <w:tcPr>
            <w:tcW w:w="699" w:type="pct"/>
            <w:vMerge w:val="continue"/>
            <w:tcBorders>
              <w:top w:val="nil"/>
              <w:left w:val="single" w:color="000000" w:sz="4" w:space="0"/>
              <w:bottom w:val="single" w:color="000000" w:sz="4" w:space="0"/>
              <w:right w:val="single" w:color="000000" w:sz="4" w:space="0"/>
            </w:tcBorders>
            <w:vAlign w:val="center"/>
          </w:tcPr>
          <w:p w14:paraId="06CA69AB">
            <w:pPr>
              <w:spacing w:before="24" w:after="24" w:line="288" w:lineRule="auto"/>
              <w:jc w:val="center"/>
              <w:rPr>
                <w:rFonts w:ascii="Times New Roman" w:hAnsi="Times New Roman" w:cs="Times New Roman"/>
                <w:sz w:val="24"/>
              </w:rPr>
            </w:pPr>
          </w:p>
        </w:tc>
        <w:tc>
          <w:tcPr>
            <w:tcW w:w="1522" w:type="pct"/>
            <w:vMerge w:val="continue"/>
            <w:tcBorders>
              <w:top w:val="nil"/>
              <w:left w:val="single" w:color="000000" w:sz="4" w:space="0"/>
              <w:bottom w:val="single" w:color="000000" w:sz="4" w:space="0"/>
              <w:right w:val="single" w:color="000000" w:sz="4" w:space="0"/>
            </w:tcBorders>
            <w:vAlign w:val="center"/>
          </w:tcPr>
          <w:p w14:paraId="1E447E4B">
            <w:pPr>
              <w:spacing w:before="24" w:after="24" w:line="288" w:lineRule="auto"/>
              <w:jc w:val="center"/>
              <w:rPr>
                <w:rFonts w:ascii="Times New Roman" w:hAnsi="Times New Roman" w:cs="Times New Roman"/>
                <w:sz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44ADCD6D">
            <w:pPr>
              <w:spacing w:before="24" w:after="24" w:line="288" w:lineRule="auto"/>
              <w:jc w:val="center"/>
              <w:rPr>
                <w:rFonts w:ascii="Times New Roman" w:hAnsi="Times New Roman" w:cs="Times New Roman"/>
                <w:sz w:val="24"/>
              </w:rPr>
            </w:pPr>
            <w:r>
              <w:rPr>
                <w:rFonts w:ascii="Times New Roman" w:hAnsi="Times New Roman" w:cs="Times New Roman"/>
                <w:sz w:val="24"/>
              </w:rPr>
              <w:t>管径＞DN50</w:t>
            </w:r>
          </w:p>
        </w:tc>
        <w:tc>
          <w:tcPr>
            <w:tcW w:w="778" w:type="pct"/>
            <w:tcBorders>
              <w:top w:val="single" w:color="000000" w:sz="4" w:space="0"/>
              <w:left w:val="single" w:color="000000" w:sz="4" w:space="0"/>
              <w:bottom w:val="single" w:color="000000" w:sz="4" w:space="0"/>
              <w:right w:val="single" w:color="000000" w:sz="4" w:space="0"/>
            </w:tcBorders>
            <w:vAlign w:val="center"/>
          </w:tcPr>
          <w:p w14:paraId="5AAEA1B1">
            <w:pPr>
              <w:spacing w:before="24" w:after="24" w:line="288" w:lineRule="auto"/>
              <w:jc w:val="center"/>
              <w:rPr>
                <w:rFonts w:ascii="Times New Roman" w:hAnsi="Times New Roman" w:cs="Times New Roman"/>
                <w:sz w:val="24"/>
              </w:rPr>
            </w:pPr>
            <w:r>
              <w:rPr>
                <w:rFonts w:ascii="Times New Roman" w:hAnsi="Times New Roman" w:cs="Times New Roman"/>
                <w:sz w:val="24"/>
              </w:rPr>
              <w:t>铸钢</w:t>
            </w:r>
          </w:p>
        </w:tc>
        <w:tc>
          <w:tcPr>
            <w:tcW w:w="592" w:type="pct"/>
            <w:tcBorders>
              <w:top w:val="single" w:color="000000" w:sz="4" w:space="0"/>
              <w:left w:val="single" w:color="000000" w:sz="4" w:space="0"/>
              <w:bottom w:val="single" w:color="000000" w:sz="4" w:space="0"/>
              <w:right w:val="single" w:color="000000" w:sz="4" w:space="0"/>
            </w:tcBorders>
            <w:vAlign w:val="center"/>
          </w:tcPr>
          <w:p w14:paraId="787DEDFF">
            <w:pPr>
              <w:spacing w:before="24" w:after="24" w:line="288" w:lineRule="auto"/>
              <w:jc w:val="center"/>
              <w:rPr>
                <w:rFonts w:ascii="Times New Roman" w:hAnsi="Times New Roman" w:cs="Times New Roman"/>
                <w:sz w:val="24"/>
              </w:rPr>
            </w:pPr>
          </w:p>
        </w:tc>
      </w:tr>
      <w:tr w14:paraId="73D95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7" w:type="pct"/>
            <w:tcBorders>
              <w:top w:val="single" w:color="000000" w:sz="4" w:space="0"/>
              <w:left w:val="single" w:color="000000" w:sz="4" w:space="0"/>
              <w:bottom w:val="single" w:color="000000" w:sz="4" w:space="0"/>
              <w:right w:val="single" w:color="000000" w:sz="4" w:space="0"/>
            </w:tcBorders>
            <w:vAlign w:val="center"/>
          </w:tcPr>
          <w:p w14:paraId="7AA9D39C">
            <w:pPr>
              <w:spacing w:before="24" w:after="24" w:line="288" w:lineRule="auto"/>
              <w:jc w:val="center"/>
              <w:rPr>
                <w:rFonts w:ascii="Times New Roman" w:hAnsi="Times New Roman" w:cs="Times New Roman"/>
                <w:sz w:val="24"/>
              </w:rPr>
            </w:pPr>
            <w:r>
              <w:rPr>
                <w:rFonts w:ascii="Times New Roman" w:hAnsi="Times New Roman" w:cs="Times New Roman"/>
                <w:sz w:val="24"/>
              </w:rPr>
              <w:t>4</w:t>
            </w:r>
          </w:p>
        </w:tc>
        <w:tc>
          <w:tcPr>
            <w:tcW w:w="699" w:type="pct"/>
            <w:tcBorders>
              <w:top w:val="single" w:color="000000" w:sz="4" w:space="0"/>
              <w:left w:val="single" w:color="000000" w:sz="4" w:space="0"/>
              <w:bottom w:val="single" w:color="000000" w:sz="4" w:space="0"/>
              <w:right w:val="single" w:color="000000" w:sz="4" w:space="0"/>
            </w:tcBorders>
            <w:vAlign w:val="center"/>
          </w:tcPr>
          <w:p w14:paraId="60280ACB">
            <w:pPr>
              <w:spacing w:before="24" w:after="24" w:line="288" w:lineRule="auto"/>
              <w:jc w:val="center"/>
              <w:rPr>
                <w:rFonts w:ascii="Times New Roman" w:hAnsi="Times New Roman" w:cs="Times New Roman"/>
                <w:sz w:val="24"/>
              </w:rPr>
            </w:pPr>
            <w:r>
              <w:rPr>
                <w:rFonts w:ascii="Times New Roman" w:hAnsi="Times New Roman" w:cs="Times New Roman"/>
                <w:sz w:val="24"/>
              </w:rPr>
              <w:t>可调式减压阀</w:t>
            </w:r>
          </w:p>
        </w:tc>
        <w:tc>
          <w:tcPr>
            <w:tcW w:w="1522" w:type="pct"/>
            <w:tcBorders>
              <w:top w:val="single" w:color="000000" w:sz="4" w:space="0"/>
              <w:left w:val="single" w:color="000000" w:sz="4" w:space="0"/>
              <w:bottom w:val="single" w:color="000000" w:sz="4" w:space="0"/>
              <w:right w:val="single" w:color="000000" w:sz="4" w:space="0"/>
            </w:tcBorders>
            <w:vAlign w:val="center"/>
          </w:tcPr>
          <w:p w14:paraId="7B330926">
            <w:pPr>
              <w:spacing w:before="24" w:after="24" w:line="288" w:lineRule="auto"/>
              <w:jc w:val="left"/>
              <w:rPr>
                <w:rFonts w:ascii="Times New Roman" w:hAnsi="Times New Roman" w:cs="Times New Roman"/>
                <w:sz w:val="24"/>
              </w:rPr>
            </w:pPr>
            <w:r>
              <w:rPr>
                <w:rFonts w:ascii="Times New Roman" w:hAnsi="Times New Roman" w:cs="Times New Roman"/>
                <w:sz w:val="24"/>
              </w:rPr>
              <w:t>系统压力大于0.2MPa干管或支管</w:t>
            </w:r>
          </w:p>
        </w:tc>
        <w:tc>
          <w:tcPr>
            <w:tcW w:w="938" w:type="pct"/>
            <w:tcBorders>
              <w:top w:val="single" w:color="000000" w:sz="4" w:space="0"/>
              <w:left w:val="single" w:color="000000" w:sz="4" w:space="0"/>
              <w:bottom w:val="single" w:color="000000" w:sz="4" w:space="0"/>
              <w:right w:val="single" w:color="000000" w:sz="4" w:space="0"/>
            </w:tcBorders>
            <w:vAlign w:val="center"/>
          </w:tcPr>
          <w:p w14:paraId="6FF2FD39">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778" w:type="pct"/>
            <w:tcBorders>
              <w:top w:val="single" w:color="000000" w:sz="4" w:space="0"/>
              <w:left w:val="single" w:color="000000" w:sz="4" w:space="0"/>
              <w:bottom w:val="single" w:color="000000" w:sz="4" w:space="0"/>
              <w:right w:val="single" w:color="000000" w:sz="4" w:space="0"/>
            </w:tcBorders>
            <w:vAlign w:val="center"/>
          </w:tcPr>
          <w:p w14:paraId="57E96ED0">
            <w:pPr>
              <w:spacing w:before="24" w:after="24" w:line="288" w:lineRule="auto"/>
              <w:jc w:val="center"/>
              <w:rPr>
                <w:rFonts w:ascii="Times New Roman" w:hAnsi="Times New Roman" w:cs="Times New Roman"/>
                <w:sz w:val="24"/>
              </w:rPr>
            </w:pPr>
            <w:r>
              <w:rPr>
                <w:rFonts w:ascii="Times New Roman" w:hAnsi="Times New Roman" w:cs="Times New Roman"/>
                <w:sz w:val="24"/>
              </w:rPr>
              <w:t>球墨铸铁</w:t>
            </w:r>
          </w:p>
        </w:tc>
        <w:tc>
          <w:tcPr>
            <w:tcW w:w="592" w:type="pct"/>
            <w:tcBorders>
              <w:top w:val="single" w:color="000000" w:sz="4" w:space="0"/>
              <w:left w:val="single" w:color="000000" w:sz="4" w:space="0"/>
              <w:bottom w:val="single" w:color="000000" w:sz="4" w:space="0"/>
              <w:right w:val="single" w:color="000000" w:sz="4" w:space="0"/>
            </w:tcBorders>
            <w:vAlign w:val="center"/>
          </w:tcPr>
          <w:p w14:paraId="314D0C30">
            <w:pPr>
              <w:spacing w:before="24" w:after="24" w:line="288" w:lineRule="auto"/>
              <w:jc w:val="center"/>
              <w:rPr>
                <w:rFonts w:ascii="Times New Roman" w:hAnsi="Times New Roman" w:cs="Times New Roman"/>
                <w:sz w:val="24"/>
              </w:rPr>
            </w:pPr>
          </w:p>
        </w:tc>
      </w:tr>
      <w:tr w14:paraId="63B2F5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7" w:type="pct"/>
            <w:tcBorders>
              <w:top w:val="single" w:color="000000" w:sz="4" w:space="0"/>
              <w:left w:val="single" w:color="000000" w:sz="4" w:space="0"/>
              <w:bottom w:val="single" w:color="000000" w:sz="4" w:space="0"/>
              <w:right w:val="single" w:color="000000" w:sz="4" w:space="0"/>
            </w:tcBorders>
            <w:vAlign w:val="center"/>
          </w:tcPr>
          <w:p w14:paraId="7356A340">
            <w:pPr>
              <w:spacing w:before="24" w:after="24" w:line="288" w:lineRule="auto"/>
              <w:jc w:val="center"/>
              <w:rPr>
                <w:rFonts w:ascii="Times New Roman" w:hAnsi="Times New Roman" w:cs="Times New Roman"/>
                <w:sz w:val="24"/>
              </w:rPr>
            </w:pPr>
            <w:r>
              <w:rPr>
                <w:rFonts w:ascii="Times New Roman" w:hAnsi="Times New Roman" w:cs="Times New Roman"/>
                <w:sz w:val="24"/>
              </w:rPr>
              <w:t>5</w:t>
            </w:r>
          </w:p>
        </w:tc>
        <w:tc>
          <w:tcPr>
            <w:tcW w:w="699" w:type="pct"/>
            <w:tcBorders>
              <w:top w:val="single" w:color="000000" w:sz="4" w:space="0"/>
              <w:left w:val="single" w:color="000000" w:sz="4" w:space="0"/>
              <w:bottom w:val="single" w:color="000000" w:sz="4" w:space="0"/>
              <w:right w:val="single" w:color="000000" w:sz="4" w:space="0"/>
            </w:tcBorders>
            <w:vAlign w:val="center"/>
          </w:tcPr>
          <w:p w14:paraId="5DC1CA1B">
            <w:pPr>
              <w:spacing w:before="24" w:after="24" w:line="288" w:lineRule="auto"/>
              <w:jc w:val="center"/>
              <w:rPr>
                <w:rFonts w:ascii="Times New Roman" w:hAnsi="Times New Roman" w:cs="Times New Roman"/>
                <w:sz w:val="24"/>
              </w:rPr>
            </w:pPr>
            <w:r>
              <w:rPr>
                <w:rFonts w:ascii="Times New Roman" w:hAnsi="Times New Roman" w:cs="Times New Roman"/>
                <w:sz w:val="24"/>
              </w:rPr>
              <w:t>自动排气阀</w:t>
            </w:r>
          </w:p>
        </w:tc>
        <w:tc>
          <w:tcPr>
            <w:tcW w:w="1522" w:type="pct"/>
            <w:tcBorders>
              <w:top w:val="single" w:color="000000" w:sz="4" w:space="0"/>
              <w:left w:val="single" w:color="000000" w:sz="4" w:space="0"/>
              <w:bottom w:val="single" w:color="000000" w:sz="4" w:space="0"/>
              <w:right w:val="single" w:color="000000" w:sz="4" w:space="0"/>
            </w:tcBorders>
            <w:vAlign w:val="center"/>
          </w:tcPr>
          <w:p w14:paraId="6E735163">
            <w:pPr>
              <w:spacing w:before="24" w:after="24" w:line="288" w:lineRule="auto"/>
              <w:jc w:val="left"/>
              <w:rPr>
                <w:rFonts w:ascii="Times New Roman" w:hAnsi="Times New Roman" w:cs="Times New Roman"/>
                <w:sz w:val="24"/>
              </w:rPr>
            </w:pPr>
            <w:r>
              <w:rPr>
                <w:rFonts w:ascii="Times New Roman" w:hAnsi="Times New Roman" w:cs="Times New Roman"/>
                <w:sz w:val="24"/>
              </w:rPr>
              <w:t>管网末端或最高点处</w:t>
            </w:r>
          </w:p>
        </w:tc>
        <w:tc>
          <w:tcPr>
            <w:tcW w:w="938" w:type="pct"/>
            <w:tcBorders>
              <w:top w:val="single" w:color="000000" w:sz="4" w:space="0"/>
              <w:left w:val="single" w:color="000000" w:sz="4" w:space="0"/>
              <w:bottom w:val="single" w:color="000000" w:sz="4" w:space="0"/>
              <w:right w:val="single" w:color="000000" w:sz="4" w:space="0"/>
            </w:tcBorders>
            <w:vAlign w:val="center"/>
          </w:tcPr>
          <w:p w14:paraId="59062C2A">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778" w:type="pct"/>
            <w:tcBorders>
              <w:top w:val="single" w:color="000000" w:sz="4" w:space="0"/>
              <w:left w:val="single" w:color="000000" w:sz="4" w:space="0"/>
              <w:bottom w:val="single" w:color="000000" w:sz="4" w:space="0"/>
              <w:right w:val="single" w:color="000000" w:sz="4" w:space="0"/>
            </w:tcBorders>
            <w:vAlign w:val="center"/>
          </w:tcPr>
          <w:p w14:paraId="5CD921FF">
            <w:pPr>
              <w:spacing w:before="24" w:after="24" w:line="288" w:lineRule="auto"/>
              <w:jc w:val="center"/>
              <w:rPr>
                <w:rFonts w:ascii="Times New Roman" w:hAnsi="Times New Roman" w:cs="Times New Roman"/>
                <w:sz w:val="24"/>
              </w:rPr>
            </w:pPr>
            <w:r>
              <w:rPr>
                <w:rFonts w:ascii="Times New Roman" w:hAnsi="Times New Roman" w:cs="Times New Roman"/>
                <w:sz w:val="24"/>
              </w:rPr>
              <w:t>铜及铜合金</w:t>
            </w:r>
          </w:p>
        </w:tc>
        <w:tc>
          <w:tcPr>
            <w:tcW w:w="592" w:type="pct"/>
            <w:tcBorders>
              <w:top w:val="single" w:color="000000" w:sz="4" w:space="0"/>
              <w:left w:val="single" w:color="000000" w:sz="4" w:space="0"/>
              <w:bottom w:val="single" w:color="000000" w:sz="4" w:space="0"/>
              <w:right w:val="single" w:color="000000" w:sz="4" w:space="0"/>
            </w:tcBorders>
            <w:vAlign w:val="center"/>
          </w:tcPr>
          <w:p w14:paraId="10FA0C35">
            <w:pPr>
              <w:spacing w:before="24" w:after="24" w:line="288" w:lineRule="auto"/>
              <w:jc w:val="center"/>
              <w:rPr>
                <w:rFonts w:ascii="Times New Roman" w:hAnsi="Times New Roman" w:cs="Times New Roman"/>
                <w:sz w:val="24"/>
              </w:rPr>
            </w:pPr>
          </w:p>
        </w:tc>
      </w:tr>
      <w:tr w14:paraId="6DEAEB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7" w:type="pct"/>
            <w:tcBorders>
              <w:top w:val="single" w:color="000000" w:sz="4" w:space="0"/>
              <w:left w:val="single" w:color="000000" w:sz="4" w:space="0"/>
              <w:bottom w:val="single" w:color="000000" w:sz="4" w:space="0"/>
              <w:right w:val="single" w:color="000000" w:sz="4" w:space="0"/>
            </w:tcBorders>
            <w:vAlign w:val="center"/>
          </w:tcPr>
          <w:p w14:paraId="63752B85">
            <w:pPr>
              <w:spacing w:before="24" w:after="24" w:line="288" w:lineRule="auto"/>
              <w:jc w:val="center"/>
              <w:rPr>
                <w:rFonts w:ascii="Times New Roman" w:hAnsi="Times New Roman" w:cs="Times New Roman"/>
                <w:sz w:val="24"/>
              </w:rPr>
            </w:pPr>
            <w:r>
              <w:rPr>
                <w:rFonts w:ascii="Times New Roman" w:hAnsi="Times New Roman" w:cs="Times New Roman"/>
                <w:sz w:val="24"/>
              </w:rPr>
              <w:t>6</w:t>
            </w:r>
          </w:p>
        </w:tc>
        <w:tc>
          <w:tcPr>
            <w:tcW w:w="699" w:type="pct"/>
            <w:tcBorders>
              <w:top w:val="single" w:color="000000" w:sz="4" w:space="0"/>
              <w:left w:val="single" w:color="000000" w:sz="4" w:space="0"/>
              <w:bottom w:val="single" w:color="000000" w:sz="4" w:space="0"/>
              <w:right w:val="single" w:color="000000" w:sz="4" w:space="0"/>
            </w:tcBorders>
            <w:vAlign w:val="center"/>
          </w:tcPr>
          <w:p w14:paraId="21137B8A">
            <w:pPr>
              <w:spacing w:before="24" w:after="24" w:line="288" w:lineRule="auto"/>
              <w:jc w:val="center"/>
              <w:rPr>
                <w:rFonts w:ascii="Times New Roman" w:hAnsi="Times New Roman" w:cs="Times New Roman"/>
                <w:sz w:val="24"/>
              </w:rPr>
            </w:pPr>
            <w:r>
              <w:rPr>
                <w:rFonts w:ascii="Times New Roman" w:hAnsi="Times New Roman" w:cs="Times New Roman"/>
                <w:sz w:val="24"/>
              </w:rPr>
              <w:t>管道过滤器</w:t>
            </w:r>
          </w:p>
        </w:tc>
        <w:tc>
          <w:tcPr>
            <w:tcW w:w="1522" w:type="pct"/>
            <w:tcBorders>
              <w:top w:val="single" w:color="000000" w:sz="4" w:space="0"/>
              <w:left w:val="single" w:color="000000" w:sz="4" w:space="0"/>
              <w:bottom w:val="single" w:color="000000" w:sz="4" w:space="0"/>
              <w:right w:val="single" w:color="000000" w:sz="4" w:space="0"/>
            </w:tcBorders>
            <w:vAlign w:val="center"/>
          </w:tcPr>
          <w:p w14:paraId="03771808">
            <w:pPr>
              <w:spacing w:before="24" w:after="24" w:line="288" w:lineRule="auto"/>
              <w:jc w:val="left"/>
              <w:rPr>
                <w:rFonts w:ascii="Times New Roman" w:hAnsi="Times New Roman" w:cs="Times New Roman"/>
                <w:sz w:val="24"/>
              </w:rPr>
            </w:pPr>
            <w:r>
              <w:rPr>
                <w:rFonts w:ascii="Times New Roman" w:hAnsi="Times New Roman" w:cs="Times New Roman"/>
                <w:sz w:val="24"/>
              </w:rPr>
              <w:t>减压阀、持压泄压阀、倒流防止器、自动水位控制阀、温度调节阀等阀件前</w:t>
            </w:r>
          </w:p>
        </w:tc>
        <w:tc>
          <w:tcPr>
            <w:tcW w:w="938" w:type="pct"/>
            <w:tcBorders>
              <w:top w:val="single" w:color="000000" w:sz="4" w:space="0"/>
              <w:left w:val="single" w:color="000000" w:sz="4" w:space="0"/>
              <w:bottom w:val="single" w:color="000000" w:sz="4" w:space="0"/>
              <w:right w:val="single" w:color="000000" w:sz="4" w:space="0"/>
            </w:tcBorders>
            <w:vAlign w:val="center"/>
          </w:tcPr>
          <w:p w14:paraId="0AE1958B">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778" w:type="pct"/>
            <w:tcBorders>
              <w:top w:val="single" w:color="000000" w:sz="4" w:space="0"/>
              <w:left w:val="single" w:color="000000" w:sz="4" w:space="0"/>
              <w:bottom w:val="single" w:color="000000" w:sz="4" w:space="0"/>
              <w:right w:val="single" w:color="000000" w:sz="4" w:space="0"/>
            </w:tcBorders>
            <w:vAlign w:val="center"/>
          </w:tcPr>
          <w:p w14:paraId="0B32B68A">
            <w:pPr>
              <w:spacing w:before="24" w:after="24" w:line="288" w:lineRule="auto"/>
              <w:jc w:val="center"/>
              <w:rPr>
                <w:rFonts w:ascii="Times New Roman" w:hAnsi="Times New Roman" w:cs="Times New Roman"/>
                <w:sz w:val="24"/>
              </w:rPr>
            </w:pPr>
            <w:r>
              <w:rPr>
                <w:rFonts w:ascii="Times New Roman" w:hAnsi="Times New Roman" w:cs="Times New Roman"/>
                <w:sz w:val="24"/>
              </w:rPr>
              <w:t>球墨铸铁</w:t>
            </w:r>
          </w:p>
        </w:tc>
        <w:tc>
          <w:tcPr>
            <w:tcW w:w="592" w:type="pct"/>
            <w:tcBorders>
              <w:top w:val="single" w:color="000000" w:sz="4" w:space="0"/>
              <w:left w:val="single" w:color="000000" w:sz="4" w:space="0"/>
              <w:bottom w:val="single" w:color="000000" w:sz="4" w:space="0"/>
              <w:right w:val="single" w:color="000000" w:sz="4" w:space="0"/>
            </w:tcBorders>
            <w:vAlign w:val="center"/>
          </w:tcPr>
          <w:p w14:paraId="339172B9">
            <w:pPr>
              <w:spacing w:before="24" w:after="24" w:line="288" w:lineRule="auto"/>
              <w:jc w:val="center"/>
              <w:rPr>
                <w:rFonts w:ascii="Times New Roman" w:hAnsi="Times New Roman" w:cs="Times New Roman"/>
                <w:sz w:val="24"/>
              </w:rPr>
            </w:pPr>
          </w:p>
        </w:tc>
      </w:tr>
      <w:tr w14:paraId="4B6F83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7" w:type="pct"/>
            <w:vMerge w:val="restart"/>
            <w:tcBorders>
              <w:top w:val="nil"/>
              <w:left w:val="single" w:color="000000" w:sz="4" w:space="0"/>
              <w:bottom w:val="single" w:color="000000" w:sz="4" w:space="0"/>
              <w:right w:val="single" w:color="000000" w:sz="4" w:space="0"/>
            </w:tcBorders>
            <w:vAlign w:val="center"/>
          </w:tcPr>
          <w:p w14:paraId="685CC529">
            <w:pPr>
              <w:spacing w:before="24" w:after="24" w:line="288" w:lineRule="auto"/>
              <w:jc w:val="center"/>
              <w:rPr>
                <w:rFonts w:ascii="Times New Roman" w:hAnsi="Times New Roman" w:cs="Times New Roman"/>
                <w:sz w:val="24"/>
              </w:rPr>
            </w:pPr>
            <w:r>
              <w:rPr>
                <w:rFonts w:ascii="Times New Roman" w:hAnsi="Times New Roman" w:cs="Times New Roman"/>
                <w:sz w:val="24"/>
              </w:rPr>
              <w:t>7</w:t>
            </w:r>
          </w:p>
        </w:tc>
        <w:tc>
          <w:tcPr>
            <w:tcW w:w="699" w:type="pct"/>
            <w:vMerge w:val="restart"/>
            <w:tcBorders>
              <w:top w:val="nil"/>
              <w:left w:val="single" w:color="000000" w:sz="4" w:space="0"/>
              <w:bottom w:val="single" w:color="000000" w:sz="4" w:space="0"/>
              <w:right w:val="single" w:color="000000" w:sz="4" w:space="0"/>
            </w:tcBorders>
            <w:vAlign w:val="center"/>
          </w:tcPr>
          <w:p w14:paraId="4A04B6D9">
            <w:pPr>
              <w:spacing w:before="24" w:after="24" w:line="288" w:lineRule="auto"/>
              <w:jc w:val="center"/>
              <w:rPr>
                <w:rFonts w:ascii="Times New Roman" w:hAnsi="Times New Roman" w:cs="Times New Roman"/>
                <w:sz w:val="24"/>
              </w:rPr>
            </w:pPr>
            <w:r>
              <w:rPr>
                <w:rFonts w:ascii="Times New Roman" w:hAnsi="Times New Roman" w:cs="Times New Roman"/>
                <w:sz w:val="24"/>
              </w:rPr>
              <w:t>温控阀</w:t>
            </w:r>
          </w:p>
        </w:tc>
        <w:tc>
          <w:tcPr>
            <w:tcW w:w="1522" w:type="pct"/>
            <w:vMerge w:val="restart"/>
            <w:tcBorders>
              <w:top w:val="nil"/>
              <w:left w:val="single" w:color="000000" w:sz="4" w:space="0"/>
              <w:bottom w:val="single" w:color="000000" w:sz="4" w:space="0"/>
              <w:right w:val="single" w:color="000000" w:sz="4" w:space="0"/>
            </w:tcBorders>
            <w:vAlign w:val="center"/>
          </w:tcPr>
          <w:p w14:paraId="31E76D76">
            <w:pPr>
              <w:spacing w:before="24" w:after="24" w:line="288" w:lineRule="auto"/>
              <w:jc w:val="left"/>
              <w:rPr>
                <w:rFonts w:ascii="Times New Roman" w:hAnsi="Times New Roman" w:cs="Times New Roman"/>
                <w:sz w:val="24"/>
              </w:rPr>
            </w:pPr>
            <w:r>
              <w:rPr>
                <w:rFonts w:ascii="Times New Roman" w:hAnsi="Times New Roman" w:cs="Times New Roman"/>
                <w:sz w:val="24"/>
              </w:rPr>
              <w:t>热水总回水管上</w:t>
            </w:r>
          </w:p>
        </w:tc>
        <w:tc>
          <w:tcPr>
            <w:tcW w:w="938" w:type="pct"/>
            <w:tcBorders>
              <w:top w:val="single" w:color="000000" w:sz="4" w:space="0"/>
              <w:left w:val="single" w:color="000000" w:sz="4" w:space="0"/>
              <w:bottom w:val="single" w:color="000000" w:sz="4" w:space="0"/>
              <w:right w:val="single" w:color="000000" w:sz="4" w:space="0"/>
            </w:tcBorders>
            <w:vAlign w:val="center"/>
          </w:tcPr>
          <w:p w14:paraId="165F1E6A">
            <w:pPr>
              <w:spacing w:before="24" w:after="24" w:line="288" w:lineRule="auto"/>
              <w:jc w:val="center"/>
              <w:rPr>
                <w:rFonts w:ascii="Times New Roman" w:hAnsi="Times New Roman" w:cs="Times New Roman"/>
                <w:sz w:val="24"/>
              </w:rPr>
            </w:pPr>
            <w:r>
              <w:rPr>
                <w:rFonts w:ascii="Times New Roman" w:hAnsi="Times New Roman" w:cs="Times New Roman"/>
                <w:sz w:val="24"/>
              </w:rPr>
              <w:t>管径≤DN50</w:t>
            </w:r>
          </w:p>
        </w:tc>
        <w:tc>
          <w:tcPr>
            <w:tcW w:w="778" w:type="pct"/>
            <w:tcBorders>
              <w:top w:val="single" w:color="000000" w:sz="4" w:space="0"/>
              <w:left w:val="single" w:color="000000" w:sz="4" w:space="0"/>
              <w:bottom w:val="single" w:color="000000" w:sz="4" w:space="0"/>
              <w:right w:val="single" w:color="000000" w:sz="4" w:space="0"/>
            </w:tcBorders>
            <w:vAlign w:val="center"/>
          </w:tcPr>
          <w:p w14:paraId="5A1E741D">
            <w:pPr>
              <w:spacing w:before="24" w:after="24" w:line="288" w:lineRule="auto"/>
              <w:jc w:val="center"/>
              <w:rPr>
                <w:rFonts w:ascii="Times New Roman" w:hAnsi="Times New Roman" w:cs="Times New Roman"/>
                <w:sz w:val="24"/>
              </w:rPr>
            </w:pPr>
            <w:r>
              <w:rPr>
                <w:rFonts w:ascii="Times New Roman" w:hAnsi="Times New Roman" w:cs="Times New Roman"/>
                <w:sz w:val="24"/>
              </w:rPr>
              <w:t>铜及铜合金</w:t>
            </w:r>
          </w:p>
        </w:tc>
        <w:tc>
          <w:tcPr>
            <w:tcW w:w="592" w:type="pct"/>
            <w:tcBorders>
              <w:top w:val="single" w:color="000000" w:sz="4" w:space="0"/>
              <w:left w:val="single" w:color="000000" w:sz="4" w:space="0"/>
              <w:bottom w:val="single" w:color="000000" w:sz="4" w:space="0"/>
              <w:right w:val="single" w:color="000000" w:sz="4" w:space="0"/>
            </w:tcBorders>
            <w:vAlign w:val="center"/>
          </w:tcPr>
          <w:p w14:paraId="5D5971CC">
            <w:pPr>
              <w:spacing w:before="24" w:after="24" w:line="288" w:lineRule="auto"/>
              <w:jc w:val="center"/>
              <w:rPr>
                <w:rFonts w:ascii="Times New Roman" w:hAnsi="Times New Roman" w:cs="Times New Roman"/>
                <w:sz w:val="24"/>
              </w:rPr>
            </w:pPr>
          </w:p>
        </w:tc>
      </w:tr>
      <w:tr w14:paraId="004E8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7" w:type="pct"/>
            <w:vMerge w:val="continue"/>
            <w:tcBorders>
              <w:top w:val="nil"/>
              <w:left w:val="single" w:color="000000" w:sz="4" w:space="0"/>
              <w:bottom w:val="single" w:color="000000" w:sz="4" w:space="0"/>
              <w:right w:val="single" w:color="000000" w:sz="4" w:space="0"/>
            </w:tcBorders>
            <w:vAlign w:val="center"/>
          </w:tcPr>
          <w:p w14:paraId="1009A23C">
            <w:pPr>
              <w:spacing w:before="24" w:after="24" w:line="288" w:lineRule="auto"/>
              <w:jc w:val="center"/>
              <w:rPr>
                <w:rFonts w:ascii="Times New Roman" w:hAnsi="Times New Roman" w:cs="Times New Roman"/>
                <w:sz w:val="24"/>
              </w:rPr>
            </w:pPr>
          </w:p>
        </w:tc>
        <w:tc>
          <w:tcPr>
            <w:tcW w:w="699" w:type="pct"/>
            <w:vMerge w:val="continue"/>
            <w:tcBorders>
              <w:top w:val="nil"/>
              <w:left w:val="single" w:color="000000" w:sz="4" w:space="0"/>
              <w:bottom w:val="single" w:color="000000" w:sz="4" w:space="0"/>
              <w:right w:val="single" w:color="000000" w:sz="4" w:space="0"/>
            </w:tcBorders>
            <w:vAlign w:val="center"/>
          </w:tcPr>
          <w:p w14:paraId="5CA195B0">
            <w:pPr>
              <w:spacing w:before="24" w:after="24" w:line="288" w:lineRule="auto"/>
              <w:jc w:val="center"/>
              <w:rPr>
                <w:rFonts w:ascii="Times New Roman" w:hAnsi="Times New Roman" w:cs="Times New Roman"/>
                <w:sz w:val="24"/>
              </w:rPr>
            </w:pPr>
          </w:p>
        </w:tc>
        <w:tc>
          <w:tcPr>
            <w:tcW w:w="1522" w:type="pct"/>
            <w:vMerge w:val="continue"/>
            <w:tcBorders>
              <w:top w:val="nil"/>
              <w:left w:val="single" w:color="000000" w:sz="4" w:space="0"/>
              <w:bottom w:val="single" w:color="000000" w:sz="4" w:space="0"/>
              <w:right w:val="single" w:color="000000" w:sz="4" w:space="0"/>
            </w:tcBorders>
            <w:vAlign w:val="center"/>
          </w:tcPr>
          <w:p w14:paraId="3DF85C20">
            <w:pPr>
              <w:spacing w:before="24" w:after="24" w:line="288" w:lineRule="auto"/>
              <w:jc w:val="center"/>
              <w:rPr>
                <w:rFonts w:ascii="Times New Roman" w:hAnsi="Times New Roman" w:cs="Times New Roman"/>
                <w:sz w:val="24"/>
              </w:rPr>
            </w:pPr>
          </w:p>
        </w:tc>
        <w:tc>
          <w:tcPr>
            <w:tcW w:w="938" w:type="pct"/>
            <w:tcBorders>
              <w:top w:val="single" w:color="000000" w:sz="4" w:space="0"/>
              <w:left w:val="single" w:color="000000" w:sz="4" w:space="0"/>
              <w:bottom w:val="single" w:color="000000" w:sz="4" w:space="0"/>
              <w:right w:val="single" w:color="000000" w:sz="4" w:space="0"/>
            </w:tcBorders>
            <w:vAlign w:val="center"/>
          </w:tcPr>
          <w:p w14:paraId="7BF313A2">
            <w:pPr>
              <w:spacing w:before="24" w:after="24" w:line="288" w:lineRule="auto"/>
              <w:jc w:val="center"/>
              <w:rPr>
                <w:rFonts w:ascii="Times New Roman" w:hAnsi="Times New Roman" w:cs="Times New Roman"/>
                <w:sz w:val="24"/>
              </w:rPr>
            </w:pPr>
            <w:r>
              <w:rPr>
                <w:rFonts w:ascii="Times New Roman" w:hAnsi="Times New Roman" w:cs="Times New Roman"/>
                <w:sz w:val="24"/>
              </w:rPr>
              <w:t>管径＞DN50</w:t>
            </w:r>
          </w:p>
        </w:tc>
        <w:tc>
          <w:tcPr>
            <w:tcW w:w="778" w:type="pct"/>
            <w:tcBorders>
              <w:top w:val="single" w:color="000000" w:sz="4" w:space="0"/>
              <w:left w:val="single" w:color="000000" w:sz="4" w:space="0"/>
              <w:bottom w:val="single" w:color="000000" w:sz="4" w:space="0"/>
              <w:right w:val="single" w:color="000000" w:sz="4" w:space="0"/>
            </w:tcBorders>
            <w:vAlign w:val="center"/>
          </w:tcPr>
          <w:p w14:paraId="37453027">
            <w:pPr>
              <w:spacing w:before="24" w:after="24" w:line="288" w:lineRule="auto"/>
              <w:jc w:val="center"/>
              <w:rPr>
                <w:rFonts w:ascii="Times New Roman" w:hAnsi="Times New Roman" w:cs="Times New Roman"/>
                <w:sz w:val="24"/>
              </w:rPr>
            </w:pPr>
            <w:r>
              <w:rPr>
                <w:rFonts w:ascii="Times New Roman" w:hAnsi="Times New Roman" w:cs="Times New Roman"/>
                <w:sz w:val="24"/>
              </w:rPr>
              <w:t>碳钢</w:t>
            </w:r>
          </w:p>
        </w:tc>
        <w:tc>
          <w:tcPr>
            <w:tcW w:w="592" w:type="pct"/>
            <w:tcBorders>
              <w:top w:val="single" w:color="000000" w:sz="4" w:space="0"/>
              <w:left w:val="single" w:color="000000" w:sz="4" w:space="0"/>
              <w:bottom w:val="single" w:color="000000" w:sz="4" w:space="0"/>
              <w:right w:val="single" w:color="000000" w:sz="4" w:space="0"/>
            </w:tcBorders>
            <w:vAlign w:val="center"/>
          </w:tcPr>
          <w:p w14:paraId="74551D35">
            <w:pPr>
              <w:spacing w:before="24" w:after="24" w:line="288" w:lineRule="auto"/>
              <w:jc w:val="center"/>
              <w:rPr>
                <w:rFonts w:ascii="Times New Roman" w:hAnsi="Times New Roman" w:cs="Times New Roman"/>
                <w:sz w:val="24"/>
              </w:rPr>
            </w:pPr>
          </w:p>
        </w:tc>
      </w:tr>
    </w:tbl>
    <w:p w14:paraId="5EAB4197">
      <w:pPr>
        <w:spacing w:before="24" w:after="24"/>
        <w:ind w:firstLine="560" w:firstLineChars="200"/>
        <w:rPr>
          <w:rFonts w:ascii="Times New Roman" w:hAnsi="Times New Roman" w:cs="Times New Roman"/>
        </w:rPr>
      </w:pPr>
      <w:r>
        <w:rPr>
          <w:rFonts w:ascii="Times New Roman" w:hAnsi="Times New Roman" w:cs="Times New Roman"/>
        </w:rPr>
        <w:t>（3）支吊架技术要求同室内给水系统。</w:t>
      </w:r>
    </w:p>
    <w:p w14:paraId="6B002867">
      <w:pPr>
        <w:spacing w:before="24" w:after="24"/>
        <w:ind w:firstLine="560" w:firstLineChars="200"/>
        <w:rPr>
          <w:rFonts w:ascii="Times New Roman" w:hAnsi="Times New Roman" w:cs="Times New Roman"/>
        </w:rPr>
      </w:pPr>
      <w:r>
        <w:rPr>
          <w:rFonts w:ascii="Times New Roman" w:hAnsi="Times New Roman" w:cs="Times New Roman"/>
        </w:rPr>
        <w:t>（4）水表</w:t>
      </w:r>
    </w:p>
    <w:p w14:paraId="001AEAE3">
      <w:pPr>
        <w:spacing w:before="24" w:after="24"/>
        <w:ind w:firstLine="560" w:firstLineChars="200"/>
        <w:rPr>
          <w:rFonts w:ascii="Times New Roman" w:hAnsi="Times New Roman" w:cs="Times New Roman"/>
        </w:rPr>
      </w:pPr>
      <w:r>
        <w:rPr>
          <w:rFonts w:ascii="Times New Roman" w:hAnsi="Times New Roman" w:cs="Times New Roman"/>
        </w:rPr>
        <w:t>根据用户需求设置水表计量；管径≤DN50时采用旋翼干式水表，管径＞DN50时采用水平螺翼式水表。</w:t>
      </w:r>
    </w:p>
    <w:p w14:paraId="23B1B67F">
      <w:pPr>
        <w:spacing w:before="24" w:after="24"/>
        <w:ind w:firstLine="560" w:firstLineChars="200"/>
        <w:rPr>
          <w:rFonts w:ascii="Times New Roman" w:hAnsi="Times New Roman" w:cs="Times New Roman"/>
        </w:rPr>
      </w:pPr>
      <w:r>
        <w:rPr>
          <w:rFonts w:ascii="Times New Roman" w:hAnsi="Times New Roman" w:cs="Times New Roman"/>
        </w:rPr>
        <w:t>3.管道敷设</w:t>
      </w:r>
    </w:p>
    <w:p w14:paraId="73B2EA2C">
      <w:pPr>
        <w:spacing w:before="24" w:after="24"/>
        <w:ind w:firstLine="560" w:firstLineChars="200"/>
        <w:rPr>
          <w:rFonts w:ascii="Times New Roman" w:hAnsi="Times New Roman" w:cs="Times New Roman"/>
        </w:rPr>
      </w:pPr>
      <w:r>
        <w:rPr>
          <w:rFonts w:ascii="Times New Roman" w:hAnsi="Times New Roman" w:cs="Times New Roman"/>
        </w:rPr>
        <w:t>（1）横干管：与墙、梁、柱平行，呈直线走向，力求管路简短；上行下给式系统不宜小于0.005，下行上给式系统不宜小于0.003。</w:t>
      </w:r>
    </w:p>
    <w:p w14:paraId="31CE7F83">
      <w:pPr>
        <w:spacing w:before="24" w:after="24"/>
        <w:ind w:firstLine="560" w:firstLineChars="200"/>
        <w:rPr>
          <w:rFonts w:ascii="Times New Roman" w:hAnsi="Times New Roman" w:cs="Times New Roman"/>
        </w:rPr>
      </w:pPr>
      <w:r>
        <w:rPr>
          <w:rFonts w:ascii="Times New Roman" w:hAnsi="Times New Roman" w:cs="Times New Roman"/>
        </w:rPr>
        <w:t>（2）立管：设置在管井、阴角靠墙或柱子等部位。</w:t>
      </w:r>
    </w:p>
    <w:p w14:paraId="59FEA339">
      <w:pPr>
        <w:spacing w:before="24" w:after="24"/>
        <w:ind w:firstLine="560" w:firstLineChars="200"/>
        <w:rPr>
          <w:rFonts w:ascii="Times New Roman" w:hAnsi="Times New Roman" w:cs="Times New Roman"/>
        </w:rPr>
      </w:pPr>
      <w:r>
        <w:rPr>
          <w:rFonts w:ascii="Times New Roman" w:hAnsi="Times New Roman" w:cs="Times New Roman"/>
        </w:rPr>
        <w:t>（3）支管：宜暗装墙体或找平层内。</w:t>
      </w:r>
    </w:p>
    <w:p w14:paraId="18C8AB5C">
      <w:pPr>
        <w:spacing w:before="24" w:after="24"/>
        <w:ind w:firstLine="560" w:firstLineChars="200"/>
        <w:rPr>
          <w:rFonts w:ascii="Times New Roman" w:hAnsi="Times New Roman" w:cs="Times New Roman"/>
        </w:rPr>
      </w:pPr>
      <w:r>
        <w:rPr>
          <w:rFonts w:ascii="Times New Roman" w:hAnsi="Times New Roman" w:cs="Times New Roman"/>
        </w:rPr>
        <w:t>（4）套管：热水管穿越建筑物墙壁、楼板和基础处应设置钢套管，穿越屋面及地下室外墙时应设置刚性防水套管。</w:t>
      </w:r>
    </w:p>
    <w:p w14:paraId="6562A03E">
      <w:pPr>
        <w:spacing w:before="24" w:after="24"/>
        <w:ind w:firstLine="560" w:firstLineChars="200"/>
        <w:rPr>
          <w:rFonts w:ascii="Times New Roman" w:hAnsi="Times New Roman" w:cs="Times New Roman"/>
        </w:rPr>
      </w:pPr>
      <w:r>
        <w:rPr>
          <w:rFonts w:ascii="Times New Roman" w:hAnsi="Times New Roman" w:cs="Times New Roman"/>
        </w:rPr>
        <w:t>4.热水箱或贮热水罐</w:t>
      </w:r>
    </w:p>
    <w:p w14:paraId="13AA50BB">
      <w:pPr>
        <w:spacing w:before="24" w:after="24"/>
        <w:ind w:firstLine="560" w:firstLineChars="200"/>
        <w:rPr>
          <w:rFonts w:ascii="Times New Roman" w:hAnsi="Times New Roman" w:cs="Times New Roman"/>
        </w:rPr>
      </w:pPr>
      <w:r>
        <w:rPr>
          <w:rFonts w:ascii="Times New Roman" w:hAnsi="Times New Roman" w:cs="Times New Roman"/>
        </w:rPr>
        <w:t>（1）材质：热水箱采用不锈钢热水箱；贮热水罐采用钢制罐体内表面衬不锈钢。</w:t>
      </w:r>
    </w:p>
    <w:p w14:paraId="07E7C01F">
      <w:pPr>
        <w:spacing w:before="24" w:after="24"/>
        <w:ind w:firstLine="560" w:firstLineChars="200"/>
        <w:rPr>
          <w:rFonts w:ascii="Times New Roman" w:hAnsi="Times New Roman" w:cs="Times New Roman"/>
        </w:rPr>
      </w:pPr>
      <w:r>
        <w:rPr>
          <w:rFonts w:ascii="Times New Roman" w:hAnsi="Times New Roman" w:cs="Times New Roman"/>
        </w:rPr>
        <w:t>（2）保温：采用50mm厚泡沫橡塑保温层+钢带+0.5mm厚不锈钢薄板保护层，做法参照国标图集《管道和设备保温、防结露及电伴热》16S401，35～38页。</w:t>
      </w:r>
    </w:p>
    <w:p w14:paraId="60C222DA">
      <w:pPr>
        <w:spacing w:before="24" w:after="24"/>
        <w:ind w:firstLine="560" w:firstLineChars="200"/>
        <w:rPr>
          <w:rFonts w:ascii="Times New Roman" w:hAnsi="Times New Roman" w:cs="Times New Roman"/>
        </w:rPr>
      </w:pPr>
      <w:r>
        <w:rPr>
          <w:rFonts w:ascii="Times New Roman" w:hAnsi="Times New Roman" w:cs="Times New Roman"/>
        </w:rPr>
        <w:t>5.热水供水泵或循环泵</w:t>
      </w:r>
    </w:p>
    <w:p w14:paraId="12BFEAE0">
      <w:pPr>
        <w:spacing w:before="24" w:after="24"/>
        <w:ind w:firstLine="560" w:firstLineChars="200"/>
        <w:rPr>
          <w:rFonts w:ascii="Times New Roman" w:hAnsi="Times New Roman" w:cs="Times New Roman"/>
        </w:rPr>
      </w:pPr>
      <w:r>
        <w:rPr>
          <w:rFonts w:ascii="Times New Roman" w:hAnsi="Times New Roman" w:cs="Times New Roman"/>
        </w:rPr>
        <w:t>（1）水泵效率应符合现行国家标准《清水离心泵能效限定值及节能评价值》GB19762的规定。</w:t>
      </w:r>
    </w:p>
    <w:p w14:paraId="67A25981">
      <w:pPr>
        <w:spacing w:before="24" w:after="24"/>
        <w:ind w:firstLine="560" w:firstLineChars="200"/>
        <w:rPr>
          <w:rFonts w:ascii="Times New Roman" w:hAnsi="Times New Roman" w:cs="Times New Roman"/>
        </w:rPr>
      </w:pPr>
      <w:r>
        <w:rPr>
          <w:rFonts w:ascii="Times New Roman" w:hAnsi="Times New Roman" w:cs="Times New Roman"/>
        </w:rPr>
        <w:t>（2）水泵的Q～H特性曲线应是随流量增大，扬程逐渐下降的曲线。</w:t>
      </w:r>
    </w:p>
    <w:p w14:paraId="5A50AAAA">
      <w:pPr>
        <w:spacing w:before="24" w:after="24"/>
        <w:ind w:firstLine="560" w:firstLineChars="200"/>
        <w:rPr>
          <w:rFonts w:ascii="Times New Roman" w:hAnsi="Times New Roman" w:cs="Times New Roman"/>
        </w:rPr>
      </w:pPr>
      <w:r>
        <w:rPr>
          <w:rFonts w:ascii="Times New Roman" w:hAnsi="Times New Roman" w:cs="Times New Roman"/>
        </w:rPr>
        <w:t>（3）应根据管网水力计算进行选泵，水泵应在其高效区内运行。</w:t>
      </w:r>
    </w:p>
    <w:p w14:paraId="63B01ED0">
      <w:pPr>
        <w:spacing w:before="24" w:after="24"/>
        <w:ind w:firstLine="560" w:firstLineChars="200"/>
        <w:rPr>
          <w:rFonts w:ascii="Times New Roman" w:hAnsi="Times New Roman" w:cs="Times New Roman"/>
        </w:rPr>
      </w:pPr>
      <w:r>
        <w:rPr>
          <w:rFonts w:ascii="Times New Roman" w:hAnsi="Times New Roman" w:cs="Times New Roman"/>
        </w:rPr>
        <w:t>（4）水泵机组应设备用泵，备用泵的供水能力不应小于最大一台运行水泵的供水能力，水泵宜自动切换交替运行。</w:t>
      </w:r>
    </w:p>
    <w:p w14:paraId="769AF058">
      <w:pPr>
        <w:spacing w:before="24" w:after="24"/>
        <w:ind w:firstLine="560" w:firstLineChars="200"/>
        <w:rPr>
          <w:rFonts w:ascii="Times New Roman" w:hAnsi="Times New Roman" w:cs="Times New Roman"/>
        </w:rPr>
      </w:pPr>
      <w:r>
        <w:rPr>
          <w:rFonts w:ascii="Times New Roman" w:hAnsi="Times New Roman" w:cs="Times New Roman"/>
        </w:rPr>
        <w:t>（5）水泵噪声和振动应符合国家现行的有关标准的规定。</w:t>
      </w:r>
    </w:p>
    <w:p w14:paraId="3103578E">
      <w:pPr>
        <w:spacing w:before="24" w:after="24"/>
        <w:ind w:firstLine="562" w:firstLineChars="200"/>
        <w:outlineLvl w:val="4"/>
        <w:rPr>
          <w:rFonts w:ascii="Times New Roman" w:hAnsi="Times New Roman" w:cs="Times New Roman"/>
          <w:b/>
        </w:rPr>
      </w:pPr>
      <w:r>
        <w:rPr>
          <w:rFonts w:ascii="Times New Roman" w:hAnsi="Times New Roman" w:cs="Times New Roman"/>
          <w:b/>
        </w:rPr>
        <w:t>5.3.6室内消火栓系统</w:t>
      </w:r>
    </w:p>
    <w:p w14:paraId="6842B887">
      <w:pPr>
        <w:spacing w:before="24" w:after="24"/>
        <w:ind w:firstLine="560" w:firstLineChars="200"/>
        <w:rPr>
          <w:rFonts w:ascii="Times New Roman" w:hAnsi="Times New Roman" w:cs="Times New Roman"/>
        </w:rPr>
      </w:pPr>
      <w:r>
        <w:rPr>
          <w:rFonts w:ascii="Times New Roman" w:hAnsi="Times New Roman" w:cs="Times New Roman"/>
        </w:rPr>
        <w:t>1.室内消火栓系统</w:t>
      </w:r>
    </w:p>
    <w:p w14:paraId="62ADF9FE">
      <w:pPr>
        <w:spacing w:before="24" w:after="24"/>
        <w:ind w:firstLine="560" w:firstLineChars="200"/>
        <w:rPr>
          <w:rFonts w:ascii="Times New Roman" w:hAnsi="Times New Roman" w:cs="Times New Roman"/>
        </w:rPr>
      </w:pPr>
      <w:r>
        <w:rPr>
          <w:rFonts w:ascii="Times New Roman" w:hAnsi="Times New Roman" w:cs="Times New Roman"/>
        </w:rPr>
        <w:t>采用临时高压室内消火栓系统。</w:t>
      </w:r>
    </w:p>
    <w:p w14:paraId="475C7524">
      <w:pPr>
        <w:spacing w:before="24" w:after="24"/>
        <w:ind w:firstLine="560" w:firstLineChars="200"/>
        <w:rPr>
          <w:rFonts w:ascii="Times New Roman" w:hAnsi="Times New Roman" w:cs="Times New Roman"/>
        </w:rPr>
      </w:pPr>
      <w:r>
        <w:rPr>
          <w:rFonts w:ascii="Times New Roman" w:hAnsi="Times New Roman" w:cs="Times New Roman"/>
        </w:rPr>
        <w:t>2.管材、防结露绝热层、附件</w:t>
      </w:r>
    </w:p>
    <w:p w14:paraId="4106C72F">
      <w:pPr>
        <w:spacing w:before="24" w:after="24"/>
        <w:ind w:firstLine="560" w:firstLineChars="200"/>
        <w:rPr>
          <w:rFonts w:ascii="Times New Roman" w:hAnsi="Times New Roman" w:cs="Times New Roman"/>
        </w:rPr>
      </w:pPr>
      <w:r>
        <w:rPr>
          <w:rFonts w:ascii="Times New Roman" w:hAnsi="Times New Roman" w:cs="Times New Roman"/>
        </w:rPr>
        <w:t>（1）管材：埋地管道宜采用球墨铸铁管、钢丝网骨架塑料复合管和加强防腐的钢管等管材，室内外架空管道应采用热浸镀锌钢管等金属管材。</w:t>
      </w:r>
    </w:p>
    <w:p w14:paraId="3C143F80">
      <w:pPr>
        <w:spacing w:before="24" w:after="24"/>
        <w:ind w:firstLine="560" w:firstLineChars="200"/>
        <w:rPr>
          <w:rFonts w:ascii="Times New Roman" w:hAnsi="Times New Roman" w:cs="Times New Roman"/>
        </w:rPr>
      </w:pPr>
      <w:r>
        <w:rPr>
          <w:rFonts w:ascii="Times New Roman" w:hAnsi="Times New Roman" w:cs="Times New Roman"/>
        </w:rPr>
        <w:t>（2）防结露绝热层：吊顶区域管道或设备外表面温度小于当地露点温度,结露会引起装饰层损害，故需设置防结露绝热层；防结露绝热层采用15mm厚柔性橡塑保温层+0.5mm厚不锈钢薄板。</w:t>
      </w:r>
    </w:p>
    <w:p w14:paraId="6FD4DAC7">
      <w:pPr>
        <w:spacing w:before="24" w:after="24"/>
        <w:ind w:firstLine="560" w:firstLineChars="200"/>
        <w:rPr>
          <w:rFonts w:ascii="Times New Roman" w:hAnsi="Times New Roman" w:cs="Times New Roman"/>
        </w:rPr>
      </w:pPr>
      <w:r>
        <w:rPr>
          <w:rFonts w:ascii="Times New Roman" w:hAnsi="Times New Roman" w:cs="Times New Roman"/>
        </w:rPr>
        <w:t>（3）阀门及配件：</w:t>
      </w:r>
    </w:p>
    <w:tbl>
      <w:tblPr>
        <w:tblStyle w:val="31"/>
        <w:tblW w:w="49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0"/>
        <w:gridCol w:w="1557"/>
        <w:gridCol w:w="1952"/>
        <w:gridCol w:w="1968"/>
        <w:gridCol w:w="1592"/>
        <w:gridCol w:w="1345"/>
      </w:tblGrid>
      <w:tr w14:paraId="51654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19" w:type="pct"/>
            <w:vAlign w:val="center"/>
          </w:tcPr>
          <w:p w14:paraId="53D9F6DC">
            <w:pPr>
              <w:spacing w:before="24" w:after="24" w:line="288" w:lineRule="auto"/>
              <w:jc w:val="center"/>
              <w:rPr>
                <w:rFonts w:ascii="Times New Roman" w:hAnsi="Times New Roman" w:cs="Times New Roman"/>
                <w:sz w:val="24"/>
              </w:rPr>
            </w:pPr>
            <w:r>
              <w:rPr>
                <w:rFonts w:ascii="Times New Roman" w:hAnsi="Times New Roman" w:cs="Times New Roman"/>
                <w:sz w:val="24"/>
              </w:rPr>
              <w:t>序号</w:t>
            </w:r>
          </w:p>
        </w:tc>
        <w:tc>
          <w:tcPr>
            <w:tcW w:w="847" w:type="pct"/>
            <w:vAlign w:val="center"/>
          </w:tcPr>
          <w:p w14:paraId="6BE0256B">
            <w:pPr>
              <w:spacing w:before="24" w:after="24" w:line="288" w:lineRule="auto"/>
              <w:jc w:val="center"/>
              <w:rPr>
                <w:rFonts w:ascii="Times New Roman" w:hAnsi="Times New Roman" w:cs="Times New Roman"/>
                <w:sz w:val="24"/>
              </w:rPr>
            </w:pPr>
            <w:r>
              <w:rPr>
                <w:rFonts w:ascii="Times New Roman" w:hAnsi="Times New Roman" w:cs="Times New Roman"/>
                <w:sz w:val="24"/>
              </w:rPr>
              <w:t>附件名称</w:t>
            </w:r>
          </w:p>
        </w:tc>
        <w:tc>
          <w:tcPr>
            <w:tcW w:w="1062" w:type="pct"/>
            <w:vAlign w:val="center"/>
          </w:tcPr>
          <w:p w14:paraId="11086F5D">
            <w:pPr>
              <w:spacing w:before="24" w:after="24" w:line="288" w:lineRule="auto"/>
              <w:jc w:val="center"/>
              <w:rPr>
                <w:rFonts w:ascii="Times New Roman" w:hAnsi="Times New Roman" w:cs="Times New Roman"/>
                <w:sz w:val="24"/>
              </w:rPr>
            </w:pPr>
            <w:r>
              <w:rPr>
                <w:rFonts w:ascii="Times New Roman" w:hAnsi="Times New Roman" w:cs="Times New Roman"/>
                <w:sz w:val="24"/>
              </w:rPr>
              <w:t>设置部位</w:t>
            </w:r>
          </w:p>
        </w:tc>
        <w:tc>
          <w:tcPr>
            <w:tcW w:w="1071" w:type="pct"/>
            <w:vAlign w:val="center"/>
          </w:tcPr>
          <w:p w14:paraId="0BA4EF12">
            <w:pPr>
              <w:spacing w:before="24" w:after="24" w:line="288" w:lineRule="auto"/>
              <w:jc w:val="center"/>
              <w:rPr>
                <w:rFonts w:ascii="Times New Roman" w:hAnsi="Times New Roman" w:cs="Times New Roman"/>
                <w:sz w:val="24"/>
              </w:rPr>
            </w:pPr>
            <w:r>
              <w:rPr>
                <w:rFonts w:ascii="Times New Roman" w:hAnsi="Times New Roman" w:cs="Times New Roman"/>
                <w:sz w:val="24"/>
              </w:rPr>
              <w:t>设置要求</w:t>
            </w:r>
          </w:p>
        </w:tc>
        <w:tc>
          <w:tcPr>
            <w:tcW w:w="866" w:type="pct"/>
            <w:vAlign w:val="center"/>
          </w:tcPr>
          <w:p w14:paraId="5174466D">
            <w:pPr>
              <w:spacing w:before="24" w:after="24" w:line="288" w:lineRule="auto"/>
              <w:jc w:val="center"/>
              <w:rPr>
                <w:rFonts w:ascii="Times New Roman" w:hAnsi="Times New Roman" w:cs="Times New Roman"/>
                <w:sz w:val="24"/>
              </w:rPr>
            </w:pPr>
            <w:r>
              <w:rPr>
                <w:rFonts w:ascii="Times New Roman" w:hAnsi="Times New Roman" w:cs="Times New Roman"/>
                <w:sz w:val="24"/>
              </w:rPr>
              <w:t>材质</w:t>
            </w:r>
          </w:p>
        </w:tc>
        <w:tc>
          <w:tcPr>
            <w:tcW w:w="732" w:type="pct"/>
            <w:vAlign w:val="center"/>
          </w:tcPr>
          <w:p w14:paraId="74BEA8F9">
            <w:pPr>
              <w:spacing w:before="24" w:after="24" w:line="288" w:lineRule="auto"/>
              <w:jc w:val="center"/>
              <w:rPr>
                <w:rFonts w:ascii="Times New Roman" w:hAnsi="Times New Roman" w:cs="Times New Roman"/>
                <w:sz w:val="24"/>
              </w:rPr>
            </w:pPr>
            <w:r>
              <w:rPr>
                <w:rFonts w:ascii="Times New Roman" w:hAnsi="Times New Roman" w:cs="Times New Roman"/>
                <w:sz w:val="24"/>
              </w:rPr>
              <w:t>备注</w:t>
            </w:r>
          </w:p>
        </w:tc>
      </w:tr>
      <w:tr w14:paraId="22976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Align w:val="center"/>
          </w:tcPr>
          <w:p w14:paraId="36A58CF9">
            <w:pPr>
              <w:spacing w:before="24" w:after="24" w:line="288" w:lineRule="auto"/>
              <w:jc w:val="center"/>
              <w:rPr>
                <w:rFonts w:ascii="Times New Roman" w:hAnsi="Times New Roman" w:cs="Times New Roman"/>
                <w:sz w:val="24"/>
              </w:rPr>
            </w:pPr>
            <w:r>
              <w:rPr>
                <w:rFonts w:ascii="Times New Roman" w:hAnsi="Times New Roman" w:cs="Times New Roman"/>
                <w:sz w:val="24"/>
              </w:rPr>
              <w:t>1</w:t>
            </w:r>
          </w:p>
        </w:tc>
        <w:tc>
          <w:tcPr>
            <w:tcW w:w="847" w:type="pct"/>
            <w:vAlign w:val="center"/>
          </w:tcPr>
          <w:p w14:paraId="081E0E04">
            <w:pPr>
              <w:spacing w:before="24" w:after="24" w:line="288" w:lineRule="auto"/>
              <w:jc w:val="center"/>
              <w:rPr>
                <w:rFonts w:ascii="Times New Roman" w:hAnsi="Times New Roman" w:cs="Times New Roman"/>
                <w:sz w:val="24"/>
              </w:rPr>
            </w:pPr>
            <w:r>
              <w:rPr>
                <w:rFonts w:ascii="Times New Roman" w:hAnsi="Times New Roman" w:cs="Times New Roman"/>
                <w:sz w:val="24"/>
              </w:rPr>
              <w:t>蝶阀</w:t>
            </w:r>
          </w:p>
        </w:tc>
        <w:tc>
          <w:tcPr>
            <w:tcW w:w="1062" w:type="pct"/>
            <w:vAlign w:val="center"/>
          </w:tcPr>
          <w:p w14:paraId="040C75F7">
            <w:pPr>
              <w:spacing w:before="24" w:after="24" w:line="288" w:lineRule="auto"/>
              <w:jc w:val="center"/>
              <w:rPr>
                <w:rFonts w:ascii="Times New Roman" w:hAnsi="Times New Roman" w:cs="Times New Roman"/>
                <w:sz w:val="24"/>
              </w:rPr>
            </w:pPr>
            <w:r>
              <w:rPr>
                <w:rFonts w:ascii="Times New Roman" w:hAnsi="Times New Roman" w:cs="Times New Roman"/>
                <w:sz w:val="24"/>
              </w:rPr>
              <w:t>室内架空管道</w:t>
            </w:r>
          </w:p>
        </w:tc>
        <w:tc>
          <w:tcPr>
            <w:tcW w:w="1071" w:type="pct"/>
            <w:vAlign w:val="center"/>
          </w:tcPr>
          <w:p w14:paraId="6D163548">
            <w:pPr>
              <w:spacing w:before="24" w:after="24" w:line="288" w:lineRule="auto"/>
              <w:jc w:val="center"/>
              <w:rPr>
                <w:rFonts w:ascii="Times New Roman" w:hAnsi="Times New Roman" w:cs="Times New Roman"/>
                <w:sz w:val="24"/>
              </w:rPr>
            </w:pPr>
          </w:p>
        </w:tc>
        <w:tc>
          <w:tcPr>
            <w:tcW w:w="866" w:type="pct"/>
            <w:vAlign w:val="center"/>
          </w:tcPr>
          <w:p w14:paraId="0806FFF9">
            <w:pPr>
              <w:spacing w:before="24" w:after="24" w:line="288" w:lineRule="auto"/>
              <w:jc w:val="center"/>
              <w:rPr>
                <w:rFonts w:ascii="Times New Roman" w:hAnsi="Times New Roman" w:cs="Times New Roman"/>
                <w:sz w:val="24"/>
              </w:rPr>
            </w:pPr>
            <w:r>
              <w:rPr>
                <w:rFonts w:ascii="Times New Roman" w:hAnsi="Times New Roman" w:cs="Times New Roman"/>
                <w:sz w:val="24"/>
              </w:rPr>
              <w:t>球墨铸铁</w:t>
            </w:r>
          </w:p>
        </w:tc>
        <w:tc>
          <w:tcPr>
            <w:tcW w:w="732" w:type="pct"/>
            <w:vAlign w:val="center"/>
          </w:tcPr>
          <w:p w14:paraId="0F96ADD4">
            <w:pPr>
              <w:spacing w:before="24" w:after="24" w:line="288" w:lineRule="auto"/>
              <w:jc w:val="center"/>
              <w:rPr>
                <w:rFonts w:ascii="Times New Roman" w:hAnsi="Times New Roman" w:cs="Times New Roman"/>
                <w:sz w:val="24"/>
              </w:rPr>
            </w:pPr>
          </w:p>
        </w:tc>
      </w:tr>
      <w:tr w14:paraId="141CF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Align w:val="center"/>
          </w:tcPr>
          <w:p w14:paraId="24FB1F78">
            <w:pPr>
              <w:spacing w:before="24" w:after="24" w:line="288" w:lineRule="auto"/>
              <w:jc w:val="center"/>
              <w:rPr>
                <w:rFonts w:ascii="Times New Roman" w:hAnsi="Times New Roman" w:cs="Times New Roman"/>
                <w:sz w:val="24"/>
              </w:rPr>
            </w:pPr>
            <w:r>
              <w:rPr>
                <w:rFonts w:ascii="Times New Roman" w:hAnsi="Times New Roman" w:cs="Times New Roman"/>
                <w:sz w:val="24"/>
              </w:rPr>
              <w:t>2</w:t>
            </w:r>
          </w:p>
        </w:tc>
        <w:tc>
          <w:tcPr>
            <w:tcW w:w="847" w:type="pct"/>
            <w:vAlign w:val="center"/>
          </w:tcPr>
          <w:p w14:paraId="50F308EC">
            <w:pPr>
              <w:spacing w:before="24" w:after="24" w:line="288" w:lineRule="auto"/>
              <w:jc w:val="center"/>
              <w:rPr>
                <w:rFonts w:ascii="Times New Roman" w:hAnsi="Times New Roman" w:cs="Times New Roman"/>
                <w:sz w:val="24"/>
              </w:rPr>
            </w:pPr>
            <w:r>
              <w:rPr>
                <w:rFonts w:ascii="Times New Roman" w:hAnsi="Times New Roman" w:cs="Times New Roman"/>
                <w:sz w:val="24"/>
              </w:rPr>
              <w:t>闸阀</w:t>
            </w:r>
          </w:p>
        </w:tc>
        <w:tc>
          <w:tcPr>
            <w:tcW w:w="1062" w:type="pct"/>
            <w:vAlign w:val="center"/>
          </w:tcPr>
          <w:p w14:paraId="16AA26C5">
            <w:pPr>
              <w:spacing w:before="24" w:after="24" w:line="288" w:lineRule="auto"/>
              <w:jc w:val="center"/>
              <w:rPr>
                <w:rFonts w:ascii="Times New Roman" w:hAnsi="Times New Roman" w:cs="Times New Roman"/>
                <w:sz w:val="24"/>
              </w:rPr>
            </w:pPr>
            <w:r>
              <w:rPr>
                <w:rFonts w:ascii="Times New Roman" w:hAnsi="Times New Roman" w:cs="Times New Roman"/>
                <w:sz w:val="24"/>
              </w:rPr>
              <w:t>室外架空管道、埋地管道</w:t>
            </w:r>
          </w:p>
        </w:tc>
        <w:tc>
          <w:tcPr>
            <w:tcW w:w="1071" w:type="pct"/>
            <w:vAlign w:val="center"/>
          </w:tcPr>
          <w:p w14:paraId="189E0FA9">
            <w:pPr>
              <w:spacing w:before="24" w:after="24" w:line="288" w:lineRule="auto"/>
              <w:jc w:val="center"/>
              <w:rPr>
                <w:rFonts w:ascii="Times New Roman" w:hAnsi="Times New Roman" w:cs="Times New Roman"/>
                <w:sz w:val="24"/>
              </w:rPr>
            </w:pPr>
          </w:p>
        </w:tc>
        <w:tc>
          <w:tcPr>
            <w:tcW w:w="866" w:type="pct"/>
            <w:vAlign w:val="center"/>
          </w:tcPr>
          <w:p w14:paraId="02CB93CD">
            <w:pPr>
              <w:spacing w:before="24" w:after="24" w:line="288" w:lineRule="auto"/>
              <w:jc w:val="center"/>
              <w:rPr>
                <w:rFonts w:ascii="Times New Roman" w:hAnsi="Times New Roman" w:cs="Times New Roman"/>
                <w:sz w:val="24"/>
              </w:rPr>
            </w:pPr>
            <w:r>
              <w:rPr>
                <w:rFonts w:ascii="Times New Roman" w:hAnsi="Times New Roman" w:cs="Times New Roman"/>
                <w:sz w:val="24"/>
              </w:rPr>
              <w:t>球墨铸铁</w:t>
            </w:r>
          </w:p>
        </w:tc>
        <w:tc>
          <w:tcPr>
            <w:tcW w:w="732" w:type="pct"/>
            <w:vAlign w:val="center"/>
          </w:tcPr>
          <w:p w14:paraId="56F1C4F0">
            <w:pPr>
              <w:spacing w:before="24" w:after="24" w:line="288" w:lineRule="auto"/>
              <w:jc w:val="center"/>
              <w:rPr>
                <w:rFonts w:ascii="Times New Roman" w:hAnsi="Times New Roman" w:cs="Times New Roman"/>
                <w:sz w:val="24"/>
              </w:rPr>
            </w:pPr>
          </w:p>
        </w:tc>
      </w:tr>
      <w:tr w14:paraId="142BD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jc w:val="center"/>
        </w:trPr>
        <w:tc>
          <w:tcPr>
            <w:tcW w:w="419" w:type="pct"/>
            <w:vAlign w:val="center"/>
          </w:tcPr>
          <w:p w14:paraId="374E521E">
            <w:pPr>
              <w:spacing w:before="24" w:after="24" w:line="288" w:lineRule="auto"/>
              <w:jc w:val="center"/>
              <w:rPr>
                <w:rFonts w:ascii="Times New Roman" w:hAnsi="Times New Roman" w:cs="Times New Roman"/>
                <w:sz w:val="24"/>
              </w:rPr>
            </w:pPr>
            <w:r>
              <w:rPr>
                <w:rFonts w:ascii="Times New Roman" w:hAnsi="Times New Roman" w:cs="Times New Roman"/>
                <w:sz w:val="24"/>
              </w:rPr>
              <w:t>3</w:t>
            </w:r>
          </w:p>
        </w:tc>
        <w:tc>
          <w:tcPr>
            <w:tcW w:w="847" w:type="pct"/>
            <w:vAlign w:val="center"/>
          </w:tcPr>
          <w:p w14:paraId="52B114BA">
            <w:pPr>
              <w:spacing w:before="24" w:after="24" w:line="288" w:lineRule="auto"/>
              <w:jc w:val="center"/>
              <w:rPr>
                <w:rFonts w:ascii="Times New Roman" w:hAnsi="Times New Roman" w:cs="Times New Roman"/>
                <w:sz w:val="24"/>
              </w:rPr>
            </w:pPr>
            <w:r>
              <w:rPr>
                <w:rFonts w:ascii="Times New Roman" w:hAnsi="Times New Roman" w:cs="Times New Roman"/>
                <w:sz w:val="24"/>
              </w:rPr>
              <w:t>缓闭止回阀</w:t>
            </w:r>
          </w:p>
        </w:tc>
        <w:tc>
          <w:tcPr>
            <w:tcW w:w="1062" w:type="pct"/>
            <w:vAlign w:val="center"/>
          </w:tcPr>
          <w:p w14:paraId="6E74F683">
            <w:pPr>
              <w:spacing w:before="24" w:after="24" w:line="288" w:lineRule="auto"/>
              <w:jc w:val="center"/>
              <w:rPr>
                <w:rFonts w:ascii="Times New Roman" w:hAnsi="Times New Roman" w:cs="Times New Roman"/>
                <w:sz w:val="24"/>
              </w:rPr>
            </w:pPr>
            <w:r>
              <w:rPr>
                <w:rFonts w:ascii="Times New Roman" w:hAnsi="Times New Roman" w:cs="Times New Roman"/>
                <w:sz w:val="24"/>
              </w:rPr>
              <w:t>单体引入管、水泵接合器供水管</w:t>
            </w:r>
          </w:p>
        </w:tc>
        <w:tc>
          <w:tcPr>
            <w:tcW w:w="1071" w:type="pct"/>
            <w:vAlign w:val="center"/>
          </w:tcPr>
          <w:p w14:paraId="182202B8">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866" w:type="pct"/>
            <w:vAlign w:val="center"/>
          </w:tcPr>
          <w:p w14:paraId="6BCEFB86">
            <w:pPr>
              <w:spacing w:before="24" w:after="24" w:line="288" w:lineRule="auto"/>
              <w:jc w:val="center"/>
              <w:rPr>
                <w:rFonts w:ascii="Times New Roman" w:hAnsi="Times New Roman" w:cs="Times New Roman"/>
                <w:sz w:val="24"/>
              </w:rPr>
            </w:pPr>
            <w:r>
              <w:rPr>
                <w:rFonts w:ascii="Times New Roman" w:hAnsi="Times New Roman" w:cs="Times New Roman"/>
                <w:sz w:val="24"/>
              </w:rPr>
              <w:t>球墨铸铁</w:t>
            </w:r>
          </w:p>
        </w:tc>
        <w:tc>
          <w:tcPr>
            <w:tcW w:w="732" w:type="pct"/>
            <w:vAlign w:val="center"/>
          </w:tcPr>
          <w:p w14:paraId="7E9423BC">
            <w:pPr>
              <w:spacing w:before="24" w:after="24" w:line="288" w:lineRule="auto"/>
              <w:jc w:val="center"/>
              <w:rPr>
                <w:rFonts w:ascii="Times New Roman" w:hAnsi="Times New Roman" w:cs="Times New Roman"/>
                <w:sz w:val="24"/>
              </w:rPr>
            </w:pPr>
          </w:p>
        </w:tc>
      </w:tr>
      <w:tr w14:paraId="64EAD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419" w:type="pct"/>
            <w:vAlign w:val="center"/>
          </w:tcPr>
          <w:p w14:paraId="7200000A">
            <w:pPr>
              <w:spacing w:before="24" w:after="24" w:line="288" w:lineRule="auto"/>
              <w:jc w:val="center"/>
              <w:rPr>
                <w:rFonts w:ascii="Times New Roman" w:hAnsi="Times New Roman" w:cs="Times New Roman"/>
                <w:sz w:val="24"/>
              </w:rPr>
            </w:pPr>
            <w:r>
              <w:rPr>
                <w:rFonts w:ascii="Times New Roman" w:hAnsi="Times New Roman" w:cs="Times New Roman"/>
                <w:sz w:val="24"/>
              </w:rPr>
              <w:t>4</w:t>
            </w:r>
          </w:p>
        </w:tc>
        <w:tc>
          <w:tcPr>
            <w:tcW w:w="847" w:type="pct"/>
            <w:vAlign w:val="center"/>
          </w:tcPr>
          <w:p w14:paraId="050E6BAF">
            <w:pPr>
              <w:spacing w:before="24" w:after="24" w:line="288" w:lineRule="auto"/>
              <w:jc w:val="center"/>
              <w:rPr>
                <w:rFonts w:ascii="Times New Roman" w:hAnsi="Times New Roman" w:cs="Times New Roman"/>
                <w:sz w:val="24"/>
              </w:rPr>
            </w:pPr>
            <w:r>
              <w:rPr>
                <w:rFonts w:ascii="Times New Roman" w:hAnsi="Times New Roman" w:cs="Times New Roman"/>
                <w:sz w:val="24"/>
              </w:rPr>
              <w:t>水锤消除止回阀</w:t>
            </w:r>
          </w:p>
        </w:tc>
        <w:tc>
          <w:tcPr>
            <w:tcW w:w="1062" w:type="pct"/>
            <w:vAlign w:val="center"/>
          </w:tcPr>
          <w:p w14:paraId="1545C95B">
            <w:pPr>
              <w:spacing w:before="24" w:after="24" w:line="288" w:lineRule="auto"/>
              <w:jc w:val="center"/>
              <w:rPr>
                <w:rFonts w:ascii="Times New Roman" w:hAnsi="Times New Roman" w:cs="Times New Roman"/>
                <w:sz w:val="24"/>
              </w:rPr>
            </w:pPr>
            <w:r>
              <w:rPr>
                <w:rFonts w:ascii="Times New Roman" w:hAnsi="Times New Roman" w:cs="Times New Roman"/>
                <w:sz w:val="24"/>
              </w:rPr>
              <w:t>消防水泵出水管</w:t>
            </w:r>
          </w:p>
        </w:tc>
        <w:tc>
          <w:tcPr>
            <w:tcW w:w="1071" w:type="pct"/>
            <w:vAlign w:val="center"/>
          </w:tcPr>
          <w:p w14:paraId="314A650D">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866" w:type="pct"/>
            <w:vAlign w:val="center"/>
          </w:tcPr>
          <w:p w14:paraId="0E137805">
            <w:pPr>
              <w:spacing w:before="24" w:after="24" w:line="288" w:lineRule="auto"/>
              <w:jc w:val="center"/>
              <w:rPr>
                <w:rFonts w:ascii="Times New Roman" w:hAnsi="Times New Roman" w:cs="Times New Roman"/>
                <w:sz w:val="24"/>
              </w:rPr>
            </w:pPr>
            <w:r>
              <w:rPr>
                <w:rFonts w:ascii="Times New Roman" w:hAnsi="Times New Roman" w:cs="Times New Roman"/>
                <w:sz w:val="24"/>
              </w:rPr>
              <w:t>球墨铸铁</w:t>
            </w:r>
          </w:p>
        </w:tc>
        <w:tc>
          <w:tcPr>
            <w:tcW w:w="732" w:type="pct"/>
            <w:vAlign w:val="center"/>
          </w:tcPr>
          <w:p w14:paraId="1BF0188F">
            <w:pPr>
              <w:spacing w:before="24" w:after="24" w:line="288" w:lineRule="auto"/>
              <w:jc w:val="center"/>
              <w:rPr>
                <w:rFonts w:ascii="Times New Roman" w:hAnsi="Times New Roman" w:cs="Times New Roman"/>
                <w:sz w:val="24"/>
              </w:rPr>
            </w:pPr>
          </w:p>
        </w:tc>
      </w:tr>
      <w:tr w14:paraId="63D70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Align w:val="center"/>
          </w:tcPr>
          <w:p w14:paraId="20480069">
            <w:pPr>
              <w:spacing w:before="24" w:after="24" w:line="288" w:lineRule="auto"/>
              <w:jc w:val="center"/>
              <w:rPr>
                <w:rFonts w:ascii="Times New Roman" w:hAnsi="Times New Roman" w:cs="Times New Roman"/>
                <w:sz w:val="24"/>
              </w:rPr>
            </w:pPr>
            <w:r>
              <w:rPr>
                <w:rFonts w:ascii="Times New Roman" w:hAnsi="Times New Roman" w:cs="Times New Roman"/>
                <w:sz w:val="24"/>
              </w:rPr>
              <w:t>5</w:t>
            </w:r>
          </w:p>
        </w:tc>
        <w:tc>
          <w:tcPr>
            <w:tcW w:w="847" w:type="pct"/>
            <w:vAlign w:val="center"/>
          </w:tcPr>
          <w:p w14:paraId="05447FF5">
            <w:pPr>
              <w:spacing w:before="24" w:after="24" w:line="288" w:lineRule="auto"/>
              <w:jc w:val="center"/>
              <w:rPr>
                <w:rFonts w:ascii="Times New Roman" w:hAnsi="Times New Roman" w:cs="Times New Roman"/>
                <w:sz w:val="24"/>
              </w:rPr>
            </w:pPr>
            <w:r>
              <w:rPr>
                <w:rFonts w:ascii="Times New Roman" w:hAnsi="Times New Roman" w:cs="Times New Roman"/>
                <w:sz w:val="24"/>
              </w:rPr>
              <w:t>可调式减压阀</w:t>
            </w:r>
          </w:p>
        </w:tc>
        <w:tc>
          <w:tcPr>
            <w:tcW w:w="1062" w:type="pct"/>
            <w:vAlign w:val="center"/>
          </w:tcPr>
          <w:p w14:paraId="2FED9C3E">
            <w:pPr>
              <w:spacing w:before="24" w:after="24" w:line="288" w:lineRule="auto"/>
              <w:jc w:val="center"/>
              <w:rPr>
                <w:rFonts w:ascii="Times New Roman" w:hAnsi="Times New Roman" w:cs="Times New Roman"/>
                <w:sz w:val="24"/>
              </w:rPr>
            </w:pPr>
            <w:r>
              <w:rPr>
                <w:rFonts w:ascii="Times New Roman" w:hAnsi="Times New Roman" w:cs="Times New Roman"/>
                <w:sz w:val="24"/>
              </w:rPr>
              <w:t>消防干管</w:t>
            </w:r>
          </w:p>
        </w:tc>
        <w:tc>
          <w:tcPr>
            <w:tcW w:w="1071" w:type="pct"/>
            <w:vAlign w:val="center"/>
          </w:tcPr>
          <w:p w14:paraId="498FBFE1">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866" w:type="pct"/>
            <w:vAlign w:val="center"/>
          </w:tcPr>
          <w:p w14:paraId="2AC0EDE9">
            <w:pPr>
              <w:spacing w:before="24" w:after="24" w:line="288" w:lineRule="auto"/>
              <w:jc w:val="center"/>
              <w:rPr>
                <w:rFonts w:ascii="Times New Roman" w:hAnsi="Times New Roman" w:cs="Times New Roman"/>
                <w:sz w:val="24"/>
              </w:rPr>
            </w:pPr>
            <w:r>
              <w:rPr>
                <w:rFonts w:ascii="Times New Roman" w:hAnsi="Times New Roman" w:cs="Times New Roman"/>
                <w:sz w:val="24"/>
              </w:rPr>
              <w:t>球墨铸铁</w:t>
            </w:r>
          </w:p>
        </w:tc>
        <w:tc>
          <w:tcPr>
            <w:tcW w:w="732" w:type="pct"/>
            <w:vAlign w:val="center"/>
          </w:tcPr>
          <w:p w14:paraId="4673CEF3">
            <w:pPr>
              <w:spacing w:before="24" w:after="24" w:line="288" w:lineRule="auto"/>
              <w:jc w:val="center"/>
              <w:rPr>
                <w:rFonts w:ascii="Times New Roman" w:hAnsi="Times New Roman" w:cs="Times New Roman"/>
                <w:sz w:val="24"/>
              </w:rPr>
            </w:pPr>
          </w:p>
        </w:tc>
      </w:tr>
      <w:tr w14:paraId="0D7F8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Align w:val="center"/>
          </w:tcPr>
          <w:p w14:paraId="4B79C072">
            <w:pPr>
              <w:spacing w:before="24" w:after="24" w:line="288" w:lineRule="auto"/>
              <w:jc w:val="center"/>
              <w:rPr>
                <w:rFonts w:ascii="Times New Roman" w:hAnsi="Times New Roman" w:cs="Times New Roman"/>
                <w:sz w:val="24"/>
              </w:rPr>
            </w:pPr>
            <w:r>
              <w:rPr>
                <w:rFonts w:ascii="Times New Roman" w:hAnsi="Times New Roman" w:cs="Times New Roman"/>
                <w:sz w:val="24"/>
              </w:rPr>
              <w:t>6</w:t>
            </w:r>
          </w:p>
        </w:tc>
        <w:tc>
          <w:tcPr>
            <w:tcW w:w="847" w:type="pct"/>
            <w:vAlign w:val="center"/>
          </w:tcPr>
          <w:p w14:paraId="18D8A7B0">
            <w:pPr>
              <w:spacing w:before="24" w:after="24" w:line="288" w:lineRule="auto"/>
              <w:jc w:val="center"/>
              <w:rPr>
                <w:rFonts w:ascii="Times New Roman" w:hAnsi="Times New Roman" w:cs="Times New Roman"/>
                <w:sz w:val="24"/>
              </w:rPr>
            </w:pPr>
            <w:r>
              <w:rPr>
                <w:rFonts w:ascii="Times New Roman" w:hAnsi="Times New Roman" w:cs="Times New Roman"/>
                <w:sz w:val="24"/>
              </w:rPr>
              <w:t>比例式减压阀</w:t>
            </w:r>
          </w:p>
        </w:tc>
        <w:tc>
          <w:tcPr>
            <w:tcW w:w="1062" w:type="pct"/>
            <w:vAlign w:val="center"/>
          </w:tcPr>
          <w:p w14:paraId="4AA5CF59">
            <w:pPr>
              <w:spacing w:before="24" w:after="24" w:line="288" w:lineRule="auto"/>
              <w:jc w:val="center"/>
              <w:rPr>
                <w:rFonts w:ascii="Times New Roman" w:hAnsi="Times New Roman" w:cs="Times New Roman"/>
                <w:sz w:val="24"/>
              </w:rPr>
            </w:pPr>
            <w:r>
              <w:rPr>
                <w:rFonts w:ascii="Times New Roman" w:hAnsi="Times New Roman" w:cs="Times New Roman"/>
                <w:sz w:val="24"/>
              </w:rPr>
              <w:t>消防干管</w:t>
            </w:r>
          </w:p>
        </w:tc>
        <w:tc>
          <w:tcPr>
            <w:tcW w:w="1071" w:type="pct"/>
            <w:vAlign w:val="center"/>
          </w:tcPr>
          <w:p w14:paraId="56105CF3">
            <w:pPr>
              <w:spacing w:before="24" w:after="24" w:line="288" w:lineRule="auto"/>
              <w:jc w:val="center"/>
              <w:rPr>
                <w:rFonts w:ascii="Times New Roman" w:hAnsi="Times New Roman" w:cs="Times New Roman"/>
                <w:sz w:val="24"/>
              </w:rPr>
            </w:pPr>
          </w:p>
        </w:tc>
        <w:tc>
          <w:tcPr>
            <w:tcW w:w="866" w:type="pct"/>
            <w:vAlign w:val="center"/>
          </w:tcPr>
          <w:p w14:paraId="4CCACB64">
            <w:pPr>
              <w:spacing w:before="24" w:after="24" w:line="288" w:lineRule="auto"/>
              <w:jc w:val="center"/>
              <w:rPr>
                <w:rFonts w:ascii="Times New Roman" w:hAnsi="Times New Roman" w:cs="Times New Roman"/>
                <w:sz w:val="24"/>
              </w:rPr>
            </w:pPr>
            <w:r>
              <w:rPr>
                <w:rFonts w:ascii="Times New Roman" w:hAnsi="Times New Roman" w:cs="Times New Roman"/>
                <w:sz w:val="24"/>
              </w:rPr>
              <w:t>球墨铸铁</w:t>
            </w:r>
          </w:p>
        </w:tc>
        <w:tc>
          <w:tcPr>
            <w:tcW w:w="732" w:type="pct"/>
            <w:vAlign w:val="center"/>
          </w:tcPr>
          <w:p w14:paraId="1AE99180">
            <w:pPr>
              <w:spacing w:before="24" w:after="24" w:line="288" w:lineRule="auto"/>
              <w:jc w:val="center"/>
              <w:rPr>
                <w:rFonts w:ascii="Times New Roman" w:hAnsi="Times New Roman" w:cs="Times New Roman"/>
                <w:sz w:val="24"/>
              </w:rPr>
            </w:pPr>
          </w:p>
        </w:tc>
      </w:tr>
      <w:tr w14:paraId="5E99B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Align w:val="center"/>
          </w:tcPr>
          <w:p w14:paraId="70F625FE">
            <w:pPr>
              <w:spacing w:before="24" w:after="24" w:line="288" w:lineRule="auto"/>
              <w:jc w:val="center"/>
              <w:rPr>
                <w:rFonts w:ascii="Times New Roman" w:hAnsi="Times New Roman" w:cs="Times New Roman"/>
                <w:sz w:val="24"/>
              </w:rPr>
            </w:pPr>
            <w:r>
              <w:rPr>
                <w:rFonts w:ascii="Times New Roman" w:hAnsi="Times New Roman" w:cs="Times New Roman"/>
                <w:sz w:val="24"/>
              </w:rPr>
              <w:t>7</w:t>
            </w:r>
          </w:p>
        </w:tc>
        <w:tc>
          <w:tcPr>
            <w:tcW w:w="847" w:type="pct"/>
            <w:vAlign w:val="center"/>
          </w:tcPr>
          <w:p w14:paraId="2E1C6381">
            <w:pPr>
              <w:spacing w:before="24" w:after="24" w:line="288" w:lineRule="auto"/>
              <w:jc w:val="center"/>
              <w:rPr>
                <w:rFonts w:ascii="Times New Roman" w:hAnsi="Times New Roman" w:cs="Times New Roman"/>
                <w:sz w:val="24"/>
              </w:rPr>
            </w:pPr>
            <w:r>
              <w:rPr>
                <w:rFonts w:ascii="Times New Roman" w:hAnsi="Times New Roman" w:cs="Times New Roman"/>
                <w:sz w:val="24"/>
              </w:rPr>
              <w:t>自动排气阀</w:t>
            </w:r>
          </w:p>
        </w:tc>
        <w:tc>
          <w:tcPr>
            <w:tcW w:w="1062" w:type="pct"/>
            <w:vAlign w:val="center"/>
          </w:tcPr>
          <w:p w14:paraId="12222ACD">
            <w:pPr>
              <w:spacing w:before="24" w:after="24" w:line="288" w:lineRule="auto"/>
              <w:jc w:val="center"/>
              <w:rPr>
                <w:rFonts w:ascii="Times New Roman" w:hAnsi="Times New Roman" w:cs="Times New Roman"/>
                <w:sz w:val="24"/>
              </w:rPr>
            </w:pPr>
            <w:r>
              <w:rPr>
                <w:rFonts w:ascii="Times New Roman" w:hAnsi="Times New Roman" w:cs="Times New Roman"/>
                <w:sz w:val="24"/>
              </w:rPr>
              <w:t>管网最高点处</w:t>
            </w:r>
          </w:p>
        </w:tc>
        <w:tc>
          <w:tcPr>
            <w:tcW w:w="1071" w:type="pct"/>
            <w:vAlign w:val="center"/>
          </w:tcPr>
          <w:p w14:paraId="43D0B345">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866" w:type="pct"/>
            <w:vAlign w:val="center"/>
          </w:tcPr>
          <w:p w14:paraId="387A2BC5">
            <w:pPr>
              <w:spacing w:before="24" w:after="24" w:line="288" w:lineRule="auto"/>
              <w:jc w:val="center"/>
              <w:rPr>
                <w:rFonts w:ascii="Times New Roman" w:hAnsi="Times New Roman" w:cs="Times New Roman"/>
                <w:sz w:val="24"/>
              </w:rPr>
            </w:pPr>
            <w:r>
              <w:rPr>
                <w:rFonts w:ascii="Times New Roman" w:hAnsi="Times New Roman" w:cs="Times New Roman"/>
                <w:sz w:val="24"/>
              </w:rPr>
              <w:t>铜及铜合金</w:t>
            </w:r>
          </w:p>
        </w:tc>
        <w:tc>
          <w:tcPr>
            <w:tcW w:w="732" w:type="pct"/>
            <w:vAlign w:val="center"/>
          </w:tcPr>
          <w:p w14:paraId="41EDE5E7">
            <w:pPr>
              <w:spacing w:before="24" w:after="24" w:line="288" w:lineRule="auto"/>
              <w:jc w:val="center"/>
              <w:rPr>
                <w:rFonts w:ascii="Times New Roman" w:hAnsi="Times New Roman" w:cs="Times New Roman"/>
                <w:sz w:val="24"/>
              </w:rPr>
            </w:pPr>
          </w:p>
        </w:tc>
      </w:tr>
      <w:tr w14:paraId="0D246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Align w:val="center"/>
          </w:tcPr>
          <w:p w14:paraId="4A2AD248">
            <w:pPr>
              <w:spacing w:before="24" w:after="24" w:line="288" w:lineRule="auto"/>
              <w:jc w:val="center"/>
              <w:rPr>
                <w:rFonts w:ascii="Times New Roman" w:hAnsi="Times New Roman" w:cs="Times New Roman"/>
                <w:sz w:val="24"/>
              </w:rPr>
            </w:pPr>
            <w:r>
              <w:rPr>
                <w:rFonts w:ascii="Times New Roman" w:hAnsi="Times New Roman" w:cs="Times New Roman"/>
                <w:sz w:val="24"/>
              </w:rPr>
              <w:t>8</w:t>
            </w:r>
          </w:p>
        </w:tc>
        <w:tc>
          <w:tcPr>
            <w:tcW w:w="847" w:type="pct"/>
            <w:vAlign w:val="center"/>
          </w:tcPr>
          <w:p w14:paraId="67D20153">
            <w:pPr>
              <w:spacing w:before="24" w:after="24" w:line="288" w:lineRule="auto"/>
              <w:jc w:val="center"/>
              <w:rPr>
                <w:rFonts w:ascii="Times New Roman" w:hAnsi="Times New Roman" w:cs="Times New Roman"/>
                <w:sz w:val="24"/>
              </w:rPr>
            </w:pPr>
            <w:r>
              <w:rPr>
                <w:rFonts w:ascii="Times New Roman" w:hAnsi="Times New Roman" w:cs="Times New Roman"/>
                <w:sz w:val="24"/>
              </w:rPr>
              <w:t>管道过滤器</w:t>
            </w:r>
          </w:p>
        </w:tc>
        <w:tc>
          <w:tcPr>
            <w:tcW w:w="1062" w:type="pct"/>
            <w:vAlign w:val="center"/>
          </w:tcPr>
          <w:p w14:paraId="7E89BFF0">
            <w:pPr>
              <w:spacing w:before="24" w:after="24" w:line="288" w:lineRule="auto"/>
              <w:jc w:val="center"/>
              <w:rPr>
                <w:rFonts w:ascii="Times New Roman" w:hAnsi="Times New Roman" w:cs="Times New Roman"/>
                <w:sz w:val="24"/>
              </w:rPr>
            </w:pPr>
            <w:r>
              <w:rPr>
                <w:rFonts w:ascii="Times New Roman" w:hAnsi="Times New Roman" w:cs="Times New Roman"/>
                <w:sz w:val="24"/>
              </w:rPr>
              <w:t>减压阀前</w:t>
            </w:r>
          </w:p>
        </w:tc>
        <w:tc>
          <w:tcPr>
            <w:tcW w:w="1071" w:type="pct"/>
            <w:vAlign w:val="center"/>
          </w:tcPr>
          <w:p w14:paraId="059564E2">
            <w:pPr>
              <w:spacing w:before="24" w:after="24" w:line="288" w:lineRule="auto"/>
              <w:jc w:val="center"/>
              <w:rPr>
                <w:rFonts w:ascii="Times New Roman" w:hAnsi="Times New Roman" w:cs="Times New Roman"/>
                <w:sz w:val="24"/>
              </w:rPr>
            </w:pPr>
            <w:r>
              <w:rPr>
                <w:rFonts w:ascii="Times New Roman" w:hAnsi="Times New Roman" w:cs="Times New Roman"/>
                <w:sz w:val="24"/>
              </w:rPr>
              <w:t>——</w:t>
            </w:r>
          </w:p>
        </w:tc>
        <w:tc>
          <w:tcPr>
            <w:tcW w:w="866" w:type="pct"/>
            <w:vAlign w:val="center"/>
          </w:tcPr>
          <w:p w14:paraId="4F4BEDF8">
            <w:pPr>
              <w:spacing w:before="24" w:after="24" w:line="288" w:lineRule="auto"/>
              <w:jc w:val="center"/>
              <w:rPr>
                <w:rFonts w:ascii="Times New Roman" w:hAnsi="Times New Roman" w:cs="Times New Roman"/>
                <w:sz w:val="24"/>
              </w:rPr>
            </w:pPr>
            <w:r>
              <w:rPr>
                <w:rFonts w:ascii="Times New Roman" w:hAnsi="Times New Roman" w:cs="Times New Roman"/>
                <w:sz w:val="24"/>
              </w:rPr>
              <w:t>球墨铸铁</w:t>
            </w:r>
          </w:p>
        </w:tc>
        <w:tc>
          <w:tcPr>
            <w:tcW w:w="732" w:type="pct"/>
            <w:vAlign w:val="center"/>
          </w:tcPr>
          <w:p w14:paraId="2EF521F4">
            <w:pPr>
              <w:spacing w:before="24" w:after="24" w:line="288" w:lineRule="auto"/>
              <w:jc w:val="center"/>
              <w:rPr>
                <w:rFonts w:ascii="Times New Roman" w:hAnsi="Times New Roman" w:cs="Times New Roman"/>
                <w:sz w:val="24"/>
              </w:rPr>
            </w:pPr>
          </w:p>
        </w:tc>
      </w:tr>
      <w:tr w14:paraId="2702C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restart"/>
            <w:vAlign w:val="center"/>
          </w:tcPr>
          <w:p w14:paraId="48636E33">
            <w:pPr>
              <w:spacing w:before="24" w:after="24" w:line="288" w:lineRule="auto"/>
              <w:jc w:val="center"/>
              <w:rPr>
                <w:rFonts w:ascii="Times New Roman" w:hAnsi="Times New Roman" w:cs="Times New Roman"/>
                <w:sz w:val="24"/>
              </w:rPr>
            </w:pPr>
            <w:r>
              <w:rPr>
                <w:rFonts w:ascii="Times New Roman" w:hAnsi="Times New Roman" w:cs="Times New Roman"/>
                <w:sz w:val="24"/>
              </w:rPr>
              <w:t>9</w:t>
            </w:r>
          </w:p>
        </w:tc>
        <w:tc>
          <w:tcPr>
            <w:tcW w:w="847" w:type="pct"/>
            <w:vMerge w:val="restart"/>
            <w:vAlign w:val="center"/>
          </w:tcPr>
          <w:p w14:paraId="298781DB">
            <w:pPr>
              <w:spacing w:before="24" w:after="24" w:line="288" w:lineRule="auto"/>
              <w:jc w:val="center"/>
              <w:rPr>
                <w:rFonts w:ascii="Times New Roman" w:hAnsi="Times New Roman" w:cs="Times New Roman"/>
                <w:sz w:val="24"/>
              </w:rPr>
            </w:pPr>
            <w:r>
              <w:rPr>
                <w:rFonts w:ascii="Times New Roman" w:hAnsi="Times New Roman" w:cs="Times New Roman"/>
                <w:sz w:val="24"/>
              </w:rPr>
              <w:t>温控阀</w:t>
            </w:r>
          </w:p>
        </w:tc>
        <w:tc>
          <w:tcPr>
            <w:tcW w:w="1062" w:type="pct"/>
            <w:vMerge w:val="restart"/>
            <w:vAlign w:val="center"/>
          </w:tcPr>
          <w:p w14:paraId="4E8D748B">
            <w:pPr>
              <w:spacing w:before="24" w:after="24" w:line="288" w:lineRule="auto"/>
              <w:jc w:val="center"/>
              <w:rPr>
                <w:rFonts w:ascii="Times New Roman" w:hAnsi="Times New Roman" w:cs="Times New Roman"/>
                <w:sz w:val="24"/>
              </w:rPr>
            </w:pPr>
            <w:r>
              <w:rPr>
                <w:rFonts w:ascii="Times New Roman" w:hAnsi="Times New Roman" w:cs="Times New Roman"/>
                <w:sz w:val="24"/>
              </w:rPr>
              <w:t>热水总回水管上</w:t>
            </w:r>
          </w:p>
        </w:tc>
        <w:tc>
          <w:tcPr>
            <w:tcW w:w="1071" w:type="pct"/>
            <w:vAlign w:val="center"/>
          </w:tcPr>
          <w:p w14:paraId="23BCC500">
            <w:pPr>
              <w:spacing w:before="24" w:after="24" w:line="288" w:lineRule="auto"/>
              <w:jc w:val="center"/>
              <w:rPr>
                <w:rFonts w:ascii="Times New Roman" w:hAnsi="Times New Roman" w:cs="Times New Roman"/>
                <w:sz w:val="24"/>
              </w:rPr>
            </w:pPr>
            <w:r>
              <w:rPr>
                <w:rFonts w:ascii="Times New Roman" w:hAnsi="Times New Roman" w:cs="Times New Roman"/>
                <w:sz w:val="24"/>
              </w:rPr>
              <w:t>管径≤DN50</w:t>
            </w:r>
          </w:p>
        </w:tc>
        <w:tc>
          <w:tcPr>
            <w:tcW w:w="866" w:type="pct"/>
            <w:vAlign w:val="center"/>
          </w:tcPr>
          <w:p w14:paraId="1BDE55F0">
            <w:pPr>
              <w:spacing w:before="24" w:after="24" w:line="288" w:lineRule="auto"/>
              <w:jc w:val="center"/>
              <w:rPr>
                <w:rFonts w:ascii="Times New Roman" w:hAnsi="Times New Roman" w:cs="Times New Roman"/>
                <w:sz w:val="24"/>
              </w:rPr>
            </w:pPr>
            <w:r>
              <w:rPr>
                <w:rFonts w:ascii="Times New Roman" w:hAnsi="Times New Roman" w:cs="Times New Roman"/>
                <w:sz w:val="24"/>
              </w:rPr>
              <w:t>铜及铜合金</w:t>
            </w:r>
          </w:p>
        </w:tc>
        <w:tc>
          <w:tcPr>
            <w:tcW w:w="732" w:type="pct"/>
            <w:vAlign w:val="center"/>
          </w:tcPr>
          <w:p w14:paraId="3B938FDC">
            <w:pPr>
              <w:spacing w:before="24" w:after="24" w:line="288" w:lineRule="auto"/>
              <w:jc w:val="center"/>
              <w:rPr>
                <w:rFonts w:ascii="Times New Roman" w:hAnsi="Times New Roman" w:cs="Times New Roman"/>
                <w:sz w:val="24"/>
              </w:rPr>
            </w:pPr>
          </w:p>
        </w:tc>
      </w:tr>
      <w:tr w14:paraId="5C194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vAlign w:val="center"/>
          </w:tcPr>
          <w:p w14:paraId="3006E13B">
            <w:pPr>
              <w:spacing w:before="24" w:after="24" w:line="288" w:lineRule="auto"/>
              <w:jc w:val="center"/>
              <w:rPr>
                <w:rFonts w:ascii="Times New Roman" w:hAnsi="Times New Roman" w:cs="Times New Roman"/>
                <w:sz w:val="24"/>
              </w:rPr>
            </w:pPr>
          </w:p>
        </w:tc>
        <w:tc>
          <w:tcPr>
            <w:tcW w:w="847" w:type="pct"/>
            <w:vMerge w:val="continue"/>
            <w:vAlign w:val="center"/>
          </w:tcPr>
          <w:p w14:paraId="12FB5147">
            <w:pPr>
              <w:spacing w:before="24" w:after="24" w:line="288" w:lineRule="auto"/>
              <w:jc w:val="center"/>
              <w:rPr>
                <w:rFonts w:ascii="Times New Roman" w:hAnsi="Times New Roman" w:cs="Times New Roman"/>
                <w:sz w:val="24"/>
              </w:rPr>
            </w:pPr>
          </w:p>
        </w:tc>
        <w:tc>
          <w:tcPr>
            <w:tcW w:w="1062" w:type="pct"/>
            <w:vMerge w:val="continue"/>
            <w:vAlign w:val="center"/>
          </w:tcPr>
          <w:p w14:paraId="4E69D726">
            <w:pPr>
              <w:spacing w:before="24" w:after="24" w:line="288" w:lineRule="auto"/>
              <w:jc w:val="center"/>
              <w:rPr>
                <w:rFonts w:ascii="Times New Roman" w:hAnsi="Times New Roman" w:cs="Times New Roman"/>
                <w:sz w:val="24"/>
              </w:rPr>
            </w:pPr>
          </w:p>
        </w:tc>
        <w:tc>
          <w:tcPr>
            <w:tcW w:w="1071" w:type="pct"/>
            <w:vAlign w:val="center"/>
          </w:tcPr>
          <w:p w14:paraId="4D6FBC26">
            <w:pPr>
              <w:spacing w:before="24" w:after="24" w:line="288" w:lineRule="auto"/>
              <w:jc w:val="center"/>
              <w:rPr>
                <w:rFonts w:ascii="Times New Roman" w:hAnsi="Times New Roman" w:cs="Times New Roman"/>
                <w:sz w:val="24"/>
              </w:rPr>
            </w:pPr>
            <w:r>
              <w:rPr>
                <w:rFonts w:ascii="Times New Roman" w:hAnsi="Times New Roman" w:cs="Times New Roman"/>
                <w:sz w:val="24"/>
              </w:rPr>
              <w:t>管径＞DN50</w:t>
            </w:r>
          </w:p>
        </w:tc>
        <w:tc>
          <w:tcPr>
            <w:tcW w:w="866" w:type="pct"/>
            <w:vAlign w:val="center"/>
          </w:tcPr>
          <w:p w14:paraId="5291D47F">
            <w:pPr>
              <w:spacing w:before="24" w:after="24" w:line="288" w:lineRule="auto"/>
              <w:jc w:val="center"/>
              <w:rPr>
                <w:rFonts w:ascii="Times New Roman" w:hAnsi="Times New Roman" w:cs="Times New Roman"/>
                <w:sz w:val="24"/>
              </w:rPr>
            </w:pPr>
            <w:r>
              <w:rPr>
                <w:rFonts w:ascii="Times New Roman" w:hAnsi="Times New Roman" w:cs="Times New Roman"/>
                <w:sz w:val="24"/>
              </w:rPr>
              <w:t>碳钢</w:t>
            </w:r>
          </w:p>
        </w:tc>
        <w:tc>
          <w:tcPr>
            <w:tcW w:w="732" w:type="pct"/>
            <w:vAlign w:val="center"/>
          </w:tcPr>
          <w:p w14:paraId="3F91EC0C">
            <w:pPr>
              <w:spacing w:before="24" w:after="24" w:line="288" w:lineRule="auto"/>
              <w:jc w:val="center"/>
              <w:rPr>
                <w:rFonts w:ascii="Times New Roman" w:hAnsi="Times New Roman" w:cs="Times New Roman"/>
                <w:sz w:val="24"/>
              </w:rPr>
            </w:pPr>
          </w:p>
        </w:tc>
      </w:tr>
      <w:tr w14:paraId="606C7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Align w:val="center"/>
          </w:tcPr>
          <w:p w14:paraId="51F9314E">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c>
          <w:tcPr>
            <w:tcW w:w="847" w:type="pct"/>
            <w:vAlign w:val="center"/>
          </w:tcPr>
          <w:p w14:paraId="5FE569E8">
            <w:pPr>
              <w:spacing w:before="24" w:after="24" w:line="288" w:lineRule="auto"/>
              <w:jc w:val="center"/>
              <w:rPr>
                <w:rFonts w:ascii="Times New Roman" w:hAnsi="Times New Roman" w:cs="Times New Roman"/>
                <w:sz w:val="24"/>
              </w:rPr>
            </w:pPr>
            <w:r>
              <w:rPr>
                <w:rFonts w:ascii="Times New Roman" w:hAnsi="Times New Roman" w:cs="Times New Roman"/>
                <w:sz w:val="24"/>
              </w:rPr>
              <w:t>室内消火栓</w:t>
            </w:r>
          </w:p>
        </w:tc>
        <w:tc>
          <w:tcPr>
            <w:tcW w:w="1062" w:type="pct"/>
            <w:vAlign w:val="center"/>
          </w:tcPr>
          <w:p w14:paraId="7F1CCAAF">
            <w:pPr>
              <w:spacing w:before="24" w:after="24" w:line="288" w:lineRule="auto"/>
              <w:jc w:val="center"/>
              <w:rPr>
                <w:rFonts w:ascii="Times New Roman" w:hAnsi="Times New Roman" w:cs="Times New Roman"/>
                <w:sz w:val="24"/>
              </w:rPr>
            </w:pPr>
            <w:r>
              <w:rPr>
                <w:rFonts w:ascii="Times New Roman" w:hAnsi="Times New Roman" w:cs="Times New Roman"/>
                <w:sz w:val="24"/>
              </w:rPr>
              <w:t>室内消火栓箱</w:t>
            </w:r>
          </w:p>
        </w:tc>
        <w:tc>
          <w:tcPr>
            <w:tcW w:w="1071" w:type="pct"/>
            <w:vAlign w:val="center"/>
          </w:tcPr>
          <w:p w14:paraId="0E98A0E0">
            <w:pPr>
              <w:spacing w:before="24" w:after="24" w:line="288" w:lineRule="auto"/>
              <w:jc w:val="center"/>
              <w:rPr>
                <w:rFonts w:ascii="Times New Roman" w:hAnsi="Times New Roman" w:cs="Times New Roman"/>
                <w:sz w:val="24"/>
              </w:rPr>
            </w:pPr>
          </w:p>
        </w:tc>
        <w:tc>
          <w:tcPr>
            <w:tcW w:w="866" w:type="pct"/>
            <w:vAlign w:val="center"/>
          </w:tcPr>
          <w:p w14:paraId="10606A40">
            <w:pPr>
              <w:spacing w:before="24" w:after="24" w:line="288" w:lineRule="auto"/>
              <w:jc w:val="center"/>
              <w:rPr>
                <w:rFonts w:ascii="Times New Roman" w:hAnsi="Times New Roman" w:cs="Times New Roman"/>
                <w:sz w:val="24"/>
              </w:rPr>
            </w:pPr>
            <w:r>
              <w:rPr>
                <w:rFonts w:ascii="Times New Roman" w:hAnsi="Times New Roman" w:cs="Times New Roman"/>
                <w:sz w:val="24"/>
              </w:rPr>
              <w:t>碳钢</w:t>
            </w:r>
          </w:p>
        </w:tc>
        <w:tc>
          <w:tcPr>
            <w:tcW w:w="732" w:type="pct"/>
            <w:vAlign w:val="center"/>
          </w:tcPr>
          <w:p w14:paraId="5DD8C78E">
            <w:pPr>
              <w:spacing w:before="24" w:after="24" w:line="288" w:lineRule="auto"/>
              <w:jc w:val="center"/>
              <w:rPr>
                <w:rFonts w:ascii="Times New Roman" w:hAnsi="Times New Roman" w:cs="Times New Roman"/>
                <w:sz w:val="24"/>
              </w:rPr>
            </w:pPr>
          </w:p>
        </w:tc>
      </w:tr>
      <w:tr w14:paraId="01C08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Align w:val="center"/>
          </w:tcPr>
          <w:p w14:paraId="3BFE1275">
            <w:pPr>
              <w:spacing w:before="24" w:after="24" w:line="288" w:lineRule="auto"/>
              <w:jc w:val="center"/>
              <w:rPr>
                <w:rFonts w:ascii="Times New Roman" w:hAnsi="Times New Roman" w:cs="Times New Roman"/>
                <w:sz w:val="24"/>
              </w:rPr>
            </w:pPr>
            <w:r>
              <w:rPr>
                <w:rFonts w:ascii="Times New Roman" w:hAnsi="Times New Roman" w:cs="Times New Roman"/>
                <w:sz w:val="24"/>
              </w:rPr>
              <w:t>11</w:t>
            </w:r>
          </w:p>
        </w:tc>
        <w:tc>
          <w:tcPr>
            <w:tcW w:w="847" w:type="pct"/>
            <w:vAlign w:val="center"/>
          </w:tcPr>
          <w:p w14:paraId="1D16ED3F">
            <w:pPr>
              <w:spacing w:before="24" w:after="24" w:line="288" w:lineRule="auto"/>
              <w:jc w:val="center"/>
              <w:rPr>
                <w:rFonts w:ascii="Times New Roman" w:hAnsi="Times New Roman" w:cs="Times New Roman"/>
                <w:sz w:val="24"/>
              </w:rPr>
            </w:pPr>
            <w:r>
              <w:rPr>
                <w:rFonts w:ascii="Times New Roman" w:hAnsi="Times New Roman" w:cs="Times New Roman"/>
                <w:sz w:val="24"/>
              </w:rPr>
              <w:t>水泵接合器</w:t>
            </w:r>
          </w:p>
        </w:tc>
        <w:tc>
          <w:tcPr>
            <w:tcW w:w="1062" w:type="pct"/>
            <w:vAlign w:val="center"/>
          </w:tcPr>
          <w:p w14:paraId="13983C17">
            <w:pPr>
              <w:spacing w:before="24" w:after="24" w:line="288" w:lineRule="auto"/>
              <w:jc w:val="center"/>
              <w:rPr>
                <w:rFonts w:ascii="Times New Roman" w:hAnsi="Times New Roman" w:cs="Times New Roman"/>
                <w:sz w:val="24"/>
              </w:rPr>
            </w:pPr>
            <w:r>
              <w:rPr>
                <w:rFonts w:ascii="Times New Roman" w:hAnsi="Times New Roman" w:cs="Times New Roman"/>
                <w:sz w:val="24"/>
              </w:rPr>
              <w:t>室外便于消防车使用的地点</w:t>
            </w:r>
          </w:p>
        </w:tc>
        <w:tc>
          <w:tcPr>
            <w:tcW w:w="1071" w:type="pct"/>
            <w:vAlign w:val="center"/>
          </w:tcPr>
          <w:p w14:paraId="52460CA8">
            <w:pPr>
              <w:spacing w:before="24" w:after="24" w:line="288" w:lineRule="auto"/>
              <w:jc w:val="center"/>
              <w:rPr>
                <w:rFonts w:ascii="Times New Roman" w:hAnsi="Times New Roman" w:cs="Times New Roman"/>
                <w:sz w:val="24"/>
              </w:rPr>
            </w:pPr>
            <w:r>
              <w:rPr>
                <w:rFonts w:ascii="Times New Roman" w:hAnsi="Times New Roman" w:cs="Times New Roman"/>
                <w:sz w:val="24"/>
              </w:rPr>
              <w:t>距室外消火栓或消防水池的距离不宜小于15m，并不宜大于40m</w:t>
            </w:r>
          </w:p>
        </w:tc>
        <w:tc>
          <w:tcPr>
            <w:tcW w:w="866" w:type="pct"/>
            <w:vAlign w:val="center"/>
          </w:tcPr>
          <w:p w14:paraId="64605BC0">
            <w:pPr>
              <w:spacing w:before="24" w:after="24" w:line="288" w:lineRule="auto"/>
              <w:jc w:val="center"/>
              <w:rPr>
                <w:rFonts w:ascii="Times New Roman" w:hAnsi="Times New Roman" w:cs="Times New Roman"/>
                <w:sz w:val="24"/>
              </w:rPr>
            </w:pPr>
            <w:r>
              <w:rPr>
                <w:rFonts w:ascii="Times New Roman" w:hAnsi="Times New Roman" w:cs="Times New Roman"/>
                <w:sz w:val="24"/>
              </w:rPr>
              <w:t>碳钢</w:t>
            </w:r>
          </w:p>
        </w:tc>
        <w:tc>
          <w:tcPr>
            <w:tcW w:w="732" w:type="pct"/>
            <w:vAlign w:val="center"/>
          </w:tcPr>
          <w:p w14:paraId="5FACC2F8">
            <w:pPr>
              <w:spacing w:before="24" w:after="24" w:line="288" w:lineRule="auto"/>
              <w:jc w:val="center"/>
              <w:rPr>
                <w:rFonts w:ascii="Times New Roman" w:hAnsi="Times New Roman" w:cs="Times New Roman"/>
                <w:sz w:val="24"/>
              </w:rPr>
            </w:pPr>
          </w:p>
        </w:tc>
      </w:tr>
    </w:tbl>
    <w:p w14:paraId="51C89EB1">
      <w:pPr>
        <w:spacing w:before="24" w:after="24"/>
        <w:ind w:firstLine="560" w:firstLineChars="200"/>
        <w:rPr>
          <w:rFonts w:ascii="Times New Roman" w:hAnsi="Times New Roman" w:cs="Times New Roman"/>
        </w:rPr>
      </w:pPr>
      <w:r>
        <w:rPr>
          <w:rFonts w:ascii="Times New Roman" w:hAnsi="Times New Roman" w:cs="Times New Roman"/>
        </w:rPr>
        <w:t>3.消防水池</w:t>
      </w:r>
    </w:p>
    <w:p w14:paraId="187CD3B5">
      <w:pPr>
        <w:spacing w:before="24" w:after="24"/>
        <w:ind w:firstLine="560" w:firstLineChars="200"/>
        <w:rPr>
          <w:rFonts w:ascii="Times New Roman" w:hAnsi="Times New Roman" w:cs="Times New Roman"/>
        </w:rPr>
      </w:pPr>
      <w:r>
        <w:rPr>
          <w:rFonts w:ascii="Times New Roman" w:hAnsi="Times New Roman" w:cs="Times New Roman"/>
        </w:rPr>
        <w:t>（1）结构形式：消防水池与喷淋系统合用，采用钢筋混凝土结构。</w:t>
      </w:r>
    </w:p>
    <w:p w14:paraId="07D28459">
      <w:pPr>
        <w:spacing w:before="24" w:after="24"/>
        <w:ind w:firstLine="560" w:firstLineChars="200"/>
        <w:rPr>
          <w:rFonts w:ascii="Times New Roman" w:hAnsi="Times New Roman" w:cs="Times New Roman"/>
        </w:rPr>
      </w:pPr>
      <w:r>
        <w:rPr>
          <w:rFonts w:ascii="Times New Roman" w:hAnsi="Times New Roman" w:cs="Times New Roman"/>
        </w:rPr>
        <w:t>（2）取水口：储存室外消防用水的消防水池或供消防车取水的消防水池应设置取水口，吸水高度=当地大气压折合成水柱（消防水泵的气蚀余量+吸水管的阻力损失+水的饱和蒸汽压）。</w:t>
      </w:r>
    </w:p>
    <w:p w14:paraId="322C09A6">
      <w:pPr>
        <w:spacing w:before="24" w:after="24"/>
        <w:ind w:firstLine="560" w:firstLineChars="200"/>
        <w:rPr>
          <w:rFonts w:ascii="Times New Roman" w:hAnsi="Times New Roman" w:cs="Times New Roman"/>
        </w:rPr>
      </w:pPr>
      <w:r>
        <w:rPr>
          <w:rFonts w:ascii="Times New Roman" w:hAnsi="Times New Roman" w:cs="Times New Roman"/>
        </w:rPr>
        <w:t>（3）通气管：消防水池设一高一低两根通气管，高差≥300mm，通气管口设16目/吋铜丝网。</w:t>
      </w:r>
    </w:p>
    <w:p w14:paraId="5E7AEB70">
      <w:pPr>
        <w:spacing w:before="24" w:after="24"/>
        <w:ind w:firstLine="560" w:firstLineChars="200"/>
        <w:rPr>
          <w:rFonts w:ascii="Times New Roman" w:hAnsi="Times New Roman" w:cs="Times New Roman"/>
        </w:rPr>
      </w:pPr>
      <w:r>
        <w:rPr>
          <w:rFonts w:ascii="Times New Roman" w:hAnsi="Times New Roman" w:cs="Times New Roman"/>
        </w:rPr>
        <w:t>（4）水位及报警：</w:t>
      </w:r>
    </w:p>
    <w:p w14:paraId="2CA70221">
      <w:pPr>
        <w:spacing w:before="24" w:after="24"/>
        <w:ind w:firstLine="560" w:firstLineChars="200"/>
        <w:rPr>
          <w:rFonts w:ascii="Times New Roman" w:hAnsi="Times New Roman" w:cs="Times New Roman"/>
        </w:rPr>
      </w:pPr>
      <w:r>
        <w:rPr>
          <w:rFonts w:ascii="Times New Roman" w:hAnsi="Times New Roman" w:cs="Times New Roman"/>
        </w:rPr>
        <w:t>1）最低有效水位：当采用立式消防水泵时，消防水池最低有效水位应高于消防水泵的最高吸水管管顶。水位到达最低有效水位时应向消防控制室报警。</w:t>
      </w:r>
    </w:p>
    <w:p w14:paraId="1E0968AF">
      <w:pPr>
        <w:spacing w:before="24" w:after="24"/>
        <w:ind w:firstLine="560" w:firstLineChars="200"/>
        <w:rPr>
          <w:rFonts w:ascii="Times New Roman" w:hAnsi="Times New Roman" w:cs="Times New Roman"/>
        </w:rPr>
      </w:pPr>
      <w:r>
        <w:rPr>
          <w:rFonts w:ascii="Times New Roman" w:hAnsi="Times New Roman" w:cs="Times New Roman"/>
        </w:rPr>
        <w:t>2）溢流水位：水箱开始溢流的最低水位，水箱溢流时应向消防控制室报警。</w:t>
      </w:r>
    </w:p>
    <w:p w14:paraId="6A01B9FE">
      <w:pPr>
        <w:spacing w:before="24" w:after="24"/>
        <w:ind w:firstLine="560" w:firstLineChars="200"/>
        <w:rPr>
          <w:rFonts w:ascii="Times New Roman" w:hAnsi="Times New Roman" w:cs="Times New Roman"/>
        </w:rPr>
      </w:pPr>
      <w:r>
        <w:rPr>
          <w:rFonts w:ascii="Times New Roman" w:hAnsi="Times New Roman" w:cs="Times New Roman"/>
        </w:rPr>
        <w:t>3）最高报警水位：高于最高有效水位100mm，水箱水位高于该水位时应向消防控制室报警。</w:t>
      </w:r>
    </w:p>
    <w:p w14:paraId="5F493CDB">
      <w:pPr>
        <w:spacing w:before="24" w:after="24"/>
        <w:ind w:firstLine="560" w:firstLineChars="200"/>
        <w:rPr>
          <w:rFonts w:ascii="Times New Roman" w:hAnsi="Times New Roman" w:cs="Times New Roman"/>
        </w:rPr>
      </w:pPr>
      <w:r>
        <w:rPr>
          <w:rFonts w:ascii="Times New Roman" w:hAnsi="Times New Roman" w:cs="Times New Roman"/>
        </w:rPr>
        <w:t>4）最低报警水位：低于最高有效水位100mm，水箱水位低于该水位时应向消防控制室报警。</w:t>
      </w:r>
    </w:p>
    <w:p w14:paraId="17B099DE">
      <w:pPr>
        <w:spacing w:before="24" w:after="24"/>
        <w:ind w:firstLine="560" w:firstLineChars="200"/>
        <w:rPr>
          <w:rFonts w:ascii="Times New Roman" w:hAnsi="Times New Roman" w:cs="Times New Roman"/>
        </w:rPr>
      </w:pPr>
      <w:r>
        <w:rPr>
          <w:rFonts w:ascii="Times New Roman" w:hAnsi="Times New Roman" w:cs="Times New Roman"/>
        </w:rPr>
        <w:t>（5）进水系统：进水管口的最低点高出溢流边缘的空气间隙不应小于150mm。进水管设置柔性接头，其出口应装设液压水位控制阀，且当管径大于等于50mm时，应设置两个进水口。</w:t>
      </w:r>
    </w:p>
    <w:p w14:paraId="6D0B9A3C">
      <w:pPr>
        <w:spacing w:before="24" w:after="24"/>
        <w:ind w:firstLine="560" w:firstLineChars="200"/>
        <w:rPr>
          <w:rFonts w:ascii="Times New Roman" w:hAnsi="Times New Roman" w:cs="Times New Roman"/>
        </w:rPr>
      </w:pPr>
      <w:r>
        <w:rPr>
          <w:rFonts w:ascii="Times New Roman" w:hAnsi="Times New Roman" w:cs="Times New Roman"/>
        </w:rPr>
        <w:t>（6）出水系统：出水口处设置旋流防止器或吸水喇叭口。</w:t>
      </w:r>
    </w:p>
    <w:p w14:paraId="7128DFAA">
      <w:pPr>
        <w:spacing w:before="24" w:after="24"/>
        <w:ind w:firstLine="560" w:firstLineChars="200"/>
        <w:rPr>
          <w:rFonts w:ascii="Times New Roman" w:hAnsi="Times New Roman" w:cs="Times New Roman"/>
        </w:rPr>
      </w:pPr>
      <w:r>
        <w:rPr>
          <w:rFonts w:ascii="Times New Roman" w:hAnsi="Times New Roman" w:cs="Times New Roman"/>
        </w:rPr>
        <w:t>4.消防水箱及稳压设备</w:t>
      </w:r>
    </w:p>
    <w:p w14:paraId="48195DF1">
      <w:pPr>
        <w:spacing w:before="24" w:after="24"/>
        <w:ind w:firstLine="560" w:firstLineChars="200"/>
        <w:rPr>
          <w:rFonts w:ascii="Times New Roman" w:hAnsi="Times New Roman" w:cs="Times New Roman"/>
        </w:rPr>
      </w:pPr>
      <w:r>
        <w:rPr>
          <w:rFonts w:ascii="Times New Roman" w:hAnsi="Times New Roman" w:cs="Times New Roman"/>
        </w:rPr>
        <w:t>（1）材质：采用304不锈钢水箱。</w:t>
      </w:r>
    </w:p>
    <w:p w14:paraId="1035B0A8">
      <w:pPr>
        <w:spacing w:before="24" w:after="24"/>
        <w:ind w:firstLine="560" w:firstLineChars="200"/>
        <w:rPr>
          <w:rFonts w:ascii="Times New Roman" w:hAnsi="Times New Roman" w:cs="Times New Roman"/>
        </w:rPr>
      </w:pPr>
      <w:r>
        <w:rPr>
          <w:rFonts w:ascii="Times New Roman" w:hAnsi="Times New Roman" w:cs="Times New Roman"/>
        </w:rPr>
        <w:t>（2）有效容积：多层公共建筑的高位消防水箱有效容积不小于18m³。</w:t>
      </w:r>
    </w:p>
    <w:p w14:paraId="76C6E928">
      <w:pPr>
        <w:spacing w:before="24" w:after="24"/>
        <w:ind w:firstLine="560" w:firstLineChars="200"/>
        <w:rPr>
          <w:rFonts w:ascii="Times New Roman" w:hAnsi="Times New Roman" w:cs="Times New Roman"/>
        </w:rPr>
      </w:pPr>
      <w:r>
        <w:rPr>
          <w:rFonts w:ascii="Times New Roman" w:hAnsi="Times New Roman" w:cs="Times New Roman"/>
        </w:rPr>
        <w:t>（3）水位及报警：</w:t>
      </w:r>
    </w:p>
    <w:p w14:paraId="47EB925A">
      <w:pPr>
        <w:spacing w:before="24" w:after="24"/>
        <w:ind w:firstLine="840" w:firstLineChars="300"/>
        <w:rPr>
          <w:rFonts w:ascii="Times New Roman" w:hAnsi="Times New Roman" w:cs="Times New Roman"/>
        </w:rPr>
      </w:pPr>
      <w:r>
        <w:rPr>
          <w:rFonts w:ascii="Times New Roman" w:hAnsi="Times New Roman" w:cs="Times New Roman"/>
        </w:rPr>
        <w:t>1）最低有效水位：高于旋流防止器200mm，水位到达最低有效水位时应向消防控制室报警。</w:t>
      </w:r>
    </w:p>
    <w:p w14:paraId="335A530C">
      <w:pPr>
        <w:spacing w:before="24" w:after="24"/>
        <w:ind w:firstLine="840" w:firstLineChars="300"/>
        <w:rPr>
          <w:rFonts w:ascii="Times New Roman" w:hAnsi="Times New Roman" w:cs="Times New Roman"/>
        </w:rPr>
      </w:pPr>
      <w:r>
        <w:rPr>
          <w:rFonts w:ascii="Times New Roman" w:hAnsi="Times New Roman" w:cs="Times New Roman"/>
        </w:rPr>
        <w:t>2）溢流水位：水箱开始溢流的最低水位，水箱溢流时应向消防控制室报警。</w:t>
      </w:r>
    </w:p>
    <w:p w14:paraId="2B30D0B9">
      <w:pPr>
        <w:spacing w:before="24" w:after="24"/>
        <w:ind w:firstLine="840" w:firstLineChars="300"/>
        <w:rPr>
          <w:rFonts w:ascii="Times New Roman" w:hAnsi="Times New Roman" w:cs="Times New Roman"/>
        </w:rPr>
      </w:pPr>
      <w:r>
        <w:rPr>
          <w:rFonts w:ascii="Times New Roman" w:hAnsi="Times New Roman" w:cs="Times New Roman"/>
        </w:rPr>
        <w:t>3）最高报警水位：高于最高有效水位100mm，水箱水位高于该水位时应向消防控制室报警。</w:t>
      </w:r>
    </w:p>
    <w:p w14:paraId="0AC40920">
      <w:pPr>
        <w:spacing w:before="24" w:after="24"/>
        <w:ind w:firstLine="840" w:firstLineChars="300"/>
        <w:rPr>
          <w:rFonts w:ascii="Times New Roman" w:hAnsi="Times New Roman" w:cs="Times New Roman"/>
        </w:rPr>
      </w:pPr>
      <w:r>
        <w:rPr>
          <w:rFonts w:ascii="Times New Roman" w:hAnsi="Times New Roman" w:cs="Times New Roman"/>
        </w:rPr>
        <w:t>4）最低报警水位：低于最高有效水位100mm，水箱水位低于该水位时应向消防控制室报警。</w:t>
      </w:r>
    </w:p>
    <w:p w14:paraId="1D9EC1C8">
      <w:pPr>
        <w:spacing w:before="24" w:after="24"/>
        <w:ind w:firstLine="560" w:firstLineChars="200"/>
        <w:rPr>
          <w:rFonts w:ascii="Times New Roman" w:hAnsi="Times New Roman" w:cs="Times New Roman"/>
        </w:rPr>
      </w:pPr>
      <w:r>
        <w:rPr>
          <w:rFonts w:ascii="Times New Roman" w:hAnsi="Times New Roman" w:cs="Times New Roman"/>
        </w:rPr>
        <w:t>（4）保护措施：水箱的人孔以及进出水管的阀门设置锁具或阀门箱。</w:t>
      </w:r>
    </w:p>
    <w:p w14:paraId="6E7CCF20">
      <w:pPr>
        <w:spacing w:before="24" w:after="24"/>
        <w:ind w:firstLine="560" w:firstLineChars="200"/>
        <w:rPr>
          <w:rFonts w:ascii="Times New Roman" w:hAnsi="Times New Roman" w:cs="Times New Roman"/>
        </w:rPr>
      </w:pPr>
      <w:r>
        <w:rPr>
          <w:rFonts w:ascii="Times New Roman" w:hAnsi="Times New Roman" w:cs="Times New Roman"/>
        </w:rPr>
        <w:t>（5）进水系统：进水管口的最低点高出溢流边缘的空气间隙不应小于150mm。进水管设置柔性接头，其出口应装设液压水位控制阀，且当管径大于等于50mm时，应设置两个进水口。</w:t>
      </w:r>
    </w:p>
    <w:p w14:paraId="4522E4AD">
      <w:pPr>
        <w:spacing w:before="24" w:after="24"/>
        <w:ind w:firstLine="560" w:firstLineChars="200"/>
        <w:rPr>
          <w:rFonts w:ascii="Times New Roman" w:hAnsi="Times New Roman" w:cs="Times New Roman"/>
        </w:rPr>
      </w:pPr>
      <w:r>
        <w:rPr>
          <w:rFonts w:ascii="Times New Roman" w:hAnsi="Times New Roman" w:cs="Times New Roman"/>
        </w:rPr>
        <w:t>（6）出水系统：出水口处设置旋流防止器。</w:t>
      </w:r>
    </w:p>
    <w:p w14:paraId="66ABA9F8">
      <w:pPr>
        <w:spacing w:before="24" w:after="24"/>
        <w:ind w:firstLine="560" w:firstLineChars="200"/>
        <w:rPr>
          <w:rFonts w:ascii="Times New Roman" w:hAnsi="Times New Roman" w:cs="Times New Roman"/>
        </w:rPr>
      </w:pPr>
      <w:r>
        <w:rPr>
          <w:rFonts w:ascii="Times New Roman" w:hAnsi="Times New Roman" w:cs="Times New Roman"/>
        </w:rPr>
        <w:t>（7）通气管：每座消防水箱设一高一低两根通气管，高差≥300mm，通气管口设16目/铜丝网。</w:t>
      </w:r>
    </w:p>
    <w:p w14:paraId="62A4893A">
      <w:pPr>
        <w:spacing w:before="24" w:after="24"/>
        <w:ind w:firstLine="560" w:firstLineChars="200"/>
        <w:rPr>
          <w:rFonts w:ascii="Times New Roman" w:hAnsi="Times New Roman" w:cs="Times New Roman"/>
        </w:rPr>
      </w:pPr>
      <w:r>
        <w:rPr>
          <w:rFonts w:ascii="Times New Roman" w:hAnsi="Times New Roman" w:cs="Times New Roman"/>
        </w:rPr>
        <w:t>（8）抗震设防要求：根据设防烈度、建筑使用功能、建筑高度、结构类型、变形特征、设备设施所处位置和运行要求及现行国家标准的有关规定进行抗震设计。</w:t>
      </w:r>
    </w:p>
    <w:p w14:paraId="5D3152C1">
      <w:pPr>
        <w:spacing w:before="24" w:after="24"/>
        <w:ind w:firstLine="560" w:firstLineChars="200"/>
        <w:rPr>
          <w:rFonts w:ascii="Times New Roman" w:hAnsi="Times New Roman" w:cs="Times New Roman"/>
        </w:rPr>
      </w:pPr>
      <w:r>
        <w:rPr>
          <w:rFonts w:ascii="Times New Roman" w:hAnsi="Times New Roman" w:cs="Times New Roman"/>
        </w:rPr>
        <w:t>（9）基础：沿短边方向设置条形基础，基础上预留与高位消防水箱底部槽钢连接的预埋件，高位消防水箱与基础应牢固连接。</w:t>
      </w:r>
    </w:p>
    <w:p w14:paraId="4840AA67">
      <w:pPr>
        <w:spacing w:before="24" w:after="24"/>
        <w:ind w:firstLine="560" w:firstLineChars="200"/>
        <w:rPr>
          <w:rFonts w:ascii="Times New Roman" w:hAnsi="Times New Roman" w:cs="Times New Roman"/>
        </w:rPr>
      </w:pPr>
      <w:r>
        <w:rPr>
          <w:rFonts w:ascii="Times New Roman" w:hAnsi="Times New Roman" w:cs="Times New Roman"/>
        </w:rPr>
        <w:t>（10）人梯：水箱高度大于等于1500mm时，应设内、外人梯。</w:t>
      </w:r>
    </w:p>
    <w:p w14:paraId="73D607A8">
      <w:pPr>
        <w:spacing w:before="24" w:after="24"/>
        <w:ind w:firstLine="560" w:firstLineChars="200"/>
        <w:rPr>
          <w:rFonts w:ascii="Times New Roman" w:hAnsi="Times New Roman" w:cs="Times New Roman"/>
        </w:rPr>
      </w:pPr>
      <w:r>
        <w:rPr>
          <w:rFonts w:ascii="Times New Roman" w:hAnsi="Times New Roman" w:cs="Times New Roman"/>
        </w:rPr>
        <w:t>（11）消火栓灭火系统的出水管和供自动喷水灭火系统的出水管宜分开设置。</w:t>
      </w:r>
    </w:p>
    <w:p w14:paraId="74F0BADA">
      <w:pPr>
        <w:spacing w:before="24" w:after="24"/>
        <w:ind w:firstLine="560" w:firstLineChars="200"/>
        <w:rPr>
          <w:rFonts w:ascii="Times New Roman" w:hAnsi="Times New Roman" w:cs="Times New Roman"/>
        </w:rPr>
      </w:pPr>
      <w:r>
        <w:rPr>
          <w:rFonts w:ascii="Times New Roman" w:hAnsi="Times New Roman" w:cs="Times New Roman"/>
        </w:rPr>
        <w:t>（12）防冻保温：采用50mm厚聚氨酯压模板保温层+0.5mm厚不锈钢薄壁。</w:t>
      </w:r>
    </w:p>
    <w:p w14:paraId="523D4317">
      <w:pPr>
        <w:spacing w:before="24" w:after="24"/>
        <w:ind w:firstLine="560" w:firstLineChars="200"/>
        <w:rPr>
          <w:rFonts w:ascii="Times New Roman" w:hAnsi="Times New Roman" w:cs="Times New Roman"/>
        </w:rPr>
      </w:pPr>
      <w:r>
        <w:rPr>
          <w:rFonts w:ascii="Times New Roman" w:hAnsi="Times New Roman" w:cs="Times New Roman"/>
        </w:rPr>
        <w:t>（13）稳压设备：</w:t>
      </w:r>
    </w:p>
    <w:p w14:paraId="1343B9FA">
      <w:pPr>
        <w:spacing w:before="24" w:after="24"/>
        <w:ind w:firstLine="840" w:firstLineChars="300"/>
        <w:rPr>
          <w:rFonts w:ascii="Times New Roman" w:hAnsi="Times New Roman" w:cs="Times New Roman"/>
        </w:rPr>
      </w:pPr>
      <w:r>
        <w:rPr>
          <w:rFonts w:ascii="Times New Roman" w:hAnsi="Times New Roman" w:cs="Times New Roman"/>
        </w:rPr>
        <w:t>1）稳压泵：采用单吸单级或单吸多级离心泵，泵外壳和叶轮等主要部件的材质宜采用不锈钢，应设置备用泵。</w:t>
      </w:r>
    </w:p>
    <w:p w14:paraId="28425F86">
      <w:pPr>
        <w:spacing w:before="24" w:after="24"/>
        <w:ind w:firstLine="840" w:firstLineChars="300"/>
        <w:rPr>
          <w:rFonts w:ascii="Times New Roman" w:hAnsi="Times New Roman" w:cs="Times New Roman"/>
        </w:rPr>
      </w:pPr>
      <w:r>
        <w:rPr>
          <w:rFonts w:ascii="Times New Roman" w:hAnsi="Times New Roman" w:cs="Times New Roman"/>
        </w:rPr>
        <w:t>2）阀门：稳压泵吸水管应设置明杆闸阀，稳压泵出水管应设置消声止回阀和明杆闸阀。</w:t>
      </w:r>
    </w:p>
    <w:p w14:paraId="155757E5">
      <w:pPr>
        <w:spacing w:before="24" w:after="24"/>
        <w:ind w:firstLine="840" w:firstLineChars="300"/>
        <w:rPr>
          <w:rFonts w:ascii="Times New Roman" w:hAnsi="Times New Roman" w:cs="Times New Roman"/>
        </w:rPr>
      </w:pPr>
      <w:r>
        <w:rPr>
          <w:rFonts w:ascii="Times New Roman" w:hAnsi="Times New Roman" w:cs="Times New Roman"/>
        </w:rPr>
        <w:t>3）气压水罐：调节容积应根据稳压泵启泵次数不大于15次/h计算确定，但有效储水容积不宜小于150L。</w:t>
      </w:r>
    </w:p>
    <w:p w14:paraId="52D3B938">
      <w:pPr>
        <w:spacing w:before="24" w:after="24"/>
        <w:ind w:firstLine="560" w:firstLineChars="200"/>
        <w:rPr>
          <w:rFonts w:ascii="Times New Roman" w:hAnsi="Times New Roman" w:cs="Times New Roman"/>
        </w:rPr>
      </w:pPr>
      <w:r>
        <w:rPr>
          <w:rFonts w:ascii="Times New Roman" w:hAnsi="Times New Roman" w:cs="Times New Roman"/>
        </w:rPr>
        <w:t>5.室内消火栓泵</w:t>
      </w:r>
    </w:p>
    <w:p w14:paraId="1F7568B2">
      <w:pPr>
        <w:spacing w:before="24" w:after="24"/>
        <w:ind w:firstLine="560" w:firstLineChars="200"/>
        <w:rPr>
          <w:rFonts w:ascii="Times New Roman" w:hAnsi="Times New Roman" w:cs="Times New Roman"/>
        </w:rPr>
      </w:pPr>
      <w:r>
        <w:rPr>
          <w:rFonts w:ascii="Times New Roman" w:hAnsi="Times New Roman" w:cs="Times New Roman"/>
        </w:rPr>
        <w:t>（1）材质：水泵外壳宜为球墨铸铁，叶轮宜为青铜或不锈钢。</w:t>
      </w:r>
    </w:p>
    <w:p w14:paraId="763E35D9">
      <w:pPr>
        <w:spacing w:before="24" w:after="24"/>
        <w:ind w:firstLine="560" w:firstLineChars="200"/>
        <w:rPr>
          <w:rFonts w:ascii="Times New Roman" w:hAnsi="Times New Roman" w:cs="Times New Roman"/>
        </w:rPr>
      </w:pPr>
      <w:r>
        <w:rPr>
          <w:rFonts w:ascii="Times New Roman" w:hAnsi="Times New Roman" w:cs="Times New Roman"/>
        </w:rPr>
        <w:t>（2）选型要求：</w:t>
      </w:r>
    </w:p>
    <w:p w14:paraId="4BA4C715">
      <w:pPr>
        <w:spacing w:before="24" w:after="24"/>
        <w:ind w:firstLine="840" w:firstLineChars="300"/>
        <w:rPr>
          <w:rFonts w:ascii="Times New Roman" w:hAnsi="Times New Roman" w:cs="Times New Roman"/>
        </w:rPr>
      </w:pPr>
      <w:r>
        <w:rPr>
          <w:rFonts w:ascii="Times New Roman" w:hAnsi="Times New Roman" w:cs="Times New Roman"/>
        </w:rPr>
        <w:t>1）消防水泵的性能应满足消防给水系统所需流量和压力的要求。</w:t>
      </w:r>
    </w:p>
    <w:p w14:paraId="0B765736">
      <w:pPr>
        <w:spacing w:before="24" w:after="24"/>
        <w:ind w:firstLine="840" w:firstLineChars="300"/>
        <w:rPr>
          <w:rFonts w:ascii="Times New Roman" w:hAnsi="Times New Roman" w:cs="Times New Roman"/>
        </w:rPr>
      </w:pPr>
      <w:r>
        <w:rPr>
          <w:rFonts w:ascii="Times New Roman" w:hAnsi="Times New Roman" w:cs="Times New Roman"/>
        </w:rPr>
        <w:t>2）消防水泵所配驱动器的功率应满足所选水泵流量扬程性能曲线上任何一点运行所需功率的要求。</w:t>
      </w:r>
    </w:p>
    <w:p w14:paraId="55FC5947">
      <w:pPr>
        <w:spacing w:before="24" w:after="24"/>
        <w:ind w:firstLine="840" w:firstLineChars="300"/>
        <w:rPr>
          <w:rFonts w:ascii="Times New Roman" w:hAnsi="Times New Roman" w:cs="Times New Roman"/>
        </w:rPr>
      </w:pPr>
      <w:r>
        <w:rPr>
          <w:rFonts w:ascii="Times New Roman" w:hAnsi="Times New Roman" w:cs="Times New Roman"/>
        </w:rPr>
        <w:t>3）当采用电动机驱动的消防水泵时，应选择电动机干式安装的消防水泵。</w:t>
      </w:r>
    </w:p>
    <w:p w14:paraId="4CF9EE81">
      <w:pPr>
        <w:spacing w:before="24" w:after="24"/>
        <w:ind w:firstLine="840" w:firstLineChars="300"/>
        <w:rPr>
          <w:rFonts w:ascii="Times New Roman" w:hAnsi="Times New Roman" w:cs="Times New Roman"/>
        </w:rPr>
      </w:pPr>
      <w:r>
        <w:rPr>
          <w:rFonts w:ascii="Times New Roman" w:hAnsi="Times New Roman" w:cs="Times New Roman"/>
        </w:rPr>
        <w:t>4）流量扬程性能曲线应为无驼峰、无拐点的光滑曲线，零流量时的压力不应大于设计工作压力的140％，且宜大于设计工作压力的120％。</w:t>
      </w:r>
    </w:p>
    <w:p w14:paraId="2B3FB26A">
      <w:pPr>
        <w:spacing w:before="24" w:after="24"/>
        <w:ind w:firstLine="840" w:firstLineChars="300"/>
        <w:rPr>
          <w:rFonts w:ascii="Times New Roman" w:hAnsi="Times New Roman" w:cs="Times New Roman"/>
        </w:rPr>
      </w:pPr>
      <w:r>
        <w:rPr>
          <w:rFonts w:ascii="Times New Roman" w:hAnsi="Times New Roman" w:cs="Times New Roman"/>
        </w:rPr>
        <w:t>5）当出流量为设计流量的150％时，其出口压力不应低于设计工作压力的65％。</w:t>
      </w:r>
    </w:p>
    <w:p w14:paraId="45AC6765">
      <w:pPr>
        <w:spacing w:before="24" w:after="24"/>
        <w:ind w:firstLine="840" w:firstLineChars="300"/>
        <w:rPr>
          <w:rFonts w:ascii="Times New Roman" w:hAnsi="Times New Roman" w:cs="Times New Roman"/>
        </w:rPr>
      </w:pPr>
      <w:r>
        <w:rPr>
          <w:rFonts w:ascii="Times New Roman" w:hAnsi="Times New Roman" w:cs="Times New Roman"/>
        </w:rPr>
        <w:t>6）泵轴的密封方式和材料应满足消防水泵在低流量时运转的要求。</w:t>
      </w:r>
    </w:p>
    <w:p w14:paraId="02077433">
      <w:pPr>
        <w:spacing w:before="24" w:after="24"/>
        <w:ind w:firstLine="840" w:firstLineChars="300"/>
        <w:rPr>
          <w:rFonts w:ascii="Times New Roman" w:hAnsi="Times New Roman" w:cs="Times New Roman"/>
        </w:rPr>
      </w:pPr>
      <w:r>
        <w:rPr>
          <w:rFonts w:ascii="Times New Roman" w:hAnsi="Times New Roman" w:cs="Times New Roman"/>
        </w:rPr>
        <w:t>7）消防给水同一泵组的消防水泵型号宜一致，且工作泵不宜超过3台，并设置备用泵。</w:t>
      </w:r>
    </w:p>
    <w:p w14:paraId="73016838">
      <w:pPr>
        <w:spacing w:before="24" w:after="24"/>
        <w:ind w:firstLine="840" w:firstLineChars="300"/>
        <w:rPr>
          <w:rFonts w:ascii="Times New Roman" w:hAnsi="Times New Roman" w:cs="Times New Roman"/>
        </w:rPr>
      </w:pPr>
      <w:r>
        <w:rPr>
          <w:rFonts w:ascii="Times New Roman" w:hAnsi="Times New Roman" w:cs="Times New Roman"/>
        </w:rPr>
        <w:t>8）多台消防水泵并联时，应校核流量叠加对消防水泵出口压力的影响。</w:t>
      </w:r>
    </w:p>
    <w:p w14:paraId="1808262F">
      <w:pPr>
        <w:spacing w:before="24" w:after="24"/>
        <w:ind w:firstLine="560" w:firstLineChars="200"/>
        <w:rPr>
          <w:rFonts w:ascii="Times New Roman" w:hAnsi="Times New Roman" w:cs="Times New Roman"/>
        </w:rPr>
      </w:pPr>
      <w:r>
        <w:rPr>
          <w:rFonts w:ascii="Times New Roman" w:hAnsi="Times New Roman" w:cs="Times New Roman"/>
        </w:rPr>
        <w:t>6.消防水泵房</w:t>
      </w:r>
    </w:p>
    <w:p w14:paraId="0BAD8A9B">
      <w:pPr>
        <w:spacing w:before="24" w:after="24"/>
        <w:ind w:firstLine="560" w:firstLineChars="200"/>
        <w:rPr>
          <w:rFonts w:ascii="Times New Roman" w:hAnsi="Times New Roman" w:cs="Times New Roman"/>
        </w:rPr>
      </w:pPr>
      <w:r>
        <w:rPr>
          <w:rFonts w:ascii="Times New Roman" w:hAnsi="Times New Roman" w:cs="Times New Roman"/>
        </w:rPr>
        <w:t>（1）泵房均采用附建式消防水泵房，设置在地下一层，采用耐火极限不低于2.0h的隔墙和1.50h的楼板与其他部位隔开，其疏散门应直通安全出口，且开向疏散走道的门应采用甲级防火门。</w:t>
      </w:r>
    </w:p>
    <w:p w14:paraId="1BAB1242">
      <w:pPr>
        <w:spacing w:before="24" w:after="24"/>
        <w:ind w:firstLine="560" w:firstLineChars="200"/>
        <w:rPr>
          <w:rFonts w:ascii="Times New Roman" w:hAnsi="Times New Roman" w:cs="Times New Roman"/>
        </w:rPr>
      </w:pPr>
      <w:r>
        <w:rPr>
          <w:rFonts w:ascii="Times New Roman" w:hAnsi="Times New Roman" w:cs="Times New Roman"/>
        </w:rPr>
        <w:t>（2）消防水泵房内应设置起重设备。</w:t>
      </w:r>
    </w:p>
    <w:p w14:paraId="0CE83F6D">
      <w:pPr>
        <w:spacing w:before="24" w:after="24"/>
        <w:ind w:firstLine="560" w:firstLineChars="200"/>
        <w:rPr>
          <w:rFonts w:ascii="Times New Roman" w:hAnsi="Times New Roman" w:cs="Times New Roman"/>
        </w:rPr>
      </w:pPr>
      <w:r>
        <w:rPr>
          <w:rFonts w:ascii="Times New Roman" w:hAnsi="Times New Roman" w:cs="Times New Roman"/>
        </w:rPr>
        <w:t>（3）消防水泵房设置200mm高挡水门槛，泵房内设置集水坑和潜污泵，潜污泵采用液位自动控制。</w:t>
      </w:r>
    </w:p>
    <w:p w14:paraId="44D5FD15">
      <w:pPr>
        <w:spacing w:before="24" w:after="24"/>
        <w:ind w:firstLine="560" w:firstLineChars="200"/>
        <w:rPr>
          <w:rFonts w:ascii="Times New Roman" w:hAnsi="Times New Roman" w:cs="Times New Roman"/>
        </w:rPr>
      </w:pPr>
      <w:r>
        <w:rPr>
          <w:rFonts w:ascii="Times New Roman" w:hAnsi="Times New Roman" w:cs="Times New Roman"/>
        </w:rPr>
        <w:t>（4）消防水泵不宜设在有防振或有安静要求房间的上一层、下一层和毗邻位置，当必须时，应采取下列降噪减振措施：</w:t>
      </w:r>
    </w:p>
    <w:p w14:paraId="605AE937">
      <w:pPr>
        <w:spacing w:before="24" w:after="24"/>
        <w:ind w:firstLine="840" w:firstLineChars="300"/>
        <w:rPr>
          <w:rFonts w:ascii="Times New Roman" w:hAnsi="Times New Roman" w:cs="Times New Roman"/>
        </w:rPr>
      </w:pPr>
      <w:r>
        <w:rPr>
          <w:rFonts w:ascii="Times New Roman" w:hAnsi="Times New Roman" w:cs="Times New Roman"/>
        </w:rPr>
        <w:t>a、消防水泵应采用低噪声水泵；</w:t>
      </w:r>
    </w:p>
    <w:p w14:paraId="1AB1D3FA">
      <w:pPr>
        <w:spacing w:before="24" w:after="24"/>
        <w:ind w:firstLine="840" w:firstLineChars="300"/>
        <w:rPr>
          <w:rFonts w:ascii="Times New Roman" w:hAnsi="Times New Roman" w:cs="Times New Roman"/>
        </w:rPr>
      </w:pPr>
      <w:r>
        <w:rPr>
          <w:rFonts w:ascii="Times New Roman" w:hAnsi="Times New Roman" w:cs="Times New Roman"/>
        </w:rPr>
        <w:t>b、消防水泵机组应设隔振装置；</w:t>
      </w:r>
    </w:p>
    <w:p w14:paraId="331DCE00">
      <w:pPr>
        <w:spacing w:before="24" w:after="24"/>
        <w:ind w:firstLine="840" w:firstLineChars="300"/>
        <w:rPr>
          <w:rFonts w:ascii="Times New Roman" w:hAnsi="Times New Roman" w:cs="Times New Roman"/>
        </w:rPr>
      </w:pPr>
      <w:r>
        <w:rPr>
          <w:rFonts w:ascii="Times New Roman" w:hAnsi="Times New Roman" w:cs="Times New Roman"/>
        </w:rPr>
        <w:t>c、消防水泵吸水管和出水管上应设隔振装置；</w:t>
      </w:r>
    </w:p>
    <w:p w14:paraId="1974A7F9">
      <w:pPr>
        <w:spacing w:before="24" w:after="24"/>
        <w:ind w:firstLine="840" w:firstLineChars="300"/>
        <w:rPr>
          <w:rFonts w:ascii="Times New Roman" w:hAnsi="Times New Roman" w:cs="Times New Roman"/>
        </w:rPr>
      </w:pPr>
      <w:r>
        <w:rPr>
          <w:rFonts w:ascii="Times New Roman" w:hAnsi="Times New Roman" w:cs="Times New Roman"/>
        </w:rPr>
        <w:t>d、消防水泵房内管道支架和管道穿墙和穿楼板处，应采取防止固体传声的措施；</w:t>
      </w:r>
    </w:p>
    <w:p w14:paraId="2B5CCA5C">
      <w:pPr>
        <w:spacing w:before="24" w:after="24"/>
        <w:ind w:firstLine="840" w:firstLineChars="300"/>
        <w:rPr>
          <w:rFonts w:ascii="Times New Roman" w:hAnsi="Times New Roman" w:cs="Times New Roman"/>
        </w:rPr>
      </w:pPr>
      <w:r>
        <w:rPr>
          <w:rFonts w:ascii="Times New Roman" w:hAnsi="Times New Roman" w:cs="Times New Roman"/>
        </w:rPr>
        <w:t>e、在消防水泵房内墙应采取隔声吸音的技术措施。</w:t>
      </w:r>
    </w:p>
    <w:p w14:paraId="21CBE92A">
      <w:pPr>
        <w:spacing w:before="24" w:after="24"/>
        <w:ind w:firstLine="560" w:firstLineChars="200"/>
        <w:rPr>
          <w:rFonts w:ascii="Times New Roman" w:hAnsi="Times New Roman" w:cs="Times New Roman"/>
        </w:rPr>
      </w:pPr>
      <w:r>
        <w:rPr>
          <w:rFonts w:ascii="Times New Roman" w:hAnsi="Times New Roman" w:cs="Times New Roman"/>
        </w:rPr>
        <w:t>7.管道敷设</w:t>
      </w:r>
    </w:p>
    <w:p w14:paraId="26BCBD83">
      <w:pPr>
        <w:spacing w:before="24" w:after="24"/>
        <w:ind w:firstLine="560" w:firstLineChars="200"/>
        <w:rPr>
          <w:rFonts w:ascii="Times New Roman" w:hAnsi="Times New Roman" w:cs="Times New Roman"/>
        </w:rPr>
      </w:pPr>
      <w:r>
        <w:rPr>
          <w:rFonts w:ascii="Times New Roman" w:hAnsi="Times New Roman" w:cs="Times New Roman"/>
        </w:rPr>
        <w:t>（1）引入管：穿越抗震缝时宜靠近建筑物的下部穿越，且应在抗震缝两边各装一个柔性管接头或在通过抗震缝处安装门形弯头或设置伸缩节。</w:t>
      </w:r>
    </w:p>
    <w:p w14:paraId="31BF087B">
      <w:pPr>
        <w:spacing w:before="24" w:after="24"/>
        <w:ind w:firstLine="560" w:firstLineChars="200"/>
        <w:rPr>
          <w:rFonts w:ascii="Times New Roman" w:hAnsi="Times New Roman" w:cs="Times New Roman"/>
        </w:rPr>
      </w:pPr>
      <w:r>
        <w:rPr>
          <w:rFonts w:ascii="Times New Roman" w:hAnsi="Times New Roman" w:cs="Times New Roman"/>
        </w:rPr>
        <w:t>（2）横干管：沿梁底敷设，尽量与墙、梁、柱平行，呈直线走向，力求管路简短。</w:t>
      </w:r>
    </w:p>
    <w:p w14:paraId="08B531E0">
      <w:pPr>
        <w:spacing w:before="24" w:after="24"/>
        <w:ind w:firstLine="560" w:firstLineChars="200"/>
        <w:rPr>
          <w:rFonts w:ascii="Times New Roman" w:hAnsi="Times New Roman" w:cs="Times New Roman"/>
        </w:rPr>
      </w:pPr>
      <w:r>
        <w:rPr>
          <w:rFonts w:ascii="Times New Roman" w:hAnsi="Times New Roman" w:cs="Times New Roman"/>
        </w:rPr>
        <w:t>（3）立管：设置在管井、阴角靠墙或柱子等部位。</w:t>
      </w:r>
    </w:p>
    <w:p w14:paraId="2A471406">
      <w:pPr>
        <w:spacing w:before="24" w:after="24"/>
        <w:ind w:firstLine="560" w:firstLineChars="200"/>
        <w:rPr>
          <w:rFonts w:ascii="Times New Roman" w:hAnsi="Times New Roman" w:cs="Times New Roman"/>
        </w:rPr>
      </w:pPr>
      <w:r>
        <w:rPr>
          <w:rFonts w:ascii="Times New Roman" w:hAnsi="Times New Roman" w:cs="Times New Roman"/>
        </w:rPr>
        <w:t>（4）套管：热水管穿越建筑物墙壁、楼板和基础处应设置钢套管，穿越屋面及地下室外墙时应设置刚性防水套管。</w:t>
      </w:r>
    </w:p>
    <w:p w14:paraId="03D8061F">
      <w:pPr>
        <w:spacing w:before="24" w:after="24"/>
        <w:ind w:firstLine="560" w:firstLineChars="200"/>
        <w:rPr>
          <w:rFonts w:ascii="Times New Roman" w:hAnsi="Times New Roman" w:cs="Times New Roman"/>
        </w:rPr>
      </w:pPr>
      <w:r>
        <w:rPr>
          <w:rFonts w:ascii="Times New Roman" w:hAnsi="Times New Roman" w:cs="Times New Roman"/>
        </w:rPr>
        <w:t>8.消防排水</w:t>
      </w:r>
    </w:p>
    <w:p w14:paraId="116F81DF">
      <w:pPr>
        <w:spacing w:before="24" w:after="24"/>
        <w:ind w:firstLine="560" w:firstLineChars="200"/>
        <w:rPr>
          <w:rFonts w:ascii="Times New Roman" w:hAnsi="Times New Roman" w:cs="Times New Roman"/>
        </w:rPr>
      </w:pPr>
      <w:r>
        <w:rPr>
          <w:rFonts w:ascii="Times New Roman" w:hAnsi="Times New Roman" w:cs="Times New Roman"/>
        </w:rPr>
        <w:t>（1）设置场所</w:t>
      </w:r>
    </w:p>
    <w:p w14:paraId="7DD5FABC">
      <w:pPr>
        <w:spacing w:before="24" w:after="24"/>
        <w:ind w:firstLine="840" w:firstLineChars="300"/>
        <w:rPr>
          <w:rFonts w:ascii="Times New Roman" w:hAnsi="Times New Roman" w:cs="Times New Roman"/>
        </w:rPr>
      </w:pPr>
      <w:r>
        <w:rPr>
          <w:rFonts w:ascii="Times New Roman" w:hAnsi="Times New Roman" w:cs="Times New Roman"/>
        </w:rPr>
        <w:t>1）消防水泵房；</w:t>
      </w:r>
    </w:p>
    <w:p w14:paraId="1500FD61">
      <w:pPr>
        <w:spacing w:before="24" w:after="24"/>
        <w:ind w:firstLine="840" w:firstLineChars="300"/>
        <w:rPr>
          <w:rFonts w:ascii="Times New Roman" w:hAnsi="Times New Roman" w:cs="Times New Roman"/>
        </w:rPr>
      </w:pPr>
      <w:r>
        <w:rPr>
          <w:rFonts w:ascii="Times New Roman" w:hAnsi="Times New Roman" w:cs="Times New Roman"/>
        </w:rPr>
        <w:t>2）设有消防给水系统的地下室；</w:t>
      </w:r>
    </w:p>
    <w:p w14:paraId="6205281C">
      <w:pPr>
        <w:spacing w:before="24" w:after="24"/>
        <w:ind w:firstLine="560" w:firstLineChars="200"/>
        <w:rPr>
          <w:rFonts w:ascii="Times New Roman" w:hAnsi="Times New Roman" w:cs="Times New Roman"/>
        </w:rPr>
      </w:pPr>
      <w:r>
        <w:rPr>
          <w:rFonts w:ascii="Times New Roman" w:hAnsi="Times New Roman" w:cs="Times New Roman"/>
        </w:rPr>
        <w:t>（2）技术要求：</w:t>
      </w:r>
    </w:p>
    <w:p w14:paraId="7AE0AB03">
      <w:pPr>
        <w:spacing w:before="24" w:after="24"/>
        <w:ind w:firstLine="840" w:firstLineChars="300"/>
        <w:rPr>
          <w:rFonts w:ascii="Times New Roman" w:hAnsi="Times New Roman" w:cs="Times New Roman"/>
        </w:rPr>
      </w:pPr>
      <w:r>
        <w:rPr>
          <w:rFonts w:ascii="Times New Roman" w:hAnsi="Times New Roman" w:cs="Times New Roman"/>
        </w:rPr>
        <w:t>1）排水泵出口管道上应设置止回阀。</w:t>
      </w:r>
    </w:p>
    <w:p w14:paraId="180D8110">
      <w:pPr>
        <w:spacing w:before="24" w:after="24"/>
        <w:ind w:firstLine="840" w:firstLineChars="300"/>
        <w:rPr>
          <w:rFonts w:ascii="Times New Roman" w:hAnsi="Times New Roman" w:cs="Times New Roman"/>
        </w:rPr>
      </w:pPr>
      <w:r>
        <w:rPr>
          <w:rFonts w:ascii="Times New Roman" w:hAnsi="Times New Roman" w:cs="Times New Roman"/>
        </w:rPr>
        <w:t>2）地下室的消防排水设施宜与地下室其他地面废水排水设施共用。</w:t>
      </w:r>
    </w:p>
    <w:p w14:paraId="591CF6BD">
      <w:pPr>
        <w:spacing w:before="24" w:after="24"/>
        <w:ind w:firstLine="840" w:firstLineChars="300"/>
        <w:rPr>
          <w:rFonts w:ascii="Times New Roman" w:hAnsi="Times New Roman" w:cs="Times New Roman"/>
        </w:rPr>
      </w:pPr>
      <w:r>
        <w:rPr>
          <w:rFonts w:ascii="Times New Roman" w:hAnsi="Times New Roman" w:cs="Times New Roman"/>
        </w:rPr>
        <w:t>3）减压阀处的压力试验排水管道直径应根据减压阀流量确定，但不应小于DN100。</w:t>
      </w:r>
    </w:p>
    <w:p w14:paraId="473285C7">
      <w:pPr>
        <w:spacing w:before="24" w:after="24"/>
        <w:ind w:firstLine="562" w:firstLineChars="200"/>
        <w:outlineLvl w:val="4"/>
        <w:rPr>
          <w:rFonts w:ascii="Times New Roman" w:hAnsi="Times New Roman" w:cs="Times New Roman"/>
          <w:b/>
        </w:rPr>
      </w:pPr>
      <w:r>
        <w:rPr>
          <w:rFonts w:ascii="Times New Roman" w:hAnsi="Times New Roman" w:cs="Times New Roman"/>
          <w:b/>
        </w:rPr>
        <w:t>5.3.7喷淋系统</w:t>
      </w:r>
    </w:p>
    <w:p w14:paraId="78430A51">
      <w:pPr>
        <w:spacing w:before="24" w:after="24"/>
        <w:ind w:firstLine="560" w:firstLineChars="200"/>
        <w:rPr>
          <w:rFonts w:ascii="Times New Roman" w:hAnsi="Times New Roman" w:cs="Times New Roman"/>
        </w:rPr>
      </w:pPr>
      <w:r>
        <w:rPr>
          <w:rFonts w:ascii="Times New Roman" w:hAnsi="Times New Roman" w:cs="Times New Roman"/>
        </w:rPr>
        <w:t>1.系统选择</w:t>
      </w:r>
    </w:p>
    <w:p w14:paraId="3EEFBC43">
      <w:pPr>
        <w:spacing w:before="24" w:after="24"/>
        <w:ind w:firstLine="560" w:firstLineChars="200"/>
        <w:rPr>
          <w:rFonts w:ascii="Times New Roman" w:hAnsi="Times New Roman" w:cs="Times New Roman"/>
        </w:rPr>
      </w:pPr>
      <w:r>
        <w:rPr>
          <w:rFonts w:ascii="Times New Roman" w:hAnsi="Times New Roman" w:cs="Times New Roman"/>
        </w:rPr>
        <w:t>地下停车库采用临时高压自动喷水灭火系统。</w:t>
      </w:r>
    </w:p>
    <w:p w14:paraId="0E16337B">
      <w:pPr>
        <w:spacing w:before="24" w:after="24"/>
        <w:ind w:firstLine="560" w:firstLineChars="200"/>
        <w:rPr>
          <w:rFonts w:ascii="Times New Roman" w:hAnsi="Times New Roman" w:cs="Times New Roman"/>
        </w:rPr>
      </w:pPr>
      <w:r>
        <w:rPr>
          <w:rFonts w:ascii="Times New Roman" w:hAnsi="Times New Roman" w:cs="Times New Roman"/>
        </w:rPr>
        <w:t>2.管材、防结露绝热层、附件</w:t>
      </w:r>
    </w:p>
    <w:p w14:paraId="04C1A0B2">
      <w:pPr>
        <w:spacing w:before="24" w:after="24"/>
        <w:ind w:firstLine="560" w:firstLineChars="200"/>
        <w:rPr>
          <w:rFonts w:ascii="Times New Roman" w:hAnsi="Times New Roman" w:cs="Times New Roman"/>
        </w:rPr>
      </w:pPr>
      <w:r>
        <w:rPr>
          <w:rFonts w:ascii="Times New Roman" w:hAnsi="Times New Roman" w:cs="Times New Roman"/>
        </w:rPr>
        <w:t>（1）管材：配水管道优先采用内外壁热镀锌钢管，当管径≥DN50时，应采用螺纹连接，当管径</w:t>
      </w:r>
      <w:r>
        <w:rPr>
          <w:rFonts w:ascii="Times New Roman" w:hAnsi="Times New Roman" w:eastAsia="楷体" w:cs="Times New Roman"/>
        </w:rPr>
        <w:t>＜</w:t>
      </w:r>
      <w:r>
        <w:rPr>
          <w:rFonts w:ascii="Times New Roman" w:hAnsi="Times New Roman" w:cs="Times New Roman"/>
        </w:rPr>
        <w:t>DN50时，应采用沟槽连接件连接、法兰连接，当安装空间较小时应采用沟槽连接件连接。</w:t>
      </w:r>
    </w:p>
    <w:p w14:paraId="133E8A2F">
      <w:pPr>
        <w:spacing w:before="24" w:after="24"/>
        <w:ind w:firstLine="560" w:firstLineChars="200"/>
        <w:rPr>
          <w:rFonts w:ascii="Times New Roman" w:hAnsi="Times New Roman" w:cs="Times New Roman"/>
        </w:rPr>
      </w:pPr>
      <w:r>
        <w:rPr>
          <w:rFonts w:ascii="Times New Roman" w:hAnsi="Times New Roman" w:cs="Times New Roman"/>
        </w:rPr>
        <w:t>（2）防结露绝热层：浴室、厨房等高湿度场所和手术室、实验室、数据中心等洁净或对湿度敏感的场所，吊顶区域管道或设备外表面温度小于当地露点温度时，管道和设备结露会引起装饰层损害、霉菌、腐蚀或设备故障，故需设置防结露绝热层；防结露绝热层采用15mm厚柔性橡塑保温层+0.5mm厚不锈钢薄板。</w:t>
      </w:r>
    </w:p>
    <w:p w14:paraId="6147E56B">
      <w:pPr>
        <w:spacing w:before="24" w:after="24"/>
        <w:ind w:firstLine="560" w:firstLineChars="200"/>
        <w:rPr>
          <w:rFonts w:ascii="Times New Roman" w:hAnsi="Times New Roman" w:cs="Times New Roman"/>
        </w:rPr>
      </w:pPr>
      <w:r>
        <w:rPr>
          <w:rFonts w:ascii="Times New Roman" w:hAnsi="Times New Roman" w:cs="Times New Roman"/>
        </w:rPr>
        <w:t>（3）阀门及配件：</w:t>
      </w:r>
    </w:p>
    <w:tbl>
      <w:tblPr>
        <w:tblStyle w:val="31"/>
        <w:tblW w:w="49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3"/>
        <w:gridCol w:w="1610"/>
        <w:gridCol w:w="2121"/>
        <w:gridCol w:w="2235"/>
        <w:gridCol w:w="1641"/>
        <w:gridCol w:w="853"/>
      </w:tblGrid>
      <w:tr w14:paraId="6D9C0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63" w:type="pct"/>
            <w:vAlign w:val="center"/>
          </w:tcPr>
          <w:p w14:paraId="1E392A7E">
            <w:pPr>
              <w:pStyle w:val="71"/>
              <w:spacing w:before="24" w:after="24"/>
            </w:pPr>
            <w:r>
              <w:t>序号</w:t>
            </w:r>
          </w:p>
        </w:tc>
        <w:tc>
          <w:tcPr>
            <w:tcW w:w="882" w:type="pct"/>
            <w:vAlign w:val="center"/>
          </w:tcPr>
          <w:p w14:paraId="121FD77A">
            <w:pPr>
              <w:pStyle w:val="71"/>
              <w:spacing w:before="24" w:after="24"/>
            </w:pPr>
            <w:r>
              <w:t>附件名称</w:t>
            </w:r>
          </w:p>
        </w:tc>
        <w:tc>
          <w:tcPr>
            <w:tcW w:w="1162" w:type="pct"/>
            <w:vAlign w:val="center"/>
          </w:tcPr>
          <w:p w14:paraId="6A9A2388">
            <w:pPr>
              <w:pStyle w:val="71"/>
              <w:spacing w:before="24" w:after="24"/>
            </w:pPr>
            <w:r>
              <w:t>设置部位</w:t>
            </w:r>
          </w:p>
        </w:tc>
        <w:tc>
          <w:tcPr>
            <w:tcW w:w="1224" w:type="pct"/>
            <w:vAlign w:val="center"/>
          </w:tcPr>
          <w:p w14:paraId="36520BCC">
            <w:pPr>
              <w:pStyle w:val="71"/>
              <w:spacing w:before="24" w:after="24"/>
            </w:pPr>
            <w:r>
              <w:t>设置要求</w:t>
            </w:r>
          </w:p>
        </w:tc>
        <w:tc>
          <w:tcPr>
            <w:tcW w:w="899" w:type="pct"/>
            <w:vAlign w:val="center"/>
          </w:tcPr>
          <w:p w14:paraId="049B6076">
            <w:pPr>
              <w:pStyle w:val="71"/>
              <w:spacing w:before="24" w:after="24"/>
            </w:pPr>
            <w:r>
              <w:t>材质</w:t>
            </w:r>
          </w:p>
        </w:tc>
        <w:tc>
          <w:tcPr>
            <w:tcW w:w="467" w:type="pct"/>
            <w:vAlign w:val="center"/>
          </w:tcPr>
          <w:p w14:paraId="57D0500E">
            <w:pPr>
              <w:pStyle w:val="71"/>
              <w:spacing w:before="24" w:after="24"/>
            </w:pPr>
            <w:r>
              <w:t>备注</w:t>
            </w:r>
          </w:p>
        </w:tc>
      </w:tr>
      <w:tr w14:paraId="0997A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3" w:type="pct"/>
            <w:vAlign w:val="center"/>
          </w:tcPr>
          <w:p w14:paraId="15514DF6">
            <w:pPr>
              <w:pStyle w:val="71"/>
              <w:spacing w:before="24" w:after="24"/>
            </w:pPr>
            <w:r>
              <w:t>1</w:t>
            </w:r>
          </w:p>
        </w:tc>
        <w:tc>
          <w:tcPr>
            <w:tcW w:w="882" w:type="pct"/>
            <w:vAlign w:val="center"/>
          </w:tcPr>
          <w:p w14:paraId="6B289C6C">
            <w:pPr>
              <w:pStyle w:val="71"/>
              <w:spacing w:before="24" w:after="24"/>
            </w:pPr>
            <w:r>
              <w:t>K=80直立型洒水喷头</w:t>
            </w:r>
          </w:p>
        </w:tc>
        <w:tc>
          <w:tcPr>
            <w:tcW w:w="1162" w:type="pct"/>
            <w:vAlign w:val="center"/>
          </w:tcPr>
          <w:p w14:paraId="1005D512">
            <w:pPr>
              <w:pStyle w:val="71"/>
              <w:spacing w:before="24" w:after="24"/>
            </w:pPr>
            <w:r>
              <w:t>不吊顶区域</w:t>
            </w:r>
          </w:p>
        </w:tc>
        <w:tc>
          <w:tcPr>
            <w:tcW w:w="1224" w:type="pct"/>
            <w:vMerge w:val="restart"/>
            <w:vAlign w:val="center"/>
          </w:tcPr>
          <w:p w14:paraId="4ACBD480">
            <w:pPr>
              <w:pStyle w:val="71"/>
              <w:spacing w:before="24" w:after="24"/>
            </w:pPr>
            <w:r>
              <w:t>场所净空高度≤8m</w:t>
            </w:r>
          </w:p>
        </w:tc>
        <w:tc>
          <w:tcPr>
            <w:tcW w:w="899" w:type="pct"/>
            <w:vAlign w:val="center"/>
          </w:tcPr>
          <w:p w14:paraId="08A41EDA">
            <w:pPr>
              <w:pStyle w:val="71"/>
              <w:spacing w:before="24" w:after="24"/>
            </w:pPr>
            <w:r>
              <w:t>碳钢</w:t>
            </w:r>
          </w:p>
        </w:tc>
        <w:tc>
          <w:tcPr>
            <w:tcW w:w="467" w:type="pct"/>
            <w:vAlign w:val="center"/>
          </w:tcPr>
          <w:p w14:paraId="1B403756">
            <w:pPr>
              <w:pStyle w:val="71"/>
              <w:spacing w:before="24" w:after="24"/>
            </w:pPr>
          </w:p>
        </w:tc>
      </w:tr>
      <w:tr w14:paraId="11E79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3" w:type="pct"/>
            <w:vAlign w:val="center"/>
          </w:tcPr>
          <w:p w14:paraId="195BD363">
            <w:pPr>
              <w:pStyle w:val="71"/>
              <w:spacing w:before="24" w:after="24"/>
            </w:pPr>
            <w:r>
              <w:t>2</w:t>
            </w:r>
          </w:p>
        </w:tc>
        <w:tc>
          <w:tcPr>
            <w:tcW w:w="882" w:type="pct"/>
            <w:vAlign w:val="center"/>
          </w:tcPr>
          <w:p w14:paraId="72C92EDD">
            <w:pPr>
              <w:pStyle w:val="71"/>
              <w:spacing w:before="24" w:after="24"/>
            </w:pPr>
            <w:r>
              <w:t>K=80下垂型洒水喷头</w:t>
            </w:r>
          </w:p>
        </w:tc>
        <w:tc>
          <w:tcPr>
            <w:tcW w:w="1162" w:type="pct"/>
            <w:vAlign w:val="center"/>
          </w:tcPr>
          <w:p w14:paraId="2B17D371">
            <w:pPr>
              <w:pStyle w:val="71"/>
              <w:spacing w:before="24" w:after="24"/>
            </w:pPr>
            <w:r>
              <w:t>吊顶区域</w:t>
            </w:r>
          </w:p>
        </w:tc>
        <w:tc>
          <w:tcPr>
            <w:tcW w:w="1224" w:type="pct"/>
            <w:vMerge w:val="continue"/>
            <w:vAlign w:val="center"/>
          </w:tcPr>
          <w:p w14:paraId="4C1752F8">
            <w:pPr>
              <w:pStyle w:val="71"/>
              <w:spacing w:before="24" w:after="24"/>
            </w:pPr>
          </w:p>
        </w:tc>
        <w:tc>
          <w:tcPr>
            <w:tcW w:w="899" w:type="pct"/>
            <w:vAlign w:val="center"/>
          </w:tcPr>
          <w:p w14:paraId="35D6C16C">
            <w:pPr>
              <w:pStyle w:val="71"/>
              <w:spacing w:before="24" w:after="24"/>
            </w:pPr>
            <w:r>
              <w:t>碳钢</w:t>
            </w:r>
          </w:p>
        </w:tc>
        <w:tc>
          <w:tcPr>
            <w:tcW w:w="467" w:type="pct"/>
            <w:vAlign w:val="center"/>
          </w:tcPr>
          <w:p w14:paraId="0AC71119">
            <w:pPr>
              <w:pStyle w:val="71"/>
              <w:spacing w:before="24" w:after="24"/>
            </w:pPr>
          </w:p>
        </w:tc>
      </w:tr>
      <w:tr w14:paraId="21696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3" w:type="pct"/>
            <w:vAlign w:val="center"/>
          </w:tcPr>
          <w:p w14:paraId="7D76A767">
            <w:pPr>
              <w:pStyle w:val="71"/>
              <w:spacing w:before="24" w:after="24"/>
            </w:pPr>
            <w:r>
              <w:t>3</w:t>
            </w:r>
          </w:p>
        </w:tc>
        <w:tc>
          <w:tcPr>
            <w:tcW w:w="882" w:type="pct"/>
            <w:vAlign w:val="center"/>
          </w:tcPr>
          <w:p w14:paraId="4C011932">
            <w:pPr>
              <w:pStyle w:val="71"/>
              <w:spacing w:before="24" w:after="24"/>
            </w:pPr>
            <w:r>
              <w:t>报警阀</w:t>
            </w:r>
          </w:p>
        </w:tc>
        <w:tc>
          <w:tcPr>
            <w:tcW w:w="1162" w:type="pct"/>
            <w:vAlign w:val="center"/>
          </w:tcPr>
          <w:p w14:paraId="613079E4">
            <w:pPr>
              <w:pStyle w:val="71"/>
              <w:spacing w:before="24" w:after="24"/>
            </w:pPr>
            <w:r>
              <w:t>喷淋系统起端</w:t>
            </w:r>
          </w:p>
        </w:tc>
        <w:tc>
          <w:tcPr>
            <w:tcW w:w="1224" w:type="pct"/>
            <w:vAlign w:val="center"/>
          </w:tcPr>
          <w:p w14:paraId="1BC0FACB">
            <w:pPr>
              <w:pStyle w:val="71"/>
              <w:spacing w:before="24" w:after="24"/>
            </w:pPr>
            <w:r>
              <w:t>报警阀设在安全及易于操作的地点，报警阀距地面的高度宜为1.2m</w:t>
            </w:r>
          </w:p>
        </w:tc>
        <w:tc>
          <w:tcPr>
            <w:tcW w:w="899" w:type="pct"/>
            <w:vAlign w:val="center"/>
          </w:tcPr>
          <w:p w14:paraId="556204DA">
            <w:pPr>
              <w:pStyle w:val="71"/>
              <w:spacing w:before="24" w:after="24"/>
            </w:pPr>
            <w:r>
              <w:t>球墨铸铁</w:t>
            </w:r>
          </w:p>
        </w:tc>
        <w:tc>
          <w:tcPr>
            <w:tcW w:w="467" w:type="pct"/>
            <w:vAlign w:val="center"/>
          </w:tcPr>
          <w:p w14:paraId="2C61077F">
            <w:pPr>
              <w:pStyle w:val="71"/>
              <w:spacing w:before="24" w:after="24"/>
            </w:pPr>
          </w:p>
        </w:tc>
      </w:tr>
      <w:tr w14:paraId="32513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3" w:type="pct"/>
            <w:vAlign w:val="center"/>
          </w:tcPr>
          <w:p w14:paraId="63A08ED6">
            <w:pPr>
              <w:pStyle w:val="71"/>
              <w:spacing w:before="24" w:after="24"/>
            </w:pPr>
            <w:r>
              <w:t>4</w:t>
            </w:r>
          </w:p>
        </w:tc>
        <w:tc>
          <w:tcPr>
            <w:tcW w:w="882" w:type="pct"/>
            <w:vAlign w:val="center"/>
          </w:tcPr>
          <w:p w14:paraId="219497E9">
            <w:pPr>
              <w:pStyle w:val="71"/>
              <w:spacing w:before="24" w:after="24"/>
            </w:pPr>
            <w:r>
              <w:t>信号阀</w:t>
            </w:r>
          </w:p>
        </w:tc>
        <w:tc>
          <w:tcPr>
            <w:tcW w:w="1162" w:type="pct"/>
            <w:vAlign w:val="center"/>
          </w:tcPr>
          <w:p w14:paraId="5C949C43">
            <w:pPr>
              <w:pStyle w:val="71"/>
              <w:spacing w:before="24" w:after="24"/>
            </w:pPr>
            <w:r>
              <w:t>报警阀前、水流指示器前</w:t>
            </w:r>
          </w:p>
        </w:tc>
        <w:tc>
          <w:tcPr>
            <w:tcW w:w="1224" w:type="pct"/>
            <w:vAlign w:val="center"/>
          </w:tcPr>
          <w:p w14:paraId="4C3B8F48">
            <w:pPr>
              <w:pStyle w:val="71"/>
              <w:spacing w:before="24" w:after="24"/>
            </w:pPr>
            <w:r>
              <w:t>——</w:t>
            </w:r>
          </w:p>
        </w:tc>
        <w:tc>
          <w:tcPr>
            <w:tcW w:w="899" w:type="pct"/>
            <w:vAlign w:val="center"/>
          </w:tcPr>
          <w:p w14:paraId="23F487F0">
            <w:pPr>
              <w:pStyle w:val="71"/>
              <w:spacing w:before="24" w:after="24"/>
            </w:pPr>
          </w:p>
        </w:tc>
        <w:tc>
          <w:tcPr>
            <w:tcW w:w="467" w:type="pct"/>
            <w:vAlign w:val="center"/>
          </w:tcPr>
          <w:p w14:paraId="770FC04D">
            <w:pPr>
              <w:pStyle w:val="71"/>
              <w:spacing w:before="24" w:after="24"/>
            </w:pPr>
          </w:p>
        </w:tc>
      </w:tr>
      <w:tr w14:paraId="6268A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3" w:type="pct"/>
            <w:vAlign w:val="center"/>
          </w:tcPr>
          <w:p w14:paraId="712D6DD2">
            <w:pPr>
              <w:pStyle w:val="71"/>
              <w:spacing w:before="24" w:after="24"/>
            </w:pPr>
            <w:r>
              <w:t>5</w:t>
            </w:r>
          </w:p>
        </w:tc>
        <w:tc>
          <w:tcPr>
            <w:tcW w:w="882" w:type="pct"/>
            <w:vAlign w:val="center"/>
          </w:tcPr>
          <w:p w14:paraId="76DB14B6">
            <w:pPr>
              <w:pStyle w:val="71"/>
              <w:spacing w:before="24" w:after="24"/>
            </w:pPr>
            <w:r>
              <w:t>水流指示器</w:t>
            </w:r>
          </w:p>
        </w:tc>
        <w:tc>
          <w:tcPr>
            <w:tcW w:w="1162" w:type="pct"/>
            <w:vAlign w:val="center"/>
          </w:tcPr>
          <w:p w14:paraId="4DB67B09">
            <w:pPr>
              <w:pStyle w:val="71"/>
              <w:spacing w:before="24" w:after="24"/>
            </w:pPr>
            <w:r>
              <w:t>每个防火分区、每个楼层喷淋横干管起端</w:t>
            </w:r>
          </w:p>
        </w:tc>
        <w:tc>
          <w:tcPr>
            <w:tcW w:w="1224" w:type="pct"/>
            <w:vAlign w:val="center"/>
          </w:tcPr>
          <w:p w14:paraId="6C9AD7EA">
            <w:pPr>
              <w:pStyle w:val="71"/>
              <w:spacing w:before="24" w:after="24"/>
            </w:pPr>
            <w:r>
              <w:t>——</w:t>
            </w:r>
          </w:p>
        </w:tc>
        <w:tc>
          <w:tcPr>
            <w:tcW w:w="899" w:type="pct"/>
            <w:vAlign w:val="center"/>
          </w:tcPr>
          <w:p w14:paraId="0B5A2F70">
            <w:pPr>
              <w:pStyle w:val="71"/>
              <w:spacing w:before="24" w:after="24"/>
            </w:pPr>
          </w:p>
        </w:tc>
        <w:tc>
          <w:tcPr>
            <w:tcW w:w="467" w:type="pct"/>
            <w:vAlign w:val="center"/>
          </w:tcPr>
          <w:p w14:paraId="1DDA7FE1">
            <w:pPr>
              <w:pStyle w:val="71"/>
              <w:spacing w:before="24" w:after="24"/>
            </w:pPr>
          </w:p>
        </w:tc>
      </w:tr>
      <w:tr w14:paraId="4D4E1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jc w:val="center"/>
        </w:trPr>
        <w:tc>
          <w:tcPr>
            <w:tcW w:w="363" w:type="pct"/>
            <w:vAlign w:val="center"/>
          </w:tcPr>
          <w:p w14:paraId="645A9527">
            <w:pPr>
              <w:pStyle w:val="71"/>
              <w:spacing w:before="24" w:after="24"/>
            </w:pPr>
            <w:r>
              <w:t>6</w:t>
            </w:r>
          </w:p>
        </w:tc>
        <w:tc>
          <w:tcPr>
            <w:tcW w:w="882" w:type="pct"/>
            <w:vAlign w:val="center"/>
          </w:tcPr>
          <w:p w14:paraId="0218EE0F">
            <w:pPr>
              <w:pStyle w:val="71"/>
              <w:spacing w:before="24" w:after="24"/>
            </w:pPr>
            <w:r>
              <w:t>缓闭止回阀</w:t>
            </w:r>
          </w:p>
        </w:tc>
        <w:tc>
          <w:tcPr>
            <w:tcW w:w="1162" w:type="pct"/>
            <w:vAlign w:val="center"/>
          </w:tcPr>
          <w:p w14:paraId="117176B7">
            <w:pPr>
              <w:pStyle w:val="71"/>
              <w:spacing w:before="24" w:after="24"/>
            </w:pPr>
            <w:r>
              <w:t>水泵接合器供水管</w:t>
            </w:r>
          </w:p>
        </w:tc>
        <w:tc>
          <w:tcPr>
            <w:tcW w:w="1224" w:type="pct"/>
            <w:vAlign w:val="center"/>
          </w:tcPr>
          <w:p w14:paraId="48E405FA">
            <w:pPr>
              <w:pStyle w:val="71"/>
              <w:spacing w:before="24" w:after="24"/>
            </w:pPr>
            <w:r>
              <w:t>——</w:t>
            </w:r>
          </w:p>
        </w:tc>
        <w:tc>
          <w:tcPr>
            <w:tcW w:w="899" w:type="pct"/>
            <w:vAlign w:val="center"/>
          </w:tcPr>
          <w:p w14:paraId="6EC61AD7">
            <w:pPr>
              <w:pStyle w:val="71"/>
              <w:spacing w:before="24" w:after="24"/>
            </w:pPr>
            <w:r>
              <w:t>球墨铸铁</w:t>
            </w:r>
          </w:p>
        </w:tc>
        <w:tc>
          <w:tcPr>
            <w:tcW w:w="467" w:type="pct"/>
            <w:vAlign w:val="center"/>
          </w:tcPr>
          <w:p w14:paraId="41008DD6">
            <w:pPr>
              <w:pStyle w:val="71"/>
              <w:spacing w:before="24" w:after="24"/>
            </w:pPr>
          </w:p>
        </w:tc>
      </w:tr>
      <w:tr w14:paraId="35108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363" w:type="pct"/>
            <w:vAlign w:val="center"/>
          </w:tcPr>
          <w:p w14:paraId="48854952">
            <w:pPr>
              <w:pStyle w:val="71"/>
              <w:spacing w:before="24" w:after="24"/>
            </w:pPr>
            <w:r>
              <w:t>7</w:t>
            </w:r>
          </w:p>
        </w:tc>
        <w:tc>
          <w:tcPr>
            <w:tcW w:w="882" w:type="pct"/>
            <w:vAlign w:val="center"/>
          </w:tcPr>
          <w:p w14:paraId="3C5AA3FC">
            <w:pPr>
              <w:pStyle w:val="71"/>
              <w:spacing w:before="24" w:after="24"/>
            </w:pPr>
            <w:r>
              <w:t>水锤消除止回阀</w:t>
            </w:r>
          </w:p>
        </w:tc>
        <w:tc>
          <w:tcPr>
            <w:tcW w:w="1162" w:type="pct"/>
            <w:vAlign w:val="center"/>
          </w:tcPr>
          <w:p w14:paraId="7C51C22D">
            <w:pPr>
              <w:pStyle w:val="71"/>
              <w:spacing w:before="24" w:after="24"/>
            </w:pPr>
            <w:r>
              <w:t>喷淋水泵出水管</w:t>
            </w:r>
          </w:p>
        </w:tc>
        <w:tc>
          <w:tcPr>
            <w:tcW w:w="1224" w:type="pct"/>
            <w:vAlign w:val="center"/>
          </w:tcPr>
          <w:p w14:paraId="67932B10">
            <w:pPr>
              <w:pStyle w:val="71"/>
              <w:spacing w:before="24" w:after="24"/>
            </w:pPr>
            <w:r>
              <w:t>——</w:t>
            </w:r>
          </w:p>
        </w:tc>
        <w:tc>
          <w:tcPr>
            <w:tcW w:w="899" w:type="pct"/>
            <w:vAlign w:val="center"/>
          </w:tcPr>
          <w:p w14:paraId="13E7E240">
            <w:pPr>
              <w:pStyle w:val="71"/>
              <w:spacing w:before="24" w:after="24"/>
            </w:pPr>
            <w:r>
              <w:t>球墨铸铁</w:t>
            </w:r>
          </w:p>
        </w:tc>
        <w:tc>
          <w:tcPr>
            <w:tcW w:w="467" w:type="pct"/>
            <w:vAlign w:val="center"/>
          </w:tcPr>
          <w:p w14:paraId="41DF7822">
            <w:pPr>
              <w:pStyle w:val="71"/>
              <w:spacing w:before="24" w:after="24"/>
            </w:pPr>
          </w:p>
        </w:tc>
      </w:tr>
      <w:tr w14:paraId="092C8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3" w:type="pct"/>
            <w:vAlign w:val="center"/>
          </w:tcPr>
          <w:p w14:paraId="559B1698">
            <w:pPr>
              <w:pStyle w:val="71"/>
              <w:spacing w:before="24" w:after="24"/>
            </w:pPr>
            <w:r>
              <w:t>8</w:t>
            </w:r>
          </w:p>
        </w:tc>
        <w:tc>
          <w:tcPr>
            <w:tcW w:w="882" w:type="pct"/>
            <w:vAlign w:val="center"/>
          </w:tcPr>
          <w:p w14:paraId="39BEA7C0">
            <w:pPr>
              <w:pStyle w:val="71"/>
              <w:spacing w:before="24" w:after="24"/>
            </w:pPr>
            <w:r>
              <w:t>可调式减压阀</w:t>
            </w:r>
          </w:p>
        </w:tc>
        <w:tc>
          <w:tcPr>
            <w:tcW w:w="1162" w:type="pct"/>
            <w:vAlign w:val="center"/>
          </w:tcPr>
          <w:p w14:paraId="6236451E">
            <w:pPr>
              <w:pStyle w:val="71"/>
              <w:spacing w:before="24" w:after="24"/>
            </w:pPr>
            <w:r>
              <w:t>报警阀前</w:t>
            </w:r>
          </w:p>
        </w:tc>
        <w:tc>
          <w:tcPr>
            <w:tcW w:w="1224" w:type="pct"/>
            <w:vAlign w:val="center"/>
          </w:tcPr>
          <w:p w14:paraId="57067DF8">
            <w:pPr>
              <w:pStyle w:val="71"/>
              <w:spacing w:before="24" w:after="24"/>
            </w:pPr>
            <w:r>
              <w:t>——</w:t>
            </w:r>
          </w:p>
        </w:tc>
        <w:tc>
          <w:tcPr>
            <w:tcW w:w="899" w:type="pct"/>
            <w:vAlign w:val="center"/>
          </w:tcPr>
          <w:p w14:paraId="2F1B666A">
            <w:pPr>
              <w:pStyle w:val="71"/>
              <w:spacing w:before="24" w:after="24"/>
            </w:pPr>
            <w:r>
              <w:t>球墨铸铁</w:t>
            </w:r>
          </w:p>
        </w:tc>
        <w:tc>
          <w:tcPr>
            <w:tcW w:w="467" w:type="pct"/>
            <w:vAlign w:val="center"/>
          </w:tcPr>
          <w:p w14:paraId="4934C9BF">
            <w:pPr>
              <w:pStyle w:val="71"/>
              <w:spacing w:before="24" w:after="24"/>
            </w:pPr>
          </w:p>
        </w:tc>
      </w:tr>
      <w:tr w14:paraId="6002F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3" w:type="pct"/>
            <w:vAlign w:val="center"/>
          </w:tcPr>
          <w:p w14:paraId="0CDED2A2">
            <w:pPr>
              <w:pStyle w:val="71"/>
              <w:spacing w:before="24" w:after="24"/>
            </w:pPr>
            <w:r>
              <w:t>9</w:t>
            </w:r>
          </w:p>
        </w:tc>
        <w:tc>
          <w:tcPr>
            <w:tcW w:w="882" w:type="pct"/>
            <w:vAlign w:val="center"/>
          </w:tcPr>
          <w:p w14:paraId="5B4335B7">
            <w:pPr>
              <w:pStyle w:val="71"/>
              <w:spacing w:before="24" w:after="24"/>
            </w:pPr>
            <w:r>
              <w:t>比例式减压阀</w:t>
            </w:r>
          </w:p>
        </w:tc>
        <w:tc>
          <w:tcPr>
            <w:tcW w:w="1162" w:type="pct"/>
            <w:vAlign w:val="center"/>
          </w:tcPr>
          <w:p w14:paraId="3C709568">
            <w:pPr>
              <w:pStyle w:val="71"/>
              <w:spacing w:before="24" w:after="24"/>
            </w:pPr>
            <w:r>
              <w:t>报警阀前</w:t>
            </w:r>
          </w:p>
        </w:tc>
        <w:tc>
          <w:tcPr>
            <w:tcW w:w="1224" w:type="pct"/>
            <w:vAlign w:val="center"/>
          </w:tcPr>
          <w:p w14:paraId="46208E26">
            <w:pPr>
              <w:pStyle w:val="71"/>
              <w:spacing w:before="24" w:after="24"/>
            </w:pPr>
          </w:p>
        </w:tc>
        <w:tc>
          <w:tcPr>
            <w:tcW w:w="899" w:type="pct"/>
            <w:vAlign w:val="center"/>
          </w:tcPr>
          <w:p w14:paraId="69FA19B3">
            <w:pPr>
              <w:pStyle w:val="71"/>
              <w:spacing w:before="24" w:after="24"/>
            </w:pPr>
            <w:r>
              <w:t>球墨铸铁</w:t>
            </w:r>
          </w:p>
        </w:tc>
        <w:tc>
          <w:tcPr>
            <w:tcW w:w="467" w:type="pct"/>
            <w:vAlign w:val="center"/>
          </w:tcPr>
          <w:p w14:paraId="3AB8D653">
            <w:pPr>
              <w:pStyle w:val="71"/>
              <w:spacing w:before="24" w:after="24"/>
            </w:pPr>
          </w:p>
        </w:tc>
      </w:tr>
      <w:tr w14:paraId="09AFE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3" w:type="pct"/>
            <w:vAlign w:val="center"/>
          </w:tcPr>
          <w:p w14:paraId="6BBE9654">
            <w:pPr>
              <w:pStyle w:val="71"/>
              <w:spacing w:before="24" w:after="24"/>
            </w:pPr>
            <w:r>
              <w:t>10</w:t>
            </w:r>
          </w:p>
        </w:tc>
        <w:tc>
          <w:tcPr>
            <w:tcW w:w="882" w:type="pct"/>
            <w:vAlign w:val="center"/>
          </w:tcPr>
          <w:p w14:paraId="0999FC4C">
            <w:pPr>
              <w:pStyle w:val="71"/>
              <w:spacing w:before="24" w:after="24"/>
            </w:pPr>
            <w:r>
              <w:t>自动排气阀</w:t>
            </w:r>
          </w:p>
        </w:tc>
        <w:tc>
          <w:tcPr>
            <w:tcW w:w="1162" w:type="pct"/>
            <w:vAlign w:val="center"/>
          </w:tcPr>
          <w:p w14:paraId="737092BF">
            <w:pPr>
              <w:pStyle w:val="71"/>
              <w:spacing w:before="24" w:after="24"/>
            </w:pPr>
            <w:r>
              <w:t>管网最高点处</w:t>
            </w:r>
          </w:p>
        </w:tc>
        <w:tc>
          <w:tcPr>
            <w:tcW w:w="1224" w:type="pct"/>
            <w:vAlign w:val="center"/>
          </w:tcPr>
          <w:p w14:paraId="40BAB0DB">
            <w:pPr>
              <w:pStyle w:val="71"/>
              <w:spacing w:before="24" w:after="24"/>
            </w:pPr>
            <w:r>
              <w:t>——</w:t>
            </w:r>
          </w:p>
        </w:tc>
        <w:tc>
          <w:tcPr>
            <w:tcW w:w="899" w:type="pct"/>
            <w:vAlign w:val="center"/>
          </w:tcPr>
          <w:p w14:paraId="551FAAFB">
            <w:pPr>
              <w:pStyle w:val="71"/>
              <w:spacing w:before="24" w:after="24"/>
            </w:pPr>
            <w:r>
              <w:t>铜及铜合金</w:t>
            </w:r>
          </w:p>
        </w:tc>
        <w:tc>
          <w:tcPr>
            <w:tcW w:w="467" w:type="pct"/>
            <w:vAlign w:val="center"/>
          </w:tcPr>
          <w:p w14:paraId="3AEF4ED4">
            <w:pPr>
              <w:pStyle w:val="71"/>
              <w:spacing w:before="24" w:after="24"/>
            </w:pPr>
          </w:p>
        </w:tc>
      </w:tr>
      <w:tr w14:paraId="1549E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3" w:type="pct"/>
            <w:vAlign w:val="center"/>
          </w:tcPr>
          <w:p w14:paraId="3C461EC5">
            <w:pPr>
              <w:pStyle w:val="71"/>
              <w:spacing w:before="24" w:after="24"/>
            </w:pPr>
            <w:r>
              <w:t>11</w:t>
            </w:r>
          </w:p>
        </w:tc>
        <w:tc>
          <w:tcPr>
            <w:tcW w:w="882" w:type="pct"/>
            <w:vAlign w:val="center"/>
          </w:tcPr>
          <w:p w14:paraId="691733B8">
            <w:pPr>
              <w:pStyle w:val="71"/>
              <w:spacing w:before="24" w:after="24"/>
            </w:pPr>
            <w:r>
              <w:t>管道过滤器</w:t>
            </w:r>
          </w:p>
        </w:tc>
        <w:tc>
          <w:tcPr>
            <w:tcW w:w="1162" w:type="pct"/>
            <w:vAlign w:val="center"/>
          </w:tcPr>
          <w:p w14:paraId="3A2816FA">
            <w:pPr>
              <w:pStyle w:val="71"/>
              <w:spacing w:before="24" w:after="24"/>
            </w:pPr>
            <w:r>
              <w:t>减压阀前</w:t>
            </w:r>
          </w:p>
        </w:tc>
        <w:tc>
          <w:tcPr>
            <w:tcW w:w="1224" w:type="pct"/>
            <w:vAlign w:val="center"/>
          </w:tcPr>
          <w:p w14:paraId="2F063556">
            <w:pPr>
              <w:pStyle w:val="71"/>
              <w:spacing w:before="24" w:after="24"/>
            </w:pPr>
            <w:r>
              <w:t>——</w:t>
            </w:r>
          </w:p>
        </w:tc>
        <w:tc>
          <w:tcPr>
            <w:tcW w:w="899" w:type="pct"/>
            <w:vAlign w:val="center"/>
          </w:tcPr>
          <w:p w14:paraId="1C38E6C8">
            <w:pPr>
              <w:pStyle w:val="71"/>
              <w:spacing w:before="24" w:after="24"/>
            </w:pPr>
            <w:r>
              <w:t>球墨铸铁</w:t>
            </w:r>
          </w:p>
        </w:tc>
        <w:tc>
          <w:tcPr>
            <w:tcW w:w="467" w:type="pct"/>
            <w:vAlign w:val="center"/>
          </w:tcPr>
          <w:p w14:paraId="4DFA4585">
            <w:pPr>
              <w:pStyle w:val="71"/>
              <w:spacing w:before="24" w:after="24"/>
            </w:pPr>
          </w:p>
        </w:tc>
      </w:tr>
      <w:tr w14:paraId="41002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3" w:type="pct"/>
            <w:vAlign w:val="center"/>
          </w:tcPr>
          <w:p w14:paraId="4F642AF3">
            <w:pPr>
              <w:pStyle w:val="71"/>
              <w:spacing w:before="24" w:after="24"/>
            </w:pPr>
            <w:r>
              <w:t>12</w:t>
            </w:r>
          </w:p>
        </w:tc>
        <w:tc>
          <w:tcPr>
            <w:tcW w:w="882" w:type="pct"/>
            <w:vAlign w:val="center"/>
          </w:tcPr>
          <w:p w14:paraId="50D08D16">
            <w:pPr>
              <w:pStyle w:val="71"/>
              <w:spacing w:before="24" w:after="24"/>
            </w:pPr>
            <w:r>
              <w:t>水泵接合器</w:t>
            </w:r>
          </w:p>
        </w:tc>
        <w:tc>
          <w:tcPr>
            <w:tcW w:w="1162" w:type="pct"/>
            <w:vAlign w:val="center"/>
          </w:tcPr>
          <w:p w14:paraId="6BC1528A">
            <w:pPr>
              <w:pStyle w:val="71"/>
              <w:spacing w:before="24" w:after="24"/>
            </w:pPr>
            <w:r>
              <w:t>室外便于消防车使用的地点</w:t>
            </w:r>
          </w:p>
        </w:tc>
        <w:tc>
          <w:tcPr>
            <w:tcW w:w="1224" w:type="pct"/>
            <w:vAlign w:val="center"/>
          </w:tcPr>
          <w:p w14:paraId="72887842">
            <w:pPr>
              <w:pStyle w:val="71"/>
              <w:spacing w:before="24" w:after="24"/>
            </w:pPr>
            <w:r>
              <w:t>距室外消火栓或消防水池的距离不宜小于15m，并不宜大于40m</w:t>
            </w:r>
          </w:p>
        </w:tc>
        <w:tc>
          <w:tcPr>
            <w:tcW w:w="899" w:type="pct"/>
            <w:vAlign w:val="center"/>
          </w:tcPr>
          <w:p w14:paraId="787A6D31">
            <w:pPr>
              <w:pStyle w:val="71"/>
              <w:spacing w:before="24" w:after="24"/>
            </w:pPr>
            <w:r>
              <w:t>碳钢</w:t>
            </w:r>
          </w:p>
        </w:tc>
        <w:tc>
          <w:tcPr>
            <w:tcW w:w="467" w:type="pct"/>
            <w:vAlign w:val="center"/>
          </w:tcPr>
          <w:p w14:paraId="0BBBDC54">
            <w:pPr>
              <w:pStyle w:val="71"/>
              <w:spacing w:before="24" w:after="24"/>
            </w:pPr>
          </w:p>
        </w:tc>
      </w:tr>
    </w:tbl>
    <w:p w14:paraId="3E2A39B5">
      <w:pPr>
        <w:spacing w:before="24" w:after="24"/>
        <w:ind w:firstLine="560" w:firstLineChars="200"/>
        <w:rPr>
          <w:rFonts w:ascii="Times New Roman" w:hAnsi="Times New Roman" w:cs="Times New Roman"/>
        </w:rPr>
      </w:pPr>
      <w:r>
        <w:rPr>
          <w:rFonts w:ascii="Times New Roman" w:hAnsi="Times New Roman" w:cs="Times New Roman"/>
        </w:rPr>
        <w:t>3.喷头布置</w:t>
      </w:r>
    </w:p>
    <w:p w14:paraId="74F4AA8B">
      <w:pPr>
        <w:spacing w:before="24" w:after="24"/>
        <w:ind w:firstLine="560" w:firstLineChars="200"/>
        <w:rPr>
          <w:rFonts w:ascii="Times New Roman" w:hAnsi="Times New Roman" w:cs="Times New Roman"/>
        </w:rPr>
      </w:pPr>
      <w:r>
        <w:rPr>
          <w:rFonts w:ascii="Times New Roman" w:hAnsi="Times New Roman" w:cs="Times New Roman"/>
        </w:rPr>
        <w:t>（1）净空高度大于800mm的闷顶和技术夹层内应设置洒水喷头，当同时满足下列情况时，可不设置洒水喷头：闷顶内敷设的配电线路采用不燃材料套管或封闭式金属线槽保护；风管保温材料等采用不燃、难燃材料制作；无其他可燃物。</w:t>
      </w:r>
    </w:p>
    <w:p w14:paraId="693F95DF">
      <w:pPr>
        <w:spacing w:before="24" w:after="24"/>
        <w:ind w:firstLine="560" w:firstLineChars="200"/>
        <w:rPr>
          <w:rFonts w:ascii="Times New Roman" w:hAnsi="Times New Roman" w:cs="Times New Roman"/>
        </w:rPr>
      </w:pPr>
      <w:r>
        <w:rPr>
          <w:rFonts w:ascii="Times New Roman" w:hAnsi="Times New Roman" w:cs="Times New Roman"/>
        </w:rPr>
        <w:t>（2）装设网格、栅板类通透性吊顶的场所，当通透面积占吊顶总面积的比例大于70％时，喷头应设置在吊顶上方。</w:t>
      </w:r>
    </w:p>
    <w:p w14:paraId="4765841F">
      <w:pPr>
        <w:spacing w:before="24" w:after="24"/>
        <w:ind w:firstLine="560" w:firstLineChars="200"/>
        <w:rPr>
          <w:rFonts w:ascii="Times New Roman" w:hAnsi="Times New Roman" w:cs="Times New Roman"/>
        </w:rPr>
      </w:pPr>
      <w:r>
        <w:rPr>
          <w:rFonts w:ascii="Times New Roman" w:hAnsi="Times New Roman" w:cs="Times New Roman"/>
        </w:rPr>
        <w:t>（3）当梁、通风管道、成排布置的管道、桥架等障碍物的宽度大于1．2m时，其下方应增设喷头。</w:t>
      </w:r>
    </w:p>
    <w:p w14:paraId="1C8A799F">
      <w:pPr>
        <w:spacing w:before="24" w:after="24"/>
        <w:ind w:firstLine="560" w:firstLineChars="200"/>
        <w:rPr>
          <w:rFonts w:ascii="Times New Roman" w:hAnsi="Times New Roman" w:cs="Times New Roman"/>
        </w:rPr>
      </w:pPr>
      <w:r>
        <w:rPr>
          <w:rFonts w:ascii="Times New Roman" w:hAnsi="Times New Roman" w:cs="Times New Roman"/>
        </w:rPr>
        <w:t>4.消防水池</w:t>
      </w:r>
    </w:p>
    <w:p w14:paraId="076892DF">
      <w:pPr>
        <w:spacing w:before="24" w:after="24"/>
        <w:ind w:firstLine="560" w:firstLineChars="200"/>
        <w:rPr>
          <w:rFonts w:ascii="Times New Roman" w:hAnsi="Times New Roman" w:cs="Times New Roman"/>
        </w:rPr>
      </w:pPr>
      <w:r>
        <w:rPr>
          <w:rFonts w:ascii="Times New Roman" w:hAnsi="Times New Roman" w:cs="Times New Roman"/>
        </w:rPr>
        <w:t>消防水池与消火栓系统合建。</w:t>
      </w:r>
    </w:p>
    <w:p w14:paraId="51D71AC6">
      <w:pPr>
        <w:spacing w:before="24" w:after="24"/>
        <w:ind w:firstLine="560" w:firstLineChars="200"/>
        <w:rPr>
          <w:rFonts w:ascii="Times New Roman" w:hAnsi="Times New Roman" w:cs="Times New Roman"/>
        </w:rPr>
      </w:pPr>
      <w:r>
        <w:rPr>
          <w:rFonts w:ascii="Times New Roman" w:hAnsi="Times New Roman" w:cs="Times New Roman"/>
        </w:rPr>
        <w:t>5.喷淋泵</w:t>
      </w:r>
    </w:p>
    <w:p w14:paraId="442B0CC0">
      <w:pPr>
        <w:spacing w:before="24" w:after="24"/>
        <w:ind w:firstLine="560" w:firstLineChars="200"/>
        <w:rPr>
          <w:rFonts w:ascii="Times New Roman" w:hAnsi="Times New Roman" w:cs="Times New Roman"/>
        </w:rPr>
      </w:pPr>
      <w:r>
        <w:rPr>
          <w:rFonts w:ascii="Times New Roman" w:hAnsi="Times New Roman" w:cs="Times New Roman"/>
        </w:rPr>
        <w:t>喷淋泵采用一用一备，设置在消防水泵房内。</w:t>
      </w:r>
    </w:p>
    <w:p w14:paraId="4294EE07">
      <w:pPr>
        <w:spacing w:before="24" w:after="24"/>
        <w:ind w:firstLine="560" w:firstLineChars="200"/>
        <w:rPr>
          <w:rFonts w:ascii="Times New Roman" w:hAnsi="Times New Roman" w:cs="Times New Roman"/>
        </w:rPr>
      </w:pPr>
      <w:r>
        <w:rPr>
          <w:rFonts w:ascii="Times New Roman" w:hAnsi="Times New Roman" w:cs="Times New Roman"/>
        </w:rPr>
        <w:t>6.高位消防水箱及稳压设备</w:t>
      </w:r>
    </w:p>
    <w:p w14:paraId="667C58EF">
      <w:pPr>
        <w:spacing w:before="24" w:after="24"/>
        <w:ind w:firstLine="560" w:firstLineChars="200"/>
        <w:rPr>
          <w:rFonts w:ascii="Times New Roman" w:hAnsi="Times New Roman" w:cs="Times New Roman"/>
        </w:rPr>
      </w:pPr>
      <w:r>
        <w:rPr>
          <w:rFonts w:ascii="Times New Roman" w:hAnsi="Times New Roman" w:cs="Times New Roman"/>
        </w:rPr>
        <w:t>建议与消火栓系统合用高位消防水箱和增压稳压设施。</w:t>
      </w:r>
    </w:p>
    <w:p w14:paraId="4B6CB339">
      <w:pPr>
        <w:spacing w:before="24" w:after="24"/>
        <w:ind w:firstLine="560" w:firstLineChars="200"/>
        <w:rPr>
          <w:rFonts w:ascii="Times New Roman" w:hAnsi="Times New Roman" w:cs="Times New Roman"/>
        </w:rPr>
      </w:pPr>
      <w:r>
        <w:rPr>
          <w:rFonts w:ascii="Times New Roman" w:hAnsi="Times New Roman" w:cs="Times New Roman"/>
        </w:rPr>
        <w:t>7.消防水泵接合器</w:t>
      </w:r>
    </w:p>
    <w:p w14:paraId="242468DA">
      <w:pPr>
        <w:spacing w:before="24" w:after="24"/>
        <w:ind w:firstLine="560" w:firstLineChars="200"/>
        <w:rPr>
          <w:rFonts w:ascii="Times New Roman" w:hAnsi="Times New Roman" w:cs="Times New Roman"/>
        </w:rPr>
      </w:pPr>
      <w:r>
        <w:rPr>
          <w:rFonts w:ascii="Times New Roman" w:hAnsi="Times New Roman" w:cs="Times New Roman"/>
        </w:rPr>
        <w:t>消防水泵接合器应设在室外便于消防车使用的地点，且距室外消火栓或消防水池的距离不宜小于15m，并不宜大于40m。水泵接合器处设置永久性标志铭牌，并应标明供水系统、供水范围和额定压力。裸露的接合器应做好保温抗冻措施。</w:t>
      </w:r>
    </w:p>
    <w:p w14:paraId="23D73030">
      <w:pPr>
        <w:spacing w:before="24" w:after="24"/>
        <w:ind w:firstLine="560" w:firstLineChars="200"/>
        <w:rPr>
          <w:rFonts w:ascii="Times New Roman" w:hAnsi="Times New Roman" w:cs="Times New Roman"/>
        </w:rPr>
      </w:pPr>
      <w:r>
        <w:rPr>
          <w:rFonts w:ascii="Times New Roman" w:hAnsi="Times New Roman" w:cs="Times New Roman"/>
        </w:rPr>
        <w:t>8.系统控制</w:t>
      </w:r>
    </w:p>
    <w:p w14:paraId="116075BC">
      <w:pPr>
        <w:spacing w:before="24" w:after="24"/>
        <w:ind w:firstLine="560" w:firstLineChars="200"/>
        <w:rPr>
          <w:rFonts w:ascii="Times New Roman" w:hAnsi="Times New Roman" w:cs="Times New Roman"/>
        </w:rPr>
      </w:pPr>
      <w:r>
        <w:rPr>
          <w:rFonts w:ascii="Times New Roman" w:hAnsi="Times New Roman" w:cs="Times New Roman"/>
        </w:rPr>
        <w:t>由高位消防水箱出水管上的流量开关和报警阀组压力开关直接自动启动消防水泵。消防控制室（盘）应能显示水流指示器、压力开关、信号阀、喷淋水泵、消防水池及水箱水位、有压气体管道气压，以及电源和备用动力等是否处于正常状态的反馈信号，并应能控制消防水泵、电磁阀、电动阀等的操作。</w:t>
      </w:r>
    </w:p>
    <w:p w14:paraId="3C916E09">
      <w:pPr>
        <w:spacing w:before="24" w:after="24"/>
        <w:ind w:firstLine="562" w:firstLineChars="200"/>
        <w:outlineLvl w:val="4"/>
        <w:rPr>
          <w:rFonts w:ascii="Times New Roman" w:hAnsi="Times New Roman" w:cs="Times New Roman"/>
          <w:b/>
        </w:rPr>
      </w:pPr>
      <w:r>
        <w:rPr>
          <w:rFonts w:ascii="Times New Roman" w:hAnsi="Times New Roman" w:cs="Times New Roman"/>
          <w:b/>
        </w:rPr>
        <w:t>5.3.8建筑灭火器</w:t>
      </w:r>
    </w:p>
    <w:p w14:paraId="323726B6">
      <w:pPr>
        <w:spacing w:before="24" w:after="24"/>
        <w:ind w:firstLine="560" w:firstLineChars="200"/>
        <w:rPr>
          <w:rFonts w:ascii="Times New Roman" w:hAnsi="Times New Roman" w:cs="Times New Roman"/>
        </w:rPr>
      </w:pPr>
      <w:r>
        <w:rPr>
          <w:rFonts w:ascii="Times New Roman" w:hAnsi="Times New Roman" w:cs="Times New Roman"/>
        </w:rPr>
        <w:t>1.灭火器类型</w:t>
      </w:r>
    </w:p>
    <w:p w14:paraId="08D4ECFC">
      <w:pPr>
        <w:spacing w:before="24" w:after="24"/>
        <w:ind w:firstLine="560" w:firstLineChars="200"/>
        <w:rPr>
          <w:rFonts w:ascii="Times New Roman" w:hAnsi="Times New Roman" w:cs="Times New Roman"/>
        </w:rPr>
      </w:pPr>
      <w:r>
        <w:rPr>
          <w:rFonts w:ascii="Times New Roman" w:hAnsi="Times New Roman" w:cs="Times New Roman"/>
        </w:rPr>
        <w:t>优先采用磷酸铵盐干粉灭火器；在充电车位附近，宜增加配置灭火剂充装量不小于60L的推车式水基型灭火器或推车式水喷雾灭火器。</w:t>
      </w:r>
    </w:p>
    <w:p w14:paraId="6B94435B">
      <w:pPr>
        <w:spacing w:before="24" w:after="24"/>
        <w:ind w:firstLine="560" w:firstLineChars="200"/>
        <w:rPr>
          <w:rFonts w:ascii="Times New Roman" w:hAnsi="Times New Roman" w:cs="Times New Roman"/>
        </w:rPr>
      </w:pPr>
      <w:r>
        <w:rPr>
          <w:rFonts w:ascii="Times New Roman" w:hAnsi="Times New Roman" w:cs="Times New Roman"/>
        </w:rPr>
        <w:t>2.灭火器设置要求</w:t>
      </w:r>
    </w:p>
    <w:p w14:paraId="31E8E2A9">
      <w:pPr>
        <w:spacing w:before="24" w:after="24"/>
        <w:ind w:firstLine="560" w:firstLineChars="200"/>
        <w:rPr>
          <w:rFonts w:ascii="Times New Roman" w:hAnsi="Times New Roman" w:cs="Times New Roman"/>
        </w:rPr>
      </w:pPr>
      <w:r>
        <w:rPr>
          <w:rFonts w:ascii="Times New Roman" w:hAnsi="Times New Roman" w:cs="Times New Roman"/>
        </w:rPr>
        <w:t>（1）设置在位置明显和便于取用的地点，且不得影响安全疏散；视线受障碍的地方应设置明显的指示标志。</w:t>
      </w:r>
    </w:p>
    <w:p w14:paraId="4E4C36C0">
      <w:pPr>
        <w:spacing w:before="24" w:after="24"/>
        <w:ind w:firstLine="560" w:firstLineChars="200"/>
        <w:rPr>
          <w:rFonts w:ascii="Times New Roman" w:hAnsi="Times New Roman" w:cs="Times New Roman"/>
        </w:rPr>
      </w:pPr>
      <w:r>
        <w:rPr>
          <w:rFonts w:ascii="Times New Roman" w:hAnsi="Times New Roman" w:cs="Times New Roman"/>
        </w:rPr>
        <w:t>（2）设置在组合式消火栓箱或灭火器箱内，其顶部离地面高度不应大于1.50m；底部离地面高度不宜小于0.08m。灭火器箱不得上锁。</w:t>
      </w:r>
    </w:p>
    <w:p w14:paraId="5CDD36EB">
      <w:pPr>
        <w:spacing w:before="24" w:after="24"/>
        <w:ind w:firstLine="560" w:firstLineChars="200"/>
        <w:rPr>
          <w:rFonts w:ascii="Times New Roman" w:hAnsi="Times New Roman" w:cs="Times New Roman"/>
        </w:rPr>
      </w:pPr>
      <w:r>
        <w:rPr>
          <w:rFonts w:ascii="Times New Roman" w:hAnsi="Times New Roman" w:cs="Times New Roman"/>
        </w:rPr>
        <w:t>（3）每个设置点灭火器数量，2具≤灭火器数量＜5具。</w:t>
      </w:r>
    </w:p>
    <w:p w14:paraId="2D90C70A">
      <w:pPr>
        <w:spacing w:before="24" w:after="24"/>
        <w:ind w:firstLine="560" w:firstLineChars="200"/>
        <w:rPr>
          <w:rFonts w:ascii="Times New Roman" w:hAnsi="Times New Roman" w:cs="Times New Roman"/>
        </w:rPr>
      </w:pPr>
      <w:r>
        <w:rPr>
          <w:rFonts w:ascii="Times New Roman" w:hAnsi="Times New Roman" w:cs="Times New Roman"/>
        </w:rPr>
        <w:t>（4）灭火器不应设置在潮湿或有腐蚀性的地点。</w:t>
      </w:r>
    </w:p>
    <w:p w14:paraId="2630932A">
      <w:pPr>
        <w:spacing w:before="24" w:after="24"/>
        <w:ind w:firstLine="562" w:firstLineChars="200"/>
        <w:outlineLvl w:val="4"/>
        <w:rPr>
          <w:rFonts w:ascii="Times New Roman" w:hAnsi="Times New Roman" w:cs="Times New Roman"/>
          <w:b/>
        </w:rPr>
      </w:pPr>
      <w:r>
        <w:rPr>
          <w:rFonts w:ascii="Times New Roman" w:hAnsi="Times New Roman" w:cs="Times New Roman"/>
          <w:b/>
        </w:rPr>
        <w:t>5.3.9气体灭火系统</w:t>
      </w:r>
    </w:p>
    <w:p w14:paraId="308A8581">
      <w:pPr>
        <w:spacing w:before="24" w:after="24"/>
        <w:ind w:firstLine="560" w:firstLineChars="200"/>
        <w:rPr>
          <w:rFonts w:ascii="Times New Roman" w:hAnsi="Times New Roman" w:cs="Times New Roman"/>
        </w:rPr>
      </w:pPr>
      <w:r>
        <w:rPr>
          <w:rFonts w:ascii="Times New Roman" w:hAnsi="Times New Roman" w:cs="Times New Roman"/>
        </w:rPr>
        <w:t>1.气体灭火系统</w:t>
      </w:r>
    </w:p>
    <w:p w14:paraId="4D307822">
      <w:pPr>
        <w:spacing w:before="24" w:after="24"/>
        <w:ind w:firstLine="560" w:firstLineChars="200"/>
        <w:rPr>
          <w:rFonts w:ascii="Times New Roman" w:hAnsi="Times New Roman" w:cs="Times New Roman"/>
        </w:rPr>
      </w:pPr>
      <w:r>
        <w:rPr>
          <w:rFonts w:ascii="Times New Roman" w:hAnsi="Times New Roman" w:cs="Times New Roman"/>
        </w:rPr>
        <w:t>附建在地下车库内的高压配电室和通信中心机房建议采用七氟丙烷灭火系统。</w:t>
      </w:r>
    </w:p>
    <w:p w14:paraId="577D9B20">
      <w:pPr>
        <w:spacing w:before="24" w:after="24"/>
        <w:ind w:firstLine="560" w:firstLineChars="200"/>
        <w:rPr>
          <w:rFonts w:ascii="Times New Roman" w:hAnsi="Times New Roman" w:cs="Times New Roman"/>
        </w:rPr>
      </w:pPr>
      <w:r>
        <w:rPr>
          <w:rFonts w:ascii="Times New Roman" w:hAnsi="Times New Roman" w:cs="Times New Roman"/>
        </w:rPr>
        <w:t>2.七氟丙烷灭火系统设置要求</w:t>
      </w:r>
    </w:p>
    <w:p w14:paraId="08B4EE40">
      <w:pPr>
        <w:spacing w:before="24" w:after="24"/>
        <w:ind w:firstLine="560" w:firstLineChars="200"/>
        <w:rPr>
          <w:rFonts w:ascii="Times New Roman" w:hAnsi="Times New Roman" w:cs="Times New Roman"/>
        </w:rPr>
      </w:pPr>
      <w:r>
        <w:rPr>
          <w:rFonts w:ascii="Times New Roman" w:hAnsi="Times New Roman" w:cs="Times New Roman"/>
        </w:rPr>
        <w:t>（1）七氟丙烷灭火系统的灭火设计浓度不应小于灭火浓度的1.3倍，惰化设计浓度不应小于惰化浓度的1.1倍。</w:t>
      </w:r>
    </w:p>
    <w:p w14:paraId="2024B5A3">
      <w:pPr>
        <w:spacing w:before="24" w:after="24"/>
        <w:ind w:firstLine="560" w:firstLineChars="200"/>
        <w:rPr>
          <w:rFonts w:ascii="Times New Roman" w:hAnsi="Times New Roman" w:cs="Times New Roman"/>
        </w:rPr>
      </w:pPr>
      <w:r>
        <w:rPr>
          <w:rFonts w:ascii="Times New Roman" w:hAnsi="Times New Roman" w:cs="Times New Roman"/>
        </w:rPr>
        <w:t>（2）高压配电室灭火设计浓度宜9％，设计喷放时间不应大于10s。</w:t>
      </w:r>
    </w:p>
    <w:p w14:paraId="3B590462">
      <w:pPr>
        <w:spacing w:before="24" w:after="24"/>
        <w:ind w:firstLine="560" w:firstLineChars="200"/>
        <w:rPr>
          <w:rFonts w:ascii="Times New Roman" w:hAnsi="Times New Roman" w:cs="Times New Roman"/>
        </w:rPr>
      </w:pPr>
      <w:r>
        <w:rPr>
          <w:rFonts w:ascii="Times New Roman" w:hAnsi="Times New Roman" w:cs="Times New Roman"/>
        </w:rPr>
        <w:t>（3）通信中心机房灭火设计浓度采用8％，设计喷放时间不应大于8s。</w:t>
      </w:r>
    </w:p>
    <w:p w14:paraId="6109F918">
      <w:pPr>
        <w:spacing w:before="24" w:after="24"/>
        <w:ind w:firstLine="560" w:firstLineChars="200"/>
        <w:rPr>
          <w:rFonts w:ascii="Times New Roman" w:hAnsi="Times New Roman" w:cs="Times New Roman"/>
        </w:rPr>
      </w:pPr>
      <w:r>
        <w:rPr>
          <w:rFonts w:ascii="Times New Roman" w:hAnsi="Times New Roman" w:cs="Times New Roman"/>
        </w:rPr>
        <w:t>（4）防护区应设置泄压口，七氟丙烷灭火系统的泄压口应位于防护区净高的2/3以上。</w:t>
      </w:r>
    </w:p>
    <w:p w14:paraId="56A5F139">
      <w:pPr>
        <w:spacing w:before="24" w:after="24"/>
        <w:ind w:firstLine="560" w:firstLineChars="200"/>
        <w:rPr>
          <w:rFonts w:ascii="Times New Roman" w:hAnsi="Times New Roman" w:cs="Times New Roman"/>
        </w:rPr>
      </w:pPr>
      <w:r>
        <w:rPr>
          <w:rFonts w:ascii="Times New Roman" w:hAnsi="Times New Roman" w:cs="Times New Roman"/>
        </w:rPr>
        <w:t>（5）喷放灭火剂前，防护区内除泄压口外的开口应能自行关闭。</w:t>
      </w:r>
    </w:p>
    <w:p w14:paraId="3723F9F0">
      <w:pPr>
        <w:spacing w:before="24" w:after="24"/>
        <w:ind w:firstLine="560" w:firstLineChars="200"/>
        <w:rPr>
          <w:rFonts w:ascii="Times New Roman" w:hAnsi="Times New Roman" w:cs="Times New Roman"/>
        </w:rPr>
      </w:pPr>
      <w:r>
        <w:rPr>
          <w:rFonts w:ascii="Times New Roman" w:hAnsi="Times New Roman" w:cs="Times New Roman"/>
        </w:rPr>
        <w:t>（6）同一防护区内的预制灭火系统装置多于1台时，必须能同时启动，其动作响应时差不得大于2s。</w:t>
      </w:r>
    </w:p>
    <w:p w14:paraId="7A384B0B">
      <w:pPr>
        <w:spacing w:before="24" w:after="24"/>
        <w:ind w:firstLine="560" w:firstLineChars="200"/>
        <w:rPr>
          <w:rFonts w:ascii="Times New Roman" w:hAnsi="Times New Roman" w:cs="Times New Roman"/>
        </w:rPr>
      </w:pPr>
      <w:r>
        <w:rPr>
          <w:rFonts w:ascii="Times New Roman" w:hAnsi="Times New Roman" w:cs="Times New Roman"/>
        </w:rPr>
        <w:t>（7）一个防护区设置的七氟丙烷灭火系统，其装置数量不宜超过10台。</w:t>
      </w:r>
    </w:p>
    <w:p w14:paraId="5CA3E38C">
      <w:pPr>
        <w:spacing w:before="24" w:after="24"/>
        <w:ind w:firstLine="562" w:firstLineChars="200"/>
        <w:outlineLvl w:val="3"/>
        <w:rPr>
          <w:rFonts w:ascii="Times New Roman" w:hAnsi="Times New Roman" w:cs="Times New Roman"/>
          <w:b/>
        </w:rPr>
      </w:pPr>
      <w:r>
        <w:rPr>
          <w:rFonts w:ascii="Times New Roman" w:hAnsi="Times New Roman" w:cs="Times New Roman"/>
          <w:b/>
        </w:rPr>
        <w:t>5.4 人防给排水工程技术要求</w:t>
      </w:r>
    </w:p>
    <w:p w14:paraId="165D6A1F">
      <w:pPr>
        <w:spacing w:before="24" w:after="24"/>
        <w:ind w:firstLine="562" w:firstLineChars="200"/>
        <w:outlineLvl w:val="4"/>
        <w:rPr>
          <w:rFonts w:ascii="Times New Roman" w:hAnsi="Times New Roman" w:cs="Times New Roman"/>
          <w:b/>
        </w:rPr>
      </w:pPr>
      <w:r>
        <w:rPr>
          <w:rFonts w:ascii="Times New Roman" w:hAnsi="Times New Roman" w:cs="Times New Roman"/>
          <w:b/>
        </w:rPr>
        <w:t>5.4.1战时给水系统</w:t>
      </w:r>
    </w:p>
    <w:p w14:paraId="18BCEF32">
      <w:pPr>
        <w:spacing w:before="24" w:after="24"/>
        <w:ind w:firstLine="560" w:firstLineChars="200"/>
        <w:rPr>
          <w:rFonts w:ascii="Times New Roman" w:hAnsi="Times New Roman" w:cs="Times New Roman"/>
        </w:rPr>
      </w:pPr>
      <w:r>
        <w:rPr>
          <w:rFonts w:ascii="Times New Roman" w:hAnsi="Times New Roman" w:cs="Times New Roman"/>
        </w:rPr>
        <w:t>1.防空地下室以城市自来水作供水水源，当城市自来水管网被破坏时，由地下室内的生活饮用水贮水箱供给。</w:t>
      </w:r>
    </w:p>
    <w:p w14:paraId="23311307">
      <w:pPr>
        <w:spacing w:before="24" w:after="24"/>
        <w:ind w:firstLine="560" w:firstLineChars="200"/>
        <w:rPr>
          <w:rFonts w:ascii="Times New Roman" w:hAnsi="Times New Roman" w:cs="Times New Roman"/>
        </w:rPr>
      </w:pPr>
      <w:r>
        <w:rPr>
          <w:rFonts w:ascii="Times New Roman" w:hAnsi="Times New Roman" w:cs="Times New Roman"/>
        </w:rPr>
        <w:t>2.在防空地下室的清洁区内，每个防护单元均应设置生活用水、饮用水贮水池（箱)。贮水池（箱)的有效容积应根据防空地下室战时的掩蔽人员数量、战时用水量标准及贮水时间计算确定。</w:t>
      </w:r>
    </w:p>
    <w:tbl>
      <w:tblPr>
        <w:tblStyle w:val="31"/>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358"/>
        <w:gridCol w:w="1693"/>
        <w:gridCol w:w="1697"/>
        <w:gridCol w:w="1762"/>
        <w:gridCol w:w="1769"/>
      </w:tblGrid>
      <w:tr w14:paraId="53589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8" w:hRule="atLeast"/>
          <w:jc w:val="center"/>
        </w:trPr>
        <w:tc>
          <w:tcPr>
            <w:tcW w:w="1270" w:type="pct"/>
            <w:vMerge w:val="restart"/>
            <w:tcBorders>
              <w:top w:val="single" w:color="000000" w:sz="4" w:space="0"/>
              <w:left w:val="single" w:color="000000" w:sz="4" w:space="0"/>
              <w:right w:val="single" w:color="000000" w:sz="4" w:space="0"/>
            </w:tcBorders>
            <w:vAlign w:val="center"/>
          </w:tcPr>
          <w:p w14:paraId="2CB3C06C">
            <w:pPr>
              <w:pStyle w:val="71"/>
              <w:spacing w:before="24" w:after="24"/>
            </w:pPr>
            <w:r>
              <w:t>工程类别</w:t>
            </w:r>
          </w:p>
        </w:tc>
        <w:tc>
          <w:tcPr>
            <w:tcW w:w="1826" w:type="pct"/>
            <w:gridSpan w:val="2"/>
            <w:tcBorders>
              <w:top w:val="single" w:color="000000" w:sz="4" w:space="0"/>
              <w:left w:val="single" w:color="000000" w:sz="4" w:space="0"/>
              <w:bottom w:val="single" w:color="000000" w:sz="4" w:space="0"/>
              <w:right w:val="single" w:color="000000" w:sz="4" w:space="0"/>
            </w:tcBorders>
            <w:vAlign w:val="center"/>
          </w:tcPr>
          <w:p w14:paraId="06E9B0A7">
            <w:pPr>
              <w:pStyle w:val="71"/>
              <w:spacing w:before="24" w:after="24"/>
            </w:pPr>
            <w:r>
              <w:t>饮用水</w:t>
            </w:r>
          </w:p>
        </w:tc>
        <w:tc>
          <w:tcPr>
            <w:tcW w:w="1902" w:type="pct"/>
            <w:gridSpan w:val="2"/>
            <w:tcBorders>
              <w:top w:val="single" w:color="000000" w:sz="4" w:space="0"/>
              <w:left w:val="single" w:color="000000" w:sz="4" w:space="0"/>
              <w:bottom w:val="single" w:color="000000" w:sz="4" w:space="0"/>
              <w:right w:val="single" w:color="000000" w:sz="4" w:space="0"/>
            </w:tcBorders>
            <w:vAlign w:val="center"/>
          </w:tcPr>
          <w:p w14:paraId="4E2A99BC">
            <w:pPr>
              <w:pStyle w:val="71"/>
              <w:spacing w:before="24" w:after="24"/>
            </w:pPr>
            <w:r>
              <w:t>生活用水</w:t>
            </w:r>
          </w:p>
        </w:tc>
      </w:tr>
      <w:tr w14:paraId="65D289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270" w:type="pct"/>
            <w:vMerge w:val="continue"/>
            <w:tcBorders>
              <w:left w:val="single" w:color="000000" w:sz="4" w:space="0"/>
              <w:bottom w:val="single" w:color="000000" w:sz="4" w:space="0"/>
              <w:right w:val="single" w:color="000000" w:sz="4" w:space="0"/>
            </w:tcBorders>
            <w:vAlign w:val="center"/>
          </w:tcPr>
          <w:p w14:paraId="094FDEDF">
            <w:pPr>
              <w:pStyle w:val="71"/>
              <w:spacing w:before="24" w:after="24"/>
            </w:pPr>
          </w:p>
        </w:tc>
        <w:tc>
          <w:tcPr>
            <w:tcW w:w="912" w:type="pct"/>
            <w:tcBorders>
              <w:top w:val="single" w:color="000000" w:sz="4" w:space="0"/>
              <w:left w:val="single" w:color="000000" w:sz="4" w:space="0"/>
              <w:bottom w:val="single" w:color="000000" w:sz="4" w:space="0"/>
              <w:right w:val="single" w:color="000000" w:sz="4" w:space="0"/>
            </w:tcBorders>
            <w:vAlign w:val="center"/>
          </w:tcPr>
          <w:p w14:paraId="5825D9EA">
            <w:pPr>
              <w:pStyle w:val="71"/>
              <w:spacing w:before="24" w:after="24"/>
            </w:pPr>
            <w:r>
              <w:t>用水量标准</w:t>
            </w:r>
          </w:p>
          <w:p w14:paraId="3F25DC18">
            <w:pPr>
              <w:pStyle w:val="71"/>
              <w:spacing w:before="24" w:after="24"/>
            </w:pPr>
            <w:r>
              <w:t>[L/（人.d）]</w:t>
            </w:r>
          </w:p>
        </w:tc>
        <w:tc>
          <w:tcPr>
            <w:tcW w:w="914" w:type="pct"/>
            <w:tcBorders>
              <w:top w:val="single" w:color="000000" w:sz="4" w:space="0"/>
              <w:left w:val="single" w:color="000000" w:sz="4" w:space="0"/>
              <w:bottom w:val="single" w:color="000000" w:sz="4" w:space="0"/>
              <w:right w:val="single" w:color="000000" w:sz="4" w:space="0"/>
            </w:tcBorders>
            <w:vAlign w:val="center"/>
          </w:tcPr>
          <w:p w14:paraId="2A7968C0">
            <w:pPr>
              <w:pStyle w:val="71"/>
              <w:spacing w:before="24" w:after="24"/>
            </w:pPr>
            <w:r>
              <w:t>贮水时间</w:t>
            </w:r>
          </w:p>
          <w:p w14:paraId="0EB45409">
            <w:pPr>
              <w:pStyle w:val="71"/>
              <w:spacing w:before="24" w:after="24"/>
            </w:pPr>
            <w:r>
              <w:t>（d）</w:t>
            </w:r>
          </w:p>
        </w:tc>
        <w:tc>
          <w:tcPr>
            <w:tcW w:w="949" w:type="pct"/>
            <w:tcBorders>
              <w:top w:val="single" w:color="000000" w:sz="4" w:space="0"/>
              <w:left w:val="single" w:color="000000" w:sz="4" w:space="0"/>
              <w:bottom w:val="single" w:color="000000" w:sz="4" w:space="0"/>
              <w:right w:val="single" w:color="000000" w:sz="4" w:space="0"/>
            </w:tcBorders>
            <w:vAlign w:val="center"/>
          </w:tcPr>
          <w:p w14:paraId="37089F48">
            <w:pPr>
              <w:pStyle w:val="71"/>
              <w:spacing w:before="24" w:after="24"/>
            </w:pPr>
            <w:r>
              <w:t>用水量标准</w:t>
            </w:r>
          </w:p>
          <w:p w14:paraId="60D367F8">
            <w:pPr>
              <w:pStyle w:val="71"/>
              <w:spacing w:before="24" w:after="24"/>
            </w:pPr>
            <w:r>
              <w:t>[L/（人.d）]</w:t>
            </w:r>
          </w:p>
        </w:tc>
        <w:tc>
          <w:tcPr>
            <w:tcW w:w="953" w:type="pct"/>
            <w:tcBorders>
              <w:top w:val="single" w:color="000000" w:sz="4" w:space="0"/>
              <w:left w:val="single" w:color="000000" w:sz="4" w:space="0"/>
              <w:bottom w:val="single" w:color="000000" w:sz="4" w:space="0"/>
              <w:right w:val="single" w:color="000000" w:sz="4" w:space="0"/>
            </w:tcBorders>
            <w:vAlign w:val="center"/>
          </w:tcPr>
          <w:p w14:paraId="294874A1">
            <w:pPr>
              <w:pStyle w:val="71"/>
              <w:spacing w:before="24" w:after="24"/>
            </w:pPr>
            <w:r>
              <w:t>贮水时间</w:t>
            </w:r>
          </w:p>
          <w:p w14:paraId="5BAF0EAA">
            <w:pPr>
              <w:pStyle w:val="71"/>
              <w:spacing w:before="24" w:after="24"/>
            </w:pPr>
            <w:r>
              <w:t>（d）</w:t>
            </w:r>
          </w:p>
        </w:tc>
      </w:tr>
      <w:tr w14:paraId="3FDD69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6" w:hRule="atLeast"/>
          <w:jc w:val="center"/>
        </w:trPr>
        <w:tc>
          <w:tcPr>
            <w:tcW w:w="1270" w:type="pct"/>
            <w:tcBorders>
              <w:top w:val="single" w:color="000000" w:sz="4" w:space="0"/>
              <w:left w:val="single" w:color="000000" w:sz="4" w:space="0"/>
              <w:bottom w:val="single" w:color="000000" w:sz="4" w:space="0"/>
              <w:right w:val="single" w:color="000000" w:sz="4" w:space="0"/>
            </w:tcBorders>
            <w:vAlign w:val="center"/>
          </w:tcPr>
          <w:p w14:paraId="58E6EDAD">
            <w:pPr>
              <w:pStyle w:val="71"/>
              <w:spacing w:before="24" w:after="24"/>
            </w:pPr>
            <w:r>
              <w:t>专业队队员掩蔽所</w:t>
            </w:r>
          </w:p>
        </w:tc>
        <w:tc>
          <w:tcPr>
            <w:tcW w:w="912" w:type="pct"/>
            <w:tcBorders>
              <w:top w:val="single" w:color="000000" w:sz="4" w:space="0"/>
              <w:left w:val="single" w:color="000000" w:sz="4" w:space="0"/>
              <w:bottom w:val="single" w:color="000000" w:sz="4" w:space="0"/>
              <w:right w:val="single" w:color="000000" w:sz="4" w:space="0"/>
            </w:tcBorders>
            <w:vAlign w:val="center"/>
          </w:tcPr>
          <w:p w14:paraId="2E38F8DD">
            <w:pPr>
              <w:pStyle w:val="71"/>
              <w:spacing w:before="24" w:after="24"/>
            </w:pPr>
            <w:r>
              <w:t>5</w:t>
            </w:r>
          </w:p>
        </w:tc>
        <w:tc>
          <w:tcPr>
            <w:tcW w:w="914" w:type="pct"/>
            <w:tcBorders>
              <w:top w:val="single" w:color="000000" w:sz="4" w:space="0"/>
              <w:left w:val="single" w:color="000000" w:sz="4" w:space="0"/>
              <w:bottom w:val="single" w:color="000000" w:sz="4" w:space="0"/>
              <w:right w:val="single" w:color="000000" w:sz="4" w:space="0"/>
            </w:tcBorders>
            <w:vAlign w:val="center"/>
          </w:tcPr>
          <w:p w14:paraId="5AB00928">
            <w:pPr>
              <w:pStyle w:val="71"/>
              <w:spacing w:before="24" w:after="24"/>
            </w:pPr>
            <w:r>
              <w:t>15</w:t>
            </w:r>
          </w:p>
        </w:tc>
        <w:tc>
          <w:tcPr>
            <w:tcW w:w="949" w:type="pct"/>
            <w:tcBorders>
              <w:top w:val="single" w:color="000000" w:sz="4" w:space="0"/>
              <w:left w:val="single" w:color="000000" w:sz="4" w:space="0"/>
              <w:bottom w:val="single" w:color="000000" w:sz="4" w:space="0"/>
              <w:right w:val="single" w:color="000000" w:sz="4" w:space="0"/>
            </w:tcBorders>
            <w:vAlign w:val="center"/>
          </w:tcPr>
          <w:p w14:paraId="2E5C1953">
            <w:pPr>
              <w:pStyle w:val="71"/>
              <w:spacing w:before="24" w:after="24"/>
            </w:pPr>
            <w:r>
              <w:t>9</w:t>
            </w:r>
          </w:p>
        </w:tc>
        <w:tc>
          <w:tcPr>
            <w:tcW w:w="953" w:type="pct"/>
            <w:tcBorders>
              <w:top w:val="single" w:color="000000" w:sz="4" w:space="0"/>
              <w:left w:val="single" w:color="000000" w:sz="4" w:space="0"/>
              <w:bottom w:val="single" w:color="000000" w:sz="4" w:space="0"/>
              <w:right w:val="single" w:color="000000" w:sz="4" w:space="0"/>
            </w:tcBorders>
            <w:vAlign w:val="center"/>
          </w:tcPr>
          <w:p w14:paraId="1E445E2B">
            <w:pPr>
              <w:pStyle w:val="71"/>
              <w:spacing w:before="24" w:after="24"/>
            </w:pPr>
            <w:r>
              <w:t>7</w:t>
            </w:r>
          </w:p>
        </w:tc>
      </w:tr>
      <w:tr w14:paraId="622FEC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jc w:val="center"/>
        </w:trPr>
        <w:tc>
          <w:tcPr>
            <w:tcW w:w="1270" w:type="pct"/>
            <w:tcBorders>
              <w:top w:val="single" w:color="000000" w:sz="4" w:space="0"/>
              <w:left w:val="single" w:color="000000" w:sz="4" w:space="0"/>
              <w:bottom w:val="single" w:color="000000" w:sz="4" w:space="0"/>
              <w:right w:val="single" w:color="000000" w:sz="4" w:space="0"/>
            </w:tcBorders>
            <w:vAlign w:val="center"/>
          </w:tcPr>
          <w:p w14:paraId="2C201B82">
            <w:pPr>
              <w:pStyle w:val="71"/>
              <w:spacing w:before="24" w:after="24"/>
            </w:pPr>
            <w:r>
              <w:t>人员掩蔽工程</w:t>
            </w:r>
          </w:p>
        </w:tc>
        <w:tc>
          <w:tcPr>
            <w:tcW w:w="912" w:type="pct"/>
            <w:tcBorders>
              <w:top w:val="single" w:color="000000" w:sz="4" w:space="0"/>
              <w:left w:val="single" w:color="000000" w:sz="4" w:space="0"/>
              <w:bottom w:val="single" w:color="000000" w:sz="4" w:space="0"/>
              <w:right w:val="single" w:color="000000" w:sz="4" w:space="0"/>
            </w:tcBorders>
            <w:vAlign w:val="center"/>
          </w:tcPr>
          <w:p w14:paraId="66CC1454">
            <w:pPr>
              <w:pStyle w:val="71"/>
              <w:spacing w:before="24" w:after="24"/>
            </w:pPr>
            <w:r>
              <w:t>3</w:t>
            </w:r>
          </w:p>
        </w:tc>
        <w:tc>
          <w:tcPr>
            <w:tcW w:w="914" w:type="pct"/>
            <w:tcBorders>
              <w:top w:val="single" w:color="000000" w:sz="4" w:space="0"/>
              <w:left w:val="single" w:color="000000" w:sz="4" w:space="0"/>
              <w:bottom w:val="single" w:color="000000" w:sz="4" w:space="0"/>
              <w:right w:val="single" w:color="000000" w:sz="4" w:space="0"/>
            </w:tcBorders>
            <w:vAlign w:val="center"/>
          </w:tcPr>
          <w:p w14:paraId="3E34CD02">
            <w:pPr>
              <w:pStyle w:val="71"/>
              <w:spacing w:before="24" w:after="24"/>
            </w:pPr>
            <w:r>
              <w:t>15</w:t>
            </w:r>
          </w:p>
        </w:tc>
        <w:tc>
          <w:tcPr>
            <w:tcW w:w="949" w:type="pct"/>
            <w:tcBorders>
              <w:top w:val="single" w:color="000000" w:sz="4" w:space="0"/>
              <w:left w:val="single" w:color="000000" w:sz="4" w:space="0"/>
              <w:bottom w:val="single" w:color="000000" w:sz="4" w:space="0"/>
              <w:right w:val="single" w:color="000000" w:sz="4" w:space="0"/>
            </w:tcBorders>
            <w:vAlign w:val="center"/>
          </w:tcPr>
          <w:p w14:paraId="0AA98E30">
            <w:pPr>
              <w:pStyle w:val="71"/>
              <w:spacing w:before="24" w:after="24"/>
            </w:pPr>
            <w:r>
              <w:t>4</w:t>
            </w:r>
          </w:p>
        </w:tc>
        <w:tc>
          <w:tcPr>
            <w:tcW w:w="953" w:type="pct"/>
            <w:tcBorders>
              <w:top w:val="single" w:color="000000" w:sz="4" w:space="0"/>
              <w:left w:val="single" w:color="000000" w:sz="4" w:space="0"/>
              <w:bottom w:val="single" w:color="000000" w:sz="4" w:space="0"/>
              <w:right w:val="single" w:color="000000" w:sz="4" w:space="0"/>
            </w:tcBorders>
            <w:vAlign w:val="center"/>
          </w:tcPr>
          <w:p w14:paraId="25C06D5A">
            <w:pPr>
              <w:pStyle w:val="71"/>
              <w:spacing w:before="24" w:after="24"/>
            </w:pPr>
            <w:r>
              <w:t>7</w:t>
            </w:r>
          </w:p>
        </w:tc>
      </w:tr>
    </w:tbl>
    <w:p w14:paraId="6380F263">
      <w:pPr>
        <w:spacing w:before="24" w:after="24"/>
        <w:rPr>
          <w:rFonts w:ascii="Times New Roman" w:hAnsi="Times New Roman" w:cs="Times New Roman"/>
        </w:rPr>
      </w:pPr>
      <w:r>
        <w:rPr>
          <w:rFonts w:ascii="Times New Roman" w:hAnsi="Times New Roman" w:cs="Times New Roman"/>
        </w:rPr>
        <w:t>注：专业队队员掩蔽所洗消人员百分数按20%计。</w:t>
      </w:r>
    </w:p>
    <w:p w14:paraId="64DFBD78">
      <w:pPr>
        <w:spacing w:before="24" w:after="24"/>
        <w:ind w:firstLine="560" w:firstLineChars="200"/>
        <w:rPr>
          <w:rFonts w:ascii="Times New Roman" w:hAnsi="Times New Roman" w:cs="Times New Roman"/>
        </w:rPr>
      </w:pPr>
      <w:r>
        <w:rPr>
          <w:rFonts w:ascii="Times New Roman" w:hAnsi="Times New Roman" w:cs="Times New Roman"/>
        </w:rPr>
        <w:t>3.防空地下室的防毒通道内及密闭通道附近设置皮带冲洗龙头，用水泵抽取战时生活用水水箱内的水进行冲洗。</w:t>
      </w:r>
    </w:p>
    <w:p w14:paraId="767487F2">
      <w:pPr>
        <w:spacing w:before="24" w:after="24"/>
        <w:ind w:firstLine="562" w:firstLineChars="200"/>
        <w:outlineLvl w:val="4"/>
        <w:rPr>
          <w:rFonts w:ascii="Times New Roman" w:hAnsi="Times New Roman" w:cs="Times New Roman"/>
          <w:b/>
        </w:rPr>
      </w:pPr>
      <w:r>
        <w:rPr>
          <w:rFonts w:ascii="Times New Roman" w:hAnsi="Times New Roman" w:cs="Times New Roman"/>
          <w:b/>
        </w:rPr>
        <w:t>5.4.2战时排水系统</w:t>
      </w:r>
    </w:p>
    <w:p w14:paraId="6F904992">
      <w:pPr>
        <w:spacing w:before="24" w:after="24"/>
        <w:ind w:firstLine="560" w:firstLineChars="200"/>
        <w:rPr>
          <w:rFonts w:ascii="Times New Roman" w:hAnsi="Times New Roman" w:cs="Times New Roman"/>
        </w:rPr>
      </w:pPr>
      <w:r>
        <w:rPr>
          <w:rFonts w:ascii="Times New Roman" w:hAnsi="Times New Roman" w:cs="Times New Roman"/>
        </w:rPr>
        <w:t>1.战时主要排出战时生活用水、人员洗消用水，冲洗口部及人防电站的洗消废水。</w:t>
      </w:r>
    </w:p>
    <w:p w14:paraId="0D634D38">
      <w:pPr>
        <w:spacing w:before="24" w:after="24"/>
        <w:ind w:firstLine="560" w:firstLineChars="200"/>
        <w:rPr>
          <w:rFonts w:ascii="Times New Roman" w:hAnsi="Times New Roman" w:cs="Times New Roman"/>
        </w:rPr>
      </w:pPr>
      <w:r>
        <w:rPr>
          <w:rFonts w:ascii="Times New Roman" w:hAnsi="Times New Roman" w:cs="Times New Roman"/>
        </w:rPr>
        <w:t>2.战时进排风口部各战时功能房间内洗消废水经防爆地漏排至人防染毒水池，经潜污泵压力排至室外。</w:t>
      </w:r>
    </w:p>
    <w:p w14:paraId="35961577">
      <w:pPr>
        <w:spacing w:before="24" w:after="24"/>
        <w:ind w:firstLine="560" w:firstLineChars="200"/>
        <w:rPr>
          <w:rFonts w:ascii="Times New Roman" w:hAnsi="Times New Roman" w:cs="Times New Roman"/>
        </w:rPr>
      </w:pPr>
      <w:r>
        <w:rPr>
          <w:rFonts w:ascii="Times New Roman" w:hAnsi="Times New Roman" w:cs="Times New Roman"/>
        </w:rPr>
        <w:t>3.战时使用的贮水箱的溢流和放空措施均采用软管就近排入室内平战合用集水坑，经潜污泵泵压力排出室外，平战合用集水坑防护隔绝时间内不允许向工程外排水。</w:t>
      </w:r>
    </w:p>
    <w:p w14:paraId="59C251F1">
      <w:pPr>
        <w:spacing w:before="24" w:after="24"/>
        <w:ind w:firstLine="560" w:firstLineChars="200"/>
        <w:rPr>
          <w:rFonts w:ascii="Times New Roman" w:hAnsi="Times New Roman" w:cs="Times New Roman"/>
        </w:rPr>
      </w:pPr>
      <w:r>
        <w:rPr>
          <w:rFonts w:ascii="Times New Roman" w:hAnsi="Times New Roman" w:cs="Times New Roman"/>
        </w:rPr>
        <w:t>4.所有埋地排水管的外壁均应先刷红丹两道，再刷沥青玛蹄脂两道，总厚度不小于3mm。</w:t>
      </w:r>
    </w:p>
    <w:p w14:paraId="0ECE70FB">
      <w:pPr>
        <w:spacing w:before="24" w:after="24"/>
        <w:ind w:firstLine="560" w:firstLineChars="200"/>
        <w:rPr>
          <w:rFonts w:ascii="Times New Roman" w:hAnsi="Times New Roman" w:cs="Times New Roman"/>
        </w:rPr>
      </w:pPr>
      <w:r>
        <w:rPr>
          <w:rFonts w:ascii="Times New Roman" w:hAnsi="Times New Roman" w:cs="Times New Roman"/>
        </w:rPr>
        <w:t>5.各防爆波地漏及相应的排水管均应与主体结构一次安装到位，防爆波地漏篦子的顶面应低于该处地面5-10mm。</w:t>
      </w:r>
    </w:p>
    <w:p w14:paraId="20D10C47">
      <w:pPr>
        <w:spacing w:before="24" w:after="24"/>
        <w:ind w:firstLine="560" w:firstLineChars="200"/>
        <w:rPr>
          <w:rFonts w:ascii="Times New Roman" w:hAnsi="Times New Roman" w:cs="Times New Roman"/>
        </w:rPr>
      </w:pPr>
      <w:r>
        <w:rPr>
          <w:rFonts w:ascii="Times New Roman" w:hAnsi="Times New Roman" w:cs="Times New Roman"/>
        </w:rPr>
        <w:t>6.防爆波地漏密封胶皮垫片更换周期不大于一年，应保证地漏密封面光滑无异物。</w:t>
      </w:r>
    </w:p>
    <w:p w14:paraId="0ED0B106">
      <w:pPr>
        <w:spacing w:before="24" w:after="24"/>
        <w:ind w:firstLine="562" w:firstLineChars="200"/>
        <w:outlineLvl w:val="4"/>
        <w:rPr>
          <w:rFonts w:ascii="Times New Roman" w:hAnsi="Times New Roman" w:cs="Times New Roman"/>
          <w:b/>
        </w:rPr>
      </w:pPr>
      <w:r>
        <w:rPr>
          <w:rFonts w:ascii="Times New Roman" w:hAnsi="Times New Roman" w:cs="Times New Roman"/>
          <w:b/>
        </w:rPr>
        <w:t>5.4.3防护设施</w:t>
      </w:r>
    </w:p>
    <w:p w14:paraId="7723F39D">
      <w:pPr>
        <w:spacing w:before="24" w:after="24"/>
        <w:ind w:firstLine="560" w:firstLineChars="200"/>
        <w:rPr>
          <w:rFonts w:ascii="Times New Roman" w:hAnsi="Times New Roman" w:cs="Times New Roman"/>
        </w:rPr>
      </w:pPr>
      <w:r>
        <w:rPr>
          <w:rFonts w:ascii="Times New Roman" w:hAnsi="Times New Roman" w:cs="Times New Roman"/>
        </w:rPr>
        <w:t>穿过人防围护结构的给水引入管、排水出户管、通气管、供油管的防护密闭措施应符合下列要求：</w:t>
      </w:r>
    </w:p>
    <w:p w14:paraId="3945D655">
      <w:pPr>
        <w:spacing w:before="24" w:after="24"/>
        <w:ind w:firstLine="560" w:firstLineChars="200"/>
        <w:rPr>
          <w:rFonts w:ascii="Times New Roman" w:hAnsi="Times New Roman" w:cs="Times New Roman"/>
        </w:rPr>
      </w:pPr>
      <w:r>
        <w:rPr>
          <w:rFonts w:ascii="Times New Roman" w:hAnsi="Times New Roman" w:cs="Times New Roman"/>
        </w:rPr>
        <w:t>1.当管道从出入口引入时，应在防护密闭门的内侧设置；当从人防围护结构引入时，应在人防围护结构内侧设置；穿过防护单元之间的防护密闭隔墙，应在防护密闭隔墙两侧设置：</w:t>
      </w:r>
    </w:p>
    <w:p w14:paraId="473C3DF1">
      <w:pPr>
        <w:spacing w:before="24" w:after="24"/>
        <w:ind w:firstLine="560" w:firstLineChars="200"/>
        <w:rPr>
          <w:rFonts w:ascii="Times New Roman" w:hAnsi="Times New Roman" w:cs="Times New Roman"/>
        </w:rPr>
      </w:pPr>
      <w:r>
        <w:rPr>
          <w:rFonts w:ascii="Times New Roman" w:hAnsi="Times New Roman" w:cs="Times New Roman"/>
        </w:rPr>
        <w:t>（1）防护的公称压力不小于1.0MPa。</w:t>
      </w:r>
    </w:p>
    <w:p w14:paraId="6D210FD4">
      <w:pPr>
        <w:spacing w:before="24" w:after="24"/>
        <w:ind w:firstLine="560" w:firstLineChars="200"/>
        <w:rPr>
          <w:rFonts w:ascii="Times New Roman" w:hAnsi="Times New Roman" w:cs="Times New Roman"/>
        </w:rPr>
      </w:pPr>
      <w:r>
        <w:rPr>
          <w:rFonts w:ascii="Times New Roman" w:hAnsi="Times New Roman" w:cs="Times New Roman"/>
        </w:rPr>
        <w:t>（2）防护阀门应采用阀芯为不锈钢或铜材质的闸阀或截止阀。</w:t>
      </w:r>
    </w:p>
    <w:p w14:paraId="28692A95">
      <w:pPr>
        <w:spacing w:before="24" w:after="24"/>
        <w:ind w:firstLine="560" w:firstLineChars="200"/>
        <w:rPr>
          <w:rFonts w:ascii="Times New Roman" w:hAnsi="Times New Roman" w:cs="Times New Roman"/>
        </w:rPr>
      </w:pPr>
      <w:r>
        <w:rPr>
          <w:rFonts w:ascii="Times New Roman" w:hAnsi="Times New Roman" w:cs="Times New Roman"/>
        </w:rPr>
        <w:t>（3）人防围护结构内侧距离阀门近端面不宜大于200mm，阀门应有明显的启闭标志。</w:t>
      </w:r>
    </w:p>
    <w:p w14:paraId="659365A0">
      <w:pPr>
        <w:spacing w:before="24" w:after="24"/>
        <w:ind w:firstLine="560" w:firstLineChars="200"/>
        <w:rPr>
          <w:rFonts w:ascii="Times New Roman" w:hAnsi="Times New Roman" w:cs="Times New Roman"/>
        </w:rPr>
      </w:pPr>
      <w:r>
        <w:rPr>
          <w:rFonts w:ascii="Times New Roman" w:hAnsi="Times New Roman" w:cs="Times New Roman"/>
        </w:rPr>
        <w:t>2.凡进入防空地下室管道均采用钢塑复合管、不锈钢管或者铜管；防空地下室内排水管采用热镀锌钢管或者机制铸铁管。</w:t>
      </w:r>
    </w:p>
    <w:p w14:paraId="62AEA09C">
      <w:pPr>
        <w:spacing w:before="24" w:after="24"/>
        <w:ind w:firstLine="560" w:firstLineChars="200"/>
        <w:rPr>
          <w:rFonts w:ascii="Times New Roman" w:hAnsi="Times New Roman" w:cs="Times New Roman"/>
        </w:rPr>
      </w:pPr>
      <w:r>
        <w:rPr>
          <w:rFonts w:ascii="Times New Roman" w:hAnsi="Times New Roman" w:cs="Times New Roman"/>
        </w:rPr>
        <w:t>3.凡进入防空地下室的及穿越人防围护结构的DN&lt;150管道均应预埋刚性防水套管；DN&gt;150的管道应预埋外侧加防护挡板的刚性防水套管。</w:t>
      </w:r>
    </w:p>
    <w:p w14:paraId="605479AE">
      <w:pPr>
        <w:spacing w:before="24" w:after="24"/>
        <w:ind w:firstLine="560" w:firstLineChars="200"/>
        <w:rPr>
          <w:rFonts w:ascii="Times New Roman" w:hAnsi="Times New Roman" w:cs="Times New Roman"/>
        </w:rPr>
      </w:pPr>
      <w:r>
        <w:rPr>
          <w:rFonts w:ascii="Times New Roman" w:hAnsi="Times New Roman" w:cs="Times New Roman"/>
        </w:rPr>
        <w:t>4.与防空地下室无关的管道不宜穿过围护结构；上部建筑的生活污水管、雨水管、燃气管不得进入防空地下室。</w:t>
      </w:r>
    </w:p>
    <w:p w14:paraId="23CCEF77">
      <w:pPr>
        <w:spacing w:before="24" w:after="24"/>
        <w:ind w:firstLine="560" w:firstLineChars="200"/>
        <w:rPr>
          <w:rFonts w:ascii="Times New Roman" w:hAnsi="Times New Roman" w:cs="Times New Roman"/>
        </w:rPr>
      </w:pPr>
      <w:r>
        <w:rPr>
          <w:rFonts w:ascii="Times New Roman" w:hAnsi="Times New Roman" w:cs="Times New Roman"/>
        </w:rPr>
        <w:t>5.防护密闭门外的染毒集水坑上应设置与主体结构抗力相同的防护盖板。</w:t>
      </w:r>
    </w:p>
    <w:p w14:paraId="080B6740">
      <w:pPr>
        <w:spacing w:before="24" w:after="24"/>
        <w:ind w:firstLine="562" w:firstLineChars="200"/>
        <w:outlineLvl w:val="4"/>
        <w:rPr>
          <w:rFonts w:ascii="Times New Roman" w:hAnsi="Times New Roman" w:cs="Times New Roman"/>
          <w:b/>
        </w:rPr>
      </w:pPr>
      <w:r>
        <w:rPr>
          <w:rFonts w:ascii="Times New Roman" w:hAnsi="Times New Roman" w:cs="Times New Roman"/>
          <w:b/>
        </w:rPr>
        <w:t>5.4.4平战功能转换</w:t>
      </w:r>
    </w:p>
    <w:p w14:paraId="3884AC83">
      <w:pPr>
        <w:spacing w:before="24" w:after="24"/>
        <w:ind w:firstLine="560" w:firstLineChars="200"/>
        <w:rPr>
          <w:rFonts w:ascii="Times New Roman" w:hAnsi="Times New Roman" w:cs="Times New Roman"/>
        </w:rPr>
      </w:pPr>
      <w:r>
        <w:rPr>
          <w:rFonts w:ascii="Times New Roman" w:hAnsi="Times New Roman" w:cs="Times New Roman"/>
        </w:rPr>
        <w:t>1.二等人员掩蔽部贮水箱，给水泵平时不使用可不安装，应预留管道接口和固定设备的预埋件临战前15天转换时限内施工完毕。</w:t>
      </w:r>
    </w:p>
    <w:p w14:paraId="54DAE226">
      <w:pPr>
        <w:spacing w:before="24" w:after="24"/>
        <w:ind w:firstLine="560" w:firstLineChars="200"/>
        <w:rPr>
          <w:rFonts w:ascii="Times New Roman" w:hAnsi="Times New Roman" w:cs="Times New Roman"/>
        </w:rPr>
      </w:pPr>
      <w:r>
        <w:rPr>
          <w:rFonts w:ascii="Times New Roman" w:hAnsi="Times New Roman" w:cs="Times New Roman"/>
        </w:rPr>
        <w:t>2.战时给水引入管、压力排水出户管需与主体土建施工同步完成。</w:t>
      </w:r>
    </w:p>
    <w:p w14:paraId="6C22AD5C">
      <w:pPr>
        <w:spacing w:before="24" w:after="24"/>
        <w:ind w:firstLine="560" w:firstLineChars="200"/>
        <w:rPr>
          <w:rFonts w:ascii="Times New Roman" w:hAnsi="Times New Roman" w:cs="Times New Roman"/>
        </w:rPr>
      </w:pPr>
      <w:r>
        <w:rPr>
          <w:rFonts w:ascii="Times New Roman" w:hAnsi="Times New Roman" w:cs="Times New Roman"/>
        </w:rPr>
        <w:t>3.贮水箱、给水泵设置位置不得设置另外固定设施，以免影响战时水箱及给水泵的安装。</w:t>
      </w:r>
    </w:p>
    <w:p w14:paraId="09618F4C">
      <w:pPr>
        <w:spacing w:before="24" w:after="24"/>
        <w:ind w:firstLine="560" w:firstLineChars="200"/>
        <w:rPr>
          <w:rFonts w:ascii="Times New Roman" w:hAnsi="Times New Roman" w:cs="Times New Roman"/>
        </w:rPr>
      </w:pPr>
      <w:r>
        <w:rPr>
          <w:rFonts w:ascii="Times New Roman" w:hAnsi="Times New Roman" w:cs="Times New Roman"/>
        </w:rPr>
        <w:t>4.临战转换时限内，若平战合用集水坑内有平时剩余废水，则手动启动排污水泵将废水排出室外，确保防护隔绝时间内污水贮存。</w:t>
      </w:r>
    </w:p>
    <w:p w14:paraId="7EC3073C">
      <w:pPr>
        <w:spacing w:before="24" w:after="24"/>
        <w:ind w:firstLine="560" w:firstLineChars="200"/>
        <w:rPr>
          <w:rFonts w:ascii="Times New Roman" w:hAnsi="Times New Roman" w:cs="Times New Roman"/>
        </w:rPr>
      </w:pPr>
      <w:r>
        <w:rPr>
          <w:rFonts w:ascii="Times New Roman" w:hAnsi="Times New Roman" w:cs="Times New Roman"/>
        </w:rPr>
        <w:t>5.平战结合的防空地下室中，战时使用的给水引入管、排水出户管和防爆波地漏，应在工程施工，安装时一次完成。</w:t>
      </w:r>
    </w:p>
    <w:p w14:paraId="1AF98495">
      <w:pPr>
        <w:spacing w:before="24" w:after="24"/>
        <w:ind w:firstLine="562" w:firstLineChars="200"/>
        <w:outlineLvl w:val="4"/>
        <w:rPr>
          <w:rFonts w:ascii="Times New Roman" w:hAnsi="Times New Roman" w:cs="Times New Roman"/>
          <w:b/>
        </w:rPr>
      </w:pPr>
      <w:r>
        <w:rPr>
          <w:rFonts w:ascii="Times New Roman" w:hAnsi="Times New Roman" w:cs="Times New Roman"/>
          <w:b/>
        </w:rPr>
        <w:t>5.4.5管材、水箱及安装</w:t>
      </w:r>
    </w:p>
    <w:p w14:paraId="715FFE4D">
      <w:pPr>
        <w:spacing w:before="24" w:after="24"/>
        <w:ind w:firstLine="560" w:firstLineChars="200"/>
        <w:rPr>
          <w:rFonts w:ascii="Times New Roman" w:hAnsi="Times New Roman" w:cs="Times New Roman"/>
        </w:rPr>
      </w:pPr>
      <w:r>
        <w:rPr>
          <w:rFonts w:ascii="Times New Roman" w:hAnsi="Times New Roman" w:cs="Times New Roman"/>
        </w:rPr>
        <w:t>1.穿过人防围护结构的战时给水管道采用钢塑复合管或者热镀锌钢管；穿过人防围护结构的排水管采用钢塑复合管或者其他经过可靠防腐处理的钢管；人防围护结构内的重力排水管采用机制铸铁管或者其他经过可靠防腐处理的钢管。给水管明敷，排水管埋地敷设。接战时贮水箱的溢流管和放空管明敷。</w:t>
      </w:r>
    </w:p>
    <w:p w14:paraId="0AABB654">
      <w:pPr>
        <w:spacing w:before="24" w:after="24"/>
        <w:ind w:firstLine="560" w:firstLineChars="200"/>
        <w:rPr>
          <w:rFonts w:ascii="Times New Roman" w:hAnsi="Times New Roman" w:cs="Times New Roman"/>
        </w:rPr>
      </w:pPr>
      <w:r>
        <w:rPr>
          <w:rFonts w:ascii="Times New Roman" w:hAnsi="Times New Roman" w:cs="Times New Roman"/>
        </w:rPr>
        <w:t>2.管径小于或等于DN100采用螺纹连接。套丝扣时破坏的镀锌层表面及外露螺纹部分应做防腐处理。管径大于DN100采用法兰连接。镀锌钢管与被破坏的镀锌层表面及外露螺纹部分应做防腐处理。</w:t>
      </w:r>
    </w:p>
    <w:p w14:paraId="787E6CC9">
      <w:pPr>
        <w:spacing w:before="24" w:after="24"/>
        <w:ind w:firstLine="560" w:firstLineChars="200"/>
        <w:rPr>
          <w:rFonts w:ascii="Times New Roman" w:hAnsi="Times New Roman" w:cs="Times New Roman"/>
        </w:rPr>
      </w:pPr>
      <w:r>
        <w:rPr>
          <w:rFonts w:ascii="Times New Roman" w:hAnsi="Times New Roman" w:cs="Times New Roman"/>
        </w:rPr>
        <w:t>3.战时生活水箱和饮用水箱采用不锈钢水箱，水箱内设置自洁消毒器。</w:t>
      </w:r>
    </w:p>
    <w:p w14:paraId="252044AC">
      <w:pPr>
        <w:pStyle w:val="64"/>
        <w:spacing w:before="24" w:after="24"/>
        <w:rPr>
          <w:rFonts w:cs="Times New Roman"/>
          <w:highlight w:val="yellow"/>
        </w:rPr>
      </w:pPr>
      <w:bookmarkStart w:id="103" w:name="_Toc221894134"/>
      <w:r>
        <w:rPr>
          <w:rFonts w:cs="Times New Roman"/>
        </w:rPr>
        <w:t>6、暖通专业</w:t>
      </w:r>
      <w:bookmarkEnd w:id="103"/>
    </w:p>
    <w:p w14:paraId="61F73274">
      <w:pPr>
        <w:pStyle w:val="66"/>
        <w:rPr>
          <w:rFonts w:cs="Times New Roman"/>
        </w:rPr>
      </w:pPr>
      <w:r>
        <w:rPr>
          <w:rFonts w:cs="Times New Roman"/>
        </w:rPr>
        <w:t>6.1 总则</w:t>
      </w:r>
    </w:p>
    <w:p w14:paraId="63578047">
      <w:pPr>
        <w:pStyle w:val="54"/>
        <w:spacing w:before="24" w:after="24"/>
      </w:pPr>
      <w:r>
        <w:t>6.1.1应严格遵循国家、地方以及行业等相关规范、规程、标准及规定，必须严格执行规范中的强制性条文，图纸应能达到国家建设部《建筑工程设计文件编制深度规定》2016版要求的深度。</w:t>
      </w:r>
    </w:p>
    <w:p w14:paraId="2EE11277">
      <w:pPr>
        <w:pStyle w:val="54"/>
        <w:spacing w:before="24" w:after="24"/>
      </w:pPr>
      <w:r>
        <w:t>6.1.2各工程子项的技术标准及绘图标准应统一；一套施工图的设计需要遵守“每个专业所使用的图纸，不宜多于两种幅面（不含目录及表格所采用的A4幅面）”的规定</w:t>
      </w:r>
      <w:r>
        <w:rPr>
          <w:rFonts w:eastAsia="MS Gothic"/>
        </w:rPr>
        <w:t>‌</w:t>
      </w:r>
      <w:r>
        <w:t>。</w:t>
      </w:r>
    </w:p>
    <w:p w14:paraId="0B8E1D93">
      <w:pPr>
        <w:pStyle w:val="54"/>
        <w:spacing w:before="24" w:after="24"/>
      </w:pPr>
      <w:r>
        <w:t>6.1.3设计前应充分了解项目所在地的气象条件及相关主管部门的要求。</w:t>
      </w:r>
    </w:p>
    <w:p w14:paraId="661148AC">
      <w:pPr>
        <w:pStyle w:val="54"/>
        <w:spacing w:before="24" w:after="24"/>
      </w:pPr>
      <w:r>
        <w:t>6.1.4有特殊设备的场所（例如：实验室、洁净手术室、专业机房等，可由承包人聘请的专业公司深化设计），设计时需预留安装条件。</w:t>
      </w:r>
    </w:p>
    <w:p w14:paraId="401DD822">
      <w:pPr>
        <w:pStyle w:val="54"/>
        <w:spacing w:before="24" w:after="24"/>
      </w:pPr>
      <w:r>
        <w:t>6.1.5按合同范围完成工程所涉的二次设计和深化设计（如市政燃气设计、抗震支架设计及厨房和精装修设计的暖通部分），所有二次设计及其深化设计等均应符合现行相关规范的规定，并不可改变原土建施工图布局；不可改动消防设计、防火分隔、疏散路线及宽度等涉及安全的内容。如确需改动应由发包人确认后提出，并经原设计方同意后方可实施。</w:t>
      </w:r>
    </w:p>
    <w:p w14:paraId="53F96E89">
      <w:pPr>
        <w:pStyle w:val="54"/>
        <w:spacing w:before="24" w:after="24"/>
      </w:pPr>
      <w:r>
        <w:t>6.1.6工程合同范围内所涉的二次深化设计，深化设计成果需经过全过程工作咨询单位审核，再报发包人审批后才可实施。</w:t>
      </w:r>
    </w:p>
    <w:p w14:paraId="231263F9">
      <w:pPr>
        <w:pStyle w:val="54"/>
        <w:spacing w:before="24" w:after="24"/>
      </w:pPr>
      <w:r>
        <w:t>6.1.7根据德钦新县城所在地叶枝镇的气象资料和现行国家标准《民用建筑热工设计规范》（GB 50176-2016），结合《德钦新县城建筑热工设计分区专家论证意见》，德钦新县城（叶枝镇）建筑热工设计分区属于温和A区。</w:t>
      </w:r>
    </w:p>
    <w:p w14:paraId="13921802">
      <w:pPr>
        <w:pStyle w:val="54"/>
        <w:spacing w:before="24" w:after="24"/>
      </w:pPr>
      <w:r>
        <w:t>6.1.8 根据建筑物各分区使用功能、使用时间以及消防要求的不同，合理科学地设置机械通风系统、空调系统、防排烟系统。在系统上把使用功能不同、使用时间不同的分区分别设置，在满足各功能分区环境舒适、消防安全的前提下，以降低系统投资和运行费用，达到管理计费方便的目的。</w:t>
      </w:r>
    </w:p>
    <w:p w14:paraId="66AFC251">
      <w:pPr>
        <w:pStyle w:val="54"/>
        <w:spacing w:before="24" w:after="24"/>
      </w:pPr>
      <w:r>
        <w:t>6.1.9遵循被动式技术优先、主动式技术优化的原则，最大限度降低系统运行能耗，在各种有效通风设施选择中，优先采用有组织的自然通风措施，充分利用室外空气带走室内余湿余热；减少对机械通风、空气调节等高耗能设备的依赖，经济、高效且低碳地改善室内空气环境。</w:t>
      </w:r>
    </w:p>
    <w:p w14:paraId="7FBE831A">
      <w:pPr>
        <w:pStyle w:val="54"/>
        <w:spacing w:before="24" w:after="24"/>
      </w:pPr>
      <w:r>
        <w:t>6.1.10暖通系统设计在满足使用要求的同时还应为施工安装、操作管理、维修检测以及安全防护等提供便利条件。</w:t>
      </w:r>
    </w:p>
    <w:p w14:paraId="4AB868F1">
      <w:pPr>
        <w:pStyle w:val="54"/>
        <w:spacing w:before="24" w:after="24"/>
      </w:pPr>
      <w:r>
        <w:t>6.1.11暖通设备选型遵循经济合理、使用安全、运维便利的原则，采用低噪声、低能耗、低污染、高效率、高可靠性的成熟设备。</w:t>
      </w:r>
    </w:p>
    <w:p w14:paraId="1F9EBFFE">
      <w:pPr>
        <w:spacing w:before="24" w:after="24"/>
        <w:ind w:firstLine="562" w:firstLineChars="200"/>
        <w:outlineLvl w:val="3"/>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t>6.2 设计范围</w:t>
      </w:r>
    </w:p>
    <w:p w14:paraId="28382FF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德钦县城地质灾害避险搬迁近期建设项目二期的通风、防排烟、空调、人防防护通风系统设计。</w:t>
      </w:r>
    </w:p>
    <w:p w14:paraId="0E94F585">
      <w:pPr>
        <w:spacing w:before="24" w:after="24"/>
        <w:ind w:firstLine="562" w:firstLineChars="200"/>
        <w:outlineLvl w:val="3"/>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t>6.3 通风系统</w:t>
      </w:r>
    </w:p>
    <w:p w14:paraId="039B9A2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6.3.1常规通风系统</w:t>
      </w:r>
    </w:p>
    <w:p w14:paraId="0376864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（1）主要用房通风换气标准</w:t>
      </w:r>
    </w:p>
    <w:tbl>
      <w:tblPr>
        <w:tblStyle w:val="31"/>
        <w:tblW w:w="523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6"/>
        <w:gridCol w:w="2049"/>
        <w:gridCol w:w="2314"/>
        <w:gridCol w:w="3149"/>
        <w:gridCol w:w="1296"/>
      </w:tblGrid>
      <w:tr w14:paraId="60B2C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tblHeader/>
          <w:jc w:val="center"/>
        </w:trPr>
        <w:tc>
          <w:tcPr>
            <w:tcW w:w="371"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50AABD5">
            <w:pPr>
              <w:spacing w:before="24" w:after="24" w:line="288" w:lineRule="auto"/>
              <w:jc w:val="center"/>
              <w:rPr>
                <w:rFonts w:ascii="Times New Roman" w:hAnsi="Times New Roman" w:cs="Times New Roman"/>
                <w:sz w:val="24"/>
              </w:rPr>
            </w:pPr>
            <w:r>
              <w:rPr>
                <w:rFonts w:ascii="Times New Roman" w:hAnsi="Times New Roman" w:cs="Times New Roman"/>
                <w:sz w:val="24"/>
              </w:rPr>
              <w:t>序号</w:t>
            </w:r>
          </w:p>
        </w:tc>
        <w:tc>
          <w:tcPr>
            <w:tcW w:w="1077"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56EFA3F">
            <w:pPr>
              <w:spacing w:before="24" w:after="24" w:line="288" w:lineRule="auto"/>
              <w:jc w:val="center"/>
              <w:rPr>
                <w:rFonts w:ascii="Times New Roman" w:hAnsi="Times New Roman" w:cs="Times New Roman"/>
                <w:sz w:val="24"/>
              </w:rPr>
            </w:pPr>
            <w:r>
              <w:rPr>
                <w:rFonts w:ascii="Times New Roman" w:hAnsi="Times New Roman" w:cs="Times New Roman"/>
                <w:sz w:val="24"/>
              </w:rPr>
              <w:t>房间名称</w:t>
            </w:r>
          </w:p>
        </w:tc>
        <w:tc>
          <w:tcPr>
            <w:tcW w:w="121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D832411">
            <w:pPr>
              <w:spacing w:before="24" w:after="24" w:line="288" w:lineRule="auto"/>
              <w:jc w:val="center"/>
              <w:rPr>
                <w:rFonts w:ascii="Times New Roman" w:hAnsi="Times New Roman" w:cs="Times New Roman"/>
                <w:sz w:val="24"/>
              </w:rPr>
            </w:pPr>
            <w:r>
              <w:rPr>
                <w:rFonts w:ascii="Times New Roman" w:hAnsi="Times New Roman" w:cs="Times New Roman"/>
                <w:sz w:val="24"/>
              </w:rPr>
              <w:t>通风设计取值</w:t>
            </w:r>
          </w:p>
        </w:tc>
        <w:tc>
          <w:tcPr>
            <w:tcW w:w="1655"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B0B9092">
            <w:pPr>
              <w:spacing w:before="24" w:after="24" w:line="288" w:lineRule="auto"/>
              <w:jc w:val="center"/>
              <w:rPr>
                <w:rFonts w:ascii="Times New Roman" w:hAnsi="Times New Roman" w:cs="Times New Roman"/>
                <w:sz w:val="24"/>
              </w:rPr>
            </w:pPr>
            <w:r>
              <w:rPr>
                <w:rFonts w:ascii="Times New Roman" w:hAnsi="Times New Roman" w:cs="Times New Roman"/>
                <w:sz w:val="24"/>
              </w:rPr>
              <w:t>通风方式</w:t>
            </w:r>
          </w:p>
        </w:tc>
        <w:tc>
          <w:tcPr>
            <w:tcW w:w="682"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5B5F632">
            <w:pPr>
              <w:spacing w:before="24" w:after="24" w:line="288" w:lineRule="auto"/>
              <w:jc w:val="center"/>
              <w:rPr>
                <w:rFonts w:ascii="Times New Roman" w:hAnsi="Times New Roman" w:cs="Times New Roman"/>
                <w:sz w:val="24"/>
              </w:rPr>
            </w:pPr>
            <w:r>
              <w:rPr>
                <w:rFonts w:ascii="Times New Roman" w:hAnsi="Times New Roman" w:cs="Times New Roman"/>
                <w:sz w:val="24"/>
              </w:rPr>
              <w:t>备注</w:t>
            </w:r>
          </w:p>
        </w:tc>
      </w:tr>
      <w:tr w14:paraId="4CA09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9" w:hRule="atLeast"/>
          <w:jc w:val="center"/>
        </w:trPr>
        <w:tc>
          <w:tcPr>
            <w:tcW w:w="371"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6C00ADC">
            <w:pPr>
              <w:spacing w:before="24" w:after="24" w:line="288" w:lineRule="auto"/>
              <w:jc w:val="center"/>
              <w:rPr>
                <w:rFonts w:ascii="Times New Roman" w:hAnsi="Times New Roman" w:cs="Times New Roman"/>
                <w:sz w:val="24"/>
              </w:rPr>
            </w:pPr>
            <w:r>
              <w:rPr>
                <w:rFonts w:ascii="Times New Roman" w:hAnsi="Times New Roman" w:cs="Times New Roman"/>
                <w:sz w:val="24"/>
              </w:rPr>
              <w:t>1</w:t>
            </w:r>
          </w:p>
        </w:tc>
        <w:tc>
          <w:tcPr>
            <w:tcW w:w="1077"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06D81C6">
            <w:pPr>
              <w:spacing w:before="24" w:after="24" w:line="288" w:lineRule="auto"/>
              <w:jc w:val="center"/>
              <w:rPr>
                <w:rFonts w:ascii="Times New Roman" w:hAnsi="Times New Roman" w:cs="Times New Roman"/>
                <w:sz w:val="24"/>
              </w:rPr>
            </w:pPr>
            <w:r>
              <w:rPr>
                <w:rFonts w:ascii="Times New Roman" w:hAnsi="Times New Roman" w:cs="Times New Roman"/>
                <w:sz w:val="24"/>
              </w:rPr>
              <w:t>地下机动车库</w:t>
            </w:r>
          </w:p>
        </w:tc>
        <w:tc>
          <w:tcPr>
            <w:tcW w:w="121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4185955">
            <w:pPr>
              <w:spacing w:before="24" w:after="24" w:line="288" w:lineRule="auto"/>
              <w:jc w:val="center"/>
              <w:rPr>
                <w:rFonts w:ascii="Times New Roman" w:hAnsi="Times New Roman" w:cs="Times New Roman"/>
                <w:sz w:val="24"/>
              </w:rPr>
            </w:pPr>
            <w:r>
              <w:rPr>
                <w:rFonts w:ascii="Times New Roman" w:hAnsi="Times New Roman" w:cs="Times New Roman"/>
                <w:sz w:val="24"/>
              </w:rPr>
              <w:t>≥6次/h</w:t>
            </w:r>
          </w:p>
        </w:tc>
        <w:tc>
          <w:tcPr>
            <w:tcW w:w="1655"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527C18A">
            <w:pPr>
              <w:spacing w:before="24" w:after="24" w:line="288" w:lineRule="auto"/>
              <w:jc w:val="center"/>
              <w:rPr>
                <w:rFonts w:ascii="Times New Roman" w:hAnsi="Times New Roman" w:cs="Times New Roman"/>
                <w:sz w:val="24"/>
              </w:rPr>
            </w:pPr>
            <w:r>
              <w:rPr>
                <w:rFonts w:ascii="Times New Roman" w:hAnsi="Times New Roman" w:cs="Times New Roman"/>
                <w:sz w:val="24"/>
              </w:rPr>
              <w:t>机械通风（优先采用自然通风）</w:t>
            </w:r>
          </w:p>
        </w:tc>
        <w:tc>
          <w:tcPr>
            <w:tcW w:w="682"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1386C53">
            <w:pPr>
              <w:spacing w:before="24" w:after="24" w:line="288" w:lineRule="auto"/>
              <w:jc w:val="center"/>
              <w:rPr>
                <w:rFonts w:ascii="Times New Roman" w:hAnsi="Times New Roman" w:cs="Times New Roman"/>
                <w:sz w:val="24"/>
              </w:rPr>
            </w:pPr>
          </w:p>
        </w:tc>
      </w:tr>
      <w:tr w14:paraId="01B3E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371"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7F03409">
            <w:pPr>
              <w:spacing w:before="24" w:after="24" w:line="288" w:lineRule="auto"/>
              <w:jc w:val="center"/>
              <w:rPr>
                <w:rFonts w:ascii="Times New Roman" w:hAnsi="Times New Roman" w:cs="Times New Roman"/>
                <w:sz w:val="24"/>
              </w:rPr>
            </w:pPr>
            <w:r>
              <w:rPr>
                <w:rFonts w:ascii="Times New Roman" w:hAnsi="Times New Roman" w:cs="Times New Roman"/>
                <w:sz w:val="24"/>
              </w:rPr>
              <w:t>2</w:t>
            </w:r>
          </w:p>
        </w:tc>
        <w:tc>
          <w:tcPr>
            <w:tcW w:w="1077"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509232C">
            <w:pPr>
              <w:spacing w:before="24" w:after="24" w:line="288" w:lineRule="auto"/>
              <w:jc w:val="center"/>
              <w:rPr>
                <w:rFonts w:ascii="Times New Roman" w:hAnsi="Times New Roman" w:cs="Times New Roman"/>
                <w:sz w:val="24"/>
              </w:rPr>
            </w:pPr>
            <w:r>
              <w:rPr>
                <w:rFonts w:ascii="Times New Roman" w:hAnsi="Times New Roman" w:cs="Times New Roman"/>
                <w:sz w:val="24"/>
              </w:rPr>
              <w:t>非机动车库</w:t>
            </w:r>
          </w:p>
        </w:tc>
        <w:tc>
          <w:tcPr>
            <w:tcW w:w="121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A972A06">
            <w:pPr>
              <w:spacing w:before="24" w:after="24" w:line="288" w:lineRule="auto"/>
              <w:jc w:val="center"/>
              <w:rPr>
                <w:rFonts w:ascii="Times New Roman" w:hAnsi="Times New Roman" w:cs="Times New Roman"/>
                <w:sz w:val="24"/>
              </w:rPr>
            </w:pPr>
            <w:r>
              <w:rPr>
                <w:rFonts w:ascii="Times New Roman" w:hAnsi="Times New Roman" w:cs="Times New Roman"/>
                <w:sz w:val="24"/>
              </w:rPr>
              <w:t>3～5次/h</w:t>
            </w:r>
          </w:p>
        </w:tc>
        <w:tc>
          <w:tcPr>
            <w:tcW w:w="1655"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433F642">
            <w:pPr>
              <w:spacing w:before="24" w:after="24" w:line="288" w:lineRule="auto"/>
              <w:jc w:val="center"/>
              <w:rPr>
                <w:rFonts w:ascii="Times New Roman" w:hAnsi="Times New Roman" w:cs="Times New Roman"/>
                <w:sz w:val="24"/>
              </w:rPr>
            </w:pPr>
            <w:r>
              <w:rPr>
                <w:rFonts w:ascii="Times New Roman" w:hAnsi="Times New Roman" w:cs="Times New Roman"/>
                <w:sz w:val="24"/>
              </w:rPr>
              <w:t>机械通风（优先采用自然通风）</w:t>
            </w:r>
          </w:p>
        </w:tc>
        <w:tc>
          <w:tcPr>
            <w:tcW w:w="682"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87AFFCB">
            <w:pPr>
              <w:spacing w:before="24" w:after="24" w:line="288" w:lineRule="auto"/>
              <w:jc w:val="center"/>
              <w:rPr>
                <w:rFonts w:ascii="Times New Roman" w:hAnsi="Times New Roman" w:cs="Times New Roman"/>
                <w:sz w:val="24"/>
              </w:rPr>
            </w:pPr>
          </w:p>
        </w:tc>
      </w:tr>
      <w:tr w14:paraId="4A08D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371"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D16FDDC">
            <w:pPr>
              <w:spacing w:before="24" w:after="24" w:line="288" w:lineRule="auto"/>
              <w:jc w:val="center"/>
              <w:rPr>
                <w:rFonts w:ascii="Times New Roman" w:hAnsi="Times New Roman" w:cs="Times New Roman"/>
                <w:sz w:val="24"/>
              </w:rPr>
            </w:pPr>
            <w:r>
              <w:rPr>
                <w:rFonts w:ascii="Times New Roman" w:hAnsi="Times New Roman" w:cs="Times New Roman"/>
                <w:sz w:val="24"/>
              </w:rPr>
              <w:t>3</w:t>
            </w:r>
          </w:p>
        </w:tc>
        <w:tc>
          <w:tcPr>
            <w:tcW w:w="1077"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615E2DA">
            <w:pPr>
              <w:spacing w:before="24" w:after="24" w:line="288" w:lineRule="auto"/>
              <w:jc w:val="center"/>
              <w:rPr>
                <w:rFonts w:ascii="Times New Roman" w:hAnsi="Times New Roman" w:cs="Times New Roman"/>
                <w:sz w:val="24"/>
              </w:rPr>
            </w:pPr>
            <w:r>
              <w:rPr>
                <w:rFonts w:ascii="Times New Roman" w:hAnsi="Times New Roman" w:cs="Times New Roman"/>
                <w:sz w:val="24"/>
              </w:rPr>
              <w:t>柴油发电机房</w:t>
            </w:r>
          </w:p>
        </w:tc>
        <w:tc>
          <w:tcPr>
            <w:tcW w:w="121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0AC8E67">
            <w:pPr>
              <w:spacing w:before="24" w:after="24" w:line="288" w:lineRule="auto"/>
              <w:jc w:val="center"/>
              <w:rPr>
                <w:rFonts w:ascii="Times New Roman" w:hAnsi="Times New Roman" w:cs="Times New Roman"/>
                <w:sz w:val="24"/>
              </w:rPr>
            </w:pPr>
            <w:r>
              <w:rPr>
                <w:rFonts w:ascii="Times New Roman" w:hAnsi="Times New Roman" w:cs="Times New Roman"/>
                <w:sz w:val="24"/>
              </w:rPr>
              <w:t>≥5次/h</w:t>
            </w:r>
          </w:p>
        </w:tc>
        <w:tc>
          <w:tcPr>
            <w:tcW w:w="1655"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6DFCAA6">
            <w:pPr>
              <w:spacing w:before="24" w:after="24" w:line="288" w:lineRule="auto"/>
              <w:jc w:val="center"/>
              <w:rPr>
                <w:rFonts w:ascii="Times New Roman" w:hAnsi="Times New Roman" w:cs="Times New Roman"/>
                <w:sz w:val="24"/>
              </w:rPr>
            </w:pPr>
            <w:r>
              <w:rPr>
                <w:rFonts w:ascii="Times New Roman" w:hAnsi="Times New Roman" w:cs="Times New Roman"/>
                <w:sz w:val="24"/>
              </w:rPr>
              <w:t>按照工艺要求机械通风</w:t>
            </w:r>
          </w:p>
        </w:tc>
        <w:tc>
          <w:tcPr>
            <w:tcW w:w="682"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26E3C37">
            <w:pPr>
              <w:spacing w:before="24" w:after="24" w:line="288" w:lineRule="auto"/>
              <w:jc w:val="center"/>
              <w:rPr>
                <w:rFonts w:ascii="Times New Roman" w:hAnsi="Times New Roman" w:cs="Times New Roman"/>
                <w:sz w:val="24"/>
              </w:rPr>
            </w:pPr>
          </w:p>
        </w:tc>
      </w:tr>
      <w:tr w14:paraId="755D02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371"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F640021">
            <w:pPr>
              <w:spacing w:before="24" w:after="24" w:line="288" w:lineRule="auto"/>
              <w:jc w:val="center"/>
              <w:rPr>
                <w:rFonts w:ascii="Times New Roman" w:hAnsi="Times New Roman" w:cs="Times New Roman"/>
                <w:sz w:val="24"/>
              </w:rPr>
            </w:pPr>
            <w:r>
              <w:rPr>
                <w:rFonts w:ascii="Times New Roman" w:hAnsi="Times New Roman" w:cs="Times New Roman"/>
                <w:sz w:val="24"/>
              </w:rPr>
              <w:t>4</w:t>
            </w:r>
          </w:p>
        </w:tc>
        <w:tc>
          <w:tcPr>
            <w:tcW w:w="1077"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A65C71B">
            <w:pPr>
              <w:spacing w:before="24" w:after="24" w:line="288" w:lineRule="auto"/>
              <w:jc w:val="center"/>
              <w:rPr>
                <w:rFonts w:ascii="Times New Roman" w:hAnsi="Times New Roman" w:cs="Times New Roman"/>
                <w:sz w:val="24"/>
              </w:rPr>
            </w:pPr>
            <w:r>
              <w:rPr>
                <w:rFonts w:ascii="Times New Roman" w:hAnsi="Times New Roman" w:cs="Times New Roman"/>
                <w:sz w:val="24"/>
              </w:rPr>
              <w:t>水泵房</w:t>
            </w:r>
          </w:p>
        </w:tc>
        <w:tc>
          <w:tcPr>
            <w:tcW w:w="121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D943DD6">
            <w:pPr>
              <w:spacing w:before="24" w:after="24" w:line="288" w:lineRule="auto"/>
              <w:jc w:val="center"/>
              <w:rPr>
                <w:rFonts w:ascii="Times New Roman" w:hAnsi="Times New Roman" w:cs="Times New Roman"/>
                <w:sz w:val="24"/>
              </w:rPr>
            </w:pPr>
            <w:r>
              <w:rPr>
                <w:rFonts w:ascii="Times New Roman" w:hAnsi="Times New Roman" w:cs="Times New Roman"/>
                <w:sz w:val="24"/>
              </w:rPr>
              <w:t>≥6次/h</w:t>
            </w:r>
          </w:p>
        </w:tc>
        <w:tc>
          <w:tcPr>
            <w:tcW w:w="1655"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B150B36">
            <w:pPr>
              <w:spacing w:before="24" w:after="24" w:line="288" w:lineRule="auto"/>
              <w:jc w:val="center"/>
              <w:rPr>
                <w:rFonts w:ascii="Times New Roman" w:hAnsi="Times New Roman" w:cs="Times New Roman"/>
                <w:sz w:val="24"/>
              </w:rPr>
            </w:pPr>
            <w:r>
              <w:rPr>
                <w:rFonts w:ascii="Times New Roman" w:hAnsi="Times New Roman" w:cs="Times New Roman"/>
                <w:sz w:val="24"/>
              </w:rPr>
              <w:t>机械排风/自然进风</w:t>
            </w:r>
          </w:p>
        </w:tc>
        <w:tc>
          <w:tcPr>
            <w:tcW w:w="682"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15C19F7">
            <w:pPr>
              <w:spacing w:before="24" w:after="24" w:line="288" w:lineRule="auto"/>
              <w:jc w:val="center"/>
              <w:rPr>
                <w:rFonts w:ascii="Times New Roman" w:hAnsi="Times New Roman" w:cs="Times New Roman"/>
                <w:sz w:val="24"/>
              </w:rPr>
            </w:pPr>
          </w:p>
        </w:tc>
      </w:tr>
      <w:tr w14:paraId="37371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371"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C39C11D">
            <w:pPr>
              <w:spacing w:before="24" w:after="24" w:line="288" w:lineRule="auto"/>
              <w:jc w:val="center"/>
              <w:rPr>
                <w:rFonts w:ascii="Times New Roman" w:hAnsi="Times New Roman" w:cs="Times New Roman"/>
                <w:sz w:val="24"/>
              </w:rPr>
            </w:pPr>
            <w:r>
              <w:rPr>
                <w:rFonts w:ascii="Times New Roman" w:hAnsi="Times New Roman" w:cs="Times New Roman"/>
                <w:sz w:val="24"/>
              </w:rPr>
              <w:t>5</w:t>
            </w:r>
          </w:p>
        </w:tc>
        <w:tc>
          <w:tcPr>
            <w:tcW w:w="1077"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EB2300E">
            <w:pPr>
              <w:spacing w:before="24" w:after="24" w:line="288" w:lineRule="auto"/>
              <w:jc w:val="center"/>
              <w:rPr>
                <w:rFonts w:ascii="Times New Roman" w:hAnsi="Times New Roman" w:cs="Times New Roman"/>
                <w:sz w:val="24"/>
              </w:rPr>
            </w:pPr>
            <w:r>
              <w:rPr>
                <w:rFonts w:ascii="Times New Roman" w:hAnsi="Times New Roman" w:cs="Times New Roman"/>
                <w:sz w:val="24"/>
              </w:rPr>
              <w:t>消控室</w:t>
            </w:r>
          </w:p>
        </w:tc>
        <w:tc>
          <w:tcPr>
            <w:tcW w:w="121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4EA5D9B">
            <w:pPr>
              <w:spacing w:before="24" w:after="24" w:line="288" w:lineRule="auto"/>
              <w:jc w:val="center"/>
              <w:rPr>
                <w:rFonts w:ascii="Times New Roman" w:hAnsi="Times New Roman" w:cs="Times New Roman"/>
                <w:sz w:val="24"/>
              </w:rPr>
            </w:pPr>
            <w:r>
              <w:rPr>
                <w:rFonts w:ascii="Times New Roman" w:hAnsi="Times New Roman" w:cs="Times New Roman"/>
                <w:sz w:val="24"/>
              </w:rPr>
              <w:t>≥6次/h</w:t>
            </w:r>
          </w:p>
        </w:tc>
        <w:tc>
          <w:tcPr>
            <w:tcW w:w="1655"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E15D8F4">
            <w:pPr>
              <w:spacing w:before="24" w:after="24" w:line="288" w:lineRule="auto"/>
              <w:jc w:val="center"/>
              <w:rPr>
                <w:rFonts w:ascii="Times New Roman" w:hAnsi="Times New Roman" w:cs="Times New Roman"/>
                <w:sz w:val="24"/>
              </w:rPr>
            </w:pPr>
            <w:r>
              <w:rPr>
                <w:rFonts w:ascii="Times New Roman" w:hAnsi="Times New Roman" w:cs="Times New Roman"/>
                <w:sz w:val="24"/>
              </w:rPr>
              <w:t>机械排风/自然进风</w:t>
            </w:r>
          </w:p>
        </w:tc>
        <w:tc>
          <w:tcPr>
            <w:tcW w:w="682"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730D3B8">
            <w:pPr>
              <w:spacing w:before="24" w:after="24" w:line="288" w:lineRule="auto"/>
              <w:jc w:val="center"/>
              <w:rPr>
                <w:rFonts w:ascii="Times New Roman" w:hAnsi="Times New Roman" w:cs="Times New Roman"/>
                <w:sz w:val="24"/>
              </w:rPr>
            </w:pPr>
          </w:p>
        </w:tc>
      </w:tr>
      <w:tr w14:paraId="7446A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371"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700B1FC">
            <w:pPr>
              <w:spacing w:before="24" w:after="24" w:line="288" w:lineRule="auto"/>
              <w:jc w:val="center"/>
              <w:rPr>
                <w:rFonts w:ascii="Times New Roman" w:hAnsi="Times New Roman" w:cs="Times New Roman"/>
                <w:sz w:val="24"/>
              </w:rPr>
            </w:pPr>
            <w:r>
              <w:rPr>
                <w:rFonts w:ascii="Times New Roman" w:hAnsi="Times New Roman" w:cs="Times New Roman"/>
                <w:sz w:val="24"/>
              </w:rPr>
              <w:t>6</w:t>
            </w:r>
          </w:p>
        </w:tc>
        <w:tc>
          <w:tcPr>
            <w:tcW w:w="1077"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0B9080F">
            <w:pPr>
              <w:spacing w:before="24" w:after="24" w:line="288" w:lineRule="auto"/>
              <w:jc w:val="center"/>
              <w:rPr>
                <w:rFonts w:ascii="Times New Roman" w:hAnsi="Times New Roman" w:cs="Times New Roman"/>
                <w:sz w:val="24"/>
              </w:rPr>
            </w:pPr>
            <w:r>
              <w:rPr>
                <w:rFonts w:ascii="Times New Roman" w:hAnsi="Times New Roman" w:cs="Times New Roman"/>
                <w:sz w:val="24"/>
              </w:rPr>
              <w:t>变配电室</w:t>
            </w:r>
          </w:p>
        </w:tc>
        <w:tc>
          <w:tcPr>
            <w:tcW w:w="121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576F66C">
            <w:pPr>
              <w:spacing w:before="24" w:after="24" w:line="288" w:lineRule="auto"/>
              <w:jc w:val="center"/>
              <w:rPr>
                <w:rFonts w:ascii="Times New Roman" w:hAnsi="Times New Roman" w:cs="Times New Roman"/>
                <w:sz w:val="24"/>
              </w:rPr>
            </w:pPr>
            <w:r>
              <w:rPr>
                <w:rFonts w:ascii="Times New Roman" w:hAnsi="Times New Roman" w:cs="Times New Roman"/>
                <w:sz w:val="24"/>
              </w:rPr>
              <w:t>热平衡法≥5次/h</w:t>
            </w:r>
          </w:p>
        </w:tc>
        <w:tc>
          <w:tcPr>
            <w:tcW w:w="1655"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FD8784F">
            <w:pPr>
              <w:spacing w:before="24" w:after="24" w:line="288" w:lineRule="auto"/>
              <w:jc w:val="center"/>
              <w:rPr>
                <w:rFonts w:ascii="Times New Roman" w:hAnsi="Times New Roman" w:cs="Times New Roman"/>
                <w:sz w:val="24"/>
              </w:rPr>
            </w:pPr>
            <w:r>
              <w:rPr>
                <w:rFonts w:ascii="Times New Roman" w:hAnsi="Times New Roman" w:cs="Times New Roman"/>
                <w:sz w:val="24"/>
              </w:rPr>
              <w:t>按照工艺要求机械通风</w:t>
            </w:r>
          </w:p>
        </w:tc>
        <w:tc>
          <w:tcPr>
            <w:tcW w:w="682"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E8C37D4">
            <w:pPr>
              <w:spacing w:before="24" w:after="24" w:line="288" w:lineRule="auto"/>
              <w:jc w:val="center"/>
              <w:rPr>
                <w:rFonts w:ascii="Times New Roman" w:hAnsi="Times New Roman" w:cs="Times New Roman"/>
                <w:sz w:val="24"/>
              </w:rPr>
            </w:pPr>
          </w:p>
        </w:tc>
      </w:tr>
      <w:tr w14:paraId="1F6EC3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371"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527259B">
            <w:pPr>
              <w:spacing w:before="24" w:after="24" w:line="288" w:lineRule="auto"/>
              <w:jc w:val="center"/>
              <w:rPr>
                <w:rFonts w:ascii="Times New Roman" w:hAnsi="Times New Roman" w:cs="Times New Roman"/>
                <w:sz w:val="24"/>
              </w:rPr>
            </w:pPr>
            <w:r>
              <w:rPr>
                <w:rFonts w:ascii="Times New Roman" w:hAnsi="Times New Roman" w:cs="Times New Roman"/>
                <w:sz w:val="24"/>
              </w:rPr>
              <w:t>7</w:t>
            </w:r>
          </w:p>
        </w:tc>
        <w:tc>
          <w:tcPr>
            <w:tcW w:w="1077"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9DA993A">
            <w:pPr>
              <w:spacing w:before="24" w:after="24" w:line="288" w:lineRule="auto"/>
              <w:jc w:val="center"/>
              <w:rPr>
                <w:rFonts w:ascii="Times New Roman" w:hAnsi="Times New Roman" w:cs="Times New Roman"/>
                <w:sz w:val="24"/>
              </w:rPr>
            </w:pPr>
            <w:r>
              <w:rPr>
                <w:rFonts w:ascii="Times New Roman" w:hAnsi="Times New Roman" w:cs="Times New Roman"/>
                <w:sz w:val="24"/>
              </w:rPr>
              <w:t>弱电机房</w:t>
            </w:r>
          </w:p>
        </w:tc>
        <w:tc>
          <w:tcPr>
            <w:tcW w:w="121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23531D2">
            <w:pPr>
              <w:spacing w:before="24" w:after="24" w:line="288" w:lineRule="auto"/>
              <w:jc w:val="center"/>
              <w:rPr>
                <w:rFonts w:ascii="Times New Roman" w:hAnsi="Times New Roman" w:cs="Times New Roman"/>
                <w:sz w:val="24"/>
              </w:rPr>
            </w:pPr>
            <w:r>
              <w:rPr>
                <w:rFonts w:ascii="Times New Roman" w:hAnsi="Times New Roman" w:cs="Times New Roman"/>
                <w:sz w:val="24"/>
              </w:rPr>
              <w:t>4～6次/h</w:t>
            </w:r>
          </w:p>
        </w:tc>
        <w:tc>
          <w:tcPr>
            <w:tcW w:w="1655"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DC50068">
            <w:pPr>
              <w:spacing w:before="24" w:after="24" w:line="288" w:lineRule="auto"/>
              <w:jc w:val="center"/>
              <w:rPr>
                <w:rFonts w:ascii="Times New Roman" w:hAnsi="Times New Roman" w:cs="Times New Roman"/>
                <w:sz w:val="24"/>
              </w:rPr>
            </w:pPr>
            <w:r>
              <w:rPr>
                <w:rFonts w:ascii="Times New Roman" w:hAnsi="Times New Roman" w:cs="Times New Roman"/>
                <w:sz w:val="24"/>
              </w:rPr>
              <w:t>机械排风/自然进风</w:t>
            </w:r>
          </w:p>
        </w:tc>
        <w:tc>
          <w:tcPr>
            <w:tcW w:w="682"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9AD7BAF">
            <w:pPr>
              <w:spacing w:before="24" w:after="24" w:line="288" w:lineRule="auto"/>
              <w:jc w:val="center"/>
              <w:rPr>
                <w:rFonts w:ascii="Times New Roman" w:hAnsi="Times New Roman" w:cs="Times New Roman"/>
                <w:sz w:val="24"/>
              </w:rPr>
            </w:pPr>
          </w:p>
        </w:tc>
      </w:tr>
      <w:tr w14:paraId="694477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371"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7532C1B">
            <w:pPr>
              <w:spacing w:before="24" w:after="24" w:line="288" w:lineRule="auto"/>
              <w:jc w:val="center"/>
              <w:rPr>
                <w:rFonts w:ascii="Times New Roman" w:hAnsi="Times New Roman" w:cs="Times New Roman"/>
                <w:sz w:val="24"/>
              </w:rPr>
            </w:pPr>
            <w:r>
              <w:rPr>
                <w:rFonts w:ascii="Times New Roman" w:hAnsi="Times New Roman" w:cs="Times New Roman"/>
                <w:sz w:val="24"/>
              </w:rPr>
              <w:t>8</w:t>
            </w:r>
          </w:p>
        </w:tc>
        <w:tc>
          <w:tcPr>
            <w:tcW w:w="1077"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CD0125A">
            <w:pPr>
              <w:spacing w:before="24" w:after="24" w:line="288" w:lineRule="auto"/>
              <w:jc w:val="center"/>
              <w:rPr>
                <w:rFonts w:ascii="Times New Roman" w:hAnsi="Times New Roman" w:cs="Times New Roman"/>
                <w:sz w:val="24"/>
              </w:rPr>
            </w:pPr>
            <w:r>
              <w:rPr>
                <w:rFonts w:ascii="Times New Roman" w:hAnsi="Times New Roman" w:cs="Times New Roman"/>
                <w:sz w:val="24"/>
              </w:rPr>
              <w:t>电梯机房</w:t>
            </w:r>
          </w:p>
        </w:tc>
        <w:tc>
          <w:tcPr>
            <w:tcW w:w="121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55CDAFD">
            <w:pPr>
              <w:spacing w:before="24" w:after="24" w:line="288" w:lineRule="auto"/>
              <w:jc w:val="center"/>
              <w:rPr>
                <w:rFonts w:ascii="Times New Roman" w:hAnsi="Times New Roman" w:cs="Times New Roman"/>
                <w:sz w:val="24"/>
              </w:rPr>
            </w:pPr>
            <w:r>
              <w:rPr>
                <w:rFonts w:ascii="Times New Roman" w:hAnsi="Times New Roman" w:cs="Times New Roman"/>
                <w:sz w:val="24"/>
              </w:rPr>
              <w:t>≥6次/h</w:t>
            </w:r>
          </w:p>
        </w:tc>
        <w:tc>
          <w:tcPr>
            <w:tcW w:w="1655"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64A0303">
            <w:pPr>
              <w:spacing w:before="24" w:after="24" w:line="288" w:lineRule="auto"/>
              <w:jc w:val="center"/>
              <w:rPr>
                <w:rFonts w:ascii="Times New Roman" w:hAnsi="Times New Roman" w:cs="Times New Roman"/>
                <w:sz w:val="24"/>
              </w:rPr>
            </w:pPr>
            <w:r>
              <w:rPr>
                <w:rFonts w:ascii="Times New Roman" w:hAnsi="Times New Roman" w:cs="Times New Roman"/>
                <w:sz w:val="24"/>
              </w:rPr>
              <w:t>机械排风/自然进风</w:t>
            </w:r>
          </w:p>
        </w:tc>
        <w:tc>
          <w:tcPr>
            <w:tcW w:w="682"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0626188">
            <w:pPr>
              <w:spacing w:before="24" w:after="24" w:line="288" w:lineRule="auto"/>
              <w:jc w:val="center"/>
              <w:rPr>
                <w:rFonts w:ascii="Times New Roman" w:hAnsi="Times New Roman" w:cs="Times New Roman"/>
                <w:sz w:val="24"/>
              </w:rPr>
            </w:pPr>
          </w:p>
        </w:tc>
      </w:tr>
      <w:tr w14:paraId="40543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371"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2A07C3E">
            <w:pPr>
              <w:spacing w:before="24" w:after="24" w:line="288" w:lineRule="auto"/>
              <w:jc w:val="center"/>
              <w:rPr>
                <w:rFonts w:ascii="Times New Roman" w:hAnsi="Times New Roman" w:cs="Times New Roman"/>
                <w:sz w:val="24"/>
              </w:rPr>
            </w:pPr>
            <w:r>
              <w:rPr>
                <w:rFonts w:ascii="Times New Roman" w:hAnsi="Times New Roman" w:cs="Times New Roman"/>
                <w:sz w:val="24"/>
              </w:rPr>
              <w:t>9</w:t>
            </w:r>
          </w:p>
        </w:tc>
        <w:tc>
          <w:tcPr>
            <w:tcW w:w="1077"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1CB18C2">
            <w:pPr>
              <w:spacing w:before="24" w:after="24" w:line="288" w:lineRule="auto"/>
              <w:jc w:val="center"/>
              <w:rPr>
                <w:rFonts w:ascii="Times New Roman" w:hAnsi="Times New Roman" w:cs="Times New Roman"/>
                <w:sz w:val="24"/>
              </w:rPr>
            </w:pPr>
            <w:r>
              <w:rPr>
                <w:rFonts w:ascii="Times New Roman" w:hAnsi="Times New Roman" w:cs="Times New Roman"/>
                <w:sz w:val="24"/>
              </w:rPr>
              <w:t>卫生间、浴室、更衣室</w:t>
            </w:r>
          </w:p>
        </w:tc>
        <w:tc>
          <w:tcPr>
            <w:tcW w:w="121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781BA32">
            <w:pPr>
              <w:spacing w:before="24" w:after="24" w:line="288" w:lineRule="auto"/>
              <w:jc w:val="center"/>
              <w:rPr>
                <w:rFonts w:ascii="Times New Roman" w:hAnsi="Times New Roman" w:cs="Times New Roman"/>
                <w:sz w:val="24"/>
              </w:rPr>
            </w:pPr>
            <w:r>
              <w:rPr>
                <w:rFonts w:ascii="Times New Roman" w:hAnsi="Times New Roman" w:cs="Times New Roman"/>
                <w:sz w:val="24"/>
              </w:rPr>
              <w:t>5～10次/h</w:t>
            </w:r>
          </w:p>
        </w:tc>
        <w:tc>
          <w:tcPr>
            <w:tcW w:w="1655"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6D0FA56">
            <w:pPr>
              <w:spacing w:before="24" w:after="24" w:line="288" w:lineRule="auto"/>
              <w:jc w:val="center"/>
              <w:rPr>
                <w:rFonts w:ascii="Times New Roman" w:hAnsi="Times New Roman" w:cs="Times New Roman"/>
                <w:sz w:val="24"/>
              </w:rPr>
            </w:pPr>
            <w:r>
              <w:rPr>
                <w:rFonts w:ascii="Times New Roman" w:hAnsi="Times New Roman" w:cs="Times New Roman"/>
                <w:sz w:val="24"/>
              </w:rPr>
              <w:t>优先自然通风，辅以机械通风</w:t>
            </w:r>
          </w:p>
        </w:tc>
        <w:tc>
          <w:tcPr>
            <w:tcW w:w="682"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A209DD8">
            <w:pPr>
              <w:spacing w:before="24" w:after="24" w:line="288" w:lineRule="auto"/>
              <w:jc w:val="center"/>
              <w:rPr>
                <w:rFonts w:ascii="Times New Roman" w:hAnsi="Times New Roman" w:cs="Times New Roman"/>
                <w:sz w:val="24"/>
              </w:rPr>
            </w:pPr>
          </w:p>
        </w:tc>
      </w:tr>
      <w:tr w14:paraId="089FC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371"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8E1E1D2">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c>
          <w:tcPr>
            <w:tcW w:w="1077"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CA126F5">
            <w:pPr>
              <w:spacing w:before="24" w:after="24" w:line="288" w:lineRule="auto"/>
              <w:jc w:val="center"/>
              <w:rPr>
                <w:rFonts w:ascii="Times New Roman" w:hAnsi="Times New Roman" w:cs="Times New Roman"/>
                <w:sz w:val="24"/>
              </w:rPr>
            </w:pPr>
            <w:r>
              <w:rPr>
                <w:rFonts w:ascii="Times New Roman" w:hAnsi="Times New Roman" w:cs="Times New Roman"/>
                <w:sz w:val="24"/>
              </w:rPr>
              <w:t>公共卫生间</w:t>
            </w:r>
          </w:p>
        </w:tc>
        <w:tc>
          <w:tcPr>
            <w:tcW w:w="121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D604D9D">
            <w:pPr>
              <w:spacing w:before="24" w:after="24" w:line="288" w:lineRule="auto"/>
              <w:jc w:val="center"/>
              <w:rPr>
                <w:rFonts w:ascii="Times New Roman" w:hAnsi="Times New Roman" w:cs="Times New Roman"/>
                <w:sz w:val="24"/>
              </w:rPr>
            </w:pPr>
            <w:r>
              <w:rPr>
                <w:rFonts w:ascii="Times New Roman" w:hAnsi="Times New Roman" w:cs="Times New Roman"/>
                <w:sz w:val="24"/>
              </w:rPr>
              <w:t>≥10次/h</w:t>
            </w:r>
          </w:p>
        </w:tc>
        <w:tc>
          <w:tcPr>
            <w:tcW w:w="1655"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28E33E3">
            <w:pPr>
              <w:spacing w:before="24" w:after="24" w:line="288" w:lineRule="auto"/>
              <w:jc w:val="center"/>
              <w:rPr>
                <w:rFonts w:ascii="Times New Roman" w:hAnsi="Times New Roman" w:cs="Times New Roman"/>
                <w:sz w:val="24"/>
              </w:rPr>
            </w:pPr>
            <w:r>
              <w:rPr>
                <w:rFonts w:ascii="Times New Roman" w:hAnsi="Times New Roman" w:cs="Times New Roman"/>
                <w:sz w:val="24"/>
              </w:rPr>
              <w:t>机械排风/自然进风</w:t>
            </w:r>
          </w:p>
        </w:tc>
        <w:tc>
          <w:tcPr>
            <w:tcW w:w="682"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469599D">
            <w:pPr>
              <w:spacing w:before="24" w:after="24" w:line="288" w:lineRule="auto"/>
              <w:jc w:val="center"/>
              <w:rPr>
                <w:rFonts w:ascii="Times New Roman" w:hAnsi="Times New Roman" w:cs="Times New Roman"/>
                <w:sz w:val="24"/>
              </w:rPr>
            </w:pPr>
            <w:r>
              <w:rPr>
                <w:rFonts w:ascii="Times New Roman" w:hAnsi="Times New Roman" w:cs="Times New Roman"/>
                <w:sz w:val="24"/>
              </w:rPr>
              <w:t>保持负压</w:t>
            </w:r>
          </w:p>
        </w:tc>
      </w:tr>
      <w:tr w14:paraId="6BB05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371"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4A92652">
            <w:pPr>
              <w:spacing w:before="24" w:after="24" w:line="288" w:lineRule="auto"/>
              <w:jc w:val="center"/>
              <w:rPr>
                <w:rFonts w:ascii="Times New Roman" w:hAnsi="Times New Roman" w:cs="Times New Roman"/>
                <w:sz w:val="24"/>
              </w:rPr>
            </w:pPr>
            <w:r>
              <w:rPr>
                <w:rFonts w:ascii="Times New Roman" w:hAnsi="Times New Roman" w:cs="Times New Roman"/>
                <w:sz w:val="24"/>
              </w:rPr>
              <w:t>11</w:t>
            </w:r>
          </w:p>
        </w:tc>
        <w:tc>
          <w:tcPr>
            <w:tcW w:w="1077"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830063C">
            <w:pPr>
              <w:spacing w:before="24" w:after="24" w:line="288" w:lineRule="auto"/>
              <w:jc w:val="center"/>
              <w:rPr>
                <w:rFonts w:ascii="Times New Roman" w:hAnsi="Times New Roman" w:cs="Times New Roman"/>
                <w:sz w:val="24"/>
              </w:rPr>
            </w:pPr>
            <w:r>
              <w:rPr>
                <w:rFonts w:ascii="Times New Roman" w:hAnsi="Times New Roman" w:cs="Times New Roman"/>
                <w:sz w:val="24"/>
              </w:rPr>
              <w:t>无外窗房间</w:t>
            </w:r>
          </w:p>
        </w:tc>
        <w:tc>
          <w:tcPr>
            <w:tcW w:w="121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56BFBC0">
            <w:pPr>
              <w:spacing w:before="24" w:after="24" w:line="288" w:lineRule="auto"/>
              <w:jc w:val="center"/>
              <w:rPr>
                <w:rFonts w:ascii="Times New Roman" w:hAnsi="Times New Roman" w:cs="Times New Roman"/>
                <w:sz w:val="24"/>
              </w:rPr>
            </w:pPr>
            <w:r>
              <w:rPr>
                <w:rFonts w:ascii="Times New Roman" w:hAnsi="Times New Roman" w:cs="Times New Roman"/>
                <w:sz w:val="24"/>
              </w:rPr>
              <w:t>2～6次/h</w:t>
            </w:r>
          </w:p>
        </w:tc>
        <w:tc>
          <w:tcPr>
            <w:tcW w:w="1655"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AA5A0F6">
            <w:pPr>
              <w:spacing w:before="24" w:after="24" w:line="288" w:lineRule="auto"/>
              <w:jc w:val="center"/>
              <w:rPr>
                <w:rFonts w:ascii="Times New Roman" w:hAnsi="Times New Roman" w:cs="Times New Roman"/>
                <w:sz w:val="24"/>
              </w:rPr>
            </w:pPr>
            <w:r>
              <w:rPr>
                <w:rFonts w:ascii="Times New Roman" w:hAnsi="Times New Roman" w:cs="Times New Roman"/>
                <w:sz w:val="24"/>
              </w:rPr>
              <w:t>机械排风/自然进风</w:t>
            </w:r>
          </w:p>
        </w:tc>
        <w:tc>
          <w:tcPr>
            <w:tcW w:w="682"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F1CB749">
            <w:pPr>
              <w:spacing w:before="24" w:after="24" w:line="288" w:lineRule="auto"/>
              <w:jc w:val="center"/>
              <w:rPr>
                <w:rFonts w:ascii="Times New Roman" w:hAnsi="Times New Roman" w:cs="Times New Roman"/>
                <w:sz w:val="24"/>
              </w:rPr>
            </w:pPr>
          </w:p>
        </w:tc>
      </w:tr>
      <w:tr w14:paraId="43C245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371"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6BA7110">
            <w:pPr>
              <w:spacing w:before="24" w:after="24" w:line="288" w:lineRule="auto"/>
              <w:jc w:val="center"/>
              <w:rPr>
                <w:rFonts w:ascii="Times New Roman" w:hAnsi="Times New Roman" w:cs="Times New Roman"/>
                <w:sz w:val="24"/>
              </w:rPr>
            </w:pPr>
            <w:r>
              <w:rPr>
                <w:rFonts w:ascii="Times New Roman" w:hAnsi="Times New Roman" w:cs="Times New Roman"/>
                <w:sz w:val="24"/>
              </w:rPr>
              <w:t>12</w:t>
            </w:r>
          </w:p>
        </w:tc>
        <w:tc>
          <w:tcPr>
            <w:tcW w:w="1077"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9906156">
            <w:pPr>
              <w:spacing w:before="24" w:after="24" w:line="288" w:lineRule="auto"/>
              <w:jc w:val="center"/>
              <w:rPr>
                <w:rFonts w:ascii="Times New Roman" w:hAnsi="Times New Roman" w:cs="Times New Roman"/>
                <w:sz w:val="24"/>
              </w:rPr>
            </w:pPr>
            <w:r>
              <w:rPr>
                <w:rFonts w:ascii="Times New Roman" w:hAnsi="Times New Roman" w:cs="Times New Roman"/>
                <w:sz w:val="24"/>
              </w:rPr>
              <w:t>餐饮厨房</w:t>
            </w:r>
          </w:p>
        </w:tc>
        <w:tc>
          <w:tcPr>
            <w:tcW w:w="121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2F2D0A5">
            <w:pPr>
              <w:spacing w:before="24" w:after="24" w:line="288" w:lineRule="auto"/>
              <w:jc w:val="center"/>
              <w:rPr>
                <w:rFonts w:ascii="Times New Roman" w:hAnsi="Times New Roman" w:cs="Times New Roman"/>
                <w:sz w:val="24"/>
              </w:rPr>
            </w:pPr>
            <w:r>
              <w:rPr>
                <w:rFonts w:ascii="Times New Roman" w:hAnsi="Times New Roman" w:cs="Times New Roman"/>
                <w:sz w:val="24"/>
              </w:rPr>
              <w:t>排油烟≥40次/ h；平时通风≥8次/ h</w:t>
            </w:r>
          </w:p>
        </w:tc>
        <w:tc>
          <w:tcPr>
            <w:tcW w:w="1655"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83B30D1">
            <w:pPr>
              <w:spacing w:before="24" w:after="24" w:line="288" w:lineRule="auto"/>
              <w:jc w:val="center"/>
              <w:rPr>
                <w:rFonts w:ascii="Times New Roman" w:hAnsi="Times New Roman" w:cs="Times New Roman"/>
                <w:sz w:val="24"/>
              </w:rPr>
            </w:pPr>
            <w:r>
              <w:rPr>
                <w:rFonts w:ascii="Times New Roman" w:hAnsi="Times New Roman" w:cs="Times New Roman"/>
                <w:sz w:val="24"/>
              </w:rPr>
              <w:t>机械排风/自然进风</w:t>
            </w:r>
          </w:p>
        </w:tc>
        <w:tc>
          <w:tcPr>
            <w:tcW w:w="682"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1CCAAD4">
            <w:pPr>
              <w:spacing w:before="24" w:after="24" w:line="288" w:lineRule="auto"/>
              <w:jc w:val="center"/>
              <w:rPr>
                <w:rFonts w:ascii="Times New Roman" w:hAnsi="Times New Roman" w:cs="Times New Roman"/>
                <w:sz w:val="24"/>
              </w:rPr>
            </w:pPr>
            <w:r>
              <w:rPr>
                <w:rFonts w:ascii="Times New Roman" w:hAnsi="Times New Roman" w:cs="Times New Roman"/>
                <w:sz w:val="24"/>
              </w:rPr>
              <w:t>排油烟补风量不小于排油烟风量的80%</w:t>
            </w:r>
          </w:p>
        </w:tc>
      </w:tr>
    </w:tbl>
    <w:p w14:paraId="0EFFB1C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（2）优先采用有组织的自然通风措施，充分利用室外空气带走室内余湿余热，在满足人员舒适性要求的同时降低建筑能耗。自然通风开口有效面积不小于房间面积的5%。</w:t>
      </w:r>
    </w:p>
    <w:p w14:paraId="02545F3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（3）无外窗的地下室、办公室等人员长期停留场所，设置送新风系统，新风量按换气次数为（3～5次）及人均新风量（30m³/h每人）两种方法取大者。</w:t>
      </w:r>
    </w:p>
    <w:p w14:paraId="79D46EE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（4）无外窗的消控室、储物间、电梯机房等设置机械通风系统，通风量按换气次数不小于6次/h计算。</w:t>
      </w:r>
    </w:p>
    <w:p w14:paraId="65AEA1A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（5）公共卫生间设置机械通风系统，通风量按换气次数不小于10次/h计算。</w:t>
      </w:r>
    </w:p>
    <w:p w14:paraId="777C746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餐饮厨房设置排风系统、排油烟系统。根据《云南省民用建筑节能设计标准》（DBJ53/T-39-2020），备餐、冷加工等房间换气次数按6次/小时计，机械排风，自然进风，进风量大于排风量的80%，保证房间负压。根据《民用建筑暖通空调设计统一技术措施2022》，厨房换气次数按40次/小时计，65%部分经由排油烟罩局部排出，其余35%采用全面排风排出。机械进风，进风量大于排风量的80%，保证房间负压。排油烟井不得采用土建风井，需内衬不锈钢风管。厨房设施及油烟净化设施由发包人委托专业厂家二次深化设计，需保证净化效率不低于90%，排放浓度不得大于2.0mg/m³，并保证操作期间按要求运行。厨房事故通风系统按照不小于12次/h设计，风机采用防爆型。并于靠近厨房顶板处设置相应的可燃气体检测报警装置及自动控制系统，事故通风的手动开启装置于室内外便于操作的地点分别设置。</w:t>
      </w:r>
    </w:p>
    <w:p w14:paraId="7C8BAE5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7）非机动车库平时机械通风与消防机械排烟系统合用，通风系统按防火分区设置。平时排风量按换气次数3～5次/h设计，采用机械送风或自然进风方式。为节省能源，平时可根据车流量或室内空气质量情况定时或按需开启风机台数进行通风换气。</w:t>
      </w:r>
    </w:p>
    <w:p w14:paraId="15AB847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8）地下汽车库平时机械通风与消防机械排烟系统合用，通风系统按防火分区设置。通风量按4～6次/h换气次数计取，优先采用坡道或采光井自然补风，无自然进风条件的防火分区设置机械补风系统。地下车库设置一氧化碳浓度监测系统，并与车库排风风机联动，排风系统根据一氧化碳浓度间歇启停运行，从而节省运行能耗，火灾时自动切换为排烟工况。一氧化碳浓度监测装置至少每个防烟分区设置一个CO传感器，CO浓度监测装置可实现CO浓度超标报警，并与排风机联动。</w:t>
      </w:r>
    </w:p>
    <w:p w14:paraId="70067D4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9）变配电室、信息中心等设置气体灭火装置的房间设置平时通风兼气体灭火后的排风系统，设置下排风口，平时通风，机械排风量根据设备发热量计算（夏季排风温度不超过40℃），换气次数不小于5次/h。当发生火灾时，由消防控制中心控制关闭电动密闭阀及排风风机、送风风机，当气体灭火结束后，由消防控制中心控制开启排风风机、送风风机和电动密闭阀排出灭火介质。设置气体灭火后通风的房间需分别在室内外便于操作的地点设置风机启停开关。</w:t>
      </w:r>
    </w:p>
    <w:p w14:paraId="4400429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柴油发电机房按工艺要求设置机械排风系统。发电机房排风量按工艺要求计取。柴油发电机本体散热由发电机自带排风扇经由排风短管排至室外。储油间排风量按≥5次/h换气次数计取，储油间排风设备由电气专业采取防爆、防静电处理。柴油发电机房送风量按排风量与机组燃烧空气量之和设计，燃烧空气量按7m³/（kW.h）的机组额定功率进行设计，柴油发电机尾气采用高空排放。</w:t>
      </w:r>
    </w:p>
    <w:p w14:paraId="590861C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（11）水泵房设置机械通风系统，机械排风量按不小于6次/h换气次数计取，采用机械排风，自然进风方式。</w:t>
      </w:r>
    </w:p>
    <w:p w14:paraId="319B892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（12）消防器材室、配电间、弱电机房等设备房设机械通风系统。平时通风量按房间换气次数不小于5次/时设计，设换气扇机械排风，自然进风。</w:t>
      </w:r>
    </w:p>
    <w:p w14:paraId="36E954B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（13）垃圾暂存间设置机械排风系统，平时通风量按房间换气次数不小于12次/时设计，并设置除臭净化装置。</w:t>
      </w:r>
    </w:p>
    <w:p w14:paraId="3062D4A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14）首先考虑采用自然通风消除建筑物余热、余湿和进行室内污染物浓度控制。对于室外空气污染和噪声污染严重的地区，不宜采用自然通风。当自然通风不能满足要求时，应采用机械通风，或自然通风和机械通风结合的复合通风。</w:t>
      </w:r>
    </w:p>
    <w:p w14:paraId="5A84058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（15）对建筑物内放散热、蒸汽或有害物质的设备，宜采用局部排风。当不能采用局部排风或局部排风达不到卫生要求时，应辅以全面通风或采用全面通风。</w:t>
      </w:r>
    </w:p>
    <w:p w14:paraId="15D4A1C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（16）可能突然放散大量有害气体或有爆炸危险气体的场所应设置事故通风。事故通风量宜根据放散物的种类、安全及卫生浓度要求，按全面排风计算确定，且换气次数不应小于12次／h。</w:t>
      </w:r>
    </w:p>
    <w:p w14:paraId="194EF65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6.3.2其他通风要求</w:t>
      </w:r>
    </w:p>
    <w:p w14:paraId="054CE6B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（1）教育项目</w:t>
      </w:r>
    </w:p>
    <w:p w14:paraId="723B80B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1）教育用房应有良好的自然通风，其通风口面积不应小于房间地板面积的5%。</w:t>
      </w:r>
    </w:p>
    <w:p w14:paraId="6FC52FC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2）中小学各主要房间的最小换气次数标准</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15"/>
        <w:gridCol w:w="2650"/>
        <w:gridCol w:w="3119"/>
      </w:tblGrid>
      <w:tr w14:paraId="503E7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65" w:type="dxa"/>
            <w:gridSpan w:val="2"/>
            <w:vAlign w:val="center"/>
          </w:tcPr>
          <w:p w14:paraId="7AC72D6C">
            <w:pPr>
              <w:pStyle w:val="71"/>
              <w:spacing w:before="24" w:after="24"/>
            </w:pPr>
            <w:r>
              <w:t>房间名称</w:t>
            </w:r>
          </w:p>
        </w:tc>
        <w:tc>
          <w:tcPr>
            <w:tcW w:w="3119" w:type="dxa"/>
            <w:vAlign w:val="center"/>
          </w:tcPr>
          <w:p w14:paraId="46268EBB">
            <w:pPr>
              <w:pStyle w:val="71"/>
              <w:spacing w:before="24" w:after="24"/>
            </w:pPr>
            <w:r>
              <w:t>换气次数（次/h）</w:t>
            </w:r>
          </w:p>
        </w:tc>
      </w:tr>
      <w:tr w14:paraId="0F895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5" w:type="dxa"/>
            <w:vMerge w:val="restart"/>
            <w:vAlign w:val="center"/>
          </w:tcPr>
          <w:p w14:paraId="077DFB80">
            <w:pPr>
              <w:pStyle w:val="71"/>
              <w:spacing w:before="24" w:after="24"/>
            </w:pPr>
            <w:r>
              <w:t>普通教室</w:t>
            </w:r>
          </w:p>
        </w:tc>
        <w:tc>
          <w:tcPr>
            <w:tcW w:w="2650" w:type="dxa"/>
            <w:vAlign w:val="center"/>
          </w:tcPr>
          <w:p w14:paraId="072620B7">
            <w:pPr>
              <w:pStyle w:val="71"/>
              <w:spacing w:before="24" w:after="24"/>
            </w:pPr>
            <w:r>
              <w:t>小学</w:t>
            </w:r>
          </w:p>
        </w:tc>
        <w:tc>
          <w:tcPr>
            <w:tcW w:w="3119" w:type="dxa"/>
            <w:vAlign w:val="center"/>
          </w:tcPr>
          <w:p w14:paraId="5CC1BD55">
            <w:pPr>
              <w:pStyle w:val="71"/>
              <w:spacing w:before="24" w:after="24"/>
            </w:pPr>
            <w:r>
              <w:t>2.5</w:t>
            </w:r>
          </w:p>
        </w:tc>
      </w:tr>
      <w:tr w14:paraId="4D3D7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5" w:type="dxa"/>
            <w:vMerge w:val="continue"/>
            <w:vAlign w:val="center"/>
          </w:tcPr>
          <w:p w14:paraId="21D6AB11">
            <w:pPr>
              <w:pStyle w:val="71"/>
              <w:spacing w:before="24" w:after="24"/>
            </w:pPr>
          </w:p>
        </w:tc>
        <w:tc>
          <w:tcPr>
            <w:tcW w:w="2650" w:type="dxa"/>
            <w:vAlign w:val="center"/>
          </w:tcPr>
          <w:p w14:paraId="436D6C4A">
            <w:pPr>
              <w:pStyle w:val="71"/>
              <w:spacing w:before="24" w:after="24"/>
            </w:pPr>
            <w:r>
              <w:t>初中</w:t>
            </w:r>
          </w:p>
        </w:tc>
        <w:tc>
          <w:tcPr>
            <w:tcW w:w="3119" w:type="dxa"/>
            <w:vAlign w:val="center"/>
          </w:tcPr>
          <w:p w14:paraId="57E026CD">
            <w:pPr>
              <w:pStyle w:val="71"/>
              <w:spacing w:before="24" w:after="24"/>
            </w:pPr>
            <w:r>
              <w:t>3.5</w:t>
            </w:r>
          </w:p>
        </w:tc>
      </w:tr>
      <w:tr w14:paraId="5FEC9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5" w:type="dxa"/>
            <w:vMerge w:val="continue"/>
            <w:vAlign w:val="center"/>
          </w:tcPr>
          <w:p w14:paraId="492891C4">
            <w:pPr>
              <w:pStyle w:val="71"/>
              <w:spacing w:before="24" w:after="24"/>
            </w:pPr>
          </w:p>
        </w:tc>
        <w:tc>
          <w:tcPr>
            <w:tcW w:w="2650" w:type="dxa"/>
            <w:vAlign w:val="center"/>
          </w:tcPr>
          <w:p w14:paraId="346CE332">
            <w:pPr>
              <w:pStyle w:val="71"/>
              <w:spacing w:before="24" w:after="24"/>
            </w:pPr>
            <w:r>
              <w:t>高中</w:t>
            </w:r>
          </w:p>
        </w:tc>
        <w:tc>
          <w:tcPr>
            <w:tcW w:w="3119" w:type="dxa"/>
            <w:vAlign w:val="center"/>
          </w:tcPr>
          <w:p w14:paraId="5054CA95">
            <w:pPr>
              <w:pStyle w:val="71"/>
              <w:spacing w:before="24" w:after="24"/>
            </w:pPr>
            <w:r>
              <w:t>4.5</w:t>
            </w:r>
          </w:p>
        </w:tc>
      </w:tr>
      <w:tr w14:paraId="46691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65" w:type="dxa"/>
            <w:gridSpan w:val="2"/>
            <w:vAlign w:val="center"/>
          </w:tcPr>
          <w:p w14:paraId="11C36A1D">
            <w:pPr>
              <w:pStyle w:val="71"/>
              <w:spacing w:before="24" w:after="24"/>
            </w:pPr>
            <w:r>
              <w:t>实验室</w:t>
            </w:r>
          </w:p>
        </w:tc>
        <w:tc>
          <w:tcPr>
            <w:tcW w:w="3119" w:type="dxa"/>
            <w:vAlign w:val="center"/>
          </w:tcPr>
          <w:p w14:paraId="10CA92A9">
            <w:pPr>
              <w:pStyle w:val="71"/>
              <w:spacing w:before="24" w:after="24"/>
            </w:pPr>
            <w:r>
              <w:t>3.0</w:t>
            </w:r>
          </w:p>
        </w:tc>
      </w:tr>
      <w:tr w14:paraId="79A99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65" w:type="dxa"/>
            <w:gridSpan w:val="2"/>
            <w:vAlign w:val="center"/>
          </w:tcPr>
          <w:p w14:paraId="4800E973">
            <w:pPr>
              <w:pStyle w:val="71"/>
              <w:spacing w:before="24" w:after="24"/>
            </w:pPr>
            <w:r>
              <w:t>风雨操场</w:t>
            </w:r>
          </w:p>
        </w:tc>
        <w:tc>
          <w:tcPr>
            <w:tcW w:w="3119" w:type="dxa"/>
            <w:vAlign w:val="center"/>
          </w:tcPr>
          <w:p w14:paraId="6608C63A">
            <w:pPr>
              <w:pStyle w:val="71"/>
              <w:spacing w:before="24" w:after="24"/>
            </w:pPr>
            <w:r>
              <w:t>3.0</w:t>
            </w:r>
          </w:p>
        </w:tc>
      </w:tr>
      <w:tr w14:paraId="66ACA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65" w:type="dxa"/>
            <w:gridSpan w:val="2"/>
            <w:vAlign w:val="center"/>
          </w:tcPr>
          <w:p w14:paraId="7AF9D5FA">
            <w:pPr>
              <w:pStyle w:val="71"/>
              <w:spacing w:before="24" w:after="24"/>
            </w:pPr>
            <w:r>
              <w:t>厕所</w:t>
            </w:r>
          </w:p>
        </w:tc>
        <w:tc>
          <w:tcPr>
            <w:tcW w:w="3119" w:type="dxa"/>
            <w:vAlign w:val="center"/>
          </w:tcPr>
          <w:p w14:paraId="5D92E01D">
            <w:pPr>
              <w:pStyle w:val="71"/>
              <w:spacing w:before="24" w:after="24"/>
            </w:pPr>
            <w:r>
              <w:t>10.0</w:t>
            </w:r>
          </w:p>
        </w:tc>
      </w:tr>
      <w:tr w14:paraId="7D084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65" w:type="dxa"/>
            <w:gridSpan w:val="2"/>
            <w:vAlign w:val="center"/>
          </w:tcPr>
          <w:p w14:paraId="07CE23A7">
            <w:pPr>
              <w:pStyle w:val="71"/>
              <w:spacing w:before="24" w:after="24"/>
            </w:pPr>
            <w:r>
              <w:t>保健室</w:t>
            </w:r>
          </w:p>
        </w:tc>
        <w:tc>
          <w:tcPr>
            <w:tcW w:w="3119" w:type="dxa"/>
            <w:vAlign w:val="center"/>
          </w:tcPr>
          <w:p w14:paraId="0A3A6383">
            <w:pPr>
              <w:pStyle w:val="71"/>
              <w:spacing w:before="24" w:after="24"/>
            </w:pPr>
            <w:r>
              <w:t>2.0</w:t>
            </w:r>
          </w:p>
        </w:tc>
      </w:tr>
      <w:tr w14:paraId="765A5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65" w:type="dxa"/>
            <w:gridSpan w:val="2"/>
            <w:vAlign w:val="center"/>
          </w:tcPr>
          <w:p w14:paraId="40CB6BD3">
            <w:pPr>
              <w:pStyle w:val="71"/>
              <w:spacing w:before="24" w:after="24"/>
            </w:pPr>
            <w:r>
              <w:t>学生宿舍</w:t>
            </w:r>
          </w:p>
        </w:tc>
        <w:tc>
          <w:tcPr>
            <w:tcW w:w="3119" w:type="dxa"/>
            <w:vAlign w:val="center"/>
          </w:tcPr>
          <w:p w14:paraId="56F4547E">
            <w:pPr>
              <w:pStyle w:val="71"/>
              <w:spacing w:before="24" w:after="24"/>
            </w:pPr>
            <w:r>
              <w:t>2.5</w:t>
            </w:r>
          </w:p>
        </w:tc>
      </w:tr>
    </w:tbl>
    <w:p w14:paraId="0246B92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3）在各种有效通风设施选择中，应优先采用有组织的自然通风设施。</w:t>
      </w:r>
    </w:p>
    <w:p w14:paraId="6E3AD90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4）化学与生物实验室、药品储藏室、准备室的最小通风效率应为75％。各教室排风系统及通风柜排风系统均应单独设置。补风方式应优先采用自然补风，条件不允许时，可采用机械补风。室内气流组织应根据实验室性质确定，化学实验室宜采用下排风。 强制排风系统的室外排风口宜高于建筑主体，其最低点应高于人员逗留地面2.50m以上。进、排风口应设防尘及防虫鼠装置，排风口应采用防雨雪进入、抗风向干扰的风口形式。</w:t>
      </w:r>
    </w:p>
    <w:p w14:paraId="62A4A7A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（2）生活圈服务设施项目</w:t>
      </w:r>
    </w:p>
    <w:p w14:paraId="61C1895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1）无供暖设施的老年人照料设施，应根据当地的气候特点，在老年人浴室内安装安全可靠的供暖设备或预留安装供暖设备的条件。</w:t>
      </w:r>
    </w:p>
    <w:p w14:paraId="58BF95B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2）养老院厨房、卫生间、浴室等应设置具备防止回流功能的机械排风设施。</w:t>
      </w:r>
    </w:p>
    <w:p w14:paraId="48E0758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3）非护理型床位的居室等生活用房设计最小换气次数</w:t>
      </w:r>
    </w:p>
    <w:tbl>
      <w:tblPr>
        <w:tblStyle w:val="31"/>
        <w:tblW w:w="509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655"/>
        <w:gridCol w:w="5592"/>
      </w:tblGrid>
      <w:tr w14:paraId="40CA0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97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608F41C">
            <w:pPr>
              <w:pStyle w:val="71"/>
              <w:spacing w:before="24" w:after="24"/>
            </w:pPr>
            <w:r>
              <w:t>人均居住面积Fp</w:t>
            </w:r>
          </w:p>
        </w:tc>
        <w:tc>
          <w:tcPr>
            <w:tcW w:w="302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089C7FE">
            <w:pPr>
              <w:pStyle w:val="71"/>
              <w:spacing w:before="24" w:after="24"/>
            </w:pPr>
            <w:r>
              <w:t>每小时换气次数</w:t>
            </w:r>
          </w:p>
        </w:tc>
      </w:tr>
      <w:tr w14:paraId="0B333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97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223533F">
            <w:pPr>
              <w:pStyle w:val="71"/>
              <w:spacing w:before="24" w:after="24"/>
            </w:pPr>
            <w:r>
              <w:t>Fp≤10m</w:t>
            </w:r>
            <w:r>
              <w:rPr>
                <w:vertAlign w:val="superscript"/>
              </w:rPr>
              <w:t>2</w:t>
            </w:r>
          </w:p>
        </w:tc>
        <w:tc>
          <w:tcPr>
            <w:tcW w:w="302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03D5002">
            <w:pPr>
              <w:pStyle w:val="71"/>
              <w:spacing w:before="24" w:after="24"/>
            </w:pPr>
            <w:r>
              <w:t>0.70</w:t>
            </w:r>
          </w:p>
        </w:tc>
      </w:tr>
      <w:tr w14:paraId="28C569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97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709071D">
            <w:pPr>
              <w:pStyle w:val="71"/>
              <w:spacing w:before="24" w:after="24"/>
            </w:pPr>
            <w:r>
              <w:t>10＜Fp≤20m</w:t>
            </w:r>
            <w:r>
              <w:rPr>
                <w:vertAlign w:val="superscript"/>
              </w:rPr>
              <w:t>2</w:t>
            </w:r>
          </w:p>
        </w:tc>
        <w:tc>
          <w:tcPr>
            <w:tcW w:w="302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062C8FD">
            <w:pPr>
              <w:pStyle w:val="71"/>
              <w:spacing w:before="24" w:after="24"/>
            </w:pPr>
            <w:r>
              <w:t>0.60</w:t>
            </w:r>
          </w:p>
        </w:tc>
      </w:tr>
      <w:tr w14:paraId="4A84F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97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86D3A4D">
            <w:pPr>
              <w:pStyle w:val="71"/>
              <w:spacing w:before="24" w:after="24"/>
            </w:pPr>
            <w:r>
              <w:t>20＜Fp≤50m</w:t>
            </w:r>
            <w:r>
              <w:rPr>
                <w:vertAlign w:val="superscript"/>
              </w:rPr>
              <w:t>2</w:t>
            </w:r>
          </w:p>
        </w:tc>
        <w:tc>
          <w:tcPr>
            <w:tcW w:w="302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1627DE7">
            <w:pPr>
              <w:pStyle w:val="71"/>
              <w:spacing w:before="24" w:after="24"/>
            </w:pPr>
            <w:r>
              <w:t>0.50</w:t>
            </w:r>
          </w:p>
        </w:tc>
      </w:tr>
      <w:tr w14:paraId="1CF80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976"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9024960">
            <w:pPr>
              <w:pStyle w:val="71"/>
              <w:spacing w:before="24" w:after="24"/>
            </w:pPr>
            <w:r>
              <w:t>Fp＞50m</w:t>
            </w:r>
            <w:r>
              <w:rPr>
                <w:vertAlign w:val="superscript"/>
              </w:rPr>
              <w:t>2</w:t>
            </w:r>
          </w:p>
        </w:tc>
        <w:tc>
          <w:tcPr>
            <w:tcW w:w="302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7C5DE90">
            <w:pPr>
              <w:pStyle w:val="71"/>
              <w:spacing w:before="24" w:after="24"/>
            </w:pPr>
            <w:r>
              <w:t>0.45</w:t>
            </w:r>
          </w:p>
        </w:tc>
      </w:tr>
    </w:tbl>
    <w:p w14:paraId="728C007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（3）市政基础设施项目</w:t>
      </w:r>
    </w:p>
    <w:p w14:paraId="7FFA9A3C">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1）垃圾焚烧处理厂通风系统</w:t>
      </w:r>
    </w:p>
    <w:p w14:paraId="4BFBFB3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a.垃圾焚烧厂通风系统应满足《生活垃圾焚烧处理与能源利用工程技术标准》GB/T51452-2024相关要求。</w:t>
      </w:r>
    </w:p>
    <w:p w14:paraId="1CE22E5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b.焚烧间、烟气净化间采用自然通风消除室内余热。在焚烧间、烟气净化间外墙的15m以下设置进风窗用以进风。在焚烧间、烟气净化间屋顶设置避风型通风天窗，用以排风。</w:t>
      </w:r>
    </w:p>
    <w:p w14:paraId="2C18E85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c.低压配电室通风：此类房间设备散热量较大，仅靠通风散热会导致通风量较大，故设置空调降温。同时为维持室内环境，设置自然进风+机械排风，通风量折合换气次数不小于6次/h。发生火灾时自动切断为其服务的通风机和空调电源。</w:t>
      </w:r>
    </w:p>
    <w:p w14:paraId="529653E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d.蓄电池室通风：设置自然进风+机械排风，消除余热并稀释氢气浓度，通风量按照消除室内余热计算，并保证折合换气次数不小于12次/h。防腐防爆轴流风机作为正常兼事故通风，室内吸风口上缘距梁板≤0.1m。发生火灾时自动切断为其服务的通风机电源。</w:t>
      </w:r>
    </w:p>
    <w:p w14:paraId="6C1DC03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e.垃圾吊控制室：设置送风系统送入室外新风。送入的新风维持室内10~20Pa正压。</w:t>
      </w:r>
    </w:p>
    <w:p w14:paraId="4C65305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f.渗沥液沟道间：设置平时通风与事故通风系统，设置CH4和H2S浓度检测及报警装置与事故通风系统联锁。送风采用室外新风，排风将渗沥液沟道间的臭气送至垃圾池高位处。平时通风量按照换气次数6次/h计算，事故通风量按照12次/h计算。渗沥液沟道间送排风各设置2套系统，平时1套系统24小时运行，另1套系统作为备用，同时与24小时运行的系统一起作为渗沥液沟道间的事故通风系统。为保持渗沥液沟道间负压，送风机风量考虑排风机风量的80%。送、排风机成套联锁，送风机出口设置止回阀，排风机需选用防腐防爆型风机。</w:t>
      </w:r>
    </w:p>
    <w:p w14:paraId="60FC526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g.化水车间：设置自然进风+机械排风，通风量按照消除室内余热计算，并保证折合换气次数不小于6次/h。风机选用防腐型。</w:t>
      </w:r>
    </w:p>
    <w:p w14:paraId="4AF1CFE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h.空压机间：设置自然进风+机械排风，通风量按照消除室内余热计算，并保证折合换气次数不小于6次/h。</w:t>
      </w:r>
    </w:p>
    <w:p w14:paraId="39C170E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i.排渣区域：有较大散热量，且在冬季会产生较大雾气，设置机械排风，同时由于空气中含有部分粉尘，在设置机械排风的同时，设置一套水浴除尘器。排渣区域排风经过除尘后，高空排放。</w:t>
      </w:r>
    </w:p>
    <w:p w14:paraId="4D1589F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j.综合水泵房设置有循环水泵、生活水泵、工业水泵、消防水泵等，水泵功率较大，运行时电机散热量较多，设置自然进风，机械排风系统消除余热。综合水泵房设置有循环水加药间等，加药间设置自然进风，机械排风系统，通风量折合换气次数不小于12次/h；综合水泵房设置的配电间设置排风系统，排风量按照换气次数6次/h计算。</w:t>
      </w:r>
    </w:p>
    <w:p w14:paraId="4E5B859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k.飞灰暂存间设置水浴除氨系统，飞灰间气体经洗涤塔处理达标后高空排放，除氨系统风量按4~6次换气次数计算。除氨设备由厂家二次深化设计。（飞灰为垃圾焚烧固化后的炉渣）设备放置于室外，厂家需考虑冬季保温及高海拔地区对自身产品的影响，保证设备正常平稳运行。</w:t>
      </w:r>
    </w:p>
    <w:p w14:paraId="282144D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l.危废暂存间设置防腐防爆通风机兼做事故排风机，通风换气次数12次/h。设置可燃气体浓度检测报警装置与事故通风机联锁，分别在室内外便于操作的地点设置开关。</w:t>
      </w:r>
    </w:p>
    <w:p w14:paraId="1F5B4C3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2）垃圾转运站</w:t>
      </w:r>
    </w:p>
    <w:p w14:paraId="0C87BED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a.卫生间、清洁间：设置机械排风系统，通风量按换气次数不小于10次/h。</w:t>
      </w:r>
    </w:p>
    <w:p w14:paraId="4EB0DDF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b.除臭间：设置机械排风系统，通风量按换气次数不小于6次/h。</w:t>
      </w:r>
    </w:p>
    <w:p w14:paraId="723F94A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（4）文教体卫项目</w:t>
      </w:r>
    </w:p>
    <w:p w14:paraId="0C37DC8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1）纠纷解调室单独设置机械排风系统，排风量按6次/h换气次数计取，补风通过百叶自然补入。</w:t>
      </w:r>
    </w:p>
    <w:p w14:paraId="5613467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2）库房设置灭火后排风系统，机械排风量按5次/h换气次数计取，补风自然补入。排风口距地200mm安装。</w:t>
      </w:r>
    </w:p>
    <w:p w14:paraId="3C82F18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（5）应急防灾项目</w:t>
      </w:r>
    </w:p>
    <w:p w14:paraId="0678F85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1）物资储备库库房应具备良好的通风条件，自然通风不能满足要求时，应配备相应的机械通风设施。机械通风的排风量按2～6次/h换气次数计取，补风通过百叶自然补入。</w:t>
      </w:r>
    </w:p>
    <w:p w14:paraId="69DC578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2）消防站的建筑用房应优先采用自然通风消除室内余热、余湿，并应满足室内卫生要求，当自然通风不能满足要求时，宜采用机械通风。</w:t>
      </w:r>
    </w:p>
    <w:p w14:paraId="4516D72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（6）机关单位办公用房及配套设施项目</w:t>
      </w:r>
    </w:p>
    <w:p w14:paraId="18487F0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1）无外窗的地下室、办公室等人员长期停留场所，设置送新风系统，新风量按换气次数为（3～5次）及人均新风量（30m³/h每人）两种方法取大者。</w:t>
      </w:r>
    </w:p>
    <w:p w14:paraId="303D3E0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2）办公室或会议室应有与室外空气直接对流的窗户、洞口或可自然通风的通风器；当有困难时，应设置机械通风设施。</w:t>
      </w:r>
    </w:p>
    <w:p w14:paraId="3881654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3）复印室、打印室、垃圾间、清洁间等应设机械通风设施，换气次数可取4～6次／h。</w:t>
      </w:r>
    </w:p>
    <w:p w14:paraId="5716A98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4）采用自然通风的办公室或会议室，其通风开口面积不应小于房间地面面积的5%</w:t>
      </w:r>
    </w:p>
    <w:p w14:paraId="1B73B435">
      <w:pPr>
        <w:spacing w:before="24" w:after="24"/>
        <w:ind w:firstLine="562" w:firstLineChars="200"/>
        <w:outlineLvl w:val="3"/>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t>6.4 防烟系统</w:t>
      </w:r>
    </w:p>
    <w:p w14:paraId="40D5264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6.4.1满足自然通风条件的封闭楼梯间、防烟楼梯间采用自然通风系统。五层内楼梯间外墙上设置总面积不小于2m²的可开启外窗，布置间隔不大于3层，且楼梯间最高部位设置面积不小于1m²的可开启外窗；前室采用自然通风方式时，独立前室、消防电梯前室可开启外窗或开口的面积不应小于2</w:t>
      </w:r>
      <w:r>
        <w:rPr>
          <w:rFonts w:hint="eastAsia" w:ascii="Times New Roman" w:hAnsi="Times New Roman" w:cs="Times New Roman"/>
          <w:color w:val="181717" w:themeColor="background2" w:themeShade="1A"/>
        </w:rPr>
        <w:t>.</w:t>
      </w:r>
      <w:r>
        <w:rPr>
          <w:rFonts w:ascii="Times New Roman" w:hAnsi="Times New Roman" w:cs="Times New Roman"/>
          <w:color w:val="181717" w:themeColor="background2" w:themeShade="1A"/>
        </w:rPr>
        <w:t>0m²，共用前室、合用前室不应小于3</w:t>
      </w:r>
      <w:r>
        <w:rPr>
          <w:rFonts w:hint="eastAsia" w:ascii="Times New Roman" w:hAnsi="Times New Roman" w:cs="Times New Roman"/>
          <w:color w:val="181717" w:themeColor="background2" w:themeShade="1A"/>
        </w:rPr>
        <w:t>.</w:t>
      </w:r>
      <w:r>
        <w:rPr>
          <w:rFonts w:ascii="Times New Roman" w:hAnsi="Times New Roman" w:cs="Times New Roman"/>
          <w:color w:val="181717" w:themeColor="background2" w:themeShade="1A"/>
        </w:rPr>
        <w:t>0m²；采用自然通风方式的避难层（间）应设有不同朝向的可开启外窗，其有效面积不应小于该避难层（间）地面面积的2％，且每个朝向的面积不应小于2</w:t>
      </w:r>
      <w:r>
        <w:rPr>
          <w:rFonts w:hint="eastAsia" w:ascii="Times New Roman" w:hAnsi="Times New Roman" w:cs="Times New Roman"/>
          <w:color w:val="181717" w:themeColor="background2" w:themeShade="1A"/>
        </w:rPr>
        <w:t>.</w:t>
      </w:r>
      <w:r>
        <w:rPr>
          <w:rFonts w:ascii="Times New Roman" w:hAnsi="Times New Roman" w:cs="Times New Roman"/>
          <w:color w:val="181717" w:themeColor="background2" w:themeShade="1A"/>
        </w:rPr>
        <w:t>0m²。可开启外窗应方便直接开启，设置在高处不便于直接开启的可开启外窗应在距地面高度为1</w:t>
      </w:r>
      <w:r>
        <w:rPr>
          <w:rFonts w:hint="eastAsia" w:ascii="Times New Roman" w:hAnsi="Times New Roman" w:cs="Times New Roman"/>
          <w:color w:val="181717" w:themeColor="background2" w:themeShade="1A"/>
        </w:rPr>
        <w:t>.</w:t>
      </w:r>
      <w:r>
        <w:rPr>
          <w:rFonts w:ascii="Times New Roman" w:hAnsi="Times New Roman" w:cs="Times New Roman"/>
          <w:color w:val="181717" w:themeColor="background2" w:themeShade="1A"/>
        </w:rPr>
        <w:t>3m～1</w:t>
      </w:r>
      <w:r>
        <w:rPr>
          <w:rFonts w:hint="eastAsia" w:ascii="Times New Roman" w:hAnsi="Times New Roman" w:cs="Times New Roman"/>
          <w:color w:val="181717" w:themeColor="background2" w:themeShade="1A"/>
        </w:rPr>
        <w:t>.</w:t>
      </w:r>
      <w:r>
        <w:rPr>
          <w:rFonts w:ascii="Times New Roman" w:hAnsi="Times New Roman" w:cs="Times New Roman"/>
          <w:color w:val="181717" w:themeColor="background2" w:themeShade="1A"/>
        </w:rPr>
        <w:t>5m的位置设置手动开启装置。</w:t>
      </w:r>
    </w:p>
    <w:p w14:paraId="4C294CA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6.4.2不满足自然通风条件的防烟楼梯间、楼梯间前室及合用前室均设有机械加压送风系统。前室合用前室加压风口采用常闭型电控多叶送风口，与风机联锁；并设置现场手动开启装置，手动开启装置距地在0.8～1.5m处。防烟楼梯间加压风口采用常开可调式百叶风口。火灾时防烟楼梯间维持40～50Pa正压，前室、合用前室维持25~30pa正压。加压送风量及余压满足规范要求。设置机械加压送风系统的封闭楼梯间、防烟楼梯间，尚应在其顶部设置不小于1㎡的固定窗。靠外墙的防烟楼梯间，尚应在其外墙上每5层内设置总面积不小于2㎡的固定窗。</w:t>
      </w:r>
    </w:p>
    <w:p w14:paraId="676E6F9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6.4.3封闭楼梯间应采用自然通风系统，不能满足自然通风条件的封闭楼梯间，应设置机械加压送风系统。当地下、半地下建筑（室）的封闭楼梯间不与地上楼梯间共用且地下仅为一层时，可不设置机械加压送风系统，但首层应设置有效面积不小于1.2㎡的可开启外窗或直通室外的疏散门。</w:t>
      </w:r>
    </w:p>
    <w:p w14:paraId="12BCEF2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6.4.4公共建筑中，当地下楼梯间不与地上楼梯间共用，地下最底层的地面与室外出入口地坪高差不大于10.0m，且仅为一层，首层有直接开向室外的门或有不小于1.2m</w:t>
      </w:r>
      <w:r>
        <w:rPr>
          <w:rFonts w:ascii="Times New Roman" w:hAnsi="Times New Roman" w:cs="Times New Roman"/>
          <w:color w:val="181717" w:themeColor="background2" w:themeShade="1A"/>
          <w:vertAlign w:val="superscript"/>
        </w:rPr>
        <w:t>2</w:t>
      </w:r>
      <w:r>
        <w:rPr>
          <w:rFonts w:ascii="Times New Roman" w:hAnsi="Times New Roman" w:cs="Times New Roman"/>
          <w:color w:val="181717" w:themeColor="background2" w:themeShade="1A"/>
        </w:rPr>
        <w:t>的可开启外窗时，该楼梯间可不设机械加压送风系统。</w:t>
      </w:r>
    </w:p>
    <w:p w14:paraId="752F23B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6.4.5当封闭楼梯间、防烟楼梯间、前室等采用自然通风系统时，可开启面积按建筑门窗详图中标注的可开启外窗扇尺寸计算窗口面积，且有效开启面积不应小于可开启外窗面积的40%。</w:t>
      </w:r>
    </w:p>
    <w:p w14:paraId="2C7B574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6.4.6建筑首层由门厅、走道形成的扩大封闭楼梯间、防烟楼梯间扩大前室（含合用前室、共用前室及“三合一”前室)，可采用自然通风的防烟方式。门厅建筑面积大于等于100m</w:t>
      </w:r>
      <w:r>
        <w:rPr>
          <w:rFonts w:ascii="Times New Roman" w:hAnsi="Times New Roman" w:cs="Times New Roman"/>
          <w:color w:val="181717" w:themeColor="background2" w:themeShade="1A"/>
          <w:vertAlign w:val="superscript"/>
        </w:rPr>
        <w:t>2</w:t>
      </w:r>
      <w:r>
        <w:rPr>
          <w:rFonts w:ascii="Times New Roman" w:hAnsi="Times New Roman" w:cs="Times New Roman"/>
          <w:color w:val="181717" w:themeColor="background2" w:themeShade="1A"/>
        </w:rPr>
        <w:t>时，其可开启外窗或开口面积不应小于门厅地面面积的3%；门厅建筑面积小于100m</w:t>
      </w:r>
      <w:r>
        <w:rPr>
          <w:rFonts w:ascii="Times New Roman" w:hAnsi="Times New Roman" w:cs="Times New Roman"/>
          <w:color w:val="181717" w:themeColor="background2" w:themeShade="1A"/>
          <w:vertAlign w:val="superscript"/>
        </w:rPr>
        <w:t>2</w:t>
      </w:r>
      <w:r>
        <w:rPr>
          <w:rFonts w:ascii="Times New Roman" w:hAnsi="Times New Roman" w:cs="Times New Roman"/>
          <w:color w:val="181717" w:themeColor="background2" w:themeShade="1A"/>
        </w:rPr>
        <w:t>时，可开启外窗（开口)的面积不应小于3m</w:t>
      </w:r>
      <w:r>
        <w:rPr>
          <w:rFonts w:ascii="Times New Roman" w:hAnsi="Times New Roman" w:cs="Times New Roman"/>
          <w:color w:val="181717" w:themeColor="background2" w:themeShade="1A"/>
          <w:vertAlign w:val="superscript"/>
        </w:rPr>
        <w:t>2</w:t>
      </w:r>
      <w:r>
        <w:rPr>
          <w:rFonts w:hint="eastAsia" w:ascii="Times New Roman" w:hAnsi="Times New Roman" w:cs="Times New Roman"/>
          <w:color w:val="181717" w:themeColor="background2" w:themeShade="1A"/>
        </w:rPr>
        <w:t>；</w:t>
      </w:r>
      <w:r>
        <w:rPr>
          <w:rFonts w:ascii="Times New Roman" w:hAnsi="Times New Roman" w:cs="Times New Roman"/>
          <w:color w:val="181717" w:themeColor="background2" w:themeShade="1A"/>
        </w:rPr>
        <w:t>门厅仅为扩大封闭楼梯间、防烟楼梯间扩大前室，建筑面积小于100m</w:t>
      </w:r>
      <w:r>
        <w:rPr>
          <w:rFonts w:ascii="Times New Roman" w:hAnsi="Times New Roman" w:cs="Times New Roman"/>
          <w:color w:val="181717" w:themeColor="background2" w:themeShade="1A"/>
          <w:vertAlign w:val="superscript"/>
        </w:rPr>
        <w:t>2</w:t>
      </w:r>
      <w:r>
        <w:rPr>
          <w:rFonts w:ascii="Times New Roman" w:hAnsi="Times New Roman" w:cs="Times New Roman"/>
          <w:color w:val="181717" w:themeColor="background2" w:themeShade="1A"/>
        </w:rPr>
        <w:t>时，可开启外窗（开口)的面积不应小于2m</w:t>
      </w:r>
      <w:r>
        <w:rPr>
          <w:rFonts w:ascii="Times New Roman" w:hAnsi="Times New Roman" w:cs="Times New Roman"/>
          <w:color w:val="181717" w:themeColor="background2" w:themeShade="1A"/>
          <w:vertAlign w:val="superscript"/>
        </w:rPr>
        <w:t>2</w:t>
      </w:r>
      <w:r>
        <w:rPr>
          <w:rFonts w:ascii="Times New Roman" w:hAnsi="Times New Roman" w:cs="Times New Roman"/>
          <w:color w:val="181717" w:themeColor="background2" w:themeShade="1A"/>
        </w:rPr>
        <w:t>。住宅建筑的首层门厅建筑面积小于等于50m</w:t>
      </w:r>
      <w:r>
        <w:rPr>
          <w:rFonts w:ascii="Times New Roman" w:hAnsi="Times New Roman" w:cs="Times New Roman"/>
          <w:color w:val="181717" w:themeColor="background2" w:themeShade="1A"/>
          <w:vertAlign w:val="superscript"/>
        </w:rPr>
        <w:t>2</w:t>
      </w:r>
      <w:r>
        <w:rPr>
          <w:rFonts w:ascii="Times New Roman" w:hAnsi="Times New Roman" w:cs="Times New Roman"/>
          <w:color w:val="181717" w:themeColor="background2" w:themeShade="1A"/>
        </w:rPr>
        <w:t>且受条件限制时，开向室外的门可作为自然通风设施，但开门面积不应小于3m</w:t>
      </w:r>
      <w:r>
        <w:rPr>
          <w:rFonts w:ascii="Times New Roman" w:hAnsi="Times New Roman" w:cs="Times New Roman"/>
          <w:color w:val="181717" w:themeColor="background2" w:themeShade="1A"/>
          <w:vertAlign w:val="superscript"/>
        </w:rPr>
        <w:t>2</w:t>
      </w:r>
      <w:r>
        <w:rPr>
          <w:rFonts w:ascii="Times New Roman" w:hAnsi="Times New Roman" w:cs="Times New Roman"/>
          <w:color w:val="181717" w:themeColor="background2" w:themeShade="1A"/>
        </w:rPr>
        <w:t>。</w:t>
      </w:r>
    </w:p>
    <w:p w14:paraId="12CF8F5E">
      <w:pPr>
        <w:spacing w:before="24" w:after="24"/>
        <w:ind w:firstLine="562" w:firstLineChars="200"/>
        <w:outlineLvl w:val="3"/>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t>6.5 排烟系统</w:t>
      </w:r>
    </w:p>
    <w:p w14:paraId="3FBBBD7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6.5.1设置排烟系统的场所或部位采用挡烟垂壁、结构梁及防火隔墙等划分防烟分区，防烟分区的最大允许面积、长边允许长度按《建筑防烟排烟系统技术标准》GB51251-2017第4.2.4条设置。</w:t>
      </w:r>
    </w:p>
    <w:p w14:paraId="205FB66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6.5.2满足自然排烟条件的房间及走道按防火分区及防烟分区设置自然排烟系统。每个防烟分区自然排烟窗（口）的面积、数量、位置按《建筑防烟排烟系统技术标准》GB51251-2017第4.6.3条计算确定，且防烟分区内任一点与最近的自然排烟窗（口）之间的水平间距不大于30米。自然排烟窗（口）分散均匀布置，且每组长度不大于3米；设置在防火墙两侧的自然排烟窗（口）之间最近边缘的水平距离小于2米。不便开启的高位自然排烟窗（口）在距地1.3～1.5米位置设置手动开启装置。</w:t>
      </w:r>
    </w:p>
    <w:p w14:paraId="12E4534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6.5.3采用自然排烟措施时，自然排烟窗（口）面积不小于防烟分区面积的 2%，自然排烟窗（口）设置在排烟区域的顶部或外墙上。空间净高小于3.0m的区域，采用自然排烟窗下沿不低于室内净高的1/2；净高大于 3m的区域，自然排烟口设置于外墙上，且在储烟仓以内，储烟仓的厚度不小于空间净高的20%，且不小于500mm，同时储烟仓底部距地面的高度大于安全疏散所需的最小清晰高度。挡烟垂壁的划分详</w:t>
      </w:r>
      <w:r>
        <w:rPr>
          <w:rFonts w:hint="eastAsia" w:ascii="Times New Roman" w:hAnsi="Times New Roman" w:cs="Times New Roman"/>
          <w:color w:val="181717" w:themeColor="background2" w:themeShade="1A"/>
        </w:rPr>
        <w:t>见</w:t>
      </w:r>
      <w:r>
        <w:rPr>
          <w:rFonts w:ascii="Times New Roman" w:hAnsi="Times New Roman" w:cs="Times New Roman"/>
          <w:color w:val="181717" w:themeColor="background2" w:themeShade="1A"/>
        </w:rPr>
        <w:t>平面图。防烟分区内任一点与最近的自然排烟窗（口）之间的水平距离不大于30m。</w:t>
      </w:r>
    </w:p>
    <w:p w14:paraId="5C5C5CF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6.5.4无外窗的房间面积大于50平方米或者有外窗大于100平方米不满足自然排烟条件的房间，设置机械排烟系统，排烟量按每个烟分区不小于60m³/h.㎡且不小于15000m³/h计算；当系统担负多个防烟分区排烟时，排烟量按同一防火分区中任意两个相邻防烟分区的排烟量之和的最大值计算，补风采用自然补风，自然补风口的风速小于3m/s；净高大于6米的场所排烟量按《建筑防烟排烟系统技术标准》GB51251-2017第4.6.3条规定计算确定。</w:t>
      </w:r>
    </w:p>
    <w:p w14:paraId="5E66EE6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6.5.5当建筑仅需在走道或回廊设置排烟时，其机械排烟量不应小于13000m³／h，或在走道两端（侧）均设置面积不小于2㎡的自然排烟窗（口）且两侧自然排烟窗（口）的距离不应小于走道长度的2／3。</w:t>
      </w:r>
    </w:p>
    <w:p w14:paraId="2DD3F51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6.5.6当建筑房间内与走道或回廊均需设置排烟时，其走道或回廊的机械排烟量可按60m³／（h·㎡）计算且不小于13000m³／h，或设置有效面积不小于走道、回廊建筑面积2％的自然排烟窗（口）。</w:t>
      </w:r>
    </w:p>
    <w:p w14:paraId="376EB59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6.5.7不满足自然排烟条件的非机动车库设置机械通风及机械排烟系统。系统平时通风量按房间换气次数不小于3～5次/h计算，系统排烟量按同一防火分区中任意两个相邻防烟分区的排烟量之和的最大值计算，每个防烟分区的排烟量按60m³／（h·㎡）计算，且不小于15000m³／h。火灾时机械补风系统风量按不小于排烟系统风量的50%计算。机械排烟口设在车库储烟仓上部，采用上排的排烟方式，单个排烟口的排烟量均不大于最大允许排烟量，排烟口的风速均小于10m/s，排烟口设在车库储烟仓上部，排烟口距防烟分区内最远点的水平距离不超过30m。</w:t>
      </w:r>
    </w:p>
    <w:p w14:paraId="2D3874B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6.5.8不满足自然排烟条件汽车库设置平时机械通风兼排烟系统，系统风量按换气次数不小于6次/小时及《汽车库、修车库、停车场设计防火规范》（GB50067-2014）表8.2.5中的排烟量取大值进行设计，排烟系统的设计风量不小于系统计算风量的1.2倍。排烟系统按照防火分区及防烟分区设置，防烟分区以挡烟垂壁划分，单个防烟分区面积不大于2000㎡。机械排烟口设在车库储烟仓上部，采用上排的排烟方式，单个排烟口的排烟量均不大于最大允许排烟量，排烟口的风速均小于10m/s，排烟口距防烟分区内最远点距离小于30m。有敞开车道的地下汽车库的防火分区采用车道自然进（补）风。通风系统多台多组配置，可根据地下车库的使用情况控制开启数量，节约运行能耗。系统分散设置，减小系统的服务半径以降低系统的运行能耗。</w:t>
      </w:r>
    </w:p>
    <w:p w14:paraId="69E144D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6.5.9走道、净高小于或等于3m的房间以及净高不大于4m的机动车库，其机械排烟系统的单个排烟口的最大允许排烟量可按排烟口最大风速不大于10m/s计算确定。</w:t>
      </w:r>
    </w:p>
    <w:p w14:paraId="021A380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6.5.10当系统负担具有相同净高场所时，对于建筑空间净高大于6m的场所，应按排烟量最大的一个防烟分区的排烟量计算；对于建筑空间净高为6m及以下的场所，应按同一防火分区中任意两个相邻防烟分区的排烟量之和的最大值计算。当系统负担具有不同净高场所时，应采用上述方法对系统中每个场所所需的排烟量进行计算，并取其中的最大值作为系统排烟量。</w:t>
      </w:r>
    </w:p>
    <w:p w14:paraId="42E45B8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6.5.11楼面开口最大投影面积小于或等于200m</w:t>
      </w:r>
      <w:r>
        <w:rPr>
          <w:rFonts w:ascii="Times New Roman" w:hAnsi="Times New Roman" w:cs="Times New Roman"/>
          <w:color w:val="181717" w:themeColor="background2" w:themeShade="1A"/>
          <w:vertAlign w:val="superscript"/>
        </w:rPr>
        <w:t>2</w:t>
      </w:r>
      <w:r>
        <w:rPr>
          <w:rFonts w:ascii="Times New Roman" w:hAnsi="Times New Roman" w:cs="Times New Roman"/>
          <w:color w:val="181717" w:themeColor="background2" w:themeShade="1A"/>
        </w:rPr>
        <w:t>的办公、学校、住宅的中庭，或建筑面积小于或等于300m</w:t>
      </w:r>
      <w:r>
        <w:rPr>
          <w:rFonts w:ascii="Times New Roman" w:hAnsi="Times New Roman" w:cs="Times New Roman"/>
          <w:color w:val="181717" w:themeColor="background2" w:themeShade="1A"/>
          <w:vertAlign w:val="superscript"/>
        </w:rPr>
        <w:t>2</w:t>
      </w:r>
      <w:r>
        <w:rPr>
          <w:rFonts w:ascii="Times New Roman" w:hAnsi="Times New Roman" w:cs="Times New Roman"/>
          <w:color w:val="181717" w:themeColor="background2" w:themeShade="1A"/>
        </w:rPr>
        <w:t>、净高大于6m且与周围场所采取防火分隔的门厅空间，当采用机械排烟时，其计算排烟量可按空间体积换气次数不小于6次/小时且不小于40000m</w:t>
      </w:r>
      <w:r>
        <w:rPr>
          <w:rFonts w:ascii="Times New Roman" w:hAnsi="Times New Roman" w:cs="Times New Roman"/>
          <w:color w:val="181717" w:themeColor="background2" w:themeShade="1A"/>
          <w:vertAlign w:val="superscript"/>
        </w:rPr>
        <w:t>3</w:t>
      </w:r>
      <w:r>
        <w:rPr>
          <w:rFonts w:ascii="Times New Roman" w:hAnsi="Times New Roman" w:cs="Times New Roman"/>
          <w:color w:val="181717" w:themeColor="background2" w:themeShade="1A"/>
        </w:rPr>
        <w:t>/h确定；当采用自然排烟时，其自然排烟窗（口)开启的有效面积不应小于中庭或门厅空间地面面积的5%。</w:t>
      </w:r>
    </w:p>
    <w:p w14:paraId="4D9834F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6.5.12商业服务网点中地上商铺设有直接对外的疏散门时，其高于储烟仓下沿的部分可计入自然排烟窗（口)计算面积，其有效面积计算应符合《建筑防烟排烟系统技术标准》GB51251-2017第4.3.5条规定。</w:t>
      </w:r>
    </w:p>
    <w:p w14:paraId="6334E04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6.5.13设有电动汽车充电设施的汽车库按《电动汽车分散充电设施工程技术标准》GB/T51313的规定划分防火单元时，同一防火分区内的相邻防火单元可共用通风、排烟、补风系统，但每个系统所服务的防火单元数量不应超过2个，且总面积不应超过2000㎡，共用系统的排烟量可按所服务的单个防烟分区的排烟量确定，各个防火单元的风管应独立设置，排风与排烟工况、送风与补风工况的切换控制应符合相关规定，补风应直接送入每个防火单元内。</w:t>
      </w:r>
    </w:p>
    <w:p w14:paraId="7E8D5AA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6.5.14所有的电动机械排烟口/阀离地1.3m～1.5m设置现场手动开启装置；挡烟垂壁采用不燃材料制作，挡烟分隔设施的深度不小于《建筑防烟排烟系统技术标准》GB51251-2017第4.6.2条规定的储烟仓厚度。</w:t>
      </w:r>
    </w:p>
    <w:p w14:paraId="0FDCE9A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6.5.15设置排烟系统的场所或部位采用挡烟垂壁、结构梁及防火隔墙等划分防烟分区，防烟分区的最大允许面积、长边允许长度按《建筑防烟排烟系统技术标准》GB51251-2017第4.2.4条设置，挡烟垂壁采用防火玻璃等不燃材料制作，其性能需满足《挡烟垂壁》XF533-2012的技术要求。</w:t>
      </w:r>
    </w:p>
    <w:p w14:paraId="28FD86AA">
      <w:pPr>
        <w:spacing w:before="24" w:after="24"/>
        <w:ind w:firstLine="562" w:firstLineChars="200"/>
        <w:outlineLvl w:val="3"/>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t>6.6 补风系统</w:t>
      </w:r>
    </w:p>
    <w:p w14:paraId="2123E20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6.6.1除地上建筑的走道或地上建筑面积小于500㎡的房间外，设置排烟系统的场所设置能直接从室外引入空气补风，且补风量和补风口的风速应满足排烟系统有效排烟的要求。</w:t>
      </w:r>
    </w:p>
    <w:p w14:paraId="78A3F2B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6.6.2补风系统可采用疏散外门、手动或自动可开启外窗等自然进风方式以及机械送风方式。防火门、窗不得用作补风设施。</w:t>
      </w:r>
    </w:p>
    <w:p w14:paraId="44A29F0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6.6.3补风机设置在专用机房内。补风口与排烟口设置在同一空间内相邻的防烟分区时，补风口位置不限，当补风口与排烟口设置在同一防烟分区时，补风口应设在储烟仓下沿以下，补风口与排烟口水平距离不应少于5m。</w:t>
      </w:r>
    </w:p>
    <w:p w14:paraId="2DBBE63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6.6.4自然补风口的风速不宜大于3m/s。</w:t>
      </w:r>
    </w:p>
    <w:p w14:paraId="1C7BFD43">
      <w:pPr>
        <w:spacing w:before="24" w:after="24"/>
        <w:ind w:firstLine="562" w:firstLineChars="200"/>
        <w:outlineLvl w:val="3"/>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t>6.7 空调系统</w:t>
      </w:r>
    </w:p>
    <w:p w14:paraId="5BAFC40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6.7.1常规空调系统</w:t>
      </w:r>
    </w:p>
    <w:p w14:paraId="01007F2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（1）本工程地点为云南省迪庆藏族自治州德钦县叶枝镇，根据《云南省住房和城乡建设厅关于德钦新县城建筑热工设计分区的批复》，德钦新县城（叶枝镇）属于温和A区，室外空气计算参数应参考温和A区。</w:t>
      </w:r>
    </w:p>
    <w:p w14:paraId="0B1B255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（2）按照上位规划意见，德钦新县城海拔较低，平均气温相对较高，现状当地居民没有普遍供暖的需求，因此结合本项目实际情况，本项目不专门设置采暖系统，如有采暖需求，可采用冷暖空调解决。</w:t>
      </w:r>
    </w:p>
    <w:p w14:paraId="2B73F4C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（3）舒适性空调的设置，需统筹考量具体使用需求、前期投入与后期运维成本，基于全生命周期成本分析，选择综合最优方案。</w:t>
      </w:r>
    </w:p>
    <w:p w14:paraId="1A81BBB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（4）对环境舒适度或工艺有需求的功能房间，由建筑专业预留室外机及室内机安装位置，电气专业预留空调用电条件，给排水专业预留冷凝水立管及排放接驳口，按需采购安装空调。</w:t>
      </w:r>
    </w:p>
    <w:p w14:paraId="7E0C0A2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（5）全年使用空调的特殊房间，如电子信息系统机房、电话机房、控制中心等，应设独立的空调系统。</w:t>
      </w:r>
    </w:p>
    <w:p w14:paraId="2EEE5D1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分体式空调其能效比均应符合国家强制性标准《房间空气调节器能效限定值及能效等级》GB21455-2019中的2级标准规定，且全年性能系数和制冷季节能效比应符合《建筑节能与可再生能源利用通用规范》GB55015-2021第3.2.14条要求。</w:t>
      </w:r>
    </w:p>
    <w:p w14:paraId="0976E2C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（7）中央空调可采用风冷热泵或变频多联机+新风系统，可兼顾节能与灵活性，按功能区域独立控制温湿度。</w:t>
      </w:r>
    </w:p>
    <w:p w14:paraId="30E78DF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（8）空调冷负荷计算：根据气象参数，结合目前的建筑方案各区功能特点及建筑围护结构形式，考虑夏季空调制冷及冬季制热。空调冷负荷用传递函数法按逐时冷负荷计算。</w:t>
      </w:r>
    </w:p>
    <w:p w14:paraId="3E3E1F1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（9）当设置分体空调能满足环境舒适度或工艺需求时，优先采用分体空调。</w:t>
      </w:r>
    </w:p>
    <w:p w14:paraId="703C61F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6.7.2其他空调要求</w:t>
      </w:r>
    </w:p>
    <w:p w14:paraId="5787370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（1）教育项目</w:t>
      </w:r>
    </w:p>
    <w:p w14:paraId="795773A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1）对环境舒适度或工艺有需求的功能房间，由建筑专业预留室外机及室内机安装位置，电气专业预留空调用电条件，给排水专业预留冷凝水立管及排放接驳口，按需采购安装空调。</w:t>
      </w:r>
    </w:p>
    <w:p w14:paraId="2AFC41D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2）计算机教室、视听阅览室及相关辅助用房宜设空调系统。</w:t>
      </w:r>
    </w:p>
    <w:p w14:paraId="2A76478C">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3）中小学校的网络控制室应单独设置空调设施，其温、湿度应符合现行国家标准《数据中心设计规范》GB50174-2017的有关规定。</w:t>
      </w:r>
    </w:p>
    <w:p w14:paraId="16A37E0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（2）生活圈服务设施项目</w:t>
      </w:r>
    </w:p>
    <w:p w14:paraId="1927C1C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1）对环境舒适度或工艺有需求的功能房间，由建筑专业预留室外机及室内机安装位置，电气专业预留空调用电条件，给排水专业预留冷凝水立管及排放接驳口，按需采购安装空调。</w:t>
      </w:r>
    </w:p>
    <w:p w14:paraId="25415E8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（3）市政基础设施项目</w:t>
      </w:r>
    </w:p>
    <w:p w14:paraId="57D3870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1）对环境舒适度或工艺有需求的功能房间，由建筑专业预留室外机及室内机安装位置，电气专业预留空调用电条件，给排水专业预留冷凝水立管及排放接驳口，按需采购安装空调。</w:t>
      </w:r>
    </w:p>
    <w:p w14:paraId="68F0F82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2）垃圾焚烧厂电子设备间、中央控制室应按全年性空气调节系统设置空气处理设备，并宜设置备用。天平间、精密仪器室、热计量室等应根据工艺要求设置空气调节装置。</w:t>
      </w:r>
    </w:p>
    <w:p w14:paraId="7F6CE8B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（4）文教体卫项目</w:t>
      </w:r>
    </w:p>
    <w:p w14:paraId="10290B6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1）对环境舒适度或工艺有需求的功能房间，由建筑专业预留室外机及室内机安装位置，电气专业预留空调用电条件，给排水专业预留冷凝水立管及排放接驳口，按需采购安装空调。</w:t>
      </w:r>
    </w:p>
    <w:p w14:paraId="11A6399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2）对湿度有要求的功能房间，预留除湿机机位及用电负荷，按需采购安装。</w:t>
      </w:r>
    </w:p>
    <w:p w14:paraId="30FD30C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3）档案馆母片库应设独立的空调系统。</w:t>
      </w:r>
    </w:p>
    <w:p w14:paraId="7C44F59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（5）应急防灾项目</w:t>
      </w:r>
    </w:p>
    <w:p w14:paraId="7C8F987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1）对环境舒适度或工艺有需求的功能房间，由建筑专业预留室外机及室内机安装位置，电气专业预留空调用电条件，给排水专业预留冷凝水立管及排放接驳口，按需采购安装空调。</w:t>
      </w:r>
    </w:p>
    <w:p w14:paraId="2BDA21C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2）消防车库的室内温度不宜低于10C。非采暖地区的消防车库，应根据需要采取防冻措施。</w:t>
      </w:r>
    </w:p>
    <w:p w14:paraId="6A4E501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3）最热月平均温度超过25C地区消防站的备勤室、餐厅和通信室、体能训练室等宜设空调等降温设施或预留安装空调等降温设施的位置。</w:t>
      </w:r>
    </w:p>
    <w:p w14:paraId="596468A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4）数据中心单独设置空调设施，其温、湿度应符合现行国家标准《数据中心设计规范》GB50174-2017的有关规定。</w:t>
      </w:r>
    </w:p>
    <w:p w14:paraId="7C100C7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（6）机关单位办公用房及配套设施项目</w:t>
      </w:r>
    </w:p>
    <w:p w14:paraId="0EBAE86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1）对环境舒适度或工艺有需求的功能房间，由建筑专业预留室外机及室内机安装位置，电气专业预留空调用电条件，给排水专业预留冷凝水立管及排放接驳口，按需采购安装空调。</w:t>
      </w:r>
    </w:p>
    <w:p w14:paraId="33719F1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2）党校食堂、学员公寓、综合教学楼、活动中心根据实际使用需求预留分体式空调或多联式空调安装条件，按需采购安装空调。</w:t>
      </w:r>
    </w:p>
    <w:p w14:paraId="28F104A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3）政务中心、法院、检察院、司法局根据实际使用需求预留分体式空调或多联式空调安装条件，按需采购安装空调。</w:t>
      </w:r>
    </w:p>
    <w:p w14:paraId="414B751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4）办公建筑所选用的冷热源设备的能效比、空调冷热水输送能效比、风机的单位风量功耗均应符合现行国家标准《公共建筑节能设计标准》GB 50189及当地的相关规定。</w:t>
      </w:r>
    </w:p>
    <w:p w14:paraId="06D7128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5）全年使用空调的特殊房间，如电子信息系统机房、电话机房、控制中心、档案室等，应设独立的空调系统</w:t>
      </w:r>
    </w:p>
    <w:p w14:paraId="03EF6AF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6）当设置集中新风系统时，宜设集中或分散的排风系统，办公室的排风量不应大于新风量的90％，卫生间应保持负压。</w:t>
      </w:r>
    </w:p>
    <w:p w14:paraId="12E8357E">
      <w:pPr>
        <w:spacing w:before="24" w:after="24"/>
        <w:ind w:firstLine="562" w:firstLineChars="200"/>
        <w:outlineLvl w:val="3"/>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t>6.8 燃气系统</w:t>
      </w:r>
    </w:p>
    <w:p w14:paraId="7158E47C">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用地红线范围内的燃气系统工程，其深化设计与后续施工由项目所在地的燃气专业公司负责。园区室外综合管网设计需为燃气管线的敷设预留专属路由与相应空间。厨房使用区域在建筑设计中需同步预留燃气计量表、管道穿墙（板）套管、通风及报警系统等安装条件，确保满足最终用户的设备安装与安全使用需求。</w:t>
      </w:r>
    </w:p>
    <w:p w14:paraId="7A424E59">
      <w:pPr>
        <w:spacing w:before="24" w:after="24"/>
        <w:ind w:firstLine="562" w:firstLineChars="200"/>
        <w:outlineLvl w:val="3"/>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t>6.9 防火、防爆技术措施</w:t>
      </w:r>
    </w:p>
    <w:p w14:paraId="5CC49C5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6.9.1防烟、排烟系统应具有保证系统正常工作的技术措施，系统中的管道、阀门和组件的性能应满足其在加压送风或排烟过程中正常使用的要求，选用符合国家现行有关标准和有关准入制度的产品。防烟、排烟系统应满足控制建设工程内火灾烟气的蔓延、保障人员安全疏散、有利于消防救援的要求。</w:t>
      </w:r>
    </w:p>
    <w:p w14:paraId="7DAEF17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6.9.2排烟阀或排烟口的安装位置符合标准和设计要求，并固定牢靠，表面平整、不变形，调节灵活；排烟口距可燃物或可燃构件的距离不小于1.5m。</w:t>
      </w:r>
    </w:p>
    <w:p w14:paraId="3B71B0E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6.9.3挡烟垂壁采用不燃材料制成。</w:t>
      </w:r>
    </w:p>
    <w:p w14:paraId="139D608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6.9.4活动挡烟垂壁与建筑结构（柱或墙）面的缝隙不大于60mm，由两块或两块以上的挡烟垂帘组成的连续性挡烟垂壁，各块之间没有缝隙，搭接宽度不小于100mm。</w:t>
      </w:r>
    </w:p>
    <w:p w14:paraId="178CA1C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6.9.5通风、空气调节系统的风管在下列部位设置公称动作温度为70℃的防火阀：</w:t>
      </w:r>
    </w:p>
    <w:p w14:paraId="0927833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（1）穿越防火分区处；</w:t>
      </w:r>
    </w:p>
    <w:p w14:paraId="4BE0F39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（2）穿越通风、空气调节机房的房间隔墙和楼板处；</w:t>
      </w:r>
    </w:p>
    <w:p w14:paraId="0FED232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（3）穿越重要或火灾危险性大的场所的房间隔墙和楼板处；</w:t>
      </w:r>
    </w:p>
    <w:p w14:paraId="176A2CF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（4）穿越防火分隔处的变形缝两侧；</w:t>
      </w:r>
    </w:p>
    <w:p w14:paraId="5F4CCAF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（5）竖向风管与每层水平风管交接处的水平管段上。当建筑内每个防火分区的通风、空气调节系统均独立设置时，水平风管与竖向总管的交接处可不设置防火阀。</w:t>
      </w:r>
    </w:p>
    <w:p w14:paraId="2014270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6.9.6排烟风管（专用或兼用）的上述位置设置280℃排烟防火阀。风机入口处设排烟防火阀，280℃时熔断关闭，连锁关闭排烟风机和补风机。</w:t>
      </w:r>
    </w:p>
    <w:p w14:paraId="4029E63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6.9.7卫生间和厨房的竖向排风管，采取防止回流措施并在支管上设置公称动作温度为70℃的防火阀。厨房的排油烟管道按防火分区设置，且在与竖向排风管连接的支管处设置公称动作温度为150℃的防火阀。</w:t>
      </w:r>
    </w:p>
    <w:p w14:paraId="2271F8C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6.9.8防火阀的设置符合下列规定：</w:t>
      </w:r>
    </w:p>
    <w:p w14:paraId="09614BC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（1）防火阀靠近防火分隔处设置；</w:t>
      </w:r>
    </w:p>
    <w:p w14:paraId="74A5ADB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（2）防火阀暗装时，在安装部位设置方便维护的检修口；</w:t>
      </w:r>
    </w:p>
    <w:p w14:paraId="1306592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（3）在防火阀两侧各2.0m范围内的风管及其绝热材料采用不燃材料；</w:t>
      </w:r>
    </w:p>
    <w:p w14:paraId="75977AB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（4）防火阀符合现行国家标准《建筑通风和排烟系统用防火阀门》GB15930的规定。</w:t>
      </w:r>
    </w:p>
    <w:p w14:paraId="4F4AE1B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6.9.9所有消防风机均设置在专用机房内。</w:t>
      </w:r>
    </w:p>
    <w:p w14:paraId="06C22EC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6.9.10排烟风管耐火极限需满足GB51251-2017第4.4.8、4.4.9要求，消防补风管道耐火极限满足GB51251-2017第4.5.7要求，通风空调风管耐火极限满足GB51251-2017第4.5.7要求。风管穿过防火墙、楼板和防火隔墙时，穿越处风管上的防火阀、排烟防火阀两侧各2.0m范围内的风管应采用耐火风管或风管外壁应采取防火保护措施，保证风管耐火极限不低于3小时。水平设置的排烟管道，当设置在吊顶内时，其耐火极限不低于0.5小时；当未设置在吊顶内时，其耐火极限不低于1小时。设置在走道部位吊顶内的排烟管道，以及穿越防火分区的排烟管道，其管道的耐火极限不应小于1小时。风管外壁防火保护措施参照国标图集《防排烟系统设备及附件选用与安装》07K103-2制作与安装。</w:t>
      </w:r>
    </w:p>
    <w:p w14:paraId="6289677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6.9.11防烟、排烟、供暖、通风和空气调节系统中的管道及建筑内的其他管道，在穿越防火隔墙、楼板和防火墙处的孔隙采用防火封堵材料封堵。风管穿过防火隔墙、楼板和防火墙时，穿越处风管上的防火阀、排烟防火阀两侧各2.0m范围内的风管采用耐火风管或风管外壁采取防火保护措施，且耐火极限不低于该防火分隔体的耐火极限。</w:t>
      </w:r>
    </w:p>
    <w:p w14:paraId="4C529AD7">
      <w:pPr>
        <w:spacing w:before="24" w:after="24"/>
        <w:ind w:firstLine="562" w:firstLineChars="200"/>
        <w:outlineLvl w:val="3"/>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t>6.10 消防联动控制</w:t>
      </w:r>
    </w:p>
    <w:p w14:paraId="180B11C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6.10.1排烟系统与火灾自动报警系统联动，其联动控制符合现行国家标准《火灾自动报警系统设计规范》GB50116的有关规定和《建筑防烟排烟系统技术标准》GB51251-2017的相关要求。排烟系统的联动控制方式应符合下列规定：</w:t>
      </w:r>
    </w:p>
    <w:p w14:paraId="7BB6F4A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（1）现场手动启动；</w:t>
      </w:r>
    </w:p>
    <w:p w14:paraId="34D4D5A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（2）火灾自动报警系统启动；</w:t>
      </w:r>
    </w:p>
    <w:p w14:paraId="641554F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（3）消防控制室手动启动；</w:t>
      </w:r>
    </w:p>
    <w:p w14:paraId="216A484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（4）系统中任一排烟阀或排烟口开启时，排烟风机、补风风机自动启动；</w:t>
      </w:r>
    </w:p>
    <w:p w14:paraId="0563818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排烟防火阀在280℃时应自动关闭，并应连锁关闭排烟风机和补风机。机械排烟系统中的常闭排烟阀或排烟口应具有火灾自动报警系统自动开启、消防控制室手动开启和现场手动开启功能，其开启信号应与排烟风机联动。当火灾确认后，火灾自动报警系统应在15s内联动开启相应防烟分区的全部排烟阀、排烟口、排烟风机和补风设施，并应在30s内自动关闭与排烟无关的通风、空调系统。当火灾确认后，担负两个及以上防烟分区的排烟系统，应仅打开着火防烟分区的排烟阀及排烟口，其他防烟分区的排烟阀或排烟口应呈关闭状态。消防控制设备应显示排烟系统的排烟风机、补风机、阀门等设施启闭状态。</w:t>
      </w:r>
    </w:p>
    <w:p w14:paraId="556C87DC">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6.10.2机械加压送风系统应与火灾自动报警系统联动，且应符合下列规定：现场手动启动、通过火灾自动报警系统自动启动、消防控制室手动启动、系统中任一常闭加压送风口开启时，加压风机应能自动启动。机械加压送风系统宜设有测压装置及风压调节措施，消防控制设备应显示防烟系统的送风机、阀门等设施启闭状态。当防火分区内火灾确认后，应能在15s内联动开启常闭加压送风口和加压送风机，并符合下列规定：</w:t>
      </w:r>
    </w:p>
    <w:p w14:paraId="3FA4D3C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（1）应开启该防火分区楼梯间的全部加压送风机；</w:t>
      </w:r>
    </w:p>
    <w:p w14:paraId="315D060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（2）应开启该防火分区内着火层及相邻上下层前室及合用前室的常闭送风口，同时开启加压送风机。</w:t>
      </w:r>
    </w:p>
    <w:p w14:paraId="58BD361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6.10.3机械加压系统中的常闭加压送风口（或常闭阀+百叶风口）应具有火灾自动报警系统自动开启、消防控制室手动开启和现场手动开启功能（现场距地1.3~1.5m设置手动开启装置），其开启信号应与加压送风风机联动。</w:t>
      </w:r>
    </w:p>
    <w:p w14:paraId="6DD14B1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6.10.4机械排烟系统应与火灾自动报警系统联动，其联动控制符合现行国家标准《火灾自动报警系统设计规范》GB50116的有关规定，且排烟风机、补风机的启动控制满足现场手动启动、通过火灾自动报警系统自动启动及消防控制室手动启动，同时当系统中任一排烟阀或排烟口开启时，排烟风机、补风机自动启动；排烟防火阀在280℃时应自行关闭，并联锁关闭排烟风机和补风机。</w:t>
      </w:r>
    </w:p>
    <w:p w14:paraId="113A0A9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6.10.5机械排烟系统中的常闭排烟阀或排烟口具有火灾自动报警系统自动开启、消防控制室手动开启和现场手动开启功能，其开启信号与排烟风机联动。当火灾确认后，火灾自动报警系统在15s内联动开启相应防烟分区的全部排烟阀、排烟口、排烟风机和补风设施，并在30s内自动关闭与排烟无关的通风、空调系统。</w:t>
      </w:r>
    </w:p>
    <w:p w14:paraId="7AB62CD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6.10.6当火灾确认后，担负两个及以上防烟分区的排烟系统，应仅打开着火防烟分区的排烟阀或排烟口，其他防烟分区的排烟阀或排烟口应呈关闭状态。</w:t>
      </w:r>
    </w:p>
    <w:p w14:paraId="39E2D4A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6.10.7设置气体灭火房间的机械排风风机、送风风机、电动密闭阀应与消防控制中心联动控制；当发生火灾时，由消防控制中心控制关闭电动密闭阀及排风风机、送风风机；当气体灭火结束后，由消防控制中心控制开启排风风机、送风风机和电动密闭阀。设置气体灭火后通风的房间需分别在室内外便于操作的地点设置风机启停开关。</w:t>
      </w:r>
    </w:p>
    <w:p w14:paraId="4E03D1A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6.10.8活动挡烟垂壁具有火灾自动报警系统自动启动和现场手动启动功能，当火灾确认后，火灾自动报警系统应在15s内联动相应防烟分区的全部活动挡烟垂壁，60s以内挡烟垂壁应开启到位。</w:t>
      </w:r>
    </w:p>
    <w:p w14:paraId="038F7B4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6.10.9风管穿越防火分区处、穿越通风空调机房及重要的或火灾危险性大的房间隔墙和楼板处、垂直风管与每层水平风管交接处的水平管段上、一个排烟系统负担多个防烟分区的排烟支管上、穿越防火分区处均设置防火阀，通风空调风管防火阀的动作温度为70℃，厨房排油烟风管防火阀的动作温度为150℃，排烟风管防火阀的动作温度为280℃。</w:t>
      </w:r>
    </w:p>
    <w:p w14:paraId="3278B9F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6.10.10手动开启装置、手动驱动装置和手动操作按钮</w:t>
      </w:r>
    </w:p>
    <w:p w14:paraId="5C841A6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（1）设置在高位不便于直接开启的自然排烟窗，设置距地面高度1.3m～1.5m的手动开启装置。</w:t>
      </w:r>
    </w:p>
    <w:p w14:paraId="52F5555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（2）排烟阀或排烟口的手动驱动装置固定安装在明显可见、距楼地面1.3m～1.5m之间便于操作的位置。</w:t>
      </w:r>
    </w:p>
    <w:p w14:paraId="28D8548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（3）活动挡烟垂壁的手动操作按钮固定安装在距楼地面1.3m～1.5m之间便于操作、明显可见处。</w:t>
      </w:r>
    </w:p>
    <w:p w14:paraId="0E2FC26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6.10.11消防控制设备显示排烟系统的排烟风机、补风机、阀门等设施启闭状态。</w:t>
      </w:r>
    </w:p>
    <w:p w14:paraId="59416020">
      <w:pPr>
        <w:spacing w:before="24" w:after="24"/>
        <w:ind w:firstLine="562" w:firstLineChars="200"/>
        <w:outlineLvl w:val="3"/>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t>6.11 环保措施</w:t>
      </w:r>
    </w:p>
    <w:p w14:paraId="3C1197B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6.11.1采用高效率、低噪声、低振动的空调、通风设备。</w:t>
      </w:r>
    </w:p>
    <w:p w14:paraId="09F7585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6.11.2为满足各使用场合的噪声要求，对有振动设备进行隔振处理，有噪声设备采取消噪措施。</w:t>
      </w:r>
    </w:p>
    <w:p w14:paraId="71051FA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6.11.3通风设备均需采用消声、隔声、减振、隔振的措施，落地风机均设弹簧减振垫（支架）或横直纹橡胶减振垫。（纯消防风机不设减振装置）。吊装风机采用弹簧减振吊架隔振，风机房等设备房均采取必要的消声、隔声、减振、隔振的措施。</w:t>
      </w:r>
    </w:p>
    <w:p w14:paraId="6C9B406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6.11.4所有通风设备均选用低噪声产品，采用软管连接，必要时设置消声设备。</w:t>
      </w:r>
    </w:p>
    <w:p w14:paraId="1B026BE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6.11.5穿越机房围护结构的所有管道和安装洞周围的缝隙都严密封堵；</w:t>
      </w:r>
    </w:p>
    <w:p w14:paraId="46F1AD6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6.11.6设于室外的通风空调设备，根据周围环境的要求进行适当的隔声处理；</w:t>
      </w:r>
    </w:p>
    <w:p w14:paraId="4096C66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6.11.7采用符合环保要求的能源，能有效保护周围环境；</w:t>
      </w:r>
    </w:p>
    <w:p w14:paraId="7347144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6.11.8空调及通风设备（送风风机箱和排风风机箱等）均设置有可供清洗的空气过滤网，必要时可设置杀菌装置，以保证室内空气品质的要求。</w:t>
      </w:r>
    </w:p>
    <w:p w14:paraId="08E2732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6.11.9在所有空调通风机组的进出风口处均设置有防虫网格，防止鸟、鼠等通过风管进入通风系统，损坏通风装置，或导致通风空气品质下降。</w:t>
      </w:r>
    </w:p>
    <w:p w14:paraId="7267E32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6.11.10选择环保、防霉、抗菌的建筑材料和暖通材料，避免对室内外环境造成二次污染，杜绝霉菌滋生。</w:t>
      </w:r>
    </w:p>
    <w:p w14:paraId="1682160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6.11.11废气排放</w:t>
      </w:r>
    </w:p>
    <w:p w14:paraId="1794C44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（1）柴油发电机房设排风井，燃烧的废气经除尘脱硫后高空排放。</w:t>
      </w:r>
    </w:p>
    <w:p w14:paraId="413A52D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（2）地下设备用房设置机械通风系统，废气通过竖井进行有组织排放。地下车库设置机械排风系统，废气通过竖井进行有组织排放。</w:t>
      </w:r>
    </w:p>
    <w:p w14:paraId="7589291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（3）卫生间设置带止回装置的卫生间通风器，废气通过竖井进行有组织高空排放。</w:t>
      </w:r>
    </w:p>
    <w:p w14:paraId="29FB5F6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（4）隔油间、垃圾暂存间预留电子净化杀菌除臭循环风系统。</w:t>
      </w:r>
    </w:p>
    <w:p w14:paraId="2B86F34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（5）常规实验室产生少量含酸和挥发性有机溶剂的废气，该部分废气排放呈间断性，每次持续时间很短，对环境影响非常小，故采取高空直接排放。</w:t>
      </w:r>
    </w:p>
    <w:p w14:paraId="732F482C">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（6）真空泵房排气经过除菌过滤后引至病房楼屋顶排放废气。</w:t>
      </w:r>
    </w:p>
    <w:p w14:paraId="77F0C35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（7）检验科的生物安全柜排风经柜内高效过滤器处理，高空直接排放。</w:t>
      </w:r>
    </w:p>
    <w:p w14:paraId="6A827DC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（8）生活垃圾、医疗垃圾间排风系统安装活性炭吸附装置后排出。</w:t>
      </w:r>
    </w:p>
    <w:p w14:paraId="2B1F21E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（9）厨房：厨房的排风机置于屋面，高空直接排放。厨房操作间抽油烟罩排风经油烟净化机组处理后排放。油烟净化机组净化效率95% ，排放浓度≤2mg/m³。</w:t>
      </w:r>
    </w:p>
    <w:p w14:paraId="6464EED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6.11.12卫生防疫</w:t>
      </w:r>
    </w:p>
    <w:p w14:paraId="0F2A957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（1）淋浴间、卫生间、更衣室、水泵房、电气机房等房间设置机械通风系统。</w:t>
      </w:r>
    </w:p>
    <w:p w14:paraId="6FB5431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（2）新风机组及组合式空调机组设置初、中效过滤器段，有效去除 PM2.5，新风机组及组合式空调机组配置压差传感器，监测过滤器状态。</w:t>
      </w:r>
    </w:p>
    <w:p w14:paraId="17DB6DB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（3）空调机凝结水排水和机房地漏排水采用间接排水系统，排至屋面或排水明沟，以防其他排水管道的污染气体进入室内。</w:t>
      </w:r>
    </w:p>
    <w:p w14:paraId="580C2340">
      <w:pPr>
        <w:spacing w:before="24" w:after="24"/>
        <w:ind w:firstLine="562" w:firstLineChars="200"/>
        <w:outlineLvl w:val="3"/>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t>6.12 节能措施</w:t>
      </w:r>
    </w:p>
    <w:p w14:paraId="64B1231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6.12.1充分利用项目所在地的气候条件，优先采用自然通风，以达到节能目的。</w:t>
      </w:r>
    </w:p>
    <w:p w14:paraId="7A9B34B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6.12.2本工程设计严格遵循《公共建筑节能设计标准》（GB50189-2015）、《云南省民用建筑节能设计标准》（DBJ53/T-39-2020）中的相关规定。选用低噪音、高效率的各类设备。空调产品所使用的冷媒均为环境友好型冷媒。</w:t>
      </w:r>
    </w:p>
    <w:p w14:paraId="2F414B4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6.12.3通风空调系统设备能效指标满足国家及地方节能设计标准。</w:t>
      </w:r>
    </w:p>
    <w:p w14:paraId="76F0FE9C">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6.12.4空气源热泵机组、多联空调、单元式空调机、新风空调机组等均选择高效、可靠的产品。空气源热泵机组制冷性能系数满足《建筑节能与可再生能源利用通用规范》GB55015-2021 表3.2.9 的限值要求；空气源热泵机组综合部分符合性能系数满足《建筑节能与可再生能源利用通用规范》 GB55015-2021 表 3.2.11 的限值要求；</w:t>
      </w:r>
    </w:p>
    <w:p w14:paraId="1664AC7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6.12.5多联机其在名义制冷工况和规定条件下的能效不低于《建筑节能与可再生能源利用通用规范》GB 55015-2021 中表3.2.12-2 中的限值。多联机能效等级满足《多联式空调（热泵）机组能效限定值及能源效率等级》</w:t>
      </w:r>
    </w:p>
    <w:p w14:paraId="2F3A4780">
      <w:pPr>
        <w:spacing w:before="24" w:after="24"/>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 级标准。风机的选型，效率不低于现行国家标准《通风机能效限定值及能效等级》GB19761 规定的通风机能效等级的 2 级。</w:t>
      </w:r>
    </w:p>
    <w:p w14:paraId="69D5B84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6.12.6围护结构的传热系数及热工指标严格按照《建筑节能与可再生能源利用通用规范》GB 55015-2021 的限值进行设计，减少建筑物的围护结构耗热。</w:t>
      </w:r>
    </w:p>
    <w:p w14:paraId="470BD0F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6.12.7空调冷热水系统循环水泵的输送能效比 ECR 满足《民用建筑供暖通风与空气调节设计规范》（GB50736-2012）的要求。</w:t>
      </w:r>
    </w:p>
    <w:p w14:paraId="2B5C64A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6.12.8风机单位风量耗功率：空调系统风机≤0.24w/（m³/h），普通机械通风系统≤0.27w/（m³/h）。</w:t>
      </w:r>
    </w:p>
    <w:p w14:paraId="128E3B1B">
      <w:pPr>
        <w:spacing w:before="24" w:after="24"/>
        <w:ind w:firstLine="562" w:firstLineChars="200"/>
        <w:outlineLvl w:val="3"/>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t>6.13 减震降噪</w:t>
      </w:r>
    </w:p>
    <w:p w14:paraId="757E258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6.13.1设有机械通风系统的位置，建筑物内部建筑设备传播至主要功能房间室内的噪声限值应符合《建筑环境通用规范》GB55016-2021第2.1.4条规定。</w:t>
      </w:r>
    </w:p>
    <w:p w14:paraId="0372275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6.13.2所有落地安装的风机均配置减震器，吊装的风机和空调机均配置减震吊架。</w:t>
      </w:r>
    </w:p>
    <w:p w14:paraId="4D5B640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6.13.3设备选用低噪声性能好的设备，在设备进出口处设置软接头隔振。风机出入口风管上设置消声器，以降低风机噪声。噪声应满足《声环境质量标准》GB3096-2008的规定。</w:t>
      </w:r>
    </w:p>
    <w:p w14:paraId="461A632C">
      <w:pPr>
        <w:spacing w:before="24" w:after="24"/>
        <w:ind w:firstLine="562" w:firstLineChars="200"/>
        <w:outlineLvl w:val="3"/>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t>6.14 机电抗震</w:t>
      </w:r>
    </w:p>
    <w:p w14:paraId="7D5B730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6.14.1本项目抗震设防烈度为7度，按《建筑机电工程抗震设计规范》（GB50981-2014）和《建筑与市政工程抗震通用规范》（CB55002-2021）进行抗震设计：</w:t>
      </w:r>
    </w:p>
    <w:p w14:paraId="385826B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6.14.2建筑的非结构构件及附属机电设备，其自身及与结构主体的连接，应进行抗震设防。</w:t>
      </w:r>
    </w:p>
    <w:p w14:paraId="28D2E2D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6.14.3管道、电缆、通风管和设备的洞口设置，应减少对主要承重结构构件的削弱；洞口边缘应有补强措施。管道和设备与建筑结构的连接，应具有足够的变形能力，以满足相对位移的需要。</w:t>
      </w:r>
    </w:p>
    <w:p w14:paraId="3D547B0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6.14.4建筑附属机电设备的基座或支架，以及相关连接件和锚固件应具有足够的刚度和强度，应能将设备承受的地震作用全部传递到建筑结构上。建筑结构中，用以固定建筑附属机电设备预埋件、锚固件的部位，应采取加强措施，以承受附属机电设备传给主体结构的地震作用。</w:t>
      </w:r>
    </w:p>
    <w:p w14:paraId="6D0105EC">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6.14.5排烟风道、排烟用补风风道、加压送风风道和事故通风风道均采用镀锌钢板制作，当采用土建风道时应内衬钢板：通风、空调风道采用镀锌钢板制作。</w:t>
      </w:r>
    </w:p>
    <w:p w14:paraId="5B4D200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6.14.6通风、空气调节风道穿过内墙或楼板时，设置套管，套管与管道间的缝隙，填充柔性耐火材料。</w:t>
      </w:r>
    </w:p>
    <w:p w14:paraId="38D2789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6.14.7矩形截面面积大于等于0.38㎡和圆形直径大于等于0.70m的风管采用抗震支吊架，大于DN65的所有空调水管都应设置抗震支吊架。抗震支吊架的设置和设计应符合规范要求。</w:t>
      </w:r>
    </w:p>
    <w:p w14:paraId="7D69471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6.14.8重力大于1.8kN的空调机组、风机等设备尽量采用落地安装。当必须采用吊装时，避免设在人员活动和疏散通道位置的上方，并设置抗震支吊架。</w:t>
      </w:r>
    </w:p>
    <w:p w14:paraId="4AD84DF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6.14.9运行时产生振动的风机、水泵、制冷机组、空调机组设防震基础，且在基础四周设限位器固定。限位器应经计算确定，与其连接的管道采用柔性连接。</w:t>
      </w:r>
    </w:p>
    <w:p w14:paraId="6732C64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6.14.10抗震支架具体设计由专业公司完成深化设计。所有产品满足《建筑机电设备抗震支吊架通用技术条件》CJ/T476-2015。</w:t>
      </w:r>
    </w:p>
    <w:p w14:paraId="21ED86AF">
      <w:pPr>
        <w:spacing w:before="24" w:after="24"/>
        <w:ind w:firstLine="562" w:firstLineChars="200"/>
        <w:outlineLvl w:val="3"/>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t>6.15 管材及配件</w:t>
      </w:r>
    </w:p>
    <w:p w14:paraId="3054A8D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6.15.1通风及防排烟风管除特别说明外均采用镀锌钢板制作，法兰连接，风管的板材最小厚度按风管断面长边尺寸和系统工作压力选定，空调通风系统风管钢板厚度须符合《通风与空调工程施工质量验收规范》（GB50243-2016）第4.2.3条及《通风与空调工程施工规范》（GB50738-2011）第4.1.6条要求，防烟排烟系统风管钢板厚度按《建筑防烟排烟系统技术标准》（GB51251－2017）第6.2.1条执行。</w:t>
      </w:r>
    </w:p>
    <w:p w14:paraId="3ADDFB9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6.15.2机械加压送风系统应采用管道送风，当送风管道内壁为金属时，设计风速不大于20m/s，送风管道内壁为非金属时，设计风速不大于15m/s。</w:t>
      </w:r>
    </w:p>
    <w:p w14:paraId="7109FEF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6.15.3机械加压送风管道的设置和耐火极限应符合：竖向设置的送风管道应独立设置在管道井内，未设置在管道井内或与其他管道合用管道井的送风管道，其耐火极限不应低于1.0h；水平设置的送风管道，当设置在吊顶内时，其耐火极限不应低于0.5h，当未设置在吊顶内时，其耐火极限不应低于1.0h。</w:t>
      </w:r>
    </w:p>
    <w:p w14:paraId="2787102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6.15.4机械排烟系统应采用管道排烟，当排烟管道内壁为金属时，设计风速不大于20m/s，排烟管道内壁为非金属时，设计风速不大于15m/s。</w:t>
      </w:r>
    </w:p>
    <w:p w14:paraId="0383EB3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6.15.5排烟管道的设置和耐火极限应符合：排烟管道及其连接部件应能在280℃时连续30min保证其结构完整性；竖向设置的排烟管道应设置在独立的管道井内，排烟管道的耐火极限不应低于0.5h；水平设置的排烟管道应设置在吊顶内，其耐火极限不应低于0.5h，当未设置在吊顶内时，其耐火极限不应低于1.0h。当吊顶内有可燃物时，吊顶内的排烟管道应采用不燃材料进行隔热，并应与可燃物保持不小于150mm的距离。</w:t>
      </w:r>
    </w:p>
    <w:p w14:paraId="76E322D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6.15.6空调管道保温材料均选用难燃B1级闭孔柔性泡沫橡塑。保温厚度参见下表；保温材料参数：难燃B1级闭孔发泡橡塑套管，其密度不小于50kg/m³，绝热层平均温度 tm 为 20℃时，导热系数不应大于 0.037W/（㎡·K）。</w:t>
      </w:r>
    </w:p>
    <w:tbl>
      <w:tblPr>
        <w:tblStyle w:val="100"/>
        <w:tblW w:w="9550" w:type="dxa"/>
        <w:tblInd w:w="6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150"/>
        <w:gridCol w:w="1437"/>
        <w:gridCol w:w="1688"/>
        <w:gridCol w:w="1837"/>
        <w:gridCol w:w="1438"/>
      </w:tblGrid>
      <w:tr w14:paraId="692913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3150" w:type="dxa"/>
            <w:tcBorders>
              <w:top w:val="single" w:color="000000" w:sz="2" w:space="0"/>
              <w:left w:val="single" w:color="000000" w:sz="2" w:space="0"/>
              <w:bottom w:val="single" w:color="000000" w:sz="2" w:space="0"/>
              <w:right w:val="single" w:color="000000" w:sz="2" w:space="0"/>
            </w:tcBorders>
            <w:vAlign w:val="center"/>
          </w:tcPr>
          <w:p w14:paraId="02BBD8F0">
            <w:pPr>
              <w:pStyle w:val="71"/>
              <w:spacing w:before="24" w:after="24"/>
            </w:pPr>
            <w:r>
              <w:t>空调管公称直径（mm）</w:t>
            </w:r>
          </w:p>
        </w:tc>
        <w:tc>
          <w:tcPr>
            <w:tcW w:w="1437" w:type="dxa"/>
            <w:tcBorders>
              <w:top w:val="single" w:color="000000" w:sz="2" w:space="0"/>
              <w:left w:val="single" w:color="000000" w:sz="2" w:space="0"/>
              <w:bottom w:val="single" w:color="000000" w:sz="2" w:space="0"/>
              <w:right w:val="single" w:color="000000" w:sz="2" w:space="0"/>
            </w:tcBorders>
            <w:vAlign w:val="center"/>
          </w:tcPr>
          <w:p w14:paraId="7B7E3265">
            <w:pPr>
              <w:pStyle w:val="71"/>
              <w:spacing w:before="24" w:after="24"/>
            </w:pPr>
            <w:r>
              <w:t>DN≤40</w:t>
            </w:r>
          </w:p>
        </w:tc>
        <w:tc>
          <w:tcPr>
            <w:tcW w:w="1688" w:type="dxa"/>
            <w:tcBorders>
              <w:top w:val="single" w:color="000000" w:sz="2" w:space="0"/>
              <w:left w:val="single" w:color="000000" w:sz="2" w:space="0"/>
              <w:bottom w:val="single" w:color="000000" w:sz="2" w:space="0"/>
              <w:right w:val="single" w:color="000000" w:sz="2" w:space="0"/>
            </w:tcBorders>
            <w:vAlign w:val="center"/>
          </w:tcPr>
          <w:p w14:paraId="33604A46">
            <w:pPr>
              <w:pStyle w:val="71"/>
              <w:spacing w:before="24" w:after="24"/>
            </w:pPr>
            <w:r>
              <w:t>DN50~DN125</w:t>
            </w:r>
          </w:p>
        </w:tc>
        <w:tc>
          <w:tcPr>
            <w:tcW w:w="1837" w:type="dxa"/>
            <w:tcBorders>
              <w:top w:val="single" w:color="000000" w:sz="2" w:space="0"/>
              <w:left w:val="single" w:color="000000" w:sz="2" w:space="0"/>
              <w:bottom w:val="single" w:color="000000" w:sz="2" w:space="0"/>
              <w:right w:val="single" w:color="000000" w:sz="2" w:space="0"/>
            </w:tcBorders>
            <w:vAlign w:val="center"/>
          </w:tcPr>
          <w:p w14:paraId="100E3A79">
            <w:pPr>
              <w:pStyle w:val="71"/>
              <w:spacing w:before="24" w:after="24"/>
            </w:pPr>
            <w:r>
              <w:t>DN150~ DN400</w:t>
            </w:r>
          </w:p>
        </w:tc>
        <w:tc>
          <w:tcPr>
            <w:tcW w:w="1438" w:type="dxa"/>
            <w:tcBorders>
              <w:top w:val="single" w:color="000000" w:sz="2" w:space="0"/>
              <w:left w:val="single" w:color="000000" w:sz="2" w:space="0"/>
              <w:bottom w:val="single" w:color="000000" w:sz="2" w:space="0"/>
              <w:right w:val="single" w:color="000000" w:sz="2" w:space="0"/>
            </w:tcBorders>
            <w:vAlign w:val="center"/>
          </w:tcPr>
          <w:p w14:paraId="0CE5DBAC">
            <w:pPr>
              <w:pStyle w:val="71"/>
              <w:spacing w:before="24" w:after="24"/>
            </w:pPr>
            <w:r>
              <w:t>DN≥450</w:t>
            </w:r>
          </w:p>
        </w:tc>
      </w:tr>
      <w:tr w14:paraId="511A5D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3150" w:type="dxa"/>
            <w:tcBorders>
              <w:top w:val="single" w:color="000000" w:sz="2" w:space="0"/>
              <w:left w:val="single" w:color="000000" w:sz="2" w:space="0"/>
              <w:bottom w:val="single" w:color="000000" w:sz="2" w:space="0"/>
              <w:right w:val="single" w:color="000000" w:sz="2" w:space="0"/>
            </w:tcBorders>
            <w:vAlign w:val="center"/>
          </w:tcPr>
          <w:p w14:paraId="67D64531">
            <w:pPr>
              <w:pStyle w:val="71"/>
              <w:spacing w:before="24" w:after="24"/>
            </w:pPr>
            <w:r>
              <w:t>柔性泡沫橡塑厚度（mm）</w:t>
            </w:r>
          </w:p>
        </w:tc>
        <w:tc>
          <w:tcPr>
            <w:tcW w:w="1437" w:type="dxa"/>
            <w:tcBorders>
              <w:top w:val="single" w:color="000000" w:sz="2" w:space="0"/>
              <w:left w:val="single" w:color="000000" w:sz="2" w:space="0"/>
              <w:bottom w:val="single" w:color="000000" w:sz="2" w:space="0"/>
              <w:right w:val="single" w:color="000000" w:sz="2" w:space="0"/>
            </w:tcBorders>
            <w:vAlign w:val="center"/>
          </w:tcPr>
          <w:p w14:paraId="222948F0">
            <w:pPr>
              <w:pStyle w:val="71"/>
              <w:spacing w:before="24" w:after="24"/>
            </w:pPr>
            <w:r>
              <w:t>28</w:t>
            </w:r>
          </w:p>
        </w:tc>
        <w:tc>
          <w:tcPr>
            <w:tcW w:w="1688" w:type="dxa"/>
            <w:tcBorders>
              <w:top w:val="single" w:color="000000" w:sz="2" w:space="0"/>
              <w:left w:val="single" w:color="000000" w:sz="2" w:space="0"/>
              <w:bottom w:val="single" w:color="000000" w:sz="2" w:space="0"/>
              <w:right w:val="single" w:color="000000" w:sz="2" w:space="0"/>
            </w:tcBorders>
            <w:vAlign w:val="center"/>
          </w:tcPr>
          <w:p w14:paraId="24DFD463">
            <w:pPr>
              <w:pStyle w:val="71"/>
              <w:spacing w:before="24" w:after="24"/>
            </w:pPr>
            <w:r>
              <w:t>32</w:t>
            </w:r>
          </w:p>
        </w:tc>
        <w:tc>
          <w:tcPr>
            <w:tcW w:w="1837" w:type="dxa"/>
            <w:tcBorders>
              <w:top w:val="single" w:color="000000" w:sz="2" w:space="0"/>
              <w:left w:val="single" w:color="000000" w:sz="2" w:space="0"/>
              <w:bottom w:val="single" w:color="000000" w:sz="2" w:space="0"/>
              <w:right w:val="single" w:color="000000" w:sz="2" w:space="0"/>
            </w:tcBorders>
            <w:vAlign w:val="center"/>
          </w:tcPr>
          <w:p w14:paraId="39E3B275">
            <w:pPr>
              <w:pStyle w:val="71"/>
              <w:spacing w:before="24" w:after="24"/>
            </w:pPr>
            <w:r>
              <w:t>36</w:t>
            </w:r>
          </w:p>
        </w:tc>
        <w:tc>
          <w:tcPr>
            <w:tcW w:w="1438" w:type="dxa"/>
            <w:tcBorders>
              <w:top w:val="single" w:color="000000" w:sz="2" w:space="0"/>
              <w:left w:val="single" w:color="000000" w:sz="2" w:space="0"/>
              <w:bottom w:val="single" w:color="000000" w:sz="2" w:space="0"/>
              <w:right w:val="single" w:color="000000" w:sz="2" w:space="0"/>
            </w:tcBorders>
            <w:vAlign w:val="center"/>
          </w:tcPr>
          <w:p w14:paraId="6F41F9D5">
            <w:pPr>
              <w:pStyle w:val="71"/>
              <w:spacing w:before="24" w:after="24"/>
            </w:pPr>
            <w:r>
              <w:t>40</w:t>
            </w:r>
          </w:p>
        </w:tc>
      </w:tr>
    </w:tbl>
    <w:p w14:paraId="7B850B0C">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6.15.7空调送回风管、冷凝水管、管井内立管管道均要求保温，管道保温材料均选用难燃B1级闭孔柔性泡沫橡塑。空调冷凝水管保温厚度为15mm，空调送回风管保温厚度为30mm；保温材料参数：难燃B1级闭孔发泡橡塑套管，其密度不小于50kg/m³，绝热层平均温度tm为20℃时，导热系数不应大于0.037W/（㎡·K）。</w:t>
      </w:r>
    </w:p>
    <w:p w14:paraId="3A05B71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6.15.8多联式空调冷媒管保温采用难燃B1级闭孔橡塑保温板，绝热层平均温度tm为20℃时，导热系数不应大于0.037W/（㎡·K）。当冷媒管管径≤Φ19.1，保温厚度为20mm，当冷媒管管径＞Φ19.1，保温厚度为25mm。室外部分的冷媒管保温完后应用0.5mm的镀锌钢板做保护外壳。穿越防火墙处的保温材料采用离心玻璃棉。</w:t>
      </w:r>
    </w:p>
    <w:p w14:paraId="084E687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6.15.9风管配件、钢板厚度、允许漏风量、风管间连接及加固等均应符合《通风与空调工程施工质量验收规范》（GB50243-2016）中的规定。穿防火隔墙、楼板和防火墙处的风管采用2mm的钢板制作。风管的本体、框架与固定材料、密封垫料等必须采用不燃材料，防火风管的耐火极限时间应符合系统防火设计的规定。同时与排烟合用的双速风机进出口软接及其他附件均采用不燃材料；防烟排烟管道法兰垫料及柔性短管均采用不燃材料。本工程中采用的不燃和难燃材料应对其燃烧等级进行检查，合格后方可使用。</w:t>
      </w:r>
    </w:p>
    <w:p w14:paraId="4309848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6.15.10所有的消防风管和风管边长尺寸大于1500mm的通风系统，其镀锌钢板风管采用组合角钢法兰连接；其余风管边长尺寸小于1500mm的镀锌钢板风管采用组合角钢法兰连接或薄钢板连体法兰连接，薄钢板连体法兰连接按照《薄钢板法兰风管制作与安装》（不适用于消防管道及圆形管道）执行。风管（接触腐蚀性介质的除外）的柔性短管、法兰垫料均采用不燃材料。</w:t>
      </w:r>
    </w:p>
    <w:p w14:paraId="5F2E01D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6.15.11风管的制作（包括连接、加固、密封）均应符合《通风与空调工程施工规范》（GB50738-2011）、《通风与空调工程施工质量验收规范》（GB50243-2016）和《建筑防烟排烟系统技术标准》（GB51251－2017）中的规定。风管配件、钢板厚度、允许漏风量、风管间连接及加固等均应符合《通风与空调工程施工质量验收规范》（GB50243-2016）中的规定。穿防火隔墙、楼板和防火墙处的风管采用2mm的钢板制作。风管的本体、框架与固定材料、密封垫料等必须采用不燃材料，防火风管的耐火极限时间应符合系统防火设计的规定。同时与排烟合用的双速风机进出口软接及其他附件均采用不燃材料；防烟排烟管道法兰垫料及柔性短管均采用不燃材料。本工程中采用的不燃和难燃材料应对其燃烧等级进行检查，合格后方可使用。</w:t>
      </w:r>
    </w:p>
    <w:p w14:paraId="030963E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6.15.12风管内严禁其他管线穿越，室外风管的拉索等金属固定件严禁与避雷针或避雷网连接。输送含有易燃易爆气体或安装在易燃易爆环境的风管系统必须设置可靠的静电接地装置，室外风管系统的拉索等金属固定件严禁与避雷针或避雷网连接。燃气及燃油管道的安装必须符合《通风与空调工程施工质量验收规范》（GB50243-2016）第8.2.4条和第8.2.5条的相关要求。</w:t>
      </w:r>
    </w:p>
    <w:p w14:paraId="1A4B7E9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6.15.13风管、风口与土建风道连接时，穿越部位应用不燃材料填塞严密。风管上的可拆卸接口不得设置在墙体或楼板内。</w:t>
      </w:r>
    </w:p>
    <w:p w14:paraId="5D4484F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6.15.14通风机传动装置的外露部位以及直通大气的进出口，必须装设防护罩（网）或采取其他安全措施。</w:t>
      </w:r>
    </w:p>
    <w:p w14:paraId="28AD7F8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6.15.15防烟排烟系统中的送风口、排烟口、防火阀、排烟防火阀、排烟阀、送风风机、排烟风机、挡烟垂壁等消防产品，必须选用符合国家有关消防产品标准的规定，经国家防火建筑材料质量监督检验中心检验合格的产品。所有设备、主要材料及配件等必须具有出厂合格证书且排烟防火阀、排烟阀、防火阀、排烟风机、挡烟垂壁应为3C认证产品。</w:t>
      </w:r>
    </w:p>
    <w:p w14:paraId="23020D5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6.15.16挡烟垂壁采用不燃材料制作。</w:t>
      </w:r>
    </w:p>
    <w:p w14:paraId="20C5F43C">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6.15.17采用的不燃和难燃材料应对其燃烧等级进行检查，合格后方可使用。</w:t>
      </w:r>
    </w:p>
    <w:p w14:paraId="6537556C">
      <w:pPr>
        <w:spacing w:before="24" w:after="24"/>
        <w:ind w:firstLine="562" w:firstLineChars="200"/>
        <w:outlineLvl w:val="3"/>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t>6.16 阀门、管件的采用及安装</w:t>
      </w:r>
    </w:p>
    <w:p w14:paraId="16D4EFD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6.16.1安装阀门时应保证阀柄操作方便，保温层不得影响阀杆和阀柄的运动。</w:t>
      </w:r>
    </w:p>
    <w:p w14:paraId="0202029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6.16.2防火排烟类阀门、风口应符合国家现行消防产品技术标准的规定，执行机构应进行动作试验，试验结果应符合产品技术文件的要求。防火阀穿越墙体设吸声构造的风机房时，防火阀的安装位置需保证防火阀的手柄不被吸声构造遮挡，以便操作；其余区域如非特殊原因，防火阀距防火隔断之间的距离不得大于200mm。防烟、排烟系统中的送风口、排烟口、防火阀、排烟防火阀、排烟阀、送风风机、排烟风机、挡烟垂壁等消防产品，必须选用符合国家有关消防产品标准的规定，经国家防火建筑材料质量监督检验中心检验合格的产品。所有设备、主要材料及配件等必须具有出厂合格证书且排烟防火阀、排烟阀、防火阀、排烟风机、挡烟垂壁应为3C认证产品。</w:t>
      </w:r>
    </w:p>
    <w:p w14:paraId="222B366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6.16.3管道长边大于等于400mm的风量调节阀采用多叶调节阀，管道长边小于400mm的风量调节阀采用蝶阀。电动风阀应进行驱动装置的动作试验，试验结果应符合产品技术文件的要求。风阀应选用低泄漏量密闭式。风阀应用油漆在阀门外壳标明开关方向，保温阀门在保温层外表面标明。</w:t>
      </w:r>
    </w:p>
    <w:p w14:paraId="6ED1C59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6.16.4通风、正压送风系统风管防火阀动作温度为70℃，厨房排油烟系统防火阀动作温度为150℃，排烟系统风管为280℃。防火阀宜靠近防火分隔处设置；防火阀暗装时，应在安装部位设置方便维护的检修口；防火阀的安装应满足《通风与空调工程施工质量验收规范》（GB50243-2016）及《建筑防烟排烟系统技术标准》（GB51251-2017），《建筑设计防火规范》（GB 50016-2014[2018年版]）的要求。</w:t>
      </w:r>
    </w:p>
    <w:p w14:paraId="0095EBA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6.16.5调节阀：安装调节阀时，必须按有关设施图的要求安装，安装前必须检验其灵活性和可靠性，安装时注意阀柄要操作方便，切忌管道保温影响阀杆和阀柄的运动。</w:t>
      </w:r>
    </w:p>
    <w:p w14:paraId="127D34C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6.16.6止回阀：在安装时须保证其叶片吹起侧有足够长的直管段，确保止回阀叶片吹起不受挡，不卡住。</w:t>
      </w:r>
    </w:p>
    <w:p w14:paraId="685DFC4C">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6.16.7消声器采用复合针孔铝板型消声器，不含玻璃纤维。复合针孔铝板型消声器针孔孔径为0.2mm；消声静压箱做法详见图集《通风与空调工程》11BS6。</w:t>
      </w:r>
    </w:p>
    <w:p w14:paraId="78A4E4A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6.16.8油漆：镀锌钢板风管不刷漆，其法兰与支、吊架刷防锈底漆和灰色磁漆各两遍。</w:t>
      </w:r>
    </w:p>
    <w:p w14:paraId="68E5F37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6.16.9送风口、排烟阀或排烟口的安装位置应符合标准和设计要求，并应固定牢靠，表面平整、不变形，调节灵活；排烟口距可燃物或可燃构件的距离不应小于1.5m。常闭送风口、排烟阀或排烟口的手动驱动装置应固定安装在明显可见、距楼地面1.3m～1.5m之间便于操作的位置，预埋套管不得有死弯及塌陷、手动驱动装置操作应灵活。为避免造成订货错误，为保证室内气流组织的有效性，满足室内空调舒适度；风口供应商应提供各区域各类型风口的送风射程、末端风速、压降和噪声值等选型参数，按照设计参数要求订货。图纸上标注的风口尺寸为风口颈部尺寸。所有装修涉及的空调通风风口的饰面材料和颜色应经装修设计方认可后方能订货，以保证与室内装饰面的协调。与装修饰面分隔相关的风口面尺寸确定时应符合装修的相关要求，安装公司须会同风口供应商、装修方在装修现场核实尺寸后方可订货。</w:t>
      </w:r>
    </w:p>
    <w:p w14:paraId="58BA6A5B">
      <w:pPr>
        <w:spacing w:before="24" w:after="24"/>
        <w:ind w:firstLine="562" w:firstLineChars="200"/>
        <w:outlineLvl w:val="3"/>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t>6.17 设备安装</w:t>
      </w:r>
    </w:p>
    <w:p w14:paraId="028F198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6.17.1所有设备采购时应复核其性能参数是否满足《公共建筑节能设计标准》（GB50189-2015）不得采用不满足《公共建筑节能设计标准》规定的产品。</w:t>
      </w:r>
    </w:p>
    <w:p w14:paraId="46D2015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6.17.2所有设备、阀门及附配件等到货后，应检查核对确认无误、无缺损、无腐蚀等情况，并符合有关技术要求，文件齐全方可安装；设备安装前需认真阅读产品安装说明书，严格按说明书要求安装，重要设备安装需在供应商指导下进行。</w:t>
      </w:r>
    </w:p>
    <w:p w14:paraId="018954A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6.17.3所有设备必须在设备到货后核对其基础尺寸，经确认正确无误后方可安装，否则须请土建工种依设备修改基础并达到设计强度后再安装，基础表面必须按设计标高找平抹光。风机等设备采用减振支吊架，质量大于80千克的吊装设备应采用型钢吊架，吊装的风机等设备吊架、吊杆与楼板、梁连接详见标准图11BS6、12K101、07K103-2，设备与吊架间应设置减振垫。落地安装的风机基础尺寸应为（A+100）x（B+100）。A、B为风机的长x宽。风机基础做法及高度</w:t>
      </w:r>
      <w:r>
        <w:rPr>
          <w:rFonts w:hint="eastAsia" w:ascii="Times New Roman" w:hAnsi="Times New Roman" w:cs="Times New Roman"/>
          <w:color w:val="181717" w:themeColor="background2" w:themeShade="1A"/>
        </w:rPr>
        <w:t>详见</w:t>
      </w:r>
      <w:r>
        <w:rPr>
          <w:rFonts w:ascii="Times New Roman" w:hAnsi="Times New Roman" w:cs="Times New Roman"/>
          <w:color w:val="181717" w:themeColor="background2" w:themeShade="1A"/>
        </w:rPr>
        <w:t>标准图集标准图11BS6、12K101、07K103-2。</w:t>
      </w:r>
    </w:p>
    <w:p w14:paraId="0C81351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6.17.4所有吊装及屋顶排风机组，在机组出风口的软接头处做双层隔声套。</w:t>
      </w:r>
    </w:p>
    <w:p w14:paraId="53DE12C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6.17.5露天安置的设备电动机须装设防雨防护罩，直通大气的防雨风口、挡雨弯头及设备用房侧墙上的风口须装设不锈钢防护网以防止异物进入。</w:t>
      </w:r>
    </w:p>
    <w:p w14:paraId="0982A7A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6.17.6安装风阀时应注意将操作手柄放置在便于操作的部位，吊顶内安装阀门处，应设检修孔或活动吊顶。</w:t>
      </w:r>
    </w:p>
    <w:p w14:paraId="7466ADE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6.17.7检修空间：设备或管道附件处应考虑足够的检修维护空间，并于吊顶上开设检修孔以备设备检修维护之用，检修孔可以结合活动吊顶或可拆卸回风口综合考虑，检修孔应不小于600mmX600mm。</w:t>
      </w:r>
    </w:p>
    <w:p w14:paraId="222A308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6.17.8本专业施工人员应在土建施工时跟班预留管道穿过混凝土墙，砖墙以及楼板的孔洞。</w:t>
      </w:r>
    </w:p>
    <w:p w14:paraId="4794EBD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6.17.9由承包商或专业厂商做专门的设备减振、隔振器（包括基础台座）选型计算，与设计充分商议后确定；实际安装必须经专业厂商的指导后才能进行。</w:t>
      </w:r>
    </w:p>
    <w:p w14:paraId="3728321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6.17.10工程中所选用的主要设备的型号、规格及工作压力详见设备表及设计说明。</w:t>
      </w:r>
    </w:p>
    <w:p w14:paraId="1C16121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6.17.11风机等订货时要求厂商提供设备噪声值及隔振消声措施，吊装的风机、风机箱等运行中产生振动的各种设备均设减振吊架。空调器和风机出口与入口按要求设消声设备，若有基础要求的，应按说明书制作，专用排烟风机、正压送风机不采取减振措施。排风兼排烟风机以及其他平时与消防兼用的设备不采用橡胶减振装置。由承包商或专业厂商做专门的设备减振、隔振器（包括基础台座）选型计算，与设计充分商议后确定；实际安装必须经专业厂商的指导后才能进行。设置在室外区域的设备，当其噪声达不到环境噪声标准要求时，在设备周围设置隔声屏障，以减小设备对周围的影响，具体设施由设备厂家配套设置。</w:t>
      </w:r>
    </w:p>
    <w:p w14:paraId="15C0DA9E">
      <w:pPr>
        <w:spacing w:before="24" w:after="24"/>
        <w:ind w:firstLine="562" w:firstLineChars="200"/>
        <w:outlineLvl w:val="3"/>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t>6.18 人防通风系统</w:t>
      </w:r>
    </w:p>
    <w:p w14:paraId="228FA63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6.18.1一等人员掩蔽所</w:t>
      </w:r>
    </w:p>
    <w:p w14:paraId="7BE80BA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（1）清洁式通风：清洁通风量按不小于10m³/（p.h）设计，采用机械进风及排风，室外空气由扩散室、滤尘器、清洁送风机送入室内；室内污浊空气由排风机、扩散室排至室外。</w:t>
      </w:r>
    </w:p>
    <w:p w14:paraId="1014F68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滤毒式通风：滤毒通风按不小于3m³/（p.h）设计，采用机械进风，超压排风，室外空气由扩散室、滤尘器、过滤吸收器、滤毒送风机送入室内；室内污浊空气由超压排气活门、简易洗消间、扩散室排至室外，并保证最小防毒通道不小于40次/小时的换气，清洁区超压为50Pa。</w:t>
      </w:r>
    </w:p>
    <w:p w14:paraId="0F42EE5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（3）隔绝式通风：室内空气由送风机进行内部循环，隔绝防护时间不小于6h，CO</w:t>
      </w:r>
      <w:r>
        <w:rPr>
          <w:rFonts w:ascii="Times New Roman" w:hAnsi="Times New Roman" w:cs="Times New Roman"/>
          <w:color w:val="181717" w:themeColor="background2" w:themeShade="1A"/>
          <w:vertAlign w:val="subscript"/>
        </w:rPr>
        <w:t>2</w:t>
      </w:r>
      <w:r>
        <w:rPr>
          <w:rFonts w:ascii="Times New Roman" w:hAnsi="Times New Roman" w:cs="Times New Roman"/>
          <w:color w:val="181717" w:themeColor="background2" w:themeShade="1A"/>
        </w:rPr>
        <w:t>容许体积浓度≤2.0%，O</w:t>
      </w:r>
      <w:r>
        <w:rPr>
          <w:rFonts w:ascii="Times New Roman" w:hAnsi="Times New Roman" w:cs="Times New Roman"/>
          <w:color w:val="181717" w:themeColor="background2" w:themeShade="1A"/>
          <w:vertAlign w:val="subscript"/>
        </w:rPr>
        <w:t>2</w:t>
      </w:r>
      <w:r>
        <w:rPr>
          <w:rFonts w:ascii="Times New Roman" w:hAnsi="Times New Roman" w:cs="Times New Roman"/>
          <w:color w:val="181717" w:themeColor="background2" w:themeShade="1A"/>
        </w:rPr>
        <w:t>体积浓度≥18.5%。</w:t>
      </w:r>
    </w:p>
    <w:p w14:paraId="15BF44A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6.18.2专业队队员掩蔽所</w:t>
      </w:r>
    </w:p>
    <w:p w14:paraId="65B9462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（1）清洁式通风：清洁通风量按不小于10m³/（p.h）设计，采用机械进风及排风，室外空气由扩散室、滤尘器、清洁送风机送入室内；室内污浊空气由排风机、扩散室排至室外。</w:t>
      </w:r>
    </w:p>
    <w:p w14:paraId="0FC4582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滤毒式通风：滤毒通风按不小于5m³/（p.h）设计，采用机械进风，超压排风，室外空气由扩散室、滤尘器、过滤吸收器、滤毒送风机送入室内；室内污浊空气由超压排气活门、简易洗消间、扩散室排至室外，并保证最小防毒通道不小于40次/小时的换气，清洁区超压为50Pa。</w:t>
      </w:r>
    </w:p>
    <w:p w14:paraId="7A77774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（3）隔绝式通风：室内空气由送风机进行内部循环，隔绝防护时间不小于6h，CO</w:t>
      </w:r>
      <w:r>
        <w:rPr>
          <w:rFonts w:ascii="Times New Roman" w:hAnsi="Times New Roman" w:cs="Times New Roman"/>
          <w:color w:val="181717" w:themeColor="background2" w:themeShade="1A"/>
          <w:vertAlign w:val="subscript"/>
        </w:rPr>
        <w:t>2</w:t>
      </w:r>
      <w:r>
        <w:rPr>
          <w:rFonts w:ascii="Times New Roman" w:hAnsi="Times New Roman" w:cs="Times New Roman"/>
          <w:color w:val="181717" w:themeColor="background2" w:themeShade="1A"/>
        </w:rPr>
        <w:t>容许体积浓度≤2.0%，O</w:t>
      </w:r>
      <w:r>
        <w:rPr>
          <w:rFonts w:ascii="Times New Roman" w:hAnsi="Times New Roman" w:cs="Times New Roman"/>
          <w:color w:val="181717" w:themeColor="background2" w:themeShade="1A"/>
          <w:vertAlign w:val="subscript"/>
        </w:rPr>
        <w:t>2</w:t>
      </w:r>
      <w:r>
        <w:rPr>
          <w:rFonts w:ascii="Times New Roman" w:hAnsi="Times New Roman" w:cs="Times New Roman"/>
          <w:color w:val="181717" w:themeColor="background2" w:themeShade="1A"/>
        </w:rPr>
        <w:t>体积浓度≥18.5%。</w:t>
      </w:r>
    </w:p>
    <w:p w14:paraId="5428FE0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6.18.3二等人员掩蔽所</w:t>
      </w:r>
    </w:p>
    <w:p w14:paraId="43A6DF0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（1）二等人员掩蔽所清洁式通风：清洁通风量按不小于5m³/（p.h）设计，采用机械进风及排风，室外空气由扩散室、滤尘器、清洁送风机送入室内，室内污浊空气由排风机、扩散室排至室外。</w:t>
      </w:r>
    </w:p>
    <w:p w14:paraId="73C648F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二等人员掩蔽所滤毒式通风：滤毒通风按不小于2m³/（p.h）设计，采用机械进风，超压排风，室外空气由扩散室、滤尘器、过滤吸收器、滤毒送风机送入室内，室内污浊空气由超压排气活门、简易洗消间、扩散室排至室外，并保证最小防毒通道不小于40次/h的换气，清洁区超压为50Pa。</w:t>
      </w:r>
    </w:p>
    <w:p w14:paraId="18E9DB2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（3）二等人员掩蔽所隔绝式通风：室内空气由送风机进行内部循环，隔绝防护时间不小于3h。</w:t>
      </w:r>
    </w:p>
    <w:p w14:paraId="5E898CFC">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6.18.4进排风口部所选防爆波活门的额定风量应不小于战时清洁式通风风量。</w:t>
      </w:r>
    </w:p>
    <w:p w14:paraId="5DF2784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6.18.5防化值班室内设测压装置，设计超压值为50Pa。</w:t>
      </w:r>
    </w:p>
    <w:p w14:paraId="39FC7E9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6.18.6滤毒通风时采用全工程超压排风，工程内清洁区的超压值不小于50Pa，人员主要出入口最小防毒通道的通风换气次数不小于50次/h，第一密闭区分类厅的通风换气次数不小于40次/h。</w:t>
      </w:r>
    </w:p>
    <w:p w14:paraId="2690BE3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6.18.7平战功能转换措施</w:t>
      </w:r>
    </w:p>
    <w:p w14:paraId="19DF3F7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（1）战时每个防护单元设有独立的通风系统。</w:t>
      </w:r>
    </w:p>
    <w:p w14:paraId="24939EF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（2）战时使用的防护通风设备、风管，应根据施工设计图纸将有关的预埋件等一次安装就位。（设备平战安装标准以当地人防部门要求为准）。</w:t>
      </w:r>
    </w:p>
    <w:p w14:paraId="4E471E0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战时部分送风管道利用平时已设置的风管，在临战状态下按战时图纸设计要求，即战时各防护单元进风机出风管直接与该防护单元的平时风管相连，开启转换连接处阀门，迅速投入备战状态，并按战时通风方式转换操作表进行操作。</w:t>
      </w:r>
    </w:p>
    <w:p w14:paraId="1959109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4）人防通风系统的监测取样管、增压管、密闭阀门、换气堵头、进风口部通风管道（至进风机送风管出机房段）、战时排风管道、排气活门、口部气测压装置、气密测量管以及各种通风阀门、部件等一次施工完成，不作为转换内容。</w:t>
      </w:r>
    </w:p>
    <w:p w14:paraId="08DE8DA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（5）战时进风系统，进风主管处设置防火阀及风量调节阀门，平时关闭，临战开启。平时风机房排风主管设置280℃防火阀，平时开启，临战关闭。</w:t>
      </w:r>
    </w:p>
    <w:p w14:paraId="5CEE2CB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（6）项目人防区域内专供平时通风竖井，临战须做顶板封堵</w:t>
      </w:r>
      <w:r>
        <w:rPr>
          <w:rFonts w:hint="eastAsia" w:ascii="Times New Roman" w:hAnsi="Times New Roman" w:cs="Times New Roman"/>
          <w:color w:val="181717" w:themeColor="background2" w:themeShade="1A"/>
        </w:rPr>
        <w:t>设计</w:t>
      </w:r>
      <w:r>
        <w:rPr>
          <w:rFonts w:ascii="Times New Roman" w:hAnsi="Times New Roman" w:cs="Times New Roman"/>
          <w:color w:val="181717" w:themeColor="background2" w:themeShade="1A"/>
        </w:rPr>
        <w:t>。</w:t>
      </w:r>
    </w:p>
    <w:p w14:paraId="383666E3">
      <w:pPr>
        <w:spacing w:before="24" w:after="24"/>
        <w:ind w:firstLine="560" w:firstLineChars="200"/>
        <w:rPr>
          <w:rFonts w:ascii="Times New Roman" w:hAnsi="Times New Roman" w:cs="Times New Roman"/>
        </w:rPr>
      </w:pPr>
      <w:r>
        <w:rPr>
          <w:rFonts w:ascii="Times New Roman" w:hAnsi="Times New Roman" w:cs="Times New Roman"/>
          <w:color w:val="181717" w:themeColor="background2" w:themeShade="1A"/>
        </w:rPr>
        <w:t>（7）局部平时风管穿越临战封堵口（具体位置在平面图中标注），须在临战封堵前拆除相应平时风管及其吊架等，以保证平时出入口临战封堵的顺利完成。且相应拆除管段应设置相关明显标识。</w:t>
      </w:r>
    </w:p>
    <w:p w14:paraId="1A15D65A">
      <w:pPr>
        <w:pStyle w:val="64"/>
        <w:spacing w:before="24" w:after="24"/>
        <w:rPr>
          <w:rFonts w:cs="Times New Roman"/>
        </w:rPr>
      </w:pPr>
      <w:bookmarkStart w:id="104" w:name="_Toc221894135"/>
      <w:r>
        <w:rPr>
          <w:rFonts w:cs="Times New Roman"/>
        </w:rPr>
        <w:t>7、电气专业</w:t>
      </w:r>
      <w:bookmarkEnd w:id="104"/>
    </w:p>
    <w:p w14:paraId="52CD03E6">
      <w:pPr>
        <w:pStyle w:val="66"/>
        <w:rPr>
          <w:rFonts w:cs="Times New Roman"/>
        </w:rPr>
      </w:pPr>
      <w:r>
        <w:rPr>
          <w:rFonts w:cs="Times New Roman"/>
        </w:rPr>
        <w:t>7.1 总则</w:t>
      </w:r>
    </w:p>
    <w:p w14:paraId="1E1B7A27">
      <w:pPr>
        <w:pStyle w:val="54"/>
        <w:spacing w:before="24" w:after="24"/>
        <w:outlineLvl w:val="4"/>
      </w:pPr>
      <w:r>
        <w:t>7.1.1 设计范围</w:t>
      </w:r>
    </w:p>
    <w:p w14:paraId="1F29FDB7">
      <w:pPr>
        <w:pStyle w:val="54"/>
        <w:spacing w:before="24" w:after="24"/>
      </w:pPr>
      <w:r>
        <w:t>各项目规划红线内所有建筑物、构筑物和各类用电设备的电气设计，包括但不限于各建筑主体、配套用房、地下车库、管理用房等设施，另外包含各项目红线范围外至区域内的高低压进出线路由及系统相关建设内容。</w:t>
      </w:r>
    </w:p>
    <w:p w14:paraId="28F71D43">
      <w:pPr>
        <w:pStyle w:val="54"/>
        <w:spacing w:before="24" w:after="24"/>
        <w:outlineLvl w:val="4"/>
      </w:pPr>
      <w:r>
        <w:t>7.1.2 一般要求</w:t>
      </w:r>
    </w:p>
    <w:p w14:paraId="2B2A6DA1">
      <w:pPr>
        <w:pStyle w:val="54"/>
        <w:spacing w:before="24" w:after="24"/>
      </w:pPr>
      <w:r>
        <w:t>1.应严格遵循国家、地方以及行业等相关规范、规程、标准及规定，必须严格执行规范中的强制性条文，图纸应能达到国家建设部《建筑工程设计文件编制深度规定》2016版要求的深度；</w:t>
      </w:r>
    </w:p>
    <w:p w14:paraId="15BC8E9C">
      <w:pPr>
        <w:pStyle w:val="54"/>
        <w:spacing w:before="24" w:after="24"/>
      </w:pPr>
      <w:r>
        <w:t xml:space="preserve">2.供配电方案应满足当地供电部门电业管理规定的要求； </w:t>
      </w:r>
    </w:p>
    <w:p w14:paraId="7DB7B755">
      <w:pPr>
        <w:pStyle w:val="54"/>
        <w:spacing w:before="24" w:after="24"/>
      </w:pPr>
      <w:r>
        <w:t>3.供配电系统应合理、优化，设计应兼顾质量与成本；</w:t>
      </w:r>
    </w:p>
    <w:p w14:paraId="0C012EB8">
      <w:pPr>
        <w:pStyle w:val="54"/>
        <w:spacing w:before="24" w:after="24"/>
      </w:pPr>
      <w:r>
        <w:t>4.各工程子项的技术标准及绘图标准应统一；一套施工图的设计需要遵守“每个专业所使用的图纸，不宜多于两种幅面（不含目录及表格所采用的A4幅面）”的规定</w:t>
      </w:r>
      <w:r>
        <w:rPr>
          <w:rFonts w:eastAsia="MS Gothic"/>
        </w:rPr>
        <w:t>‌</w:t>
      </w:r>
      <w:r>
        <w:t>；</w:t>
      </w:r>
    </w:p>
    <w:p w14:paraId="2469FF9E">
      <w:pPr>
        <w:pStyle w:val="54"/>
        <w:spacing w:before="24" w:after="24"/>
      </w:pPr>
      <w:r>
        <w:t>5.配合其他专业及专项设计单位提出或改善本专业的设计要求；</w:t>
      </w:r>
    </w:p>
    <w:p w14:paraId="118021C6">
      <w:pPr>
        <w:pStyle w:val="54"/>
        <w:spacing w:before="24" w:after="24"/>
      </w:pPr>
      <w:r>
        <w:t>6.电气施工图分为电气总平面、变配电系统、高低压供配电系统、照明系统、防雷系统、接地与安全系统、弱电智能化系统、火灾自动报警及联动系统等几大部分，分别按系统提出设计总说明并要求文字叙述清晰完整。按各部分出系统图、平面布置图、电井大样图、机房平面布置图以及安装大样图等，所有图纸均应表达清晰，内容齐全，便于施工；</w:t>
      </w:r>
    </w:p>
    <w:p w14:paraId="7B9C6671">
      <w:pPr>
        <w:pStyle w:val="54"/>
        <w:spacing w:before="24" w:after="24"/>
      </w:pPr>
      <w:r>
        <w:t xml:space="preserve">7.公变开闭所、配电室及公变供电系统、10kV 电缆产权分界点、专变供电系统需满足当地电业部门的相关要求，且得到当地电业部门的确定； </w:t>
      </w:r>
    </w:p>
    <w:p w14:paraId="3A130220">
      <w:pPr>
        <w:pStyle w:val="54"/>
        <w:spacing w:before="24" w:after="24"/>
      </w:pPr>
      <w:r>
        <w:t>8.住宅项目电气平面图中开关、插座、灯具应有（1：50）水平定位图，有明确尺寸标注。变配电房、消防控制室、弱电机房及电气竖井应有平面布置放大图（变配电房、柴油发电机应有电气设备安装的明确尺寸标注）。 对于需要精装修交付的项目，精装修区域的电气点位应有电气点位安装定位图，明确各电气设备安装尺寸标注；</w:t>
      </w:r>
    </w:p>
    <w:p w14:paraId="06454FE2">
      <w:pPr>
        <w:pStyle w:val="54"/>
        <w:spacing w:before="24" w:after="24"/>
      </w:pPr>
      <w:r>
        <w:t>9.城市广场和公园建设项目中的商业照明需设计出详细管线、灯具等，可不考虑设计插座点位，但需满足消防验收和项目所在地竣工验收需要；</w:t>
      </w:r>
    </w:p>
    <w:p w14:paraId="2C1644CE">
      <w:pPr>
        <w:pStyle w:val="54"/>
        <w:spacing w:before="24" w:after="24"/>
      </w:pPr>
      <w:r>
        <w:t xml:space="preserve">10.变电所、配电间应标注面积、所服务楼栋及负荷，按设备实际尺寸布置设备，并与电力设计单位联合设计、审查； </w:t>
      </w:r>
    </w:p>
    <w:p w14:paraId="6D5A530C">
      <w:pPr>
        <w:pStyle w:val="54"/>
        <w:spacing w:before="24" w:after="24"/>
      </w:pPr>
      <w:r>
        <w:t>11.电气专业应将设备房土建条件资料、预留预埋的设备孔洞等提给建筑、结构专业，由建筑、结构专业出相关详图；</w:t>
      </w:r>
    </w:p>
    <w:p w14:paraId="3D30E6C0">
      <w:pPr>
        <w:pStyle w:val="54"/>
        <w:spacing w:before="24" w:after="24"/>
      </w:pPr>
      <w:r>
        <w:t>12.各电缆桥架、管线等应与设备、结构专业协调统一，保证使用净高。</w:t>
      </w:r>
    </w:p>
    <w:p w14:paraId="1811231A">
      <w:pPr>
        <w:pStyle w:val="54"/>
        <w:spacing w:before="24" w:after="24"/>
        <w:outlineLvl w:val="4"/>
      </w:pPr>
      <w:r>
        <w:t>7.1.3 二次深化设计</w:t>
      </w:r>
    </w:p>
    <w:p w14:paraId="647C5DA2">
      <w:pPr>
        <w:pStyle w:val="54"/>
        <w:spacing w:before="24" w:after="24"/>
      </w:pPr>
      <w:r>
        <w:t>1.有特殊设备的场所（例如：中水机房、换热站、园林景观、雨水收集池、游泳池、生化池、景观电梯、太阳能、空气能等，可由承包人聘请的专业公司深化设计），主体设计阶段需预留至末端配电箱；</w:t>
      </w:r>
    </w:p>
    <w:p w14:paraId="1220EABE">
      <w:pPr>
        <w:pStyle w:val="54"/>
        <w:spacing w:before="24" w:after="24"/>
      </w:pPr>
      <w:r>
        <w:t>2.特殊场所的照明（例如：建筑立面照明、屋顶装饰照明、园林景观照明等，可由承包人聘请的专业照明公司深化设计），设计阶段需预留电源至末端配电箱；</w:t>
      </w:r>
    </w:p>
    <w:p w14:paraId="13DA3B2A">
      <w:pPr>
        <w:pStyle w:val="54"/>
        <w:spacing w:before="24" w:after="24"/>
      </w:pPr>
      <w:r>
        <w:t>3.按合同范围完成工程所涉的二次深化设计（如市政供电设计、弱电智能化设计、泛光照明设计、抗震支架设计、厨房用电和精装修设计等的电气部分），所有二次深化设计等均应符合现行相关规范的规定，并不可改变原土建施工图布局；不可改动消防设计、防火分隔、疏散路线及宽度等涉及安全的内容。如确需改动应经原主体设计单位同意，并由发包人审批后方可实施；</w:t>
      </w:r>
    </w:p>
    <w:p w14:paraId="361C8051">
      <w:pPr>
        <w:pStyle w:val="54"/>
        <w:spacing w:before="24" w:after="24"/>
      </w:pPr>
      <w:r>
        <w:t>4.工程合同范围内所涉的二次深化设计，深化设计成果需经过发包人审批后才可实施。</w:t>
      </w:r>
    </w:p>
    <w:p w14:paraId="7E7376E4">
      <w:pPr>
        <w:pStyle w:val="66"/>
        <w:rPr>
          <w:rFonts w:cs="Times New Roman"/>
        </w:rPr>
      </w:pPr>
      <w:r>
        <w:rPr>
          <w:rFonts w:cs="Times New Roman"/>
        </w:rPr>
        <w:t>7.2 电气总平面</w:t>
      </w:r>
    </w:p>
    <w:p w14:paraId="2EA5165E">
      <w:pPr>
        <w:pStyle w:val="54"/>
        <w:spacing w:before="24" w:after="24"/>
        <w:outlineLvl w:val="4"/>
      </w:pPr>
      <w:r>
        <w:t>7.2.1强电管网</w:t>
      </w:r>
    </w:p>
    <w:p w14:paraId="0E57F2A3">
      <w:pPr>
        <w:pStyle w:val="54"/>
        <w:spacing w:before="24" w:after="24"/>
      </w:pPr>
      <w:r>
        <w:t>1.根据具体情况小截面电缆优先考虑排管（CPVC）加手孔井敷设方式，大截面电缆可考虑采用电缆沟敷设方式，排管穿越小区道路时，需穿钢管并进行砼包封处理，并提供排管埋深及手孔井大样图；</w:t>
      </w:r>
    </w:p>
    <w:p w14:paraId="5F040C90">
      <w:pPr>
        <w:pStyle w:val="54"/>
        <w:spacing w:before="24" w:after="24"/>
      </w:pPr>
      <w:r>
        <w:t>2.用地红线内变配电室市政进线电力管应做好与红线外沿市政道路敷设的电力管网衔接设计工作，避免二次开挖；</w:t>
      </w:r>
    </w:p>
    <w:p w14:paraId="3962D6BD">
      <w:pPr>
        <w:pStyle w:val="54"/>
        <w:spacing w:before="24" w:after="24"/>
      </w:pPr>
      <w:r>
        <w:t>3.排管数量根据实际需求确认，并预留备用排管；</w:t>
      </w:r>
    </w:p>
    <w:p w14:paraId="1FD4F61E">
      <w:pPr>
        <w:pStyle w:val="54"/>
        <w:spacing w:before="24" w:after="24"/>
      </w:pPr>
      <w:r>
        <w:t>4.强电井采用砖砌井（必须在车行道下设置时，引用标准图集采用钢筋混凝土井），需考虑排水措施，就近排入雨水井内；</w:t>
      </w:r>
    </w:p>
    <w:p w14:paraId="47F28E20">
      <w:pPr>
        <w:pStyle w:val="54"/>
        <w:spacing w:before="24" w:after="24"/>
      </w:pPr>
      <w:r>
        <w:t>5.地下埋管距地面深度不应小于0.5m，距排水沟底不应小于0.3m</w:t>
      </w:r>
      <w:r>
        <w:rPr>
          <w:rFonts w:eastAsia="MS Gothic"/>
        </w:rPr>
        <w:t>‌</w:t>
      </w:r>
      <w:r>
        <w:t>。若敷设于机动车道下，管路顶部距地面不宜小于1m。</w:t>
      </w:r>
    </w:p>
    <w:p w14:paraId="3F43486D">
      <w:pPr>
        <w:pStyle w:val="54"/>
        <w:spacing w:before="24" w:after="24"/>
        <w:outlineLvl w:val="4"/>
      </w:pPr>
      <w:r>
        <w:t>7.2.2弱电管网</w:t>
      </w:r>
    </w:p>
    <w:p w14:paraId="133E5F88">
      <w:pPr>
        <w:pStyle w:val="54"/>
        <w:spacing w:before="24" w:after="24"/>
      </w:pPr>
      <w:r>
        <w:t>1.室外各种光缆和线缆采用UPVC通信管+手孔井方式，排管穿越小区道路时，需穿钢管并进行砼包封处理，并提供排管埋深及手孔井大样图；</w:t>
      </w:r>
    </w:p>
    <w:p w14:paraId="5AE3A764">
      <w:pPr>
        <w:pStyle w:val="54"/>
        <w:spacing w:before="24" w:after="24"/>
      </w:pPr>
      <w:r>
        <w:t>2.尽量避免与强电线路共管、共沟混合敷设；</w:t>
      </w:r>
    </w:p>
    <w:p w14:paraId="6A999000">
      <w:pPr>
        <w:pStyle w:val="54"/>
        <w:spacing w:before="24" w:after="24"/>
      </w:pPr>
      <w:r>
        <w:t>3.弱电井采用砖砌井（必须在车行道下设置时，引用标准图集采用钢筋混凝土井），需考虑排水措施，宜就近排入雨水井内；</w:t>
      </w:r>
    </w:p>
    <w:p w14:paraId="203646B0">
      <w:pPr>
        <w:pStyle w:val="54"/>
        <w:spacing w:before="24" w:after="24"/>
      </w:pPr>
      <w:r>
        <w:t>4.地下埋管距地面深度不应小于0.5m，距排水沟底不应小于0.3m</w:t>
      </w:r>
      <w:r>
        <w:rPr>
          <w:rFonts w:eastAsia="MS Gothic"/>
        </w:rPr>
        <w:t>‌</w:t>
      </w:r>
      <w:r>
        <w:t>。若敷设于机动车道下，管路顶部距地面不宜小于1m。</w:t>
      </w:r>
    </w:p>
    <w:p w14:paraId="5D429CFC">
      <w:pPr>
        <w:pStyle w:val="54"/>
        <w:spacing w:before="24" w:after="24"/>
        <w:outlineLvl w:val="4"/>
      </w:pPr>
      <w:r>
        <w:t>7.2.3综合管网</w:t>
      </w:r>
    </w:p>
    <w:p w14:paraId="5F8D6196">
      <w:pPr>
        <w:pStyle w:val="54"/>
        <w:spacing w:before="24" w:after="24"/>
      </w:pPr>
      <w:r>
        <w:t>1.电气专业室外管网完成后，应与其他专业绘制室外综合管网布置图；</w:t>
      </w:r>
    </w:p>
    <w:p w14:paraId="4DE5A2DD">
      <w:pPr>
        <w:pStyle w:val="54"/>
        <w:spacing w:before="24" w:after="24"/>
      </w:pPr>
      <w:r>
        <w:t>2.主体设计院应配合景观二次设计对室外综合管网走向进行局部调整。</w:t>
      </w:r>
    </w:p>
    <w:p w14:paraId="7DA5DD49">
      <w:pPr>
        <w:pStyle w:val="54"/>
        <w:spacing w:before="24" w:after="24"/>
      </w:pPr>
      <w:r>
        <w:t>3.应尽量避免在私家花园、道路上、单元楼入口硬质铺装处设置强弱电井，强弱电井尽量布置在园林绿化带内或景观隐蔽处。</w:t>
      </w:r>
    </w:p>
    <w:p w14:paraId="5F273407">
      <w:pPr>
        <w:pStyle w:val="54"/>
        <w:spacing w:before="24" w:after="24"/>
      </w:pPr>
      <w:r>
        <w:t>4.电气设计需遵循有压管道让无压管道、埋管浅的让埋管深的、单管让双管、柔性材料管道让刚性材料管道的避让原则。</w:t>
      </w:r>
      <w:r>
        <w:rPr>
          <w:rFonts w:eastAsia="MS Gothic"/>
        </w:rPr>
        <w:t>‌</w:t>
      </w:r>
    </w:p>
    <w:p w14:paraId="7E03C9C7">
      <w:pPr>
        <w:pStyle w:val="66"/>
        <w:rPr>
          <w:rFonts w:cs="Times New Roman"/>
        </w:rPr>
      </w:pPr>
      <w:r>
        <w:rPr>
          <w:rFonts w:cs="Times New Roman"/>
        </w:rPr>
        <w:t>7.3 变配电室和发电机房</w:t>
      </w:r>
    </w:p>
    <w:p w14:paraId="7260E44E">
      <w:pPr>
        <w:pStyle w:val="54"/>
        <w:spacing w:before="24" w:after="24"/>
        <w:outlineLvl w:val="4"/>
      </w:pPr>
      <w:r>
        <w:t>7.3.1供电电源</w:t>
      </w:r>
    </w:p>
    <w:p w14:paraId="0A237ED9">
      <w:pPr>
        <w:pStyle w:val="54"/>
        <w:spacing w:before="24" w:after="24"/>
      </w:pPr>
      <w:r>
        <w:t>1.高压电源进线首选10kV电压等级,电源回路数按负荷等级根据国家及地方标准规范、当地供电局要求设置；</w:t>
      </w:r>
    </w:p>
    <w:p w14:paraId="0EC5FDB6">
      <w:pPr>
        <w:pStyle w:val="54"/>
        <w:spacing w:before="24" w:after="24"/>
      </w:pPr>
      <w:r>
        <w:t>2.开闭所、室内外环网柜、变配电室的设置应以项目实际情况、周边电网实际情况、变配电室容量及供电局对永久性用电施工图的审核意见为准；尽量避免设置开闭所，并按需设置柴油发电机应急系统。装机容量800kVA及以下时，优先设置箱式变电站供电，当总用电容量大于800kVA时，设置变配电室供电；</w:t>
      </w:r>
    </w:p>
    <w:p w14:paraId="5CA2EF67">
      <w:pPr>
        <w:pStyle w:val="54"/>
        <w:spacing w:before="24" w:after="24"/>
      </w:pPr>
      <w:r>
        <w:t>3.开闭所、室内外环网柜、变配电室及公用变配电系统、10kV电缆产权分界点、专用变配电系统应满足国家规范及供电局相关规定；</w:t>
      </w:r>
    </w:p>
    <w:p w14:paraId="71C73CC6">
      <w:pPr>
        <w:pStyle w:val="54"/>
        <w:spacing w:before="24" w:after="24"/>
      </w:pPr>
      <w:r>
        <w:t>4.高压线路可采用链接式和放射式结合方式，尽量减少开关柜出线回路。</w:t>
      </w:r>
    </w:p>
    <w:p w14:paraId="03736986">
      <w:pPr>
        <w:pStyle w:val="54"/>
        <w:spacing w:before="24" w:after="24"/>
        <w:outlineLvl w:val="4"/>
      </w:pPr>
      <w:r>
        <w:t>7.3.2一般要求</w:t>
      </w:r>
    </w:p>
    <w:p w14:paraId="7DA3FB3D">
      <w:pPr>
        <w:pStyle w:val="54"/>
        <w:spacing w:before="24" w:after="24"/>
      </w:pPr>
      <w:r>
        <w:t>1.变配电室的选址及布置应满足规范及当地供电部门的要求，尽量减少对附近居民、景观、上部建筑和车位等方面的影响；</w:t>
      </w:r>
    </w:p>
    <w:p w14:paraId="16EA50E5">
      <w:pPr>
        <w:pStyle w:val="54"/>
        <w:spacing w:before="24" w:after="24"/>
      </w:pPr>
      <w:r>
        <w:t>2.变配电室应尽量位于负荷中心，以减少低压干线供电半径。在满足供电半径（主干线供电半径按250米控制）要求的前提下，尽量减少变配电室的数量，如地方有特殊规定应按照地方规定执行；</w:t>
      </w:r>
    </w:p>
    <w:p w14:paraId="362E0CE0">
      <w:pPr>
        <w:pStyle w:val="54"/>
        <w:spacing w:before="24" w:after="24"/>
      </w:pPr>
      <w:r>
        <w:t>3.变配电室应预留大型电气设备的运输通道 （地库车道或吊装口）及荷载，还应避开车位布置，尽量少占用或不占用地下车位，减少对车位的影响，变配电室运输通道（高、宽）不小于2.5米；</w:t>
      </w:r>
    </w:p>
    <w:p w14:paraId="1FB0C33F">
      <w:pPr>
        <w:pStyle w:val="54"/>
        <w:spacing w:before="24" w:after="24"/>
      </w:pPr>
      <w:r>
        <w:t>4.变配电室首选盖下一层设置，不应设置在住宅住户的正上、正下方（含住户室外花园正下方、塔楼投影范围），不应设在卫生间、厨房等有积水场所的正下方。应尽量避免毗邻住户否则应作屏蔽处理及防低频噪声措施。如设置在地上的需满足当地设计规范，并用绿植隔离；</w:t>
      </w:r>
    </w:p>
    <w:p w14:paraId="5B3F0181">
      <w:pPr>
        <w:pStyle w:val="54"/>
        <w:spacing w:before="24" w:after="24"/>
      </w:pPr>
      <w:r>
        <w:t>5.变配电室在设置柜下电缆沟时应尽量避免设置下挖的电缆沟。电缆沟应采取防水和排水措施，且变配电室所在位置不得有伸缩缝。高压柜采用下进下出方式，低压柜采用上进下出方式，具体按供电局要求执行；</w:t>
      </w:r>
    </w:p>
    <w:p w14:paraId="1B29A5DB">
      <w:pPr>
        <w:pStyle w:val="54"/>
        <w:spacing w:before="24" w:after="24"/>
      </w:pPr>
      <w:r>
        <w:t>6.变配电室和应急柴油发电机房的位置应配合方便、减少应急电源线路的长度。在满足供电半径要求的前提下，尽量减少应急电源机房数量；</w:t>
      </w:r>
    </w:p>
    <w:p w14:paraId="27CC7CEE">
      <w:pPr>
        <w:pStyle w:val="54"/>
        <w:spacing w:before="24" w:after="24"/>
      </w:pPr>
      <w:r>
        <w:t>7.发电机房尽量靠近专用变配电房设置，其低压配电出线柜应安装在专用配电房内（仅当条件受限时可独立设置房间）；</w:t>
      </w:r>
    </w:p>
    <w:p w14:paraId="6AE17D0B">
      <w:pPr>
        <w:pStyle w:val="54"/>
        <w:spacing w:before="24" w:after="24"/>
      </w:pPr>
      <w:r>
        <w:t>8.配电室及柴油发电机层高应满足《民用建筑电气设计标准》GB51348-2019</w:t>
      </w:r>
      <w:r>
        <w:rPr>
          <w:rFonts w:eastAsia="MS Gothic"/>
        </w:rPr>
        <w:t>‌</w:t>
      </w:r>
      <w:r>
        <w:t>、《中国南方电网10KV及以下业扩受电工程技术导则》（2018年版）和当地主管部门的要求；</w:t>
      </w:r>
    </w:p>
    <w:p w14:paraId="6786ECE1">
      <w:pPr>
        <w:pStyle w:val="54"/>
        <w:spacing w:before="24" w:after="24"/>
      </w:pPr>
      <w:r>
        <w:t>9.发电机组排烟位置及烟道高度在满足当地环保部门要求的前提下，优先考虑在首层或裙房屋顶排放；</w:t>
      </w:r>
    </w:p>
    <w:p w14:paraId="3E3A6481">
      <w:pPr>
        <w:pStyle w:val="54"/>
        <w:spacing w:before="24" w:after="24"/>
      </w:pPr>
      <w:r>
        <w:t>10.当采用箱式变电站供电时，建筑物与10kV及以下的预装式变电站的防火间距不应小于3m。</w:t>
      </w:r>
    </w:p>
    <w:p w14:paraId="612E90DD">
      <w:pPr>
        <w:pStyle w:val="54"/>
        <w:spacing w:before="24" w:after="24"/>
        <w:outlineLvl w:val="4"/>
      </w:pPr>
      <w:r>
        <w:t>7.3.3充电桩变配电室</w:t>
      </w:r>
    </w:p>
    <w:p w14:paraId="52784C9E">
      <w:pPr>
        <w:pStyle w:val="54"/>
        <w:spacing w:before="24" w:after="24"/>
      </w:pPr>
      <w:r>
        <w:t>根据《云南省电动汽车充电基础设施建设运营管理暂行办法》2016年（2019年修订）文件规定：新建住宅配建停车位原则上100%建设充电基础设施或预留建设安装条件，交通枢纽、超市卖场、商务楼宇，党政机关、企事业单位办公场所，旅游景区、学校、体育场馆以及独立用地的公共停车场、停车换乘（P+R)停车场建设充电基础设施或预留建设安装条件（包括电力管线预埋和电力容量预留）的车位比例不低于10%。支持根据实际条件在以上规定基础上增建充电基础设施。单个公用充电基础设施项目中充电桩不少于5个，且桩间距不大于10米。</w:t>
      </w:r>
    </w:p>
    <w:p w14:paraId="6C203D89">
      <w:pPr>
        <w:pStyle w:val="54"/>
        <w:spacing w:before="24" w:after="24"/>
      </w:pPr>
      <w:r>
        <w:t>充电桩变配电室满足当地供电局政策要求的同时，尽量和公共用变配电室共用，避免单独设置充电桩变配电室，并应考虑供电半径要求（按主电缆供电半径不超250米，从配电室低压柜至最远一个充电桩集中电表箱的距离计算）。</w:t>
      </w:r>
    </w:p>
    <w:p w14:paraId="2BE59F71">
      <w:pPr>
        <w:pStyle w:val="66"/>
        <w:rPr>
          <w:rFonts w:cs="Times New Roman"/>
        </w:rPr>
      </w:pPr>
      <w:r>
        <w:rPr>
          <w:rFonts w:cs="Times New Roman"/>
        </w:rPr>
        <w:t>7.4 高低压配电系统</w:t>
      </w:r>
    </w:p>
    <w:p w14:paraId="23227078">
      <w:pPr>
        <w:pStyle w:val="54"/>
        <w:spacing w:before="24" w:after="24"/>
        <w:outlineLvl w:val="4"/>
      </w:pPr>
      <w:r>
        <w:t>7.4.1高压10kV/0.4kV变配电系统</w:t>
      </w:r>
    </w:p>
    <w:p w14:paraId="7B416AD4">
      <w:pPr>
        <w:pStyle w:val="54"/>
        <w:spacing w:before="24" w:after="24"/>
        <w:outlineLvl w:val="5"/>
      </w:pPr>
      <w:r>
        <w:t>1.主接线方式要求</w:t>
      </w:r>
    </w:p>
    <w:p w14:paraId="17AC52E9">
      <w:pPr>
        <w:pStyle w:val="54"/>
        <w:spacing w:before="24" w:after="24"/>
      </w:pPr>
      <w:r>
        <w:t>（1）10kV侧优先采用单母线分段接线，当地供电部门有特殊规定时需按照地方规定执行；</w:t>
      </w:r>
    </w:p>
    <w:p w14:paraId="48F56CEA">
      <w:pPr>
        <w:pStyle w:val="54"/>
        <w:spacing w:before="24" w:after="24"/>
      </w:pPr>
      <w:r>
        <w:t>（2）0.4kV侧优先采用单母线分段接线。需要设置柴油发电机组的项目，柴油发电机应急母线段在与市电备供电源母线段共用并与主供电源在低压侧进行切换，当地供电部门有特殊规定时需按照地方规定执行。</w:t>
      </w:r>
    </w:p>
    <w:p w14:paraId="0A6036A9">
      <w:pPr>
        <w:pStyle w:val="54"/>
        <w:spacing w:before="24" w:after="24"/>
        <w:outlineLvl w:val="5"/>
      </w:pPr>
      <w:r>
        <w:t>2.设备配置要求</w:t>
      </w:r>
    </w:p>
    <w:p w14:paraId="281DA938">
      <w:pPr>
        <w:pStyle w:val="54"/>
        <w:spacing w:before="24" w:after="24"/>
      </w:pPr>
      <w:r>
        <w:t>（1）开闭所10kV高压进、出线柜优先选用固定式开关柜，进线及联络（隔离）柜、专用开闭所或专用高压室进线及联络（隔离）柜和所有馈线柜配置真空断路器。当地供电部门有特殊规定时需按照地方规定执行；</w:t>
      </w:r>
    </w:p>
    <w:p w14:paraId="14F18930">
      <w:pPr>
        <w:pStyle w:val="54"/>
        <w:spacing w:before="24" w:after="24"/>
      </w:pPr>
      <w:r>
        <w:t>（2）配置配电自动化装置（DTU），实现‘三遥’功能；</w:t>
      </w:r>
    </w:p>
    <w:p w14:paraId="1128A0A0">
      <w:pPr>
        <w:pStyle w:val="54"/>
        <w:spacing w:before="24" w:after="24"/>
      </w:pPr>
      <w:r>
        <w:t>（3）配置配电综合管理系统；</w:t>
      </w:r>
    </w:p>
    <w:p w14:paraId="5EA6D7B7">
      <w:pPr>
        <w:pStyle w:val="54"/>
        <w:spacing w:before="24" w:after="24"/>
      </w:pPr>
      <w:r>
        <w:t>（4）按当地供电部门要求按需配置变配电室配套设施和工具；</w:t>
      </w:r>
    </w:p>
    <w:p w14:paraId="41AE6D29">
      <w:pPr>
        <w:pStyle w:val="54"/>
        <w:spacing w:before="24" w:after="24"/>
      </w:pPr>
      <w:r>
        <w:t>（5）0.4kV柜优先采用GCS或GCK抽屉式开关柜，低压总路采用框架断路器，低压出线壳架电流＜630A采用塑壳断路器，≥630A使用框架断路器；</w:t>
      </w:r>
    </w:p>
    <w:p w14:paraId="5B9E8407">
      <w:pPr>
        <w:pStyle w:val="54"/>
        <w:spacing w:before="24" w:after="24"/>
      </w:pPr>
      <w:r>
        <w:t>（6）0.4kV插接母线采用密集型插接母线，并合理布置路径，减少弯头数量。</w:t>
      </w:r>
    </w:p>
    <w:p w14:paraId="6B3BDAFB">
      <w:pPr>
        <w:pStyle w:val="54"/>
        <w:spacing w:before="24" w:after="24"/>
        <w:outlineLvl w:val="5"/>
      </w:pPr>
      <w:r>
        <w:t>3.变压器选择要求</w:t>
      </w:r>
    </w:p>
    <w:p w14:paraId="724CB23C">
      <w:pPr>
        <w:pStyle w:val="54"/>
        <w:spacing w:before="24" w:after="24"/>
      </w:pPr>
      <w:r>
        <w:t>（1）变压器容量的选择应根据项目实际需求，并满足《民用建筑电气设计标准》GB51348-2019、《20kV及以下变电所设计规范》GB50053-2013和《中国南方电网10KV及以下业扩受电工程技术导则》（2018年版）及当地主管部门的要求；</w:t>
      </w:r>
    </w:p>
    <w:p w14:paraId="035EAD19">
      <w:pPr>
        <w:pStyle w:val="54"/>
        <w:spacing w:before="24" w:after="24"/>
      </w:pPr>
      <w:r>
        <w:t>（2）变压器负载率在75%~85%之间为宜；</w:t>
      </w:r>
    </w:p>
    <w:p w14:paraId="622350F3">
      <w:pPr>
        <w:pStyle w:val="54"/>
        <w:spacing w:before="24" w:after="24"/>
      </w:pPr>
      <w:r>
        <w:t>（3）优先选用带温度控制、强迫风冷、有防护外壳的干式变压器SCB13及以上，且到达2级能效标准。</w:t>
      </w:r>
    </w:p>
    <w:p w14:paraId="7FE5754E">
      <w:pPr>
        <w:pStyle w:val="54"/>
        <w:spacing w:before="24" w:after="24"/>
        <w:outlineLvl w:val="5"/>
      </w:pPr>
      <w:r>
        <w:t>4.继电保护要求</w:t>
      </w:r>
    </w:p>
    <w:p w14:paraId="20D23B48">
      <w:pPr>
        <w:pStyle w:val="54"/>
        <w:spacing w:before="24" w:after="24"/>
      </w:pPr>
      <w:r>
        <w:t>（1）10kV 电源进线开关设电流速断、定时限过电流、零序保护；</w:t>
      </w:r>
    </w:p>
    <w:p w14:paraId="3C38FC11">
      <w:pPr>
        <w:pStyle w:val="54"/>
        <w:spacing w:before="24" w:after="24"/>
      </w:pPr>
      <w:r>
        <w:t>（2）母联开关设电流速断、定时限过电流保护；</w:t>
      </w:r>
    </w:p>
    <w:p w14:paraId="712AF9E1">
      <w:pPr>
        <w:pStyle w:val="54"/>
        <w:spacing w:before="24" w:after="24"/>
      </w:pPr>
      <w:r>
        <w:t>（3）变压器出线回路设电流速断、定时限过电流、零序保护、变压器高温、超温保护；</w:t>
      </w:r>
    </w:p>
    <w:p w14:paraId="18C1278C">
      <w:pPr>
        <w:pStyle w:val="54"/>
        <w:spacing w:before="24" w:after="24"/>
      </w:pPr>
      <w:r>
        <w:t>（4）低压柜进线回路开关及联络开关需配置长延时保护、短延时保护、瞬时保护、接地故障保护。出线开关非消防负荷需配置报警不断开的长延时保护、短延时保护，瞬时保护；</w:t>
      </w:r>
    </w:p>
    <w:p w14:paraId="4516F49C">
      <w:pPr>
        <w:pStyle w:val="54"/>
        <w:spacing w:before="24" w:after="24"/>
      </w:pPr>
      <w:r>
        <w:t>（5）低压柜出线回路需配置具有电流、电压、有功功率等监测功能的智能电力仪表。</w:t>
      </w:r>
    </w:p>
    <w:p w14:paraId="1CB2DAD8">
      <w:pPr>
        <w:pStyle w:val="54"/>
        <w:spacing w:before="24" w:after="24"/>
        <w:outlineLvl w:val="5"/>
      </w:pPr>
      <w:r>
        <w:t>5.高压计量要求</w:t>
      </w:r>
    </w:p>
    <w:p w14:paraId="14823F9A">
      <w:pPr>
        <w:pStyle w:val="54"/>
        <w:spacing w:before="24" w:after="24"/>
      </w:pPr>
      <w:r>
        <w:t>（1）高压供电方式采用高供高计的计量方式，10kV 侧设置专用计量柜，其中 CT、PT 由供电部门提供，具体规格按供电方案批复确定；</w:t>
      </w:r>
    </w:p>
    <w:p w14:paraId="63CEB416">
      <w:pPr>
        <w:pStyle w:val="54"/>
        <w:spacing w:before="24" w:after="24"/>
      </w:pPr>
      <w:r>
        <w:t>（2）高压侧设置高压计量总表，低压侧设置分表计量。</w:t>
      </w:r>
    </w:p>
    <w:p w14:paraId="0BDF923A">
      <w:pPr>
        <w:pStyle w:val="54"/>
        <w:spacing w:before="24" w:after="24"/>
        <w:outlineLvl w:val="4"/>
      </w:pPr>
      <w:r>
        <w:t>7.4.2低压配电系统</w:t>
      </w:r>
    </w:p>
    <w:p w14:paraId="1AF97392">
      <w:pPr>
        <w:pStyle w:val="54"/>
        <w:spacing w:before="24" w:after="24"/>
        <w:outlineLvl w:val="5"/>
      </w:pPr>
      <w:r>
        <w:t>1.通用要求</w:t>
      </w:r>
    </w:p>
    <w:p w14:paraId="6ED359DD">
      <w:pPr>
        <w:pStyle w:val="54"/>
        <w:spacing w:before="24" w:after="24"/>
      </w:pPr>
      <w:r>
        <w:t>（1）负荷等级、供电方式、线缆敷设等均应按照《民用建筑电气设计标准》GB51348-2019和国家及地方标准规范设计，不应过度设计；</w:t>
      </w:r>
    </w:p>
    <w:p w14:paraId="3D2B6B78">
      <w:pPr>
        <w:pStyle w:val="54"/>
        <w:spacing w:before="24" w:after="24"/>
      </w:pPr>
      <w:r>
        <w:t>（2）采用放射式供电的线路，双电源切换装置优先采用自带隔离功能的双电源切换开关；</w:t>
      </w:r>
    </w:p>
    <w:p w14:paraId="45C6C1EB">
      <w:pPr>
        <w:pStyle w:val="54"/>
        <w:spacing w:before="24" w:after="24"/>
      </w:pPr>
      <w:r>
        <w:t>（3）电动机保护开关优先选用热继电器+接触器形式，不采用一体式；</w:t>
      </w:r>
    </w:p>
    <w:p w14:paraId="750A40B7">
      <w:pPr>
        <w:pStyle w:val="54"/>
        <w:spacing w:before="24" w:after="24"/>
      </w:pPr>
      <w:r>
        <w:t>（4）消防水泵功率S不应＞110kW（特殊情况除外），当其功率 S≥70kW 时首选自耦降压启动（特殊情况，如电机的接线方式</w:t>
      </w:r>
      <w:r>
        <w:rPr>
          <w:rFonts w:eastAsia="MS Gothic"/>
        </w:rPr>
        <w:t>‌</w:t>
      </w:r>
      <w:r>
        <w:t>、</w:t>
      </w:r>
      <w:r>
        <w:rPr>
          <w:rFonts w:eastAsia="MS Gothic"/>
        </w:rPr>
        <w:t>‌</w:t>
      </w:r>
      <w:r>
        <w:t>负载特性</w:t>
      </w:r>
      <w:r>
        <w:rPr>
          <w:rFonts w:eastAsia="MS Gothic"/>
        </w:rPr>
        <w:t>‌</w:t>
      </w:r>
      <w:r>
        <w:t>以及</w:t>
      </w:r>
      <w:r>
        <w:rPr>
          <w:rFonts w:eastAsia="MS Gothic"/>
        </w:rPr>
        <w:t>‌</w:t>
      </w:r>
      <w:r>
        <w:t>电源条件</w:t>
      </w:r>
      <w:r>
        <w:rPr>
          <w:rFonts w:eastAsia="MS Gothic"/>
        </w:rPr>
        <w:t>‌</w:t>
      </w:r>
      <w:r>
        <w:t>下不满足时可采用星三角启动），70kW＞功率S≥30kW 应采用星三角降压启动；</w:t>
      </w:r>
    </w:p>
    <w:p w14:paraId="25619F59">
      <w:pPr>
        <w:pStyle w:val="54"/>
        <w:spacing w:before="24" w:after="24"/>
      </w:pPr>
      <w:r>
        <w:t>（5）预留需要二次深化设计区域、景观照明、活动广场用电、生化池、游泳池、雨水收集（如有）、岗亭及车库道闸电源接口（管线设计到末端配电箱，含配电箱进线开关），每个接口预留用电容量；</w:t>
      </w:r>
    </w:p>
    <w:p w14:paraId="2D2ADE58">
      <w:pPr>
        <w:pStyle w:val="54"/>
        <w:spacing w:before="24" w:after="24"/>
      </w:pPr>
      <w:r>
        <w:t>（6）配电除医院和学校实验室的特殊区域外均采用TN-S接地系统；</w:t>
      </w:r>
    </w:p>
    <w:p w14:paraId="60A0949B">
      <w:pPr>
        <w:pStyle w:val="54"/>
        <w:spacing w:before="24" w:after="24"/>
      </w:pPr>
      <w:r>
        <w:t>（7）发电机常用功率＞300kW时，至应急配电总柜的干线应优先选用母线槽；</w:t>
      </w:r>
    </w:p>
    <w:p w14:paraId="0B71F8D2">
      <w:pPr>
        <w:pStyle w:val="54"/>
        <w:spacing w:before="24" w:after="24"/>
      </w:pPr>
      <w:r>
        <w:t>（8）水泵房配电应配置单独的配电柜，配电柜可设置单独的配电间或设置在水泵房内（当配电柜设置在消防水泵房内时，消防柜体防护等级IP≥55，柜体应抬高450mm安装）；</w:t>
      </w:r>
    </w:p>
    <w:p w14:paraId="2E634318">
      <w:pPr>
        <w:pStyle w:val="54"/>
        <w:spacing w:before="24" w:after="24"/>
      </w:pPr>
      <w:r>
        <w:t>（9）消防控制室（安防合用）应分别设置消防用电双电源配电箱、安防用电配电箱；</w:t>
      </w:r>
    </w:p>
    <w:p w14:paraId="3111A90A">
      <w:pPr>
        <w:pStyle w:val="54"/>
        <w:spacing w:before="24" w:after="24"/>
      </w:pPr>
      <w:r>
        <w:t>（10）景观照明采用时控+光感控制，管线设计到末端配电箱，含配电箱进线开关；</w:t>
      </w:r>
    </w:p>
    <w:p w14:paraId="0D8EBCC0">
      <w:pPr>
        <w:pStyle w:val="54"/>
        <w:spacing w:before="24" w:after="24"/>
      </w:pPr>
      <w:r>
        <w:t>（11）剩余电流报警的装置：根据《火灾自动报警系统设计规范》（GB50116-2013）第9.2.1条，应以设置在低压配电系统首端为基本原则，宜设置在第一级配电柜（箱）的出线端，对于计算电流不大于300A的，在总箱进线端设置；对于计算电流大于300A的，在总箱出线开关设置；是否需设置剩余电流报警的装置，按《建筑设计防火规范》GB50016-2014（2018年版）第10.2.7条执行。</w:t>
      </w:r>
    </w:p>
    <w:p w14:paraId="37EBDC9B">
      <w:pPr>
        <w:pStyle w:val="54"/>
        <w:spacing w:before="24" w:after="24"/>
        <w:outlineLvl w:val="5"/>
      </w:pPr>
      <w:r>
        <w:t>2.负荷计算及无功功率补偿</w:t>
      </w:r>
    </w:p>
    <w:p w14:paraId="6E7AEB64">
      <w:pPr>
        <w:pStyle w:val="54"/>
        <w:spacing w:before="24" w:after="24"/>
      </w:pPr>
      <w:r>
        <w:t>（1）负荷计算的方法：采用需要系数法进行计算。</w:t>
      </w:r>
    </w:p>
    <w:p w14:paraId="7CA5474C">
      <w:pPr>
        <w:pStyle w:val="54"/>
        <w:spacing w:before="24" w:after="24"/>
      </w:pPr>
      <w:r>
        <w:t>（2）需要系数及功率因数的取值；</w:t>
      </w:r>
    </w:p>
    <w:p w14:paraId="6BAD2512">
      <w:pPr>
        <w:pStyle w:val="54"/>
        <w:spacing w:before="24" w:after="24"/>
      </w:pPr>
      <w:r>
        <w:t>1）住宅、商业网点、配套用房需要系数及功率因数主要按《中国南方电网10KV及以下业扩受电工程技术导则》（2018版）表6.2，可参考国标图集《建筑电气常用数据》19DX101-1第3-22页；</w:t>
      </w:r>
    </w:p>
    <w:p w14:paraId="6C74041F">
      <w:pPr>
        <w:pStyle w:val="54"/>
        <w:spacing w:before="24" w:after="24"/>
      </w:pPr>
      <w:r>
        <w:t>2）办公照明、空调、厨房等公共用电的需要系数及功率因数的取值参照国标图集《建筑电气常用数据》19DX101-1第3-23页；</w:t>
      </w:r>
    </w:p>
    <w:p w14:paraId="39CEF859">
      <w:pPr>
        <w:pStyle w:val="54"/>
        <w:spacing w:before="24" w:after="24"/>
      </w:pPr>
      <w:r>
        <w:t>3）风机、水泵、卷帘门等动力箱需要系数参照下表取值：</w:t>
      </w:r>
    </w:p>
    <w:tbl>
      <w:tblPr>
        <w:tblStyle w:val="31"/>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71"/>
        <w:gridCol w:w="1491"/>
        <w:gridCol w:w="856"/>
        <w:gridCol w:w="782"/>
        <w:gridCol w:w="975"/>
        <w:gridCol w:w="960"/>
        <w:gridCol w:w="1169"/>
        <w:gridCol w:w="976"/>
      </w:tblGrid>
      <w:tr w14:paraId="3E9A2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15" w:type="pct"/>
            <w:tcBorders>
              <w:top w:val="single" w:color="000000" w:sz="4" w:space="0"/>
              <w:left w:val="single" w:color="000000" w:sz="4" w:space="0"/>
              <w:bottom w:val="single" w:color="000000" w:sz="4" w:space="0"/>
              <w:right w:val="single" w:color="000000" w:sz="4" w:space="0"/>
            </w:tcBorders>
            <w:vAlign w:val="center"/>
          </w:tcPr>
          <w:p w14:paraId="541A3523">
            <w:pPr>
              <w:pStyle w:val="71"/>
              <w:spacing w:before="24" w:after="24"/>
            </w:pPr>
            <w:r>
              <w:rPr>
                <w:rFonts w:hint="eastAsia"/>
              </w:rPr>
              <w:t>风机及水泵数量</w:t>
            </w:r>
          </w:p>
        </w:tc>
        <w:tc>
          <w:tcPr>
            <w:tcW w:w="803" w:type="pct"/>
            <w:tcBorders>
              <w:top w:val="single" w:color="000000" w:sz="4" w:space="0"/>
              <w:left w:val="single" w:color="000000" w:sz="4" w:space="0"/>
              <w:bottom w:val="single" w:color="000000" w:sz="4" w:space="0"/>
              <w:right w:val="single" w:color="000000" w:sz="4" w:space="0"/>
            </w:tcBorders>
            <w:vAlign w:val="center"/>
          </w:tcPr>
          <w:p w14:paraId="0C757282">
            <w:pPr>
              <w:pStyle w:val="71"/>
              <w:spacing w:before="24" w:after="24"/>
            </w:pPr>
            <w:r>
              <w:rPr>
                <w:rFonts w:hint="eastAsia"/>
              </w:rPr>
              <w:t>3台及以下</w:t>
            </w:r>
          </w:p>
        </w:tc>
        <w:tc>
          <w:tcPr>
            <w:tcW w:w="461" w:type="pct"/>
            <w:tcBorders>
              <w:top w:val="single" w:color="000000" w:sz="4" w:space="0"/>
              <w:left w:val="single" w:color="000000" w:sz="4" w:space="0"/>
              <w:bottom w:val="single" w:color="000000" w:sz="4" w:space="0"/>
              <w:right w:val="single" w:color="000000" w:sz="4" w:space="0"/>
            </w:tcBorders>
            <w:vAlign w:val="center"/>
          </w:tcPr>
          <w:p w14:paraId="10B6A332">
            <w:pPr>
              <w:pStyle w:val="71"/>
              <w:spacing w:before="24" w:after="24"/>
            </w:pPr>
            <w:r>
              <w:rPr>
                <w:rFonts w:hint="eastAsia"/>
              </w:rPr>
              <w:t>4台</w:t>
            </w:r>
          </w:p>
        </w:tc>
        <w:tc>
          <w:tcPr>
            <w:tcW w:w="421" w:type="pct"/>
            <w:tcBorders>
              <w:top w:val="single" w:color="000000" w:sz="4" w:space="0"/>
              <w:left w:val="single" w:color="000000" w:sz="4" w:space="0"/>
              <w:bottom w:val="single" w:color="000000" w:sz="4" w:space="0"/>
              <w:right w:val="single" w:color="000000" w:sz="4" w:space="0"/>
            </w:tcBorders>
            <w:vAlign w:val="center"/>
          </w:tcPr>
          <w:p w14:paraId="499F70F5">
            <w:pPr>
              <w:pStyle w:val="71"/>
              <w:spacing w:before="24" w:after="24"/>
            </w:pPr>
            <w:r>
              <w:rPr>
                <w:rFonts w:hint="eastAsia"/>
              </w:rPr>
              <w:t>5、6</w:t>
            </w:r>
          </w:p>
        </w:tc>
        <w:tc>
          <w:tcPr>
            <w:tcW w:w="525" w:type="pct"/>
            <w:tcBorders>
              <w:top w:val="single" w:color="000000" w:sz="4" w:space="0"/>
              <w:left w:val="single" w:color="000000" w:sz="4" w:space="0"/>
              <w:bottom w:val="single" w:color="000000" w:sz="4" w:space="0"/>
              <w:right w:val="single" w:color="000000" w:sz="4" w:space="0"/>
            </w:tcBorders>
            <w:vAlign w:val="center"/>
          </w:tcPr>
          <w:p w14:paraId="04BD3EE6">
            <w:pPr>
              <w:pStyle w:val="71"/>
              <w:spacing w:before="24" w:after="24"/>
            </w:pPr>
            <w:r>
              <w:rPr>
                <w:rFonts w:hint="eastAsia"/>
              </w:rPr>
              <w:t>7、8</w:t>
            </w:r>
          </w:p>
        </w:tc>
        <w:tc>
          <w:tcPr>
            <w:tcW w:w="517" w:type="pct"/>
            <w:tcBorders>
              <w:top w:val="single" w:color="000000" w:sz="4" w:space="0"/>
              <w:left w:val="single" w:color="000000" w:sz="4" w:space="0"/>
              <w:bottom w:val="single" w:color="000000" w:sz="4" w:space="0"/>
              <w:right w:val="single" w:color="000000" w:sz="4" w:space="0"/>
            </w:tcBorders>
            <w:vAlign w:val="center"/>
          </w:tcPr>
          <w:p w14:paraId="6B22B380">
            <w:pPr>
              <w:pStyle w:val="71"/>
              <w:spacing w:before="24" w:after="24"/>
            </w:pPr>
            <w:r>
              <w:rPr>
                <w:rFonts w:hint="eastAsia"/>
              </w:rPr>
              <w:t>9、10</w:t>
            </w:r>
          </w:p>
        </w:tc>
        <w:tc>
          <w:tcPr>
            <w:tcW w:w="629" w:type="pct"/>
            <w:tcBorders>
              <w:top w:val="single" w:color="000000" w:sz="4" w:space="0"/>
              <w:left w:val="single" w:color="000000" w:sz="4" w:space="0"/>
              <w:bottom w:val="single" w:color="000000" w:sz="4" w:space="0"/>
              <w:right w:val="single" w:color="000000" w:sz="4" w:space="0"/>
            </w:tcBorders>
            <w:vAlign w:val="center"/>
          </w:tcPr>
          <w:p w14:paraId="2D4D2D50">
            <w:pPr>
              <w:pStyle w:val="71"/>
              <w:spacing w:before="24" w:after="24"/>
            </w:pPr>
            <w:r>
              <w:rPr>
                <w:rFonts w:hint="eastAsia"/>
              </w:rPr>
              <w:t>11、12</w:t>
            </w:r>
          </w:p>
        </w:tc>
        <w:tc>
          <w:tcPr>
            <w:tcW w:w="525" w:type="pct"/>
            <w:tcBorders>
              <w:top w:val="single" w:color="000000" w:sz="4" w:space="0"/>
              <w:left w:val="single" w:color="000000" w:sz="4" w:space="0"/>
              <w:bottom w:val="single" w:color="000000" w:sz="4" w:space="0"/>
              <w:right w:val="single" w:color="000000" w:sz="4" w:space="0"/>
            </w:tcBorders>
            <w:vAlign w:val="center"/>
          </w:tcPr>
          <w:p w14:paraId="04D01AA0">
            <w:pPr>
              <w:pStyle w:val="71"/>
              <w:spacing w:before="24" w:after="24"/>
            </w:pPr>
            <w:r>
              <w:rPr>
                <w:rFonts w:hint="eastAsia"/>
              </w:rPr>
              <w:t>13~15</w:t>
            </w:r>
          </w:p>
        </w:tc>
      </w:tr>
      <w:tr w14:paraId="08B07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15" w:type="pct"/>
            <w:tcBorders>
              <w:top w:val="single" w:color="000000" w:sz="4" w:space="0"/>
              <w:left w:val="single" w:color="000000" w:sz="4" w:space="0"/>
              <w:bottom w:val="single" w:color="000000" w:sz="4" w:space="0"/>
              <w:right w:val="single" w:color="000000" w:sz="4" w:space="0"/>
            </w:tcBorders>
            <w:vAlign w:val="center"/>
          </w:tcPr>
          <w:p w14:paraId="3AE33B4C">
            <w:pPr>
              <w:pStyle w:val="71"/>
              <w:spacing w:before="24" w:after="24"/>
            </w:pPr>
            <w:r>
              <w:rPr>
                <w:rFonts w:hint="eastAsia"/>
              </w:rPr>
              <w:t>Kx</w:t>
            </w:r>
          </w:p>
        </w:tc>
        <w:tc>
          <w:tcPr>
            <w:tcW w:w="803" w:type="pct"/>
            <w:tcBorders>
              <w:top w:val="single" w:color="000000" w:sz="4" w:space="0"/>
              <w:left w:val="single" w:color="000000" w:sz="4" w:space="0"/>
              <w:bottom w:val="single" w:color="000000" w:sz="4" w:space="0"/>
              <w:right w:val="single" w:color="000000" w:sz="4" w:space="0"/>
            </w:tcBorders>
            <w:vAlign w:val="center"/>
          </w:tcPr>
          <w:p w14:paraId="3A66A987">
            <w:pPr>
              <w:pStyle w:val="71"/>
              <w:spacing w:before="24" w:after="24"/>
            </w:pPr>
            <w:r>
              <w:rPr>
                <w:rFonts w:hint="eastAsia"/>
              </w:rPr>
              <w:t>1</w:t>
            </w:r>
          </w:p>
        </w:tc>
        <w:tc>
          <w:tcPr>
            <w:tcW w:w="461" w:type="pct"/>
            <w:tcBorders>
              <w:top w:val="single" w:color="000000" w:sz="4" w:space="0"/>
              <w:left w:val="single" w:color="000000" w:sz="4" w:space="0"/>
              <w:bottom w:val="single" w:color="000000" w:sz="4" w:space="0"/>
              <w:right w:val="single" w:color="000000" w:sz="4" w:space="0"/>
            </w:tcBorders>
            <w:vAlign w:val="center"/>
          </w:tcPr>
          <w:p w14:paraId="0F826E7F">
            <w:pPr>
              <w:pStyle w:val="71"/>
              <w:spacing w:before="24" w:after="24"/>
            </w:pPr>
            <w:r>
              <w:rPr>
                <w:rFonts w:hint="eastAsia"/>
              </w:rPr>
              <w:t>0.95</w:t>
            </w:r>
          </w:p>
        </w:tc>
        <w:tc>
          <w:tcPr>
            <w:tcW w:w="421" w:type="pct"/>
            <w:tcBorders>
              <w:top w:val="single" w:color="000000" w:sz="4" w:space="0"/>
              <w:left w:val="single" w:color="000000" w:sz="4" w:space="0"/>
              <w:bottom w:val="single" w:color="000000" w:sz="4" w:space="0"/>
              <w:right w:val="single" w:color="000000" w:sz="4" w:space="0"/>
            </w:tcBorders>
            <w:vAlign w:val="center"/>
          </w:tcPr>
          <w:p w14:paraId="19D5B86F">
            <w:pPr>
              <w:pStyle w:val="71"/>
              <w:spacing w:before="24" w:after="24"/>
            </w:pPr>
            <w:r>
              <w:rPr>
                <w:rFonts w:hint="eastAsia"/>
              </w:rPr>
              <w:t>0.9</w:t>
            </w:r>
          </w:p>
        </w:tc>
        <w:tc>
          <w:tcPr>
            <w:tcW w:w="525" w:type="pct"/>
            <w:tcBorders>
              <w:top w:val="single" w:color="000000" w:sz="4" w:space="0"/>
              <w:left w:val="single" w:color="000000" w:sz="4" w:space="0"/>
              <w:bottom w:val="single" w:color="000000" w:sz="4" w:space="0"/>
              <w:right w:val="single" w:color="000000" w:sz="4" w:space="0"/>
            </w:tcBorders>
            <w:vAlign w:val="center"/>
          </w:tcPr>
          <w:p w14:paraId="371139F0">
            <w:pPr>
              <w:pStyle w:val="71"/>
              <w:spacing w:before="24" w:after="24"/>
            </w:pPr>
            <w:r>
              <w:rPr>
                <w:rFonts w:hint="eastAsia"/>
              </w:rPr>
              <w:t>0.85</w:t>
            </w:r>
          </w:p>
        </w:tc>
        <w:tc>
          <w:tcPr>
            <w:tcW w:w="517" w:type="pct"/>
            <w:tcBorders>
              <w:top w:val="single" w:color="000000" w:sz="4" w:space="0"/>
              <w:left w:val="single" w:color="000000" w:sz="4" w:space="0"/>
              <w:bottom w:val="single" w:color="000000" w:sz="4" w:space="0"/>
              <w:right w:val="single" w:color="000000" w:sz="4" w:space="0"/>
            </w:tcBorders>
            <w:vAlign w:val="center"/>
          </w:tcPr>
          <w:p w14:paraId="2AE88E32">
            <w:pPr>
              <w:pStyle w:val="71"/>
              <w:spacing w:before="24" w:after="24"/>
            </w:pPr>
            <w:r>
              <w:rPr>
                <w:rFonts w:hint="eastAsia"/>
              </w:rPr>
              <w:t>0.8</w:t>
            </w:r>
          </w:p>
        </w:tc>
        <w:tc>
          <w:tcPr>
            <w:tcW w:w="629" w:type="pct"/>
            <w:tcBorders>
              <w:top w:val="single" w:color="000000" w:sz="4" w:space="0"/>
              <w:left w:val="single" w:color="000000" w:sz="4" w:space="0"/>
              <w:bottom w:val="single" w:color="000000" w:sz="4" w:space="0"/>
              <w:right w:val="single" w:color="000000" w:sz="4" w:space="0"/>
            </w:tcBorders>
            <w:vAlign w:val="center"/>
          </w:tcPr>
          <w:p w14:paraId="36A3DE1F">
            <w:pPr>
              <w:pStyle w:val="71"/>
              <w:spacing w:before="24" w:after="24"/>
            </w:pPr>
            <w:r>
              <w:rPr>
                <w:rFonts w:hint="eastAsia"/>
              </w:rPr>
              <w:t>0.75</w:t>
            </w:r>
          </w:p>
        </w:tc>
        <w:tc>
          <w:tcPr>
            <w:tcW w:w="525" w:type="pct"/>
            <w:tcBorders>
              <w:top w:val="single" w:color="000000" w:sz="4" w:space="0"/>
              <w:left w:val="single" w:color="000000" w:sz="4" w:space="0"/>
              <w:bottom w:val="single" w:color="000000" w:sz="4" w:space="0"/>
              <w:right w:val="single" w:color="000000" w:sz="4" w:space="0"/>
            </w:tcBorders>
            <w:vAlign w:val="center"/>
          </w:tcPr>
          <w:p w14:paraId="478D0974">
            <w:pPr>
              <w:pStyle w:val="71"/>
              <w:spacing w:before="24" w:after="24"/>
            </w:pPr>
            <w:r>
              <w:rPr>
                <w:rFonts w:hint="eastAsia"/>
              </w:rPr>
              <w:t>0.7</w:t>
            </w:r>
          </w:p>
        </w:tc>
      </w:tr>
    </w:tbl>
    <w:p w14:paraId="74F23EA1">
      <w:pPr>
        <w:pStyle w:val="54"/>
        <w:spacing w:before="240" w:beforeLines="100" w:after="0" w:afterLines="0"/>
      </w:pPr>
      <w:r>
        <w:t>4）公共照明：末端箱一般取Kx=0.80~0.90，总箱一般取Kx=0.6~0.75；</w:t>
      </w:r>
    </w:p>
    <w:p w14:paraId="0C59AA4A">
      <w:pPr>
        <w:pStyle w:val="54"/>
        <w:spacing w:before="24" w:after="24"/>
      </w:pPr>
      <w:r>
        <w:t>5）电梯需要系数</w:t>
      </w:r>
    </w:p>
    <w:tbl>
      <w:tblPr>
        <w:tblStyle w:val="31"/>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12"/>
        <w:gridCol w:w="904"/>
        <w:gridCol w:w="844"/>
        <w:gridCol w:w="694"/>
        <w:gridCol w:w="844"/>
        <w:gridCol w:w="800"/>
        <w:gridCol w:w="904"/>
        <w:gridCol w:w="813"/>
        <w:gridCol w:w="800"/>
        <w:gridCol w:w="1164"/>
      </w:tblGrid>
      <w:tr w14:paraId="60764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5" w:type="pct"/>
            <w:tcBorders>
              <w:top w:val="single" w:color="000000" w:sz="4" w:space="0"/>
              <w:left w:val="single" w:color="000000" w:sz="4" w:space="0"/>
              <w:bottom w:val="single" w:color="000000" w:sz="4" w:space="0"/>
              <w:right w:val="single" w:color="000000" w:sz="4" w:space="0"/>
            </w:tcBorders>
            <w:vAlign w:val="center"/>
          </w:tcPr>
          <w:p w14:paraId="66E69FD6">
            <w:pPr>
              <w:pStyle w:val="71"/>
              <w:spacing w:before="24" w:after="24"/>
            </w:pPr>
            <w:r>
              <w:rPr>
                <w:rFonts w:hint="eastAsia"/>
              </w:rPr>
              <w:t>电梯（台）</w:t>
            </w:r>
          </w:p>
        </w:tc>
        <w:tc>
          <w:tcPr>
            <w:tcW w:w="487" w:type="pct"/>
            <w:tcBorders>
              <w:top w:val="single" w:color="000000" w:sz="4" w:space="0"/>
              <w:left w:val="single" w:color="000000" w:sz="4" w:space="0"/>
              <w:bottom w:val="single" w:color="000000" w:sz="4" w:space="0"/>
              <w:right w:val="single" w:color="000000" w:sz="4" w:space="0"/>
            </w:tcBorders>
            <w:vAlign w:val="center"/>
          </w:tcPr>
          <w:p w14:paraId="388ED578">
            <w:pPr>
              <w:pStyle w:val="71"/>
              <w:spacing w:before="24" w:after="24"/>
            </w:pPr>
            <w:r>
              <w:rPr>
                <w:rFonts w:hint="eastAsia"/>
              </w:rPr>
              <w:t>2</w:t>
            </w:r>
          </w:p>
        </w:tc>
        <w:tc>
          <w:tcPr>
            <w:tcW w:w="455" w:type="pct"/>
            <w:tcBorders>
              <w:top w:val="single" w:color="000000" w:sz="4" w:space="0"/>
              <w:left w:val="single" w:color="000000" w:sz="4" w:space="0"/>
              <w:bottom w:val="single" w:color="000000" w:sz="4" w:space="0"/>
              <w:right w:val="single" w:color="000000" w:sz="4" w:space="0"/>
            </w:tcBorders>
            <w:vAlign w:val="center"/>
          </w:tcPr>
          <w:p w14:paraId="5AA038AE">
            <w:pPr>
              <w:pStyle w:val="71"/>
              <w:spacing w:before="24" w:after="24"/>
            </w:pPr>
            <w:r>
              <w:rPr>
                <w:rFonts w:hint="eastAsia"/>
              </w:rPr>
              <w:t>3</w:t>
            </w:r>
          </w:p>
        </w:tc>
        <w:tc>
          <w:tcPr>
            <w:tcW w:w="374" w:type="pct"/>
            <w:tcBorders>
              <w:top w:val="single" w:color="000000" w:sz="4" w:space="0"/>
              <w:left w:val="single" w:color="000000" w:sz="4" w:space="0"/>
              <w:bottom w:val="single" w:color="000000" w:sz="4" w:space="0"/>
              <w:right w:val="single" w:color="000000" w:sz="4" w:space="0"/>
            </w:tcBorders>
            <w:vAlign w:val="center"/>
          </w:tcPr>
          <w:p w14:paraId="4FAB4E1E">
            <w:pPr>
              <w:pStyle w:val="71"/>
              <w:spacing w:before="24" w:after="24"/>
            </w:pPr>
            <w:r>
              <w:rPr>
                <w:rFonts w:hint="eastAsia"/>
              </w:rPr>
              <w:t>4</w:t>
            </w:r>
          </w:p>
        </w:tc>
        <w:tc>
          <w:tcPr>
            <w:tcW w:w="455" w:type="pct"/>
            <w:tcBorders>
              <w:top w:val="single" w:color="000000" w:sz="4" w:space="0"/>
              <w:left w:val="single" w:color="000000" w:sz="4" w:space="0"/>
              <w:bottom w:val="single" w:color="000000" w:sz="4" w:space="0"/>
              <w:right w:val="single" w:color="000000" w:sz="4" w:space="0"/>
            </w:tcBorders>
            <w:vAlign w:val="center"/>
          </w:tcPr>
          <w:p w14:paraId="79E0A5BE">
            <w:pPr>
              <w:pStyle w:val="71"/>
              <w:spacing w:before="24" w:after="24"/>
            </w:pPr>
            <w:r>
              <w:rPr>
                <w:rFonts w:hint="eastAsia"/>
              </w:rPr>
              <w:t>5-6</w:t>
            </w:r>
          </w:p>
        </w:tc>
        <w:tc>
          <w:tcPr>
            <w:tcW w:w="431" w:type="pct"/>
            <w:tcBorders>
              <w:top w:val="single" w:color="000000" w:sz="4" w:space="0"/>
              <w:left w:val="single" w:color="000000" w:sz="4" w:space="0"/>
              <w:bottom w:val="single" w:color="000000" w:sz="4" w:space="0"/>
              <w:right w:val="single" w:color="000000" w:sz="4" w:space="0"/>
            </w:tcBorders>
            <w:vAlign w:val="center"/>
          </w:tcPr>
          <w:p w14:paraId="3A4369DA">
            <w:pPr>
              <w:pStyle w:val="71"/>
              <w:spacing w:before="24" w:after="24"/>
            </w:pPr>
            <w:r>
              <w:rPr>
                <w:rFonts w:hint="eastAsia"/>
              </w:rPr>
              <w:t>6</w:t>
            </w:r>
          </w:p>
        </w:tc>
        <w:tc>
          <w:tcPr>
            <w:tcW w:w="487" w:type="pct"/>
            <w:tcBorders>
              <w:top w:val="single" w:color="000000" w:sz="4" w:space="0"/>
              <w:left w:val="single" w:color="000000" w:sz="4" w:space="0"/>
              <w:bottom w:val="single" w:color="000000" w:sz="4" w:space="0"/>
              <w:right w:val="single" w:color="000000" w:sz="4" w:space="0"/>
            </w:tcBorders>
            <w:vAlign w:val="center"/>
          </w:tcPr>
          <w:p w14:paraId="4740A58A">
            <w:pPr>
              <w:pStyle w:val="71"/>
              <w:spacing w:before="24" w:after="24"/>
            </w:pPr>
            <w:r>
              <w:rPr>
                <w:rFonts w:hint="eastAsia"/>
              </w:rPr>
              <w:t>7</w:t>
            </w:r>
          </w:p>
        </w:tc>
        <w:tc>
          <w:tcPr>
            <w:tcW w:w="438" w:type="pct"/>
            <w:tcBorders>
              <w:top w:val="single" w:color="000000" w:sz="4" w:space="0"/>
              <w:left w:val="single" w:color="000000" w:sz="4" w:space="0"/>
              <w:bottom w:val="single" w:color="000000" w:sz="4" w:space="0"/>
              <w:right w:val="single" w:color="000000" w:sz="4" w:space="0"/>
            </w:tcBorders>
            <w:vAlign w:val="center"/>
          </w:tcPr>
          <w:p w14:paraId="161B74B4">
            <w:pPr>
              <w:pStyle w:val="71"/>
              <w:spacing w:before="24" w:after="24"/>
            </w:pPr>
            <w:r>
              <w:rPr>
                <w:rFonts w:hint="eastAsia"/>
              </w:rPr>
              <w:t>8</w:t>
            </w:r>
          </w:p>
        </w:tc>
        <w:tc>
          <w:tcPr>
            <w:tcW w:w="431" w:type="pct"/>
            <w:tcBorders>
              <w:top w:val="single" w:color="000000" w:sz="4" w:space="0"/>
              <w:left w:val="single" w:color="000000" w:sz="4" w:space="0"/>
              <w:bottom w:val="single" w:color="000000" w:sz="4" w:space="0"/>
              <w:right w:val="single" w:color="000000" w:sz="4" w:space="0"/>
            </w:tcBorders>
            <w:vAlign w:val="center"/>
          </w:tcPr>
          <w:p w14:paraId="3658E180">
            <w:pPr>
              <w:pStyle w:val="71"/>
              <w:spacing w:before="24" w:after="24"/>
            </w:pPr>
            <w:r>
              <w:rPr>
                <w:rFonts w:hint="eastAsia"/>
              </w:rPr>
              <w:t>9、10</w:t>
            </w:r>
          </w:p>
        </w:tc>
        <w:tc>
          <w:tcPr>
            <w:tcW w:w="623" w:type="pct"/>
            <w:tcBorders>
              <w:top w:val="single" w:color="000000" w:sz="4" w:space="0"/>
              <w:left w:val="single" w:color="000000" w:sz="4" w:space="0"/>
              <w:bottom w:val="single" w:color="000000" w:sz="4" w:space="0"/>
              <w:right w:val="single" w:color="000000" w:sz="4" w:space="0"/>
            </w:tcBorders>
            <w:vAlign w:val="center"/>
          </w:tcPr>
          <w:p w14:paraId="0ACFC99D">
            <w:pPr>
              <w:pStyle w:val="71"/>
              <w:spacing w:before="24" w:after="24"/>
            </w:pPr>
            <w:r>
              <w:rPr>
                <w:rFonts w:hint="eastAsia"/>
              </w:rPr>
              <w:t>11-13</w:t>
            </w:r>
          </w:p>
        </w:tc>
      </w:tr>
      <w:tr w14:paraId="4CB76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5" w:type="pct"/>
            <w:tcBorders>
              <w:top w:val="single" w:color="000000" w:sz="4" w:space="0"/>
              <w:left w:val="single" w:color="000000" w:sz="4" w:space="0"/>
              <w:bottom w:val="single" w:color="000000" w:sz="4" w:space="0"/>
              <w:right w:val="single" w:color="000000" w:sz="4" w:space="0"/>
            </w:tcBorders>
            <w:vAlign w:val="center"/>
          </w:tcPr>
          <w:p w14:paraId="343E4CF4">
            <w:pPr>
              <w:pStyle w:val="71"/>
              <w:spacing w:before="24" w:after="24"/>
            </w:pPr>
            <w:r>
              <w:rPr>
                <w:rFonts w:hint="eastAsia"/>
              </w:rPr>
              <w:t>交、直流梯</w:t>
            </w:r>
          </w:p>
        </w:tc>
        <w:tc>
          <w:tcPr>
            <w:tcW w:w="487" w:type="pct"/>
            <w:tcBorders>
              <w:top w:val="single" w:color="000000" w:sz="4" w:space="0"/>
              <w:left w:val="single" w:color="000000" w:sz="4" w:space="0"/>
              <w:bottom w:val="single" w:color="000000" w:sz="4" w:space="0"/>
              <w:right w:val="single" w:color="000000" w:sz="4" w:space="0"/>
            </w:tcBorders>
            <w:vAlign w:val="center"/>
          </w:tcPr>
          <w:p w14:paraId="551AE9DB">
            <w:pPr>
              <w:pStyle w:val="71"/>
              <w:spacing w:before="24" w:after="24"/>
            </w:pPr>
            <w:r>
              <w:rPr>
                <w:rFonts w:hint="eastAsia"/>
              </w:rPr>
              <w:t>0.91</w:t>
            </w:r>
          </w:p>
        </w:tc>
        <w:tc>
          <w:tcPr>
            <w:tcW w:w="455" w:type="pct"/>
            <w:tcBorders>
              <w:top w:val="single" w:color="000000" w:sz="4" w:space="0"/>
              <w:left w:val="single" w:color="000000" w:sz="4" w:space="0"/>
              <w:bottom w:val="single" w:color="000000" w:sz="4" w:space="0"/>
              <w:right w:val="single" w:color="000000" w:sz="4" w:space="0"/>
            </w:tcBorders>
            <w:vAlign w:val="center"/>
          </w:tcPr>
          <w:p w14:paraId="048A5FC3">
            <w:pPr>
              <w:pStyle w:val="71"/>
              <w:spacing w:before="24" w:after="24"/>
            </w:pPr>
            <w:r>
              <w:rPr>
                <w:rFonts w:hint="eastAsia"/>
              </w:rPr>
              <w:t>0.85</w:t>
            </w:r>
          </w:p>
        </w:tc>
        <w:tc>
          <w:tcPr>
            <w:tcW w:w="374" w:type="pct"/>
            <w:tcBorders>
              <w:top w:val="single" w:color="000000" w:sz="4" w:space="0"/>
              <w:left w:val="single" w:color="000000" w:sz="4" w:space="0"/>
              <w:bottom w:val="single" w:color="000000" w:sz="4" w:space="0"/>
              <w:right w:val="single" w:color="000000" w:sz="4" w:space="0"/>
            </w:tcBorders>
            <w:vAlign w:val="center"/>
          </w:tcPr>
          <w:p w14:paraId="4B887037">
            <w:pPr>
              <w:pStyle w:val="71"/>
              <w:spacing w:before="24" w:after="24"/>
            </w:pPr>
            <w:r>
              <w:rPr>
                <w:rFonts w:hint="eastAsia"/>
              </w:rPr>
              <w:t>0.8</w:t>
            </w:r>
          </w:p>
        </w:tc>
        <w:tc>
          <w:tcPr>
            <w:tcW w:w="455" w:type="pct"/>
            <w:tcBorders>
              <w:top w:val="single" w:color="000000" w:sz="4" w:space="0"/>
              <w:left w:val="single" w:color="000000" w:sz="4" w:space="0"/>
              <w:bottom w:val="single" w:color="000000" w:sz="4" w:space="0"/>
              <w:right w:val="single" w:color="000000" w:sz="4" w:space="0"/>
            </w:tcBorders>
            <w:vAlign w:val="center"/>
          </w:tcPr>
          <w:p w14:paraId="4C45C68C">
            <w:pPr>
              <w:pStyle w:val="71"/>
              <w:spacing w:before="24" w:after="24"/>
            </w:pPr>
            <w:r>
              <w:rPr>
                <w:rFonts w:hint="eastAsia"/>
              </w:rPr>
              <w:t>0.76</w:t>
            </w:r>
          </w:p>
        </w:tc>
        <w:tc>
          <w:tcPr>
            <w:tcW w:w="431" w:type="pct"/>
            <w:tcBorders>
              <w:top w:val="single" w:color="000000" w:sz="4" w:space="0"/>
              <w:left w:val="single" w:color="000000" w:sz="4" w:space="0"/>
              <w:bottom w:val="single" w:color="000000" w:sz="4" w:space="0"/>
              <w:right w:val="single" w:color="000000" w:sz="4" w:space="0"/>
            </w:tcBorders>
            <w:vAlign w:val="center"/>
          </w:tcPr>
          <w:p w14:paraId="2BDEB729">
            <w:pPr>
              <w:pStyle w:val="71"/>
              <w:spacing w:before="24" w:after="24"/>
            </w:pPr>
            <w:r>
              <w:rPr>
                <w:rFonts w:hint="eastAsia"/>
              </w:rPr>
              <w:t>0.72</w:t>
            </w:r>
          </w:p>
        </w:tc>
        <w:tc>
          <w:tcPr>
            <w:tcW w:w="487" w:type="pct"/>
            <w:tcBorders>
              <w:top w:val="single" w:color="000000" w:sz="4" w:space="0"/>
              <w:left w:val="single" w:color="000000" w:sz="4" w:space="0"/>
              <w:bottom w:val="single" w:color="000000" w:sz="4" w:space="0"/>
              <w:right w:val="single" w:color="000000" w:sz="4" w:space="0"/>
            </w:tcBorders>
            <w:vAlign w:val="center"/>
          </w:tcPr>
          <w:p w14:paraId="1A25729E">
            <w:pPr>
              <w:pStyle w:val="71"/>
              <w:spacing w:before="24" w:after="24"/>
            </w:pPr>
            <w:r>
              <w:rPr>
                <w:rFonts w:hint="eastAsia"/>
              </w:rPr>
              <w:t>0.69</w:t>
            </w:r>
          </w:p>
        </w:tc>
        <w:tc>
          <w:tcPr>
            <w:tcW w:w="438" w:type="pct"/>
            <w:tcBorders>
              <w:top w:val="single" w:color="000000" w:sz="4" w:space="0"/>
              <w:left w:val="single" w:color="000000" w:sz="4" w:space="0"/>
              <w:bottom w:val="single" w:color="000000" w:sz="4" w:space="0"/>
              <w:right w:val="single" w:color="000000" w:sz="4" w:space="0"/>
            </w:tcBorders>
            <w:vAlign w:val="center"/>
          </w:tcPr>
          <w:p w14:paraId="29AADF42">
            <w:pPr>
              <w:pStyle w:val="71"/>
              <w:spacing w:before="24" w:after="24"/>
            </w:pPr>
            <w:r>
              <w:rPr>
                <w:rFonts w:hint="eastAsia"/>
              </w:rPr>
              <w:t>0.67</w:t>
            </w:r>
          </w:p>
        </w:tc>
        <w:tc>
          <w:tcPr>
            <w:tcW w:w="431" w:type="pct"/>
            <w:tcBorders>
              <w:top w:val="single" w:color="000000" w:sz="4" w:space="0"/>
              <w:left w:val="single" w:color="000000" w:sz="4" w:space="0"/>
              <w:bottom w:val="single" w:color="000000" w:sz="4" w:space="0"/>
              <w:right w:val="single" w:color="000000" w:sz="4" w:space="0"/>
            </w:tcBorders>
            <w:vAlign w:val="center"/>
          </w:tcPr>
          <w:p w14:paraId="1B43A1DF">
            <w:pPr>
              <w:pStyle w:val="71"/>
              <w:spacing w:before="24" w:after="24"/>
            </w:pPr>
            <w:r>
              <w:rPr>
                <w:rFonts w:hint="eastAsia"/>
              </w:rPr>
              <w:t>0.65</w:t>
            </w:r>
          </w:p>
        </w:tc>
        <w:tc>
          <w:tcPr>
            <w:tcW w:w="623" w:type="pct"/>
            <w:tcBorders>
              <w:top w:val="single" w:color="000000" w:sz="4" w:space="0"/>
              <w:left w:val="single" w:color="000000" w:sz="4" w:space="0"/>
              <w:bottom w:val="single" w:color="000000" w:sz="4" w:space="0"/>
              <w:right w:val="single" w:color="000000" w:sz="4" w:space="0"/>
            </w:tcBorders>
            <w:vAlign w:val="center"/>
          </w:tcPr>
          <w:p w14:paraId="0CA5B903">
            <w:pPr>
              <w:pStyle w:val="71"/>
              <w:spacing w:before="24" w:after="24"/>
            </w:pPr>
            <w:r>
              <w:rPr>
                <w:rFonts w:hint="eastAsia"/>
              </w:rPr>
              <w:t>0.6</w:t>
            </w:r>
          </w:p>
        </w:tc>
      </w:tr>
      <w:tr w14:paraId="0E5D5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00" w:type="pct"/>
            <w:gridSpan w:val="10"/>
            <w:tcBorders>
              <w:top w:val="single" w:color="000000" w:sz="4" w:space="0"/>
              <w:left w:val="single" w:color="000000" w:sz="4" w:space="0"/>
              <w:bottom w:val="single" w:color="000000" w:sz="4" w:space="0"/>
              <w:right w:val="single" w:color="000000" w:sz="4" w:space="0"/>
            </w:tcBorders>
            <w:vAlign w:val="center"/>
          </w:tcPr>
          <w:p w14:paraId="3348E3F1">
            <w:pPr>
              <w:pStyle w:val="71"/>
              <w:spacing w:before="24" w:after="24"/>
              <w:jc w:val="both"/>
            </w:pPr>
            <w:r>
              <w:rPr>
                <w:rFonts w:hint="eastAsia"/>
              </w:rPr>
              <w:t>注：计算变配电室、发电机总负荷时按0.3～0.5。</w:t>
            </w:r>
          </w:p>
        </w:tc>
      </w:tr>
    </w:tbl>
    <w:p w14:paraId="2EC30222">
      <w:pPr>
        <w:pStyle w:val="54"/>
        <w:spacing w:before="240" w:beforeLines="100" w:after="24"/>
      </w:pPr>
      <w:r>
        <w:t>6）由同一双电源切换箱供电的排水泵、卷帘门，消防负荷计算时仅按较大者计算，且均不计入平时负荷；</w:t>
      </w:r>
    </w:p>
    <w:p w14:paraId="0A35ACDE">
      <w:pPr>
        <w:pStyle w:val="54"/>
        <w:spacing w:before="24" w:after="24"/>
      </w:pPr>
      <w:r>
        <w:t>7）一个防火分区设有2台及以上消防排烟兼平时排风机，2台及以上消防兼平时补风机，平时负荷仅计算一台排风机及补风机，消防负荷均需计入；</w:t>
      </w:r>
    </w:p>
    <w:p w14:paraId="4835844F">
      <w:pPr>
        <w:pStyle w:val="54"/>
        <w:spacing w:before="24" w:after="24"/>
      </w:pPr>
      <w:r>
        <w:t>8）变电所的设备总功率</w:t>
      </w:r>
    </w:p>
    <w:p w14:paraId="4821A55D">
      <w:pPr>
        <w:pStyle w:val="54"/>
        <w:spacing w:before="24" w:after="24"/>
      </w:pPr>
      <w:r>
        <w:t>变电所的设备总功率应取所供电的各用电设备功率之和，但应剔除不同时使用的负荷，如：只有当发生火灾时才使用的消防负荷。季节性用电设备（如制冷设备和采暖设备）应选择其最大者计入总用电设备。</w:t>
      </w:r>
    </w:p>
    <w:p w14:paraId="4DD1B262">
      <w:pPr>
        <w:pStyle w:val="54"/>
        <w:spacing w:before="24" w:after="24"/>
      </w:pPr>
      <w:r>
        <w:t>（3）发电机负荷容量的计算</w:t>
      </w:r>
    </w:p>
    <w:p w14:paraId="00B52C07">
      <w:pPr>
        <w:pStyle w:val="54"/>
        <w:spacing w:before="24" w:after="24"/>
      </w:pPr>
      <w:r>
        <w:t>1）发电机负荷应分别按平时保障负荷和消防应急负荷计算，并取其大者；</w:t>
      </w:r>
    </w:p>
    <w:p w14:paraId="4166B487">
      <w:pPr>
        <w:pStyle w:val="54"/>
        <w:spacing w:before="24" w:after="24"/>
      </w:pPr>
      <w:r>
        <w:t>2）建筑物消防用电设备的计算负荷，应按共用的消防用电设备、发生火灾的防火分区内的消防用电设备及所有与其关联的防火分区消防用电设备的计算负荷之和确定；</w:t>
      </w:r>
    </w:p>
    <w:p w14:paraId="1C286A6D">
      <w:pPr>
        <w:pStyle w:val="54"/>
        <w:spacing w:before="24" w:after="24"/>
      </w:pPr>
      <w:r>
        <w:t>3）需按最大一台电动机（一般为消防泵）进行启动校验。</w:t>
      </w:r>
    </w:p>
    <w:p w14:paraId="55878C32">
      <w:pPr>
        <w:pStyle w:val="54"/>
        <w:spacing w:before="24" w:after="24"/>
        <w:outlineLvl w:val="5"/>
      </w:pPr>
      <w:r>
        <w:t>3.其它要求</w:t>
      </w:r>
    </w:p>
    <w:p w14:paraId="4C1A47A2">
      <w:pPr>
        <w:pStyle w:val="54"/>
        <w:spacing w:before="24" w:after="24"/>
        <w:ind w:firstLine="562"/>
        <w:outlineLvl w:val="6"/>
        <w:rPr>
          <w:b/>
          <w:bCs/>
        </w:rPr>
      </w:pPr>
      <w:r>
        <w:rPr>
          <w:b/>
          <w:bCs/>
        </w:rPr>
        <w:t>（1）教育项目</w:t>
      </w:r>
    </w:p>
    <w:p w14:paraId="273AFA27">
      <w:pPr>
        <w:pStyle w:val="54"/>
        <w:spacing w:before="24" w:after="24"/>
      </w:pPr>
      <w:r>
        <w:t>1）教育建筑中低压配电设计应符合国家现行标准《低压配电设计规范》GB 50054-2011和《民用建筑电气设计标准》GB 51348-2019的有关规定；</w:t>
      </w:r>
    </w:p>
    <w:p w14:paraId="1C9B7E04">
      <w:pPr>
        <w:pStyle w:val="54"/>
        <w:spacing w:before="24" w:after="24"/>
      </w:pPr>
      <w:r>
        <w:t xml:space="preserve">2）建筑的照明用电和动力用电应设总配电装置和总电能计量装置。总配电装置的位置宜深入或接近负荷中心，且便于进出线；  </w:t>
      </w:r>
    </w:p>
    <w:p w14:paraId="143E1CBF">
      <w:pPr>
        <w:pStyle w:val="54"/>
        <w:spacing w:before="24" w:after="24"/>
      </w:pPr>
      <w:r>
        <w:t>3）低压供电的建筑物应设置进线配电间；</w:t>
      </w:r>
    </w:p>
    <w:p w14:paraId="2DE19531">
      <w:pPr>
        <w:pStyle w:val="54"/>
        <w:spacing w:before="24" w:after="24"/>
      </w:pPr>
      <w:r>
        <w:t>4）建筑的电梯、水泵、风机、空调等设备应设电能计量装置并采取节电措施；</w:t>
      </w:r>
    </w:p>
    <w:p w14:paraId="42254F6B">
      <w:pPr>
        <w:pStyle w:val="54"/>
        <w:spacing w:before="24" w:after="24"/>
      </w:pPr>
      <w:r>
        <w:t>5）各幢建筑的电源引入处应设置电源总切断装置和可靠的接地装置，各楼层应分别设置电源切断装置；</w:t>
      </w:r>
    </w:p>
    <w:p w14:paraId="2C6494D0">
      <w:pPr>
        <w:pStyle w:val="54"/>
        <w:spacing w:before="24" w:after="24"/>
      </w:pPr>
      <w:r>
        <w:t>6）建筑应预留配电系统的竖向贯通井道及配电设备位置；</w:t>
      </w:r>
    </w:p>
    <w:p w14:paraId="29ADBA58">
      <w:pPr>
        <w:pStyle w:val="54"/>
        <w:spacing w:before="24" w:after="24"/>
      </w:pPr>
      <w:r>
        <w:t>7）室内线路应采用暗线敷设；</w:t>
      </w:r>
    </w:p>
    <w:p w14:paraId="08D28017">
      <w:pPr>
        <w:pStyle w:val="54"/>
        <w:spacing w:before="24" w:after="24"/>
      </w:pPr>
      <w:r>
        <w:t>8）配电系统支路的划分应符合以下原则：</w:t>
      </w:r>
    </w:p>
    <w:p w14:paraId="0E8895BA">
      <w:pPr>
        <w:pStyle w:val="54"/>
        <w:spacing w:before="24" w:after="24"/>
      </w:pPr>
      <w:r>
        <w:rPr>
          <w:rFonts w:ascii="Cambria Math" w:hAnsi="Cambria Math" w:cs="Cambria Math"/>
        </w:rPr>
        <w:t>①</w:t>
      </w:r>
      <w:r>
        <w:t xml:space="preserve"> 教学用房和非教学用房的照明线路应分设不同支路；</w:t>
      </w:r>
    </w:p>
    <w:p w14:paraId="28E4A9DC">
      <w:pPr>
        <w:pStyle w:val="54"/>
        <w:spacing w:before="24" w:after="24"/>
      </w:pPr>
      <w:r>
        <w:rPr>
          <w:rFonts w:ascii="Cambria Math" w:hAnsi="Cambria Math" w:eastAsia="宋体" w:cs="Cambria Math"/>
        </w:rPr>
        <w:t>②</w:t>
      </w:r>
      <w:r>
        <w:t xml:space="preserve"> 门厅、走道、楼梯照明线路应设置单独支路；</w:t>
      </w:r>
    </w:p>
    <w:p w14:paraId="6755139E">
      <w:pPr>
        <w:pStyle w:val="54"/>
        <w:spacing w:before="24" w:after="24"/>
      </w:pPr>
      <w:r>
        <w:rPr>
          <w:rFonts w:ascii="Cambria Math" w:hAnsi="Cambria Math" w:eastAsia="宋体" w:cs="Cambria Math"/>
        </w:rPr>
        <w:t>③</w:t>
      </w:r>
      <w:r>
        <w:t xml:space="preserve"> 教室内电源插座与照明用电应分设不同支路；</w:t>
      </w:r>
    </w:p>
    <w:p w14:paraId="45DE852A">
      <w:pPr>
        <w:pStyle w:val="54"/>
        <w:spacing w:before="24" w:after="24"/>
      </w:pPr>
      <w:r>
        <w:rPr>
          <w:rFonts w:ascii="Cambria Math" w:hAnsi="Cambria Math" w:cs="Cambria Math"/>
        </w:rPr>
        <w:t>④</w:t>
      </w:r>
      <w:r>
        <w:t xml:space="preserve"> 空调用电应设专用线路。</w:t>
      </w:r>
    </w:p>
    <w:p w14:paraId="04A78443">
      <w:pPr>
        <w:pStyle w:val="54"/>
        <w:spacing w:before="24" w:after="24"/>
      </w:pPr>
      <w:r>
        <w:t>9）中小学、幼儿园的电源插座必须采用安全型。幼儿活动场所电源插座底边距地不应低于1.8m；</w:t>
      </w:r>
    </w:p>
    <w:p w14:paraId="2989B650">
      <w:pPr>
        <w:pStyle w:val="54"/>
        <w:spacing w:before="24" w:after="24"/>
      </w:pPr>
      <w:r>
        <w:t>10）保健室、食堂的餐厅、厨房及配餐空间应设置电源插座及专用杀菌消毒装置；教学楼内饮水器处设置专用供电电源装置；</w:t>
      </w:r>
    </w:p>
    <w:p w14:paraId="2323E8D7">
      <w:pPr>
        <w:pStyle w:val="54"/>
        <w:spacing w:before="24" w:after="24"/>
      </w:pPr>
      <w:r>
        <w:t>11）学生宿舍居室用电设置电能计量装置。电能计量装置宜设置在居室外，并应设置可同时断开相线和中性线的电器装置；</w:t>
      </w:r>
    </w:p>
    <w:p w14:paraId="33A8486A">
      <w:pPr>
        <w:pStyle w:val="54"/>
        <w:spacing w:before="24" w:after="24"/>
      </w:pPr>
      <w:r>
        <w:t>12）盥洗室、淋浴室应设置局部等电位联结装置；</w:t>
      </w:r>
    </w:p>
    <w:p w14:paraId="59EEC8D9">
      <w:pPr>
        <w:pStyle w:val="54"/>
        <w:spacing w:before="24" w:after="24"/>
      </w:pPr>
      <w:r>
        <w:t>13）幼儿园的房间内应设置插座，且位置和数量根据需要确定。活动室插座不应少于四组，寝室插座不应少于两组。插座应采用安全型，安装高度不应低于1.80m。插座回路与照明回路应分开设置，插座回路应设置剩余电流动作保护，其额定动作电流不应大于30mA；</w:t>
      </w:r>
    </w:p>
    <w:p w14:paraId="389C0B78">
      <w:pPr>
        <w:pStyle w:val="54"/>
        <w:spacing w:before="24" w:after="24"/>
      </w:pPr>
      <w:r>
        <w:t>14）幼儿活动场所不宜安装配电箱、控制箱等电气装置；当不能避免时，应采取安全措施，装置底部距地面高度不得低于1.80m。</w:t>
      </w:r>
    </w:p>
    <w:p w14:paraId="5570BDE1">
      <w:pPr>
        <w:pStyle w:val="54"/>
        <w:spacing w:before="24" w:after="24"/>
        <w:ind w:firstLine="562"/>
        <w:outlineLvl w:val="6"/>
        <w:rPr>
          <w:b/>
          <w:bCs/>
        </w:rPr>
      </w:pPr>
      <w:r>
        <w:rPr>
          <w:b/>
          <w:bCs/>
        </w:rPr>
        <w:t>（2）生活圈服务设施项目</w:t>
      </w:r>
    </w:p>
    <w:p w14:paraId="61313EEC">
      <w:pPr>
        <w:pStyle w:val="54"/>
        <w:spacing w:before="24" w:after="24"/>
        <w:ind w:firstLine="562"/>
        <w:rPr>
          <w:b/>
          <w:bCs/>
        </w:rPr>
      </w:pPr>
      <w:r>
        <w:rPr>
          <w:b/>
          <w:bCs/>
        </w:rPr>
        <w:t>综合服务中心建设项目：</w:t>
      </w:r>
    </w:p>
    <w:p w14:paraId="3947C9F0">
      <w:pPr>
        <w:pStyle w:val="54"/>
        <w:spacing w:before="24" w:after="24"/>
      </w:pPr>
      <w:r>
        <w:t>1）办公建筑的供配电系统设计应符合现行国家标准《供配电系统设计规范》GB 50052-2009和《低压配电设计规范》GB 50054-2011的相关规定；</w:t>
      </w:r>
    </w:p>
    <w:p w14:paraId="121ACCBD">
      <w:pPr>
        <w:pStyle w:val="54"/>
        <w:spacing w:before="24" w:after="24"/>
      </w:pPr>
      <w:r>
        <w:t>2）变电所不应在厕所、浴室、盥洗室或其他蓄水、经常积水场所的直接下一层设置，且不宜与上述场所相贴邻，当贴邻时应采取防水和防潮措施；</w:t>
      </w:r>
    </w:p>
    <w:p w14:paraId="292D2C41">
      <w:pPr>
        <w:pStyle w:val="54"/>
        <w:spacing w:before="24" w:after="24"/>
      </w:pPr>
      <w:r>
        <w:t>3）配变电所集中设置的低压无功补偿装置采用部分分相无功补偿装置；受谐波较大的用电设备影响的线路应设置谐波检测装置，并采取抑制谐波措施；办公用电设备和照明配电系统的中性导体截面不应小于相导体的截面；</w:t>
      </w:r>
    </w:p>
    <w:p w14:paraId="450778ED">
      <w:pPr>
        <w:pStyle w:val="54"/>
        <w:spacing w:before="24" w:after="24"/>
      </w:pPr>
      <w:r>
        <w:t>4）照明回路和插座回路应分路设计，按人数和桌椅布置的办公室内插座数量应满足每人不少于一个单相三孔和一个单相二孔的插座两组；</w:t>
      </w:r>
    </w:p>
    <w:p w14:paraId="4AB70898">
      <w:pPr>
        <w:pStyle w:val="54"/>
        <w:spacing w:before="24" w:after="24"/>
      </w:pPr>
      <w:r>
        <w:t>5）办公建筑内带洗浴的卫生间应设置局部等电位联结；</w:t>
      </w:r>
    </w:p>
    <w:p w14:paraId="6AD189A8">
      <w:pPr>
        <w:pStyle w:val="54"/>
        <w:spacing w:before="24" w:after="24"/>
      </w:pPr>
      <w:r>
        <w:t>6）办公建筑的消防设施设置及消防电气设计应符合现行国家标准《建筑设计防火规范》GB 50016-2014（2018年版）及《火灾自动报警系统设计规范》GB 50116-2013的相关规定；</w:t>
      </w:r>
    </w:p>
    <w:p w14:paraId="039AD517">
      <w:pPr>
        <w:pStyle w:val="54"/>
        <w:spacing w:before="24" w:after="24"/>
      </w:pPr>
      <w:r>
        <w:t>7）汽车停放场地（库）应按《云南省电动汽车充电基础设施建设运营管理暂行办法》2016年（2019年修订）文件规定设置或预留电动汽车充电装置的配电设施。</w:t>
      </w:r>
    </w:p>
    <w:p w14:paraId="65ED8BED">
      <w:pPr>
        <w:pStyle w:val="54"/>
        <w:spacing w:before="24" w:after="24"/>
        <w:ind w:firstLine="562"/>
        <w:rPr>
          <w:b/>
          <w:bCs/>
        </w:rPr>
      </w:pPr>
      <w:r>
        <w:rPr>
          <w:b/>
          <w:bCs/>
        </w:rPr>
        <w:t>养老院建设项目：</w:t>
      </w:r>
    </w:p>
    <w:p w14:paraId="651DE241">
      <w:pPr>
        <w:pStyle w:val="54"/>
        <w:spacing w:before="24" w:after="24"/>
      </w:pPr>
      <w:r>
        <w:t>1）低压配电导体应采用铜芯电缆、电线，并应采用阻燃低烟无卤交联聚乙烯绝缘电缆、电线或无烟无卤电缆、电线。</w:t>
      </w:r>
    </w:p>
    <w:p w14:paraId="467DCBAD">
      <w:pPr>
        <w:pStyle w:val="54"/>
        <w:spacing w:before="24" w:after="24"/>
      </w:pPr>
      <w:r>
        <w:t>2）每个生活单元应设单元配电箱，照料单元的居室单设配电箱，配电箱内应设电源总开关，电源总开关应采用可同时断开相线和中性线的开关电器，配电箱内的插座回路应装设剩余电流动作保护器。</w:t>
      </w:r>
    </w:p>
    <w:p w14:paraId="62FB938C">
      <w:pPr>
        <w:pStyle w:val="54"/>
        <w:spacing w:before="24" w:after="24"/>
        <w:ind w:firstLine="562"/>
        <w:outlineLvl w:val="6"/>
        <w:rPr>
          <w:b/>
          <w:bCs/>
        </w:rPr>
      </w:pPr>
      <w:r>
        <w:rPr>
          <w:b/>
          <w:bCs/>
        </w:rPr>
        <w:t>（3）市政基础设施项目</w:t>
      </w:r>
    </w:p>
    <w:p w14:paraId="68584AAF">
      <w:pPr>
        <w:pStyle w:val="54"/>
        <w:spacing w:before="24" w:after="24"/>
        <w:ind w:firstLine="562"/>
        <w:rPr>
          <w:b/>
          <w:bCs/>
        </w:rPr>
      </w:pPr>
      <w:r>
        <w:rPr>
          <w:b/>
          <w:bCs/>
        </w:rPr>
        <w:t>市政道路及配套基础设施建设项目：</w:t>
      </w:r>
    </w:p>
    <w:p w14:paraId="1E35F9D6">
      <w:pPr>
        <w:pStyle w:val="54"/>
        <w:spacing w:before="24" w:after="24"/>
      </w:pPr>
      <w:r>
        <w:t>1）城市道路照明电力负荷应为三级负荷，城市中的重要道路、交通枢纽及人流集中的广场等区段的照明可为二级负荷。不同等级负荷的供电要求应符合现行国家标准《供配电系统设计规范》GB 50052的规定；</w:t>
      </w:r>
    </w:p>
    <w:p w14:paraId="17BE4D8D">
      <w:pPr>
        <w:pStyle w:val="54"/>
        <w:spacing w:before="24" w:after="24"/>
      </w:pPr>
      <w:r>
        <w:t>2）供电网络设计应符合规划的要求。宜采用路灯专用变压器供电。变压器和照明配电箱宜设置在靠近照明负荷中心并便于操作维护的位置；</w:t>
      </w:r>
    </w:p>
    <w:p w14:paraId="7AB1E6A5">
      <w:pPr>
        <w:pStyle w:val="54"/>
        <w:spacing w:before="24" w:after="24"/>
      </w:pPr>
      <w:r>
        <w:t>3）变压器应选用结线组别为D，yn11的三相配电变压器，并应正确选择变压比和电压分接头；</w:t>
      </w:r>
    </w:p>
    <w:p w14:paraId="15EA52A3">
      <w:pPr>
        <w:pStyle w:val="54"/>
        <w:spacing w:before="24" w:after="24"/>
      </w:pPr>
      <w:r>
        <w:t>4）宜使三相负荷平衡。最大相负荷不宜超过三相负荷平均值的115％，最小相负荷不宜小于三相负荷平均值的85％；</w:t>
      </w:r>
    </w:p>
    <w:p w14:paraId="5970F315">
      <w:pPr>
        <w:pStyle w:val="54"/>
        <w:spacing w:before="24" w:after="24"/>
      </w:pPr>
      <w:r>
        <w:t>5）正常运行情况下，照明灯具端电压应为额定电压的90％～105％；</w:t>
      </w:r>
    </w:p>
    <w:p w14:paraId="5D2A4B7D">
      <w:pPr>
        <w:pStyle w:val="54"/>
        <w:spacing w:before="24" w:after="24"/>
      </w:pPr>
      <w:r>
        <w:t>6）道路照明配电系统的接地形式应采用TT系统或TN-S系统，并应符合现行国家标准《低压配电设计规范》GB 50054的相关规定。当采用剩余电流保护装置时，还应满足现行国家标准《剩余电流动作保护装置安装和运行》GB 13955的相关要求；</w:t>
      </w:r>
    </w:p>
    <w:p w14:paraId="3A9ED29A">
      <w:pPr>
        <w:pStyle w:val="54"/>
        <w:spacing w:before="24" w:after="24"/>
      </w:pPr>
      <w:r>
        <w:t>7）道路照明供电线路的人孔井盖及手孔井盖、照明灯杆的检修门及路灯户外配电箱，均应设置需使用专用工具开启的闭锁装置。</w:t>
      </w:r>
    </w:p>
    <w:p w14:paraId="7A022FC4">
      <w:pPr>
        <w:pStyle w:val="54"/>
        <w:spacing w:before="24" w:after="24"/>
        <w:ind w:firstLine="562"/>
        <w:rPr>
          <w:b/>
          <w:bCs/>
        </w:rPr>
      </w:pPr>
      <w:r>
        <w:rPr>
          <w:b/>
          <w:bCs/>
        </w:rPr>
        <w:t>滨江步行绿道建设项目：</w:t>
      </w:r>
    </w:p>
    <w:p w14:paraId="40EF5988">
      <w:pPr>
        <w:pStyle w:val="54"/>
        <w:spacing w:before="24" w:after="24"/>
      </w:pPr>
      <w:r>
        <w:t>1）配电系统接地形式应采用 ‌TN-S或TT系统‌，金属灯杆、灯具外壳等外露导电部分必须接地保护，检修门需配置防盗闭锁装置；</w:t>
      </w:r>
    </w:p>
    <w:p w14:paraId="394A7C77">
      <w:pPr>
        <w:pStyle w:val="54"/>
        <w:spacing w:before="24" w:after="24"/>
      </w:pPr>
      <w:r>
        <w:t>2）禁止在绿道桥梁上架设 ‌&gt;10kV高压电力线‌或 ‌&gt;0.4MPa燃气管线‌；允许敷设的低压管线需满足《电力工程电缆设计规范》GB 50217防护要求；</w:t>
      </w:r>
    </w:p>
    <w:p w14:paraId="7995B4B3">
      <w:pPr>
        <w:pStyle w:val="54"/>
        <w:spacing w:before="24" w:after="24"/>
      </w:pPr>
      <w:r>
        <w:t>3）地下管线通道净高≥2.5m，并预留检修空间；</w:t>
      </w:r>
    </w:p>
    <w:p w14:paraId="7F421E33">
      <w:pPr>
        <w:pStyle w:val="54"/>
        <w:spacing w:before="24" w:after="24"/>
      </w:pPr>
      <w:r>
        <w:t>4）城市绿地用电应为三级负荷，绿地中游人较多的交通广场的用电应为二级负荷；低压配电宜采用放射式和树干式相结合的系统，供电半径不宜超过0.3km；</w:t>
      </w:r>
    </w:p>
    <w:p w14:paraId="268D8F61">
      <w:pPr>
        <w:pStyle w:val="54"/>
        <w:spacing w:before="24" w:after="24"/>
      </w:pPr>
      <w:r>
        <w:t>5）室外照明配电系统进线电源处应装设具有检修隔离功能的四级开关。</w:t>
      </w:r>
    </w:p>
    <w:p w14:paraId="1FC231AA">
      <w:pPr>
        <w:pStyle w:val="54"/>
        <w:spacing w:before="24" w:after="24"/>
        <w:ind w:firstLine="562"/>
      </w:pPr>
      <w:r>
        <w:rPr>
          <w:b/>
          <w:bCs/>
        </w:rPr>
        <w:t>垃圾焚烧处理厂建设项目：</w:t>
      </w:r>
    </w:p>
    <w:p w14:paraId="77F80DC9">
      <w:pPr>
        <w:pStyle w:val="54"/>
        <w:spacing w:before="24" w:after="24"/>
      </w:pPr>
      <w:r>
        <w:t>低压配电系统满足《生活垃圾焚烧处理与能源利用工程技术标准》GB/T51452-2024第12章电气设备及系统的相关要求。</w:t>
      </w:r>
    </w:p>
    <w:p w14:paraId="0235DFB8">
      <w:pPr>
        <w:pStyle w:val="54"/>
        <w:spacing w:before="24" w:after="24"/>
        <w:ind w:firstLine="562"/>
        <w:rPr>
          <w:b/>
          <w:bCs/>
        </w:rPr>
      </w:pPr>
      <w:r>
        <w:rPr>
          <w:b/>
          <w:bCs/>
        </w:rPr>
        <w:t>垃圾转运站：</w:t>
      </w:r>
    </w:p>
    <w:p w14:paraId="67D44785">
      <w:pPr>
        <w:pStyle w:val="54"/>
        <w:spacing w:before="24" w:after="24"/>
      </w:pPr>
      <w:r>
        <w:t>低压配电系统满足《生活垃圾转运站设计规范》CJJ47-2016第6章的要求，转运站可依据本站及服务区的具体情况和要求配置备用电源。大型转运站在条件许可时应设置双回路电源或配备发电机；中、小型转运站可配备发电机。</w:t>
      </w:r>
    </w:p>
    <w:p w14:paraId="55C8A391">
      <w:pPr>
        <w:pStyle w:val="54"/>
        <w:numPr>
          <w:ilvl w:val="0"/>
          <w:numId w:val="2"/>
        </w:numPr>
        <w:spacing w:before="24" w:after="24"/>
        <w:ind w:firstLine="562"/>
        <w:outlineLvl w:val="6"/>
        <w:rPr>
          <w:b/>
          <w:bCs/>
        </w:rPr>
      </w:pPr>
      <w:r>
        <w:rPr>
          <w:b/>
          <w:bCs/>
        </w:rPr>
        <w:t>城市环境品质及历史文化保护项目</w:t>
      </w:r>
    </w:p>
    <w:p w14:paraId="0D37D1E3">
      <w:pPr>
        <w:pStyle w:val="54"/>
        <w:spacing w:before="24" w:after="24"/>
        <w:ind w:left="560" w:leftChars="200" w:firstLine="0" w:firstLineChars="0"/>
      </w:pPr>
      <w:r>
        <w:rPr>
          <w:b/>
          <w:bCs/>
        </w:rPr>
        <w:t>城市公园、广场建设项目：</w:t>
      </w:r>
    </w:p>
    <w:p w14:paraId="317BADA2">
      <w:pPr>
        <w:pStyle w:val="54"/>
        <w:spacing w:before="24" w:after="24"/>
      </w:pPr>
      <w:r>
        <w:t>1）配电系统接地形式应采用 ‌TN-S或TT系统‌，金属灯杆、灯具外壳等外露导电部分必须接地保护，检修门需配置防盗闭锁装置；</w:t>
      </w:r>
    </w:p>
    <w:p w14:paraId="70C0F438">
      <w:pPr>
        <w:pStyle w:val="54"/>
        <w:spacing w:before="24" w:after="24"/>
      </w:pPr>
      <w:r>
        <w:t>2）禁止在绿道桥梁上架设 ‌&gt;10kV高压电力线‌或 ‌&gt;0.4MPa燃气管线‌；允许敷设的低压管线需满足《电力工程电缆设计规范》GB 50217防护要求；</w:t>
      </w:r>
    </w:p>
    <w:p w14:paraId="3565F66A">
      <w:pPr>
        <w:pStyle w:val="54"/>
        <w:spacing w:before="24" w:after="24"/>
      </w:pPr>
      <w:r>
        <w:t>3）地下管线通道净高≥2.5m，并预留检修空间；</w:t>
      </w:r>
    </w:p>
    <w:p w14:paraId="23AB13E8">
      <w:pPr>
        <w:pStyle w:val="54"/>
        <w:spacing w:before="24" w:after="24"/>
      </w:pPr>
      <w:r>
        <w:t>4）景观水体用电‌：喷泉、水景的潜水泵供电线路必须配置漏电保护装置（额定动作电流≤30mA），且控制箱应设置在干燥区域并加装防雨罩；</w:t>
      </w:r>
    </w:p>
    <w:p w14:paraId="7527651F">
      <w:pPr>
        <w:pStyle w:val="54"/>
        <w:spacing w:before="24" w:after="24"/>
      </w:pPr>
      <w:r>
        <w:t>5）城市绿地用电应为三级负荷，绿地中游人较多的交通广场的用电应为二级负荷；低压配电宜采用放射式和树干式相结合的系统，供电半径不宜超过0.3km；</w:t>
      </w:r>
    </w:p>
    <w:p w14:paraId="035F5F29">
      <w:pPr>
        <w:pStyle w:val="54"/>
        <w:spacing w:before="24" w:after="24"/>
      </w:pPr>
      <w:r>
        <w:t>6）室外照明配电系统进线电源处应装设具有检修隔离功能的四级开关。</w:t>
      </w:r>
    </w:p>
    <w:p w14:paraId="7CD255F9">
      <w:pPr>
        <w:pStyle w:val="54"/>
        <w:numPr>
          <w:ilvl w:val="0"/>
          <w:numId w:val="2"/>
        </w:numPr>
        <w:spacing w:before="24" w:after="24"/>
        <w:ind w:firstLine="562"/>
        <w:outlineLvl w:val="6"/>
        <w:rPr>
          <w:b/>
          <w:bCs/>
        </w:rPr>
      </w:pPr>
      <w:r>
        <w:rPr>
          <w:b/>
          <w:bCs/>
        </w:rPr>
        <w:t>文教体卫项目</w:t>
      </w:r>
    </w:p>
    <w:p w14:paraId="2C39267F">
      <w:pPr>
        <w:pStyle w:val="54"/>
        <w:spacing w:before="24" w:after="24"/>
        <w:ind w:left="560" w:leftChars="200" w:firstLine="0" w:firstLineChars="0"/>
      </w:pPr>
      <w:r>
        <w:t>1）档案馆供电等级应与档案馆的级别、建设规模相适应；</w:t>
      </w:r>
    </w:p>
    <w:p w14:paraId="2786A57D">
      <w:pPr>
        <w:pStyle w:val="54"/>
        <w:spacing w:before="24" w:after="24"/>
        <w:ind w:left="560" w:leftChars="200" w:firstLine="0" w:firstLineChars="0"/>
      </w:pPr>
      <w:r>
        <w:t>2）特级档案馆应设自备电源；</w:t>
      </w:r>
    </w:p>
    <w:p w14:paraId="73876D98">
      <w:pPr>
        <w:pStyle w:val="54"/>
        <w:spacing w:before="24" w:after="24"/>
      </w:pPr>
      <w:r>
        <w:t>3）特级档案馆的档案库、变配电室、水泵房、消防用房等的用电负荷不应低于一级；</w:t>
      </w:r>
    </w:p>
    <w:p w14:paraId="2D846179">
      <w:pPr>
        <w:pStyle w:val="54"/>
        <w:spacing w:before="24" w:after="24"/>
      </w:pPr>
      <w:r>
        <w:t>4）甲级档案馆宜设自备电源，且档案库、变配电室、水泵房、消防用房等的用电负荷不宜低于一级；乙级档案馆的档案库、变配电室、水泵房、消防用房等的用电负荷不应低于二级；</w:t>
      </w:r>
    </w:p>
    <w:p w14:paraId="4A9C1F2C">
      <w:pPr>
        <w:pStyle w:val="54"/>
        <w:spacing w:before="24" w:after="24"/>
      </w:pPr>
      <w:r>
        <w:t>5）库区电源总开关应设于库区外，档案库的电源开关应设于库房外，并应设有防止漏电、过载的安全保护装置；</w:t>
      </w:r>
    </w:p>
    <w:p w14:paraId="6264A802">
      <w:pPr>
        <w:pStyle w:val="54"/>
        <w:numPr>
          <w:ilvl w:val="0"/>
          <w:numId w:val="2"/>
        </w:numPr>
        <w:spacing w:before="24" w:after="24"/>
        <w:ind w:firstLine="562"/>
        <w:outlineLvl w:val="6"/>
        <w:rPr>
          <w:b/>
          <w:bCs/>
        </w:rPr>
      </w:pPr>
      <w:r>
        <w:rPr>
          <w:b/>
          <w:bCs/>
        </w:rPr>
        <w:t>应急防灾项目</w:t>
      </w:r>
    </w:p>
    <w:p w14:paraId="4A8E4A70">
      <w:pPr>
        <w:pStyle w:val="54"/>
        <w:spacing w:before="24" w:after="24"/>
      </w:pPr>
      <w:r>
        <w:t>1）信息化系统用电等级应为二级及以上,并应符合GB 50052 有关规定；</w:t>
      </w:r>
    </w:p>
    <w:p w14:paraId="4FCA923D">
      <w:pPr>
        <w:pStyle w:val="54"/>
        <w:spacing w:before="24" w:after="24"/>
      </w:pPr>
      <w:r>
        <w:t>2）宜配置智能照明控制系统，实现远程及分区控制等功能;照明应采用节能型发光二极管（LED)光源；</w:t>
      </w:r>
    </w:p>
    <w:p w14:paraId="2959090D">
      <w:pPr>
        <w:pStyle w:val="54"/>
        <w:spacing w:before="24" w:after="24"/>
      </w:pPr>
      <w:r>
        <w:t>3）粉尘爆炸危险场所电气设施的防护等级应满足 GB17440及GB 50058要求；</w:t>
      </w:r>
    </w:p>
    <w:p w14:paraId="57BCF7DC">
      <w:pPr>
        <w:pStyle w:val="54"/>
        <w:numPr>
          <w:ilvl w:val="0"/>
          <w:numId w:val="2"/>
        </w:numPr>
        <w:spacing w:before="24" w:after="24"/>
        <w:ind w:firstLine="562"/>
        <w:outlineLvl w:val="6"/>
        <w:rPr>
          <w:b/>
          <w:bCs/>
        </w:rPr>
      </w:pPr>
      <w:r>
        <w:rPr>
          <w:b/>
          <w:bCs/>
        </w:rPr>
        <w:t>机关单位办公用房及配套设施项目</w:t>
      </w:r>
    </w:p>
    <w:p w14:paraId="077D9F59">
      <w:pPr>
        <w:pStyle w:val="54"/>
        <w:spacing w:before="24" w:after="24"/>
      </w:pPr>
      <w:r>
        <w:t>1）办公建筑的供配电系统设计应符合现行国家标准《供配电系统设计规范》GB 50052和《低压配电设计规范》GB 50054的相关规定；</w:t>
      </w:r>
    </w:p>
    <w:p w14:paraId="7956C670">
      <w:pPr>
        <w:pStyle w:val="54"/>
        <w:spacing w:before="24" w:after="24"/>
      </w:pPr>
      <w:r>
        <w:t>2）变电所不应在厕所、浴室、盥洗室或其他蓄水、经常积水场所的直接下一层设置，且不宜与上述场所相贴邻，当贴邻时应采取防水和防潮措施；</w:t>
      </w:r>
    </w:p>
    <w:p w14:paraId="11079DDE">
      <w:pPr>
        <w:pStyle w:val="54"/>
        <w:spacing w:before="24" w:after="24"/>
      </w:pPr>
      <w:r>
        <w:t>3）配变电所集中设置的低压无功补偿装置宜采用部分分相无功补偿装置；受谐波较大的用电设备影响的线路应设置谐波检测装置，并采取抑制谐波措施；办公用电设备和照明配电系统的中性导体截面不应小于相导体的截面；</w:t>
      </w:r>
    </w:p>
    <w:p w14:paraId="6C4005C4">
      <w:pPr>
        <w:pStyle w:val="54"/>
        <w:spacing w:before="24" w:after="24"/>
      </w:pPr>
      <w:r>
        <w:t>4）照明回路和插座回路应分路设计，按人数和桌椅布置的办公室内插座数量应满足每人不少于一个单相三孔和一个单相二孔的插座两组。</w:t>
      </w:r>
    </w:p>
    <w:p w14:paraId="6F2A3247">
      <w:pPr>
        <w:pStyle w:val="54"/>
        <w:spacing w:before="24" w:after="24"/>
        <w:outlineLvl w:val="4"/>
      </w:pPr>
      <w:r>
        <w:t>7.4.3应急照明的设计</w:t>
      </w:r>
    </w:p>
    <w:p w14:paraId="40D7B438">
      <w:pPr>
        <w:pStyle w:val="54"/>
        <w:spacing w:before="24" w:after="24"/>
        <w:outlineLvl w:val="5"/>
      </w:pPr>
      <w:r>
        <w:t>1.通用要求</w:t>
      </w:r>
    </w:p>
    <w:p w14:paraId="2E29ADDF">
      <w:pPr>
        <w:pStyle w:val="54"/>
        <w:spacing w:before="24" w:after="24"/>
      </w:pPr>
      <w:r>
        <w:t>（1）设置火灾自动报警系统区域，应急照明系统均采用集中控制型系统。未设置火灾自动报警系统的区域，应急照明系统均采用非集中控制型系统；</w:t>
      </w:r>
    </w:p>
    <w:p w14:paraId="10002293">
      <w:pPr>
        <w:pStyle w:val="54"/>
        <w:spacing w:before="24" w:after="24"/>
      </w:pPr>
      <w:r>
        <w:t>（2）距地面8米及以下区域，均应采用A型应急照明配电箱（A型集中电源），A型灯具（36V）；</w:t>
      </w:r>
    </w:p>
    <w:p w14:paraId="703B1DB8">
      <w:pPr>
        <w:pStyle w:val="54"/>
        <w:spacing w:before="24" w:after="24"/>
      </w:pPr>
      <w:r>
        <w:t>（3）A型消防应急灯具优选二总线制，通过二总线（即供电+通信合用二总线）接入本区域应急照明配电箱（集中电源箱）；</w:t>
      </w:r>
    </w:p>
    <w:p w14:paraId="26EFFE27">
      <w:pPr>
        <w:pStyle w:val="54"/>
        <w:spacing w:before="24" w:after="24"/>
      </w:pPr>
      <w:r>
        <w:t>（4）凡地面上设置了疏散标志灯都应采用集中电源A型灯；</w:t>
      </w:r>
    </w:p>
    <w:p w14:paraId="5FF5DDA1">
      <w:pPr>
        <w:pStyle w:val="54"/>
        <w:spacing w:before="24" w:after="24"/>
      </w:pPr>
      <w:r>
        <w:t>（5）当楼梯间为封闭楼梯间、防烟楼梯间的建筑，均采用集中电源（灯具不带蓄电池）应急照明系统，集中电源应设置在电井（配电间内）。当楼梯间为敞开楼梯间的建筑，由于灯具较少，可采用灯具自带蓄电池应急照明系统；</w:t>
      </w:r>
    </w:p>
    <w:p w14:paraId="764463EB">
      <w:pPr>
        <w:pStyle w:val="54"/>
        <w:spacing w:before="24" w:after="24"/>
      </w:pPr>
      <w:r>
        <w:t>（6）应急照明配电箱（集中电源箱）宜与一般照明箱供电范围一致，并应对应取一般照明箱供电信号。</w:t>
      </w:r>
    </w:p>
    <w:p w14:paraId="38BA26EE">
      <w:pPr>
        <w:pStyle w:val="54"/>
        <w:spacing w:before="24" w:after="24"/>
        <w:outlineLvl w:val="5"/>
      </w:pPr>
      <w:r>
        <w:t>2.其它要求</w:t>
      </w:r>
    </w:p>
    <w:p w14:paraId="58745C57">
      <w:pPr>
        <w:pStyle w:val="54"/>
        <w:spacing w:before="24" w:after="24"/>
      </w:pPr>
      <w:r>
        <w:t>集中电源（灯具不带蓄电池）的设置：</w:t>
      </w:r>
    </w:p>
    <w:p w14:paraId="03075452">
      <w:pPr>
        <w:pStyle w:val="54"/>
        <w:spacing w:before="24" w:after="24"/>
      </w:pPr>
      <w:r>
        <w:t>（1）一般按每个防火分区设置集中电源箱，也可几个相邻的防火分区设置一个集中电源箱（地上单体仅在走道设置应急照明的住宅建筑）；</w:t>
      </w:r>
    </w:p>
    <w:p w14:paraId="4B3A71AE">
      <w:pPr>
        <w:pStyle w:val="54"/>
        <w:spacing w:before="24" w:after="24"/>
      </w:pPr>
      <w:r>
        <w:t>（2）对于楼梯间（不管是防烟楼梯间、封闭楼梯间）均不需要单独设置集中电源箱，楼梯间应单独设置供电回路；</w:t>
      </w:r>
    </w:p>
    <w:p w14:paraId="1C27FA48">
      <w:pPr>
        <w:pStyle w:val="54"/>
        <w:spacing w:before="24" w:after="24"/>
      </w:pPr>
      <w:r>
        <w:t>（3）集中电源应设置于电气专用房间内（配电间、电井、配电室、消控室等）。</w:t>
      </w:r>
    </w:p>
    <w:p w14:paraId="44B94D02">
      <w:pPr>
        <w:pStyle w:val="54"/>
        <w:spacing w:before="24" w:after="24"/>
        <w:outlineLvl w:val="4"/>
      </w:pPr>
      <w:r>
        <w:t>7.4.4照明设计</w:t>
      </w:r>
    </w:p>
    <w:p w14:paraId="13CC300E">
      <w:pPr>
        <w:pStyle w:val="54"/>
        <w:spacing w:before="24" w:after="24"/>
        <w:outlineLvl w:val="5"/>
      </w:pPr>
      <w:r>
        <w:t>1.通用要求</w:t>
      </w:r>
    </w:p>
    <w:p w14:paraId="1B5C32E6">
      <w:pPr>
        <w:pStyle w:val="54"/>
        <w:spacing w:before="24" w:after="24"/>
        <w:outlineLvl w:val="6"/>
      </w:pPr>
      <w:r>
        <w:t>（1）照明配电</w:t>
      </w:r>
    </w:p>
    <w:p w14:paraId="3B1962AB">
      <w:pPr>
        <w:pStyle w:val="54"/>
        <w:spacing w:before="24" w:after="24"/>
      </w:pPr>
      <w:r>
        <w:t>供照明用的配电变压器的设置应符合下列规定：</w:t>
      </w:r>
    </w:p>
    <w:p w14:paraId="57EB0E0A">
      <w:pPr>
        <w:pStyle w:val="54"/>
        <w:spacing w:before="24" w:after="24"/>
      </w:pPr>
      <w:r>
        <w:t>1）当电力设备无大功率冲击性负荷时，照明和电力可共用变压器；</w:t>
      </w:r>
    </w:p>
    <w:p w14:paraId="6F868041">
      <w:pPr>
        <w:pStyle w:val="54"/>
        <w:spacing w:before="24" w:after="24"/>
      </w:pPr>
      <w:r>
        <w:t>2）当电力设备有大功率冲击性负荷时，照明宜与冲击性负荷接自不同变压器；当需接自同一变压器时，照明应由专用馈电线供电；</w:t>
      </w:r>
    </w:p>
    <w:p w14:paraId="15F329AA">
      <w:pPr>
        <w:pStyle w:val="54"/>
        <w:spacing w:before="24" w:after="24"/>
      </w:pPr>
      <w:r>
        <w:t>3）当照明安装功率较大或谐波含量较大时，宜采用照明专用变压器。</w:t>
      </w:r>
    </w:p>
    <w:p w14:paraId="2C920F8A">
      <w:pPr>
        <w:pStyle w:val="54"/>
        <w:spacing w:before="24" w:after="24"/>
      </w:pPr>
      <w:r>
        <w:t>交流照明配电系统应符合下列规定：</w:t>
      </w:r>
    </w:p>
    <w:p w14:paraId="7A6ADE1F">
      <w:pPr>
        <w:pStyle w:val="54"/>
        <w:spacing w:before="24" w:after="24"/>
      </w:pPr>
      <w:r>
        <w:t>1）三相配电干线的各相负荷宜平衡分配，最大相负荷不宜大于三相负荷平均值的115％，最小相负荷不宜小于三相负荷平均值的85％；</w:t>
      </w:r>
    </w:p>
    <w:p w14:paraId="70D845EB">
      <w:pPr>
        <w:pStyle w:val="54"/>
        <w:spacing w:before="24" w:after="24"/>
      </w:pPr>
      <w:r>
        <w:t>2）正常照明单相分支回路的电流不宜大于16A，所接光源数或LED灯具数不宜超过25个；当连接建筑装饰性组合灯具时，回路电流不宜大于20A，光源数不宜超过60个；连接高强度气体放电灯的单相分支回路的电流不宜大于25A；</w:t>
      </w:r>
    </w:p>
    <w:p w14:paraId="33FF2F8C">
      <w:pPr>
        <w:pStyle w:val="54"/>
        <w:spacing w:before="24" w:after="24"/>
      </w:pPr>
      <w:r>
        <w:t>3）电源插座不宜和照明灯接在同一分支回路；</w:t>
      </w:r>
    </w:p>
    <w:p w14:paraId="5FCFEC58">
      <w:pPr>
        <w:pStyle w:val="54"/>
        <w:spacing w:before="24" w:after="24"/>
      </w:pPr>
      <w:r>
        <w:t>4）在电压偏差较大的场所，宜设置稳压装置；</w:t>
      </w:r>
    </w:p>
    <w:p w14:paraId="46AAC7AE">
      <w:pPr>
        <w:pStyle w:val="54"/>
        <w:spacing w:before="24" w:after="24"/>
      </w:pPr>
      <w:r>
        <w:t>5）LED灯、LED灯具、LED恒压直流电源以及气体放电灯的骚扰特性和电磁兼容抗扰度应符合现行国家标准《电气照明和类似设备的无线电骚扰特性的限值和测量方法》GB／T 17743和《一般照明用设备电磁兼容抗扰度要求》GB／T 18595的有关规定；</w:t>
      </w:r>
    </w:p>
    <w:p w14:paraId="20BB44A4">
      <w:pPr>
        <w:pStyle w:val="54"/>
        <w:spacing w:before="24" w:after="24"/>
      </w:pPr>
      <w:r>
        <w:t>6）当采用I类灯具时，灯具的外露可导电部分应与保护导体可靠连接；</w:t>
      </w:r>
    </w:p>
    <w:p w14:paraId="4B4506AB">
      <w:pPr>
        <w:pStyle w:val="54"/>
        <w:spacing w:before="24" w:after="24"/>
      </w:pPr>
      <w:r>
        <w:t>7）当LED灯或LED灯具采用安全特低电压供电时，应采用独立隔离式或满足隔离要求的等效安全特低电压控制装置为LED灯或LED灯具供电；当其他照明装置采用安全特低电压供电时，应采用安全隔离变压器，且二次侧不应接地；</w:t>
      </w:r>
    </w:p>
    <w:p w14:paraId="321DA5B7">
      <w:pPr>
        <w:pStyle w:val="54"/>
        <w:spacing w:before="24" w:after="24"/>
      </w:pPr>
      <w:r>
        <w:t>8）主要供给气体放电灯的三相配电线路，其中性线截面应满足不平衡电流及谐波电流的要求，且不应小于相线截面；</w:t>
      </w:r>
    </w:p>
    <w:p w14:paraId="366B1DEB">
      <w:pPr>
        <w:pStyle w:val="54"/>
        <w:spacing w:before="24" w:after="24"/>
      </w:pPr>
      <w:r>
        <w:t>9）当3次谐波电流超过基波电流的33％时，应按中性线电流选择线路截面，并应符合现行国家标准《低压配电设计规范》GB 50054的规定。</w:t>
      </w:r>
    </w:p>
    <w:p w14:paraId="4667A24D">
      <w:pPr>
        <w:pStyle w:val="54"/>
        <w:spacing w:before="24" w:after="24"/>
      </w:pPr>
      <w:r>
        <w:t>直流照明配电系统应符合下列规定：</w:t>
      </w:r>
    </w:p>
    <w:p w14:paraId="10CA4D53">
      <w:pPr>
        <w:pStyle w:val="54"/>
        <w:spacing w:before="24" w:after="24"/>
      </w:pPr>
      <w:r>
        <w:t>1）直流配电保护应按直流特性选择相应的保护电器；</w:t>
      </w:r>
    </w:p>
    <w:p w14:paraId="3C052B77">
      <w:pPr>
        <w:pStyle w:val="54"/>
        <w:spacing w:before="24" w:after="24"/>
      </w:pPr>
      <w:r>
        <w:t>2）每个直流配电回路起始端均应装设直流过负荷及短路保护电器作为过电流防护措施；</w:t>
      </w:r>
    </w:p>
    <w:p w14:paraId="2D61448E">
      <w:pPr>
        <w:pStyle w:val="54"/>
        <w:spacing w:before="24" w:after="24"/>
      </w:pPr>
      <w:r>
        <w:t>3）直流配电回路的接地形式宜采用TN或IT形式，当采用IT形式时，应在正负母线上安装绝缘监测装置，实时监测线路绝缘状态；</w:t>
      </w:r>
    </w:p>
    <w:p w14:paraId="078FCAA4">
      <w:pPr>
        <w:pStyle w:val="54"/>
        <w:spacing w:before="24" w:after="24"/>
      </w:pPr>
      <w:r>
        <w:t>4）选择的直流集中控制柜及柜内元件应符合现行国家标准《电力工程直流电源设备通用技术条件及安全要求》GB／T 19826的有关规定；</w:t>
      </w:r>
    </w:p>
    <w:p w14:paraId="325D9AE5">
      <w:pPr>
        <w:pStyle w:val="54"/>
        <w:spacing w:before="24" w:after="24"/>
      </w:pPr>
      <w:r>
        <w:t>5）直流供电照明回路采用两芯线缆。</w:t>
      </w:r>
    </w:p>
    <w:p w14:paraId="4C0C0833">
      <w:pPr>
        <w:pStyle w:val="54"/>
        <w:spacing w:before="24" w:after="24"/>
      </w:pPr>
      <w:r>
        <w:t>以太网供电系统应符合下列规定：</w:t>
      </w:r>
    </w:p>
    <w:p w14:paraId="04A37189">
      <w:pPr>
        <w:pStyle w:val="54"/>
        <w:spacing w:before="24" w:after="24"/>
      </w:pPr>
      <w:r>
        <w:t>1）输出电压范围应为DC44V～57V；</w:t>
      </w:r>
    </w:p>
    <w:p w14:paraId="0D47428E">
      <w:pPr>
        <w:pStyle w:val="54"/>
        <w:spacing w:before="24" w:after="24"/>
      </w:pPr>
      <w:r>
        <w:t>2）输出电流应为300mA、600mA或960mA，输出功率应按15W、25W、45W、60W、75W，90W分级；</w:t>
      </w:r>
    </w:p>
    <w:p w14:paraId="01D0F464">
      <w:pPr>
        <w:pStyle w:val="54"/>
        <w:spacing w:before="24" w:after="24"/>
      </w:pPr>
      <w:r>
        <w:t>3）供电线缆应采用以太网线缆，且回路线缆长度不应大于90m；</w:t>
      </w:r>
    </w:p>
    <w:p w14:paraId="483C59A6">
      <w:pPr>
        <w:pStyle w:val="54"/>
        <w:spacing w:before="24" w:after="24"/>
      </w:pPr>
      <w:r>
        <w:t>4）以太网交换机的设置应考虑散热防火措施。</w:t>
      </w:r>
    </w:p>
    <w:p w14:paraId="4E480D6C">
      <w:pPr>
        <w:pStyle w:val="54"/>
        <w:spacing w:before="24" w:after="24"/>
        <w:ind w:firstLine="562"/>
        <w:rPr>
          <w:b/>
          <w:bCs/>
        </w:rPr>
      </w:pPr>
      <w:r>
        <w:rPr>
          <w:b/>
          <w:bCs/>
        </w:rPr>
        <w:t>其它规定：</w:t>
      </w:r>
    </w:p>
    <w:p w14:paraId="3D37CA17">
      <w:pPr>
        <w:pStyle w:val="54"/>
        <w:spacing w:before="24" w:after="24"/>
      </w:pPr>
      <w:r>
        <w:t>1）当需要对照明系统同时提供交流供电电源和直流供电电源时，应在配电设施内进行有效隔离，供电分支回路应分别敷设；</w:t>
      </w:r>
    </w:p>
    <w:p w14:paraId="2050B6BD">
      <w:pPr>
        <w:pStyle w:val="54"/>
        <w:spacing w:before="24" w:after="24"/>
      </w:pPr>
      <w:r>
        <w:t>2）照明分支线路应采用铜芯绝缘线缆，室内分支线截面不应小于1.5m㎡；室外分支线截面不应小于2.5m㎡；</w:t>
      </w:r>
    </w:p>
    <w:p w14:paraId="537F3718">
      <w:pPr>
        <w:pStyle w:val="54"/>
        <w:spacing w:before="24" w:after="24"/>
      </w:pPr>
      <w:r>
        <w:t>3）游泳池（戏水池）及喷泉池的安全防护措施应符合现行国家标准《低压电气装置 第7-702部分：特殊装置或场所的要求 游泳池和喷泉》GB／T 16895.19的相关规定；</w:t>
      </w:r>
    </w:p>
    <w:p w14:paraId="527163AB">
      <w:pPr>
        <w:pStyle w:val="54"/>
        <w:spacing w:before="24" w:after="24"/>
      </w:pPr>
      <w:r>
        <w:t>4）人员可触及的室外照明设施应采用安全特低电压供电或人身电击防护措施。</w:t>
      </w:r>
    </w:p>
    <w:p w14:paraId="630969B1">
      <w:pPr>
        <w:pStyle w:val="54"/>
        <w:spacing w:before="24" w:after="24"/>
        <w:outlineLvl w:val="6"/>
      </w:pPr>
      <w:r>
        <w:t>（2）照明控制</w:t>
      </w:r>
    </w:p>
    <w:p w14:paraId="7B288B95">
      <w:pPr>
        <w:pStyle w:val="54"/>
        <w:spacing w:before="24" w:after="24"/>
      </w:pPr>
      <w:r>
        <w:t>1）公共建筑和工业建筑的走廊、楼梯间、门厅等共用场所的照明，按建筑使用条件和天然采光状况采取分区、分组控制措施。</w:t>
      </w:r>
    </w:p>
    <w:p w14:paraId="5D7FBCA0">
      <w:pPr>
        <w:pStyle w:val="54"/>
        <w:spacing w:before="24" w:after="24"/>
      </w:pPr>
      <w:r>
        <w:t>2）建筑物公共场所采用集中控制，并按需采取调光或降低照度的控制措施。</w:t>
      </w:r>
    </w:p>
    <w:p w14:paraId="08743CBD">
      <w:pPr>
        <w:pStyle w:val="54"/>
        <w:spacing w:before="24" w:after="24"/>
      </w:pPr>
      <w:r>
        <w:t>3）除设置单个灯具的房间外，每个房间灯具的控制分组不宜少于2组。</w:t>
      </w:r>
    </w:p>
    <w:p w14:paraId="6E4AE6BD">
      <w:pPr>
        <w:pStyle w:val="54"/>
        <w:spacing w:before="24" w:after="24"/>
      </w:pPr>
      <w:r>
        <w:t>4）有条件的场所，采用下列照明控制措施：</w:t>
      </w:r>
    </w:p>
    <w:p w14:paraId="4A82D6D2">
      <w:pPr>
        <w:pStyle w:val="54"/>
        <w:spacing w:before="24" w:after="24"/>
      </w:pPr>
      <w:r>
        <w:rPr>
          <w:rFonts w:ascii="Cambria Math" w:hAnsi="Cambria Math" w:cs="Cambria Math"/>
        </w:rPr>
        <w:t>①</w:t>
      </w:r>
      <w:r>
        <w:t xml:space="preserve"> 可利用天然采光的场所，宜随天然光照度变化自动调节照度，地下车库按使用需求自动调节照度；</w:t>
      </w:r>
    </w:p>
    <w:p w14:paraId="1878215D">
      <w:pPr>
        <w:pStyle w:val="54"/>
        <w:spacing w:before="24" w:after="24"/>
      </w:pPr>
      <w:r>
        <w:rPr>
          <w:rFonts w:ascii="Cambria Math" w:hAnsi="Cambria Math" w:cs="Cambria Math"/>
        </w:rPr>
        <w:t>②</w:t>
      </w:r>
      <w:r>
        <w:t xml:space="preserve"> 老年人照料设施、特教建筑、病房等空间可采用语音控制；</w:t>
      </w:r>
    </w:p>
    <w:p w14:paraId="53A4B5EA">
      <w:pPr>
        <w:pStyle w:val="54"/>
        <w:spacing w:before="24" w:after="24"/>
      </w:pPr>
      <w:r>
        <w:rPr>
          <w:rFonts w:ascii="Cambria Math" w:hAnsi="Cambria Math" w:cs="Cambria Math"/>
        </w:rPr>
        <w:t>③</w:t>
      </w:r>
      <w:r>
        <w:t>照明负荷较大以及特定照明效果需要进行照明光源编组和按顺序进行控制的空间宜采用顺序控制；</w:t>
      </w:r>
    </w:p>
    <w:p w14:paraId="70E3B6A2">
      <w:pPr>
        <w:pStyle w:val="54"/>
        <w:spacing w:before="24" w:after="24"/>
      </w:pPr>
      <w:r>
        <w:rPr>
          <w:rFonts w:ascii="Cambria Math" w:hAnsi="Cambria Math" w:cs="Cambria Math"/>
        </w:rPr>
        <w:t>④</w:t>
      </w:r>
      <w:r>
        <w:t xml:space="preserve"> 有需求的场所，宜考虑与安全技术防范系统的协同控制；</w:t>
      </w:r>
    </w:p>
    <w:p w14:paraId="6AE262E1">
      <w:pPr>
        <w:pStyle w:val="54"/>
        <w:spacing w:before="24" w:after="24"/>
      </w:pPr>
      <w:r>
        <w:rPr>
          <w:rFonts w:ascii="Cambria Math" w:hAnsi="Cambria Math" w:cs="Cambria Math"/>
        </w:rPr>
        <w:t>⑤</w:t>
      </w:r>
      <w:r>
        <w:t>利用导光装置将天然光引入室内的场所，人工照明宜随天然光照度自动调节。</w:t>
      </w:r>
    </w:p>
    <w:p w14:paraId="09F83FA9">
      <w:pPr>
        <w:pStyle w:val="54"/>
        <w:spacing w:before="24" w:after="24"/>
      </w:pPr>
      <w:r>
        <w:t>5）特定场所的照明控制应符合下列规定：</w:t>
      </w:r>
    </w:p>
    <w:p w14:paraId="13AEFBDB">
      <w:pPr>
        <w:pStyle w:val="54"/>
        <w:spacing w:before="24" w:after="24"/>
      </w:pPr>
      <w:r>
        <w:rPr>
          <w:rFonts w:ascii="Cambria Math" w:hAnsi="Cambria Math" w:cs="Cambria Math"/>
        </w:rPr>
        <w:t>①</w:t>
      </w:r>
      <w:r>
        <w:t>车库出入口、建筑入口等采光过渡区宜采用天然光与人工照明的一体化控制；</w:t>
      </w:r>
    </w:p>
    <w:p w14:paraId="3B00C2A5">
      <w:pPr>
        <w:pStyle w:val="54"/>
        <w:spacing w:before="24" w:after="24"/>
      </w:pPr>
      <w:r>
        <w:rPr>
          <w:rFonts w:ascii="Cambria Math" w:hAnsi="Cambria Math" w:cs="Cambria Math"/>
        </w:rPr>
        <w:t>②</w:t>
      </w:r>
      <w:r>
        <w:t>采用场景控制的会议室或会客间场景切换的系统响应时间应小于1s；</w:t>
      </w:r>
    </w:p>
    <w:p w14:paraId="273815BA">
      <w:pPr>
        <w:pStyle w:val="54"/>
        <w:spacing w:before="24" w:after="24"/>
      </w:pPr>
      <w:r>
        <w:rPr>
          <w:rFonts w:ascii="Cambria Math" w:hAnsi="Cambria Math" w:cs="Cambria Math"/>
        </w:rPr>
        <w:t>③</w:t>
      </w:r>
      <w:r>
        <w:t>光感控制和人体感应控制可按需求与场所的遮阳、新风、空调设施联动控制；</w:t>
      </w:r>
    </w:p>
    <w:p w14:paraId="2DA6359F">
      <w:pPr>
        <w:pStyle w:val="54"/>
        <w:spacing w:before="24" w:after="24"/>
      </w:pPr>
      <w:r>
        <w:rPr>
          <w:rFonts w:ascii="Cambria Math" w:hAnsi="Cambria Math" w:cs="Cambria Math"/>
        </w:rPr>
        <w:t>④</w:t>
      </w:r>
      <w:r>
        <w:t>消防和安防监控等系统对照明有要求的场所，照明控制应符合其要求；</w:t>
      </w:r>
    </w:p>
    <w:p w14:paraId="5C63DF50">
      <w:pPr>
        <w:pStyle w:val="54"/>
        <w:spacing w:before="24" w:after="24"/>
      </w:pPr>
      <w:r>
        <w:rPr>
          <w:rFonts w:ascii="Cambria Math" w:hAnsi="Cambria Math" w:cs="Cambria Math"/>
        </w:rPr>
        <w:t>⑤</w:t>
      </w:r>
      <w:r>
        <w:t>当照明采用定时控制时，系统应具有优先级设置功能，以便在非预定时段灵活使用；</w:t>
      </w:r>
    </w:p>
    <w:p w14:paraId="7E7AF5FF">
      <w:pPr>
        <w:pStyle w:val="54"/>
        <w:spacing w:before="24" w:after="24"/>
      </w:pPr>
      <w:r>
        <w:rPr>
          <w:rFonts w:ascii="Cambria Math" w:hAnsi="Cambria Math" w:cs="Cambria Math"/>
        </w:rPr>
        <w:t>⑥</w:t>
      </w:r>
      <w:r>
        <w:t>恒照度控制应采用光电传感器等设备监测光源性能或场所照度水平。</w:t>
      </w:r>
    </w:p>
    <w:p w14:paraId="4E3C3418">
      <w:pPr>
        <w:pStyle w:val="54"/>
        <w:spacing w:before="24" w:after="24"/>
        <w:outlineLvl w:val="6"/>
      </w:pPr>
      <w:r>
        <w:t>（3）照明电压</w:t>
      </w:r>
    </w:p>
    <w:p w14:paraId="76A74B51">
      <w:pPr>
        <w:pStyle w:val="54"/>
        <w:spacing w:before="24" w:after="24"/>
      </w:pPr>
      <w:r>
        <w:t>1）当照明采用交流（AC）电源供电时，安装在有人接触的水下灯具应采用安全特低电压（SELV）供电，其电压值不应大于AC12V；</w:t>
      </w:r>
    </w:p>
    <w:p w14:paraId="0B015106">
      <w:pPr>
        <w:pStyle w:val="54"/>
        <w:spacing w:before="24" w:after="24"/>
      </w:pPr>
      <w:r>
        <w:t>2）当照明灯具采用直流（DC）电源供电时，安装在有人接触的水下灯具应采用安全特低电压供电，其电压值不应大于DC30V。</w:t>
      </w:r>
    </w:p>
    <w:p w14:paraId="4C8E0A8D">
      <w:pPr>
        <w:pStyle w:val="54"/>
        <w:spacing w:before="24" w:after="24"/>
        <w:outlineLvl w:val="5"/>
      </w:pPr>
      <w:r>
        <w:t>2.其它要求</w:t>
      </w:r>
    </w:p>
    <w:p w14:paraId="0037A5FB">
      <w:pPr>
        <w:pStyle w:val="54"/>
        <w:spacing w:before="24" w:after="24"/>
        <w:ind w:firstLine="562"/>
        <w:outlineLvl w:val="6"/>
        <w:rPr>
          <w:b/>
          <w:bCs/>
        </w:rPr>
      </w:pPr>
      <w:r>
        <w:rPr>
          <w:b/>
          <w:bCs/>
        </w:rPr>
        <w:t>（1）教育项目</w:t>
      </w:r>
    </w:p>
    <w:p w14:paraId="71E75118">
      <w:pPr>
        <w:pStyle w:val="54"/>
        <w:spacing w:before="24" w:after="24"/>
      </w:pPr>
      <w:r>
        <w:t>1）教学用房照明线路支路的控制范围不宜过大，以2个～3个教室为宜；</w:t>
      </w:r>
    </w:p>
    <w:p w14:paraId="521EE76D">
      <w:pPr>
        <w:pStyle w:val="54"/>
        <w:spacing w:before="24" w:after="24"/>
      </w:pPr>
      <w:r>
        <w:t>2）门厅、走道、楼梯照明线路集中控制；</w:t>
      </w:r>
    </w:p>
    <w:p w14:paraId="06A1236F">
      <w:pPr>
        <w:pStyle w:val="54"/>
        <w:spacing w:before="24" w:after="24"/>
      </w:pPr>
      <w:r>
        <w:t>3）采用视听教学器材的教学用房，照明灯具分组控制；</w:t>
      </w:r>
    </w:p>
    <w:p w14:paraId="6ED8FCD6">
      <w:pPr>
        <w:pStyle w:val="54"/>
        <w:spacing w:before="24" w:after="24"/>
      </w:pPr>
      <w:r>
        <w:t>4）教室黑板应设专用黑板照明灯具，其最低维持平均照度应为500lx，黑板面上的照度最低均匀度宜为0.7。黑板灯具不得对学生和教师产生直接眩光；</w:t>
      </w:r>
    </w:p>
    <w:p w14:paraId="1568A1B2">
      <w:pPr>
        <w:pStyle w:val="54"/>
        <w:spacing w:before="24" w:after="24"/>
      </w:pPr>
      <w:r>
        <w:t>5）教室应采用高效率灯具，不得采用裸灯。灯具悬挂高度距桌面的距离不应低于1.70m。灯管应采用长轴垂直于黑板的方向布置；</w:t>
      </w:r>
    </w:p>
    <w:p w14:paraId="6A0FD831">
      <w:pPr>
        <w:pStyle w:val="54"/>
        <w:spacing w:before="24" w:after="24"/>
      </w:pPr>
      <w:r>
        <w:t>6）坡地面或阶梯地面的合班教室，前排灯不应遮挡后排学生视线，并不应产生直接眩光；</w:t>
      </w:r>
    </w:p>
    <w:p w14:paraId="7CE5C848">
      <w:pPr>
        <w:pStyle w:val="54"/>
        <w:spacing w:before="24" w:after="24"/>
      </w:pPr>
      <w:r>
        <w:t>7）教室照明光源宜采用显色指数Ra大于80的细管径LED灯。对识别颜色有较高要求的教室，宜采用显色指数Ra大于90的高显色性光源；有条件的学校，教室宜选用无眩光灯具；</w:t>
      </w:r>
    </w:p>
    <w:p w14:paraId="1641755C">
      <w:pPr>
        <w:pStyle w:val="54"/>
        <w:spacing w:before="24" w:after="24"/>
      </w:pPr>
      <w:r>
        <w:t>8）中小学校照明在计算照度时，维护系数宜取0．8；</w:t>
      </w:r>
    </w:p>
    <w:p w14:paraId="683FFFFE">
      <w:pPr>
        <w:pStyle w:val="54"/>
        <w:spacing w:before="24" w:after="24"/>
      </w:pPr>
      <w:r>
        <w:t>9）校园教学楼、学生宿舍楼、图书馆、工业建筑等按时间规律运行的功能空间采用时钟控制；</w:t>
      </w:r>
    </w:p>
    <w:p w14:paraId="7A4CAE9A">
      <w:pPr>
        <w:pStyle w:val="54"/>
        <w:spacing w:before="24" w:after="24"/>
        <w:ind w:firstLine="562"/>
        <w:outlineLvl w:val="6"/>
        <w:rPr>
          <w:b/>
          <w:bCs/>
        </w:rPr>
      </w:pPr>
      <w:r>
        <w:rPr>
          <w:b/>
          <w:bCs/>
        </w:rPr>
        <w:t>（2）生活圈服务设施项目</w:t>
      </w:r>
    </w:p>
    <w:p w14:paraId="6AD34965">
      <w:pPr>
        <w:pStyle w:val="54"/>
        <w:spacing w:before="24" w:after="24"/>
        <w:ind w:firstLine="562"/>
        <w:rPr>
          <w:b/>
          <w:bCs/>
        </w:rPr>
      </w:pPr>
      <w:r>
        <w:rPr>
          <w:b/>
          <w:bCs/>
        </w:rPr>
        <w:t>养老院建设项目：</w:t>
      </w:r>
    </w:p>
    <w:p w14:paraId="46B3A6D8">
      <w:pPr>
        <w:pStyle w:val="54"/>
        <w:numPr>
          <w:ilvl w:val="0"/>
          <w:numId w:val="8"/>
        </w:numPr>
        <w:spacing w:before="24" w:after="24"/>
      </w:pPr>
      <w:r>
        <w:t>居室、单元起居厅、餐厅、文娱与健身用房宜设置备用照明，照度值不应低于该场所一般照明照度标准值的10％；</w:t>
      </w:r>
    </w:p>
    <w:p w14:paraId="75148FBF">
      <w:pPr>
        <w:pStyle w:val="54"/>
        <w:numPr>
          <w:ilvl w:val="0"/>
          <w:numId w:val="8"/>
        </w:numPr>
        <w:spacing w:before="24" w:after="24"/>
      </w:pPr>
      <w:r>
        <w:t>生活用房、文娱与健身用房及辅助空间照度值应符合《老年人照料设施建筑设计标准》JGJ 450-2018表7.3.2的规定。光源宜选用暖色节能光源，相关色温小于3300K，显色指数宜大于80，眩光指数宜小于19；</w:t>
      </w:r>
    </w:p>
    <w:p w14:paraId="30DB8614">
      <w:pPr>
        <w:pStyle w:val="54"/>
        <w:numPr>
          <w:ilvl w:val="0"/>
          <w:numId w:val="8"/>
        </w:numPr>
        <w:spacing w:before="24" w:after="24"/>
      </w:pPr>
      <w:r>
        <w:t>建筑出入口、阳台应设照明设施。供老年人使用的盥洗盆或盥洗槽、厨房操作台应设局部照明，有条件时，每个居室的门外可增设局部照明。</w:t>
      </w:r>
    </w:p>
    <w:p w14:paraId="70B3721F">
      <w:pPr>
        <w:pStyle w:val="54"/>
        <w:spacing w:before="24" w:after="24"/>
      </w:pPr>
      <w:r>
        <w:t>4）居室至居室卫生间的走道墙面距地0.40m处应设嵌装脚灯，居室的顶灯、长过道的照明宜采用双控开关两地控制；</w:t>
      </w:r>
    </w:p>
    <w:p w14:paraId="2F2E0CB1">
      <w:pPr>
        <w:pStyle w:val="54"/>
        <w:spacing w:before="24" w:after="24"/>
      </w:pPr>
      <w:r>
        <w:t>5）照明开关应选用带夜间指示灯的宽板翘板开关，安装位置应醒目，且颜色应与墙壁区分，高度宜距地面1.10m；</w:t>
      </w:r>
    </w:p>
    <w:p w14:paraId="14A9BED7">
      <w:pPr>
        <w:pStyle w:val="54"/>
        <w:spacing w:before="24" w:after="24"/>
      </w:pPr>
      <w:r>
        <w:t>6）电源插座应结合建筑家具布置设置，并应满足主要家用电器和安全报警装置的使用要求。居室床头、盥洗盆或盥洗槽、厨房操作台、洗衣机应设置电源插座；</w:t>
      </w:r>
    </w:p>
    <w:p w14:paraId="4F0AFE18">
      <w:pPr>
        <w:pStyle w:val="54"/>
        <w:spacing w:before="24" w:after="24"/>
      </w:pPr>
      <w:r>
        <w:t>7）电源插座应采用安全型电源插座。居室的电源插座高度距地宜为0.60m～0.80m；供老年人使用的电炊操作台的电源插座高度距地宜为0.90m～1.10m。</w:t>
      </w:r>
    </w:p>
    <w:p w14:paraId="73C2BD33">
      <w:pPr>
        <w:pStyle w:val="54"/>
        <w:spacing w:before="24" w:after="24"/>
        <w:ind w:firstLine="562"/>
        <w:outlineLvl w:val="6"/>
        <w:rPr>
          <w:b/>
          <w:bCs/>
        </w:rPr>
      </w:pPr>
      <w:r>
        <w:rPr>
          <w:b/>
          <w:bCs/>
        </w:rPr>
        <w:t>（3）市政基础设施项目</w:t>
      </w:r>
    </w:p>
    <w:p w14:paraId="10E14F9B">
      <w:pPr>
        <w:pStyle w:val="54"/>
        <w:spacing w:before="24" w:after="24"/>
        <w:ind w:firstLine="562"/>
        <w:rPr>
          <w:b/>
          <w:bCs/>
        </w:rPr>
      </w:pPr>
      <w:r>
        <w:rPr>
          <w:b/>
          <w:bCs/>
        </w:rPr>
        <w:t>市政道路及配套基础设施建设项目：</w:t>
      </w:r>
    </w:p>
    <w:p w14:paraId="2EB7AD60">
      <w:pPr>
        <w:pStyle w:val="54"/>
        <w:spacing w:before="24" w:after="24"/>
      </w:pPr>
      <w:r>
        <w:t>1）快速路和主干路宜采用高压钠灯，也可选择发光二极管灯或陶瓷金属卤化物灯；</w:t>
      </w:r>
    </w:p>
    <w:p w14:paraId="5782FAF7">
      <w:pPr>
        <w:pStyle w:val="54"/>
        <w:spacing w:before="24" w:after="24"/>
      </w:pPr>
      <w:r>
        <w:t>2）次干路和支路可选择高压钠灯、发光二极管灯或陶瓷金属卤化物灯；</w:t>
      </w:r>
    </w:p>
    <w:p w14:paraId="56E2AD52">
      <w:pPr>
        <w:pStyle w:val="54"/>
        <w:spacing w:before="24" w:after="24"/>
      </w:pPr>
      <w:r>
        <w:t>3）居住区机动车和行人混合交通道路宜采用发光二极管灯或金属卤化物灯；</w:t>
      </w:r>
    </w:p>
    <w:p w14:paraId="51200997">
      <w:pPr>
        <w:pStyle w:val="54"/>
        <w:spacing w:before="24" w:after="24"/>
      </w:pPr>
      <w:r>
        <w:t> 4）市中心、商业中心等对颜色识别要求较高的机动车交通道路可采用发光二极管灯或金属卤化物灯；</w:t>
      </w:r>
    </w:p>
    <w:p w14:paraId="551CC7C9">
      <w:pPr>
        <w:pStyle w:val="54"/>
        <w:spacing w:before="24" w:after="24"/>
      </w:pPr>
      <w:r>
        <w:t> 5）商业区步行街、居住区人行道路、机动车交通道路两侧人行道或非机动车道可采用发光二极管灯、小功率金属卤化物灯或细管径荧光灯、紧凑型荧光灯；</w:t>
      </w:r>
    </w:p>
    <w:p w14:paraId="4C29535E">
      <w:pPr>
        <w:pStyle w:val="54"/>
        <w:spacing w:before="24" w:after="24"/>
      </w:pPr>
      <w:r>
        <w:t>6）道路照明不应采用高压汞灯和白炽灯；</w:t>
      </w:r>
    </w:p>
    <w:p w14:paraId="687025D2">
      <w:pPr>
        <w:pStyle w:val="54"/>
        <w:spacing w:before="24" w:after="24"/>
      </w:pPr>
      <w:r>
        <w:t>7）当采用发光二极管（LED)灯光源时，应符合下列规定：</w:t>
      </w:r>
    </w:p>
    <w:p w14:paraId="3167DFFA">
      <w:pPr>
        <w:pStyle w:val="54"/>
        <w:spacing w:before="24" w:after="24"/>
      </w:pPr>
      <w:r>
        <w:t> </w:t>
      </w:r>
      <w:r>
        <w:rPr>
          <w:rFonts w:ascii="Cambria Math" w:hAnsi="Cambria Math" w:cs="Cambria Math"/>
        </w:rPr>
        <w:t>①</w:t>
      </w:r>
      <w:r>
        <w:t>光源的显色指数（Ra)不宜小于60；</w:t>
      </w:r>
    </w:p>
    <w:p w14:paraId="790848DE">
      <w:pPr>
        <w:pStyle w:val="54"/>
        <w:spacing w:before="24" w:after="24"/>
      </w:pPr>
      <w:r>
        <w:t> </w:t>
      </w:r>
      <w:r>
        <w:rPr>
          <w:rFonts w:ascii="Cambria Math" w:hAnsi="Cambria Math" w:cs="Cambria Math"/>
        </w:rPr>
        <w:t>②</w:t>
      </w:r>
      <w:r>
        <w:t>光源的相关色温不宜高于5000K，并宜优先选择中或低色温光源；</w:t>
      </w:r>
    </w:p>
    <w:p w14:paraId="4DE05EB0">
      <w:pPr>
        <w:pStyle w:val="54"/>
        <w:spacing w:before="24" w:after="24"/>
      </w:pPr>
      <w:r>
        <w:t> </w:t>
      </w:r>
      <w:r>
        <w:rPr>
          <w:rFonts w:ascii="Cambria Math" w:hAnsi="Cambria Math" w:cs="Cambria Math"/>
        </w:rPr>
        <w:t>③</w:t>
      </w:r>
      <w:r>
        <w:t xml:space="preserve"> 选用同类光源的色品容差不应大于7SDCM；</w:t>
      </w:r>
    </w:p>
    <w:p w14:paraId="339D7176">
      <w:pPr>
        <w:pStyle w:val="54"/>
        <w:spacing w:before="24" w:after="24"/>
      </w:pPr>
      <w:r>
        <w:t> </w:t>
      </w:r>
      <w:r>
        <w:rPr>
          <w:rFonts w:ascii="Cambria Math" w:hAnsi="Cambria Math" w:cs="Cambria Math"/>
        </w:rPr>
        <w:t>④</w:t>
      </w:r>
      <w:r>
        <w:t xml:space="preserve"> 在现行国家标准《均匀色空间和色差公式》GB／T 7921规定的CIE 1976均匀色度标尺图中，在寿命周期内光源的色品坐标与初始值的偏差不应超过0.012。</w:t>
      </w:r>
    </w:p>
    <w:p w14:paraId="3A168872">
      <w:pPr>
        <w:pStyle w:val="54"/>
        <w:spacing w:before="24" w:after="24"/>
        <w:ind w:firstLine="562"/>
        <w:rPr>
          <w:b/>
          <w:bCs/>
        </w:rPr>
      </w:pPr>
      <w:r>
        <w:rPr>
          <w:b/>
          <w:bCs/>
        </w:rPr>
        <w:t>滨江步行绿道建设项目：</w:t>
      </w:r>
    </w:p>
    <w:p w14:paraId="0D7D4952">
      <w:pPr>
        <w:pStyle w:val="54"/>
        <w:spacing w:before="24" w:after="24"/>
      </w:pPr>
      <w:r>
        <w:t>1）安装高度低于2.2m的灯具（如绿道景观灯、台阶灯）应采用 ‌≤24V安全电压‌，潮湿区域（如亲水平台）需使用防潮密封型灯具；‌</w:t>
      </w:r>
    </w:p>
    <w:p w14:paraId="1A728258">
      <w:pPr>
        <w:pStyle w:val="54"/>
        <w:spacing w:before="24" w:after="24"/>
      </w:pPr>
      <w:r>
        <w:t>2）照明功率密度（LPD）需符合《城市道路照明设计标准》CJJ 45强制限值，常规路段需按表7.1.2控制能耗；</w:t>
      </w:r>
    </w:p>
    <w:p w14:paraId="35FF1C3F">
      <w:pPr>
        <w:pStyle w:val="54"/>
        <w:spacing w:before="24" w:after="24"/>
      </w:pPr>
      <w:r>
        <w:t>3）绿道入口、休息区等公共区域应设置正常照明与应急照明双系统，保障夜间疏散安全；</w:t>
      </w:r>
    </w:p>
    <w:p w14:paraId="16EB7228">
      <w:pPr>
        <w:pStyle w:val="54"/>
        <w:spacing w:before="24" w:after="24"/>
      </w:pPr>
      <w:r>
        <w:t>4）绿地景观照明及灯光造景应考虑生态和环保要求，避免光污染影响，室外灯具上射逸出光不应大于总输出光通量的25％；</w:t>
      </w:r>
    </w:p>
    <w:p w14:paraId="61873721">
      <w:pPr>
        <w:pStyle w:val="54"/>
        <w:spacing w:before="24" w:after="24"/>
      </w:pPr>
      <w:r>
        <w:t>5）城市绿地中的电气设备及照明灯具不应使用0类防触电保护产品；</w:t>
      </w:r>
    </w:p>
    <w:p w14:paraId="1B5ADB96">
      <w:pPr>
        <w:pStyle w:val="54"/>
        <w:spacing w:before="24" w:after="24"/>
      </w:pPr>
      <w:r>
        <w:t>6）安装在水池内、旱喷泉内的水下灯具必须采用防触电等级为Ⅲ类、防护等级为IPX8的加压水密型灯具，电压不得超过12V。旱喷泉内禁止直接使用电压超过12V的潜水泵。</w:t>
      </w:r>
    </w:p>
    <w:p w14:paraId="07A6C0DE">
      <w:pPr>
        <w:pStyle w:val="54"/>
        <w:spacing w:before="24" w:after="24"/>
        <w:ind w:firstLine="562"/>
        <w:rPr>
          <w:b/>
          <w:bCs/>
        </w:rPr>
      </w:pPr>
      <w:r>
        <w:rPr>
          <w:b/>
          <w:bCs/>
        </w:rPr>
        <w:t>垃圾焚烧处理厂建设项目：</w:t>
      </w:r>
    </w:p>
    <w:p w14:paraId="2341C10B">
      <w:pPr>
        <w:pStyle w:val="54"/>
        <w:spacing w:before="24" w:after="24"/>
      </w:pPr>
      <w:r>
        <w:t>照明设计满足《生活垃圾焚烧处理与能源利用工程技术标准》GB/T51452-2024第11.9照明系统的相关要求。</w:t>
      </w:r>
    </w:p>
    <w:p w14:paraId="2C9785E9">
      <w:pPr>
        <w:pStyle w:val="54"/>
        <w:spacing w:before="24" w:after="24"/>
        <w:ind w:firstLine="562"/>
        <w:outlineLvl w:val="6"/>
        <w:rPr>
          <w:b/>
          <w:bCs/>
        </w:rPr>
      </w:pPr>
      <w:r>
        <w:rPr>
          <w:b/>
          <w:bCs/>
        </w:rPr>
        <w:t>（4）城市环境品质及历史文化保护项目</w:t>
      </w:r>
    </w:p>
    <w:p w14:paraId="4BF8F6FD">
      <w:pPr>
        <w:pStyle w:val="54"/>
        <w:spacing w:before="24" w:after="24"/>
      </w:pPr>
      <w:r>
        <w:t>1）安装高度低于2.2m的灯具（如绿道景观灯、台阶灯）应采用 ‌≤24V安全电压‌，潮湿区域（如亲水平台）需使用防潮密封型灯具；‌</w:t>
      </w:r>
    </w:p>
    <w:p w14:paraId="29281C5B">
      <w:pPr>
        <w:pStyle w:val="54"/>
        <w:spacing w:before="24" w:after="24"/>
      </w:pPr>
      <w:r>
        <w:t>2）照明功率密度（LPD）需符合《城市道路照明设计标准》CJJ 45强制限值，常规路段需按表7.1.2控制能耗；</w:t>
      </w:r>
    </w:p>
    <w:p w14:paraId="02D49DBD">
      <w:pPr>
        <w:pStyle w:val="54"/>
        <w:spacing w:before="24" w:after="24"/>
      </w:pPr>
      <w:r>
        <w:t>3）绿道入口、休息区等公共区域应设置正常照明与应急照明双系统，保障夜间疏散安全；</w:t>
      </w:r>
    </w:p>
    <w:p w14:paraId="31B4047F">
      <w:pPr>
        <w:pStyle w:val="54"/>
        <w:spacing w:before="24" w:after="24"/>
      </w:pPr>
      <w:r>
        <w:t>4）绿地景观照明及灯光造景应考虑生态和环保要求，避免光污染影响，室外灯具上射逸出光不应大于总输出光通量的25％；</w:t>
      </w:r>
    </w:p>
    <w:p w14:paraId="621D55C0">
      <w:pPr>
        <w:pStyle w:val="54"/>
        <w:spacing w:before="24" w:after="24"/>
      </w:pPr>
      <w:r>
        <w:t>5）城市绿地中的电气设备及照明灯具不应使用0类防触电保护产品；</w:t>
      </w:r>
    </w:p>
    <w:p w14:paraId="1A6FA0E3">
      <w:pPr>
        <w:pStyle w:val="54"/>
        <w:spacing w:before="24" w:after="24"/>
      </w:pPr>
      <w:r>
        <w:t>6）安装在水池内、旱喷泉内的水下灯具必须采用防触电等级为Ⅲ类、防护等级为IPX8的加压水密型灯具，电压不得超过12V。旱喷泉内禁止直接使用电压超过12V的潜水泵。</w:t>
      </w:r>
    </w:p>
    <w:p w14:paraId="477BDACA">
      <w:pPr>
        <w:pStyle w:val="54"/>
        <w:spacing w:before="24" w:after="24"/>
        <w:ind w:firstLine="562"/>
        <w:outlineLvl w:val="6"/>
        <w:rPr>
          <w:b/>
          <w:bCs/>
        </w:rPr>
      </w:pPr>
      <w:r>
        <w:rPr>
          <w:b/>
          <w:bCs/>
        </w:rPr>
        <w:t>（5）文教体卫项目</w:t>
      </w:r>
    </w:p>
    <w:p w14:paraId="7585454E">
      <w:pPr>
        <w:pStyle w:val="54"/>
        <w:spacing w:before="24" w:after="24"/>
      </w:pPr>
      <w:r>
        <w:t>1）档案库灯具形式及安装位置应与档案装具布置相配合。缩微阅览室、计算机房照明宜防止显示屏出现灯具影像和反射眩光；</w:t>
      </w:r>
    </w:p>
    <w:p w14:paraId="14C0BDF2">
      <w:pPr>
        <w:pStyle w:val="54"/>
        <w:spacing w:before="24" w:after="24"/>
      </w:pPr>
      <w:r>
        <w:t>2）档案馆照明的照度标准应符合《档案馆建筑设计规范》JGJ 25-2010表7.3.10的规定。</w:t>
      </w:r>
    </w:p>
    <w:p w14:paraId="4143A316">
      <w:pPr>
        <w:pStyle w:val="54"/>
        <w:spacing w:before="24" w:after="24"/>
        <w:ind w:firstLine="562"/>
        <w:outlineLvl w:val="6"/>
        <w:rPr>
          <w:b/>
          <w:bCs/>
        </w:rPr>
      </w:pPr>
      <w:r>
        <w:rPr>
          <w:b/>
          <w:bCs/>
        </w:rPr>
        <w:t>（6）应急防灾项目</w:t>
      </w:r>
    </w:p>
    <w:p w14:paraId="5AD46958">
      <w:pPr>
        <w:pStyle w:val="54"/>
        <w:spacing w:before="24" w:after="24"/>
      </w:pPr>
      <w:r>
        <w:t>宜配置智能照明控制系统，实现远程及分区控制等功能；照明应采用节能型发光二极管（LED光源。</w:t>
      </w:r>
    </w:p>
    <w:p w14:paraId="21DA3375">
      <w:pPr>
        <w:pStyle w:val="54"/>
        <w:spacing w:before="24" w:after="24"/>
        <w:ind w:firstLine="562"/>
        <w:outlineLvl w:val="6"/>
        <w:rPr>
          <w:b/>
          <w:bCs/>
        </w:rPr>
      </w:pPr>
      <w:r>
        <w:rPr>
          <w:b/>
          <w:bCs/>
        </w:rPr>
        <w:t>（7）机关单位办公用房及配套设施项目</w:t>
      </w:r>
    </w:p>
    <w:p w14:paraId="4AF4C4DA">
      <w:pPr>
        <w:pStyle w:val="54"/>
        <w:spacing w:before="24" w:after="24"/>
      </w:pPr>
      <w:r>
        <w:t>1）照明标准值和照明功率密度限值应符合现行国家标准《建筑照明设计标准》GB 50034的规定；应采用高效、节能的荧光灯及其他节能型光源；当选用发光二极管灯光源时，其色度应符合现行相关规范的规定；</w:t>
      </w:r>
    </w:p>
    <w:p w14:paraId="2B30C5A0">
      <w:pPr>
        <w:pStyle w:val="54"/>
        <w:spacing w:before="24" w:after="24"/>
      </w:pPr>
      <w:r>
        <w:t>2）照明回路和插座回路应分路设计，按人数和桌椅布置的办公室内插座数量应满足每人不少于一个单相三孔和一个单相二孔的插座两组；</w:t>
      </w:r>
    </w:p>
    <w:p w14:paraId="091A4A38">
      <w:pPr>
        <w:pStyle w:val="54"/>
        <w:spacing w:before="24" w:after="24"/>
      </w:pPr>
      <w:r>
        <w:t>3）办公室、阅览室等人员长期活动且照明要求较高的空间宜采用感应调光控制、时钟控制或场景控制；</w:t>
      </w:r>
    </w:p>
    <w:p w14:paraId="509DF792">
      <w:pPr>
        <w:pStyle w:val="54"/>
        <w:spacing w:before="24" w:after="24"/>
      </w:pPr>
      <w:r>
        <w:t>4）采用灵活隔断、家具分隔场所照明系统应采用分区节能控制措施。</w:t>
      </w:r>
    </w:p>
    <w:p w14:paraId="572F82D7">
      <w:pPr>
        <w:pStyle w:val="54"/>
        <w:spacing w:before="24" w:after="24"/>
        <w:outlineLvl w:val="4"/>
      </w:pPr>
      <w:r>
        <w:t>7.4.5开关、线缆、管线设备选型</w:t>
      </w:r>
    </w:p>
    <w:p w14:paraId="54BB5409">
      <w:pPr>
        <w:pStyle w:val="54"/>
        <w:spacing w:before="24" w:after="24"/>
      </w:pPr>
      <w:r>
        <w:t>1.开关的选择</w:t>
      </w:r>
    </w:p>
    <w:p w14:paraId="3193C69F">
      <w:pPr>
        <w:pStyle w:val="54"/>
        <w:spacing w:before="24" w:after="24"/>
      </w:pPr>
      <w:r>
        <w:t>（1）照明及动力负荷应根据其负荷性质选择脱扣器型号及附件，按国标断路器型号标注：</w:t>
      </w:r>
    </w:p>
    <w:p w14:paraId="0D378414">
      <w:pPr>
        <w:pStyle w:val="54"/>
        <w:spacing w:before="24" w:after="24"/>
      </w:pPr>
      <w:r>
        <w:t>1）照明回路额定电流50A以上的采用塑壳断路器（带隔离功能）MCCB/塑壳漏电断路器（带隔离功能）ELCB；</w:t>
      </w:r>
    </w:p>
    <w:p w14:paraId="25D29D3A">
      <w:pPr>
        <w:pStyle w:val="54"/>
        <w:spacing w:before="24" w:after="24"/>
      </w:pPr>
      <w:r>
        <w:t>2）照明回路额定电流50A及以下的采用微型断路器（带隔离功能）MCB/带过流保护剩余电流动作电流微型断路器RCB0；</w:t>
      </w:r>
    </w:p>
    <w:p w14:paraId="1BE6891F">
      <w:pPr>
        <w:pStyle w:val="54"/>
        <w:spacing w:before="24" w:after="24"/>
      </w:pPr>
      <w:r>
        <w:t>3）动力回路额定电流40A以上的采用塑壳断路器（带隔离功能）MCCB/塑壳漏电断路器（带隔离功能）ELCB；</w:t>
      </w:r>
    </w:p>
    <w:p w14:paraId="762735F0">
      <w:pPr>
        <w:pStyle w:val="54"/>
        <w:spacing w:before="24" w:after="24"/>
      </w:pPr>
      <w:r>
        <w:t>4）动力回路额定电流40A及以下的采用微型断路器（带隔离功能）MCB/带过流保护剩余电流动作电流微型断路器RCB0；</w:t>
      </w:r>
    </w:p>
    <w:p w14:paraId="594D238F">
      <w:pPr>
        <w:pStyle w:val="54"/>
        <w:spacing w:before="24" w:after="24"/>
      </w:pPr>
      <w:r>
        <w:t>5）配电室、发电机房内或附近不管额定电流多大，进线开关均采用塑壳断路器（带隔离功能）MCCB/塑壳漏电断路器（带隔离功能）ELCB；</w:t>
      </w:r>
    </w:p>
    <w:p w14:paraId="7F5A0A06">
      <w:pPr>
        <w:pStyle w:val="54"/>
        <w:spacing w:before="24" w:after="24"/>
      </w:pPr>
      <w:r>
        <w:t>（2）配电箱及设置剩余电流断路器的进线开关选用同时切断相线与零线的断路器2P/4P，双电源切换箱及双电源切换箱前的隔离开关、断路器其它选择只断开相线的断路器三相采用4P，单相采用2P；</w:t>
      </w:r>
    </w:p>
    <w:p w14:paraId="3C3F89A8">
      <w:pPr>
        <w:pStyle w:val="54"/>
        <w:spacing w:before="24" w:after="24"/>
      </w:pPr>
      <w:r>
        <w:t>（3）配电线路采用的上下级保护电器应具有选择性动作，目前非重要负荷（非消防）采用无选择性切断，重要负荷（消防）采用选择性切断，上下级断路器设级差。</w:t>
      </w:r>
    </w:p>
    <w:p w14:paraId="6C90C713">
      <w:pPr>
        <w:pStyle w:val="54"/>
        <w:spacing w:before="24" w:after="24"/>
      </w:pPr>
      <w:r>
        <w:t>2.线缆及其敷设线管的选择</w:t>
      </w:r>
    </w:p>
    <w:p w14:paraId="093203F7">
      <w:pPr>
        <w:pStyle w:val="54"/>
        <w:spacing w:before="24" w:after="24"/>
      </w:pPr>
      <w:r>
        <w:t>（1）非消防线缆与消防线缆的选型需满足国家规范要求及地方标准，当此选择要求与规范、标准不一致时，按相关规范、标准执行；</w:t>
      </w:r>
    </w:p>
    <w:p w14:paraId="5ECEC91C">
      <w:pPr>
        <w:pStyle w:val="54"/>
        <w:spacing w:before="24" w:after="24"/>
      </w:pPr>
      <w:r>
        <w:t>（2）线缆选型按下表要求：</w:t>
      </w:r>
    </w:p>
    <w:tbl>
      <w:tblPr>
        <w:tblStyle w:val="31"/>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5"/>
        <w:gridCol w:w="1314"/>
        <w:gridCol w:w="2242"/>
        <w:gridCol w:w="2216"/>
        <w:gridCol w:w="2302"/>
      </w:tblGrid>
      <w:tr w14:paraId="21963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49" w:type="pct"/>
            <w:vAlign w:val="center"/>
          </w:tcPr>
          <w:p w14:paraId="3E0621B8">
            <w:pPr>
              <w:pStyle w:val="71"/>
              <w:spacing w:before="24" w:after="24"/>
            </w:pPr>
            <w:r>
              <w:rPr>
                <w:rFonts w:hint="eastAsia"/>
              </w:rPr>
              <w:t>建筑类型</w:t>
            </w:r>
          </w:p>
        </w:tc>
        <w:tc>
          <w:tcPr>
            <w:tcW w:w="708" w:type="pct"/>
            <w:vAlign w:val="center"/>
          </w:tcPr>
          <w:p w14:paraId="0C4874ED">
            <w:pPr>
              <w:pStyle w:val="71"/>
              <w:spacing w:before="24" w:after="24"/>
            </w:pPr>
            <w:r>
              <w:rPr>
                <w:rFonts w:hint="eastAsia"/>
              </w:rPr>
              <w:t>负荷类型</w:t>
            </w:r>
          </w:p>
        </w:tc>
        <w:tc>
          <w:tcPr>
            <w:tcW w:w="1208" w:type="pct"/>
            <w:vAlign w:val="center"/>
          </w:tcPr>
          <w:p w14:paraId="52BA5CD9">
            <w:pPr>
              <w:pStyle w:val="71"/>
              <w:spacing w:before="24" w:after="24"/>
            </w:pPr>
            <w:r>
              <w:rPr>
                <w:rFonts w:hint="eastAsia"/>
              </w:rPr>
              <w:t>干线及分支干线</w:t>
            </w:r>
          </w:p>
        </w:tc>
        <w:tc>
          <w:tcPr>
            <w:tcW w:w="1194" w:type="pct"/>
            <w:vAlign w:val="center"/>
          </w:tcPr>
          <w:p w14:paraId="5288C5E0">
            <w:pPr>
              <w:pStyle w:val="71"/>
              <w:spacing w:before="24" w:after="24"/>
            </w:pPr>
            <w:r>
              <w:rPr>
                <w:rFonts w:hint="eastAsia"/>
              </w:rPr>
              <w:t>支线</w:t>
            </w:r>
          </w:p>
        </w:tc>
        <w:tc>
          <w:tcPr>
            <w:tcW w:w="1240" w:type="pct"/>
            <w:vAlign w:val="center"/>
          </w:tcPr>
          <w:p w14:paraId="641C026E">
            <w:pPr>
              <w:pStyle w:val="71"/>
              <w:spacing w:before="24" w:after="24"/>
            </w:pPr>
            <w:r>
              <w:rPr>
                <w:rFonts w:hint="eastAsia"/>
              </w:rPr>
              <w:t>控制电缆</w:t>
            </w:r>
          </w:p>
        </w:tc>
      </w:tr>
      <w:tr w14:paraId="0C6C4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pct"/>
            <w:vMerge w:val="restart"/>
            <w:vAlign w:val="center"/>
          </w:tcPr>
          <w:p w14:paraId="19DF83FC">
            <w:pPr>
              <w:pStyle w:val="71"/>
              <w:spacing w:before="24" w:after="24"/>
            </w:pPr>
            <w:r>
              <w:rPr>
                <w:rFonts w:hint="eastAsia"/>
              </w:rPr>
              <w:t>办公设施、综合防灾设施、教育设置、公共卫生设施</w:t>
            </w:r>
          </w:p>
        </w:tc>
        <w:tc>
          <w:tcPr>
            <w:tcW w:w="708" w:type="pct"/>
            <w:vAlign w:val="center"/>
          </w:tcPr>
          <w:p w14:paraId="2ED72181">
            <w:pPr>
              <w:pStyle w:val="71"/>
              <w:spacing w:before="24" w:after="24"/>
            </w:pPr>
            <w:r>
              <w:rPr>
                <w:rFonts w:hint="eastAsia"/>
              </w:rPr>
              <w:t>消防类</w:t>
            </w:r>
          </w:p>
        </w:tc>
        <w:tc>
          <w:tcPr>
            <w:tcW w:w="1208" w:type="pct"/>
            <w:vAlign w:val="center"/>
          </w:tcPr>
          <w:p w14:paraId="0E2D2C3B">
            <w:pPr>
              <w:pStyle w:val="71"/>
              <w:spacing w:before="24" w:after="24"/>
              <w:jc w:val="both"/>
            </w:pPr>
            <w:r>
              <w:rPr>
                <w:rFonts w:hint="eastAsia"/>
              </w:rPr>
              <w:t>B1级难燃耐火低烟无卤</w:t>
            </w:r>
          </w:p>
          <w:p w14:paraId="76068927">
            <w:pPr>
              <w:pStyle w:val="71"/>
              <w:spacing w:before="24" w:after="24"/>
              <w:jc w:val="both"/>
            </w:pPr>
            <w:r>
              <w:rPr>
                <w:rFonts w:hint="eastAsia"/>
              </w:rPr>
              <w:t>合用电井-B1级难燃矿物绝缘电缆</w:t>
            </w:r>
          </w:p>
        </w:tc>
        <w:tc>
          <w:tcPr>
            <w:tcW w:w="1194" w:type="pct"/>
            <w:vAlign w:val="center"/>
          </w:tcPr>
          <w:p w14:paraId="73C8A66F">
            <w:pPr>
              <w:pStyle w:val="71"/>
              <w:spacing w:before="24" w:after="24"/>
              <w:jc w:val="both"/>
            </w:pPr>
            <w:r>
              <w:rPr>
                <w:rFonts w:hint="eastAsia"/>
              </w:rPr>
              <w:t>应急照明- B1级难燃耐火低烟无卤</w:t>
            </w:r>
          </w:p>
          <w:p w14:paraId="73A5E788">
            <w:pPr>
              <w:pStyle w:val="71"/>
              <w:spacing w:before="24" w:after="24"/>
              <w:jc w:val="both"/>
            </w:pPr>
            <w:r>
              <w:rPr>
                <w:rFonts w:hint="eastAsia"/>
              </w:rPr>
              <w:t>其他-B2级难燃阻燃耐火、低烟无卤阻燃耐火</w:t>
            </w:r>
          </w:p>
        </w:tc>
        <w:tc>
          <w:tcPr>
            <w:tcW w:w="1240" w:type="pct"/>
            <w:vAlign w:val="center"/>
          </w:tcPr>
          <w:p w14:paraId="3EB04C4F">
            <w:pPr>
              <w:pStyle w:val="71"/>
              <w:spacing w:before="24" w:after="24"/>
            </w:pPr>
            <w:r>
              <w:rPr>
                <w:rFonts w:hint="eastAsia"/>
              </w:rPr>
              <w:t>B1级难燃耐火低烟无卤</w:t>
            </w:r>
          </w:p>
        </w:tc>
      </w:tr>
      <w:tr w14:paraId="7EE0A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pct"/>
            <w:vMerge w:val="continue"/>
            <w:vAlign w:val="center"/>
          </w:tcPr>
          <w:p w14:paraId="321D17AB">
            <w:pPr>
              <w:pStyle w:val="71"/>
              <w:spacing w:before="24" w:after="24"/>
            </w:pPr>
          </w:p>
        </w:tc>
        <w:tc>
          <w:tcPr>
            <w:tcW w:w="708" w:type="pct"/>
            <w:vAlign w:val="center"/>
          </w:tcPr>
          <w:p w14:paraId="2121C3BB">
            <w:pPr>
              <w:pStyle w:val="71"/>
              <w:spacing w:before="24" w:after="24"/>
            </w:pPr>
            <w:r>
              <w:rPr>
                <w:rFonts w:hint="eastAsia"/>
              </w:rPr>
              <w:t>消防泵房、消防控制室、消防电梯</w:t>
            </w:r>
          </w:p>
        </w:tc>
        <w:tc>
          <w:tcPr>
            <w:tcW w:w="1208" w:type="pct"/>
            <w:vAlign w:val="center"/>
          </w:tcPr>
          <w:p w14:paraId="275E90C9">
            <w:pPr>
              <w:pStyle w:val="71"/>
              <w:spacing w:before="24" w:after="24"/>
              <w:jc w:val="both"/>
            </w:pPr>
            <w:r>
              <w:rPr>
                <w:rFonts w:hint="eastAsia"/>
              </w:rPr>
              <w:t>B1级难燃矿物绝缘电缆</w:t>
            </w:r>
          </w:p>
        </w:tc>
        <w:tc>
          <w:tcPr>
            <w:tcW w:w="1194" w:type="pct"/>
            <w:vAlign w:val="center"/>
          </w:tcPr>
          <w:p w14:paraId="71E53D2B">
            <w:pPr>
              <w:pStyle w:val="71"/>
              <w:spacing w:before="24" w:after="24"/>
              <w:jc w:val="both"/>
            </w:pPr>
            <w:r>
              <w:rPr>
                <w:rFonts w:hint="eastAsia"/>
              </w:rPr>
              <w:t>B1级难燃耐火低烟无卤</w:t>
            </w:r>
          </w:p>
        </w:tc>
        <w:tc>
          <w:tcPr>
            <w:tcW w:w="1240" w:type="pct"/>
            <w:vAlign w:val="center"/>
          </w:tcPr>
          <w:p w14:paraId="026885C6">
            <w:pPr>
              <w:pStyle w:val="71"/>
              <w:spacing w:before="24" w:after="24"/>
            </w:pPr>
            <w:r>
              <w:rPr>
                <w:rFonts w:hint="eastAsia"/>
              </w:rPr>
              <w:t>B1级难燃耐火低烟无卤</w:t>
            </w:r>
          </w:p>
        </w:tc>
      </w:tr>
      <w:tr w14:paraId="1446A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pct"/>
            <w:vMerge w:val="continue"/>
            <w:vAlign w:val="center"/>
          </w:tcPr>
          <w:p w14:paraId="0B6C6803">
            <w:pPr>
              <w:pStyle w:val="71"/>
              <w:spacing w:before="24" w:after="24"/>
            </w:pPr>
          </w:p>
        </w:tc>
        <w:tc>
          <w:tcPr>
            <w:tcW w:w="708" w:type="pct"/>
            <w:vAlign w:val="center"/>
          </w:tcPr>
          <w:p w14:paraId="58DEFB9A">
            <w:pPr>
              <w:pStyle w:val="71"/>
              <w:spacing w:before="24" w:after="24"/>
            </w:pPr>
            <w:r>
              <w:rPr>
                <w:rFonts w:hint="eastAsia"/>
              </w:rPr>
              <w:t>非消防</w:t>
            </w:r>
          </w:p>
        </w:tc>
        <w:tc>
          <w:tcPr>
            <w:tcW w:w="1208" w:type="pct"/>
            <w:vAlign w:val="center"/>
          </w:tcPr>
          <w:p w14:paraId="7D672BD7">
            <w:pPr>
              <w:pStyle w:val="71"/>
              <w:spacing w:before="24" w:after="24"/>
              <w:jc w:val="both"/>
            </w:pPr>
            <w:r>
              <w:rPr>
                <w:rFonts w:hint="eastAsia"/>
              </w:rPr>
              <w:t>低烟无卤阻燃电缆</w:t>
            </w:r>
          </w:p>
        </w:tc>
        <w:tc>
          <w:tcPr>
            <w:tcW w:w="1194" w:type="pct"/>
            <w:vAlign w:val="center"/>
          </w:tcPr>
          <w:p w14:paraId="7A09E2B2">
            <w:pPr>
              <w:pStyle w:val="71"/>
              <w:spacing w:before="24" w:after="24"/>
              <w:jc w:val="both"/>
            </w:pPr>
            <w:r>
              <w:rPr>
                <w:rFonts w:hint="eastAsia"/>
              </w:rPr>
              <w:t>低烟无卤阻燃电缆</w:t>
            </w:r>
          </w:p>
        </w:tc>
        <w:tc>
          <w:tcPr>
            <w:tcW w:w="1240" w:type="pct"/>
            <w:vAlign w:val="center"/>
          </w:tcPr>
          <w:p w14:paraId="684AAFC9">
            <w:pPr>
              <w:pStyle w:val="71"/>
              <w:spacing w:before="24" w:after="24"/>
            </w:pPr>
            <w:r>
              <w:rPr>
                <w:rFonts w:hint="eastAsia"/>
              </w:rPr>
              <w:t>低烟无卤阻燃电缆</w:t>
            </w:r>
          </w:p>
        </w:tc>
      </w:tr>
      <w:tr w14:paraId="5D162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pct"/>
            <w:vMerge w:val="restart"/>
            <w:vAlign w:val="center"/>
          </w:tcPr>
          <w:p w14:paraId="764A10B9">
            <w:pPr>
              <w:pStyle w:val="71"/>
              <w:spacing w:before="24" w:after="24"/>
            </w:pPr>
            <w:r>
              <w:rPr>
                <w:rFonts w:hint="eastAsia"/>
              </w:rPr>
              <w:t>市政公用设施、多层住宅</w:t>
            </w:r>
          </w:p>
        </w:tc>
        <w:tc>
          <w:tcPr>
            <w:tcW w:w="708" w:type="pct"/>
            <w:vAlign w:val="center"/>
          </w:tcPr>
          <w:p w14:paraId="12707961">
            <w:pPr>
              <w:pStyle w:val="71"/>
              <w:spacing w:before="24" w:after="24"/>
            </w:pPr>
            <w:r>
              <w:rPr>
                <w:rFonts w:hint="eastAsia"/>
              </w:rPr>
              <w:t>消防类</w:t>
            </w:r>
          </w:p>
        </w:tc>
        <w:tc>
          <w:tcPr>
            <w:tcW w:w="1208" w:type="pct"/>
            <w:vAlign w:val="center"/>
          </w:tcPr>
          <w:p w14:paraId="7FED2E90">
            <w:pPr>
              <w:pStyle w:val="71"/>
              <w:spacing w:before="24" w:after="24"/>
              <w:jc w:val="both"/>
            </w:pPr>
            <w:r>
              <w:rPr>
                <w:rFonts w:hint="eastAsia"/>
              </w:rPr>
              <w:t>B1级难燃耐火聚氯乙烯交联电缆</w:t>
            </w:r>
          </w:p>
          <w:p w14:paraId="49205095">
            <w:pPr>
              <w:pStyle w:val="71"/>
              <w:spacing w:before="24" w:after="24"/>
              <w:jc w:val="both"/>
            </w:pPr>
            <w:r>
              <w:rPr>
                <w:rFonts w:hint="eastAsia"/>
              </w:rPr>
              <w:t>合用电井-B1级难燃矿物绝缘电缆</w:t>
            </w:r>
          </w:p>
        </w:tc>
        <w:tc>
          <w:tcPr>
            <w:tcW w:w="1194" w:type="pct"/>
            <w:vAlign w:val="center"/>
          </w:tcPr>
          <w:p w14:paraId="77C05126">
            <w:pPr>
              <w:pStyle w:val="71"/>
              <w:spacing w:before="24" w:after="24"/>
              <w:jc w:val="both"/>
            </w:pPr>
            <w:r>
              <w:rPr>
                <w:rFonts w:hint="eastAsia"/>
              </w:rPr>
              <w:t>应急照明-B1级难燃耐火聚氯乙烯交联电缆</w:t>
            </w:r>
          </w:p>
          <w:p w14:paraId="27F603A9">
            <w:pPr>
              <w:pStyle w:val="71"/>
              <w:spacing w:before="24" w:after="24"/>
              <w:jc w:val="both"/>
            </w:pPr>
            <w:r>
              <w:rPr>
                <w:rFonts w:hint="eastAsia"/>
              </w:rPr>
              <w:t>其他-B2级难燃阻燃耐火、低烟无卤阻燃耐火</w:t>
            </w:r>
          </w:p>
        </w:tc>
        <w:tc>
          <w:tcPr>
            <w:tcW w:w="1240" w:type="pct"/>
            <w:vAlign w:val="center"/>
          </w:tcPr>
          <w:p w14:paraId="23F730C1">
            <w:pPr>
              <w:pStyle w:val="71"/>
              <w:spacing w:before="24" w:after="24"/>
            </w:pPr>
            <w:r>
              <w:rPr>
                <w:rFonts w:hint="eastAsia"/>
              </w:rPr>
              <w:t>B1级难燃耐火聚氯乙烯交联电缆</w:t>
            </w:r>
          </w:p>
        </w:tc>
      </w:tr>
      <w:tr w14:paraId="07A21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pct"/>
            <w:vMerge w:val="continue"/>
            <w:vAlign w:val="center"/>
          </w:tcPr>
          <w:p w14:paraId="3599E069">
            <w:pPr>
              <w:pStyle w:val="71"/>
              <w:spacing w:before="24" w:after="24"/>
            </w:pPr>
          </w:p>
        </w:tc>
        <w:tc>
          <w:tcPr>
            <w:tcW w:w="708" w:type="pct"/>
            <w:vAlign w:val="center"/>
          </w:tcPr>
          <w:p w14:paraId="6B42FC0D">
            <w:pPr>
              <w:pStyle w:val="71"/>
              <w:spacing w:before="24" w:after="24"/>
            </w:pPr>
            <w:r>
              <w:rPr>
                <w:rFonts w:hint="eastAsia"/>
              </w:rPr>
              <w:t>消防泵房、消防控制室、消防电梯</w:t>
            </w:r>
          </w:p>
        </w:tc>
        <w:tc>
          <w:tcPr>
            <w:tcW w:w="1208" w:type="pct"/>
            <w:vAlign w:val="center"/>
          </w:tcPr>
          <w:p w14:paraId="03CC6BBF">
            <w:pPr>
              <w:pStyle w:val="71"/>
              <w:spacing w:before="24" w:after="24"/>
              <w:jc w:val="both"/>
            </w:pPr>
            <w:r>
              <w:rPr>
                <w:rFonts w:hint="eastAsia"/>
              </w:rPr>
              <w:t>B1级难燃矿物绝缘电缆</w:t>
            </w:r>
          </w:p>
        </w:tc>
        <w:tc>
          <w:tcPr>
            <w:tcW w:w="1194" w:type="pct"/>
            <w:vAlign w:val="center"/>
          </w:tcPr>
          <w:p w14:paraId="544E3CF3">
            <w:pPr>
              <w:pStyle w:val="71"/>
              <w:spacing w:before="24" w:after="24"/>
              <w:jc w:val="both"/>
            </w:pPr>
            <w:r>
              <w:rPr>
                <w:rFonts w:hint="eastAsia"/>
              </w:rPr>
              <w:t>B1级难燃耐火低烟无卤</w:t>
            </w:r>
          </w:p>
        </w:tc>
        <w:tc>
          <w:tcPr>
            <w:tcW w:w="1240" w:type="pct"/>
            <w:vAlign w:val="center"/>
          </w:tcPr>
          <w:p w14:paraId="588529D1">
            <w:pPr>
              <w:pStyle w:val="71"/>
              <w:spacing w:before="24" w:after="24"/>
            </w:pPr>
            <w:r>
              <w:rPr>
                <w:rFonts w:hint="eastAsia"/>
              </w:rPr>
              <w:t>B1级难燃耐火低烟无卤</w:t>
            </w:r>
          </w:p>
        </w:tc>
      </w:tr>
      <w:tr w14:paraId="1F20C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pct"/>
            <w:vMerge w:val="continue"/>
            <w:vAlign w:val="center"/>
          </w:tcPr>
          <w:p w14:paraId="6FEE3AEC">
            <w:pPr>
              <w:pStyle w:val="71"/>
              <w:spacing w:before="24" w:after="24"/>
            </w:pPr>
          </w:p>
        </w:tc>
        <w:tc>
          <w:tcPr>
            <w:tcW w:w="708" w:type="pct"/>
            <w:vAlign w:val="center"/>
          </w:tcPr>
          <w:p w14:paraId="215771BD">
            <w:pPr>
              <w:pStyle w:val="71"/>
              <w:spacing w:before="24" w:after="24"/>
            </w:pPr>
            <w:r>
              <w:rPr>
                <w:rFonts w:hint="eastAsia"/>
              </w:rPr>
              <w:t>非消防</w:t>
            </w:r>
          </w:p>
        </w:tc>
        <w:tc>
          <w:tcPr>
            <w:tcW w:w="1208" w:type="pct"/>
            <w:vAlign w:val="center"/>
          </w:tcPr>
          <w:p w14:paraId="32B318D5">
            <w:pPr>
              <w:pStyle w:val="71"/>
              <w:spacing w:before="24" w:after="24"/>
              <w:jc w:val="both"/>
            </w:pPr>
            <w:r>
              <w:rPr>
                <w:rFonts w:hint="eastAsia"/>
              </w:rPr>
              <w:t>阻燃（阻燃C级）聚氯乙烯交联电缆</w:t>
            </w:r>
          </w:p>
        </w:tc>
        <w:tc>
          <w:tcPr>
            <w:tcW w:w="1194" w:type="pct"/>
            <w:vAlign w:val="center"/>
          </w:tcPr>
          <w:p w14:paraId="1BCC6D8F">
            <w:pPr>
              <w:pStyle w:val="71"/>
              <w:spacing w:before="24" w:after="24"/>
              <w:jc w:val="both"/>
            </w:pPr>
            <w:r>
              <w:rPr>
                <w:rFonts w:hint="eastAsia"/>
              </w:rPr>
              <w:t>阻燃（阻燃C级）聚氯乙烯交联电缆</w:t>
            </w:r>
          </w:p>
        </w:tc>
        <w:tc>
          <w:tcPr>
            <w:tcW w:w="1240" w:type="pct"/>
            <w:vAlign w:val="center"/>
          </w:tcPr>
          <w:p w14:paraId="0C93DA0C">
            <w:pPr>
              <w:pStyle w:val="71"/>
              <w:spacing w:before="24" w:after="24"/>
            </w:pPr>
            <w:r>
              <w:rPr>
                <w:rFonts w:hint="eastAsia"/>
              </w:rPr>
              <w:t>阻燃（阻燃C级）聚氯乙烯交联电缆</w:t>
            </w:r>
          </w:p>
        </w:tc>
      </w:tr>
      <w:tr w14:paraId="2846C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pct"/>
            <w:vMerge w:val="restart"/>
            <w:vAlign w:val="center"/>
          </w:tcPr>
          <w:p w14:paraId="46D9F351">
            <w:pPr>
              <w:pStyle w:val="71"/>
              <w:spacing w:before="24" w:after="24"/>
            </w:pPr>
            <w:r>
              <w:rPr>
                <w:rFonts w:hint="eastAsia"/>
              </w:rPr>
              <w:t>汽车库</w:t>
            </w:r>
          </w:p>
        </w:tc>
        <w:tc>
          <w:tcPr>
            <w:tcW w:w="708" w:type="pct"/>
            <w:vAlign w:val="center"/>
          </w:tcPr>
          <w:p w14:paraId="32583D4C">
            <w:pPr>
              <w:pStyle w:val="71"/>
              <w:spacing w:before="24" w:after="24"/>
            </w:pPr>
            <w:r>
              <w:rPr>
                <w:rFonts w:hint="eastAsia"/>
              </w:rPr>
              <w:t>消防类</w:t>
            </w:r>
          </w:p>
        </w:tc>
        <w:tc>
          <w:tcPr>
            <w:tcW w:w="1208" w:type="pct"/>
            <w:vAlign w:val="center"/>
          </w:tcPr>
          <w:p w14:paraId="7E346266">
            <w:pPr>
              <w:pStyle w:val="71"/>
              <w:spacing w:before="24" w:after="24"/>
              <w:jc w:val="both"/>
            </w:pPr>
            <w:r>
              <w:rPr>
                <w:rFonts w:hint="eastAsia"/>
              </w:rPr>
              <w:t>B1级难燃耐火聚氯乙烯交联电缆</w:t>
            </w:r>
          </w:p>
          <w:p w14:paraId="3AAFE26F">
            <w:pPr>
              <w:pStyle w:val="71"/>
              <w:spacing w:before="24" w:after="24"/>
              <w:jc w:val="both"/>
            </w:pPr>
            <w:r>
              <w:rPr>
                <w:rFonts w:hint="eastAsia"/>
              </w:rPr>
              <w:t>矿物绝缘电缆</w:t>
            </w:r>
          </w:p>
        </w:tc>
        <w:tc>
          <w:tcPr>
            <w:tcW w:w="1194" w:type="pct"/>
            <w:vAlign w:val="center"/>
          </w:tcPr>
          <w:p w14:paraId="088E8E13">
            <w:pPr>
              <w:pStyle w:val="71"/>
              <w:spacing w:before="24" w:after="24"/>
              <w:jc w:val="both"/>
            </w:pPr>
            <w:r>
              <w:rPr>
                <w:rFonts w:hint="eastAsia"/>
              </w:rPr>
              <w:t>B1级难燃耐火聚氯乙烯交联电缆</w:t>
            </w:r>
          </w:p>
        </w:tc>
        <w:tc>
          <w:tcPr>
            <w:tcW w:w="1240" w:type="pct"/>
            <w:vAlign w:val="center"/>
          </w:tcPr>
          <w:p w14:paraId="5FED28E5">
            <w:pPr>
              <w:pStyle w:val="71"/>
              <w:spacing w:before="24" w:after="24"/>
            </w:pPr>
            <w:r>
              <w:rPr>
                <w:rFonts w:hint="eastAsia"/>
              </w:rPr>
              <w:t>B1级难燃耐火聚氯乙烯交联电缆</w:t>
            </w:r>
          </w:p>
        </w:tc>
      </w:tr>
      <w:tr w14:paraId="7E608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pct"/>
            <w:vMerge w:val="continue"/>
            <w:vAlign w:val="center"/>
          </w:tcPr>
          <w:p w14:paraId="3EB32486">
            <w:pPr>
              <w:pStyle w:val="71"/>
              <w:spacing w:before="24" w:after="24"/>
            </w:pPr>
          </w:p>
        </w:tc>
        <w:tc>
          <w:tcPr>
            <w:tcW w:w="708" w:type="pct"/>
            <w:vAlign w:val="center"/>
          </w:tcPr>
          <w:p w14:paraId="798CF122">
            <w:pPr>
              <w:pStyle w:val="71"/>
              <w:spacing w:before="24" w:after="24"/>
            </w:pPr>
            <w:r>
              <w:rPr>
                <w:rFonts w:hint="eastAsia"/>
              </w:rPr>
              <w:t>非消防</w:t>
            </w:r>
          </w:p>
        </w:tc>
        <w:tc>
          <w:tcPr>
            <w:tcW w:w="1208" w:type="pct"/>
            <w:vAlign w:val="center"/>
          </w:tcPr>
          <w:p w14:paraId="2F0B97FE">
            <w:pPr>
              <w:pStyle w:val="71"/>
              <w:spacing w:before="24" w:after="24"/>
              <w:jc w:val="both"/>
            </w:pPr>
            <w:r>
              <w:rPr>
                <w:rFonts w:hint="eastAsia"/>
              </w:rPr>
              <w:t>阻燃（阻燃C级）聚氯乙烯交联电缆</w:t>
            </w:r>
          </w:p>
        </w:tc>
        <w:tc>
          <w:tcPr>
            <w:tcW w:w="1194" w:type="pct"/>
            <w:vAlign w:val="center"/>
          </w:tcPr>
          <w:p w14:paraId="6AD2C1D0">
            <w:pPr>
              <w:pStyle w:val="71"/>
              <w:spacing w:before="24" w:after="24"/>
              <w:jc w:val="both"/>
            </w:pPr>
            <w:r>
              <w:rPr>
                <w:rFonts w:hint="eastAsia"/>
              </w:rPr>
              <w:t>阻燃（阻燃C级）聚氯乙烯交联电缆</w:t>
            </w:r>
          </w:p>
        </w:tc>
        <w:tc>
          <w:tcPr>
            <w:tcW w:w="1240" w:type="pct"/>
            <w:vAlign w:val="center"/>
          </w:tcPr>
          <w:p w14:paraId="326240E6">
            <w:pPr>
              <w:pStyle w:val="71"/>
              <w:spacing w:before="24" w:after="24"/>
            </w:pPr>
            <w:r>
              <w:rPr>
                <w:rFonts w:hint="eastAsia"/>
              </w:rPr>
              <w:t>阻燃（阻燃C级）聚氯乙烯交联电缆</w:t>
            </w:r>
          </w:p>
        </w:tc>
      </w:tr>
      <w:tr w14:paraId="6FC4F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49" w:type="pct"/>
            <w:vMerge w:val="restart"/>
            <w:vAlign w:val="center"/>
          </w:tcPr>
          <w:p w14:paraId="5818B3FC">
            <w:pPr>
              <w:pStyle w:val="71"/>
              <w:spacing w:before="24" w:after="24"/>
            </w:pPr>
            <w:r>
              <w:rPr>
                <w:rFonts w:hint="eastAsia"/>
              </w:rPr>
              <w:t>人员密集场所</w:t>
            </w:r>
          </w:p>
        </w:tc>
        <w:tc>
          <w:tcPr>
            <w:tcW w:w="708" w:type="pct"/>
            <w:vAlign w:val="center"/>
          </w:tcPr>
          <w:p w14:paraId="46BDB612">
            <w:pPr>
              <w:pStyle w:val="71"/>
              <w:spacing w:before="24" w:after="24"/>
            </w:pPr>
            <w:r>
              <w:rPr>
                <w:rFonts w:hint="eastAsia"/>
              </w:rPr>
              <w:t>消防类</w:t>
            </w:r>
          </w:p>
        </w:tc>
        <w:tc>
          <w:tcPr>
            <w:tcW w:w="1208" w:type="pct"/>
            <w:vAlign w:val="center"/>
          </w:tcPr>
          <w:p w14:paraId="76FE9D1D">
            <w:pPr>
              <w:pStyle w:val="71"/>
              <w:spacing w:before="24" w:after="24"/>
              <w:jc w:val="both"/>
            </w:pPr>
            <w:r>
              <w:rPr>
                <w:rFonts w:hint="eastAsia"/>
              </w:rPr>
              <w:t>B1级低烟无卤阻燃耐火电缆</w:t>
            </w:r>
          </w:p>
          <w:p w14:paraId="20DE53CE">
            <w:pPr>
              <w:pStyle w:val="71"/>
              <w:spacing w:before="24" w:after="24"/>
              <w:jc w:val="both"/>
            </w:pPr>
            <w:r>
              <w:rPr>
                <w:rFonts w:hint="eastAsia"/>
              </w:rPr>
              <w:t>合用电井时-B1级难燃矿物绝缘电缆</w:t>
            </w:r>
          </w:p>
        </w:tc>
        <w:tc>
          <w:tcPr>
            <w:tcW w:w="1194" w:type="pct"/>
            <w:vAlign w:val="center"/>
          </w:tcPr>
          <w:p w14:paraId="0C41B977">
            <w:pPr>
              <w:pStyle w:val="71"/>
              <w:spacing w:before="24" w:after="24"/>
              <w:jc w:val="both"/>
            </w:pPr>
            <w:r>
              <w:rPr>
                <w:rFonts w:hint="eastAsia"/>
              </w:rPr>
              <w:t>应急照明- B1级难燃耐火低烟无卤</w:t>
            </w:r>
          </w:p>
          <w:p w14:paraId="5074C37A">
            <w:pPr>
              <w:pStyle w:val="71"/>
              <w:spacing w:before="24" w:after="24"/>
              <w:jc w:val="both"/>
            </w:pPr>
            <w:r>
              <w:rPr>
                <w:rFonts w:hint="eastAsia"/>
              </w:rPr>
              <w:t>其他-B1级难燃阻燃耐火、低烟无卤阻燃耐火</w:t>
            </w:r>
          </w:p>
        </w:tc>
        <w:tc>
          <w:tcPr>
            <w:tcW w:w="1240" w:type="pct"/>
            <w:vAlign w:val="center"/>
          </w:tcPr>
          <w:p w14:paraId="2A7BF078">
            <w:pPr>
              <w:pStyle w:val="71"/>
              <w:spacing w:before="24" w:after="24"/>
            </w:pPr>
            <w:r>
              <w:rPr>
                <w:rFonts w:hint="eastAsia"/>
              </w:rPr>
              <w:t>B1级难燃耐火低烟无卤</w:t>
            </w:r>
          </w:p>
        </w:tc>
      </w:tr>
      <w:tr w14:paraId="39368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pct"/>
            <w:vMerge w:val="continue"/>
            <w:vAlign w:val="center"/>
          </w:tcPr>
          <w:p w14:paraId="72CD77BF">
            <w:pPr>
              <w:pStyle w:val="71"/>
              <w:spacing w:before="24" w:after="24"/>
            </w:pPr>
          </w:p>
        </w:tc>
        <w:tc>
          <w:tcPr>
            <w:tcW w:w="708" w:type="pct"/>
            <w:vAlign w:val="center"/>
          </w:tcPr>
          <w:p w14:paraId="4F77C9F4">
            <w:pPr>
              <w:pStyle w:val="71"/>
              <w:spacing w:before="24" w:after="24"/>
            </w:pPr>
            <w:r>
              <w:rPr>
                <w:rFonts w:hint="eastAsia"/>
              </w:rPr>
              <w:t>非消防</w:t>
            </w:r>
          </w:p>
        </w:tc>
        <w:tc>
          <w:tcPr>
            <w:tcW w:w="1208" w:type="pct"/>
            <w:vAlign w:val="center"/>
          </w:tcPr>
          <w:p w14:paraId="418B8150">
            <w:pPr>
              <w:pStyle w:val="71"/>
              <w:spacing w:before="24" w:after="24"/>
              <w:jc w:val="both"/>
            </w:pPr>
            <w:r>
              <w:rPr>
                <w:rFonts w:hint="eastAsia"/>
              </w:rPr>
              <w:t>燃烧性能不低于B1级、产烟毒性为t1级、燃烧滴落物/微粒等级为d1级</w:t>
            </w:r>
          </w:p>
          <w:p w14:paraId="1FECB494">
            <w:pPr>
              <w:pStyle w:val="71"/>
              <w:spacing w:before="24" w:after="24"/>
              <w:jc w:val="both"/>
            </w:pPr>
            <w:r>
              <w:rPr>
                <w:rFonts w:hint="eastAsia"/>
              </w:rPr>
              <w:t>低烟无卤阻燃电缆</w:t>
            </w:r>
          </w:p>
        </w:tc>
        <w:tc>
          <w:tcPr>
            <w:tcW w:w="1194" w:type="pct"/>
            <w:vAlign w:val="center"/>
          </w:tcPr>
          <w:p w14:paraId="56D8556D">
            <w:pPr>
              <w:pStyle w:val="71"/>
              <w:spacing w:before="24" w:after="24"/>
              <w:jc w:val="both"/>
            </w:pPr>
            <w:r>
              <w:rPr>
                <w:rFonts w:hint="eastAsia"/>
              </w:rPr>
              <w:t>燃烧性能不低于B1级、产烟毒性为t1级、燃烧滴落物/微粒等级为d1级</w:t>
            </w:r>
          </w:p>
          <w:p w14:paraId="44521143">
            <w:pPr>
              <w:pStyle w:val="71"/>
              <w:spacing w:before="24" w:after="24"/>
              <w:jc w:val="both"/>
            </w:pPr>
            <w:r>
              <w:rPr>
                <w:rFonts w:hint="eastAsia"/>
              </w:rPr>
              <w:t>低烟无卤阻燃电缆</w:t>
            </w:r>
          </w:p>
        </w:tc>
        <w:tc>
          <w:tcPr>
            <w:tcW w:w="1240" w:type="pct"/>
            <w:vAlign w:val="center"/>
          </w:tcPr>
          <w:p w14:paraId="1B6D08F0">
            <w:pPr>
              <w:pStyle w:val="71"/>
              <w:spacing w:before="24" w:after="24"/>
            </w:pPr>
            <w:r>
              <w:rPr>
                <w:rFonts w:hint="eastAsia"/>
              </w:rPr>
              <w:t>燃烧性能不低于B1级、产烟毒性为t1级、燃烧滴落物/微粒等级为d1级</w:t>
            </w:r>
          </w:p>
          <w:p w14:paraId="40FCB19C">
            <w:pPr>
              <w:pStyle w:val="71"/>
              <w:spacing w:before="24" w:after="24"/>
            </w:pPr>
            <w:r>
              <w:rPr>
                <w:rFonts w:hint="eastAsia"/>
              </w:rPr>
              <w:t>低烟无卤阻燃电缆</w:t>
            </w:r>
          </w:p>
        </w:tc>
      </w:tr>
      <w:tr w14:paraId="296D6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49" w:type="pct"/>
            <w:vAlign w:val="center"/>
          </w:tcPr>
          <w:p w14:paraId="7ADA0B31">
            <w:pPr>
              <w:pStyle w:val="71"/>
              <w:spacing w:before="24" w:after="24"/>
            </w:pPr>
            <w:r>
              <w:rPr>
                <w:rFonts w:hint="eastAsia"/>
              </w:rPr>
              <w:t>备注</w:t>
            </w:r>
          </w:p>
        </w:tc>
        <w:tc>
          <w:tcPr>
            <w:tcW w:w="4350" w:type="pct"/>
            <w:gridSpan w:val="4"/>
            <w:vAlign w:val="center"/>
          </w:tcPr>
          <w:p w14:paraId="19EC4CAA">
            <w:pPr>
              <w:pStyle w:val="71"/>
              <w:spacing w:before="24" w:after="24"/>
              <w:jc w:val="both"/>
            </w:pPr>
            <w:r>
              <w:rPr>
                <w:rFonts w:hint="eastAsia"/>
              </w:rPr>
              <w:t>注：1、上部单体非消防线缆经过地下室敷设部分，按上部单体线缆选择。</w:t>
            </w:r>
          </w:p>
          <w:p w14:paraId="1945E4F6">
            <w:pPr>
              <w:pStyle w:val="71"/>
              <w:spacing w:before="24" w:after="24"/>
              <w:jc w:val="both"/>
            </w:pPr>
            <w:r>
              <w:rPr>
                <w:rFonts w:hint="eastAsia"/>
              </w:rPr>
              <w:t>2、动力用电缆采用3+2型，照明及动力与照明共总箱的采用4+1型。</w:t>
            </w:r>
          </w:p>
        </w:tc>
      </w:tr>
    </w:tbl>
    <w:p w14:paraId="64B9E487">
      <w:pPr>
        <w:pStyle w:val="54"/>
        <w:spacing w:before="24" w:after="24"/>
      </w:pPr>
      <w:r>
        <w:t>（3）室内敷设线管的选择：</w:t>
      </w:r>
    </w:p>
    <w:p w14:paraId="4A80F4CC">
      <w:pPr>
        <w:pStyle w:val="54"/>
        <w:spacing w:before="24" w:after="24"/>
      </w:pPr>
      <w:r>
        <w:t>选型需满足国家规范要求及地方标准，当此选择要求与规范、标准不一致时，按相关规范、标准执行。</w:t>
      </w:r>
    </w:p>
    <w:p w14:paraId="503C0336">
      <w:pPr>
        <w:pStyle w:val="54"/>
        <w:spacing w:before="24" w:after="24"/>
      </w:pPr>
      <w:r>
        <w:t>1）消防线管：潮湿环境均使用带有防潮防腐措施壁厚不小于2.0mm的焊接钢管（SC）。干燥环境下，ø40以上采用焊接钢管（SC），ø40及以下采用套接紧定式钢管（JDG）；</w:t>
      </w:r>
    </w:p>
    <w:p w14:paraId="295404F0">
      <w:pPr>
        <w:pStyle w:val="54"/>
        <w:spacing w:before="24" w:after="24"/>
      </w:pPr>
      <w:r>
        <w:t>2）非消防线管：潮湿环境均使用带有防潮防腐措施壁厚不小于2.0mm的焊接钢管（SC）。干燥环境明、暗敷设采用塑料管时须使用中型阻燃刚性塑料管（PC）。</w:t>
      </w:r>
    </w:p>
    <w:p w14:paraId="174E2842">
      <w:pPr>
        <w:pStyle w:val="54"/>
        <w:spacing w:before="24" w:after="24"/>
      </w:pPr>
      <w:r>
        <w:t>（4）桥架的类型选择：</w:t>
      </w:r>
    </w:p>
    <w:tbl>
      <w:tblPr>
        <w:tblStyle w:val="31"/>
        <w:tblW w:w="498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84"/>
        <w:gridCol w:w="3700"/>
        <w:gridCol w:w="3670"/>
      </w:tblGrid>
      <w:tr w14:paraId="001D6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3" w:hRule="atLeast"/>
          <w:jc w:val="center"/>
        </w:trPr>
        <w:tc>
          <w:tcPr>
            <w:tcW w:w="1018" w:type="pct"/>
            <w:tcBorders>
              <w:top w:val="single" w:color="000000" w:sz="4" w:space="0"/>
              <w:left w:val="single" w:color="000000" w:sz="4" w:space="0"/>
              <w:bottom w:val="single" w:color="000000" w:sz="4" w:space="0"/>
              <w:right w:val="single" w:color="000000" w:sz="4" w:space="0"/>
            </w:tcBorders>
            <w:vAlign w:val="center"/>
          </w:tcPr>
          <w:p w14:paraId="2C6B20E1">
            <w:pPr>
              <w:pStyle w:val="71"/>
              <w:spacing w:before="24" w:after="24"/>
              <w:rPr>
                <w:rFonts w:cs="Times New Roman"/>
              </w:rPr>
            </w:pPr>
            <w:r>
              <w:rPr>
                <w:rFonts w:cs="Times New Roman"/>
              </w:rPr>
              <w:t>类型</w:t>
            </w:r>
          </w:p>
        </w:tc>
        <w:tc>
          <w:tcPr>
            <w:tcW w:w="1999" w:type="pct"/>
            <w:tcBorders>
              <w:top w:val="single" w:color="000000" w:sz="4" w:space="0"/>
              <w:left w:val="single" w:color="000000" w:sz="4" w:space="0"/>
              <w:bottom w:val="single" w:color="000000" w:sz="4" w:space="0"/>
              <w:right w:val="single" w:color="000000" w:sz="4" w:space="0"/>
            </w:tcBorders>
            <w:vAlign w:val="center"/>
          </w:tcPr>
          <w:p w14:paraId="24D9145B">
            <w:pPr>
              <w:pStyle w:val="71"/>
              <w:spacing w:before="24" w:after="24"/>
              <w:rPr>
                <w:rFonts w:cs="Times New Roman"/>
              </w:rPr>
            </w:pPr>
            <w:r>
              <w:rPr>
                <w:rFonts w:cs="Times New Roman"/>
              </w:rPr>
              <w:t>安装部位</w:t>
            </w:r>
          </w:p>
        </w:tc>
        <w:tc>
          <w:tcPr>
            <w:tcW w:w="1982" w:type="pct"/>
            <w:tcBorders>
              <w:top w:val="single" w:color="000000" w:sz="4" w:space="0"/>
              <w:left w:val="single" w:color="000000" w:sz="4" w:space="0"/>
              <w:bottom w:val="single" w:color="000000" w:sz="4" w:space="0"/>
              <w:right w:val="single" w:color="000000" w:sz="4" w:space="0"/>
            </w:tcBorders>
            <w:vAlign w:val="center"/>
          </w:tcPr>
          <w:p w14:paraId="36EEBEE0">
            <w:pPr>
              <w:pStyle w:val="71"/>
              <w:spacing w:before="24" w:after="24"/>
              <w:rPr>
                <w:rFonts w:cs="Times New Roman"/>
              </w:rPr>
            </w:pPr>
            <w:r>
              <w:rPr>
                <w:rFonts w:cs="Times New Roman"/>
              </w:rPr>
              <w:t>桥架类型</w:t>
            </w:r>
          </w:p>
        </w:tc>
      </w:tr>
      <w:tr w14:paraId="2A4FF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3" w:hRule="atLeast"/>
          <w:jc w:val="center"/>
        </w:trPr>
        <w:tc>
          <w:tcPr>
            <w:tcW w:w="1018" w:type="pct"/>
            <w:vMerge w:val="restart"/>
            <w:tcBorders>
              <w:top w:val="nil"/>
              <w:left w:val="single" w:color="000000" w:sz="4" w:space="0"/>
              <w:bottom w:val="single" w:color="000000" w:sz="4" w:space="0"/>
              <w:right w:val="single" w:color="000000" w:sz="4" w:space="0"/>
            </w:tcBorders>
            <w:vAlign w:val="center"/>
          </w:tcPr>
          <w:p w14:paraId="03E0A46A">
            <w:pPr>
              <w:pStyle w:val="71"/>
              <w:spacing w:before="24" w:after="24"/>
              <w:rPr>
                <w:rFonts w:cs="Times New Roman"/>
              </w:rPr>
            </w:pPr>
            <w:r>
              <w:rPr>
                <w:rFonts w:cs="Times New Roman"/>
              </w:rPr>
              <w:t>10kV桥架</w:t>
            </w:r>
          </w:p>
          <w:p w14:paraId="5C103A9E">
            <w:pPr>
              <w:pStyle w:val="71"/>
              <w:spacing w:before="24" w:after="24"/>
              <w:rPr>
                <w:rFonts w:cs="Times New Roman"/>
              </w:rPr>
            </w:pPr>
            <w:r>
              <w:rPr>
                <w:rFonts w:cs="Times New Roman"/>
              </w:rPr>
              <w:t>供电局桥架非消防强电</w:t>
            </w:r>
          </w:p>
        </w:tc>
        <w:tc>
          <w:tcPr>
            <w:tcW w:w="1999" w:type="pct"/>
            <w:tcBorders>
              <w:top w:val="single" w:color="000000" w:sz="4" w:space="0"/>
              <w:left w:val="single" w:color="000000" w:sz="4" w:space="0"/>
              <w:bottom w:val="single" w:color="000000" w:sz="4" w:space="0"/>
              <w:right w:val="single" w:color="000000" w:sz="4" w:space="0"/>
            </w:tcBorders>
            <w:vAlign w:val="center"/>
          </w:tcPr>
          <w:p w14:paraId="75A5ABE1">
            <w:pPr>
              <w:pStyle w:val="71"/>
              <w:spacing w:before="24" w:after="24"/>
              <w:rPr>
                <w:rFonts w:cs="Times New Roman"/>
              </w:rPr>
            </w:pPr>
            <w:r>
              <w:rPr>
                <w:rFonts w:cs="Times New Roman"/>
              </w:rPr>
              <w:t>竖向桥架（竖井内安装）</w:t>
            </w:r>
          </w:p>
        </w:tc>
        <w:tc>
          <w:tcPr>
            <w:tcW w:w="1982" w:type="pct"/>
            <w:tcBorders>
              <w:top w:val="single" w:color="000000" w:sz="4" w:space="0"/>
              <w:left w:val="single" w:color="000000" w:sz="4" w:space="0"/>
              <w:bottom w:val="single" w:color="000000" w:sz="4" w:space="0"/>
              <w:right w:val="single" w:color="000000" w:sz="4" w:space="0"/>
            </w:tcBorders>
            <w:vAlign w:val="center"/>
          </w:tcPr>
          <w:p w14:paraId="6FBFC0AF">
            <w:pPr>
              <w:pStyle w:val="71"/>
              <w:spacing w:before="24" w:after="24"/>
              <w:rPr>
                <w:rFonts w:cs="Times New Roman"/>
              </w:rPr>
            </w:pPr>
            <w:r>
              <w:rPr>
                <w:rFonts w:cs="Times New Roman"/>
              </w:rPr>
              <w:t>金属梯级电缆桥架XQJ-T</w:t>
            </w:r>
          </w:p>
        </w:tc>
      </w:tr>
      <w:tr w14:paraId="0E874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2" w:hRule="atLeast"/>
          <w:jc w:val="center"/>
        </w:trPr>
        <w:tc>
          <w:tcPr>
            <w:tcW w:w="1018" w:type="pct"/>
            <w:vMerge w:val="continue"/>
            <w:tcBorders>
              <w:top w:val="nil"/>
              <w:left w:val="single" w:color="000000" w:sz="4" w:space="0"/>
              <w:bottom w:val="single" w:color="000000" w:sz="4" w:space="0"/>
              <w:right w:val="single" w:color="000000" w:sz="4" w:space="0"/>
            </w:tcBorders>
            <w:vAlign w:val="center"/>
          </w:tcPr>
          <w:p w14:paraId="58482362">
            <w:pPr>
              <w:pStyle w:val="71"/>
              <w:spacing w:before="24" w:after="24"/>
              <w:rPr>
                <w:rFonts w:cs="Times New Roman"/>
              </w:rPr>
            </w:pPr>
          </w:p>
        </w:tc>
        <w:tc>
          <w:tcPr>
            <w:tcW w:w="1999" w:type="pct"/>
            <w:tcBorders>
              <w:top w:val="single" w:color="000000" w:sz="4" w:space="0"/>
              <w:left w:val="single" w:color="000000" w:sz="4" w:space="0"/>
              <w:bottom w:val="single" w:color="000000" w:sz="4" w:space="0"/>
              <w:right w:val="single" w:color="000000" w:sz="4" w:space="0"/>
            </w:tcBorders>
            <w:vAlign w:val="center"/>
          </w:tcPr>
          <w:p w14:paraId="62825DBC">
            <w:pPr>
              <w:pStyle w:val="71"/>
              <w:spacing w:before="24" w:after="24"/>
              <w:rPr>
                <w:rFonts w:cs="Times New Roman"/>
              </w:rPr>
            </w:pPr>
            <w:r>
              <w:rPr>
                <w:rFonts w:cs="Times New Roman"/>
              </w:rPr>
              <w:t>水平桥架及非竖井内安装竖向桥架</w:t>
            </w:r>
          </w:p>
        </w:tc>
        <w:tc>
          <w:tcPr>
            <w:tcW w:w="1982" w:type="pct"/>
            <w:tcBorders>
              <w:top w:val="single" w:color="000000" w:sz="4" w:space="0"/>
              <w:left w:val="single" w:color="000000" w:sz="4" w:space="0"/>
              <w:bottom w:val="single" w:color="000000" w:sz="4" w:space="0"/>
              <w:right w:val="single" w:color="000000" w:sz="4" w:space="0"/>
            </w:tcBorders>
            <w:vAlign w:val="center"/>
          </w:tcPr>
          <w:p w14:paraId="3E52EE28">
            <w:pPr>
              <w:pStyle w:val="71"/>
              <w:spacing w:before="24" w:after="24"/>
              <w:rPr>
                <w:rFonts w:cs="Times New Roman"/>
              </w:rPr>
            </w:pPr>
            <w:r>
              <w:rPr>
                <w:rFonts w:cs="Times New Roman"/>
              </w:rPr>
              <w:t>金属托盘式电缆桥架XQJ-P</w:t>
            </w:r>
          </w:p>
        </w:tc>
      </w:tr>
      <w:tr w14:paraId="22535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3" w:hRule="atLeast"/>
          <w:jc w:val="center"/>
        </w:trPr>
        <w:tc>
          <w:tcPr>
            <w:tcW w:w="1018" w:type="pct"/>
            <w:vMerge w:val="restart"/>
            <w:tcBorders>
              <w:top w:val="nil"/>
              <w:left w:val="single" w:color="000000" w:sz="4" w:space="0"/>
              <w:bottom w:val="single" w:color="000000" w:sz="4" w:space="0"/>
              <w:right w:val="single" w:color="000000" w:sz="4" w:space="0"/>
            </w:tcBorders>
            <w:vAlign w:val="center"/>
          </w:tcPr>
          <w:p w14:paraId="77C24516">
            <w:pPr>
              <w:pStyle w:val="71"/>
              <w:spacing w:before="24" w:after="24"/>
              <w:rPr>
                <w:rFonts w:cs="Times New Roman"/>
              </w:rPr>
            </w:pPr>
            <w:r>
              <w:rPr>
                <w:rFonts w:cs="Times New Roman"/>
              </w:rPr>
              <w:t>消防强电</w:t>
            </w:r>
          </w:p>
        </w:tc>
        <w:tc>
          <w:tcPr>
            <w:tcW w:w="1999" w:type="pct"/>
            <w:tcBorders>
              <w:top w:val="single" w:color="000000" w:sz="4" w:space="0"/>
              <w:left w:val="single" w:color="000000" w:sz="4" w:space="0"/>
              <w:bottom w:val="single" w:color="000000" w:sz="4" w:space="0"/>
              <w:right w:val="single" w:color="000000" w:sz="4" w:space="0"/>
            </w:tcBorders>
            <w:vAlign w:val="center"/>
          </w:tcPr>
          <w:p w14:paraId="72E1533A">
            <w:pPr>
              <w:pStyle w:val="71"/>
              <w:spacing w:before="24" w:after="24"/>
              <w:rPr>
                <w:rFonts w:cs="Times New Roman"/>
              </w:rPr>
            </w:pPr>
            <w:r>
              <w:rPr>
                <w:rFonts w:cs="Times New Roman"/>
              </w:rPr>
              <w:t>竖向桥架（竖井内安装）</w:t>
            </w:r>
          </w:p>
        </w:tc>
        <w:tc>
          <w:tcPr>
            <w:tcW w:w="1982" w:type="pct"/>
            <w:tcBorders>
              <w:top w:val="single" w:color="000000" w:sz="4" w:space="0"/>
              <w:left w:val="single" w:color="000000" w:sz="4" w:space="0"/>
              <w:bottom w:val="single" w:color="000000" w:sz="4" w:space="0"/>
              <w:right w:val="single" w:color="000000" w:sz="4" w:space="0"/>
            </w:tcBorders>
            <w:vAlign w:val="center"/>
          </w:tcPr>
          <w:p w14:paraId="4942CA30">
            <w:pPr>
              <w:pStyle w:val="71"/>
              <w:spacing w:before="24" w:after="24"/>
              <w:rPr>
                <w:rFonts w:cs="Times New Roman"/>
              </w:rPr>
            </w:pPr>
            <w:r>
              <w:rPr>
                <w:rFonts w:cs="Times New Roman"/>
              </w:rPr>
              <w:t>金属梯级电缆桥架XQJ-T</w:t>
            </w:r>
          </w:p>
        </w:tc>
      </w:tr>
      <w:tr w14:paraId="68302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3" w:hRule="atLeast"/>
          <w:jc w:val="center"/>
        </w:trPr>
        <w:tc>
          <w:tcPr>
            <w:tcW w:w="1018" w:type="pct"/>
            <w:vMerge w:val="continue"/>
            <w:tcBorders>
              <w:top w:val="nil"/>
              <w:left w:val="single" w:color="000000" w:sz="4" w:space="0"/>
              <w:bottom w:val="single" w:color="000000" w:sz="4" w:space="0"/>
              <w:right w:val="single" w:color="000000" w:sz="4" w:space="0"/>
            </w:tcBorders>
            <w:vAlign w:val="center"/>
          </w:tcPr>
          <w:p w14:paraId="73832642">
            <w:pPr>
              <w:pStyle w:val="71"/>
              <w:spacing w:before="24" w:after="24"/>
              <w:rPr>
                <w:rFonts w:cs="Times New Roman"/>
              </w:rPr>
            </w:pPr>
          </w:p>
        </w:tc>
        <w:tc>
          <w:tcPr>
            <w:tcW w:w="1999" w:type="pct"/>
            <w:tcBorders>
              <w:top w:val="single" w:color="000000" w:sz="4" w:space="0"/>
              <w:left w:val="single" w:color="000000" w:sz="4" w:space="0"/>
              <w:bottom w:val="single" w:color="000000" w:sz="4" w:space="0"/>
              <w:right w:val="single" w:color="000000" w:sz="4" w:space="0"/>
            </w:tcBorders>
            <w:vAlign w:val="center"/>
          </w:tcPr>
          <w:p w14:paraId="095FA8BE">
            <w:pPr>
              <w:pStyle w:val="71"/>
              <w:spacing w:before="24" w:after="24"/>
              <w:rPr>
                <w:rFonts w:cs="Times New Roman"/>
              </w:rPr>
            </w:pPr>
            <w:r>
              <w:rPr>
                <w:rFonts w:cs="Times New Roman"/>
              </w:rPr>
              <w:t>水平桥架及非竖井内安装竖向桥架</w:t>
            </w:r>
          </w:p>
        </w:tc>
        <w:tc>
          <w:tcPr>
            <w:tcW w:w="1982" w:type="pct"/>
            <w:tcBorders>
              <w:top w:val="single" w:color="000000" w:sz="4" w:space="0"/>
              <w:left w:val="single" w:color="000000" w:sz="4" w:space="0"/>
              <w:bottom w:val="single" w:color="000000" w:sz="4" w:space="0"/>
              <w:right w:val="single" w:color="000000" w:sz="4" w:space="0"/>
            </w:tcBorders>
            <w:vAlign w:val="center"/>
          </w:tcPr>
          <w:p w14:paraId="35D930C1">
            <w:pPr>
              <w:pStyle w:val="71"/>
              <w:spacing w:before="24" w:after="24"/>
              <w:rPr>
                <w:rFonts w:cs="Times New Roman"/>
              </w:rPr>
            </w:pPr>
            <w:r>
              <w:rPr>
                <w:rFonts w:cs="Times New Roman"/>
              </w:rPr>
              <w:t>封闭式防火金属电缆桥架FHXQJ-C</w:t>
            </w:r>
          </w:p>
        </w:tc>
      </w:tr>
      <w:tr w14:paraId="45067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3" w:hRule="atLeast"/>
          <w:jc w:val="center"/>
        </w:trPr>
        <w:tc>
          <w:tcPr>
            <w:tcW w:w="1018" w:type="pct"/>
            <w:tcBorders>
              <w:top w:val="single" w:color="000000" w:sz="4" w:space="0"/>
              <w:left w:val="single" w:color="000000" w:sz="4" w:space="0"/>
              <w:bottom w:val="single" w:color="000000" w:sz="4" w:space="0"/>
              <w:right w:val="single" w:color="000000" w:sz="4" w:space="0"/>
            </w:tcBorders>
            <w:vAlign w:val="center"/>
          </w:tcPr>
          <w:p w14:paraId="1AE096D8">
            <w:pPr>
              <w:pStyle w:val="71"/>
              <w:spacing w:before="24" w:after="24"/>
              <w:rPr>
                <w:rFonts w:cs="Times New Roman"/>
              </w:rPr>
            </w:pPr>
            <w:r>
              <w:rPr>
                <w:rFonts w:cs="Times New Roman"/>
              </w:rPr>
              <w:t>火灾报警</w:t>
            </w:r>
          </w:p>
        </w:tc>
        <w:tc>
          <w:tcPr>
            <w:tcW w:w="1999" w:type="pct"/>
            <w:tcBorders>
              <w:top w:val="single" w:color="000000" w:sz="4" w:space="0"/>
              <w:left w:val="single" w:color="000000" w:sz="4" w:space="0"/>
              <w:bottom w:val="single" w:color="000000" w:sz="4" w:space="0"/>
              <w:right w:val="single" w:color="000000" w:sz="4" w:space="0"/>
            </w:tcBorders>
            <w:vAlign w:val="center"/>
          </w:tcPr>
          <w:p w14:paraId="350797F6">
            <w:pPr>
              <w:pStyle w:val="71"/>
              <w:spacing w:before="24" w:after="24"/>
              <w:rPr>
                <w:rFonts w:cs="Times New Roman"/>
              </w:rPr>
            </w:pPr>
            <w:r>
              <w:rPr>
                <w:rFonts w:cs="Times New Roman"/>
              </w:rPr>
              <w:t>竖向、水平桥架</w:t>
            </w:r>
          </w:p>
        </w:tc>
        <w:tc>
          <w:tcPr>
            <w:tcW w:w="1982" w:type="pct"/>
            <w:tcBorders>
              <w:top w:val="single" w:color="000000" w:sz="4" w:space="0"/>
              <w:left w:val="single" w:color="000000" w:sz="4" w:space="0"/>
              <w:bottom w:val="single" w:color="000000" w:sz="4" w:space="0"/>
              <w:right w:val="single" w:color="000000" w:sz="4" w:space="0"/>
            </w:tcBorders>
            <w:vAlign w:val="center"/>
          </w:tcPr>
          <w:p w14:paraId="7F5D9ABF">
            <w:pPr>
              <w:pStyle w:val="71"/>
              <w:spacing w:before="24" w:after="24"/>
              <w:rPr>
                <w:rFonts w:cs="Times New Roman"/>
              </w:rPr>
            </w:pPr>
            <w:r>
              <w:rPr>
                <w:rFonts w:cs="Times New Roman"/>
              </w:rPr>
              <w:t>封闭式防火金属电缆桥架FHXQJ-C</w:t>
            </w:r>
          </w:p>
        </w:tc>
      </w:tr>
      <w:tr w14:paraId="10EB07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3" w:hRule="atLeast"/>
          <w:jc w:val="center"/>
        </w:trPr>
        <w:tc>
          <w:tcPr>
            <w:tcW w:w="1018" w:type="pct"/>
            <w:tcBorders>
              <w:top w:val="single" w:color="000000" w:sz="4" w:space="0"/>
              <w:left w:val="single" w:color="000000" w:sz="4" w:space="0"/>
              <w:bottom w:val="single" w:color="000000" w:sz="4" w:space="0"/>
              <w:right w:val="single" w:color="000000" w:sz="4" w:space="0"/>
            </w:tcBorders>
            <w:vAlign w:val="center"/>
          </w:tcPr>
          <w:p w14:paraId="2523A106">
            <w:pPr>
              <w:pStyle w:val="71"/>
              <w:spacing w:before="24" w:after="24"/>
              <w:rPr>
                <w:rFonts w:cs="Times New Roman"/>
              </w:rPr>
            </w:pPr>
            <w:r>
              <w:rPr>
                <w:rFonts w:cs="Times New Roman"/>
              </w:rPr>
              <w:t>弱电智能化</w:t>
            </w:r>
          </w:p>
        </w:tc>
        <w:tc>
          <w:tcPr>
            <w:tcW w:w="1999" w:type="pct"/>
            <w:tcBorders>
              <w:top w:val="single" w:color="000000" w:sz="4" w:space="0"/>
              <w:left w:val="single" w:color="000000" w:sz="4" w:space="0"/>
              <w:bottom w:val="single" w:color="000000" w:sz="4" w:space="0"/>
              <w:right w:val="single" w:color="000000" w:sz="4" w:space="0"/>
            </w:tcBorders>
            <w:vAlign w:val="center"/>
          </w:tcPr>
          <w:p w14:paraId="62E535C0">
            <w:pPr>
              <w:pStyle w:val="71"/>
              <w:spacing w:before="24" w:after="24"/>
              <w:rPr>
                <w:rFonts w:cs="Times New Roman"/>
              </w:rPr>
            </w:pPr>
            <w:r>
              <w:rPr>
                <w:rFonts w:cs="Times New Roman"/>
              </w:rPr>
              <w:t>竖向、水平桥架</w:t>
            </w:r>
          </w:p>
        </w:tc>
        <w:tc>
          <w:tcPr>
            <w:tcW w:w="1982" w:type="pct"/>
            <w:tcBorders>
              <w:top w:val="single" w:color="000000" w:sz="4" w:space="0"/>
              <w:left w:val="single" w:color="000000" w:sz="4" w:space="0"/>
              <w:bottom w:val="single" w:color="000000" w:sz="4" w:space="0"/>
              <w:right w:val="single" w:color="000000" w:sz="4" w:space="0"/>
            </w:tcBorders>
            <w:vAlign w:val="center"/>
          </w:tcPr>
          <w:p w14:paraId="0E4BE709">
            <w:pPr>
              <w:pStyle w:val="71"/>
              <w:spacing w:before="24" w:after="24"/>
              <w:rPr>
                <w:rFonts w:cs="Times New Roman"/>
              </w:rPr>
            </w:pPr>
            <w:r>
              <w:rPr>
                <w:rFonts w:cs="Times New Roman"/>
              </w:rPr>
              <w:t>封闭式金属电缆桥架XQJ-C</w:t>
            </w:r>
          </w:p>
        </w:tc>
      </w:tr>
      <w:tr w14:paraId="313687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8" w:hRule="atLeast"/>
          <w:jc w:val="center"/>
        </w:trPr>
        <w:tc>
          <w:tcPr>
            <w:tcW w:w="5000" w:type="pct"/>
            <w:gridSpan w:val="3"/>
            <w:tcBorders>
              <w:top w:val="single" w:color="000000" w:sz="4" w:space="0"/>
              <w:left w:val="single" w:color="000000" w:sz="4" w:space="0"/>
              <w:bottom w:val="single" w:color="000000" w:sz="4" w:space="0"/>
              <w:right w:val="single" w:color="000000" w:sz="4" w:space="0"/>
            </w:tcBorders>
            <w:vAlign w:val="center"/>
          </w:tcPr>
          <w:p w14:paraId="2387F108">
            <w:pPr>
              <w:pStyle w:val="71"/>
              <w:spacing w:before="24" w:after="24"/>
              <w:rPr>
                <w:rFonts w:cs="Times New Roman"/>
              </w:rPr>
            </w:pPr>
            <w:r>
              <w:rPr>
                <w:rFonts w:cs="Times New Roman"/>
              </w:rPr>
              <w:t>注：200及以上均采用桥架XQJ,200以下采用金属线槽MR,将上述XQJ改为MR。</w:t>
            </w:r>
          </w:p>
        </w:tc>
      </w:tr>
    </w:tbl>
    <w:p w14:paraId="140BC4B6">
      <w:pPr>
        <w:pStyle w:val="54"/>
        <w:spacing w:before="24" w:after="24"/>
      </w:pPr>
      <w:r>
        <w:t>桥架的设置：</w:t>
      </w:r>
    </w:p>
    <w:p w14:paraId="22863EC1">
      <w:pPr>
        <w:pStyle w:val="54"/>
        <w:spacing w:before="24" w:after="24"/>
      </w:pPr>
      <w:r>
        <w:t>供电局10kV桥架、供电局0.4kV桥架、强电消防和强电非消防桥架、弱电智能化桥架、火灾自动报警桥架都须分开设置，消防广播桥架按当地消防要求按需设置。</w:t>
      </w:r>
    </w:p>
    <w:p w14:paraId="13223447">
      <w:pPr>
        <w:pStyle w:val="54"/>
        <w:spacing w:before="24" w:after="24"/>
        <w:outlineLvl w:val="4"/>
      </w:pPr>
      <w:r>
        <w:t>7.4.6充电车位设置</w:t>
      </w:r>
    </w:p>
    <w:p w14:paraId="223C4A2E">
      <w:pPr>
        <w:pStyle w:val="54"/>
        <w:spacing w:before="24" w:after="24"/>
      </w:pPr>
      <w:r>
        <w:t>1.根据《云南省电动汽车充电基础设施建设运营管理暂行办法》2016年（2019年修订）文件规定：新建住宅配建停车位原则上100%建设充电基础设施或预留建设安装条件，交通枢纽、超市卖场、商务楼宇，党政机关、企事业单位办公场所，旅游景区、学校、体育场馆以及独立用地的公共停车场、停车换乘（P+R)停车场建设充电基础设施或预留建设安装条件（包括电力管线预埋和电力容量预留）的车位比例不低于10%。支持根据实际条件在以上规定基础上增建充电基础设施。单个公用充电基础设施项目中充电桩不少于5个，且桩间距不大于10米。当地有明确政策要求的，以当地政策要求为准；</w:t>
      </w:r>
    </w:p>
    <w:p w14:paraId="7DF69E00">
      <w:pPr>
        <w:pStyle w:val="54"/>
        <w:spacing w:before="24" w:after="24"/>
      </w:pPr>
      <w:r>
        <w:t>2.充电车位供电应采用专用线路敷设，严禁与其他设备共用；</w:t>
      </w:r>
    </w:p>
    <w:p w14:paraId="7918574A">
      <w:pPr>
        <w:pStyle w:val="54"/>
        <w:spacing w:before="24" w:after="24"/>
      </w:pPr>
      <w:r>
        <w:t>3.充电车位的设置应由建筑专业提资，平面图上应采用专用图例以区分，宜分区域集中布置；</w:t>
      </w:r>
    </w:p>
    <w:p w14:paraId="35D9A44D">
      <w:pPr>
        <w:pStyle w:val="54"/>
        <w:spacing w:before="24" w:after="24"/>
      </w:pPr>
      <w:r>
        <w:t>4.实施到位的充电车位，每个充电车位的线路、设备应设计到位，做到即插即用且每个车位应单独设置电表计量；</w:t>
      </w:r>
    </w:p>
    <w:p w14:paraId="7980DF88">
      <w:pPr>
        <w:pStyle w:val="54"/>
        <w:spacing w:before="24" w:after="24"/>
      </w:pPr>
      <w:r>
        <w:t>5.安装充电桩的配电线路应设计到位，用电量计入变压器负载容量，预留充电桩无须设计配电线路，但应考虑预留线路通道，用电量计入预留充电桩配电房；</w:t>
      </w:r>
    </w:p>
    <w:p w14:paraId="600C6222">
      <w:pPr>
        <w:pStyle w:val="54"/>
        <w:spacing w:before="24" w:after="24"/>
      </w:pPr>
      <w:r>
        <w:t>6.充电桩负荷计算，需要系数和功率因素按国标图集《电动汽车充电基础设施设计与安装》18D705-2选取，不得无故放大系数致使计算负荷增加；</w:t>
      </w:r>
    </w:p>
    <w:p w14:paraId="561DAAC3">
      <w:pPr>
        <w:pStyle w:val="54"/>
        <w:spacing w:before="24" w:after="24"/>
      </w:pPr>
      <w:r>
        <w:t>7.其它未尽事宜按国家及地方法律、政策、标准、规范和办法执行。</w:t>
      </w:r>
    </w:p>
    <w:p w14:paraId="4B2CD0B5">
      <w:pPr>
        <w:pStyle w:val="54"/>
        <w:spacing w:before="24" w:after="24"/>
        <w:outlineLvl w:val="4"/>
      </w:pPr>
      <w:r>
        <w:t>7.4.7用电计量</w:t>
      </w:r>
    </w:p>
    <w:p w14:paraId="114F8FBD">
      <w:pPr>
        <w:pStyle w:val="54"/>
        <w:spacing w:before="24" w:after="24"/>
      </w:pPr>
      <w:r>
        <w:t>1.计量设置原则</w:t>
      </w:r>
    </w:p>
    <w:p w14:paraId="344A1349">
      <w:pPr>
        <w:pStyle w:val="54"/>
        <w:spacing w:before="24" w:after="24"/>
      </w:pPr>
      <w:r>
        <w:t>（1）变配电室：用电计量方式根据供电局要求的不同用电性质及相应电价采用低压分别计量，由供电局直接向低压用户收费；</w:t>
      </w:r>
    </w:p>
    <w:p w14:paraId="18D2B841">
      <w:pPr>
        <w:pStyle w:val="54"/>
        <w:spacing w:before="24" w:after="24"/>
      </w:pPr>
      <w:r>
        <w:t>（2）电表安装位置：每层配电间、竖井内、电表间等；</w:t>
      </w:r>
    </w:p>
    <w:p w14:paraId="66F35C32">
      <w:pPr>
        <w:pStyle w:val="54"/>
        <w:spacing w:before="24" w:after="24"/>
      </w:pPr>
      <w:r>
        <w:t>（3）公建配套设施负荷在公用配电室内的低压屏上应设置低压计量总表（若单独设置变压器则在配电室内设置高压计量总表）；末端负荷按出线回路或负荷种类或负荷用途或楼栋在低压屏（或配电箱）内分别设置计量分表，其中公建配套设施用电负荷分类包括：公用照明、公用停车库、电梯、生活水泵等；</w:t>
      </w:r>
    </w:p>
    <w:p w14:paraId="2124C80D">
      <w:pPr>
        <w:pStyle w:val="54"/>
        <w:spacing w:before="24" w:after="24"/>
      </w:pPr>
      <w:r>
        <w:t>（4）低压柜按出线回路或用电性质在低压屏内设置分计量：如：楼栋照明、生产用电、景观照明、电梯、水泵、消防负荷等。</w:t>
      </w:r>
    </w:p>
    <w:p w14:paraId="1B1B650E">
      <w:pPr>
        <w:pStyle w:val="54"/>
        <w:spacing w:before="24" w:after="24"/>
      </w:pPr>
      <w:r>
        <w:t>2.计量要求</w:t>
      </w:r>
    </w:p>
    <w:p w14:paraId="050084C2">
      <w:pPr>
        <w:pStyle w:val="54"/>
        <w:spacing w:before="24" w:after="24"/>
      </w:pPr>
      <w:r>
        <w:t>（1）不同类型的照明、动力负荷应分别按供电干线在适当位置设置考核计量总表，优先设于低压配电屏或一级配电箱内；</w:t>
      </w:r>
    </w:p>
    <w:p w14:paraId="7FF1C291">
      <w:pPr>
        <w:pStyle w:val="54"/>
        <w:spacing w:before="24" w:after="24"/>
      </w:pPr>
      <w:r>
        <w:t>（2）柴油发电机进线柜设置总计量，其出线回路不另设分计量；</w:t>
      </w:r>
    </w:p>
    <w:p w14:paraId="78C22870">
      <w:pPr>
        <w:pStyle w:val="54"/>
        <w:spacing w:before="24" w:after="24"/>
      </w:pPr>
      <w:r>
        <w:t>（3）充电车位应按每个车位单独计量。</w:t>
      </w:r>
    </w:p>
    <w:p w14:paraId="4B9642F4">
      <w:pPr>
        <w:pStyle w:val="54"/>
        <w:spacing w:before="24" w:after="24"/>
        <w:outlineLvl w:val="4"/>
      </w:pPr>
      <w:r>
        <w:t>7.4.8室外工程</w:t>
      </w:r>
    </w:p>
    <w:p w14:paraId="5E9364A1">
      <w:pPr>
        <w:pStyle w:val="54"/>
        <w:spacing w:before="24" w:after="24"/>
      </w:pPr>
      <w:r>
        <w:t>1.综合管网工程</w:t>
      </w:r>
    </w:p>
    <w:p w14:paraId="57885418">
      <w:pPr>
        <w:pStyle w:val="54"/>
        <w:spacing w:before="24" w:after="24"/>
      </w:pPr>
      <w:r>
        <w:t>室外综合管网电气设计需重点关注管线布置、安全间距、施工协调及规范衔接，主要有以下事项：</w:t>
      </w:r>
    </w:p>
    <w:p w14:paraId="240F143B">
      <w:pPr>
        <w:pStyle w:val="54"/>
        <w:spacing w:before="24" w:after="24"/>
      </w:pPr>
      <w:r>
        <w:t>（1）管线布置原则</w:t>
      </w:r>
    </w:p>
    <w:p w14:paraId="7187EA68">
      <w:pPr>
        <w:pStyle w:val="54"/>
        <w:spacing w:before="24" w:after="24"/>
      </w:pPr>
      <w:r>
        <w:t>1）“四让”原则</w:t>
      </w:r>
      <w:r>
        <w:rPr>
          <w:rFonts w:eastAsia="MS Gothic"/>
        </w:rPr>
        <w:t>‌</w:t>
      </w:r>
      <w:r>
        <w:t>：有压管道让无压管道（如电力管线让排水管线）、埋管浅的让埋管深的、单管让双管、柔性材料让刚性材料；</w:t>
      </w:r>
    </w:p>
    <w:p w14:paraId="063882DC">
      <w:pPr>
        <w:pStyle w:val="54"/>
        <w:spacing w:before="24" w:after="24"/>
      </w:pPr>
      <w:r>
        <w:t>2）道路两侧布局</w:t>
      </w:r>
      <w:r>
        <w:rPr>
          <w:rFonts w:eastAsia="MS Gothic"/>
        </w:rPr>
        <w:t>‌</w:t>
      </w:r>
      <w:r>
        <w:t>：电力管线宜布置在道路东侧或南侧，弱电管线在道路西侧或北侧，避免强电与弱电同侧敷设以减少信号干扰；</w:t>
      </w:r>
    </w:p>
    <w:p w14:paraId="4100D4C4">
      <w:pPr>
        <w:pStyle w:val="54"/>
        <w:spacing w:before="24" w:after="24"/>
      </w:pPr>
      <w:r>
        <w:t>3）交叉避让顺序</w:t>
      </w:r>
      <w:r>
        <w:rPr>
          <w:rFonts w:eastAsia="MS Gothic"/>
        </w:rPr>
        <w:t>‌</w:t>
      </w:r>
      <w:r>
        <w:t>：电力管道应在热力管道下方、其他管道上方；燃气管道需位于其他管道上方（热力管道除外）。</w:t>
      </w:r>
      <w:r>
        <w:rPr>
          <w:rFonts w:eastAsia="MS Gothic"/>
        </w:rPr>
        <w:t>‌</w:t>
      </w:r>
    </w:p>
    <w:p w14:paraId="57EF2870">
      <w:pPr>
        <w:pStyle w:val="54"/>
        <w:spacing w:before="24" w:after="24"/>
      </w:pPr>
      <w:r>
        <w:t>（2）安全间距要求</w:t>
      </w:r>
    </w:p>
    <w:p w14:paraId="0CEF243C">
      <w:pPr>
        <w:pStyle w:val="54"/>
        <w:spacing w:before="24" w:after="24"/>
      </w:pPr>
      <w:r>
        <w:t>室外综合管网工程管线交叉时的最小垂直净距，应符合《城市工程管线综合规划规范》GB 50289-2016表4．1．14规定，当受现状工程管线等因素限制难以满足要求时，应根据实际情况采取安全措施后减少其最小垂直净距。</w:t>
      </w:r>
    </w:p>
    <w:p w14:paraId="4D4DD994">
      <w:pPr>
        <w:pStyle w:val="54"/>
        <w:spacing w:before="24" w:after="24"/>
      </w:pPr>
      <w:r>
        <w:t>2.景观照明工程</w:t>
      </w:r>
    </w:p>
    <w:p w14:paraId="3EA0DD0E">
      <w:pPr>
        <w:pStyle w:val="54"/>
        <w:spacing w:before="24" w:after="24"/>
      </w:pPr>
      <w:r>
        <w:t>（1）室外照明箱仅预留容量、进线电缆和进线开关，出线开关由景观设计考虑，总平面图中需设计照明箱的安装位置；</w:t>
      </w:r>
    </w:p>
    <w:p w14:paraId="3C4D3734">
      <w:pPr>
        <w:pStyle w:val="54"/>
        <w:spacing w:before="24" w:after="24"/>
      </w:pPr>
      <w:r>
        <w:t>（2）室外照明采用时间控制器+光感控制，出线回路应设置漏电开关；</w:t>
      </w:r>
    </w:p>
    <w:p w14:paraId="794BACEA">
      <w:pPr>
        <w:pStyle w:val="54"/>
        <w:spacing w:before="24" w:after="24"/>
      </w:pPr>
      <w:r>
        <w:t>（3）景观用电在景观照明箱进线处安装计量装置；</w:t>
      </w:r>
    </w:p>
    <w:p w14:paraId="673583D8">
      <w:pPr>
        <w:pStyle w:val="54"/>
        <w:spacing w:before="24" w:after="24"/>
      </w:pPr>
      <w:r>
        <w:t>（4）室外灯具应优先选择节能高效的LED灯光源；</w:t>
      </w:r>
    </w:p>
    <w:p w14:paraId="0B0FD29C">
      <w:pPr>
        <w:pStyle w:val="54"/>
        <w:spacing w:before="24" w:after="24"/>
      </w:pPr>
      <w:r>
        <w:t>（5）室外安装的配电箱及照明灯具防护等级不低于IP54，落地安装的配电箱应有基础台（高度≥300mm），配电箱位置应与水专业核实，避免与雨水管排水口相邻；</w:t>
      </w:r>
    </w:p>
    <w:p w14:paraId="790F55AD">
      <w:pPr>
        <w:pStyle w:val="54"/>
        <w:spacing w:before="24" w:after="24"/>
      </w:pPr>
      <w:r>
        <w:t>（6）水下灯具、水泵防护等级不低于IP68；人员可触及的室外照明设施应采用安全特低电压供电或人身电击防护措施；</w:t>
      </w:r>
    </w:p>
    <w:p w14:paraId="5C56D817">
      <w:pPr>
        <w:pStyle w:val="54"/>
        <w:spacing w:before="24" w:after="24"/>
      </w:pPr>
      <w:r>
        <w:t>（7）电缆人孔、手孔的设置位置不得跨越路面或路牙，也不得设置在园区矮墙下面。</w:t>
      </w:r>
    </w:p>
    <w:p w14:paraId="0AACC925">
      <w:pPr>
        <w:pStyle w:val="54"/>
        <w:spacing w:before="24" w:after="24"/>
        <w:outlineLvl w:val="4"/>
      </w:pPr>
      <w:r>
        <w:t>7.4.9防雷接地</w:t>
      </w:r>
    </w:p>
    <w:p w14:paraId="21AD3B4D">
      <w:pPr>
        <w:pStyle w:val="54"/>
        <w:spacing w:before="24" w:after="24"/>
        <w:outlineLvl w:val="5"/>
      </w:pPr>
      <w:r>
        <w:t>1.通用要求</w:t>
      </w:r>
    </w:p>
    <w:p w14:paraId="0DC8CEEB">
      <w:pPr>
        <w:pStyle w:val="54"/>
        <w:spacing w:before="24" w:after="24"/>
      </w:pPr>
      <w:r>
        <w:t>（1）计算各建筑物预计年雷击次数值，明确防直击雷、防侧击雷、防雷电感应及防雷电波的侵入措施；</w:t>
      </w:r>
    </w:p>
    <w:p w14:paraId="6BB6CDF5">
      <w:pPr>
        <w:pStyle w:val="54"/>
        <w:spacing w:before="24" w:after="24"/>
      </w:pPr>
      <w:r>
        <w:t>（2）防雷设计在满足国家规范的前提下需控制引下线，接地极的数量；</w:t>
      </w:r>
    </w:p>
    <w:p w14:paraId="5F081FDF">
      <w:pPr>
        <w:pStyle w:val="54"/>
        <w:spacing w:before="24" w:after="24"/>
      </w:pPr>
      <w:r>
        <w:t>（3）利用结构柱（剪力墙）作为引下线，应复核柱（剪力墙）是否从屋顶至基础联通，存在结构转换层时，应画出各个防雷引下线的转换位置；</w:t>
      </w:r>
    </w:p>
    <w:p w14:paraId="55BB8F31">
      <w:pPr>
        <w:pStyle w:val="54"/>
        <w:spacing w:before="24" w:after="24"/>
      </w:pPr>
      <w:r>
        <w:t>（4）坡屋顶为不影响美观，优先采用暗装避雷带加避雷短针方式。采用25X4热镀锌扁钢暗敷于女儿墙、檐口、屋脊做接闪器，屋面瓦及屋檐上的暗敷深度不大于20mm；</w:t>
      </w:r>
    </w:p>
    <w:p w14:paraId="17713B32">
      <w:pPr>
        <w:pStyle w:val="54"/>
        <w:spacing w:before="24" w:after="24"/>
      </w:pPr>
      <w:r>
        <w:t>（5）多层建筑优先采用明敷避雷带，对于圆形屋顶、尖屋顶优先采用避雷针或避雷短针加明敷避雷带；</w:t>
      </w:r>
    </w:p>
    <w:p w14:paraId="6DF8B252">
      <w:pPr>
        <w:pStyle w:val="54"/>
        <w:spacing w:before="24" w:after="24"/>
      </w:pPr>
      <w:r>
        <w:t>（6）高层建筑物屋顶防雷接闪器沿屋顶周边女儿墙、檐口、屋脊明敷；</w:t>
      </w:r>
    </w:p>
    <w:p w14:paraId="78DDE6BA">
      <w:pPr>
        <w:pStyle w:val="54"/>
        <w:spacing w:before="24" w:after="24"/>
      </w:pPr>
      <w:r>
        <w:t>（7）当屋顶周边有符合规范要求金属构件时，应优先利用其作为防雷接闪器；</w:t>
      </w:r>
    </w:p>
    <w:p w14:paraId="73E95FFC">
      <w:pPr>
        <w:pStyle w:val="54"/>
        <w:spacing w:before="24" w:after="24"/>
      </w:pPr>
      <w:r>
        <w:t>（8）各弱电机房、屋顶配电箱（如照明、电梯机房、屋顶风机等配电箱）、楼栋进线总箱（柜）内设置SPD浪涌保护装置；各弱电机房、屋顶电梯机房、消防水泵控制室等应设置局部等电位端子箱；</w:t>
      </w:r>
    </w:p>
    <w:p w14:paraId="5B142E79">
      <w:pPr>
        <w:pStyle w:val="54"/>
        <w:spacing w:before="24" w:after="24"/>
      </w:pPr>
      <w:r>
        <w:t>（9）各栋入户电缆经室外入户，其单体内配电箱应设置浪涌保护装置；</w:t>
      </w:r>
    </w:p>
    <w:p w14:paraId="3047AF66">
      <w:pPr>
        <w:pStyle w:val="54"/>
        <w:spacing w:before="24" w:after="24"/>
      </w:pPr>
      <w:r>
        <w:t>（10）浪涌保护装置的设置：</w:t>
      </w:r>
    </w:p>
    <w:p w14:paraId="4920B4EB">
      <w:pPr>
        <w:pStyle w:val="54"/>
        <w:spacing w:before="24" w:after="24"/>
      </w:pPr>
      <w:r>
        <w:t>1）高压电源配电柜、变压器低压端、市电低压电源引入总箱处设置I级浪涌保护器；</w:t>
      </w:r>
    </w:p>
    <w:p w14:paraId="06C9858C">
      <w:pPr>
        <w:pStyle w:val="54"/>
        <w:spacing w:before="24" w:after="24"/>
      </w:pPr>
      <w:r>
        <w:t>2）线缆经过室外（埋地或架空）引入的配电箱均设置I级浪涌保护器；</w:t>
      </w:r>
    </w:p>
    <w:p w14:paraId="7C150E18">
      <w:pPr>
        <w:pStyle w:val="54"/>
        <w:spacing w:before="24" w:after="24"/>
      </w:pPr>
      <w:r>
        <w:t>3）屋顶（包括屋顶机房，电梯间）的配电箱均设置I级浪涌保护器；</w:t>
      </w:r>
    </w:p>
    <w:p w14:paraId="4ECA9E70">
      <w:pPr>
        <w:pStyle w:val="54"/>
        <w:spacing w:before="24" w:after="24"/>
      </w:pPr>
      <w:r>
        <w:t>4）所有地下室（线缆不经过室外）第一级配电箱设置Ⅱ级浪涌保护器；</w:t>
      </w:r>
    </w:p>
    <w:p w14:paraId="4E2D01EF">
      <w:pPr>
        <w:pStyle w:val="54"/>
        <w:spacing w:before="24" w:after="24"/>
      </w:pPr>
      <w:r>
        <w:t>5）所有单体从地下室进线（线缆不经过室外）第一级配电箱设置Ⅱ级浪涌保护器。</w:t>
      </w:r>
    </w:p>
    <w:p w14:paraId="2FB00019">
      <w:pPr>
        <w:pStyle w:val="54"/>
        <w:spacing w:before="24" w:after="24"/>
        <w:outlineLvl w:val="5"/>
      </w:pPr>
      <w:r>
        <w:t>2.其它要求</w:t>
      </w:r>
    </w:p>
    <w:p w14:paraId="0E00837F">
      <w:pPr>
        <w:pStyle w:val="54"/>
        <w:spacing w:before="24" w:after="24"/>
        <w:outlineLvl w:val="6"/>
      </w:pPr>
      <w:r>
        <w:t>（1）教育项目</w:t>
      </w:r>
    </w:p>
    <w:p w14:paraId="44C14C65">
      <w:pPr>
        <w:pStyle w:val="54"/>
        <w:spacing w:before="24" w:after="24"/>
      </w:pPr>
      <w:r>
        <w:t>1）除具有爆炸危险的实验楼外，教育建筑应划分为第二类或第三类防雷建筑物；</w:t>
      </w:r>
    </w:p>
    <w:p w14:paraId="469C8D71">
      <w:pPr>
        <w:pStyle w:val="54"/>
        <w:spacing w:before="24" w:after="24"/>
      </w:pPr>
      <w:r>
        <w:t>2）在雷电活动频繁或强雷区，可适当加强建筑物的防雷保护措施。第二类、第三类防雷建筑物均应采取防直击雷、防侧击雷和防雷电波侵入的措施；</w:t>
      </w:r>
    </w:p>
    <w:p w14:paraId="7EEAFE37">
      <w:pPr>
        <w:pStyle w:val="54"/>
        <w:spacing w:before="24" w:after="24"/>
      </w:pPr>
      <w:r>
        <w:t>3）应按需要设置功能接地、保护接地和防雷接地；</w:t>
      </w:r>
    </w:p>
    <w:p w14:paraId="18277FD7">
      <w:pPr>
        <w:pStyle w:val="54"/>
        <w:spacing w:before="24" w:after="24"/>
      </w:pPr>
      <w:r>
        <w:t>4）当建筑物内有变电所时，低压配电系统应采用TN-S系统；当宿舍、教学楼等规模及用电负荷较小的建筑物内无变电所时，低压配电系统宜采用TN-C-S系统或TT系统；当实验工艺设备有要求时，低压配电系统可采用IT系统；</w:t>
      </w:r>
    </w:p>
    <w:p w14:paraId="3E601853">
      <w:pPr>
        <w:pStyle w:val="54"/>
        <w:spacing w:before="24" w:after="24"/>
      </w:pPr>
      <w:r>
        <w:t>5）下列电气装置的外露可导电部分应作保护接地：电力配电设备装置、配电屏与控制屏的框架；室内、外配电装置的金属构架；电缆的金属外皮及电力电缆的金属保护导管、接线盒、终端盒；常用建筑电气设备的基础金属构架；</w:t>
      </w:r>
    </w:p>
    <w:p w14:paraId="0791EAFE">
      <w:pPr>
        <w:pStyle w:val="54"/>
        <w:spacing w:before="24" w:after="24"/>
      </w:pPr>
      <w:r>
        <w:t>6）共用接地装置的接地电阻值应按功能接地、保护接地和防雷接地中要求的最小值确定，共用接地装置的接地电阻值不应大于</w:t>
      </w:r>
      <w:r>
        <w:rPr>
          <w:rFonts w:eastAsia="MS Gothic"/>
        </w:rPr>
        <w:t>‌</w:t>
      </w:r>
      <w:r>
        <w:t>4Ω</w:t>
      </w:r>
      <w:r>
        <w:rPr>
          <w:rFonts w:eastAsia="MS Gothic"/>
        </w:rPr>
        <w:t>‌‌</w:t>
      </w:r>
      <w:r>
        <w:t>。</w:t>
      </w:r>
    </w:p>
    <w:p w14:paraId="03F0C6A7">
      <w:pPr>
        <w:pStyle w:val="54"/>
        <w:spacing w:before="24" w:after="24"/>
        <w:outlineLvl w:val="6"/>
        <w:rPr>
          <w:b/>
          <w:bCs/>
        </w:rPr>
      </w:pPr>
      <w:r>
        <w:t>（2）</w:t>
      </w:r>
      <w:r>
        <w:rPr>
          <w:b/>
          <w:bCs/>
        </w:rPr>
        <w:t>服务设施项目</w:t>
      </w:r>
    </w:p>
    <w:p w14:paraId="4701A6DF">
      <w:pPr>
        <w:pStyle w:val="54"/>
        <w:spacing w:before="24" w:after="24"/>
        <w:ind w:firstLine="562"/>
        <w:rPr>
          <w:b/>
          <w:bCs/>
        </w:rPr>
      </w:pPr>
      <w:r>
        <w:rPr>
          <w:b/>
          <w:bCs/>
        </w:rPr>
        <w:t>养老院建设项目：</w:t>
      </w:r>
    </w:p>
    <w:p w14:paraId="256B8750">
      <w:pPr>
        <w:pStyle w:val="54"/>
        <w:spacing w:before="24" w:after="24"/>
      </w:pPr>
      <w:r>
        <w:t>1）医疗服务用房和带洗浴设备的卫生间应做局部等电位联结；</w:t>
      </w:r>
    </w:p>
    <w:p w14:paraId="2932DAC9">
      <w:pPr>
        <w:pStyle w:val="54"/>
        <w:spacing w:before="24" w:after="24"/>
      </w:pPr>
      <w:r>
        <w:t>2）当采用Ⅰ类灯具时，灯具的外露可导电部分应可靠接地；</w:t>
      </w:r>
    </w:p>
    <w:p w14:paraId="1F0018E1">
      <w:pPr>
        <w:pStyle w:val="54"/>
        <w:spacing w:before="24" w:after="24"/>
      </w:pPr>
      <w:r>
        <w:t>3）医疗服务用房宜设防静电接地。</w:t>
      </w:r>
    </w:p>
    <w:p w14:paraId="61C72AA1">
      <w:pPr>
        <w:pStyle w:val="54"/>
        <w:spacing w:before="24" w:after="24"/>
        <w:ind w:firstLine="562"/>
        <w:outlineLvl w:val="6"/>
        <w:rPr>
          <w:b/>
          <w:bCs/>
        </w:rPr>
      </w:pPr>
      <w:r>
        <w:rPr>
          <w:b/>
          <w:bCs/>
        </w:rPr>
        <w:t>（3）市政基础设施项目</w:t>
      </w:r>
    </w:p>
    <w:p w14:paraId="30BB59DA">
      <w:pPr>
        <w:pStyle w:val="54"/>
        <w:spacing w:before="24" w:after="24"/>
        <w:ind w:firstLine="562"/>
        <w:rPr>
          <w:b/>
          <w:bCs/>
        </w:rPr>
      </w:pPr>
      <w:r>
        <w:rPr>
          <w:b/>
          <w:bCs/>
        </w:rPr>
        <w:t>市政道路及配套基础设施建设项目：</w:t>
      </w:r>
    </w:p>
    <w:p w14:paraId="1E72C13C">
      <w:pPr>
        <w:pStyle w:val="54"/>
        <w:spacing w:before="24" w:after="24"/>
      </w:pPr>
      <w:r>
        <w:t>1）金属灯杆及构件、灯具外壳、配电及控制箱等的外露可导电部分均应与保护导体相连接。接地应符合国家现行相关标准的规定。在满足接地电阻要求的情况下，应利用路灯基础钢筋等自然接地体；</w:t>
      </w:r>
    </w:p>
    <w:p w14:paraId="336BE7C0">
      <w:pPr>
        <w:pStyle w:val="54"/>
        <w:spacing w:before="24" w:after="24"/>
      </w:pPr>
      <w:r>
        <w:t>2）有条件时，间接接触防护亦可采用双重绝缘或加强绝缘的电气设备（Ⅱ类设备)。</w:t>
      </w:r>
    </w:p>
    <w:p w14:paraId="4DA67921">
      <w:pPr>
        <w:pStyle w:val="54"/>
        <w:spacing w:before="24" w:after="24"/>
        <w:ind w:firstLine="562"/>
        <w:rPr>
          <w:b/>
          <w:bCs/>
        </w:rPr>
      </w:pPr>
      <w:r>
        <w:rPr>
          <w:b/>
          <w:bCs/>
        </w:rPr>
        <w:t>滨江步行绿道建设项目：</w:t>
      </w:r>
    </w:p>
    <w:p w14:paraId="0681D2AA">
      <w:pPr>
        <w:pStyle w:val="54"/>
        <w:spacing w:before="24" w:after="24"/>
      </w:pPr>
      <w:r>
        <w:t>1）喷水池的结构钢筋、进出水池的金属管道及其他金属件、配电系统的PE线应做局部等电位连接；</w:t>
      </w:r>
    </w:p>
    <w:p w14:paraId="3D7B77E9">
      <w:pPr>
        <w:pStyle w:val="54"/>
        <w:spacing w:before="24" w:after="24"/>
      </w:pPr>
      <w:r>
        <w:t>2）室外配电装置的金属构架、金属外壳、电缆的金属外皮、穿线金属管、灯具的金属外壳及金属灯杆，应与接地装置相连（接PE线)。</w:t>
      </w:r>
    </w:p>
    <w:p w14:paraId="44B3E94E">
      <w:pPr>
        <w:pStyle w:val="54"/>
        <w:spacing w:before="24" w:after="24"/>
        <w:ind w:firstLine="562"/>
        <w:rPr>
          <w:b/>
          <w:bCs/>
        </w:rPr>
      </w:pPr>
      <w:r>
        <w:rPr>
          <w:b/>
          <w:bCs/>
        </w:rPr>
        <w:t>垃圾焚烧处理厂建设项目：</w:t>
      </w:r>
    </w:p>
    <w:p w14:paraId="450A3000">
      <w:pPr>
        <w:pStyle w:val="54"/>
        <w:numPr>
          <w:ilvl w:val="0"/>
          <w:numId w:val="9"/>
        </w:numPr>
        <w:spacing w:before="24" w:after="24"/>
      </w:pPr>
      <w:r>
        <w:t>电气装置的过电压保护设计应符合现行国家标准《交流电气装置的过电压保护和绝缘配合设计规范》GB/T 50064 的有关规定。通信系统的过电压保护设计应符合现行行业标淮《电力系统通信站过电压防护规程》DL/T 548 的有关规定；</w:t>
      </w:r>
    </w:p>
    <w:p w14:paraId="32E04199">
      <w:pPr>
        <w:pStyle w:val="54"/>
        <w:numPr>
          <w:ilvl w:val="0"/>
          <w:numId w:val="9"/>
        </w:numPr>
        <w:spacing w:before="24" w:after="24"/>
      </w:pPr>
      <w:r>
        <w:t>主要生产和辅助厂房建（构）筑物的过电压保护应符合现行国家标准《交流电气装置的过电压保护和绝缘配合设计规范》GB/T 50064 的有关规定；</w:t>
      </w:r>
    </w:p>
    <w:p w14:paraId="60415D00">
      <w:pPr>
        <w:pStyle w:val="54"/>
        <w:numPr>
          <w:ilvl w:val="0"/>
          <w:numId w:val="9"/>
        </w:numPr>
        <w:spacing w:before="24" w:after="24"/>
      </w:pPr>
      <w:r>
        <w:t>办公楼、食堂、宿舍楼等附属建（构）筑物防雷设计应符合现行国家标准《建筑物防雷设计规范》GB 50057 的有关规定；</w:t>
      </w:r>
    </w:p>
    <w:p w14:paraId="4699C1B6">
      <w:pPr>
        <w:pStyle w:val="54"/>
        <w:numPr>
          <w:ilvl w:val="0"/>
          <w:numId w:val="9"/>
        </w:numPr>
        <w:spacing w:before="24" w:after="24"/>
      </w:pPr>
      <w:r>
        <w:t>交流接地系统的设计应符合现行国家标准《交流电气装置的接地设计规范》GB /T 50065 的有关规定。</w:t>
      </w:r>
    </w:p>
    <w:p w14:paraId="13A92E80">
      <w:pPr>
        <w:pStyle w:val="54"/>
        <w:spacing w:before="24" w:after="24"/>
        <w:ind w:firstLine="562"/>
        <w:outlineLvl w:val="6"/>
        <w:rPr>
          <w:b/>
          <w:bCs/>
        </w:rPr>
      </w:pPr>
      <w:r>
        <w:rPr>
          <w:b/>
          <w:bCs/>
        </w:rPr>
        <w:t>（4）城市环境品质及历史文化保护项目</w:t>
      </w:r>
    </w:p>
    <w:p w14:paraId="5C698DA2">
      <w:pPr>
        <w:pStyle w:val="54"/>
        <w:spacing w:before="24" w:after="24"/>
      </w:pPr>
      <w:r>
        <w:t>1）喷水池的结构钢筋、进出水池的金属管道及其他金属件、配电系统的PE线应做局部等电位连接；</w:t>
      </w:r>
    </w:p>
    <w:p w14:paraId="586B7557">
      <w:pPr>
        <w:pStyle w:val="54"/>
        <w:spacing w:before="24" w:after="24"/>
      </w:pPr>
      <w:r>
        <w:t>2）室外配电装置的金属构架、金属外壳、电缆的金属外皮、穿线金属管、灯具的金属外壳及金属灯杆，应与接地装置相连（接PE线)。</w:t>
      </w:r>
    </w:p>
    <w:p w14:paraId="2D815D41">
      <w:pPr>
        <w:pStyle w:val="54"/>
        <w:spacing w:before="24" w:after="24"/>
        <w:ind w:firstLine="562"/>
        <w:outlineLvl w:val="6"/>
        <w:rPr>
          <w:b/>
          <w:bCs/>
        </w:rPr>
      </w:pPr>
      <w:r>
        <w:rPr>
          <w:b/>
          <w:bCs/>
        </w:rPr>
        <w:t>（5）文教体卫项目</w:t>
      </w:r>
    </w:p>
    <w:p w14:paraId="56E34780">
      <w:pPr>
        <w:pStyle w:val="54"/>
        <w:spacing w:before="24" w:after="24"/>
      </w:pPr>
      <w:r>
        <w:t>档案馆建筑防雷设计应符合《建筑物防雷设计规范》GB 50057的规定，且特级、甲级档案馆应为第二类防雷建筑物，乙级档案馆应为第三类防雷建筑物。</w:t>
      </w:r>
    </w:p>
    <w:p w14:paraId="683ADEE0">
      <w:pPr>
        <w:pStyle w:val="54"/>
        <w:spacing w:before="24" w:after="24"/>
        <w:ind w:firstLine="562"/>
        <w:outlineLvl w:val="6"/>
        <w:rPr>
          <w:b/>
          <w:bCs/>
        </w:rPr>
      </w:pPr>
      <w:r>
        <w:rPr>
          <w:b/>
          <w:bCs/>
        </w:rPr>
        <w:t>（6）应急防灾项目</w:t>
      </w:r>
    </w:p>
    <w:p w14:paraId="35852E5D">
      <w:pPr>
        <w:pStyle w:val="54"/>
        <w:spacing w:before="24" w:after="24"/>
      </w:pPr>
      <w:r>
        <w:t>防雷设计应符合《建筑物防雷设计规范》GB 50057的规定。</w:t>
      </w:r>
    </w:p>
    <w:p w14:paraId="51506A58">
      <w:pPr>
        <w:pStyle w:val="54"/>
        <w:spacing w:before="24" w:after="24"/>
        <w:ind w:firstLine="562"/>
        <w:outlineLvl w:val="6"/>
        <w:rPr>
          <w:b/>
          <w:bCs/>
        </w:rPr>
      </w:pPr>
      <w:r>
        <w:rPr>
          <w:b/>
          <w:bCs/>
        </w:rPr>
        <w:t>（7）机关单位办公用房及配套设施项目</w:t>
      </w:r>
    </w:p>
    <w:p w14:paraId="150C9387">
      <w:pPr>
        <w:pStyle w:val="54"/>
        <w:spacing w:before="24" w:after="24"/>
      </w:pPr>
      <w:r>
        <w:t>防雷设计应符合《建筑物防雷设计规范》GB 50057的规定。</w:t>
      </w:r>
    </w:p>
    <w:p w14:paraId="1E84688E">
      <w:pPr>
        <w:pStyle w:val="54"/>
        <w:spacing w:before="24" w:after="24"/>
        <w:outlineLvl w:val="4"/>
      </w:pPr>
      <w:r>
        <w:t>7.4.10建筑机电工程抗震设计</w:t>
      </w:r>
    </w:p>
    <w:p w14:paraId="58ABC023">
      <w:pPr>
        <w:pStyle w:val="54"/>
        <w:spacing w:before="24" w:after="24"/>
      </w:pPr>
      <w:r>
        <w:t>1.柴油发电机安装的抗震设计</w:t>
      </w:r>
    </w:p>
    <w:p w14:paraId="4FF6F387">
      <w:pPr>
        <w:pStyle w:val="54"/>
        <w:spacing w:before="24" w:after="24"/>
      </w:pPr>
      <w:r>
        <w:t>使用减震器，安装时，柴油发电机通过减震器用地脚螺栓紧固在混凝土上；柴油发电机排烟管使用波纹减震管连接；与排气管、燃油进油管、回油管、插接母线等的连接采用柔性连接。</w:t>
      </w:r>
    </w:p>
    <w:p w14:paraId="4FE962B3">
      <w:pPr>
        <w:pStyle w:val="54"/>
        <w:spacing w:before="24" w:after="24"/>
      </w:pPr>
      <w:r>
        <w:t>2.变压器安装的抗震设计</w:t>
      </w:r>
    </w:p>
    <w:p w14:paraId="477C5301">
      <w:pPr>
        <w:pStyle w:val="54"/>
        <w:spacing w:before="24" w:after="24"/>
      </w:pPr>
      <w:r>
        <w:t>变压器安装就位后应焊接牢固，内部线圈应牢固固定在变压器外壳内的支承结构上；变压器的支承面适当加宽，并设置防止其移动和倾倒的限位器；对接入、接出的柔性导体留有位移空间。</w:t>
      </w:r>
    </w:p>
    <w:p w14:paraId="07892F60">
      <w:pPr>
        <w:pStyle w:val="54"/>
        <w:spacing w:before="24" w:after="24"/>
      </w:pPr>
      <w:r>
        <w:t>3.配电箱（柜）安装的抗震设计</w:t>
      </w:r>
    </w:p>
    <w:p w14:paraId="34EB1978">
      <w:pPr>
        <w:pStyle w:val="54"/>
        <w:spacing w:before="24" w:after="24"/>
      </w:pPr>
      <w:r>
        <w:t>变电所内高、低压配电柜均非靠墙、落地安装，根部采用焊接固定方式。柜面上的仪表应与柜体组装牢固；电井内的配电箱均采用壁式明装，配电箱与墙壁之间采用金属膨胀螺栓进行连接；办公室内的配电箱采用嵌墙暗装，配电箱与墙壁间采用金属膨胀螺栓进行连接；配电箱、柜接线处做防震处理。</w:t>
      </w:r>
    </w:p>
    <w:p w14:paraId="3A3CCEC9">
      <w:pPr>
        <w:pStyle w:val="54"/>
        <w:spacing w:before="24" w:after="24"/>
      </w:pPr>
      <w:r>
        <w:t>4.电梯安装的抗震设计</w:t>
      </w:r>
    </w:p>
    <w:p w14:paraId="49D5C5B8">
      <w:pPr>
        <w:pStyle w:val="54"/>
        <w:spacing w:before="24" w:after="24"/>
      </w:pPr>
      <w:r>
        <w:t>电梯和相关机械、控制器的连接、支承应满足水平地震作用及地震相对位移的要求。</w:t>
      </w:r>
    </w:p>
    <w:p w14:paraId="290EEF60">
      <w:pPr>
        <w:pStyle w:val="54"/>
        <w:spacing w:before="24" w:after="24"/>
      </w:pPr>
      <w:r>
        <w:t>5.电气管线的抗震设计</w:t>
      </w:r>
    </w:p>
    <w:p w14:paraId="3D01ECF3">
      <w:pPr>
        <w:pStyle w:val="54"/>
        <w:spacing w:before="24" w:after="24"/>
      </w:pPr>
      <w:r>
        <w:t>设防烈度6度及6度以上地区的建筑机电工程设施必须进行设计。包括重力超过18KN的设备，内径大于等于DN60mm的电气管线；15Kg/m或以上的电缆桥架、电缆梯架、电缆线盒、母线槽都应设置抗震支吊架。封闭母线、电气配管伸缩节安装、电气导管、电缆桥架、电气槽盒、母线等支架安装、电缆桥架穿洞的柔性封堵要求等应符合《建筑机电工程抗震设计规范》GB50981-2014第7.1~7.5条。</w:t>
      </w:r>
    </w:p>
    <w:p w14:paraId="0DEBED2A">
      <w:pPr>
        <w:pStyle w:val="66"/>
        <w:rPr>
          <w:rFonts w:cs="Times New Roman"/>
        </w:rPr>
      </w:pPr>
      <w:r>
        <w:rPr>
          <w:rFonts w:cs="Times New Roman"/>
        </w:rPr>
        <w:t>7.5 弱电部分</w:t>
      </w:r>
    </w:p>
    <w:p w14:paraId="2EF6114B">
      <w:pPr>
        <w:pStyle w:val="54"/>
        <w:spacing w:before="24" w:after="24"/>
        <w:outlineLvl w:val="4"/>
      </w:pPr>
      <w:r>
        <w:t>7.5.1建筑智能化系统配置表</w:t>
      </w:r>
    </w:p>
    <w:p w14:paraId="31022418">
      <w:pPr>
        <w:pStyle w:val="54"/>
        <w:spacing w:before="24" w:after="24"/>
        <w:ind w:firstLine="562"/>
        <w:outlineLvl w:val="5"/>
        <w:rPr>
          <w:b/>
          <w:bCs/>
        </w:rPr>
      </w:pPr>
      <w:r>
        <w:rPr>
          <w:b/>
          <w:bCs/>
        </w:rPr>
        <w:t>（1）教育项目</w:t>
      </w:r>
    </w:p>
    <w:p w14:paraId="3A2F68E3">
      <w:pPr>
        <w:pStyle w:val="54"/>
        <w:spacing w:before="24" w:after="24"/>
      </w:pPr>
      <w:r>
        <w:t>智能化系统应按《智能建筑设计标准》GB 50314-2015表12.4.1的规定配置，并应符合现行行业标准《教育建筑电气设计规范》JGJ 310-2013的有关规定。</w:t>
      </w:r>
    </w:p>
    <w:p w14:paraId="47D7A0D5">
      <w:pPr>
        <w:pStyle w:val="54"/>
        <w:spacing w:before="24" w:after="24"/>
        <w:outlineLvl w:val="5"/>
        <w:rPr>
          <w:b/>
          <w:bCs/>
        </w:rPr>
      </w:pPr>
      <w:r>
        <w:t>（2）</w:t>
      </w:r>
      <w:r>
        <w:rPr>
          <w:b/>
          <w:bCs/>
        </w:rPr>
        <w:t>生活圈服务设施项目</w:t>
      </w:r>
    </w:p>
    <w:p w14:paraId="3641F973">
      <w:pPr>
        <w:pStyle w:val="54"/>
        <w:spacing w:before="24" w:after="24"/>
        <w:ind w:firstLine="562"/>
        <w:rPr>
          <w:b/>
          <w:bCs/>
        </w:rPr>
      </w:pPr>
      <w:r>
        <w:rPr>
          <w:b/>
          <w:bCs/>
        </w:rPr>
        <w:t>养老院建设项目：</w:t>
      </w:r>
    </w:p>
    <w:p w14:paraId="1C0B841A">
      <w:pPr>
        <w:pStyle w:val="54"/>
        <w:spacing w:before="24" w:after="24"/>
      </w:pPr>
      <w:r>
        <w:t>智能化系统应按《智能建筑设计标准》GB 50314-2015的规定配置，并应符合现行行业标准《老年人照料设施建筑设计标准》JGJ 450-2018的有关规定。</w:t>
      </w:r>
    </w:p>
    <w:p w14:paraId="00D78C53">
      <w:pPr>
        <w:pStyle w:val="54"/>
        <w:spacing w:before="24" w:after="24"/>
        <w:ind w:firstLine="562"/>
        <w:rPr>
          <w:b/>
          <w:bCs/>
        </w:rPr>
      </w:pPr>
      <w:r>
        <w:rPr>
          <w:b/>
          <w:bCs/>
        </w:rPr>
        <w:t>综合服务中心建设项目：</w:t>
      </w:r>
    </w:p>
    <w:p w14:paraId="682F0C70">
      <w:pPr>
        <w:pStyle w:val="54"/>
        <w:spacing w:before="24" w:after="24"/>
      </w:pPr>
      <w:r>
        <w:t>智能化系统应按《智能建筑设计标准》GB 50314-2015表6.2.1的规定配置，并应符合现行行业标准《办公建筑设计标准》JGJ／T 67-2019的有关规定。</w:t>
      </w:r>
    </w:p>
    <w:p w14:paraId="6FFD1F0B">
      <w:pPr>
        <w:pStyle w:val="54"/>
        <w:numPr>
          <w:ilvl w:val="0"/>
          <w:numId w:val="10"/>
        </w:numPr>
        <w:spacing w:before="24" w:after="24"/>
        <w:ind w:firstLine="562"/>
        <w:outlineLvl w:val="5"/>
        <w:rPr>
          <w:b/>
          <w:bCs/>
        </w:rPr>
      </w:pPr>
      <w:r>
        <w:rPr>
          <w:b/>
          <w:bCs/>
        </w:rPr>
        <w:t>市政基础设施项目</w:t>
      </w:r>
    </w:p>
    <w:p w14:paraId="5C9CE60D">
      <w:pPr>
        <w:pStyle w:val="54"/>
        <w:spacing w:before="24" w:after="24"/>
        <w:ind w:firstLine="562"/>
        <w:rPr>
          <w:b/>
          <w:bCs/>
        </w:rPr>
      </w:pPr>
      <w:r>
        <w:rPr>
          <w:b/>
          <w:bCs/>
        </w:rPr>
        <w:t>垃圾焚烧处理厂建设项目:</w:t>
      </w:r>
    </w:p>
    <w:p w14:paraId="0A3260B6">
      <w:pPr>
        <w:pStyle w:val="54"/>
        <w:spacing w:before="24" w:after="24"/>
      </w:pPr>
      <w:r>
        <w:t>工业建筑智能化系统应按《智能建筑设计标准》GB 50314-2015表18．0．2的规定配置。</w:t>
      </w:r>
    </w:p>
    <w:p w14:paraId="49B4CD61">
      <w:pPr>
        <w:pStyle w:val="54"/>
        <w:spacing w:before="24" w:after="24"/>
        <w:ind w:firstLine="562"/>
        <w:outlineLvl w:val="5"/>
        <w:rPr>
          <w:b/>
          <w:bCs/>
        </w:rPr>
      </w:pPr>
      <w:r>
        <w:rPr>
          <w:b/>
          <w:bCs/>
        </w:rPr>
        <w:t>（4）城市环境品质及历史文化保护项目</w:t>
      </w:r>
    </w:p>
    <w:p w14:paraId="3837E2F9">
      <w:pPr>
        <w:pStyle w:val="54"/>
        <w:spacing w:before="24" w:after="24"/>
      </w:pPr>
      <w:r>
        <w:t>智能化系统应按《智能建筑设计标准》GB 50314-2015的规定配置，并应符合行业标准《城市绿地设计规范》GB 50420-2007（2016年版）的有关规定。</w:t>
      </w:r>
    </w:p>
    <w:p w14:paraId="530B310A">
      <w:pPr>
        <w:pStyle w:val="54"/>
        <w:spacing w:before="24" w:after="24"/>
        <w:ind w:firstLine="562"/>
        <w:outlineLvl w:val="5"/>
      </w:pPr>
      <w:r>
        <w:rPr>
          <w:b/>
          <w:bCs/>
        </w:rPr>
        <w:t>（5）文教体卫项目</w:t>
      </w:r>
    </w:p>
    <w:p w14:paraId="6F652A84">
      <w:pPr>
        <w:pStyle w:val="54"/>
        <w:spacing w:before="24" w:after="24"/>
      </w:pPr>
      <w:r>
        <w:t>智能化系统应按《智能建筑设计标准》GB 50314-2015表8.3.1的规定配置，并应符合《档案馆建筑设计规范》JGJ 25-2010和《办公建筑设计标准》JGJ／T 67-2019的有关规定。</w:t>
      </w:r>
    </w:p>
    <w:p w14:paraId="171CFAA6">
      <w:pPr>
        <w:pStyle w:val="54"/>
        <w:spacing w:before="24" w:after="24"/>
        <w:ind w:firstLine="562"/>
        <w:outlineLvl w:val="5"/>
      </w:pPr>
      <w:r>
        <w:rPr>
          <w:b/>
          <w:bCs/>
        </w:rPr>
        <w:t>（6）应急防灾项目</w:t>
      </w:r>
    </w:p>
    <w:p w14:paraId="4DC86CF9">
      <w:pPr>
        <w:pStyle w:val="54"/>
        <w:spacing w:before="24" w:after="24"/>
      </w:pPr>
      <w:r>
        <w:t>智能化系统应按《智能建筑设计标准》GB 50314-2015表18.0.2的规定配置，并应符合《高标准粮仓建设标准》LS/T8014--2023、《仓库建筑设计规范》JGJ/T68-2019和《城市消防救援站设计规范》GB51054-2014的有关规定。</w:t>
      </w:r>
    </w:p>
    <w:p w14:paraId="1D096EEA">
      <w:pPr>
        <w:pStyle w:val="54"/>
        <w:spacing w:before="24" w:after="24"/>
        <w:ind w:firstLine="562"/>
        <w:outlineLvl w:val="5"/>
        <w:rPr>
          <w:b/>
          <w:bCs/>
        </w:rPr>
      </w:pPr>
      <w:r>
        <w:rPr>
          <w:b/>
          <w:bCs/>
        </w:rPr>
        <w:t>（7）机关单位办公用房及配套设施项目</w:t>
      </w:r>
    </w:p>
    <w:p w14:paraId="0DF0D46A">
      <w:pPr>
        <w:pStyle w:val="54"/>
        <w:spacing w:before="24" w:after="24"/>
      </w:pPr>
      <w:r>
        <w:t>智能化系统应按《智能建筑设计标准》GB 50314-2015表8.3.1的规定配置，并应符合《办公建筑设计标准》JGJ／T 67-2019的有关规定。</w:t>
      </w:r>
    </w:p>
    <w:p w14:paraId="6B118BF8">
      <w:pPr>
        <w:pStyle w:val="54"/>
        <w:spacing w:before="24" w:after="24"/>
        <w:outlineLvl w:val="4"/>
      </w:pPr>
      <w:r>
        <w:t>7.5.2弱电机房设置要求</w:t>
      </w:r>
    </w:p>
    <w:p w14:paraId="1B33A268">
      <w:pPr>
        <w:pStyle w:val="54"/>
        <w:spacing w:before="24" w:after="24"/>
      </w:pPr>
      <w:r>
        <w:t>智能化系统机房包括信息接入机房、有线电视前端机房、信息设施系统总配线机房、智能化总控室、信息网络机房、用户电话交换机房、消防控制室、安防监控中心、应急响应中心和智能化设备间（弱电间、电信间）等，并可根据工程具体情况独立配置或组合配置，具体详本发包人要求7.5.1条。各项目弱电机房设置应满足以下要求：</w:t>
      </w:r>
    </w:p>
    <w:p w14:paraId="26EA2642">
      <w:pPr>
        <w:pStyle w:val="54"/>
        <w:spacing w:before="24" w:after="24"/>
      </w:pPr>
      <w:r>
        <w:t>（1）弱电机房不应设在水泵房、厨房、卫生间、浴室等潮湿、经常积水场所的正下方或贴邻，也不得设于消防水池等正上方；</w:t>
      </w:r>
    </w:p>
    <w:p w14:paraId="7FCA6779">
      <w:pPr>
        <w:pStyle w:val="54"/>
        <w:spacing w:before="24" w:after="24"/>
      </w:pPr>
      <w:r>
        <w:t>（2）应远离强电磁干扰场所，不应设置在变配电室、发电机房的上、下或贴邻，不允许与其无关的水管、风管、电缆等各种管线穿过；</w:t>
      </w:r>
    </w:p>
    <w:p w14:paraId="12F08153">
      <w:pPr>
        <w:pStyle w:val="54"/>
        <w:spacing w:before="24" w:after="24"/>
      </w:pPr>
      <w:r>
        <w:t>（3）弱电机房宜选取在整个地块的较中心位置；</w:t>
      </w:r>
    </w:p>
    <w:p w14:paraId="2F9E0413">
      <w:pPr>
        <w:pStyle w:val="54"/>
        <w:spacing w:before="24" w:after="24"/>
      </w:pPr>
      <w:r>
        <w:t>（4）弱电机房的净空高度不低于2.5米，标高不低于室外地坪，做挡水门槛；</w:t>
      </w:r>
    </w:p>
    <w:p w14:paraId="5C0F2C36">
      <w:pPr>
        <w:pStyle w:val="54"/>
        <w:spacing w:before="24" w:after="24"/>
      </w:pPr>
      <w:r>
        <w:t>（5）弱电机房总面积20-30㎡，每地块至少考虑一处弱电机房；</w:t>
      </w:r>
    </w:p>
    <w:p w14:paraId="4D1FEF41">
      <w:pPr>
        <w:pStyle w:val="54"/>
        <w:spacing w:before="24" w:after="24"/>
      </w:pPr>
      <w:r>
        <w:t>（6）设备间门至少为高2.1m、宽0.9m；</w:t>
      </w:r>
    </w:p>
    <w:p w14:paraId="5D2A7012">
      <w:pPr>
        <w:pStyle w:val="54"/>
        <w:spacing w:before="24" w:after="24"/>
      </w:pPr>
      <w:r>
        <w:t>（7）安防控制室一般与消防控制室合用，设置要求详见本发包人要求7.6.1条消防部分。</w:t>
      </w:r>
    </w:p>
    <w:p w14:paraId="401A4C1D">
      <w:pPr>
        <w:pStyle w:val="54"/>
        <w:spacing w:before="24" w:after="24"/>
        <w:outlineLvl w:val="4"/>
      </w:pPr>
      <w:r>
        <w:t>7.5.3弱电智能化设计</w:t>
      </w:r>
    </w:p>
    <w:p w14:paraId="4BE6CBC0">
      <w:pPr>
        <w:pStyle w:val="54"/>
        <w:spacing w:before="24" w:after="24"/>
        <w:outlineLvl w:val="5"/>
      </w:pPr>
      <w:r>
        <w:t>（1）教育项目</w:t>
      </w:r>
    </w:p>
    <w:p w14:paraId="70236F12">
      <w:pPr>
        <w:pStyle w:val="54"/>
        <w:spacing w:before="24" w:after="24"/>
      </w:pPr>
      <w:r>
        <w:t>1）校园信息设施系统应具有对学校各类信息进行接收、交换、传输、存储、检索和显示等功能；</w:t>
      </w:r>
    </w:p>
    <w:p w14:paraId="1A68FC14">
      <w:pPr>
        <w:pStyle w:val="54"/>
        <w:spacing w:before="24" w:after="24"/>
      </w:pPr>
      <w:r>
        <w:t>2）校园信息设施系统由通信系统、信息网络系统、综合布线系统、有线电视及卫星电视接收系统、广播系统、信息导引及发布系统等子系统组成；</w:t>
      </w:r>
    </w:p>
    <w:p w14:paraId="489B4C87">
      <w:pPr>
        <w:pStyle w:val="54"/>
        <w:spacing w:before="24" w:after="24"/>
      </w:pPr>
      <w:r>
        <w:t>3）校园信息设施系统应根据教育建筑的规模和功能需求，按现行国家标准《智能建筑设计标准》GB/T 50314-2015，12.4.1条关于学校建筑智能化系统的配置规定进行配置；</w:t>
      </w:r>
    </w:p>
    <w:p w14:paraId="08D3B8E7">
      <w:pPr>
        <w:pStyle w:val="54"/>
        <w:spacing w:before="24" w:after="24"/>
      </w:pPr>
      <w:r>
        <w:t>4）校园信息化系统机房的分级标准、设备性能要求、系统配置、建筑环境要求应符合现行国家标准《电子信息系统机房设计规范》GB 50174-2008的规定；</w:t>
      </w:r>
    </w:p>
    <w:p w14:paraId="3D6931F0">
      <w:pPr>
        <w:pStyle w:val="54"/>
        <w:spacing w:before="24" w:after="24"/>
      </w:pPr>
      <w:r>
        <w:t>5）校园信息化应用系统宜包括信息化应用管理系统、数字化图书馆系统、学校门户网站、校园智能卡应用系统、校园网络安全管理系统等子系统；</w:t>
      </w:r>
    </w:p>
    <w:p w14:paraId="07AD8AA0">
      <w:pPr>
        <w:pStyle w:val="54"/>
        <w:spacing w:before="24" w:after="24"/>
      </w:pPr>
      <w:r>
        <w:t>6）校园信息化应用系统应按现行国家标准《智能建筑设计标准》GB/T 50314-2015，12.4.1条关于学校建筑智能化系统的配置规定进行设计；</w:t>
      </w:r>
    </w:p>
    <w:p w14:paraId="27ABC5B6">
      <w:pPr>
        <w:pStyle w:val="54"/>
        <w:spacing w:before="24" w:after="24"/>
      </w:pPr>
      <w:r>
        <w:t>7）校园公共安全系统应根据学校的规模、建筑物的使用功能、公共安全管理要求及建设标准进行设计，并应安全可靠、技术先进、经济合理、管理维护方便；</w:t>
      </w:r>
    </w:p>
    <w:p w14:paraId="03CCA9B1">
      <w:pPr>
        <w:pStyle w:val="54"/>
        <w:spacing w:before="24" w:after="24"/>
      </w:pPr>
      <w:r>
        <w:t>8）校园公共安全系统包括火灾自动报警系统、安全技术防范系统和应急响应系统等。安全技术防范系统设计应按现行国家标准《智能建筑设计标准》GB/T 50314-2015，12.4.1条关于学校建筑智能化系统的配置规定，选择配置相关的系统；</w:t>
      </w:r>
    </w:p>
    <w:p w14:paraId="5D96A538">
      <w:pPr>
        <w:pStyle w:val="54"/>
        <w:spacing w:before="24" w:after="24"/>
      </w:pPr>
      <w:r>
        <w:t>9）当校园设有应急响应系统时，将火灾自动报警系统及安全技术防范系统纳入应急响应系统统一管理。</w:t>
      </w:r>
    </w:p>
    <w:p w14:paraId="774D3ED7">
      <w:pPr>
        <w:pStyle w:val="54"/>
        <w:spacing w:before="24" w:after="24"/>
        <w:outlineLvl w:val="5"/>
        <w:rPr>
          <w:b/>
          <w:bCs/>
        </w:rPr>
      </w:pPr>
      <w:r>
        <w:t>（2）</w:t>
      </w:r>
      <w:r>
        <w:rPr>
          <w:b/>
          <w:bCs/>
        </w:rPr>
        <w:t>生活圈服务设施项目</w:t>
      </w:r>
    </w:p>
    <w:p w14:paraId="6970B4B7">
      <w:pPr>
        <w:pStyle w:val="54"/>
        <w:spacing w:before="24" w:after="24"/>
        <w:ind w:firstLine="562"/>
        <w:rPr>
          <w:b/>
          <w:bCs/>
        </w:rPr>
      </w:pPr>
      <w:r>
        <w:rPr>
          <w:b/>
          <w:bCs/>
        </w:rPr>
        <w:t>养老院建设项目：</w:t>
      </w:r>
    </w:p>
    <w:p w14:paraId="23D1BF00">
      <w:pPr>
        <w:pStyle w:val="54"/>
        <w:spacing w:before="24" w:after="24"/>
      </w:pPr>
      <w:r>
        <w:t>1）信息设施系统应符合下列规定：</w:t>
      </w:r>
    </w:p>
    <w:p w14:paraId="409939C4">
      <w:pPr>
        <w:pStyle w:val="54"/>
        <w:spacing w:before="24" w:after="24"/>
      </w:pPr>
      <w:r>
        <w:rPr>
          <w:rFonts w:ascii="Cambria Math" w:hAnsi="Cambria Math" w:cs="Cambria Math"/>
        </w:rPr>
        <w:t>①</w:t>
      </w:r>
      <w:r>
        <w:t>应配置有线电视、电话、信息网络等信息设施系统；</w:t>
      </w:r>
    </w:p>
    <w:p w14:paraId="5149FB14">
      <w:pPr>
        <w:pStyle w:val="54"/>
        <w:spacing w:before="24" w:after="24"/>
      </w:pPr>
      <w:r>
        <w:rPr>
          <w:rFonts w:ascii="Cambria Math" w:hAnsi="Cambria Math" w:cs="Cambria Math"/>
        </w:rPr>
        <w:t>②</w:t>
      </w:r>
      <w:r>
        <w:t>老年人居室、单元起居厅和餐厅、文娱与健身用房、康复与医疗用房应设有线电视、电话及信息网络插座；</w:t>
      </w:r>
    </w:p>
    <w:p w14:paraId="1E32172B">
      <w:pPr>
        <w:pStyle w:val="54"/>
        <w:spacing w:before="24" w:after="24"/>
      </w:pPr>
      <w:r>
        <w:rPr>
          <w:rFonts w:ascii="Cambria Math" w:hAnsi="Cambria Math" w:cs="Cambria Math"/>
        </w:rPr>
        <w:t>③</w:t>
      </w:r>
      <w:r>
        <w:t>宜设无线局域网络全覆盖设施。</w:t>
      </w:r>
    </w:p>
    <w:p w14:paraId="02AF8B7D">
      <w:pPr>
        <w:pStyle w:val="54"/>
        <w:spacing w:before="24" w:after="24"/>
      </w:pPr>
      <w:r>
        <w:t>2）公共安全系统应符合下列规定：</w:t>
      </w:r>
    </w:p>
    <w:p w14:paraId="2386FD19">
      <w:pPr>
        <w:pStyle w:val="54"/>
        <w:spacing w:before="24" w:after="24"/>
      </w:pPr>
      <w:r>
        <w:rPr>
          <w:rFonts w:ascii="Cambria Math" w:hAnsi="Cambria Math" w:cs="Cambria Math"/>
        </w:rPr>
        <w:t>①</w:t>
      </w:r>
      <w:r>
        <w:t>建筑内以及室外活动场所（地)应设视频安防监控系统。各出入口、走廊，单元起居厅、餐厅，文娱与健身用房，各楼层的电梯厅、楼梯间，电梯轿厢等场所应设安全监控设施；</w:t>
      </w:r>
    </w:p>
    <w:p w14:paraId="0CA874E4">
      <w:pPr>
        <w:pStyle w:val="54"/>
        <w:spacing w:before="24" w:after="24"/>
      </w:pPr>
      <w:r>
        <w:rPr>
          <w:rFonts w:ascii="Cambria Math" w:hAnsi="Cambria Math" w:cs="Cambria Math"/>
        </w:rPr>
        <w:t>②</w:t>
      </w:r>
      <w:r>
        <w:t>建筑首层宜设入侵报警装置；</w:t>
      </w:r>
    </w:p>
    <w:p w14:paraId="3598F9EA">
      <w:pPr>
        <w:pStyle w:val="54"/>
        <w:spacing w:before="24" w:after="24"/>
      </w:pPr>
      <w:r>
        <w:rPr>
          <w:rFonts w:ascii="Cambria Math" w:hAnsi="Cambria Math" w:cs="Cambria Math"/>
        </w:rPr>
        <w:t>③</w:t>
      </w:r>
      <w:r>
        <w:t>老年人居室、单元起居室、餐厅、卫生间、浴室、盥洗室、文娱与健身用房，康复与医疗用房均应设紧急呼叫装置，且应保障老年人方便触及。紧急呼叫信号应能传输至相应护理站或值班室。呼叫信号装置应使用50V及以下安全特低电压；</w:t>
      </w:r>
    </w:p>
    <w:p w14:paraId="48B84A7E">
      <w:pPr>
        <w:pStyle w:val="54"/>
        <w:spacing w:before="24" w:after="24"/>
      </w:pPr>
      <w:r>
        <w:rPr>
          <w:rFonts w:ascii="Cambria Math" w:hAnsi="Cambria Math" w:eastAsia="PingFang SC" w:cs="Cambria Math"/>
        </w:rPr>
        <w:t>④</w:t>
      </w:r>
      <w:r>
        <w:t>失智老年人的照料单元宜设门禁系统。</w:t>
      </w:r>
    </w:p>
    <w:p w14:paraId="610E9E5C">
      <w:pPr>
        <w:pStyle w:val="54"/>
        <w:numPr>
          <w:ilvl w:val="0"/>
          <w:numId w:val="8"/>
        </w:numPr>
        <w:spacing w:before="24" w:after="24"/>
      </w:pPr>
      <w:r>
        <w:t>老年人居室、单元起居室、餐厅、卫生间、浴室、盥洗室、文娱与健身用房，以及康复与医疗用房宜设温度监测及调控系统，并宜在各用房内单独调控。</w:t>
      </w:r>
    </w:p>
    <w:p w14:paraId="08DE206B">
      <w:pPr>
        <w:pStyle w:val="54"/>
        <w:numPr>
          <w:ilvl w:val="0"/>
          <w:numId w:val="8"/>
        </w:numPr>
        <w:spacing w:before="24" w:after="24"/>
      </w:pPr>
      <w:r>
        <w:t>照护及健康管理平台应符合下列规定：</w:t>
      </w:r>
    </w:p>
    <w:p w14:paraId="4C8E590D">
      <w:pPr>
        <w:pStyle w:val="54"/>
        <w:spacing w:before="24" w:after="24"/>
      </w:pPr>
      <w:r>
        <w:rPr>
          <w:rFonts w:ascii="Cambria Math" w:hAnsi="Cambria Math" w:cs="Cambria Math"/>
        </w:rPr>
        <w:t>①</w:t>
      </w:r>
      <w:r>
        <w:t>宜设照护及健康管理平台，对照护人群的健康数据进行采集、分析和管理；</w:t>
      </w:r>
    </w:p>
    <w:p w14:paraId="0BFB19B3">
      <w:pPr>
        <w:pStyle w:val="54"/>
        <w:spacing w:before="24" w:after="24"/>
      </w:pPr>
      <w:r>
        <w:rPr>
          <w:rFonts w:ascii="Cambria Math" w:hAnsi="Cambria Math" w:cs="Cambria Math"/>
        </w:rPr>
        <w:t>②</w:t>
      </w:r>
      <w:r>
        <w:t>建筑内以及室外活动场所（地)宜设活动监护及无线定位报警系统；</w:t>
      </w:r>
    </w:p>
    <w:p w14:paraId="3B159090">
      <w:pPr>
        <w:pStyle w:val="54"/>
        <w:spacing w:before="24" w:after="24"/>
      </w:pPr>
      <w:r>
        <w:rPr>
          <w:rFonts w:ascii="Cambria Math" w:hAnsi="Cambria Math" w:cs="Cambria Math"/>
        </w:rPr>
        <w:t>③</w:t>
      </w:r>
      <w:r>
        <w:t>特殊照料人群（如失智老人)空间应设防走失装置；</w:t>
      </w:r>
    </w:p>
    <w:p w14:paraId="4557C86B">
      <w:pPr>
        <w:pStyle w:val="54"/>
        <w:spacing w:before="24" w:after="24"/>
      </w:pPr>
      <w:r>
        <w:rPr>
          <w:rFonts w:ascii="Cambria Math" w:hAnsi="Cambria Math" w:eastAsia="PingFang SC" w:cs="Cambria Math"/>
        </w:rPr>
        <w:t>④</w:t>
      </w:r>
      <w:r>
        <w:t>宜设照料人群与家人间信息及时传递措施。</w:t>
      </w:r>
    </w:p>
    <w:p w14:paraId="53B07E1F">
      <w:pPr>
        <w:pStyle w:val="54"/>
        <w:spacing w:before="24" w:after="24"/>
        <w:ind w:firstLine="562"/>
        <w:outlineLvl w:val="5"/>
        <w:rPr>
          <w:b/>
          <w:bCs/>
        </w:rPr>
      </w:pPr>
      <w:r>
        <w:rPr>
          <w:b/>
          <w:bCs/>
        </w:rPr>
        <w:t>（3）市政基础设施项目</w:t>
      </w:r>
    </w:p>
    <w:p w14:paraId="34E34F84">
      <w:pPr>
        <w:pStyle w:val="54"/>
        <w:spacing w:before="24" w:after="24"/>
        <w:ind w:firstLine="562"/>
        <w:rPr>
          <w:b/>
          <w:bCs/>
        </w:rPr>
      </w:pPr>
      <w:r>
        <w:rPr>
          <w:b/>
          <w:bCs/>
        </w:rPr>
        <w:t>垃圾焚烧处理厂建设项目:</w:t>
      </w:r>
    </w:p>
    <w:p w14:paraId="0F6E5625">
      <w:pPr>
        <w:pStyle w:val="54"/>
        <w:spacing w:before="24" w:after="24"/>
      </w:pPr>
      <w:r>
        <w:t>智能化系统满足《生活垃圾焚烧处理与能源利用工程技术标准》GB/T51452-2024第12章电气设备及系统的相关要求。</w:t>
      </w:r>
    </w:p>
    <w:p w14:paraId="16EB7F18">
      <w:pPr>
        <w:pStyle w:val="54"/>
        <w:spacing w:before="24" w:after="24"/>
        <w:ind w:firstLine="562"/>
        <w:outlineLvl w:val="5"/>
        <w:rPr>
          <w:b/>
          <w:bCs/>
        </w:rPr>
      </w:pPr>
      <w:r>
        <w:rPr>
          <w:b/>
          <w:bCs/>
        </w:rPr>
        <w:t>（4）城市环境品质及历史文化保护项目</w:t>
      </w:r>
    </w:p>
    <w:p w14:paraId="6377714A">
      <w:pPr>
        <w:pStyle w:val="54"/>
        <w:spacing w:before="24" w:after="24"/>
      </w:pPr>
      <w:r>
        <w:t>智能化系统应按《智能建筑设计标准》GB 50314-2015的规定配置，并应符合行业标准《城市绿地设计规范》GB 50420-2007（2016年版）的有关规定。</w:t>
      </w:r>
    </w:p>
    <w:p w14:paraId="78421F36">
      <w:pPr>
        <w:pStyle w:val="54"/>
        <w:spacing w:before="24" w:after="24"/>
        <w:ind w:firstLine="562"/>
        <w:outlineLvl w:val="5"/>
      </w:pPr>
      <w:r>
        <w:rPr>
          <w:b/>
          <w:bCs/>
        </w:rPr>
        <w:t>（5）文教体卫项目</w:t>
      </w:r>
    </w:p>
    <w:p w14:paraId="1BB45A13">
      <w:pPr>
        <w:pStyle w:val="54"/>
        <w:spacing w:before="24" w:after="24"/>
      </w:pPr>
      <w:r>
        <w:t>智能化系统应按《智能建筑设计标准》GB 50314-2015表8.3.1的规定配置，并应符合《档案馆建筑设计规范》JGJ 25-2010和《办公建筑设计标准》JGJ／T 67-2019的有关规定。档案馆应适应档案信息化建设的要求，并应根据办公自动化及安全、保密等要求进行综合布线、预留接口，通信与计算机网络设施应满足工作需要。</w:t>
      </w:r>
    </w:p>
    <w:p w14:paraId="70F03D54">
      <w:pPr>
        <w:pStyle w:val="54"/>
        <w:spacing w:before="24" w:after="24"/>
        <w:ind w:firstLine="562"/>
        <w:outlineLvl w:val="5"/>
      </w:pPr>
      <w:r>
        <w:rPr>
          <w:b/>
          <w:bCs/>
        </w:rPr>
        <w:t>（6）应急防灾项目</w:t>
      </w:r>
    </w:p>
    <w:p w14:paraId="4B6DA2B8">
      <w:pPr>
        <w:pStyle w:val="54"/>
        <w:spacing w:before="24" w:after="24"/>
      </w:pPr>
      <w:r>
        <w:t>智能化系统应按《智能建筑设计标准》GB 50314-2015表18.0.2的规定配置，并应符合《高标准粮仓建设标准》LS/T8014--2023、《仓库建筑设计规范》JGJ/T68-2019和《城市消防救援站设计规范》GB51054-2014的有关规定。</w:t>
      </w:r>
    </w:p>
    <w:p w14:paraId="48085991">
      <w:pPr>
        <w:pStyle w:val="54"/>
        <w:spacing w:before="24" w:after="24"/>
        <w:ind w:firstLine="562"/>
        <w:outlineLvl w:val="5"/>
      </w:pPr>
      <w:r>
        <w:rPr>
          <w:b/>
          <w:bCs/>
        </w:rPr>
        <w:t>（7）机关单位办公用房及配套设施项目</w:t>
      </w:r>
    </w:p>
    <w:p w14:paraId="0360D8A9">
      <w:pPr>
        <w:pStyle w:val="54"/>
        <w:spacing w:before="24" w:after="24"/>
      </w:pPr>
      <w:r>
        <w:t>1）智能化设计应符合现行国家标准《智能建筑设计标准》GB 50314-2015的规定；</w:t>
      </w:r>
    </w:p>
    <w:p w14:paraId="35647BB9">
      <w:pPr>
        <w:pStyle w:val="54"/>
        <w:spacing w:before="24" w:after="24"/>
      </w:pPr>
      <w:r>
        <w:t>2）电子信息系统防雷设计应按现行国家标准《建筑物电子信息系统防雷技术规范》GB 50343-2012执行；</w:t>
      </w:r>
    </w:p>
    <w:p w14:paraId="6AEB481D">
      <w:pPr>
        <w:pStyle w:val="54"/>
        <w:spacing w:before="24" w:after="24"/>
      </w:pPr>
      <w:r>
        <w:t>3）建筑内通信设施的设计，机房设计应满足多家电信业务经营者平等接入、用户可自由选择电信业务经营者的要求；</w:t>
      </w:r>
    </w:p>
    <w:p w14:paraId="5F3A6D8E">
      <w:pPr>
        <w:pStyle w:val="54"/>
        <w:spacing w:before="24" w:after="24"/>
      </w:pPr>
      <w:r>
        <w:t>4）新建办公建筑的地下通信管道、配线管网、电信间、设备间等通信设施，必须和办公建筑同步建设；</w:t>
      </w:r>
    </w:p>
    <w:p w14:paraId="5F89C583">
      <w:pPr>
        <w:pStyle w:val="54"/>
        <w:spacing w:before="24" w:after="24"/>
      </w:pPr>
      <w:r>
        <w:t>5）应设有信息通信网络系统，满足办公业务信息化应用的需求；</w:t>
      </w:r>
    </w:p>
    <w:p w14:paraId="436B2621">
      <w:pPr>
        <w:pStyle w:val="54"/>
        <w:spacing w:before="24" w:after="24"/>
      </w:pPr>
      <w:r>
        <w:t>6）信息通信网络系统的布线应采用综合布线系统，满足语音、数据、图像等信息传输要求；</w:t>
      </w:r>
    </w:p>
    <w:p w14:paraId="00A29D47">
      <w:pPr>
        <w:pStyle w:val="54"/>
        <w:spacing w:before="24" w:after="24"/>
      </w:pPr>
      <w:r>
        <w:t>7）设置建筑设备监控系统、能耗监测系统；</w:t>
      </w:r>
    </w:p>
    <w:p w14:paraId="797865BC">
      <w:pPr>
        <w:pStyle w:val="54"/>
        <w:spacing w:before="24" w:after="24"/>
      </w:pPr>
      <w:r>
        <w:t>8）应设置安全技术防范系统，安全技术防范系统的设计应符合现行国家标准《安全防范工程技术标准》GB 50348-2018的规定。</w:t>
      </w:r>
    </w:p>
    <w:p w14:paraId="1AE3DF4D">
      <w:pPr>
        <w:pStyle w:val="66"/>
        <w:rPr>
          <w:rFonts w:cs="Times New Roman"/>
        </w:rPr>
      </w:pPr>
      <w:r>
        <w:rPr>
          <w:rFonts w:cs="Times New Roman"/>
        </w:rPr>
        <w:t>7.6 消防部分</w:t>
      </w:r>
    </w:p>
    <w:p w14:paraId="32FA51AF">
      <w:pPr>
        <w:pStyle w:val="54"/>
        <w:spacing w:before="24" w:after="24"/>
        <w:outlineLvl w:val="4"/>
      </w:pPr>
      <w:r>
        <w:t>7.6.1消防控制室的设置</w:t>
      </w:r>
    </w:p>
    <w:p w14:paraId="481C6FB4">
      <w:pPr>
        <w:pStyle w:val="54"/>
        <w:spacing w:before="24" w:after="24"/>
      </w:pPr>
      <w:r>
        <w:t>（1）消防控制室，当消安合用时，房间内部消防设备区域与安防设备区域应有明显的分隔（或分区）；</w:t>
      </w:r>
    </w:p>
    <w:p w14:paraId="05F63106">
      <w:pPr>
        <w:pStyle w:val="54"/>
        <w:spacing w:before="24" w:after="24"/>
      </w:pPr>
      <w:r>
        <w:t>（2）消防控制室（即消安合用时）单个面积不宜小于60m²。此要求为有效使用面积，中间无剪力墙或柱遮挡；</w:t>
      </w:r>
    </w:p>
    <w:p w14:paraId="50C3647B">
      <w:pPr>
        <w:pStyle w:val="54"/>
        <w:spacing w:before="24" w:after="24"/>
      </w:pPr>
      <w:r>
        <w:t>（3）消防控制室不得设在水泵房、厨房、卫生间、浴室等潮湿、经常积水场所的正下方或贴邻，也不得设于消防水池等正上方。应远离强电磁干扰场所，不应设置在变配电室、发电机房的上、下或贴邻，不允许与其无关的水管、风管、电缆等各种管线穿过；</w:t>
      </w:r>
    </w:p>
    <w:p w14:paraId="72F2B073">
      <w:pPr>
        <w:pStyle w:val="54"/>
        <w:spacing w:before="24" w:after="24"/>
      </w:pPr>
      <w:r>
        <w:t>（4）消防控制宜选取在整个地块的较中心位置，控制室出口需满足国家规范要求；</w:t>
      </w:r>
    </w:p>
    <w:p w14:paraId="63682FF3">
      <w:pPr>
        <w:pStyle w:val="54"/>
        <w:spacing w:before="24" w:after="24"/>
      </w:pPr>
      <w:r>
        <w:t>（5）消防控制室的净空高度不低于3.0米，并设置防静电地板，一般按400mm考虑；</w:t>
      </w:r>
    </w:p>
    <w:p w14:paraId="2F046701">
      <w:pPr>
        <w:pStyle w:val="54"/>
        <w:spacing w:before="24" w:after="24"/>
      </w:pPr>
      <w:r>
        <w:t>（6）消防控制室中的消防双电源箱不得与安防配电箱合用，且均设置 SPD 浪涌保护器。</w:t>
      </w:r>
    </w:p>
    <w:p w14:paraId="56F05027">
      <w:pPr>
        <w:pStyle w:val="54"/>
        <w:spacing w:before="24" w:after="24"/>
        <w:outlineLvl w:val="4"/>
      </w:pPr>
      <w:r>
        <w:t>7.6.2火灾自动报警系统</w:t>
      </w:r>
    </w:p>
    <w:p w14:paraId="5C3FCA3F">
      <w:pPr>
        <w:pStyle w:val="54"/>
        <w:spacing w:before="24" w:after="24"/>
      </w:pPr>
      <w:r>
        <w:t>（1）应按照当地消防部门、国家及地方最新消防规范要求严格执行。设计说明中应明确建筑的防火防护等级并根据建筑的防护等级设计消防和火灾自动报警系统、设置消防控制中心和选择消防、检测和报警设备；</w:t>
      </w:r>
    </w:p>
    <w:p w14:paraId="163ECA2D">
      <w:pPr>
        <w:pStyle w:val="54"/>
        <w:spacing w:before="24" w:after="24"/>
      </w:pPr>
      <w:r>
        <w:t>（2）火灾自动报警设备及管线的设置应与主流产品相一致，并满足消防规范要求，短路隔离器的设置及每回路设备点位的数量应满足火灾报警规范的要求；</w:t>
      </w:r>
    </w:p>
    <w:p w14:paraId="01DEDA6C">
      <w:pPr>
        <w:pStyle w:val="54"/>
        <w:spacing w:before="24" w:after="24"/>
      </w:pPr>
      <w:r>
        <w:t>（3）消防及应急状态时，背景音乐公共广播应能切入消防/事故广播；解除首层主入口门禁，门禁的控制器设在首层门厅或弱电井内，通过消防控制模块解除门禁；</w:t>
      </w:r>
    </w:p>
    <w:p w14:paraId="5D6E0BF1">
      <w:pPr>
        <w:pStyle w:val="54"/>
        <w:spacing w:before="24" w:after="24"/>
      </w:pPr>
      <w:r>
        <w:t>（4）弱电线路与火灾报警线路的线槽宜分开设置，消防电话与其他线路应分槽或分隔敷设，消防广播按当地消防要求按需单独敷设桥架；</w:t>
      </w:r>
    </w:p>
    <w:p w14:paraId="61CD0AEC">
      <w:pPr>
        <w:pStyle w:val="54"/>
        <w:spacing w:before="24" w:after="24"/>
      </w:pPr>
      <w:r>
        <w:t>（5）气体灭火控制器电源宜由220V消防电源供电；</w:t>
      </w:r>
    </w:p>
    <w:p w14:paraId="1228DF92">
      <w:pPr>
        <w:pStyle w:val="54"/>
        <w:spacing w:before="24" w:after="24"/>
      </w:pPr>
      <w:r>
        <w:t>（6）所有电梯应按消防要求实现联动。电梯轿厢内应具备与消防控制中心、电梯机房等五方通话功能及视频监控功能。</w:t>
      </w:r>
    </w:p>
    <w:p w14:paraId="4515A3BA">
      <w:pPr>
        <w:pStyle w:val="54"/>
        <w:spacing w:before="24" w:after="24"/>
        <w:outlineLvl w:val="4"/>
      </w:pPr>
      <w:r>
        <w:t>7.6.3消防电源监控系统</w:t>
      </w:r>
    </w:p>
    <w:p w14:paraId="6A36FF8B">
      <w:pPr>
        <w:pStyle w:val="54"/>
        <w:spacing w:before="24" w:after="24"/>
      </w:pPr>
      <w:r>
        <w:t>1.所有建筑的消防设备均设置消防设备电源监控系统。</w:t>
      </w:r>
    </w:p>
    <w:p w14:paraId="5AF663B1">
      <w:pPr>
        <w:pStyle w:val="54"/>
        <w:spacing w:before="24" w:after="24"/>
      </w:pPr>
      <w:r>
        <w:t>2.消防设备电源监控系统：用于监控消防设备电源的工作状态，在电源发生过欠压、缺相等故障时能发出报警信息的系统，报警信号传输给消防控制室图形显示装置。</w:t>
      </w:r>
    </w:p>
    <w:p w14:paraId="395B623B">
      <w:pPr>
        <w:pStyle w:val="54"/>
        <w:spacing w:before="24" w:after="24"/>
      </w:pPr>
      <w:r>
        <w:t>3.配置要求：消防控制室设置消防电源监控主机，消防双电源配电箱设置监控器（目前仅监控双路电源进线侧电压信号），并根据点位数量合理设置监控分机。</w:t>
      </w:r>
    </w:p>
    <w:p w14:paraId="01D43E9D">
      <w:pPr>
        <w:pStyle w:val="54"/>
        <w:spacing w:before="24" w:after="24"/>
        <w:outlineLvl w:val="4"/>
      </w:pPr>
      <w:r>
        <w:t>7.6.4防火门监控系统</w:t>
      </w:r>
    </w:p>
    <w:p w14:paraId="4672C3F5">
      <w:pPr>
        <w:pStyle w:val="54"/>
        <w:spacing w:before="24" w:after="24"/>
      </w:pPr>
      <w:r>
        <w:t>1.设置火灾报警系统的建筑，均需设置防火门监控系统，不设置火灾报警系统的建筑，疏散通道上的常开防火门需设置防火门监控系统。防火门监控主机设置在消防控制室，未设置消防控制室时，应设置在有人值班的场所。各栋设置防火门监控分机，地下室可几个防火分区设置监控分机。</w:t>
      </w:r>
    </w:p>
    <w:p w14:paraId="3BD46D51">
      <w:pPr>
        <w:pStyle w:val="54"/>
        <w:spacing w:before="24" w:after="24"/>
      </w:pPr>
      <w:r>
        <w:t>2.电动开门器的手动控制按钮应设置在防火门内侧墙面上，距门不宜超过0.5m，底边距地面高度宜为1.3m。</w:t>
      </w:r>
    </w:p>
    <w:p w14:paraId="5F7288B4">
      <w:pPr>
        <w:pStyle w:val="54"/>
        <w:spacing w:before="24" w:after="24"/>
      </w:pPr>
      <w:r>
        <w:t>7.6.5电气火灾监控系统</w:t>
      </w:r>
    </w:p>
    <w:p w14:paraId="47F337C8">
      <w:pPr>
        <w:pStyle w:val="54"/>
        <w:spacing w:before="24" w:after="24"/>
      </w:pPr>
      <w:r>
        <w:t>1.应设置电气火灾监控系统，并应根据电气线路敷设和用电设备的具体情况，确定电气火灾监控探测器的形式与安装位置，宜优先设置于变配电室或一级配电箱。电气火灾监控器设在消防控制中心。</w:t>
      </w:r>
    </w:p>
    <w:p w14:paraId="58AFDE0E">
      <w:pPr>
        <w:pStyle w:val="54"/>
        <w:spacing w:before="24" w:after="24"/>
      </w:pPr>
      <w:r>
        <w:t>2.电气火灾监控器的报警信息和故障信息应在消防控制室图形显示装置或起集中控制功能的火灾报警控制器上显示，但该类信息与火灾报警信息的显示应有区别。</w:t>
      </w:r>
    </w:p>
    <w:p w14:paraId="6DE6963A">
      <w:pPr>
        <w:pStyle w:val="54"/>
        <w:spacing w:before="24" w:after="24"/>
        <w:outlineLvl w:val="4"/>
      </w:pPr>
      <w:r>
        <w:t>7.6.5消防设备安装及线路敷设</w:t>
      </w:r>
    </w:p>
    <w:p w14:paraId="421E126D">
      <w:pPr>
        <w:pStyle w:val="54"/>
        <w:spacing w:before="24" w:after="24"/>
      </w:pPr>
      <w:r>
        <w:t>1.消防报警系统设计应满足国家现行相关规范及规定，如地方有特殊规定的需按地方规定执行。</w:t>
      </w:r>
    </w:p>
    <w:p w14:paraId="16B5B40B">
      <w:pPr>
        <w:pStyle w:val="54"/>
        <w:spacing w:before="24" w:after="24"/>
      </w:pPr>
      <w:r>
        <w:t>2.消防控制室内除应有的消防桥架或排管进出外，还应考虑安防系统（智能化）桥架或排管的进出，且若是采用桥架，安防桥架规格不得小于400*100，若是采用排管，安防排管规格不得小于5*UPVC110。</w:t>
      </w:r>
    </w:p>
    <w:p w14:paraId="53C8D8AB">
      <w:pPr>
        <w:pStyle w:val="54"/>
        <w:spacing w:before="24" w:after="24"/>
      </w:pPr>
      <w:r>
        <w:t>3.消防报警系统每个回路所带点位不应超过200个,且系统总点位数需考虑15%预留量；每个隔离模块不应超过32个点位，也不宜过少，宜为25-28个点位。</w:t>
      </w:r>
    </w:p>
    <w:p w14:paraId="5B2D0DAF">
      <w:pPr>
        <w:pStyle w:val="54"/>
        <w:spacing w:before="24" w:after="24"/>
      </w:pPr>
      <w:r>
        <w:t>3.消防电话总机宜采用总线制，消防电话分机应与消防电话插孔分开回路设置。</w:t>
      </w:r>
    </w:p>
    <w:p w14:paraId="6A72CC30">
      <w:pPr>
        <w:pStyle w:val="54"/>
        <w:spacing w:before="24" w:after="24"/>
      </w:pPr>
      <w:r>
        <w:t>4.消防水池（屋顶水箱）应设置就地水位显示装置，并在控制中心设置监控系统，具备三水位报警及水位显示功能。</w:t>
      </w:r>
    </w:p>
    <w:p w14:paraId="51103091">
      <w:pPr>
        <w:pStyle w:val="54"/>
        <w:spacing w:before="24" w:after="24"/>
      </w:pPr>
      <w:r>
        <w:t>5.对后期可能装修区域，消防主机及该报警回路应预留加层所增设的消防报警点位数量。</w:t>
      </w:r>
    </w:p>
    <w:p w14:paraId="7524106D">
      <w:pPr>
        <w:pStyle w:val="54"/>
        <w:spacing w:before="24" w:after="24"/>
      </w:pPr>
      <w:r>
        <w:t>6.应按防区设置消防接线端子箱，各防区消防接线端子箱之间采用桥架或金属线槽连通。</w:t>
      </w:r>
    </w:p>
    <w:p w14:paraId="03971911">
      <w:pPr>
        <w:pStyle w:val="54"/>
        <w:spacing w:before="24" w:after="24"/>
        <w:outlineLvl w:val="4"/>
      </w:pPr>
      <w:r>
        <w:t>7.6.6火灾报警系统线缆选型要求</w:t>
      </w:r>
    </w:p>
    <w:p w14:paraId="56A95134">
      <w:pPr>
        <w:pStyle w:val="54"/>
        <w:spacing w:before="24" w:after="24"/>
      </w:pPr>
      <w:r>
        <w:t>在满足国家及地方相关标准及规范要求下，按以下要求进行选择，在人员密集场所疏散通道采用的火灾自动报警系统的报警总线，应选择燃烧性能B1级的电线、电缆；其他场所的报警总线应选择燃烧性能不低于B2级的电线、电缆。消防联动总线及联动控制线应选择耐火铜芯电线、电缆。电线、电缆的燃烧性能应符合现行国家标准《 电缆及光缆燃烧性能分级 》GB 31247的规定。 其中：对于一类高层及以上建筑（含人员密集场所）可根据地方标准，审图机构的意见按要求进行修改（采用WDZC-或WDZCN-系列线缆）</w:t>
      </w:r>
    </w:p>
    <w:tbl>
      <w:tblPr>
        <w:tblStyle w:val="31"/>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04"/>
        <w:gridCol w:w="2756"/>
        <w:gridCol w:w="3298"/>
        <w:gridCol w:w="1724"/>
        <w:gridCol w:w="898"/>
      </w:tblGrid>
      <w:tr w14:paraId="04B94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trPr>
        <w:tc>
          <w:tcPr>
            <w:tcW w:w="422" w:type="pct"/>
            <w:vMerge w:val="restart"/>
            <w:tcBorders>
              <w:top w:val="single" w:color="000000" w:sz="4" w:space="0"/>
              <w:left w:val="single" w:color="000000" w:sz="4" w:space="0"/>
              <w:bottom w:val="single" w:color="000000" w:sz="4" w:space="0"/>
              <w:right w:val="single" w:color="000000" w:sz="4" w:space="0"/>
            </w:tcBorders>
            <w:vAlign w:val="center"/>
          </w:tcPr>
          <w:p w14:paraId="389D224A">
            <w:pPr>
              <w:pStyle w:val="71"/>
              <w:spacing w:before="24" w:after="24"/>
              <w:rPr>
                <w:rFonts w:cs="Times New Roman"/>
              </w:rPr>
            </w:pPr>
            <w:r>
              <w:rPr>
                <w:rFonts w:cs="Times New Roman"/>
              </w:rPr>
              <w:t>系统</w:t>
            </w:r>
          </w:p>
          <w:p w14:paraId="7F394805">
            <w:pPr>
              <w:pStyle w:val="71"/>
              <w:spacing w:before="24" w:after="24"/>
              <w:rPr>
                <w:rFonts w:cs="Times New Roman"/>
              </w:rPr>
            </w:pPr>
            <w:r>
              <w:rPr>
                <w:rFonts w:cs="Times New Roman"/>
              </w:rPr>
              <w:t>名称</w:t>
            </w:r>
          </w:p>
        </w:tc>
        <w:tc>
          <w:tcPr>
            <w:tcW w:w="1581" w:type="pct"/>
            <w:vMerge w:val="restart"/>
            <w:tcBorders>
              <w:top w:val="single" w:color="000000" w:sz="4" w:space="0"/>
              <w:left w:val="single" w:color="000000" w:sz="4" w:space="0"/>
              <w:bottom w:val="single" w:color="000000" w:sz="4" w:space="0"/>
              <w:right w:val="single" w:color="000000" w:sz="4" w:space="0"/>
            </w:tcBorders>
            <w:vAlign w:val="center"/>
          </w:tcPr>
          <w:p w14:paraId="538CF189">
            <w:pPr>
              <w:pStyle w:val="71"/>
              <w:spacing w:before="24" w:after="24"/>
              <w:rPr>
                <w:rFonts w:cs="Times New Roman"/>
              </w:rPr>
            </w:pPr>
            <w:r>
              <w:rPr>
                <w:rFonts w:cs="Times New Roman"/>
              </w:rPr>
              <w:t>线缆名称</w:t>
            </w:r>
          </w:p>
        </w:tc>
        <w:tc>
          <w:tcPr>
            <w:tcW w:w="1437" w:type="pct"/>
            <w:vMerge w:val="restart"/>
            <w:tcBorders>
              <w:top w:val="single" w:color="000000" w:sz="4" w:space="0"/>
              <w:left w:val="single" w:color="000000" w:sz="4" w:space="0"/>
              <w:bottom w:val="single" w:color="000000" w:sz="4" w:space="0"/>
              <w:right w:val="single" w:color="000000" w:sz="4" w:space="0"/>
            </w:tcBorders>
            <w:vAlign w:val="center"/>
          </w:tcPr>
          <w:p w14:paraId="611AE936">
            <w:pPr>
              <w:pStyle w:val="71"/>
              <w:spacing w:before="24" w:after="24"/>
              <w:rPr>
                <w:rFonts w:cs="Times New Roman"/>
              </w:rPr>
            </w:pPr>
            <w:r>
              <w:rPr>
                <w:rFonts w:cs="Times New Roman"/>
              </w:rPr>
              <w:t>线缆选型（mm2）</w:t>
            </w:r>
          </w:p>
        </w:tc>
        <w:tc>
          <w:tcPr>
            <w:tcW w:w="1559" w:type="pct"/>
            <w:gridSpan w:val="2"/>
            <w:tcBorders>
              <w:top w:val="single" w:color="000000" w:sz="4" w:space="0"/>
              <w:left w:val="single" w:color="000000" w:sz="4" w:space="0"/>
              <w:bottom w:val="single" w:color="000000" w:sz="4" w:space="0"/>
              <w:right w:val="single" w:color="000000" w:sz="4" w:space="0"/>
            </w:tcBorders>
            <w:vAlign w:val="center"/>
          </w:tcPr>
          <w:p w14:paraId="6071B1A7">
            <w:pPr>
              <w:pStyle w:val="71"/>
              <w:spacing w:before="24" w:after="24"/>
              <w:rPr>
                <w:rFonts w:cs="Times New Roman"/>
              </w:rPr>
            </w:pPr>
            <w:r>
              <w:rPr>
                <w:rFonts w:cs="Times New Roman"/>
              </w:rPr>
              <w:t>穿管敷设</w:t>
            </w:r>
          </w:p>
        </w:tc>
      </w:tr>
      <w:tr w14:paraId="376CB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trPr>
        <w:tc>
          <w:tcPr>
            <w:tcW w:w="422" w:type="pct"/>
            <w:vMerge w:val="continue"/>
            <w:tcBorders>
              <w:top w:val="single" w:color="000000" w:sz="4" w:space="0"/>
              <w:left w:val="single" w:color="000000" w:sz="4" w:space="0"/>
              <w:bottom w:val="single" w:color="000000" w:sz="4" w:space="0"/>
              <w:right w:val="single" w:color="000000" w:sz="4" w:space="0"/>
            </w:tcBorders>
            <w:vAlign w:val="center"/>
          </w:tcPr>
          <w:p w14:paraId="533B360C">
            <w:pPr>
              <w:pStyle w:val="71"/>
              <w:spacing w:before="24" w:after="24"/>
              <w:rPr>
                <w:rFonts w:cs="Times New Roman"/>
              </w:rPr>
            </w:pPr>
          </w:p>
        </w:tc>
        <w:tc>
          <w:tcPr>
            <w:tcW w:w="1581" w:type="pct"/>
            <w:vMerge w:val="continue"/>
            <w:tcBorders>
              <w:top w:val="single" w:color="000000" w:sz="4" w:space="0"/>
              <w:left w:val="single" w:color="000000" w:sz="4" w:space="0"/>
              <w:bottom w:val="single" w:color="000000" w:sz="4" w:space="0"/>
              <w:right w:val="single" w:color="000000" w:sz="4" w:space="0"/>
            </w:tcBorders>
            <w:vAlign w:val="center"/>
          </w:tcPr>
          <w:p w14:paraId="21954D7E">
            <w:pPr>
              <w:pStyle w:val="71"/>
              <w:spacing w:before="24" w:after="24"/>
              <w:rPr>
                <w:rFonts w:cs="Times New Roman"/>
              </w:rPr>
            </w:pPr>
          </w:p>
        </w:tc>
        <w:tc>
          <w:tcPr>
            <w:tcW w:w="1437" w:type="pct"/>
            <w:vMerge w:val="continue"/>
            <w:tcBorders>
              <w:top w:val="single" w:color="000000" w:sz="4" w:space="0"/>
              <w:left w:val="single" w:color="000000" w:sz="4" w:space="0"/>
              <w:bottom w:val="single" w:color="000000" w:sz="4" w:space="0"/>
              <w:right w:val="single" w:color="000000" w:sz="4" w:space="0"/>
            </w:tcBorders>
            <w:vAlign w:val="center"/>
          </w:tcPr>
          <w:p w14:paraId="77CA9A29">
            <w:pPr>
              <w:pStyle w:val="71"/>
              <w:spacing w:before="24" w:after="24"/>
              <w:rPr>
                <w:rFonts w:cs="Times New Roman"/>
              </w:rPr>
            </w:pPr>
          </w:p>
        </w:tc>
        <w:tc>
          <w:tcPr>
            <w:tcW w:w="1025" w:type="pct"/>
            <w:tcBorders>
              <w:top w:val="single" w:color="000000" w:sz="4" w:space="0"/>
              <w:left w:val="single" w:color="000000" w:sz="4" w:space="0"/>
              <w:bottom w:val="single" w:color="000000" w:sz="4" w:space="0"/>
              <w:right w:val="single" w:color="000000" w:sz="4" w:space="0"/>
            </w:tcBorders>
            <w:vAlign w:val="center"/>
          </w:tcPr>
          <w:p w14:paraId="32890A5C">
            <w:pPr>
              <w:pStyle w:val="71"/>
              <w:spacing w:before="24" w:after="24"/>
              <w:rPr>
                <w:rFonts w:cs="Times New Roman"/>
              </w:rPr>
            </w:pPr>
            <w:r>
              <w:rPr>
                <w:rFonts w:cs="Times New Roman"/>
              </w:rPr>
              <w:t>暗敷</w:t>
            </w:r>
          </w:p>
        </w:tc>
        <w:tc>
          <w:tcPr>
            <w:tcW w:w="534" w:type="pct"/>
            <w:tcBorders>
              <w:top w:val="single" w:color="000000" w:sz="4" w:space="0"/>
              <w:left w:val="single" w:color="000000" w:sz="4" w:space="0"/>
              <w:bottom w:val="single" w:color="000000" w:sz="4" w:space="0"/>
              <w:right w:val="single" w:color="000000" w:sz="4" w:space="0"/>
            </w:tcBorders>
            <w:vAlign w:val="center"/>
          </w:tcPr>
          <w:p w14:paraId="4E5F41D0">
            <w:pPr>
              <w:pStyle w:val="71"/>
              <w:spacing w:before="24" w:after="24"/>
              <w:rPr>
                <w:rFonts w:cs="Times New Roman"/>
              </w:rPr>
            </w:pPr>
            <w:r>
              <w:rPr>
                <w:rFonts w:cs="Times New Roman"/>
              </w:rPr>
              <w:t>明敷</w:t>
            </w:r>
          </w:p>
        </w:tc>
      </w:tr>
      <w:tr w14:paraId="2C4012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2" w:type="pct"/>
            <w:vMerge w:val="restart"/>
            <w:tcBorders>
              <w:top w:val="nil"/>
              <w:left w:val="single" w:color="000000" w:sz="4" w:space="0"/>
              <w:bottom w:val="single" w:color="000000" w:sz="4" w:space="0"/>
              <w:right w:val="single" w:color="000000" w:sz="4" w:space="0"/>
            </w:tcBorders>
            <w:vAlign w:val="center"/>
          </w:tcPr>
          <w:p w14:paraId="601A5E82">
            <w:pPr>
              <w:pStyle w:val="71"/>
              <w:spacing w:before="24" w:after="24"/>
              <w:rPr>
                <w:rFonts w:cs="Times New Roman"/>
              </w:rPr>
            </w:pPr>
          </w:p>
          <w:p w14:paraId="6EA88494">
            <w:pPr>
              <w:pStyle w:val="71"/>
              <w:spacing w:before="24" w:after="24"/>
              <w:rPr>
                <w:rFonts w:cs="Times New Roman"/>
              </w:rPr>
            </w:pPr>
          </w:p>
          <w:p w14:paraId="51F31C6C">
            <w:pPr>
              <w:pStyle w:val="71"/>
              <w:spacing w:before="24" w:after="24"/>
              <w:rPr>
                <w:rFonts w:cs="Times New Roman"/>
              </w:rPr>
            </w:pPr>
          </w:p>
          <w:p w14:paraId="76964268">
            <w:pPr>
              <w:pStyle w:val="71"/>
              <w:spacing w:before="24" w:after="24"/>
              <w:rPr>
                <w:rFonts w:cs="Times New Roman"/>
              </w:rPr>
            </w:pPr>
          </w:p>
          <w:p w14:paraId="7D7E948D">
            <w:pPr>
              <w:pStyle w:val="71"/>
              <w:spacing w:before="24" w:after="24"/>
              <w:rPr>
                <w:rFonts w:cs="Times New Roman"/>
              </w:rPr>
            </w:pPr>
          </w:p>
          <w:p w14:paraId="7C15E054">
            <w:pPr>
              <w:pStyle w:val="71"/>
              <w:spacing w:before="24" w:after="24"/>
              <w:rPr>
                <w:rFonts w:cs="Times New Roman"/>
              </w:rPr>
            </w:pPr>
            <w:r>
              <w:rPr>
                <w:rFonts w:cs="Times New Roman"/>
              </w:rPr>
              <w:t>火灾自动报警系统</w:t>
            </w:r>
          </w:p>
        </w:tc>
        <w:tc>
          <w:tcPr>
            <w:tcW w:w="1581" w:type="pct"/>
            <w:tcBorders>
              <w:top w:val="single" w:color="000000" w:sz="4" w:space="0"/>
              <w:left w:val="single" w:color="000000" w:sz="4" w:space="0"/>
              <w:bottom w:val="single" w:color="000000" w:sz="4" w:space="0"/>
              <w:right w:val="single" w:color="000000" w:sz="4" w:space="0"/>
            </w:tcBorders>
            <w:vAlign w:val="center"/>
          </w:tcPr>
          <w:p w14:paraId="6E4BE123">
            <w:pPr>
              <w:pStyle w:val="71"/>
              <w:spacing w:before="24" w:after="24"/>
              <w:rPr>
                <w:rFonts w:cs="Times New Roman"/>
              </w:rPr>
            </w:pPr>
            <w:r>
              <w:rPr>
                <w:rFonts w:cs="Times New Roman"/>
              </w:rPr>
              <w:t>报警总线（干线S’）</w:t>
            </w:r>
          </w:p>
        </w:tc>
        <w:tc>
          <w:tcPr>
            <w:tcW w:w="1437" w:type="pct"/>
            <w:tcBorders>
              <w:top w:val="single" w:color="000000" w:sz="4" w:space="0"/>
              <w:left w:val="single" w:color="000000" w:sz="4" w:space="0"/>
              <w:bottom w:val="single" w:color="000000" w:sz="4" w:space="0"/>
              <w:right w:val="single" w:color="000000" w:sz="4" w:space="0"/>
            </w:tcBorders>
            <w:vAlign w:val="center"/>
          </w:tcPr>
          <w:p w14:paraId="7008E7D5">
            <w:pPr>
              <w:pStyle w:val="71"/>
              <w:spacing w:before="24" w:after="24"/>
              <w:rPr>
                <w:rFonts w:cs="Times New Roman"/>
              </w:rPr>
            </w:pPr>
            <w:r>
              <w:rPr>
                <w:rFonts w:cs="Times New Roman"/>
              </w:rPr>
              <w:t>ZC-RVS-2x2.5</w:t>
            </w:r>
          </w:p>
        </w:tc>
        <w:tc>
          <w:tcPr>
            <w:tcW w:w="1025" w:type="pct"/>
            <w:tcBorders>
              <w:top w:val="single" w:color="000000" w:sz="4" w:space="0"/>
              <w:left w:val="single" w:color="000000" w:sz="4" w:space="0"/>
              <w:bottom w:val="single" w:color="000000" w:sz="4" w:space="0"/>
              <w:right w:val="single" w:color="000000" w:sz="4" w:space="0"/>
            </w:tcBorders>
            <w:vAlign w:val="center"/>
          </w:tcPr>
          <w:p w14:paraId="20B2DAC8">
            <w:pPr>
              <w:pStyle w:val="71"/>
              <w:spacing w:before="24" w:after="24"/>
              <w:rPr>
                <w:rFonts w:cs="Times New Roman"/>
              </w:rPr>
            </w:pPr>
            <w:r>
              <w:rPr>
                <w:rFonts w:cs="Times New Roman"/>
              </w:rPr>
              <w:t>PC20（B1级）</w:t>
            </w:r>
          </w:p>
        </w:tc>
        <w:tc>
          <w:tcPr>
            <w:tcW w:w="534" w:type="pct"/>
            <w:tcBorders>
              <w:top w:val="single" w:color="000000" w:sz="4" w:space="0"/>
              <w:left w:val="single" w:color="000000" w:sz="4" w:space="0"/>
              <w:bottom w:val="single" w:color="000000" w:sz="4" w:space="0"/>
              <w:right w:val="single" w:color="000000" w:sz="4" w:space="0"/>
            </w:tcBorders>
            <w:vAlign w:val="center"/>
          </w:tcPr>
          <w:p w14:paraId="087FDCA3">
            <w:pPr>
              <w:pStyle w:val="71"/>
              <w:spacing w:before="24" w:after="24"/>
              <w:rPr>
                <w:rFonts w:cs="Times New Roman"/>
              </w:rPr>
            </w:pPr>
            <w:r>
              <w:rPr>
                <w:rFonts w:cs="Times New Roman"/>
              </w:rPr>
              <w:t>JDG20</w:t>
            </w:r>
          </w:p>
        </w:tc>
      </w:tr>
      <w:tr w14:paraId="27C061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2" w:type="pct"/>
            <w:vMerge w:val="continue"/>
            <w:tcBorders>
              <w:top w:val="nil"/>
              <w:left w:val="single" w:color="000000" w:sz="4" w:space="0"/>
              <w:bottom w:val="single" w:color="000000" w:sz="4" w:space="0"/>
              <w:right w:val="single" w:color="000000" w:sz="4" w:space="0"/>
            </w:tcBorders>
            <w:vAlign w:val="center"/>
          </w:tcPr>
          <w:p w14:paraId="3116C9C2">
            <w:pPr>
              <w:pStyle w:val="71"/>
              <w:spacing w:before="24" w:after="24"/>
              <w:rPr>
                <w:rFonts w:cs="Times New Roman"/>
              </w:rPr>
            </w:pPr>
          </w:p>
        </w:tc>
        <w:tc>
          <w:tcPr>
            <w:tcW w:w="1581" w:type="pct"/>
            <w:tcBorders>
              <w:top w:val="single" w:color="000000" w:sz="4" w:space="0"/>
              <w:left w:val="single" w:color="000000" w:sz="4" w:space="0"/>
              <w:bottom w:val="single" w:color="000000" w:sz="4" w:space="0"/>
              <w:right w:val="single" w:color="000000" w:sz="4" w:space="0"/>
            </w:tcBorders>
            <w:vAlign w:val="center"/>
          </w:tcPr>
          <w:p w14:paraId="5246DE35">
            <w:pPr>
              <w:pStyle w:val="71"/>
              <w:spacing w:before="24" w:after="24"/>
              <w:rPr>
                <w:rFonts w:cs="Times New Roman"/>
              </w:rPr>
            </w:pPr>
            <w:r>
              <w:rPr>
                <w:rFonts w:cs="Times New Roman"/>
              </w:rPr>
              <w:t>报警支线（支线S）</w:t>
            </w:r>
          </w:p>
        </w:tc>
        <w:tc>
          <w:tcPr>
            <w:tcW w:w="1437" w:type="pct"/>
            <w:tcBorders>
              <w:top w:val="single" w:color="000000" w:sz="4" w:space="0"/>
              <w:left w:val="single" w:color="000000" w:sz="4" w:space="0"/>
              <w:bottom w:val="single" w:color="000000" w:sz="4" w:space="0"/>
              <w:right w:val="single" w:color="000000" w:sz="4" w:space="0"/>
            </w:tcBorders>
            <w:vAlign w:val="center"/>
          </w:tcPr>
          <w:p w14:paraId="03C78314">
            <w:pPr>
              <w:pStyle w:val="71"/>
              <w:spacing w:before="24" w:after="24"/>
              <w:rPr>
                <w:rFonts w:cs="Times New Roman"/>
              </w:rPr>
            </w:pPr>
            <w:r>
              <w:rPr>
                <w:rFonts w:cs="Times New Roman"/>
              </w:rPr>
              <w:t>ZC-RVS-2x1.5</w:t>
            </w:r>
          </w:p>
        </w:tc>
        <w:tc>
          <w:tcPr>
            <w:tcW w:w="1025" w:type="pct"/>
            <w:tcBorders>
              <w:top w:val="single" w:color="000000" w:sz="4" w:space="0"/>
              <w:left w:val="single" w:color="000000" w:sz="4" w:space="0"/>
              <w:bottom w:val="single" w:color="000000" w:sz="4" w:space="0"/>
              <w:right w:val="single" w:color="000000" w:sz="4" w:space="0"/>
            </w:tcBorders>
            <w:vAlign w:val="center"/>
          </w:tcPr>
          <w:p w14:paraId="17FC585B">
            <w:pPr>
              <w:pStyle w:val="71"/>
              <w:spacing w:before="24" w:after="24"/>
              <w:rPr>
                <w:rFonts w:cs="Times New Roman"/>
              </w:rPr>
            </w:pPr>
            <w:r>
              <w:rPr>
                <w:rFonts w:cs="Times New Roman"/>
              </w:rPr>
              <w:t>PC20（B1级）</w:t>
            </w:r>
          </w:p>
        </w:tc>
        <w:tc>
          <w:tcPr>
            <w:tcW w:w="534" w:type="pct"/>
            <w:tcBorders>
              <w:top w:val="single" w:color="000000" w:sz="4" w:space="0"/>
              <w:left w:val="single" w:color="000000" w:sz="4" w:space="0"/>
              <w:bottom w:val="single" w:color="000000" w:sz="4" w:space="0"/>
              <w:right w:val="single" w:color="000000" w:sz="4" w:space="0"/>
            </w:tcBorders>
            <w:vAlign w:val="center"/>
          </w:tcPr>
          <w:p w14:paraId="46D6567A">
            <w:pPr>
              <w:pStyle w:val="71"/>
              <w:spacing w:before="24" w:after="24"/>
              <w:rPr>
                <w:rFonts w:cs="Times New Roman"/>
              </w:rPr>
            </w:pPr>
            <w:r>
              <w:rPr>
                <w:rFonts w:cs="Times New Roman"/>
              </w:rPr>
              <w:t>JDG20</w:t>
            </w:r>
          </w:p>
        </w:tc>
      </w:tr>
      <w:tr w14:paraId="15BE7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2" w:type="pct"/>
            <w:vMerge w:val="continue"/>
            <w:tcBorders>
              <w:top w:val="nil"/>
              <w:left w:val="single" w:color="000000" w:sz="4" w:space="0"/>
              <w:bottom w:val="single" w:color="000000" w:sz="4" w:space="0"/>
              <w:right w:val="single" w:color="000000" w:sz="4" w:space="0"/>
            </w:tcBorders>
            <w:vAlign w:val="center"/>
          </w:tcPr>
          <w:p w14:paraId="1A7233DA">
            <w:pPr>
              <w:pStyle w:val="71"/>
              <w:spacing w:before="24" w:after="24"/>
              <w:rPr>
                <w:rFonts w:cs="Times New Roman"/>
              </w:rPr>
            </w:pPr>
          </w:p>
        </w:tc>
        <w:tc>
          <w:tcPr>
            <w:tcW w:w="1581" w:type="pct"/>
            <w:tcBorders>
              <w:top w:val="single" w:color="000000" w:sz="4" w:space="0"/>
              <w:left w:val="single" w:color="000000" w:sz="4" w:space="0"/>
              <w:bottom w:val="single" w:color="000000" w:sz="4" w:space="0"/>
              <w:right w:val="single" w:color="000000" w:sz="4" w:space="0"/>
            </w:tcBorders>
            <w:vAlign w:val="center"/>
          </w:tcPr>
          <w:p w14:paraId="2A3C01C5">
            <w:pPr>
              <w:pStyle w:val="71"/>
              <w:spacing w:before="24" w:after="24"/>
              <w:rPr>
                <w:rFonts w:cs="Times New Roman"/>
              </w:rPr>
            </w:pPr>
            <w:r>
              <w:rPr>
                <w:rFonts w:cs="Times New Roman"/>
              </w:rPr>
              <w:t>DC24V电源总线（D1）</w:t>
            </w:r>
          </w:p>
        </w:tc>
        <w:tc>
          <w:tcPr>
            <w:tcW w:w="1437" w:type="pct"/>
            <w:tcBorders>
              <w:top w:val="single" w:color="000000" w:sz="4" w:space="0"/>
              <w:left w:val="single" w:color="000000" w:sz="4" w:space="0"/>
              <w:bottom w:val="single" w:color="000000" w:sz="4" w:space="0"/>
              <w:right w:val="single" w:color="000000" w:sz="4" w:space="0"/>
            </w:tcBorders>
            <w:vAlign w:val="center"/>
          </w:tcPr>
          <w:p w14:paraId="5B1CB8A8">
            <w:pPr>
              <w:pStyle w:val="71"/>
              <w:spacing w:before="24" w:after="24"/>
              <w:rPr>
                <w:rFonts w:cs="Times New Roman"/>
              </w:rPr>
            </w:pPr>
            <w:r>
              <w:rPr>
                <w:rFonts w:cs="Times New Roman"/>
              </w:rPr>
              <w:t>ZCN-BV-2x4.0</w:t>
            </w:r>
          </w:p>
        </w:tc>
        <w:tc>
          <w:tcPr>
            <w:tcW w:w="1025" w:type="pct"/>
            <w:tcBorders>
              <w:top w:val="single" w:color="000000" w:sz="4" w:space="0"/>
              <w:left w:val="single" w:color="000000" w:sz="4" w:space="0"/>
              <w:bottom w:val="single" w:color="000000" w:sz="4" w:space="0"/>
              <w:right w:val="single" w:color="000000" w:sz="4" w:space="0"/>
            </w:tcBorders>
            <w:vAlign w:val="center"/>
          </w:tcPr>
          <w:p w14:paraId="77E4F9EB">
            <w:pPr>
              <w:pStyle w:val="71"/>
              <w:spacing w:before="24" w:after="24"/>
              <w:rPr>
                <w:rFonts w:cs="Times New Roman"/>
              </w:rPr>
            </w:pPr>
            <w:r>
              <w:rPr>
                <w:rFonts w:cs="Times New Roman"/>
              </w:rPr>
              <w:t>JDG20</w:t>
            </w:r>
          </w:p>
        </w:tc>
        <w:tc>
          <w:tcPr>
            <w:tcW w:w="534" w:type="pct"/>
            <w:tcBorders>
              <w:top w:val="single" w:color="000000" w:sz="4" w:space="0"/>
              <w:left w:val="single" w:color="000000" w:sz="4" w:space="0"/>
              <w:bottom w:val="single" w:color="000000" w:sz="4" w:space="0"/>
              <w:right w:val="single" w:color="000000" w:sz="4" w:space="0"/>
            </w:tcBorders>
            <w:vAlign w:val="center"/>
          </w:tcPr>
          <w:p w14:paraId="26549400">
            <w:pPr>
              <w:pStyle w:val="71"/>
              <w:spacing w:before="24" w:after="24"/>
              <w:rPr>
                <w:rFonts w:cs="Times New Roman"/>
              </w:rPr>
            </w:pPr>
            <w:r>
              <w:rPr>
                <w:rFonts w:cs="Times New Roman"/>
              </w:rPr>
              <w:t>JDG20</w:t>
            </w:r>
          </w:p>
        </w:tc>
      </w:tr>
      <w:tr w14:paraId="43A2E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2" w:type="pct"/>
            <w:vMerge w:val="continue"/>
            <w:tcBorders>
              <w:top w:val="nil"/>
              <w:left w:val="single" w:color="000000" w:sz="4" w:space="0"/>
              <w:bottom w:val="single" w:color="000000" w:sz="4" w:space="0"/>
              <w:right w:val="single" w:color="000000" w:sz="4" w:space="0"/>
            </w:tcBorders>
            <w:vAlign w:val="center"/>
          </w:tcPr>
          <w:p w14:paraId="4830C706">
            <w:pPr>
              <w:pStyle w:val="71"/>
              <w:spacing w:before="24" w:after="24"/>
              <w:rPr>
                <w:rFonts w:cs="Times New Roman"/>
              </w:rPr>
            </w:pPr>
          </w:p>
        </w:tc>
        <w:tc>
          <w:tcPr>
            <w:tcW w:w="1581" w:type="pct"/>
            <w:tcBorders>
              <w:top w:val="single" w:color="000000" w:sz="4" w:space="0"/>
              <w:left w:val="single" w:color="000000" w:sz="4" w:space="0"/>
              <w:bottom w:val="single" w:color="000000" w:sz="4" w:space="0"/>
              <w:right w:val="single" w:color="000000" w:sz="4" w:space="0"/>
            </w:tcBorders>
            <w:vAlign w:val="center"/>
          </w:tcPr>
          <w:p w14:paraId="125019DC">
            <w:pPr>
              <w:pStyle w:val="71"/>
              <w:spacing w:before="24" w:after="24"/>
              <w:rPr>
                <w:rFonts w:cs="Times New Roman"/>
              </w:rPr>
            </w:pPr>
            <w:r>
              <w:rPr>
                <w:rFonts w:cs="Times New Roman"/>
              </w:rPr>
              <w:t>DC24V电源支线（D2）</w:t>
            </w:r>
          </w:p>
        </w:tc>
        <w:tc>
          <w:tcPr>
            <w:tcW w:w="1437" w:type="pct"/>
            <w:tcBorders>
              <w:top w:val="single" w:color="000000" w:sz="4" w:space="0"/>
              <w:left w:val="single" w:color="000000" w:sz="4" w:space="0"/>
              <w:bottom w:val="single" w:color="000000" w:sz="4" w:space="0"/>
              <w:right w:val="single" w:color="000000" w:sz="4" w:space="0"/>
            </w:tcBorders>
            <w:vAlign w:val="center"/>
          </w:tcPr>
          <w:p w14:paraId="25FCB6E2">
            <w:pPr>
              <w:pStyle w:val="71"/>
              <w:spacing w:before="24" w:after="24"/>
              <w:rPr>
                <w:rFonts w:cs="Times New Roman"/>
              </w:rPr>
            </w:pPr>
            <w:r>
              <w:rPr>
                <w:rFonts w:cs="Times New Roman"/>
              </w:rPr>
              <w:t>ZCN-BV-2x2.5</w:t>
            </w:r>
          </w:p>
        </w:tc>
        <w:tc>
          <w:tcPr>
            <w:tcW w:w="1025" w:type="pct"/>
            <w:tcBorders>
              <w:top w:val="single" w:color="000000" w:sz="4" w:space="0"/>
              <w:left w:val="single" w:color="000000" w:sz="4" w:space="0"/>
              <w:bottom w:val="single" w:color="000000" w:sz="4" w:space="0"/>
              <w:right w:val="single" w:color="000000" w:sz="4" w:space="0"/>
            </w:tcBorders>
            <w:vAlign w:val="center"/>
          </w:tcPr>
          <w:p w14:paraId="6B00CB26">
            <w:pPr>
              <w:pStyle w:val="71"/>
              <w:spacing w:before="24" w:after="24"/>
              <w:rPr>
                <w:rFonts w:cs="Times New Roman"/>
              </w:rPr>
            </w:pPr>
            <w:r>
              <w:rPr>
                <w:rFonts w:cs="Times New Roman"/>
              </w:rPr>
              <w:t>JDG20</w:t>
            </w:r>
          </w:p>
        </w:tc>
        <w:tc>
          <w:tcPr>
            <w:tcW w:w="534" w:type="pct"/>
            <w:tcBorders>
              <w:top w:val="single" w:color="000000" w:sz="4" w:space="0"/>
              <w:left w:val="single" w:color="000000" w:sz="4" w:space="0"/>
              <w:bottom w:val="single" w:color="000000" w:sz="4" w:space="0"/>
              <w:right w:val="single" w:color="000000" w:sz="4" w:space="0"/>
            </w:tcBorders>
            <w:vAlign w:val="center"/>
          </w:tcPr>
          <w:p w14:paraId="187E62D9">
            <w:pPr>
              <w:pStyle w:val="71"/>
              <w:spacing w:before="24" w:after="24"/>
              <w:rPr>
                <w:rFonts w:cs="Times New Roman"/>
              </w:rPr>
            </w:pPr>
            <w:r>
              <w:rPr>
                <w:rFonts w:cs="Times New Roman"/>
              </w:rPr>
              <w:t>JDG20</w:t>
            </w:r>
          </w:p>
        </w:tc>
      </w:tr>
      <w:tr w14:paraId="3FC8C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2" w:type="pct"/>
            <w:vMerge w:val="continue"/>
            <w:tcBorders>
              <w:top w:val="nil"/>
              <w:left w:val="single" w:color="000000" w:sz="4" w:space="0"/>
              <w:bottom w:val="single" w:color="000000" w:sz="4" w:space="0"/>
              <w:right w:val="single" w:color="000000" w:sz="4" w:space="0"/>
            </w:tcBorders>
            <w:vAlign w:val="center"/>
          </w:tcPr>
          <w:p w14:paraId="5B1153D9">
            <w:pPr>
              <w:pStyle w:val="71"/>
              <w:spacing w:before="24" w:after="24"/>
              <w:rPr>
                <w:rFonts w:cs="Times New Roman"/>
              </w:rPr>
            </w:pPr>
          </w:p>
        </w:tc>
        <w:tc>
          <w:tcPr>
            <w:tcW w:w="1581" w:type="pct"/>
            <w:tcBorders>
              <w:top w:val="single" w:color="000000" w:sz="4" w:space="0"/>
              <w:left w:val="single" w:color="000000" w:sz="4" w:space="0"/>
              <w:bottom w:val="single" w:color="000000" w:sz="4" w:space="0"/>
              <w:right w:val="single" w:color="000000" w:sz="4" w:space="0"/>
            </w:tcBorders>
            <w:vAlign w:val="center"/>
          </w:tcPr>
          <w:p w14:paraId="42CA9E19">
            <w:pPr>
              <w:pStyle w:val="71"/>
              <w:spacing w:before="24" w:after="24"/>
              <w:rPr>
                <w:rFonts w:cs="Times New Roman"/>
              </w:rPr>
            </w:pPr>
            <w:r>
              <w:rPr>
                <w:rFonts w:cs="Times New Roman"/>
              </w:rPr>
              <w:t>报警总线+电源总线</w:t>
            </w:r>
          </w:p>
        </w:tc>
        <w:tc>
          <w:tcPr>
            <w:tcW w:w="1437" w:type="pct"/>
            <w:tcBorders>
              <w:top w:val="single" w:color="000000" w:sz="4" w:space="0"/>
              <w:left w:val="single" w:color="000000" w:sz="4" w:space="0"/>
              <w:bottom w:val="single" w:color="000000" w:sz="4" w:space="0"/>
              <w:right w:val="single" w:color="000000" w:sz="4" w:space="0"/>
            </w:tcBorders>
            <w:vAlign w:val="center"/>
          </w:tcPr>
          <w:p w14:paraId="721FFEFE">
            <w:pPr>
              <w:pStyle w:val="71"/>
              <w:spacing w:before="24" w:after="24"/>
              <w:rPr>
                <w:rFonts w:cs="Times New Roman"/>
              </w:rPr>
            </w:pPr>
            <w:r>
              <w:rPr>
                <w:rFonts w:cs="Times New Roman"/>
              </w:rPr>
              <w:t>ZC-RVS-2x2.5+ZCN-BV-2x4.0</w:t>
            </w:r>
          </w:p>
        </w:tc>
        <w:tc>
          <w:tcPr>
            <w:tcW w:w="1025" w:type="pct"/>
            <w:tcBorders>
              <w:top w:val="single" w:color="000000" w:sz="4" w:space="0"/>
              <w:left w:val="single" w:color="000000" w:sz="4" w:space="0"/>
              <w:bottom w:val="single" w:color="000000" w:sz="4" w:space="0"/>
              <w:right w:val="single" w:color="000000" w:sz="4" w:space="0"/>
            </w:tcBorders>
            <w:vAlign w:val="center"/>
          </w:tcPr>
          <w:p w14:paraId="50865547">
            <w:pPr>
              <w:pStyle w:val="71"/>
              <w:spacing w:before="24" w:after="24"/>
              <w:rPr>
                <w:rFonts w:cs="Times New Roman"/>
              </w:rPr>
            </w:pPr>
            <w:r>
              <w:rPr>
                <w:rFonts w:cs="Times New Roman"/>
              </w:rPr>
              <w:t>JDG25</w:t>
            </w:r>
          </w:p>
        </w:tc>
        <w:tc>
          <w:tcPr>
            <w:tcW w:w="534" w:type="pct"/>
            <w:tcBorders>
              <w:top w:val="single" w:color="000000" w:sz="4" w:space="0"/>
              <w:left w:val="single" w:color="000000" w:sz="4" w:space="0"/>
              <w:bottom w:val="single" w:color="000000" w:sz="4" w:space="0"/>
              <w:right w:val="single" w:color="000000" w:sz="4" w:space="0"/>
            </w:tcBorders>
            <w:vAlign w:val="center"/>
          </w:tcPr>
          <w:p w14:paraId="4C825A23">
            <w:pPr>
              <w:pStyle w:val="71"/>
              <w:spacing w:before="24" w:after="24"/>
              <w:rPr>
                <w:rFonts w:cs="Times New Roman"/>
              </w:rPr>
            </w:pPr>
            <w:r>
              <w:rPr>
                <w:rFonts w:cs="Times New Roman"/>
              </w:rPr>
              <w:t>JDG25</w:t>
            </w:r>
          </w:p>
        </w:tc>
      </w:tr>
      <w:tr w14:paraId="09514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2" w:type="pct"/>
            <w:vMerge w:val="continue"/>
            <w:tcBorders>
              <w:top w:val="nil"/>
              <w:left w:val="single" w:color="000000" w:sz="4" w:space="0"/>
              <w:bottom w:val="single" w:color="000000" w:sz="4" w:space="0"/>
              <w:right w:val="single" w:color="000000" w:sz="4" w:space="0"/>
            </w:tcBorders>
            <w:vAlign w:val="center"/>
          </w:tcPr>
          <w:p w14:paraId="146BA2A2">
            <w:pPr>
              <w:pStyle w:val="71"/>
              <w:spacing w:before="24" w:after="24"/>
              <w:rPr>
                <w:rFonts w:cs="Times New Roman"/>
              </w:rPr>
            </w:pPr>
          </w:p>
        </w:tc>
        <w:tc>
          <w:tcPr>
            <w:tcW w:w="1581" w:type="pct"/>
            <w:tcBorders>
              <w:top w:val="single" w:color="000000" w:sz="4" w:space="0"/>
              <w:left w:val="single" w:color="000000" w:sz="4" w:space="0"/>
              <w:bottom w:val="single" w:color="000000" w:sz="4" w:space="0"/>
              <w:right w:val="single" w:color="000000" w:sz="4" w:space="0"/>
            </w:tcBorders>
            <w:vAlign w:val="center"/>
          </w:tcPr>
          <w:p w14:paraId="004AD89A">
            <w:pPr>
              <w:pStyle w:val="71"/>
              <w:spacing w:before="24" w:after="24"/>
              <w:rPr>
                <w:rFonts w:cs="Times New Roman"/>
              </w:rPr>
            </w:pPr>
            <w:r>
              <w:rPr>
                <w:rFonts w:cs="Times New Roman"/>
              </w:rPr>
              <w:t>报警支线+电源支线</w:t>
            </w:r>
          </w:p>
        </w:tc>
        <w:tc>
          <w:tcPr>
            <w:tcW w:w="1437" w:type="pct"/>
            <w:tcBorders>
              <w:top w:val="single" w:color="000000" w:sz="4" w:space="0"/>
              <w:left w:val="single" w:color="000000" w:sz="4" w:space="0"/>
              <w:bottom w:val="single" w:color="000000" w:sz="4" w:space="0"/>
              <w:right w:val="single" w:color="000000" w:sz="4" w:space="0"/>
            </w:tcBorders>
            <w:vAlign w:val="center"/>
          </w:tcPr>
          <w:p w14:paraId="526444D1">
            <w:pPr>
              <w:pStyle w:val="71"/>
              <w:spacing w:before="24" w:after="24"/>
              <w:rPr>
                <w:rFonts w:cs="Times New Roman"/>
              </w:rPr>
            </w:pPr>
            <w:r>
              <w:rPr>
                <w:rFonts w:cs="Times New Roman"/>
              </w:rPr>
              <w:t>ZC-RVS-2x1.5+ZCN-BV-2x2.5</w:t>
            </w:r>
          </w:p>
        </w:tc>
        <w:tc>
          <w:tcPr>
            <w:tcW w:w="1025" w:type="pct"/>
            <w:tcBorders>
              <w:top w:val="single" w:color="000000" w:sz="4" w:space="0"/>
              <w:left w:val="single" w:color="000000" w:sz="4" w:space="0"/>
              <w:bottom w:val="single" w:color="000000" w:sz="4" w:space="0"/>
              <w:right w:val="single" w:color="000000" w:sz="4" w:space="0"/>
            </w:tcBorders>
            <w:vAlign w:val="center"/>
          </w:tcPr>
          <w:p w14:paraId="6BB0DA98">
            <w:pPr>
              <w:pStyle w:val="71"/>
              <w:spacing w:before="24" w:after="24"/>
              <w:rPr>
                <w:rFonts w:cs="Times New Roman"/>
              </w:rPr>
            </w:pPr>
            <w:r>
              <w:rPr>
                <w:rFonts w:cs="Times New Roman"/>
              </w:rPr>
              <w:t>JDG20</w:t>
            </w:r>
          </w:p>
        </w:tc>
        <w:tc>
          <w:tcPr>
            <w:tcW w:w="534" w:type="pct"/>
            <w:tcBorders>
              <w:top w:val="single" w:color="000000" w:sz="4" w:space="0"/>
              <w:left w:val="single" w:color="000000" w:sz="4" w:space="0"/>
              <w:bottom w:val="single" w:color="000000" w:sz="4" w:space="0"/>
              <w:right w:val="single" w:color="000000" w:sz="4" w:space="0"/>
            </w:tcBorders>
            <w:vAlign w:val="center"/>
          </w:tcPr>
          <w:p w14:paraId="7ABEEB2E">
            <w:pPr>
              <w:pStyle w:val="71"/>
              <w:spacing w:before="24" w:after="24"/>
              <w:rPr>
                <w:rFonts w:cs="Times New Roman"/>
              </w:rPr>
            </w:pPr>
            <w:r>
              <w:rPr>
                <w:rFonts w:cs="Times New Roman"/>
              </w:rPr>
              <w:t>JDG20</w:t>
            </w:r>
          </w:p>
        </w:tc>
      </w:tr>
      <w:tr w14:paraId="6A6BA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2" w:type="pct"/>
            <w:vMerge w:val="continue"/>
            <w:tcBorders>
              <w:top w:val="nil"/>
              <w:left w:val="single" w:color="000000" w:sz="4" w:space="0"/>
              <w:bottom w:val="single" w:color="000000" w:sz="4" w:space="0"/>
              <w:right w:val="single" w:color="000000" w:sz="4" w:space="0"/>
            </w:tcBorders>
            <w:vAlign w:val="center"/>
          </w:tcPr>
          <w:p w14:paraId="0F3F6765">
            <w:pPr>
              <w:pStyle w:val="71"/>
              <w:spacing w:before="24" w:after="24"/>
              <w:rPr>
                <w:rFonts w:cs="Times New Roman"/>
              </w:rPr>
            </w:pPr>
          </w:p>
        </w:tc>
        <w:tc>
          <w:tcPr>
            <w:tcW w:w="1581" w:type="pct"/>
            <w:tcBorders>
              <w:top w:val="single" w:color="000000" w:sz="4" w:space="0"/>
              <w:left w:val="single" w:color="000000" w:sz="4" w:space="0"/>
              <w:bottom w:val="single" w:color="000000" w:sz="4" w:space="0"/>
              <w:right w:val="single" w:color="000000" w:sz="4" w:space="0"/>
            </w:tcBorders>
            <w:vAlign w:val="center"/>
          </w:tcPr>
          <w:p w14:paraId="0E6E3DF3">
            <w:pPr>
              <w:pStyle w:val="71"/>
              <w:spacing w:before="24" w:after="24"/>
              <w:rPr>
                <w:rFonts w:cs="Times New Roman"/>
              </w:rPr>
            </w:pPr>
            <w:r>
              <w:rPr>
                <w:rFonts w:cs="Times New Roman"/>
              </w:rPr>
              <w:t>消防广播线（BC）</w:t>
            </w:r>
          </w:p>
        </w:tc>
        <w:tc>
          <w:tcPr>
            <w:tcW w:w="1437" w:type="pct"/>
            <w:tcBorders>
              <w:top w:val="single" w:color="000000" w:sz="4" w:space="0"/>
              <w:left w:val="single" w:color="000000" w:sz="4" w:space="0"/>
              <w:bottom w:val="single" w:color="000000" w:sz="4" w:space="0"/>
              <w:right w:val="single" w:color="000000" w:sz="4" w:space="0"/>
            </w:tcBorders>
            <w:vAlign w:val="center"/>
          </w:tcPr>
          <w:p w14:paraId="364B45DB">
            <w:pPr>
              <w:pStyle w:val="71"/>
              <w:spacing w:before="24" w:after="24"/>
              <w:rPr>
                <w:rFonts w:cs="Times New Roman"/>
              </w:rPr>
            </w:pPr>
            <w:r>
              <w:rPr>
                <w:rFonts w:cs="Times New Roman"/>
              </w:rPr>
              <w:t>ZC-BVR-2x1.5</w:t>
            </w:r>
          </w:p>
        </w:tc>
        <w:tc>
          <w:tcPr>
            <w:tcW w:w="1025" w:type="pct"/>
            <w:tcBorders>
              <w:top w:val="single" w:color="000000" w:sz="4" w:space="0"/>
              <w:left w:val="single" w:color="000000" w:sz="4" w:space="0"/>
              <w:bottom w:val="single" w:color="000000" w:sz="4" w:space="0"/>
              <w:right w:val="single" w:color="000000" w:sz="4" w:space="0"/>
            </w:tcBorders>
            <w:vAlign w:val="center"/>
          </w:tcPr>
          <w:p w14:paraId="00C3AD57">
            <w:pPr>
              <w:pStyle w:val="71"/>
              <w:spacing w:before="24" w:after="24"/>
              <w:rPr>
                <w:rFonts w:cs="Times New Roman"/>
              </w:rPr>
            </w:pPr>
            <w:r>
              <w:rPr>
                <w:rFonts w:cs="Times New Roman"/>
              </w:rPr>
              <w:t>JDG20</w:t>
            </w:r>
          </w:p>
        </w:tc>
        <w:tc>
          <w:tcPr>
            <w:tcW w:w="534" w:type="pct"/>
            <w:tcBorders>
              <w:top w:val="single" w:color="000000" w:sz="4" w:space="0"/>
              <w:left w:val="single" w:color="000000" w:sz="4" w:space="0"/>
              <w:bottom w:val="single" w:color="000000" w:sz="4" w:space="0"/>
              <w:right w:val="single" w:color="000000" w:sz="4" w:space="0"/>
            </w:tcBorders>
            <w:vAlign w:val="center"/>
          </w:tcPr>
          <w:p w14:paraId="6DDDA0B8">
            <w:pPr>
              <w:pStyle w:val="71"/>
              <w:spacing w:before="24" w:after="24"/>
              <w:rPr>
                <w:rFonts w:cs="Times New Roman"/>
              </w:rPr>
            </w:pPr>
            <w:r>
              <w:rPr>
                <w:rFonts w:cs="Times New Roman"/>
              </w:rPr>
              <w:t>JDG20</w:t>
            </w:r>
          </w:p>
        </w:tc>
      </w:tr>
      <w:tr w14:paraId="56242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2" w:type="pct"/>
            <w:vMerge w:val="continue"/>
            <w:tcBorders>
              <w:top w:val="nil"/>
              <w:left w:val="single" w:color="000000" w:sz="4" w:space="0"/>
              <w:bottom w:val="single" w:color="000000" w:sz="4" w:space="0"/>
              <w:right w:val="single" w:color="000000" w:sz="4" w:space="0"/>
            </w:tcBorders>
            <w:vAlign w:val="center"/>
          </w:tcPr>
          <w:p w14:paraId="3E56AC60">
            <w:pPr>
              <w:pStyle w:val="71"/>
              <w:spacing w:before="24" w:after="24"/>
              <w:rPr>
                <w:rFonts w:cs="Times New Roman"/>
              </w:rPr>
            </w:pPr>
          </w:p>
        </w:tc>
        <w:tc>
          <w:tcPr>
            <w:tcW w:w="1581" w:type="pct"/>
            <w:tcBorders>
              <w:top w:val="single" w:color="000000" w:sz="4" w:space="0"/>
              <w:left w:val="single" w:color="000000" w:sz="4" w:space="0"/>
              <w:bottom w:val="single" w:color="000000" w:sz="4" w:space="0"/>
              <w:right w:val="single" w:color="000000" w:sz="4" w:space="0"/>
            </w:tcBorders>
            <w:vAlign w:val="center"/>
          </w:tcPr>
          <w:p w14:paraId="1E1FBAE4">
            <w:pPr>
              <w:pStyle w:val="71"/>
              <w:spacing w:before="24" w:after="24"/>
              <w:rPr>
                <w:rFonts w:cs="Times New Roman"/>
              </w:rPr>
            </w:pPr>
            <w:r>
              <w:rPr>
                <w:rFonts w:cs="Times New Roman"/>
              </w:rPr>
              <w:t>消防电话线（电话分机F1）（手报F2）</w:t>
            </w:r>
          </w:p>
        </w:tc>
        <w:tc>
          <w:tcPr>
            <w:tcW w:w="1437" w:type="pct"/>
            <w:tcBorders>
              <w:top w:val="single" w:color="000000" w:sz="4" w:space="0"/>
              <w:left w:val="single" w:color="000000" w:sz="4" w:space="0"/>
              <w:bottom w:val="single" w:color="000000" w:sz="4" w:space="0"/>
              <w:right w:val="single" w:color="000000" w:sz="4" w:space="0"/>
            </w:tcBorders>
            <w:vAlign w:val="center"/>
          </w:tcPr>
          <w:p w14:paraId="42517267">
            <w:pPr>
              <w:pStyle w:val="71"/>
              <w:spacing w:before="24" w:after="24"/>
              <w:rPr>
                <w:rFonts w:cs="Times New Roman"/>
              </w:rPr>
            </w:pPr>
            <w:r>
              <w:rPr>
                <w:rFonts w:cs="Times New Roman"/>
              </w:rPr>
              <w:t>ZC-RVS-2x1.5（电话分机和手报均采用总线制）</w:t>
            </w:r>
          </w:p>
        </w:tc>
        <w:tc>
          <w:tcPr>
            <w:tcW w:w="1025" w:type="pct"/>
            <w:tcBorders>
              <w:top w:val="single" w:color="000000" w:sz="4" w:space="0"/>
              <w:left w:val="single" w:color="000000" w:sz="4" w:space="0"/>
              <w:bottom w:val="single" w:color="000000" w:sz="4" w:space="0"/>
              <w:right w:val="single" w:color="000000" w:sz="4" w:space="0"/>
            </w:tcBorders>
            <w:vAlign w:val="center"/>
          </w:tcPr>
          <w:p w14:paraId="499EAE63">
            <w:pPr>
              <w:pStyle w:val="71"/>
              <w:spacing w:before="24" w:after="24"/>
              <w:rPr>
                <w:rFonts w:cs="Times New Roman"/>
              </w:rPr>
            </w:pPr>
            <w:r>
              <w:rPr>
                <w:rFonts w:cs="Times New Roman"/>
              </w:rPr>
              <w:t>JDG20</w:t>
            </w:r>
          </w:p>
        </w:tc>
        <w:tc>
          <w:tcPr>
            <w:tcW w:w="534" w:type="pct"/>
            <w:tcBorders>
              <w:top w:val="single" w:color="000000" w:sz="4" w:space="0"/>
              <w:left w:val="single" w:color="000000" w:sz="4" w:space="0"/>
              <w:bottom w:val="single" w:color="000000" w:sz="4" w:space="0"/>
              <w:right w:val="single" w:color="000000" w:sz="4" w:space="0"/>
            </w:tcBorders>
            <w:vAlign w:val="center"/>
          </w:tcPr>
          <w:p w14:paraId="6794E50D">
            <w:pPr>
              <w:pStyle w:val="71"/>
              <w:spacing w:before="24" w:after="24"/>
              <w:rPr>
                <w:rFonts w:cs="Times New Roman"/>
              </w:rPr>
            </w:pPr>
            <w:r>
              <w:rPr>
                <w:rFonts w:cs="Times New Roman"/>
              </w:rPr>
              <w:t>JDG20</w:t>
            </w:r>
          </w:p>
        </w:tc>
      </w:tr>
      <w:tr w14:paraId="4274D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2" w:type="pct"/>
            <w:vMerge w:val="continue"/>
            <w:tcBorders>
              <w:top w:val="nil"/>
              <w:left w:val="single" w:color="000000" w:sz="4" w:space="0"/>
              <w:bottom w:val="single" w:color="000000" w:sz="4" w:space="0"/>
              <w:right w:val="single" w:color="000000" w:sz="4" w:space="0"/>
            </w:tcBorders>
            <w:vAlign w:val="center"/>
          </w:tcPr>
          <w:p w14:paraId="4357EEB6">
            <w:pPr>
              <w:pStyle w:val="71"/>
              <w:spacing w:before="24" w:after="24"/>
              <w:rPr>
                <w:rFonts w:cs="Times New Roman"/>
              </w:rPr>
            </w:pPr>
          </w:p>
        </w:tc>
        <w:tc>
          <w:tcPr>
            <w:tcW w:w="1581" w:type="pct"/>
            <w:tcBorders>
              <w:top w:val="single" w:color="000000" w:sz="4" w:space="0"/>
              <w:left w:val="single" w:color="000000" w:sz="4" w:space="0"/>
              <w:bottom w:val="single" w:color="000000" w:sz="4" w:space="0"/>
              <w:right w:val="single" w:color="000000" w:sz="4" w:space="0"/>
            </w:tcBorders>
            <w:vAlign w:val="center"/>
          </w:tcPr>
          <w:p w14:paraId="1F6D8699">
            <w:pPr>
              <w:pStyle w:val="71"/>
              <w:spacing w:before="24" w:after="24"/>
              <w:rPr>
                <w:rFonts w:cs="Times New Roman"/>
              </w:rPr>
            </w:pPr>
            <w:r>
              <w:rPr>
                <w:rFonts w:cs="Times New Roman"/>
              </w:rPr>
              <w:t>区域显示器信号线+电源支线S1</w:t>
            </w:r>
          </w:p>
        </w:tc>
        <w:tc>
          <w:tcPr>
            <w:tcW w:w="1437" w:type="pct"/>
            <w:tcBorders>
              <w:top w:val="single" w:color="000000" w:sz="4" w:space="0"/>
              <w:left w:val="single" w:color="000000" w:sz="4" w:space="0"/>
              <w:bottom w:val="single" w:color="000000" w:sz="4" w:space="0"/>
              <w:right w:val="single" w:color="000000" w:sz="4" w:space="0"/>
            </w:tcBorders>
            <w:vAlign w:val="center"/>
          </w:tcPr>
          <w:p w14:paraId="47D16430">
            <w:pPr>
              <w:pStyle w:val="71"/>
              <w:spacing w:before="24" w:after="24"/>
              <w:rPr>
                <w:rFonts w:cs="Times New Roman"/>
              </w:rPr>
            </w:pPr>
            <w:r>
              <w:rPr>
                <w:rFonts w:cs="Times New Roman"/>
              </w:rPr>
              <w:t>ZC-RVS-2x1.5+ZCN-BV-2x2.5</w:t>
            </w:r>
          </w:p>
        </w:tc>
        <w:tc>
          <w:tcPr>
            <w:tcW w:w="1025" w:type="pct"/>
            <w:tcBorders>
              <w:top w:val="single" w:color="000000" w:sz="4" w:space="0"/>
              <w:left w:val="single" w:color="000000" w:sz="4" w:space="0"/>
              <w:bottom w:val="single" w:color="000000" w:sz="4" w:space="0"/>
              <w:right w:val="single" w:color="000000" w:sz="4" w:space="0"/>
            </w:tcBorders>
            <w:vAlign w:val="center"/>
          </w:tcPr>
          <w:p w14:paraId="46FD5FA7">
            <w:pPr>
              <w:pStyle w:val="71"/>
              <w:spacing w:before="24" w:after="24"/>
              <w:rPr>
                <w:rFonts w:cs="Times New Roman"/>
              </w:rPr>
            </w:pPr>
            <w:r>
              <w:rPr>
                <w:rFonts w:cs="Times New Roman"/>
              </w:rPr>
              <w:t>JDG20</w:t>
            </w:r>
          </w:p>
        </w:tc>
        <w:tc>
          <w:tcPr>
            <w:tcW w:w="534" w:type="pct"/>
            <w:tcBorders>
              <w:top w:val="single" w:color="000000" w:sz="4" w:space="0"/>
              <w:left w:val="single" w:color="000000" w:sz="4" w:space="0"/>
              <w:bottom w:val="single" w:color="000000" w:sz="4" w:space="0"/>
              <w:right w:val="single" w:color="000000" w:sz="4" w:space="0"/>
            </w:tcBorders>
            <w:vAlign w:val="center"/>
          </w:tcPr>
          <w:p w14:paraId="014B57D3">
            <w:pPr>
              <w:pStyle w:val="71"/>
              <w:spacing w:before="24" w:after="24"/>
              <w:rPr>
                <w:rFonts w:cs="Times New Roman"/>
              </w:rPr>
            </w:pPr>
            <w:r>
              <w:rPr>
                <w:rFonts w:cs="Times New Roman"/>
              </w:rPr>
              <w:t>JDG20</w:t>
            </w:r>
          </w:p>
        </w:tc>
      </w:tr>
      <w:tr w14:paraId="0467C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2" w:type="pct"/>
            <w:vMerge w:val="continue"/>
            <w:tcBorders>
              <w:top w:val="nil"/>
              <w:left w:val="single" w:color="000000" w:sz="4" w:space="0"/>
              <w:bottom w:val="single" w:color="000000" w:sz="4" w:space="0"/>
              <w:right w:val="single" w:color="000000" w:sz="4" w:space="0"/>
            </w:tcBorders>
            <w:vAlign w:val="center"/>
          </w:tcPr>
          <w:p w14:paraId="17922101">
            <w:pPr>
              <w:pStyle w:val="71"/>
              <w:spacing w:before="24" w:after="24"/>
              <w:rPr>
                <w:rFonts w:cs="Times New Roman"/>
              </w:rPr>
            </w:pPr>
          </w:p>
        </w:tc>
        <w:tc>
          <w:tcPr>
            <w:tcW w:w="1581" w:type="pct"/>
            <w:tcBorders>
              <w:top w:val="single" w:color="000000" w:sz="4" w:space="0"/>
              <w:left w:val="single" w:color="000000" w:sz="4" w:space="0"/>
              <w:bottom w:val="single" w:color="000000" w:sz="4" w:space="0"/>
              <w:right w:val="single" w:color="000000" w:sz="4" w:space="0"/>
            </w:tcBorders>
            <w:vAlign w:val="center"/>
          </w:tcPr>
          <w:p w14:paraId="5C08E8F8">
            <w:pPr>
              <w:pStyle w:val="71"/>
              <w:spacing w:before="24" w:after="24"/>
              <w:rPr>
                <w:rFonts w:cs="Times New Roman"/>
              </w:rPr>
            </w:pPr>
            <w:r>
              <w:rPr>
                <w:rFonts w:cs="Times New Roman"/>
              </w:rPr>
              <w:t>风机、水泵手动控制线（直控线）C</w:t>
            </w:r>
          </w:p>
        </w:tc>
        <w:tc>
          <w:tcPr>
            <w:tcW w:w="1437" w:type="pct"/>
            <w:tcBorders>
              <w:top w:val="single" w:color="000000" w:sz="4" w:space="0"/>
              <w:left w:val="single" w:color="000000" w:sz="4" w:space="0"/>
              <w:bottom w:val="single" w:color="000000" w:sz="4" w:space="0"/>
              <w:right w:val="single" w:color="000000" w:sz="4" w:space="0"/>
            </w:tcBorders>
            <w:vAlign w:val="center"/>
          </w:tcPr>
          <w:p w14:paraId="5CDE687B">
            <w:pPr>
              <w:pStyle w:val="71"/>
              <w:spacing w:before="24" w:after="24"/>
              <w:rPr>
                <w:rFonts w:cs="Times New Roman"/>
              </w:rPr>
            </w:pPr>
            <w:r>
              <w:rPr>
                <w:rFonts w:cs="Times New Roman"/>
              </w:rPr>
              <w:t>ZCN-KVV-3x1.5</w:t>
            </w:r>
          </w:p>
        </w:tc>
        <w:tc>
          <w:tcPr>
            <w:tcW w:w="1025" w:type="pct"/>
            <w:tcBorders>
              <w:top w:val="single" w:color="000000" w:sz="4" w:space="0"/>
              <w:left w:val="single" w:color="000000" w:sz="4" w:space="0"/>
              <w:bottom w:val="single" w:color="000000" w:sz="4" w:space="0"/>
              <w:right w:val="single" w:color="000000" w:sz="4" w:space="0"/>
            </w:tcBorders>
            <w:vAlign w:val="center"/>
          </w:tcPr>
          <w:p w14:paraId="5B5B1039">
            <w:pPr>
              <w:pStyle w:val="71"/>
              <w:spacing w:before="24" w:after="24"/>
              <w:rPr>
                <w:rFonts w:cs="Times New Roman"/>
              </w:rPr>
            </w:pPr>
            <w:r>
              <w:rPr>
                <w:rFonts w:cs="Times New Roman"/>
              </w:rPr>
              <w:t>JDG20</w:t>
            </w:r>
          </w:p>
        </w:tc>
        <w:tc>
          <w:tcPr>
            <w:tcW w:w="534" w:type="pct"/>
            <w:tcBorders>
              <w:top w:val="single" w:color="000000" w:sz="4" w:space="0"/>
              <w:left w:val="single" w:color="000000" w:sz="4" w:space="0"/>
              <w:bottom w:val="single" w:color="000000" w:sz="4" w:space="0"/>
              <w:right w:val="single" w:color="000000" w:sz="4" w:space="0"/>
            </w:tcBorders>
            <w:vAlign w:val="center"/>
          </w:tcPr>
          <w:p w14:paraId="4F8A36DE">
            <w:pPr>
              <w:pStyle w:val="71"/>
              <w:spacing w:before="24" w:after="24"/>
              <w:rPr>
                <w:rFonts w:cs="Times New Roman"/>
              </w:rPr>
            </w:pPr>
            <w:r>
              <w:rPr>
                <w:rFonts w:cs="Times New Roman"/>
              </w:rPr>
              <w:t>JDG20</w:t>
            </w:r>
          </w:p>
        </w:tc>
      </w:tr>
      <w:tr w14:paraId="4F6681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2" w:type="pct"/>
            <w:vMerge w:val="continue"/>
            <w:tcBorders>
              <w:top w:val="nil"/>
              <w:left w:val="single" w:color="000000" w:sz="4" w:space="0"/>
              <w:bottom w:val="single" w:color="000000" w:sz="4" w:space="0"/>
              <w:right w:val="single" w:color="000000" w:sz="4" w:space="0"/>
            </w:tcBorders>
            <w:vAlign w:val="center"/>
          </w:tcPr>
          <w:p w14:paraId="1D1DFD69">
            <w:pPr>
              <w:pStyle w:val="71"/>
              <w:spacing w:before="24" w:after="24"/>
              <w:rPr>
                <w:rFonts w:cs="Times New Roman"/>
              </w:rPr>
            </w:pPr>
          </w:p>
        </w:tc>
        <w:tc>
          <w:tcPr>
            <w:tcW w:w="1581" w:type="pct"/>
            <w:tcBorders>
              <w:top w:val="single" w:color="000000" w:sz="4" w:space="0"/>
              <w:left w:val="single" w:color="000000" w:sz="4" w:space="0"/>
              <w:bottom w:val="single" w:color="000000" w:sz="4" w:space="0"/>
              <w:right w:val="single" w:color="000000" w:sz="4" w:space="0"/>
            </w:tcBorders>
            <w:vAlign w:val="center"/>
          </w:tcPr>
          <w:p w14:paraId="228F589F">
            <w:pPr>
              <w:pStyle w:val="71"/>
              <w:spacing w:before="24" w:after="24"/>
              <w:rPr>
                <w:rFonts w:cs="Times New Roman"/>
              </w:rPr>
            </w:pPr>
            <w:r>
              <w:rPr>
                <w:rFonts w:cs="Times New Roman"/>
              </w:rPr>
              <w:t>联锁线C1（280度防火阀至排烟风机、补风机及液位显示线）</w:t>
            </w:r>
          </w:p>
        </w:tc>
        <w:tc>
          <w:tcPr>
            <w:tcW w:w="1437" w:type="pct"/>
            <w:tcBorders>
              <w:top w:val="single" w:color="000000" w:sz="4" w:space="0"/>
              <w:left w:val="single" w:color="000000" w:sz="4" w:space="0"/>
              <w:bottom w:val="single" w:color="000000" w:sz="4" w:space="0"/>
              <w:right w:val="single" w:color="000000" w:sz="4" w:space="0"/>
            </w:tcBorders>
            <w:vAlign w:val="center"/>
          </w:tcPr>
          <w:p w14:paraId="70479D6E">
            <w:pPr>
              <w:pStyle w:val="71"/>
              <w:spacing w:before="24" w:after="24"/>
              <w:rPr>
                <w:rFonts w:cs="Times New Roman"/>
              </w:rPr>
            </w:pPr>
            <w:r>
              <w:rPr>
                <w:rFonts w:cs="Times New Roman"/>
              </w:rPr>
              <w:t>ZCN-RVS-2x1.5</w:t>
            </w:r>
          </w:p>
        </w:tc>
        <w:tc>
          <w:tcPr>
            <w:tcW w:w="1025" w:type="pct"/>
            <w:tcBorders>
              <w:top w:val="single" w:color="000000" w:sz="4" w:space="0"/>
              <w:left w:val="single" w:color="000000" w:sz="4" w:space="0"/>
              <w:bottom w:val="single" w:color="000000" w:sz="4" w:space="0"/>
              <w:right w:val="single" w:color="000000" w:sz="4" w:space="0"/>
            </w:tcBorders>
            <w:vAlign w:val="center"/>
          </w:tcPr>
          <w:p w14:paraId="066F84B8">
            <w:pPr>
              <w:pStyle w:val="71"/>
              <w:spacing w:before="24" w:after="24"/>
              <w:rPr>
                <w:rFonts w:cs="Times New Roman"/>
              </w:rPr>
            </w:pPr>
            <w:r>
              <w:rPr>
                <w:rFonts w:cs="Times New Roman"/>
              </w:rPr>
              <w:t>JDG20</w:t>
            </w:r>
          </w:p>
        </w:tc>
        <w:tc>
          <w:tcPr>
            <w:tcW w:w="534" w:type="pct"/>
            <w:tcBorders>
              <w:top w:val="single" w:color="000000" w:sz="4" w:space="0"/>
              <w:left w:val="single" w:color="000000" w:sz="4" w:space="0"/>
              <w:bottom w:val="single" w:color="000000" w:sz="4" w:space="0"/>
              <w:right w:val="single" w:color="000000" w:sz="4" w:space="0"/>
            </w:tcBorders>
            <w:vAlign w:val="center"/>
          </w:tcPr>
          <w:p w14:paraId="7F432EC7">
            <w:pPr>
              <w:pStyle w:val="71"/>
              <w:spacing w:before="24" w:after="24"/>
              <w:rPr>
                <w:rFonts w:cs="Times New Roman"/>
              </w:rPr>
            </w:pPr>
            <w:r>
              <w:rPr>
                <w:rFonts w:cs="Times New Roman"/>
              </w:rPr>
              <w:t>JDG20</w:t>
            </w:r>
          </w:p>
        </w:tc>
      </w:tr>
      <w:tr w14:paraId="2D053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2" w:type="pct"/>
            <w:vMerge w:val="continue"/>
            <w:tcBorders>
              <w:top w:val="nil"/>
              <w:left w:val="single" w:color="000000" w:sz="4" w:space="0"/>
              <w:bottom w:val="single" w:color="000000" w:sz="4" w:space="0"/>
              <w:right w:val="single" w:color="000000" w:sz="4" w:space="0"/>
            </w:tcBorders>
            <w:vAlign w:val="center"/>
          </w:tcPr>
          <w:p w14:paraId="2A7E2E19">
            <w:pPr>
              <w:pStyle w:val="71"/>
              <w:spacing w:before="24" w:after="24"/>
              <w:rPr>
                <w:rFonts w:cs="Times New Roman"/>
              </w:rPr>
            </w:pPr>
          </w:p>
        </w:tc>
        <w:tc>
          <w:tcPr>
            <w:tcW w:w="1581" w:type="pct"/>
            <w:tcBorders>
              <w:top w:val="single" w:color="000000" w:sz="4" w:space="0"/>
              <w:left w:val="single" w:color="000000" w:sz="4" w:space="0"/>
              <w:bottom w:val="single" w:color="000000" w:sz="4" w:space="0"/>
              <w:right w:val="single" w:color="000000" w:sz="4" w:space="0"/>
            </w:tcBorders>
            <w:vAlign w:val="center"/>
          </w:tcPr>
          <w:p w14:paraId="45BB2FFA">
            <w:pPr>
              <w:pStyle w:val="71"/>
              <w:spacing w:before="24" w:after="24"/>
              <w:rPr>
                <w:rFonts w:cs="Times New Roman"/>
              </w:rPr>
            </w:pPr>
            <w:r>
              <w:rPr>
                <w:rFonts w:cs="Times New Roman"/>
              </w:rPr>
              <w:t>联锁线C2（压力开关、流量开关至水泵控制箱，正压风机至正压送风口）</w:t>
            </w:r>
          </w:p>
        </w:tc>
        <w:tc>
          <w:tcPr>
            <w:tcW w:w="1437" w:type="pct"/>
            <w:tcBorders>
              <w:top w:val="single" w:color="000000" w:sz="4" w:space="0"/>
              <w:left w:val="single" w:color="000000" w:sz="4" w:space="0"/>
              <w:bottom w:val="single" w:color="000000" w:sz="4" w:space="0"/>
              <w:right w:val="single" w:color="000000" w:sz="4" w:space="0"/>
            </w:tcBorders>
            <w:vAlign w:val="center"/>
          </w:tcPr>
          <w:p w14:paraId="392C5AD2">
            <w:pPr>
              <w:pStyle w:val="71"/>
              <w:spacing w:before="24" w:after="24"/>
              <w:rPr>
                <w:rFonts w:cs="Times New Roman"/>
              </w:rPr>
            </w:pPr>
            <w:r>
              <w:rPr>
                <w:rFonts w:cs="Times New Roman"/>
              </w:rPr>
              <w:t>ZCN-KVV-4x1.5</w:t>
            </w:r>
          </w:p>
        </w:tc>
        <w:tc>
          <w:tcPr>
            <w:tcW w:w="1025" w:type="pct"/>
            <w:tcBorders>
              <w:top w:val="single" w:color="000000" w:sz="4" w:space="0"/>
              <w:left w:val="single" w:color="000000" w:sz="4" w:space="0"/>
              <w:bottom w:val="single" w:color="000000" w:sz="4" w:space="0"/>
              <w:right w:val="single" w:color="000000" w:sz="4" w:space="0"/>
            </w:tcBorders>
            <w:vAlign w:val="center"/>
          </w:tcPr>
          <w:p w14:paraId="75A4EB53">
            <w:pPr>
              <w:pStyle w:val="71"/>
              <w:spacing w:before="24" w:after="24"/>
              <w:rPr>
                <w:rFonts w:cs="Times New Roman"/>
              </w:rPr>
            </w:pPr>
            <w:r>
              <w:rPr>
                <w:rFonts w:cs="Times New Roman"/>
              </w:rPr>
              <w:t>JDG20</w:t>
            </w:r>
          </w:p>
        </w:tc>
        <w:tc>
          <w:tcPr>
            <w:tcW w:w="534" w:type="pct"/>
            <w:tcBorders>
              <w:top w:val="single" w:color="000000" w:sz="4" w:space="0"/>
              <w:left w:val="single" w:color="000000" w:sz="4" w:space="0"/>
              <w:bottom w:val="single" w:color="000000" w:sz="4" w:space="0"/>
              <w:right w:val="single" w:color="000000" w:sz="4" w:space="0"/>
            </w:tcBorders>
            <w:vAlign w:val="center"/>
          </w:tcPr>
          <w:p w14:paraId="52E4C277">
            <w:pPr>
              <w:pStyle w:val="71"/>
              <w:spacing w:before="24" w:after="24"/>
              <w:rPr>
                <w:rFonts w:cs="Times New Roman"/>
              </w:rPr>
            </w:pPr>
            <w:r>
              <w:rPr>
                <w:rFonts w:cs="Times New Roman"/>
              </w:rPr>
              <w:t>JDG20</w:t>
            </w:r>
          </w:p>
        </w:tc>
      </w:tr>
      <w:tr w14:paraId="272E3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6" w:hRule="atLeast"/>
        </w:trPr>
        <w:tc>
          <w:tcPr>
            <w:tcW w:w="422" w:type="pct"/>
            <w:vMerge w:val="continue"/>
            <w:tcBorders>
              <w:top w:val="nil"/>
              <w:left w:val="single" w:color="000000" w:sz="4" w:space="0"/>
              <w:bottom w:val="single" w:color="000000" w:sz="4" w:space="0"/>
              <w:right w:val="single" w:color="000000" w:sz="4" w:space="0"/>
            </w:tcBorders>
            <w:vAlign w:val="center"/>
          </w:tcPr>
          <w:p w14:paraId="3D2A4500">
            <w:pPr>
              <w:pStyle w:val="71"/>
              <w:spacing w:before="24" w:after="24"/>
              <w:rPr>
                <w:rFonts w:cs="Times New Roman"/>
              </w:rPr>
            </w:pPr>
          </w:p>
        </w:tc>
        <w:tc>
          <w:tcPr>
            <w:tcW w:w="1581" w:type="pct"/>
            <w:tcBorders>
              <w:top w:val="single" w:color="000000" w:sz="4" w:space="0"/>
              <w:left w:val="single" w:color="000000" w:sz="4" w:space="0"/>
              <w:bottom w:val="single" w:color="000000" w:sz="4" w:space="0"/>
              <w:right w:val="single" w:color="000000" w:sz="4" w:space="0"/>
            </w:tcBorders>
            <w:vAlign w:val="center"/>
          </w:tcPr>
          <w:p w14:paraId="19A5E765">
            <w:pPr>
              <w:pStyle w:val="71"/>
              <w:spacing w:before="24" w:after="24"/>
              <w:rPr>
                <w:rFonts w:cs="Times New Roman"/>
              </w:rPr>
            </w:pPr>
            <w:r>
              <w:rPr>
                <w:rFonts w:cs="Times New Roman"/>
              </w:rPr>
              <w:t>风机（含配电室风机）至金属模块箱控制线</w:t>
            </w:r>
          </w:p>
        </w:tc>
        <w:tc>
          <w:tcPr>
            <w:tcW w:w="1437" w:type="pct"/>
            <w:tcBorders>
              <w:top w:val="single" w:color="000000" w:sz="4" w:space="0"/>
              <w:left w:val="single" w:color="000000" w:sz="4" w:space="0"/>
              <w:bottom w:val="single" w:color="000000" w:sz="4" w:space="0"/>
              <w:right w:val="single" w:color="000000" w:sz="4" w:space="0"/>
            </w:tcBorders>
            <w:vAlign w:val="center"/>
          </w:tcPr>
          <w:p w14:paraId="0CAAD1BB">
            <w:pPr>
              <w:pStyle w:val="71"/>
              <w:spacing w:before="24" w:after="24"/>
              <w:rPr>
                <w:rFonts w:cs="Times New Roman"/>
              </w:rPr>
            </w:pPr>
            <w:r>
              <w:rPr>
                <w:rFonts w:cs="Times New Roman"/>
              </w:rPr>
              <w:t>7（ZCN-RVS-2X1.5）</w:t>
            </w:r>
          </w:p>
          <w:p w14:paraId="103CA3B7">
            <w:pPr>
              <w:pStyle w:val="71"/>
              <w:spacing w:before="24" w:after="24"/>
              <w:rPr>
                <w:rFonts w:cs="Times New Roman"/>
              </w:rPr>
            </w:pPr>
          </w:p>
        </w:tc>
        <w:tc>
          <w:tcPr>
            <w:tcW w:w="1025" w:type="pct"/>
            <w:tcBorders>
              <w:top w:val="single" w:color="000000" w:sz="4" w:space="0"/>
              <w:left w:val="single" w:color="000000" w:sz="4" w:space="0"/>
              <w:bottom w:val="single" w:color="000000" w:sz="4" w:space="0"/>
              <w:right w:val="single" w:color="000000" w:sz="4" w:space="0"/>
            </w:tcBorders>
            <w:vAlign w:val="center"/>
          </w:tcPr>
          <w:p w14:paraId="0161607A">
            <w:pPr>
              <w:pStyle w:val="71"/>
              <w:spacing w:before="24" w:after="24"/>
              <w:rPr>
                <w:rFonts w:cs="Times New Roman"/>
              </w:rPr>
            </w:pPr>
            <w:r>
              <w:rPr>
                <w:rFonts w:cs="Times New Roman"/>
              </w:rPr>
              <w:t>JDG32</w:t>
            </w:r>
          </w:p>
        </w:tc>
        <w:tc>
          <w:tcPr>
            <w:tcW w:w="534" w:type="pct"/>
            <w:tcBorders>
              <w:top w:val="single" w:color="000000" w:sz="4" w:space="0"/>
              <w:left w:val="single" w:color="000000" w:sz="4" w:space="0"/>
              <w:bottom w:val="single" w:color="000000" w:sz="4" w:space="0"/>
              <w:right w:val="single" w:color="000000" w:sz="4" w:space="0"/>
            </w:tcBorders>
            <w:vAlign w:val="center"/>
          </w:tcPr>
          <w:p w14:paraId="0FBED641">
            <w:pPr>
              <w:pStyle w:val="71"/>
              <w:spacing w:before="24" w:after="24"/>
              <w:rPr>
                <w:rFonts w:cs="Times New Roman"/>
              </w:rPr>
            </w:pPr>
            <w:r>
              <w:rPr>
                <w:rFonts w:cs="Times New Roman"/>
              </w:rPr>
              <w:t>JDG32</w:t>
            </w:r>
          </w:p>
        </w:tc>
      </w:tr>
      <w:tr w14:paraId="75AD1F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6" w:hRule="atLeast"/>
        </w:trPr>
        <w:tc>
          <w:tcPr>
            <w:tcW w:w="422" w:type="pct"/>
            <w:vMerge w:val="continue"/>
            <w:tcBorders>
              <w:top w:val="nil"/>
              <w:left w:val="single" w:color="000000" w:sz="4" w:space="0"/>
              <w:bottom w:val="single" w:color="000000" w:sz="4" w:space="0"/>
              <w:right w:val="single" w:color="000000" w:sz="4" w:space="0"/>
            </w:tcBorders>
            <w:vAlign w:val="center"/>
          </w:tcPr>
          <w:p w14:paraId="33CE2BA4">
            <w:pPr>
              <w:pStyle w:val="71"/>
              <w:spacing w:before="24" w:after="24"/>
              <w:rPr>
                <w:rFonts w:cs="Times New Roman"/>
              </w:rPr>
            </w:pPr>
          </w:p>
        </w:tc>
        <w:tc>
          <w:tcPr>
            <w:tcW w:w="1581" w:type="pct"/>
            <w:tcBorders>
              <w:top w:val="single" w:color="000000" w:sz="4" w:space="0"/>
              <w:left w:val="single" w:color="000000" w:sz="4" w:space="0"/>
              <w:bottom w:val="single" w:color="000000" w:sz="4" w:space="0"/>
              <w:right w:val="single" w:color="000000" w:sz="4" w:space="0"/>
            </w:tcBorders>
            <w:vAlign w:val="center"/>
          </w:tcPr>
          <w:p w14:paraId="076CF3BB">
            <w:pPr>
              <w:pStyle w:val="71"/>
              <w:spacing w:before="24" w:after="24"/>
              <w:rPr>
                <w:rFonts w:cs="Times New Roman"/>
              </w:rPr>
            </w:pPr>
            <w:r>
              <w:rPr>
                <w:rFonts w:cs="Times New Roman"/>
              </w:rPr>
              <w:t>消防泵至金属模块箱控制线</w:t>
            </w:r>
          </w:p>
        </w:tc>
        <w:tc>
          <w:tcPr>
            <w:tcW w:w="1437" w:type="pct"/>
            <w:tcBorders>
              <w:top w:val="single" w:color="000000" w:sz="4" w:space="0"/>
              <w:left w:val="single" w:color="000000" w:sz="4" w:space="0"/>
              <w:bottom w:val="single" w:color="000000" w:sz="4" w:space="0"/>
              <w:right w:val="single" w:color="000000" w:sz="4" w:space="0"/>
            </w:tcBorders>
            <w:vAlign w:val="center"/>
          </w:tcPr>
          <w:p w14:paraId="79CF1127">
            <w:pPr>
              <w:pStyle w:val="71"/>
              <w:spacing w:before="24" w:after="24"/>
              <w:rPr>
                <w:rFonts w:cs="Times New Roman"/>
              </w:rPr>
            </w:pPr>
            <w:r>
              <w:rPr>
                <w:rFonts w:cs="Times New Roman"/>
              </w:rPr>
              <w:t>9（ZCN-RVS-2X1.5）</w:t>
            </w:r>
          </w:p>
          <w:p w14:paraId="17D200EA">
            <w:pPr>
              <w:pStyle w:val="71"/>
              <w:spacing w:before="24" w:after="24"/>
              <w:rPr>
                <w:rFonts w:cs="Times New Roman"/>
              </w:rPr>
            </w:pPr>
          </w:p>
        </w:tc>
        <w:tc>
          <w:tcPr>
            <w:tcW w:w="1025" w:type="pct"/>
            <w:tcBorders>
              <w:top w:val="single" w:color="000000" w:sz="4" w:space="0"/>
              <w:left w:val="single" w:color="000000" w:sz="4" w:space="0"/>
              <w:bottom w:val="single" w:color="000000" w:sz="4" w:space="0"/>
              <w:right w:val="single" w:color="000000" w:sz="4" w:space="0"/>
            </w:tcBorders>
            <w:vAlign w:val="center"/>
          </w:tcPr>
          <w:p w14:paraId="6E79D6EA">
            <w:pPr>
              <w:pStyle w:val="71"/>
              <w:spacing w:before="24" w:after="24"/>
              <w:rPr>
                <w:rFonts w:cs="Times New Roman"/>
              </w:rPr>
            </w:pPr>
            <w:r>
              <w:rPr>
                <w:rFonts w:cs="Times New Roman"/>
              </w:rPr>
              <w:t>JDG32</w:t>
            </w:r>
          </w:p>
        </w:tc>
        <w:tc>
          <w:tcPr>
            <w:tcW w:w="534" w:type="pct"/>
            <w:tcBorders>
              <w:top w:val="single" w:color="000000" w:sz="4" w:space="0"/>
              <w:left w:val="single" w:color="000000" w:sz="4" w:space="0"/>
              <w:bottom w:val="single" w:color="000000" w:sz="4" w:space="0"/>
              <w:right w:val="single" w:color="000000" w:sz="4" w:space="0"/>
            </w:tcBorders>
            <w:vAlign w:val="center"/>
          </w:tcPr>
          <w:p w14:paraId="5336BAE7">
            <w:pPr>
              <w:pStyle w:val="71"/>
              <w:spacing w:before="24" w:after="24"/>
              <w:rPr>
                <w:rFonts w:cs="Times New Roman"/>
              </w:rPr>
            </w:pPr>
            <w:r>
              <w:rPr>
                <w:rFonts w:cs="Times New Roman"/>
              </w:rPr>
              <w:t>JDG32</w:t>
            </w:r>
          </w:p>
        </w:tc>
      </w:tr>
      <w:tr w14:paraId="700A77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422" w:type="pct"/>
            <w:vMerge w:val="restart"/>
            <w:tcBorders>
              <w:top w:val="nil"/>
              <w:left w:val="single" w:color="000000" w:sz="4" w:space="0"/>
              <w:bottom w:val="single" w:color="000000" w:sz="4" w:space="0"/>
              <w:right w:val="single" w:color="000000" w:sz="4" w:space="0"/>
            </w:tcBorders>
            <w:vAlign w:val="center"/>
          </w:tcPr>
          <w:p w14:paraId="0D9803E8">
            <w:pPr>
              <w:pStyle w:val="71"/>
              <w:spacing w:before="24" w:after="24"/>
              <w:rPr>
                <w:rFonts w:cs="Times New Roman"/>
              </w:rPr>
            </w:pPr>
            <w:r>
              <w:rPr>
                <w:rFonts w:cs="Times New Roman"/>
              </w:rPr>
              <w:t>一氧化碳监测系统</w:t>
            </w:r>
          </w:p>
        </w:tc>
        <w:tc>
          <w:tcPr>
            <w:tcW w:w="1581" w:type="pct"/>
            <w:tcBorders>
              <w:top w:val="single" w:color="000000" w:sz="4" w:space="0"/>
              <w:left w:val="single" w:color="000000" w:sz="4" w:space="0"/>
              <w:bottom w:val="single" w:color="000000" w:sz="4" w:space="0"/>
              <w:right w:val="single" w:color="000000" w:sz="4" w:space="0"/>
            </w:tcBorders>
            <w:vAlign w:val="center"/>
          </w:tcPr>
          <w:p w14:paraId="1BDA90DC">
            <w:pPr>
              <w:pStyle w:val="71"/>
              <w:spacing w:before="24" w:after="24"/>
              <w:rPr>
                <w:rFonts w:cs="Times New Roman"/>
              </w:rPr>
            </w:pPr>
            <w:r>
              <w:rPr>
                <w:rFonts w:cs="Times New Roman"/>
              </w:rPr>
              <w:t>DDC输出信号线（风机控制箱至DDC）</w:t>
            </w:r>
          </w:p>
        </w:tc>
        <w:tc>
          <w:tcPr>
            <w:tcW w:w="1437" w:type="pct"/>
            <w:tcBorders>
              <w:top w:val="single" w:color="000000" w:sz="4" w:space="0"/>
              <w:left w:val="single" w:color="000000" w:sz="4" w:space="0"/>
              <w:bottom w:val="single" w:color="000000" w:sz="4" w:space="0"/>
              <w:right w:val="single" w:color="000000" w:sz="4" w:space="0"/>
            </w:tcBorders>
            <w:vAlign w:val="center"/>
          </w:tcPr>
          <w:p w14:paraId="2AF3F687">
            <w:pPr>
              <w:pStyle w:val="71"/>
              <w:spacing w:before="24" w:after="24"/>
              <w:rPr>
                <w:rFonts w:cs="Times New Roman"/>
              </w:rPr>
            </w:pPr>
            <w:r>
              <w:rPr>
                <w:rFonts w:cs="Times New Roman"/>
              </w:rPr>
              <w:t>ZCN-KVV-6x1.5</w:t>
            </w:r>
          </w:p>
        </w:tc>
        <w:tc>
          <w:tcPr>
            <w:tcW w:w="1025" w:type="pct"/>
            <w:tcBorders>
              <w:top w:val="single" w:color="000000" w:sz="4" w:space="0"/>
              <w:left w:val="single" w:color="000000" w:sz="4" w:space="0"/>
              <w:bottom w:val="single" w:color="000000" w:sz="4" w:space="0"/>
              <w:right w:val="single" w:color="000000" w:sz="4" w:space="0"/>
            </w:tcBorders>
            <w:vAlign w:val="center"/>
          </w:tcPr>
          <w:p w14:paraId="6C457221">
            <w:pPr>
              <w:pStyle w:val="71"/>
              <w:spacing w:before="24" w:after="24"/>
              <w:rPr>
                <w:rFonts w:cs="Times New Roman"/>
              </w:rPr>
            </w:pPr>
            <w:r>
              <w:rPr>
                <w:rFonts w:cs="Times New Roman"/>
              </w:rPr>
              <w:t>JDG25</w:t>
            </w:r>
          </w:p>
        </w:tc>
        <w:tc>
          <w:tcPr>
            <w:tcW w:w="534" w:type="pct"/>
            <w:tcBorders>
              <w:top w:val="single" w:color="000000" w:sz="4" w:space="0"/>
              <w:left w:val="single" w:color="000000" w:sz="4" w:space="0"/>
              <w:bottom w:val="single" w:color="000000" w:sz="4" w:space="0"/>
              <w:right w:val="single" w:color="000000" w:sz="4" w:space="0"/>
            </w:tcBorders>
            <w:vAlign w:val="center"/>
          </w:tcPr>
          <w:p w14:paraId="3F385B11">
            <w:pPr>
              <w:pStyle w:val="71"/>
              <w:spacing w:before="24" w:after="24"/>
              <w:rPr>
                <w:rFonts w:cs="Times New Roman"/>
              </w:rPr>
            </w:pPr>
            <w:r>
              <w:rPr>
                <w:rFonts w:cs="Times New Roman"/>
              </w:rPr>
              <w:t>JDG25</w:t>
            </w:r>
          </w:p>
        </w:tc>
      </w:tr>
      <w:tr w14:paraId="06D96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 w:hRule="atLeast"/>
        </w:trPr>
        <w:tc>
          <w:tcPr>
            <w:tcW w:w="422" w:type="pct"/>
            <w:vMerge w:val="continue"/>
            <w:tcBorders>
              <w:top w:val="nil"/>
              <w:left w:val="single" w:color="000000" w:sz="4" w:space="0"/>
              <w:bottom w:val="single" w:color="000000" w:sz="4" w:space="0"/>
              <w:right w:val="single" w:color="000000" w:sz="4" w:space="0"/>
            </w:tcBorders>
            <w:vAlign w:val="center"/>
          </w:tcPr>
          <w:p w14:paraId="5C93E7FC">
            <w:pPr>
              <w:pStyle w:val="71"/>
              <w:spacing w:before="24" w:after="24"/>
              <w:rPr>
                <w:rFonts w:cs="Times New Roman"/>
              </w:rPr>
            </w:pPr>
          </w:p>
        </w:tc>
        <w:tc>
          <w:tcPr>
            <w:tcW w:w="1581" w:type="pct"/>
            <w:tcBorders>
              <w:top w:val="single" w:color="000000" w:sz="4" w:space="0"/>
              <w:left w:val="single" w:color="000000" w:sz="4" w:space="0"/>
              <w:bottom w:val="single" w:color="000000" w:sz="4" w:space="0"/>
              <w:right w:val="single" w:color="000000" w:sz="4" w:space="0"/>
            </w:tcBorders>
            <w:vAlign w:val="center"/>
          </w:tcPr>
          <w:p w14:paraId="31379DAB">
            <w:pPr>
              <w:pStyle w:val="71"/>
              <w:spacing w:before="24" w:after="24"/>
              <w:rPr>
                <w:rFonts w:cs="Times New Roman"/>
              </w:rPr>
            </w:pPr>
            <w:r>
              <w:rPr>
                <w:rFonts w:cs="Times New Roman"/>
              </w:rPr>
              <w:t>CO控制线路CO</w:t>
            </w:r>
          </w:p>
        </w:tc>
        <w:tc>
          <w:tcPr>
            <w:tcW w:w="1437" w:type="pct"/>
            <w:tcBorders>
              <w:top w:val="single" w:color="000000" w:sz="4" w:space="0"/>
              <w:left w:val="single" w:color="000000" w:sz="4" w:space="0"/>
              <w:bottom w:val="single" w:color="000000" w:sz="4" w:space="0"/>
              <w:right w:val="single" w:color="000000" w:sz="4" w:space="0"/>
            </w:tcBorders>
            <w:vAlign w:val="center"/>
          </w:tcPr>
          <w:p w14:paraId="3DA86AE9">
            <w:pPr>
              <w:pStyle w:val="71"/>
              <w:spacing w:before="24" w:after="24"/>
              <w:rPr>
                <w:rFonts w:cs="Times New Roman"/>
              </w:rPr>
            </w:pPr>
            <w:r>
              <w:rPr>
                <w:rFonts w:cs="Times New Roman"/>
              </w:rPr>
              <w:t>ZC-RVS-2x1.5</w:t>
            </w:r>
          </w:p>
        </w:tc>
        <w:tc>
          <w:tcPr>
            <w:tcW w:w="1025" w:type="pct"/>
            <w:tcBorders>
              <w:top w:val="single" w:color="000000" w:sz="4" w:space="0"/>
              <w:left w:val="single" w:color="000000" w:sz="4" w:space="0"/>
              <w:bottom w:val="single" w:color="000000" w:sz="4" w:space="0"/>
              <w:right w:val="single" w:color="000000" w:sz="4" w:space="0"/>
            </w:tcBorders>
            <w:vAlign w:val="center"/>
          </w:tcPr>
          <w:p w14:paraId="011A328F">
            <w:pPr>
              <w:pStyle w:val="71"/>
              <w:spacing w:before="24" w:after="24"/>
              <w:rPr>
                <w:rFonts w:cs="Times New Roman"/>
              </w:rPr>
            </w:pPr>
            <w:r>
              <w:rPr>
                <w:rFonts w:cs="Times New Roman"/>
              </w:rPr>
              <w:t>JDG20</w:t>
            </w:r>
          </w:p>
        </w:tc>
        <w:tc>
          <w:tcPr>
            <w:tcW w:w="534" w:type="pct"/>
            <w:tcBorders>
              <w:top w:val="single" w:color="000000" w:sz="4" w:space="0"/>
              <w:left w:val="single" w:color="000000" w:sz="4" w:space="0"/>
              <w:bottom w:val="single" w:color="000000" w:sz="4" w:space="0"/>
              <w:right w:val="single" w:color="000000" w:sz="4" w:space="0"/>
            </w:tcBorders>
            <w:vAlign w:val="center"/>
          </w:tcPr>
          <w:p w14:paraId="6512371E">
            <w:pPr>
              <w:pStyle w:val="71"/>
              <w:spacing w:before="24" w:after="24"/>
              <w:rPr>
                <w:rFonts w:cs="Times New Roman"/>
              </w:rPr>
            </w:pPr>
            <w:r>
              <w:rPr>
                <w:rFonts w:cs="Times New Roman"/>
              </w:rPr>
              <w:t>JDG20</w:t>
            </w:r>
          </w:p>
        </w:tc>
      </w:tr>
      <w:tr w14:paraId="44BCE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2" w:type="pct"/>
            <w:tcBorders>
              <w:top w:val="single" w:color="000000" w:sz="4" w:space="0"/>
              <w:left w:val="single" w:color="000000" w:sz="4" w:space="0"/>
              <w:bottom w:val="single" w:color="000000" w:sz="4" w:space="0"/>
              <w:right w:val="single" w:color="000000" w:sz="4" w:space="0"/>
            </w:tcBorders>
            <w:vAlign w:val="center"/>
          </w:tcPr>
          <w:p w14:paraId="5DAA318C">
            <w:pPr>
              <w:pStyle w:val="71"/>
              <w:spacing w:before="24" w:after="24"/>
              <w:rPr>
                <w:rFonts w:cs="Times New Roman"/>
              </w:rPr>
            </w:pPr>
            <w:r>
              <w:rPr>
                <w:rFonts w:cs="Times New Roman"/>
              </w:rPr>
              <w:t>电气火灾监控系统</w:t>
            </w:r>
          </w:p>
        </w:tc>
        <w:tc>
          <w:tcPr>
            <w:tcW w:w="1581" w:type="pct"/>
            <w:tcBorders>
              <w:top w:val="single" w:color="000000" w:sz="4" w:space="0"/>
              <w:left w:val="single" w:color="000000" w:sz="4" w:space="0"/>
              <w:bottom w:val="single" w:color="000000" w:sz="4" w:space="0"/>
              <w:right w:val="single" w:color="000000" w:sz="4" w:space="0"/>
            </w:tcBorders>
            <w:vAlign w:val="center"/>
          </w:tcPr>
          <w:p w14:paraId="653BC1FE">
            <w:pPr>
              <w:pStyle w:val="71"/>
              <w:spacing w:before="24" w:after="24"/>
              <w:rPr>
                <w:rFonts w:cs="Times New Roman"/>
              </w:rPr>
            </w:pPr>
            <w:r>
              <w:rPr>
                <w:rFonts w:cs="Times New Roman"/>
              </w:rPr>
              <w:t>信号总线</w:t>
            </w:r>
          </w:p>
        </w:tc>
        <w:tc>
          <w:tcPr>
            <w:tcW w:w="1437" w:type="pct"/>
            <w:tcBorders>
              <w:top w:val="single" w:color="000000" w:sz="4" w:space="0"/>
              <w:left w:val="single" w:color="000000" w:sz="4" w:space="0"/>
              <w:bottom w:val="single" w:color="000000" w:sz="4" w:space="0"/>
              <w:right w:val="single" w:color="000000" w:sz="4" w:space="0"/>
            </w:tcBorders>
            <w:vAlign w:val="center"/>
          </w:tcPr>
          <w:p w14:paraId="408E09F6">
            <w:pPr>
              <w:pStyle w:val="71"/>
              <w:spacing w:before="24" w:after="24"/>
              <w:rPr>
                <w:rFonts w:cs="Times New Roman"/>
              </w:rPr>
            </w:pPr>
            <w:r>
              <w:rPr>
                <w:rFonts w:cs="Times New Roman"/>
              </w:rPr>
              <w:t>ZC-RVS-2x1.5</w:t>
            </w:r>
          </w:p>
        </w:tc>
        <w:tc>
          <w:tcPr>
            <w:tcW w:w="1025" w:type="pct"/>
            <w:tcBorders>
              <w:top w:val="single" w:color="000000" w:sz="4" w:space="0"/>
              <w:left w:val="single" w:color="000000" w:sz="4" w:space="0"/>
              <w:bottom w:val="single" w:color="000000" w:sz="4" w:space="0"/>
              <w:right w:val="single" w:color="000000" w:sz="4" w:space="0"/>
            </w:tcBorders>
            <w:vAlign w:val="center"/>
          </w:tcPr>
          <w:p w14:paraId="2420F04B">
            <w:pPr>
              <w:pStyle w:val="71"/>
              <w:spacing w:before="24" w:after="24"/>
              <w:rPr>
                <w:rFonts w:cs="Times New Roman"/>
              </w:rPr>
            </w:pPr>
            <w:r>
              <w:rPr>
                <w:rFonts w:cs="Times New Roman"/>
              </w:rPr>
              <w:t>JDG20</w:t>
            </w:r>
          </w:p>
        </w:tc>
        <w:tc>
          <w:tcPr>
            <w:tcW w:w="534" w:type="pct"/>
            <w:tcBorders>
              <w:top w:val="single" w:color="000000" w:sz="4" w:space="0"/>
              <w:left w:val="single" w:color="000000" w:sz="4" w:space="0"/>
              <w:bottom w:val="single" w:color="000000" w:sz="4" w:space="0"/>
              <w:right w:val="single" w:color="000000" w:sz="4" w:space="0"/>
            </w:tcBorders>
            <w:vAlign w:val="center"/>
          </w:tcPr>
          <w:p w14:paraId="1EAF437E">
            <w:pPr>
              <w:pStyle w:val="71"/>
              <w:spacing w:before="24" w:after="24"/>
              <w:rPr>
                <w:rFonts w:cs="Times New Roman"/>
              </w:rPr>
            </w:pPr>
            <w:r>
              <w:rPr>
                <w:rFonts w:cs="Times New Roman"/>
              </w:rPr>
              <w:t>JDG20</w:t>
            </w:r>
          </w:p>
        </w:tc>
      </w:tr>
      <w:tr w14:paraId="73561F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2" w:type="pct"/>
            <w:vMerge w:val="restart"/>
            <w:tcBorders>
              <w:top w:val="nil"/>
              <w:left w:val="single" w:color="000000" w:sz="4" w:space="0"/>
              <w:bottom w:val="single" w:color="000000" w:sz="4" w:space="0"/>
              <w:right w:val="single" w:color="000000" w:sz="4" w:space="0"/>
            </w:tcBorders>
            <w:vAlign w:val="center"/>
          </w:tcPr>
          <w:p w14:paraId="1F24C066">
            <w:pPr>
              <w:pStyle w:val="71"/>
              <w:spacing w:before="24" w:after="24"/>
              <w:rPr>
                <w:rFonts w:cs="Times New Roman"/>
              </w:rPr>
            </w:pPr>
            <w:r>
              <w:rPr>
                <w:rFonts w:cs="Times New Roman"/>
              </w:rPr>
              <w:t>防火门监控系统</w:t>
            </w:r>
          </w:p>
        </w:tc>
        <w:tc>
          <w:tcPr>
            <w:tcW w:w="1581" w:type="pct"/>
            <w:tcBorders>
              <w:top w:val="single" w:color="000000" w:sz="4" w:space="0"/>
              <w:left w:val="single" w:color="000000" w:sz="4" w:space="0"/>
              <w:bottom w:val="single" w:color="000000" w:sz="4" w:space="0"/>
              <w:right w:val="single" w:color="000000" w:sz="4" w:space="0"/>
            </w:tcBorders>
            <w:vAlign w:val="center"/>
          </w:tcPr>
          <w:p w14:paraId="5FF5C54C">
            <w:pPr>
              <w:pStyle w:val="71"/>
              <w:spacing w:before="24" w:after="24"/>
              <w:rPr>
                <w:rFonts w:cs="Times New Roman"/>
              </w:rPr>
            </w:pPr>
            <w:r>
              <w:rPr>
                <w:rFonts w:cs="Times New Roman"/>
              </w:rPr>
              <w:t>总线（常闭BM）</w:t>
            </w:r>
          </w:p>
        </w:tc>
        <w:tc>
          <w:tcPr>
            <w:tcW w:w="1437" w:type="pct"/>
            <w:tcBorders>
              <w:top w:val="single" w:color="000000" w:sz="4" w:space="0"/>
              <w:left w:val="single" w:color="000000" w:sz="4" w:space="0"/>
              <w:bottom w:val="single" w:color="000000" w:sz="4" w:space="0"/>
              <w:right w:val="single" w:color="000000" w:sz="4" w:space="0"/>
            </w:tcBorders>
            <w:vAlign w:val="center"/>
          </w:tcPr>
          <w:p w14:paraId="729ECFF2">
            <w:pPr>
              <w:pStyle w:val="71"/>
              <w:spacing w:before="24" w:after="24"/>
              <w:rPr>
                <w:rFonts w:cs="Times New Roman"/>
              </w:rPr>
            </w:pPr>
            <w:r>
              <w:rPr>
                <w:rFonts w:cs="Times New Roman"/>
              </w:rPr>
              <w:t>ZC-RVS-2x1.5</w:t>
            </w:r>
          </w:p>
        </w:tc>
        <w:tc>
          <w:tcPr>
            <w:tcW w:w="1025" w:type="pct"/>
            <w:tcBorders>
              <w:top w:val="single" w:color="000000" w:sz="4" w:space="0"/>
              <w:left w:val="single" w:color="000000" w:sz="4" w:space="0"/>
              <w:bottom w:val="single" w:color="000000" w:sz="4" w:space="0"/>
              <w:right w:val="single" w:color="000000" w:sz="4" w:space="0"/>
            </w:tcBorders>
            <w:vAlign w:val="center"/>
          </w:tcPr>
          <w:p w14:paraId="519C60DD">
            <w:pPr>
              <w:pStyle w:val="71"/>
              <w:spacing w:before="24" w:after="24"/>
              <w:rPr>
                <w:rFonts w:cs="Times New Roman"/>
              </w:rPr>
            </w:pPr>
            <w:r>
              <w:rPr>
                <w:rFonts w:cs="Times New Roman"/>
              </w:rPr>
              <w:t>JDG20</w:t>
            </w:r>
          </w:p>
        </w:tc>
        <w:tc>
          <w:tcPr>
            <w:tcW w:w="534" w:type="pct"/>
            <w:tcBorders>
              <w:top w:val="single" w:color="000000" w:sz="4" w:space="0"/>
              <w:left w:val="single" w:color="000000" w:sz="4" w:space="0"/>
              <w:bottom w:val="single" w:color="000000" w:sz="4" w:space="0"/>
              <w:right w:val="single" w:color="000000" w:sz="4" w:space="0"/>
            </w:tcBorders>
            <w:vAlign w:val="center"/>
          </w:tcPr>
          <w:p w14:paraId="773CD220">
            <w:pPr>
              <w:pStyle w:val="71"/>
              <w:spacing w:before="24" w:after="24"/>
              <w:rPr>
                <w:rFonts w:cs="Times New Roman"/>
              </w:rPr>
            </w:pPr>
            <w:r>
              <w:rPr>
                <w:rFonts w:cs="Times New Roman"/>
              </w:rPr>
              <w:t>JDG20</w:t>
            </w:r>
          </w:p>
        </w:tc>
      </w:tr>
      <w:tr w14:paraId="3B271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2" w:type="pct"/>
            <w:vMerge w:val="continue"/>
            <w:tcBorders>
              <w:top w:val="nil"/>
              <w:left w:val="single" w:color="000000" w:sz="4" w:space="0"/>
              <w:bottom w:val="single" w:color="000000" w:sz="4" w:space="0"/>
              <w:right w:val="single" w:color="000000" w:sz="4" w:space="0"/>
            </w:tcBorders>
            <w:vAlign w:val="center"/>
          </w:tcPr>
          <w:p w14:paraId="4A08C6E5">
            <w:pPr>
              <w:pStyle w:val="71"/>
              <w:spacing w:before="24" w:after="24"/>
              <w:rPr>
                <w:rFonts w:cs="Times New Roman"/>
              </w:rPr>
            </w:pPr>
          </w:p>
        </w:tc>
        <w:tc>
          <w:tcPr>
            <w:tcW w:w="1581" w:type="pct"/>
            <w:tcBorders>
              <w:top w:val="single" w:color="000000" w:sz="4" w:space="0"/>
              <w:left w:val="single" w:color="000000" w:sz="4" w:space="0"/>
              <w:bottom w:val="single" w:color="000000" w:sz="4" w:space="0"/>
              <w:right w:val="single" w:color="000000" w:sz="4" w:space="0"/>
            </w:tcBorders>
            <w:vAlign w:val="center"/>
          </w:tcPr>
          <w:p w14:paraId="4DC323D2">
            <w:pPr>
              <w:pStyle w:val="71"/>
              <w:spacing w:before="24" w:after="24"/>
              <w:rPr>
                <w:rFonts w:cs="Times New Roman"/>
              </w:rPr>
            </w:pPr>
            <w:r>
              <w:rPr>
                <w:rFonts w:cs="Times New Roman"/>
              </w:rPr>
              <w:t>总线+电源线（常开KM）</w:t>
            </w:r>
          </w:p>
        </w:tc>
        <w:tc>
          <w:tcPr>
            <w:tcW w:w="1437" w:type="pct"/>
            <w:tcBorders>
              <w:top w:val="single" w:color="000000" w:sz="4" w:space="0"/>
              <w:left w:val="single" w:color="000000" w:sz="4" w:space="0"/>
              <w:bottom w:val="single" w:color="000000" w:sz="4" w:space="0"/>
              <w:right w:val="single" w:color="000000" w:sz="4" w:space="0"/>
            </w:tcBorders>
            <w:vAlign w:val="center"/>
          </w:tcPr>
          <w:p w14:paraId="524206F4">
            <w:pPr>
              <w:pStyle w:val="71"/>
              <w:spacing w:before="24" w:after="24"/>
              <w:rPr>
                <w:rFonts w:cs="Times New Roman"/>
              </w:rPr>
            </w:pPr>
            <w:r>
              <w:rPr>
                <w:rFonts w:cs="Times New Roman"/>
              </w:rPr>
              <w:t>ZC-RVS-2x1.5+ZCN-BV-2x2.5</w:t>
            </w:r>
          </w:p>
        </w:tc>
        <w:tc>
          <w:tcPr>
            <w:tcW w:w="1025" w:type="pct"/>
            <w:tcBorders>
              <w:top w:val="single" w:color="000000" w:sz="4" w:space="0"/>
              <w:left w:val="single" w:color="000000" w:sz="4" w:space="0"/>
              <w:bottom w:val="single" w:color="000000" w:sz="4" w:space="0"/>
              <w:right w:val="single" w:color="000000" w:sz="4" w:space="0"/>
            </w:tcBorders>
            <w:vAlign w:val="center"/>
          </w:tcPr>
          <w:p w14:paraId="4A11AC69">
            <w:pPr>
              <w:pStyle w:val="71"/>
              <w:spacing w:before="24" w:after="24"/>
              <w:rPr>
                <w:rFonts w:cs="Times New Roman"/>
              </w:rPr>
            </w:pPr>
            <w:r>
              <w:rPr>
                <w:rFonts w:cs="Times New Roman"/>
              </w:rPr>
              <w:t>JDG20</w:t>
            </w:r>
          </w:p>
        </w:tc>
        <w:tc>
          <w:tcPr>
            <w:tcW w:w="534" w:type="pct"/>
            <w:tcBorders>
              <w:top w:val="single" w:color="000000" w:sz="4" w:space="0"/>
              <w:left w:val="single" w:color="000000" w:sz="4" w:space="0"/>
              <w:bottom w:val="single" w:color="000000" w:sz="4" w:space="0"/>
              <w:right w:val="single" w:color="000000" w:sz="4" w:space="0"/>
            </w:tcBorders>
            <w:vAlign w:val="center"/>
          </w:tcPr>
          <w:p w14:paraId="231015F5">
            <w:pPr>
              <w:pStyle w:val="71"/>
              <w:spacing w:before="24" w:after="24"/>
              <w:rPr>
                <w:rFonts w:cs="Times New Roman"/>
              </w:rPr>
            </w:pPr>
            <w:r>
              <w:rPr>
                <w:rFonts w:cs="Times New Roman"/>
              </w:rPr>
              <w:t>JDG20</w:t>
            </w:r>
          </w:p>
        </w:tc>
      </w:tr>
      <w:tr w14:paraId="14101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2" w:type="pct"/>
            <w:vMerge w:val="restart"/>
            <w:tcBorders>
              <w:top w:val="nil"/>
              <w:left w:val="single" w:color="000000" w:sz="4" w:space="0"/>
              <w:bottom w:val="single" w:color="000000" w:sz="4" w:space="0"/>
              <w:right w:val="single" w:color="000000" w:sz="4" w:space="0"/>
            </w:tcBorders>
            <w:vAlign w:val="center"/>
          </w:tcPr>
          <w:p w14:paraId="6651A3F0">
            <w:pPr>
              <w:pStyle w:val="71"/>
              <w:spacing w:before="24" w:after="24"/>
              <w:rPr>
                <w:rFonts w:cs="Times New Roman"/>
              </w:rPr>
            </w:pPr>
            <w:r>
              <w:rPr>
                <w:rFonts w:cs="Times New Roman"/>
              </w:rPr>
              <w:t>消防电源监控系统</w:t>
            </w:r>
          </w:p>
        </w:tc>
        <w:tc>
          <w:tcPr>
            <w:tcW w:w="1581" w:type="pct"/>
            <w:tcBorders>
              <w:top w:val="single" w:color="000000" w:sz="4" w:space="0"/>
              <w:left w:val="single" w:color="000000" w:sz="4" w:space="0"/>
              <w:bottom w:val="single" w:color="000000" w:sz="4" w:space="0"/>
              <w:right w:val="single" w:color="000000" w:sz="4" w:space="0"/>
            </w:tcBorders>
            <w:vAlign w:val="center"/>
          </w:tcPr>
          <w:p w14:paraId="650B1044">
            <w:pPr>
              <w:pStyle w:val="71"/>
              <w:spacing w:before="24" w:after="24"/>
              <w:rPr>
                <w:rFonts w:cs="Times New Roman"/>
              </w:rPr>
            </w:pPr>
            <w:r>
              <w:rPr>
                <w:rFonts w:cs="Times New Roman"/>
              </w:rPr>
              <w:t>信号总线（DJ）</w:t>
            </w:r>
          </w:p>
        </w:tc>
        <w:tc>
          <w:tcPr>
            <w:tcW w:w="1437" w:type="pct"/>
            <w:tcBorders>
              <w:top w:val="single" w:color="000000" w:sz="4" w:space="0"/>
              <w:left w:val="single" w:color="000000" w:sz="4" w:space="0"/>
              <w:bottom w:val="single" w:color="000000" w:sz="4" w:space="0"/>
              <w:right w:val="single" w:color="000000" w:sz="4" w:space="0"/>
            </w:tcBorders>
            <w:vAlign w:val="center"/>
          </w:tcPr>
          <w:p w14:paraId="747BF7FC">
            <w:pPr>
              <w:pStyle w:val="71"/>
              <w:spacing w:before="24" w:after="24"/>
              <w:rPr>
                <w:rFonts w:cs="Times New Roman"/>
              </w:rPr>
            </w:pPr>
            <w:r>
              <w:rPr>
                <w:rFonts w:cs="Times New Roman"/>
              </w:rPr>
              <w:t>ZC-RVS-2x1.5</w:t>
            </w:r>
          </w:p>
        </w:tc>
        <w:tc>
          <w:tcPr>
            <w:tcW w:w="1025" w:type="pct"/>
            <w:tcBorders>
              <w:top w:val="single" w:color="000000" w:sz="4" w:space="0"/>
              <w:left w:val="single" w:color="000000" w:sz="4" w:space="0"/>
              <w:bottom w:val="single" w:color="000000" w:sz="4" w:space="0"/>
              <w:right w:val="single" w:color="000000" w:sz="4" w:space="0"/>
            </w:tcBorders>
            <w:vAlign w:val="center"/>
          </w:tcPr>
          <w:p w14:paraId="52E58558">
            <w:pPr>
              <w:pStyle w:val="71"/>
              <w:spacing w:before="24" w:after="24"/>
              <w:rPr>
                <w:rFonts w:cs="Times New Roman"/>
              </w:rPr>
            </w:pPr>
            <w:r>
              <w:rPr>
                <w:rFonts w:cs="Times New Roman"/>
              </w:rPr>
              <w:t>JDG20</w:t>
            </w:r>
          </w:p>
        </w:tc>
        <w:tc>
          <w:tcPr>
            <w:tcW w:w="534" w:type="pct"/>
            <w:tcBorders>
              <w:top w:val="single" w:color="000000" w:sz="4" w:space="0"/>
              <w:left w:val="single" w:color="000000" w:sz="4" w:space="0"/>
              <w:bottom w:val="single" w:color="000000" w:sz="4" w:space="0"/>
              <w:right w:val="single" w:color="000000" w:sz="4" w:space="0"/>
            </w:tcBorders>
            <w:vAlign w:val="center"/>
          </w:tcPr>
          <w:p w14:paraId="4A39521E">
            <w:pPr>
              <w:pStyle w:val="71"/>
              <w:spacing w:before="24" w:after="24"/>
              <w:rPr>
                <w:rFonts w:cs="Times New Roman"/>
              </w:rPr>
            </w:pPr>
            <w:r>
              <w:rPr>
                <w:rFonts w:cs="Times New Roman"/>
              </w:rPr>
              <w:t>JDG20</w:t>
            </w:r>
          </w:p>
        </w:tc>
      </w:tr>
      <w:tr w14:paraId="2F15E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2" w:type="pct"/>
            <w:vMerge w:val="continue"/>
            <w:tcBorders>
              <w:top w:val="nil"/>
              <w:left w:val="single" w:color="000000" w:sz="4" w:space="0"/>
              <w:bottom w:val="single" w:color="000000" w:sz="4" w:space="0"/>
              <w:right w:val="single" w:color="000000" w:sz="4" w:space="0"/>
            </w:tcBorders>
            <w:vAlign w:val="center"/>
          </w:tcPr>
          <w:p w14:paraId="4870B116">
            <w:pPr>
              <w:pStyle w:val="71"/>
              <w:spacing w:before="24" w:after="24"/>
              <w:rPr>
                <w:rFonts w:cs="Times New Roman"/>
              </w:rPr>
            </w:pPr>
          </w:p>
        </w:tc>
        <w:tc>
          <w:tcPr>
            <w:tcW w:w="1581" w:type="pct"/>
            <w:tcBorders>
              <w:top w:val="single" w:color="000000" w:sz="4" w:space="0"/>
              <w:left w:val="single" w:color="000000" w:sz="4" w:space="0"/>
              <w:bottom w:val="single" w:color="000000" w:sz="4" w:space="0"/>
              <w:right w:val="single" w:color="000000" w:sz="4" w:space="0"/>
            </w:tcBorders>
            <w:vAlign w:val="center"/>
          </w:tcPr>
          <w:p w14:paraId="26466220">
            <w:pPr>
              <w:pStyle w:val="71"/>
              <w:spacing w:before="24" w:after="24"/>
              <w:rPr>
                <w:rFonts w:cs="Times New Roman"/>
              </w:rPr>
            </w:pPr>
            <w:r>
              <w:rPr>
                <w:rFonts w:cs="Times New Roman"/>
              </w:rPr>
              <w:t>电源线（至区域分机D）</w:t>
            </w:r>
          </w:p>
        </w:tc>
        <w:tc>
          <w:tcPr>
            <w:tcW w:w="1437" w:type="pct"/>
            <w:tcBorders>
              <w:top w:val="single" w:color="000000" w:sz="4" w:space="0"/>
              <w:left w:val="single" w:color="000000" w:sz="4" w:space="0"/>
              <w:bottom w:val="single" w:color="000000" w:sz="4" w:space="0"/>
              <w:right w:val="single" w:color="000000" w:sz="4" w:space="0"/>
            </w:tcBorders>
            <w:vAlign w:val="center"/>
          </w:tcPr>
          <w:p w14:paraId="752F23E3">
            <w:pPr>
              <w:pStyle w:val="71"/>
              <w:spacing w:before="24" w:after="24"/>
              <w:rPr>
                <w:rFonts w:cs="Times New Roman"/>
              </w:rPr>
            </w:pPr>
            <w:r>
              <w:rPr>
                <w:rFonts w:cs="Times New Roman"/>
              </w:rPr>
              <w:t>ZCN-BV-2x2.5</w:t>
            </w:r>
          </w:p>
        </w:tc>
        <w:tc>
          <w:tcPr>
            <w:tcW w:w="1025" w:type="pct"/>
            <w:tcBorders>
              <w:top w:val="single" w:color="000000" w:sz="4" w:space="0"/>
              <w:left w:val="single" w:color="000000" w:sz="4" w:space="0"/>
              <w:bottom w:val="single" w:color="000000" w:sz="4" w:space="0"/>
              <w:right w:val="single" w:color="000000" w:sz="4" w:space="0"/>
            </w:tcBorders>
            <w:vAlign w:val="center"/>
          </w:tcPr>
          <w:p w14:paraId="2C80B97F">
            <w:pPr>
              <w:pStyle w:val="71"/>
              <w:spacing w:before="24" w:after="24"/>
              <w:rPr>
                <w:rFonts w:cs="Times New Roman"/>
              </w:rPr>
            </w:pPr>
            <w:r>
              <w:rPr>
                <w:rFonts w:cs="Times New Roman"/>
              </w:rPr>
              <w:t>JDG20</w:t>
            </w:r>
          </w:p>
        </w:tc>
        <w:tc>
          <w:tcPr>
            <w:tcW w:w="534" w:type="pct"/>
            <w:tcBorders>
              <w:top w:val="single" w:color="000000" w:sz="4" w:space="0"/>
              <w:left w:val="single" w:color="000000" w:sz="4" w:space="0"/>
              <w:bottom w:val="single" w:color="000000" w:sz="4" w:space="0"/>
              <w:right w:val="single" w:color="000000" w:sz="4" w:space="0"/>
            </w:tcBorders>
            <w:vAlign w:val="center"/>
          </w:tcPr>
          <w:p w14:paraId="615904B1">
            <w:pPr>
              <w:pStyle w:val="71"/>
              <w:spacing w:before="24" w:after="24"/>
              <w:rPr>
                <w:rFonts w:cs="Times New Roman"/>
              </w:rPr>
            </w:pPr>
            <w:r>
              <w:rPr>
                <w:rFonts w:cs="Times New Roman"/>
              </w:rPr>
              <w:t>JDG20</w:t>
            </w:r>
          </w:p>
        </w:tc>
      </w:tr>
      <w:tr w14:paraId="506B2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2" w:type="pct"/>
            <w:vMerge w:val="restart"/>
            <w:tcBorders>
              <w:top w:val="nil"/>
              <w:left w:val="single" w:color="000000" w:sz="4" w:space="0"/>
              <w:bottom w:val="single" w:color="000000" w:sz="4" w:space="0"/>
              <w:right w:val="single" w:color="000000" w:sz="4" w:space="0"/>
            </w:tcBorders>
            <w:vAlign w:val="center"/>
          </w:tcPr>
          <w:p w14:paraId="76273BD7">
            <w:pPr>
              <w:pStyle w:val="71"/>
              <w:spacing w:before="24" w:after="24"/>
              <w:rPr>
                <w:rFonts w:cs="Times New Roman"/>
              </w:rPr>
            </w:pPr>
            <w:r>
              <w:rPr>
                <w:rFonts w:cs="Times New Roman"/>
              </w:rPr>
              <w:t>余压监控系统</w:t>
            </w:r>
          </w:p>
        </w:tc>
        <w:tc>
          <w:tcPr>
            <w:tcW w:w="1581" w:type="pct"/>
            <w:tcBorders>
              <w:top w:val="single" w:color="000000" w:sz="4" w:space="0"/>
              <w:left w:val="single" w:color="000000" w:sz="4" w:space="0"/>
              <w:bottom w:val="single" w:color="000000" w:sz="4" w:space="0"/>
              <w:right w:val="single" w:color="000000" w:sz="4" w:space="0"/>
            </w:tcBorders>
            <w:vAlign w:val="center"/>
          </w:tcPr>
          <w:p w14:paraId="5A2F8D02">
            <w:pPr>
              <w:pStyle w:val="71"/>
              <w:spacing w:before="24" w:after="24"/>
              <w:rPr>
                <w:rFonts w:cs="Times New Roman"/>
              </w:rPr>
            </w:pPr>
            <w:r>
              <w:rPr>
                <w:rFonts w:cs="Times New Roman"/>
              </w:rPr>
              <w:t>信号总线（S）</w:t>
            </w:r>
          </w:p>
        </w:tc>
        <w:tc>
          <w:tcPr>
            <w:tcW w:w="1437" w:type="pct"/>
            <w:tcBorders>
              <w:top w:val="single" w:color="000000" w:sz="4" w:space="0"/>
              <w:left w:val="single" w:color="000000" w:sz="4" w:space="0"/>
              <w:bottom w:val="single" w:color="000000" w:sz="4" w:space="0"/>
              <w:right w:val="single" w:color="000000" w:sz="4" w:space="0"/>
            </w:tcBorders>
            <w:vAlign w:val="center"/>
          </w:tcPr>
          <w:p w14:paraId="6D4160C3">
            <w:pPr>
              <w:pStyle w:val="71"/>
              <w:spacing w:before="24" w:after="24"/>
              <w:rPr>
                <w:rFonts w:cs="Times New Roman"/>
              </w:rPr>
            </w:pPr>
            <w:r>
              <w:rPr>
                <w:rFonts w:cs="Times New Roman"/>
              </w:rPr>
              <w:t>ZC-RVS-2x1.5</w:t>
            </w:r>
          </w:p>
        </w:tc>
        <w:tc>
          <w:tcPr>
            <w:tcW w:w="1025" w:type="pct"/>
            <w:tcBorders>
              <w:top w:val="single" w:color="000000" w:sz="4" w:space="0"/>
              <w:left w:val="single" w:color="000000" w:sz="4" w:space="0"/>
              <w:bottom w:val="single" w:color="000000" w:sz="4" w:space="0"/>
              <w:right w:val="single" w:color="000000" w:sz="4" w:space="0"/>
            </w:tcBorders>
            <w:vAlign w:val="center"/>
          </w:tcPr>
          <w:p w14:paraId="002A0D48">
            <w:pPr>
              <w:pStyle w:val="71"/>
              <w:spacing w:before="24" w:after="24"/>
              <w:rPr>
                <w:rFonts w:cs="Times New Roman"/>
              </w:rPr>
            </w:pPr>
            <w:r>
              <w:rPr>
                <w:rFonts w:cs="Times New Roman"/>
              </w:rPr>
              <w:t>JDG20</w:t>
            </w:r>
          </w:p>
        </w:tc>
        <w:tc>
          <w:tcPr>
            <w:tcW w:w="534" w:type="pct"/>
            <w:tcBorders>
              <w:top w:val="single" w:color="000000" w:sz="4" w:space="0"/>
              <w:left w:val="single" w:color="000000" w:sz="4" w:space="0"/>
              <w:bottom w:val="single" w:color="000000" w:sz="4" w:space="0"/>
              <w:right w:val="single" w:color="000000" w:sz="4" w:space="0"/>
            </w:tcBorders>
            <w:vAlign w:val="center"/>
          </w:tcPr>
          <w:p w14:paraId="684C411F">
            <w:pPr>
              <w:pStyle w:val="71"/>
              <w:spacing w:before="24" w:after="24"/>
              <w:rPr>
                <w:rFonts w:cs="Times New Roman"/>
              </w:rPr>
            </w:pPr>
            <w:r>
              <w:rPr>
                <w:rFonts w:cs="Times New Roman"/>
              </w:rPr>
              <w:t>JDG20</w:t>
            </w:r>
          </w:p>
        </w:tc>
      </w:tr>
      <w:tr w14:paraId="095165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2" w:type="pct"/>
            <w:vMerge w:val="continue"/>
            <w:tcBorders>
              <w:top w:val="nil"/>
              <w:left w:val="single" w:color="000000" w:sz="4" w:space="0"/>
              <w:bottom w:val="single" w:color="000000" w:sz="4" w:space="0"/>
              <w:right w:val="single" w:color="000000" w:sz="4" w:space="0"/>
            </w:tcBorders>
            <w:vAlign w:val="center"/>
          </w:tcPr>
          <w:p w14:paraId="39610326">
            <w:pPr>
              <w:pStyle w:val="71"/>
              <w:spacing w:before="24" w:after="24"/>
              <w:rPr>
                <w:rFonts w:cs="Times New Roman"/>
              </w:rPr>
            </w:pPr>
          </w:p>
        </w:tc>
        <w:tc>
          <w:tcPr>
            <w:tcW w:w="1581" w:type="pct"/>
            <w:tcBorders>
              <w:top w:val="single" w:color="000000" w:sz="4" w:space="0"/>
              <w:left w:val="single" w:color="000000" w:sz="4" w:space="0"/>
              <w:bottom w:val="single" w:color="000000" w:sz="4" w:space="0"/>
              <w:right w:val="single" w:color="000000" w:sz="4" w:space="0"/>
            </w:tcBorders>
            <w:vAlign w:val="center"/>
          </w:tcPr>
          <w:p w14:paraId="59C2A052">
            <w:pPr>
              <w:pStyle w:val="71"/>
              <w:spacing w:before="24" w:after="24"/>
              <w:rPr>
                <w:rFonts w:cs="Times New Roman"/>
              </w:rPr>
            </w:pPr>
            <w:r>
              <w:rPr>
                <w:rFonts w:cs="Times New Roman"/>
              </w:rPr>
              <w:t>联动线（至泄压执行器K）</w:t>
            </w:r>
          </w:p>
        </w:tc>
        <w:tc>
          <w:tcPr>
            <w:tcW w:w="1437" w:type="pct"/>
            <w:tcBorders>
              <w:top w:val="single" w:color="000000" w:sz="4" w:space="0"/>
              <w:left w:val="single" w:color="000000" w:sz="4" w:space="0"/>
              <w:bottom w:val="single" w:color="000000" w:sz="4" w:space="0"/>
              <w:right w:val="single" w:color="000000" w:sz="4" w:space="0"/>
            </w:tcBorders>
            <w:vAlign w:val="center"/>
          </w:tcPr>
          <w:p w14:paraId="1A8D49A0">
            <w:pPr>
              <w:pStyle w:val="71"/>
              <w:spacing w:before="24" w:after="24"/>
              <w:rPr>
                <w:rFonts w:cs="Times New Roman"/>
              </w:rPr>
            </w:pPr>
            <w:r>
              <w:rPr>
                <w:rFonts w:cs="Times New Roman"/>
              </w:rPr>
              <w:t>ZCN-KVV-7x1.5</w:t>
            </w:r>
          </w:p>
        </w:tc>
        <w:tc>
          <w:tcPr>
            <w:tcW w:w="1025" w:type="pct"/>
            <w:tcBorders>
              <w:top w:val="single" w:color="000000" w:sz="4" w:space="0"/>
              <w:left w:val="single" w:color="000000" w:sz="4" w:space="0"/>
              <w:bottom w:val="single" w:color="000000" w:sz="4" w:space="0"/>
              <w:right w:val="single" w:color="000000" w:sz="4" w:space="0"/>
            </w:tcBorders>
            <w:vAlign w:val="center"/>
          </w:tcPr>
          <w:p w14:paraId="394E3ED1">
            <w:pPr>
              <w:pStyle w:val="71"/>
              <w:spacing w:before="24" w:after="24"/>
              <w:rPr>
                <w:rFonts w:cs="Times New Roman"/>
              </w:rPr>
            </w:pPr>
            <w:r>
              <w:rPr>
                <w:rFonts w:cs="Times New Roman"/>
              </w:rPr>
              <w:t>JDG20</w:t>
            </w:r>
          </w:p>
        </w:tc>
        <w:tc>
          <w:tcPr>
            <w:tcW w:w="534" w:type="pct"/>
            <w:tcBorders>
              <w:top w:val="single" w:color="000000" w:sz="4" w:space="0"/>
              <w:left w:val="single" w:color="000000" w:sz="4" w:space="0"/>
              <w:bottom w:val="single" w:color="000000" w:sz="4" w:space="0"/>
              <w:right w:val="single" w:color="000000" w:sz="4" w:space="0"/>
            </w:tcBorders>
            <w:vAlign w:val="center"/>
          </w:tcPr>
          <w:p w14:paraId="09CC9A8A">
            <w:pPr>
              <w:pStyle w:val="71"/>
              <w:spacing w:before="24" w:after="24"/>
              <w:rPr>
                <w:rFonts w:cs="Times New Roman"/>
              </w:rPr>
            </w:pPr>
            <w:r>
              <w:rPr>
                <w:rFonts w:cs="Times New Roman"/>
              </w:rPr>
              <w:t>JDG32</w:t>
            </w:r>
          </w:p>
        </w:tc>
      </w:tr>
      <w:tr w14:paraId="339AD8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2" w:type="pct"/>
            <w:vMerge w:val="continue"/>
            <w:tcBorders>
              <w:top w:val="nil"/>
              <w:left w:val="single" w:color="000000" w:sz="4" w:space="0"/>
              <w:bottom w:val="single" w:color="000000" w:sz="4" w:space="0"/>
              <w:right w:val="single" w:color="000000" w:sz="4" w:space="0"/>
            </w:tcBorders>
            <w:vAlign w:val="center"/>
          </w:tcPr>
          <w:p w14:paraId="12C199A9">
            <w:pPr>
              <w:pStyle w:val="71"/>
              <w:spacing w:before="24" w:after="24"/>
              <w:rPr>
                <w:rFonts w:cs="Times New Roman"/>
              </w:rPr>
            </w:pPr>
          </w:p>
        </w:tc>
        <w:tc>
          <w:tcPr>
            <w:tcW w:w="1581" w:type="pct"/>
            <w:tcBorders>
              <w:top w:val="single" w:color="000000" w:sz="4" w:space="0"/>
              <w:left w:val="single" w:color="000000" w:sz="4" w:space="0"/>
              <w:bottom w:val="single" w:color="000000" w:sz="4" w:space="0"/>
              <w:right w:val="single" w:color="000000" w:sz="4" w:space="0"/>
            </w:tcBorders>
            <w:vAlign w:val="center"/>
          </w:tcPr>
          <w:p w14:paraId="2830B593">
            <w:pPr>
              <w:pStyle w:val="71"/>
              <w:spacing w:before="24" w:after="24"/>
              <w:rPr>
                <w:rFonts w:cs="Times New Roman"/>
              </w:rPr>
            </w:pPr>
            <w:r>
              <w:rPr>
                <w:rFonts w:cs="Times New Roman"/>
              </w:rPr>
              <w:t>控制器电源线D</w:t>
            </w:r>
          </w:p>
        </w:tc>
        <w:tc>
          <w:tcPr>
            <w:tcW w:w="1437" w:type="pct"/>
            <w:tcBorders>
              <w:top w:val="single" w:color="000000" w:sz="4" w:space="0"/>
              <w:left w:val="single" w:color="000000" w:sz="4" w:space="0"/>
              <w:bottom w:val="single" w:color="000000" w:sz="4" w:space="0"/>
              <w:right w:val="single" w:color="000000" w:sz="4" w:space="0"/>
            </w:tcBorders>
            <w:vAlign w:val="center"/>
          </w:tcPr>
          <w:p w14:paraId="6FB27F52">
            <w:pPr>
              <w:pStyle w:val="71"/>
              <w:spacing w:before="24" w:after="24"/>
              <w:rPr>
                <w:rFonts w:cs="Times New Roman"/>
              </w:rPr>
            </w:pPr>
            <w:r>
              <w:rPr>
                <w:rFonts w:cs="Times New Roman"/>
              </w:rPr>
              <w:t>ZCN-BV-2x2.5</w:t>
            </w:r>
          </w:p>
        </w:tc>
        <w:tc>
          <w:tcPr>
            <w:tcW w:w="1025" w:type="pct"/>
            <w:tcBorders>
              <w:top w:val="single" w:color="000000" w:sz="4" w:space="0"/>
              <w:left w:val="single" w:color="000000" w:sz="4" w:space="0"/>
              <w:bottom w:val="single" w:color="000000" w:sz="4" w:space="0"/>
              <w:right w:val="single" w:color="000000" w:sz="4" w:space="0"/>
            </w:tcBorders>
            <w:vAlign w:val="center"/>
          </w:tcPr>
          <w:p w14:paraId="2DCB7276">
            <w:pPr>
              <w:pStyle w:val="71"/>
              <w:spacing w:before="24" w:after="24"/>
              <w:rPr>
                <w:rFonts w:cs="Times New Roman"/>
              </w:rPr>
            </w:pPr>
            <w:r>
              <w:rPr>
                <w:rFonts w:cs="Times New Roman"/>
              </w:rPr>
              <w:t>JDG20</w:t>
            </w:r>
          </w:p>
        </w:tc>
        <w:tc>
          <w:tcPr>
            <w:tcW w:w="534" w:type="pct"/>
            <w:tcBorders>
              <w:top w:val="single" w:color="000000" w:sz="4" w:space="0"/>
              <w:left w:val="single" w:color="000000" w:sz="4" w:space="0"/>
              <w:bottom w:val="single" w:color="000000" w:sz="4" w:space="0"/>
              <w:right w:val="single" w:color="000000" w:sz="4" w:space="0"/>
            </w:tcBorders>
            <w:vAlign w:val="center"/>
          </w:tcPr>
          <w:p w14:paraId="70F2F480">
            <w:pPr>
              <w:pStyle w:val="71"/>
              <w:spacing w:before="24" w:after="24"/>
              <w:rPr>
                <w:rFonts w:cs="Times New Roman"/>
              </w:rPr>
            </w:pPr>
            <w:r>
              <w:rPr>
                <w:rFonts w:cs="Times New Roman"/>
              </w:rPr>
              <w:t>JDG20</w:t>
            </w:r>
          </w:p>
        </w:tc>
      </w:tr>
      <w:tr w14:paraId="0888A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trPr>
        <w:tc>
          <w:tcPr>
            <w:tcW w:w="422" w:type="pct"/>
            <w:vMerge w:val="restart"/>
            <w:tcBorders>
              <w:top w:val="nil"/>
              <w:left w:val="single" w:color="000000" w:sz="4" w:space="0"/>
              <w:bottom w:val="single" w:color="000000" w:sz="4" w:space="0"/>
              <w:right w:val="single" w:color="000000" w:sz="4" w:space="0"/>
            </w:tcBorders>
            <w:vAlign w:val="center"/>
          </w:tcPr>
          <w:p w14:paraId="5669AB83">
            <w:pPr>
              <w:pStyle w:val="71"/>
              <w:spacing w:before="24" w:after="24"/>
              <w:rPr>
                <w:rFonts w:cs="Times New Roman"/>
              </w:rPr>
            </w:pPr>
            <w:r>
              <w:rPr>
                <w:rFonts w:cs="Times New Roman"/>
              </w:rPr>
              <w:t>气体灭火系统</w:t>
            </w:r>
          </w:p>
        </w:tc>
        <w:tc>
          <w:tcPr>
            <w:tcW w:w="1581" w:type="pct"/>
            <w:tcBorders>
              <w:top w:val="single" w:color="000000" w:sz="4" w:space="0"/>
              <w:left w:val="single" w:color="000000" w:sz="4" w:space="0"/>
              <w:bottom w:val="single" w:color="000000" w:sz="4" w:space="0"/>
              <w:right w:val="single" w:color="000000" w:sz="4" w:space="0"/>
            </w:tcBorders>
            <w:vAlign w:val="center"/>
          </w:tcPr>
          <w:p w14:paraId="2EE5A5BF">
            <w:pPr>
              <w:pStyle w:val="71"/>
              <w:spacing w:before="24" w:after="24"/>
              <w:rPr>
                <w:rFonts w:cs="Times New Roman"/>
              </w:rPr>
            </w:pPr>
            <w:r>
              <w:rPr>
                <w:rFonts w:cs="Times New Roman"/>
              </w:rPr>
              <w:t>信号线（CAN总线S2）</w:t>
            </w:r>
          </w:p>
        </w:tc>
        <w:tc>
          <w:tcPr>
            <w:tcW w:w="1437" w:type="pct"/>
            <w:tcBorders>
              <w:top w:val="single" w:color="000000" w:sz="4" w:space="0"/>
              <w:left w:val="single" w:color="000000" w:sz="4" w:space="0"/>
              <w:bottom w:val="single" w:color="000000" w:sz="4" w:space="0"/>
              <w:right w:val="single" w:color="000000" w:sz="4" w:space="0"/>
            </w:tcBorders>
            <w:vAlign w:val="center"/>
          </w:tcPr>
          <w:p w14:paraId="3B144C1B">
            <w:pPr>
              <w:pStyle w:val="71"/>
              <w:spacing w:before="24" w:after="24"/>
              <w:rPr>
                <w:rFonts w:cs="Times New Roman"/>
              </w:rPr>
            </w:pPr>
            <w:r>
              <w:rPr>
                <w:rFonts w:cs="Times New Roman"/>
              </w:rPr>
              <w:t>ZCN-RVS-2x1.5</w:t>
            </w:r>
          </w:p>
        </w:tc>
        <w:tc>
          <w:tcPr>
            <w:tcW w:w="1025" w:type="pct"/>
            <w:tcBorders>
              <w:top w:val="single" w:color="000000" w:sz="4" w:space="0"/>
              <w:left w:val="single" w:color="000000" w:sz="4" w:space="0"/>
              <w:bottom w:val="single" w:color="000000" w:sz="4" w:space="0"/>
              <w:right w:val="single" w:color="000000" w:sz="4" w:space="0"/>
            </w:tcBorders>
            <w:vAlign w:val="center"/>
          </w:tcPr>
          <w:p w14:paraId="14B878BC">
            <w:pPr>
              <w:pStyle w:val="71"/>
              <w:spacing w:before="24" w:after="24"/>
              <w:rPr>
                <w:rFonts w:cs="Times New Roman"/>
              </w:rPr>
            </w:pPr>
            <w:r>
              <w:rPr>
                <w:rFonts w:cs="Times New Roman"/>
              </w:rPr>
              <w:t>JDG20</w:t>
            </w:r>
          </w:p>
        </w:tc>
        <w:tc>
          <w:tcPr>
            <w:tcW w:w="534" w:type="pct"/>
            <w:tcBorders>
              <w:top w:val="single" w:color="000000" w:sz="4" w:space="0"/>
              <w:left w:val="single" w:color="000000" w:sz="4" w:space="0"/>
              <w:bottom w:val="single" w:color="000000" w:sz="4" w:space="0"/>
              <w:right w:val="single" w:color="000000" w:sz="4" w:space="0"/>
            </w:tcBorders>
            <w:vAlign w:val="center"/>
          </w:tcPr>
          <w:p w14:paraId="03FC7E5F">
            <w:pPr>
              <w:pStyle w:val="71"/>
              <w:spacing w:before="24" w:after="24"/>
              <w:rPr>
                <w:rFonts w:cs="Times New Roman"/>
              </w:rPr>
            </w:pPr>
            <w:r>
              <w:rPr>
                <w:rFonts w:cs="Times New Roman"/>
              </w:rPr>
              <w:t>JDG20</w:t>
            </w:r>
          </w:p>
        </w:tc>
      </w:tr>
      <w:tr w14:paraId="7CFF8B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 w:hRule="atLeast"/>
        </w:trPr>
        <w:tc>
          <w:tcPr>
            <w:tcW w:w="422" w:type="pct"/>
            <w:vMerge w:val="continue"/>
            <w:tcBorders>
              <w:top w:val="nil"/>
              <w:left w:val="single" w:color="000000" w:sz="4" w:space="0"/>
              <w:bottom w:val="single" w:color="000000" w:sz="4" w:space="0"/>
              <w:right w:val="single" w:color="000000" w:sz="4" w:space="0"/>
            </w:tcBorders>
            <w:vAlign w:val="center"/>
          </w:tcPr>
          <w:p w14:paraId="7E6A2BB6">
            <w:pPr>
              <w:pStyle w:val="71"/>
              <w:spacing w:before="24" w:after="24"/>
              <w:rPr>
                <w:rFonts w:cs="Times New Roman"/>
              </w:rPr>
            </w:pPr>
          </w:p>
        </w:tc>
        <w:tc>
          <w:tcPr>
            <w:tcW w:w="1581" w:type="pct"/>
            <w:tcBorders>
              <w:top w:val="single" w:color="000000" w:sz="4" w:space="0"/>
              <w:left w:val="single" w:color="000000" w:sz="4" w:space="0"/>
              <w:bottom w:val="single" w:color="000000" w:sz="4" w:space="0"/>
              <w:right w:val="single" w:color="000000" w:sz="4" w:space="0"/>
            </w:tcBorders>
            <w:vAlign w:val="center"/>
          </w:tcPr>
          <w:p w14:paraId="4A1BD44F">
            <w:pPr>
              <w:pStyle w:val="71"/>
              <w:spacing w:before="24" w:after="24"/>
              <w:rPr>
                <w:rFonts w:cs="Times New Roman"/>
              </w:rPr>
            </w:pPr>
            <w:r>
              <w:rPr>
                <w:rFonts w:cs="Times New Roman"/>
              </w:rPr>
              <w:t>电源线（D）</w:t>
            </w:r>
          </w:p>
        </w:tc>
        <w:tc>
          <w:tcPr>
            <w:tcW w:w="1437" w:type="pct"/>
            <w:tcBorders>
              <w:top w:val="single" w:color="000000" w:sz="4" w:space="0"/>
              <w:left w:val="single" w:color="000000" w:sz="4" w:space="0"/>
              <w:bottom w:val="single" w:color="000000" w:sz="4" w:space="0"/>
              <w:right w:val="single" w:color="000000" w:sz="4" w:space="0"/>
            </w:tcBorders>
            <w:vAlign w:val="center"/>
          </w:tcPr>
          <w:p w14:paraId="28ACC9D2">
            <w:pPr>
              <w:pStyle w:val="71"/>
              <w:spacing w:before="24" w:after="24"/>
              <w:rPr>
                <w:rFonts w:cs="Times New Roman"/>
              </w:rPr>
            </w:pPr>
            <w:r>
              <w:rPr>
                <w:rFonts w:cs="Times New Roman"/>
              </w:rPr>
              <w:t>ZCN-BV-2x2.5</w:t>
            </w:r>
          </w:p>
        </w:tc>
        <w:tc>
          <w:tcPr>
            <w:tcW w:w="1025" w:type="pct"/>
            <w:tcBorders>
              <w:top w:val="single" w:color="000000" w:sz="4" w:space="0"/>
              <w:left w:val="single" w:color="000000" w:sz="4" w:space="0"/>
              <w:bottom w:val="single" w:color="000000" w:sz="4" w:space="0"/>
              <w:right w:val="single" w:color="000000" w:sz="4" w:space="0"/>
            </w:tcBorders>
            <w:vAlign w:val="center"/>
          </w:tcPr>
          <w:p w14:paraId="07C73F14">
            <w:pPr>
              <w:pStyle w:val="71"/>
              <w:spacing w:before="24" w:after="24"/>
              <w:rPr>
                <w:rFonts w:cs="Times New Roman"/>
              </w:rPr>
            </w:pPr>
            <w:r>
              <w:rPr>
                <w:rFonts w:cs="Times New Roman"/>
              </w:rPr>
              <w:t>JDG20</w:t>
            </w:r>
          </w:p>
        </w:tc>
        <w:tc>
          <w:tcPr>
            <w:tcW w:w="534" w:type="pct"/>
            <w:tcBorders>
              <w:top w:val="single" w:color="000000" w:sz="4" w:space="0"/>
              <w:left w:val="single" w:color="000000" w:sz="4" w:space="0"/>
              <w:bottom w:val="single" w:color="000000" w:sz="4" w:space="0"/>
              <w:right w:val="single" w:color="000000" w:sz="4" w:space="0"/>
            </w:tcBorders>
            <w:vAlign w:val="center"/>
          </w:tcPr>
          <w:p w14:paraId="01CBA82E">
            <w:pPr>
              <w:pStyle w:val="71"/>
              <w:spacing w:before="24" w:after="24"/>
              <w:rPr>
                <w:rFonts w:cs="Times New Roman"/>
              </w:rPr>
            </w:pPr>
            <w:r>
              <w:rPr>
                <w:rFonts w:cs="Times New Roman"/>
              </w:rPr>
              <w:t>JDG20</w:t>
            </w:r>
          </w:p>
        </w:tc>
      </w:tr>
      <w:tr w14:paraId="255E4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 w:hRule="atLeast"/>
        </w:trPr>
        <w:tc>
          <w:tcPr>
            <w:tcW w:w="422" w:type="pct"/>
            <w:tcBorders>
              <w:top w:val="single" w:color="000000" w:sz="4" w:space="0"/>
              <w:left w:val="single" w:color="000000" w:sz="4" w:space="0"/>
              <w:bottom w:val="single" w:color="000000" w:sz="4" w:space="0"/>
              <w:right w:val="single" w:color="000000" w:sz="4" w:space="0"/>
            </w:tcBorders>
            <w:vAlign w:val="center"/>
          </w:tcPr>
          <w:p w14:paraId="72A62628">
            <w:pPr>
              <w:pStyle w:val="71"/>
              <w:spacing w:before="24" w:after="24"/>
              <w:rPr>
                <w:rFonts w:cs="Times New Roman"/>
              </w:rPr>
            </w:pPr>
            <w:r>
              <w:rPr>
                <w:rFonts w:cs="Times New Roman"/>
              </w:rPr>
              <w:t>其它</w:t>
            </w:r>
          </w:p>
        </w:tc>
        <w:tc>
          <w:tcPr>
            <w:tcW w:w="1581" w:type="pct"/>
            <w:tcBorders>
              <w:top w:val="single" w:color="000000" w:sz="4" w:space="0"/>
              <w:left w:val="single" w:color="000000" w:sz="4" w:space="0"/>
              <w:bottom w:val="single" w:color="000000" w:sz="4" w:space="0"/>
              <w:right w:val="single" w:color="000000" w:sz="4" w:space="0"/>
            </w:tcBorders>
            <w:vAlign w:val="center"/>
          </w:tcPr>
          <w:p w14:paraId="6B12C131">
            <w:pPr>
              <w:pStyle w:val="71"/>
              <w:spacing w:before="24" w:after="24"/>
              <w:rPr>
                <w:rFonts w:cs="Times New Roman"/>
              </w:rPr>
            </w:pPr>
            <w:r>
              <w:rPr>
                <w:rFonts w:cs="Times New Roman"/>
              </w:rPr>
              <w:t>异地控制按钮线（含排风机、水泵异地控制按钮线）（YK）</w:t>
            </w:r>
          </w:p>
        </w:tc>
        <w:tc>
          <w:tcPr>
            <w:tcW w:w="1437" w:type="pct"/>
            <w:tcBorders>
              <w:top w:val="single" w:color="000000" w:sz="4" w:space="0"/>
              <w:left w:val="single" w:color="000000" w:sz="4" w:space="0"/>
              <w:bottom w:val="single" w:color="000000" w:sz="4" w:space="0"/>
              <w:right w:val="single" w:color="000000" w:sz="4" w:space="0"/>
            </w:tcBorders>
            <w:vAlign w:val="center"/>
          </w:tcPr>
          <w:p w14:paraId="498A6DF6">
            <w:pPr>
              <w:pStyle w:val="71"/>
              <w:spacing w:before="24" w:after="24"/>
              <w:rPr>
                <w:rFonts w:cs="Times New Roman"/>
              </w:rPr>
            </w:pPr>
            <w:r>
              <w:rPr>
                <w:rFonts w:cs="Times New Roman"/>
              </w:rPr>
              <w:t>ZCN-KVV-4x1.5</w:t>
            </w:r>
          </w:p>
        </w:tc>
        <w:tc>
          <w:tcPr>
            <w:tcW w:w="1025" w:type="pct"/>
            <w:tcBorders>
              <w:top w:val="single" w:color="000000" w:sz="4" w:space="0"/>
              <w:left w:val="single" w:color="000000" w:sz="4" w:space="0"/>
              <w:bottom w:val="single" w:color="000000" w:sz="4" w:space="0"/>
              <w:right w:val="single" w:color="000000" w:sz="4" w:space="0"/>
            </w:tcBorders>
            <w:vAlign w:val="center"/>
          </w:tcPr>
          <w:p w14:paraId="5EA94544">
            <w:pPr>
              <w:pStyle w:val="71"/>
              <w:spacing w:before="24" w:after="24"/>
              <w:rPr>
                <w:rFonts w:cs="Times New Roman"/>
              </w:rPr>
            </w:pPr>
            <w:r>
              <w:rPr>
                <w:rFonts w:cs="Times New Roman"/>
              </w:rPr>
              <w:t>JDG20</w:t>
            </w:r>
          </w:p>
        </w:tc>
        <w:tc>
          <w:tcPr>
            <w:tcW w:w="534" w:type="pct"/>
            <w:tcBorders>
              <w:top w:val="single" w:color="000000" w:sz="4" w:space="0"/>
              <w:left w:val="single" w:color="000000" w:sz="4" w:space="0"/>
              <w:bottom w:val="single" w:color="000000" w:sz="4" w:space="0"/>
              <w:right w:val="single" w:color="000000" w:sz="4" w:space="0"/>
            </w:tcBorders>
            <w:vAlign w:val="center"/>
          </w:tcPr>
          <w:p w14:paraId="1ED325CF">
            <w:pPr>
              <w:pStyle w:val="71"/>
              <w:spacing w:before="24" w:after="24"/>
              <w:rPr>
                <w:rFonts w:cs="Times New Roman"/>
              </w:rPr>
            </w:pPr>
            <w:r>
              <w:rPr>
                <w:rFonts w:cs="Times New Roman"/>
              </w:rPr>
              <w:t>JDG20</w:t>
            </w:r>
          </w:p>
        </w:tc>
      </w:tr>
      <w:tr w14:paraId="3AA4D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2" w:type="pct"/>
            <w:tcBorders>
              <w:top w:val="single" w:color="000000" w:sz="4" w:space="0"/>
              <w:left w:val="single" w:color="000000" w:sz="4" w:space="0"/>
              <w:bottom w:val="single" w:color="000000" w:sz="4" w:space="0"/>
              <w:right w:val="single" w:color="000000" w:sz="4" w:space="0"/>
            </w:tcBorders>
            <w:vAlign w:val="center"/>
          </w:tcPr>
          <w:p w14:paraId="2C4E7708">
            <w:pPr>
              <w:pStyle w:val="71"/>
              <w:spacing w:before="24" w:after="24"/>
              <w:rPr>
                <w:rFonts w:cs="Times New Roman"/>
              </w:rPr>
            </w:pPr>
            <w:r>
              <w:rPr>
                <w:rFonts w:cs="Times New Roman"/>
              </w:rPr>
              <w:t>说明</w:t>
            </w:r>
          </w:p>
        </w:tc>
        <w:tc>
          <w:tcPr>
            <w:tcW w:w="4578" w:type="pct"/>
            <w:gridSpan w:val="4"/>
            <w:tcBorders>
              <w:top w:val="single" w:color="000000" w:sz="4" w:space="0"/>
              <w:left w:val="single" w:color="000000" w:sz="4" w:space="0"/>
              <w:bottom w:val="single" w:color="000000" w:sz="4" w:space="0"/>
              <w:right w:val="single" w:color="000000" w:sz="4" w:space="0"/>
            </w:tcBorders>
            <w:vAlign w:val="center"/>
          </w:tcPr>
          <w:p w14:paraId="59394918">
            <w:pPr>
              <w:pStyle w:val="71"/>
              <w:spacing w:before="24" w:after="24"/>
              <w:jc w:val="both"/>
              <w:rPr>
                <w:rFonts w:cs="Times New Roman"/>
              </w:rPr>
            </w:pPr>
            <w:r>
              <w:rPr>
                <w:rFonts w:cs="Times New Roman"/>
              </w:rPr>
              <w:t>1.进入人防区域的火灾自动报警线路采用无论明敷还是暗敷均采用穿JDG管。</w:t>
            </w:r>
          </w:p>
          <w:p w14:paraId="05B5F9BC">
            <w:pPr>
              <w:pStyle w:val="71"/>
              <w:spacing w:before="24" w:after="24"/>
              <w:jc w:val="both"/>
              <w:rPr>
                <w:rFonts w:cs="Times New Roman"/>
              </w:rPr>
            </w:pPr>
            <w:r>
              <w:rPr>
                <w:rFonts w:cs="Times New Roman"/>
              </w:rPr>
              <w:t>2.消防报警系统其他未列出的信号及控制线，电源线选型参照以上表格执行。</w:t>
            </w:r>
          </w:p>
          <w:p w14:paraId="313A56DF">
            <w:pPr>
              <w:pStyle w:val="71"/>
              <w:spacing w:before="24" w:after="24"/>
              <w:jc w:val="both"/>
              <w:rPr>
                <w:rFonts w:cs="Times New Roman"/>
              </w:rPr>
            </w:pPr>
            <w:r>
              <w:rPr>
                <w:rFonts w:cs="Times New Roman"/>
              </w:rPr>
              <w:t>3.除报警总线外，不同防火分区的线路不应穿入同一根管中。</w:t>
            </w:r>
          </w:p>
          <w:p w14:paraId="26237DFB">
            <w:pPr>
              <w:pStyle w:val="71"/>
              <w:spacing w:before="24" w:after="24"/>
              <w:jc w:val="both"/>
              <w:rPr>
                <w:rFonts w:cs="Times New Roman"/>
              </w:rPr>
            </w:pPr>
            <w:r>
              <w:rPr>
                <w:rFonts w:cs="Times New Roman"/>
              </w:rPr>
              <w:t>4．同一系统中电压等级相同的信号线，电源线可共管敷设。</w:t>
            </w:r>
          </w:p>
        </w:tc>
      </w:tr>
    </w:tbl>
    <w:p w14:paraId="62165925">
      <w:pPr>
        <w:pStyle w:val="64"/>
        <w:spacing w:before="264" w:beforeLines="110" w:after="24"/>
        <w:rPr>
          <w:rFonts w:cs="Times New Roman"/>
        </w:rPr>
      </w:pPr>
      <w:bookmarkStart w:id="105" w:name="_Toc221894136"/>
      <w:r>
        <w:rPr>
          <w:rFonts w:cs="Times New Roman"/>
        </w:rPr>
        <w:t>8、精装修专业</w:t>
      </w:r>
      <w:bookmarkEnd w:id="105"/>
    </w:p>
    <w:p w14:paraId="0E66BCAE">
      <w:pPr>
        <w:pStyle w:val="66"/>
        <w:rPr>
          <w:rFonts w:cs="Times New Roman"/>
        </w:rPr>
      </w:pPr>
      <w:r>
        <w:rPr>
          <w:rFonts w:cs="Times New Roman"/>
        </w:rPr>
        <w:t>8.1 总则</w:t>
      </w:r>
    </w:p>
    <w:p w14:paraId="166129B1">
      <w:pPr>
        <w:pStyle w:val="54"/>
        <w:spacing w:before="24" w:after="24"/>
      </w:pPr>
      <w:r>
        <w:t>建筑精装修设计是以项目的建筑、结构、给排水、暖通、电气等各专业全套施工图，以及相关的变更文件为基础开展的设计工作。精装修设计方案（效果图、材料样板、设计说明等）需经发包人确认后方可实施。</w:t>
      </w:r>
    </w:p>
    <w:p w14:paraId="288933E8">
      <w:pPr>
        <w:pStyle w:val="54"/>
        <w:spacing w:before="24" w:after="24"/>
      </w:pPr>
      <w:r>
        <w:t>精装修设计范围包括但不限于：</w:t>
      </w:r>
    </w:p>
    <w:p w14:paraId="3299257F">
      <w:pPr>
        <w:pStyle w:val="54"/>
        <w:spacing w:before="24" w:after="24"/>
      </w:pPr>
      <w:r>
        <w:t>（1）天花设计：吊顶造型、标高、材质、灯具、风口、烟感、喷淋、广播等末端的综合布置。</w:t>
      </w:r>
    </w:p>
    <w:p w14:paraId="3840474A">
      <w:pPr>
        <w:pStyle w:val="54"/>
        <w:spacing w:before="24" w:after="24"/>
      </w:pPr>
      <w:r>
        <w:t>（2）地面设计：地面铺装材料的划分、图案、标高、收口节点等。</w:t>
      </w:r>
    </w:p>
    <w:p w14:paraId="14FBA6AC">
      <w:pPr>
        <w:pStyle w:val="54"/>
        <w:spacing w:before="24" w:after="24"/>
      </w:pPr>
      <w:r>
        <w:t>（3）墙面设计：墙面装饰材料的划分、造型、与门窗洞口的收口关系等。</w:t>
      </w:r>
    </w:p>
    <w:p w14:paraId="1535BE39">
      <w:pPr>
        <w:pStyle w:val="54"/>
        <w:spacing w:before="24" w:after="24"/>
      </w:pPr>
      <w:r>
        <w:t>（4）固定家具设计：服务台、固定柜体、护墙板等的平、立、剖面及节点大样。</w:t>
      </w:r>
    </w:p>
    <w:p w14:paraId="49CF4ADA">
      <w:pPr>
        <w:pStyle w:val="54"/>
        <w:spacing w:before="24" w:after="24"/>
      </w:pPr>
      <w:r>
        <w:t>（5）门窗设计：提供室内门的选型、颜色、材质要求，并与门窗表对应。</w:t>
      </w:r>
    </w:p>
    <w:p w14:paraId="3077653D">
      <w:pPr>
        <w:pStyle w:val="54"/>
        <w:spacing w:before="24" w:after="24"/>
      </w:pPr>
      <w:r>
        <w:t>（6）装修水电设计：开关、插座、信息点、地漏、洁具、龙头等的精确定位。</w:t>
      </w:r>
    </w:p>
    <w:p w14:paraId="6F73990B">
      <w:pPr>
        <w:pStyle w:val="66"/>
        <w:rPr>
          <w:rFonts w:cs="Times New Roman"/>
        </w:rPr>
      </w:pPr>
      <w:r>
        <w:rPr>
          <w:rFonts w:cs="Times New Roman"/>
        </w:rPr>
        <w:t>8.2 精装修设计原则</w:t>
      </w:r>
    </w:p>
    <w:p w14:paraId="40C32A91">
      <w:pPr>
        <w:pStyle w:val="54"/>
        <w:spacing w:before="24" w:after="24"/>
      </w:pPr>
      <w:r>
        <w:t>（1）合规性原则</w:t>
      </w:r>
    </w:p>
    <w:p w14:paraId="1A44C1FD">
      <w:pPr>
        <w:pStyle w:val="54"/>
        <w:spacing w:before="24" w:after="24"/>
      </w:pPr>
      <w:r>
        <w:t>精装修设计需严格遵守室内精装修设计规范（详见第五章第2节设计标准和规范），确保公共空间的可达性与可用性。</w:t>
      </w:r>
    </w:p>
    <w:p w14:paraId="5AD2BB0F">
      <w:pPr>
        <w:pStyle w:val="54"/>
        <w:spacing w:before="24" w:after="24"/>
      </w:pPr>
      <w:r>
        <w:t>（2）安全性原则</w:t>
      </w:r>
    </w:p>
    <w:p w14:paraId="615F1879">
      <w:pPr>
        <w:pStyle w:val="54"/>
        <w:spacing w:before="24" w:after="24"/>
      </w:pPr>
      <w:r>
        <w:t>设计必须将安全放在首位，确保所有装修材料（特别是顶棚、墙面）的燃烧性能等级符合防火规范；不得擅自拆除、改动主体结构和消防、防火设施。</w:t>
      </w:r>
    </w:p>
    <w:p w14:paraId="183AB49F">
      <w:pPr>
        <w:pStyle w:val="54"/>
        <w:spacing w:before="24" w:after="24"/>
      </w:pPr>
      <w:r>
        <w:t>（3）协调性原则</w:t>
      </w:r>
    </w:p>
    <w:p w14:paraId="1F30095C">
      <w:pPr>
        <w:pStyle w:val="54"/>
        <w:spacing w:before="24" w:after="24"/>
      </w:pPr>
      <w:r>
        <w:t>精装修设计须与建筑、结构、机电（MEP）等各专业图纸密切配合。所有天花综合布置图均以机电各专业图纸为基础进行整合，发现矛盾时应及时会签各专业协商解决。</w:t>
      </w:r>
    </w:p>
    <w:p w14:paraId="10E3E0D9">
      <w:pPr>
        <w:pStyle w:val="54"/>
        <w:spacing w:before="24" w:after="24"/>
      </w:pPr>
      <w:r>
        <w:t>（4）可实施性原则</w:t>
      </w:r>
    </w:p>
    <w:p w14:paraId="113590D1">
      <w:pPr>
        <w:pStyle w:val="54"/>
        <w:spacing w:before="24" w:after="24"/>
      </w:pPr>
      <w:r>
        <w:t>图纸应清晰、准确，尺寸标注齐全，节点大样详实，满足材料采购、施工和工程预算的需要。</w:t>
      </w:r>
    </w:p>
    <w:p w14:paraId="4F016D4E">
      <w:pPr>
        <w:pStyle w:val="54"/>
        <w:spacing w:before="24" w:after="24"/>
      </w:pPr>
      <w:r>
        <w:t>（5）环保健康原则</w:t>
      </w:r>
    </w:p>
    <w:p w14:paraId="04CB18D7">
      <w:pPr>
        <w:pStyle w:val="54"/>
        <w:spacing w:before="24" w:after="24"/>
      </w:pPr>
      <w:r>
        <w:t>所选材料应符合国家室内环境污染控制标准，优先选用绿色、环保、节能型材料。</w:t>
      </w:r>
    </w:p>
    <w:p w14:paraId="7E8498DD">
      <w:pPr>
        <w:pStyle w:val="66"/>
        <w:rPr>
          <w:rFonts w:cs="Times New Roman"/>
        </w:rPr>
      </w:pPr>
      <w:r>
        <w:rPr>
          <w:rFonts w:cs="Times New Roman"/>
        </w:rPr>
        <w:t>8.3 精装修设计图纸深度及要求</w:t>
      </w:r>
    </w:p>
    <w:p w14:paraId="3FE94F4B">
      <w:pPr>
        <w:pStyle w:val="54"/>
        <w:spacing w:before="24" w:after="24"/>
      </w:pPr>
      <w:r>
        <w:t>（1）精装修设计图纸深度应符合中华人民共和国《建筑工程设计文件编制深度规定》（2016版）中关于施工图设计阶段的要求。</w:t>
      </w:r>
    </w:p>
    <w:p w14:paraId="7493D792">
      <w:pPr>
        <w:pStyle w:val="54"/>
        <w:spacing w:before="24" w:after="24"/>
      </w:pPr>
      <w:r>
        <w:t>（2）精装修设计图纸为建筑专业施工图的深化设计。如本图纸与建筑、结构或机电专业图纸存在矛盾，应以建筑/结构/机电专业图纸为准，并立即通知设计单位协调解决，不得擅自施工。</w:t>
      </w:r>
    </w:p>
    <w:p w14:paraId="66C1E862">
      <w:pPr>
        <w:pStyle w:val="54"/>
        <w:spacing w:before="24" w:after="24"/>
      </w:pPr>
      <w:r>
        <w:t>（3）对于复杂造型、新材料、不同材质收口等关键部位，必须提供节点放大详图，明确表达构造层次、材料、尺寸及工艺做法。</w:t>
      </w:r>
    </w:p>
    <w:p w14:paraId="37FCEA9E">
      <w:pPr>
        <w:pStyle w:val="54"/>
        <w:spacing w:before="24" w:after="24"/>
      </w:pPr>
      <w:r>
        <w:t>（4）材料标注及样板确认：精装修设计图纸中所有材料均需标注明确代号，并与“材料表”对应。材料表应注明材料名称、型号、规格、颜色、燃烧性能等级及主要技术参数。图中所示材料最终效果以经发包人、设计单位共同确认的封样材料样板为准。大面积施工前，施工单位应制作“实物样板间”或“大样板”经确认后方可展开施工。</w:t>
      </w:r>
    </w:p>
    <w:p w14:paraId="7CC18244">
      <w:pPr>
        <w:pStyle w:val="64"/>
        <w:spacing w:before="24" w:after="24"/>
        <w:rPr>
          <w:rFonts w:cs="Times New Roman"/>
        </w:rPr>
      </w:pPr>
      <w:bookmarkStart w:id="106" w:name="_Toc221894137"/>
      <w:r>
        <w:rPr>
          <w:rFonts w:cs="Times New Roman"/>
        </w:rPr>
        <w:t>9、景观绿化</w:t>
      </w:r>
      <w:bookmarkEnd w:id="106"/>
    </w:p>
    <w:p w14:paraId="26AF66DC">
      <w:pPr>
        <w:pStyle w:val="66"/>
        <w:rPr>
          <w:rFonts w:cs="Times New Roman"/>
        </w:rPr>
      </w:pPr>
      <w:r>
        <w:rPr>
          <w:rFonts w:cs="Times New Roman"/>
        </w:rPr>
        <w:t>9.1 总则</w:t>
      </w:r>
    </w:p>
    <w:p w14:paraId="3209DF03">
      <w:pPr>
        <w:pStyle w:val="54"/>
        <w:spacing w:before="24" w:after="24"/>
      </w:pPr>
      <w:r>
        <w:t>景观绿化设计应以“自然、创新、科技、美观、环保”为总体设计原则：</w:t>
      </w:r>
    </w:p>
    <w:p w14:paraId="3FBD4ECE">
      <w:pPr>
        <w:pStyle w:val="54"/>
        <w:spacing w:before="24" w:after="24"/>
      </w:pPr>
      <w:r>
        <w:t>（1）因地就势为前提</w:t>
      </w:r>
    </w:p>
    <w:p w14:paraId="5C851112">
      <w:pPr>
        <w:pStyle w:val="54"/>
        <w:spacing w:before="24" w:after="24"/>
      </w:pPr>
      <w:r>
        <w:t>充分把握地块周边自然、人文旅游资源的区位优势，因地就势，在设计中利用借景等手法，与周边环境相互融合。</w:t>
      </w:r>
    </w:p>
    <w:p w14:paraId="77ECD061">
      <w:pPr>
        <w:pStyle w:val="54"/>
        <w:spacing w:before="24" w:after="24"/>
      </w:pPr>
      <w:r>
        <w:t>（2）风格鲜明为特点</w:t>
      </w:r>
    </w:p>
    <w:p w14:paraId="53030835">
      <w:pPr>
        <w:pStyle w:val="54"/>
        <w:spacing w:before="24" w:after="24"/>
      </w:pPr>
      <w:r>
        <w:t>充分结合地域特征和人文特点，植物选择遵循“乡土树种为主”的原则，并体现独特的地域文化情结，创造出具有鲜明风格，变化丰富的自然地貌和具有地方特色的“乡土”景观。</w:t>
      </w:r>
    </w:p>
    <w:p w14:paraId="365EB38B">
      <w:pPr>
        <w:pStyle w:val="54"/>
        <w:spacing w:before="24" w:after="24"/>
      </w:pPr>
      <w:r>
        <w:t>（3）以美学理论为指导</w:t>
      </w:r>
    </w:p>
    <w:p w14:paraId="6A1AB09D">
      <w:pPr>
        <w:pStyle w:val="54"/>
        <w:spacing w:before="24" w:after="24"/>
      </w:pPr>
      <w:r>
        <w:t>在满足其功能的前提下，以美学理论为指导，进行相应的规划与设计，满足景观的整体协调与和谐。</w:t>
      </w:r>
    </w:p>
    <w:p w14:paraId="1CF65E10">
      <w:pPr>
        <w:pStyle w:val="54"/>
        <w:spacing w:before="24" w:after="24"/>
      </w:pPr>
      <w:r>
        <w:t>（4）环境保护为基础</w:t>
      </w:r>
    </w:p>
    <w:p w14:paraId="32835C49">
      <w:pPr>
        <w:pStyle w:val="54"/>
        <w:spacing w:before="24" w:after="24"/>
      </w:pPr>
      <w:r>
        <w:t>应当树立“不破坏就是最大的保护”的理念，强调对原有植被、水域的保护与利用，减少对周边自然植物群落的破坏，提升形象。</w:t>
      </w:r>
    </w:p>
    <w:p w14:paraId="74783981">
      <w:pPr>
        <w:pStyle w:val="66"/>
        <w:rPr>
          <w:rFonts w:cs="Times New Roman"/>
        </w:rPr>
      </w:pPr>
      <w:r>
        <w:rPr>
          <w:rFonts w:cs="Times New Roman"/>
        </w:rPr>
        <w:t>9.2 技术标准</w:t>
      </w:r>
    </w:p>
    <w:p w14:paraId="4342F3AA">
      <w:pPr>
        <w:pStyle w:val="54"/>
        <w:spacing w:before="24" w:after="24"/>
      </w:pPr>
      <w:r>
        <w:t>（1）绿地率：根据《德钦新县城（叶枝镇镇区）国土空间详细规划地块开发细则》，居住商业混合用地绿地率为28%；</w:t>
      </w:r>
    </w:p>
    <w:p w14:paraId="7A8A8683">
      <w:pPr>
        <w:pStyle w:val="54"/>
        <w:spacing w:before="24" w:after="24"/>
      </w:pPr>
      <w:r>
        <w:t>（2）结合海绵城市设计采用下凹式绿地。</w:t>
      </w:r>
    </w:p>
    <w:p w14:paraId="2F5753EA">
      <w:pPr>
        <w:pStyle w:val="66"/>
        <w:rPr>
          <w:rFonts w:cs="Times New Roman"/>
        </w:rPr>
      </w:pPr>
      <w:r>
        <w:rPr>
          <w:rFonts w:cs="Times New Roman"/>
        </w:rPr>
        <w:t>9.3 道路及场地铺砖设计</w:t>
      </w:r>
    </w:p>
    <w:p w14:paraId="443B0974">
      <w:pPr>
        <w:pStyle w:val="54"/>
        <w:spacing w:before="24" w:after="24"/>
      </w:pPr>
      <w:r>
        <w:t>9.3.1避免使用大面积的釉面和磨光材料，优先选择环保型、透水性的铺装材料。确保所使用的材料符合国家和地方的质量标准，无劣质、假冒产品。采用的材料为常规材料。</w:t>
      </w:r>
    </w:p>
    <w:p w14:paraId="27E691FD">
      <w:pPr>
        <w:pStyle w:val="54"/>
        <w:spacing w:before="24" w:after="24"/>
      </w:pPr>
      <w:r>
        <w:t>9.3.2工程选用的所有建筑材料和装饰材料必须符合《民用建筑工程室内环境污染控制标准》GB50325-2020和国家有关建筑材料和装修材料有害物质限量标准的有关规定。建材供应商应提供材料有害物质检测报告。</w:t>
      </w:r>
    </w:p>
    <w:p w14:paraId="537B717F">
      <w:pPr>
        <w:pStyle w:val="54"/>
        <w:spacing w:before="24" w:after="24"/>
      </w:pPr>
      <w:r>
        <w:t>9.3.3绿地园路设计应遵循下列原则</w:t>
      </w:r>
    </w:p>
    <w:p w14:paraId="41BE0621">
      <w:pPr>
        <w:pStyle w:val="54"/>
        <w:spacing w:before="24" w:after="24"/>
      </w:pPr>
      <w:r>
        <w:t>（1）园路设计应便于居民通行及游览休憩；</w:t>
      </w:r>
    </w:p>
    <w:p w14:paraId="31FDF688">
      <w:pPr>
        <w:pStyle w:val="54"/>
        <w:spacing w:before="24" w:after="24"/>
      </w:pPr>
      <w:r>
        <w:t>（2）园路宜采用透水铺装；</w:t>
      </w:r>
    </w:p>
    <w:p w14:paraId="76E79160">
      <w:pPr>
        <w:pStyle w:val="54"/>
        <w:spacing w:before="24" w:after="24"/>
      </w:pPr>
      <w:r>
        <w:t>（3）园路设计应协调好园路与市政等井盖的关系；</w:t>
      </w:r>
    </w:p>
    <w:p w14:paraId="2CC10524">
      <w:pPr>
        <w:pStyle w:val="54"/>
        <w:spacing w:before="24" w:after="24"/>
      </w:pPr>
      <w:r>
        <w:t>（4）园路铺装材料应满足防滑要求，防滑等级应满足下表要求</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85"/>
        <w:gridCol w:w="4785"/>
      </w:tblGrid>
      <w:tr w14:paraId="47BED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4785" w:type="dxa"/>
            <w:vAlign w:val="center"/>
          </w:tcPr>
          <w:p w14:paraId="03EEF3E6">
            <w:pPr>
              <w:pStyle w:val="71"/>
              <w:spacing w:before="24" w:after="24"/>
            </w:pPr>
            <w:r>
              <w:rPr>
                <w:rFonts w:hint="eastAsia"/>
              </w:rPr>
              <w:t>工程部位</w:t>
            </w:r>
          </w:p>
        </w:tc>
        <w:tc>
          <w:tcPr>
            <w:tcW w:w="4785" w:type="dxa"/>
            <w:vAlign w:val="center"/>
          </w:tcPr>
          <w:p w14:paraId="010F6C6A">
            <w:pPr>
              <w:pStyle w:val="71"/>
              <w:spacing w:before="24" w:after="24"/>
            </w:pPr>
            <w:r>
              <w:rPr>
                <w:rFonts w:hint="eastAsia"/>
              </w:rPr>
              <w:t>防滑等级</w:t>
            </w:r>
          </w:p>
        </w:tc>
      </w:tr>
      <w:tr w14:paraId="4A6A5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785" w:type="dxa"/>
            <w:vAlign w:val="center"/>
          </w:tcPr>
          <w:p w14:paraId="7F7BF75A">
            <w:pPr>
              <w:pStyle w:val="71"/>
              <w:spacing w:before="24" w:after="24"/>
            </w:pPr>
            <w:r>
              <w:rPr>
                <w:rFonts w:hint="eastAsia"/>
              </w:rPr>
              <w:t>坡道、无障碍步道</w:t>
            </w:r>
          </w:p>
        </w:tc>
        <w:tc>
          <w:tcPr>
            <w:tcW w:w="4785" w:type="dxa"/>
            <w:vMerge w:val="restart"/>
            <w:vAlign w:val="center"/>
          </w:tcPr>
          <w:p w14:paraId="51CD4203">
            <w:pPr>
              <w:pStyle w:val="71"/>
              <w:spacing w:before="24" w:after="24"/>
            </w:pPr>
            <w:r>
              <w:rPr>
                <w:rFonts w:hint="eastAsia"/>
              </w:rPr>
              <w:t>Aw</w:t>
            </w:r>
          </w:p>
        </w:tc>
      </w:tr>
      <w:tr w14:paraId="7F86A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785" w:type="dxa"/>
            <w:vAlign w:val="center"/>
          </w:tcPr>
          <w:p w14:paraId="6BFBD570">
            <w:pPr>
              <w:pStyle w:val="71"/>
              <w:spacing w:before="24" w:after="24"/>
            </w:pPr>
            <w:r>
              <w:rPr>
                <w:rFonts w:hint="eastAsia"/>
              </w:rPr>
              <w:t>楼梯踏步</w:t>
            </w:r>
          </w:p>
        </w:tc>
        <w:tc>
          <w:tcPr>
            <w:tcW w:w="4785" w:type="dxa"/>
            <w:vMerge w:val="continue"/>
            <w:vAlign w:val="center"/>
          </w:tcPr>
          <w:p w14:paraId="3738223F">
            <w:pPr>
              <w:pStyle w:val="71"/>
              <w:spacing w:before="24" w:after="24"/>
            </w:pPr>
          </w:p>
        </w:tc>
      </w:tr>
      <w:tr w14:paraId="3BBFB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785" w:type="dxa"/>
            <w:vAlign w:val="center"/>
          </w:tcPr>
          <w:p w14:paraId="6CEB73E9">
            <w:pPr>
              <w:pStyle w:val="71"/>
              <w:spacing w:before="24" w:after="24"/>
            </w:pPr>
            <w:r>
              <w:rPr>
                <w:rFonts w:hint="eastAsia"/>
              </w:rPr>
              <w:t>建筑出入口平台</w:t>
            </w:r>
          </w:p>
        </w:tc>
        <w:tc>
          <w:tcPr>
            <w:tcW w:w="4785" w:type="dxa"/>
            <w:vMerge w:val="restart"/>
            <w:vAlign w:val="center"/>
          </w:tcPr>
          <w:p w14:paraId="1FCAA244">
            <w:pPr>
              <w:pStyle w:val="71"/>
              <w:spacing w:before="24" w:after="24"/>
            </w:pPr>
            <w:r>
              <w:rPr>
                <w:rFonts w:hint="eastAsia"/>
              </w:rPr>
              <w:t>Bw</w:t>
            </w:r>
          </w:p>
        </w:tc>
      </w:tr>
      <w:tr w14:paraId="429B2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785" w:type="dxa"/>
            <w:vAlign w:val="center"/>
          </w:tcPr>
          <w:p w14:paraId="45FB3BDE">
            <w:pPr>
              <w:pStyle w:val="71"/>
              <w:spacing w:before="24" w:after="24"/>
            </w:pPr>
            <w:r>
              <w:rPr>
                <w:rFonts w:hint="eastAsia"/>
              </w:rPr>
              <w:t>人行道、步行街、室外广场、停车场</w:t>
            </w:r>
          </w:p>
        </w:tc>
        <w:tc>
          <w:tcPr>
            <w:tcW w:w="4785" w:type="dxa"/>
            <w:vMerge w:val="continue"/>
            <w:vAlign w:val="center"/>
          </w:tcPr>
          <w:p w14:paraId="52347C8E">
            <w:pPr>
              <w:pStyle w:val="71"/>
              <w:spacing w:before="24" w:after="24"/>
            </w:pPr>
          </w:p>
        </w:tc>
      </w:tr>
      <w:tr w14:paraId="2E4AF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785" w:type="dxa"/>
            <w:vAlign w:val="center"/>
          </w:tcPr>
          <w:p w14:paraId="54A671BA">
            <w:pPr>
              <w:pStyle w:val="71"/>
              <w:spacing w:before="24" w:after="24"/>
            </w:pPr>
            <w:r>
              <w:rPr>
                <w:rFonts w:hint="eastAsia"/>
              </w:rPr>
              <w:t>人行道、小区道路、绿地道路</w:t>
            </w:r>
          </w:p>
        </w:tc>
        <w:tc>
          <w:tcPr>
            <w:tcW w:w="4785" w:type="dxa"/>
            <w:vAlign w:val="center"/>
          </w:tcPr>
          <w:p w14:paraId="1065D938">
            <w:pPr>
              <w:pStyle w:val="71"/>
              <w:spacing w:before="24" w:after="24"/>
            </w:pPr>
            <w:r>
              <w:rPr>
                <w:rFonts w:hint="eastAsia"/>
              </w:rPr>
              <w:t>Cw</w:t>
            </w:r>
          </w:p>
        </w:tc>
      </w:tr>
      <w:tr w14:paraId="4F92B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785" w:type="dxa"/>
            <w:vAlign w:val="center"/>
          </w:tcPr>
          <w:p w14:paraId="0D99ACE0">
            <w:pPr>
              <w:pStyle w:val="71"/>
              <w:spacing w:before="24" w:after="24"/>
            </w:pPr>
            <w:r>
              <w:rPr>
                <w:rFonts w:hint="eastAsia"/>
              </w:rPr>
              <w:t>普通室外地面</w:t>
            </w:r>
          </w:p>
        </w:tc>
        <w:tc>
          <w:tcPr>
            <w:tcW w:w="4785" w:type="dxa"/>
            <w:vAlign w:val="center"/>
          </w:tcPr>
          <w:p w14:paraId="5B89C68B">
            <w:pPr>
              <w:pStyle w:val="71"/>
              <w:spacing w:before="24" w:after="24"/>
            </w:pPr>
            <w:r>
              <w:rPr>
                <w:rFonts w:hint="eastAsia"/>
              </w:rPr>
              <w:t>Dw</w:t>
            </w:r>
          </w:p>
        </w:tc>
      </w:tr>
    </w:tbl>
    <w:p w14:paraId="49EB59BA">
      <w:pPr>
        <w:pStyle w:val="54"/>
        <w:spacing w:before="24" w:after="24"/>
      </w:pPr>
      <w:r>
        <w:t>9.3.4园路的宽度应符合下列规定</w:t>
      </w:r>
    </w:p>
    <w:p w14:paraId="64DE1F44">
      <w:pPr>
        <w:pStyle w:val="54"/>
        <w:spacing w:before="24" w:after="24"/>
      </w:pPr>
      <w:r>
        <w:t>（1）宅前路宽度应大于2.5m；</w:t>
      </w:r>
    </w:p>
    <w:p w14:paraId="386266B8">
      <w:pPr>
        <w:pStyle w:val="54"/>
        <w:spacing w:before="24" w:after="24"/>
      </w:pPr>
      <w:r>
        <w:t>（2）人行路宽度不应小于1.2m，需要轮椅通行的园路宽度不应小于1.5m，非公共区域路面宽度可小于1m或设汀步；</w:t>
      </w:r>
    </w:p>
    <w:p w14:paraId="320B73B7">
      <w:pPr>
        <w:pStyle w:val="54"/>
        <w:spacing w:before="24" w:after="24"/>
      </w:pPr>
      <w:r>
        <w:t xml:space="preserve">9.3.5园路的坡度应符合下列规定： </w:t>
      </w:r>
    </w:p>
    <w:p w14:paraId="7C630945">
      <w:pPr>
        <w:pStyle w:val="54"/>
        <w:spacing w:before="24" w:after="24"/>
      </w:pPr>
      <w:r>
        <w:t>（1）园路最小纵坡坡度不应小于0.3％，最大纵坡坡度不宜大于8％；</w:t>
      </w:r>
    </w:p>
    <w:p w14:paraId="7E679B71">
      <w:pPr>
        <w:pStyle w:val="54"/>
        <w:spacing w:before="24" w:after="24"/>
      </w:pPr>
      <w:r>
        <w:t>（2）在多雪严寒地区纵坡坡度不应大于4％，山地人行纵坡坡度不应大于15％；</w:t>
      </w:r>
    </w:p>
    <w:p w14:paraId="67C33629">
      <w:pPr>
        <w:pStyle w:val="54"/>
        <w:spacing w:before="24" w:after="24"/>
      </w:pPr>
      <w:r>
        <w:t>（3）纵坡坡度大于15％时，路面应做防滑处理，纵坡坡度大于18％时应设台阶，台阶数不应少于2级；</w:t>
      </w:r>
    </w:p>
    <w:p w14:paraId="4701A354">
      <w:pPr>
        <w:pStyle w:val="54"/>
        <w:spacing w:before="24" w:after="24"/>
      </w:pPr>
      <w:r>
        <w:t>（4）横坡坡度应为1％～2％。</w:t>
      </w:r>
    </w:p>
    <w:p w14:paraId="24E39E97">
      <w:pPr>
        <w:pStyle w:val="54"/>
        <w:spacing w:before="24" w:after="24"/>
      </w:pPr>
      <w:r>
        <w:t>9.3.6铺装场地位置的设置应距离住宅建筑窗户8m以外，儿童活动场地和健身场地应远离住宅建筑，并应采取措施减少噪声对住户的干扰；</w:t>
      </w:r>
    </w:p>
    <w:p w14:paraId="4B47CEDC">
      <w:pPr>
        <w:pStyle w:val="54"/>
        <w:spacing w:before="24" w:after="24"/>
      </w:pPr>
      <w:r>
        <w:t>9.3.7老年人与儿童活动场地不宜布置在风速偏高、背阴和偏僻区域。</w:t>
      </w:r>
    </w:p>
    <w:p w14:paraId="1CD7BD1E">
      <w:pPr>
        <w:pStyle w:val="54"/>
        <w:spacing w:before="24" w:after="24"/>
      </w:pPr>
      <w:r>
        <w:t>9.3.8老年人活动场地与儿童活动场地宜结合在一起；老年人活动场地应平坦；儿童活动场地宜采用色彩鲜明的软性地面铺装，铺装材料应符合国家相关环保要求。</w:t>
      </w:r>
    </w:p>
    <w:p w14:paraId="1B7EF0A8">
      <w:pPr>
        <w:pStyle w:val="54"/>
        <w:spacing w:before="24" w:after="24"/>
      </w:pPr>
      <w:r>
        <w:t>9.3.9铺装场地宜采用透水、透气性铺装，铺装表面应平整、耐磨，并应做防滑处理。</w:t>
      </w:r>
    </w:p>
    <w:p w14:paraId="6FE31ED1">
      <w:pPr>
        <w:pStyle w:val="54"/>
        <w:spacing w:before="24" w:after="24"/>
      </w:pPr>
      <w:r>
        <w:t>9.3.10铺装场地的排水坡度应控制在0.3％～3％。</w:t>
      </w:r>
    </w:p>
    <w:p w14:paraId="77222432">
      <w:pPr>
        <w:pStyle w:val="54"/>
        <w:spacing w:before="24" w:after="24"/>
      </w:pPr>
      <w:r>
        <w:t xml:space="preserve">9.3.11铺装场地的外边线不应与市政井盖相撞。 </w:t>
      </w:r>
    </w:p>
    <w:p w14:paraId="73D37E22">
      <w:pPr>
        <w:pStyle w:val="66"/>
        <w:rPr>
          <w:rFonts w:cs="Times New Roman"/>
        </w:rPr>
      </w:pPr>
      <w:r>
        <w:rPr>
          <w:rFonts w:cs="Times New Roman"/>
        </w:rPr>
        <w:t>9.4 构筑物、小品及其他设施设计</w:t>
      </w:r>
    </w:p>
    <w:p w14:paraId="139AD4D1">
      <w:pPr>
        <w:pStyle w:val="54"/>
        <w:spacing w:before="24" w:after="24"/>
      </w:pPr>
      <w:r>
        <w:t>9.4.1亭、廊、棚架及膜结构等构筑物设施应符合下列规定：</w:t>
      </w:r>
    </w:p>
    <w:p w14:paraId="35E31025">
      <w:pPr>
        <w:pStyle w:val="54"/>
        <w:spacing w:before="24" w:after="24"/>
      </w:pPr>
      <w:r>
        <w:t>（1）亭、廊、棚架等供游人坐憩之处不应采用粗糙饰面材料，不得采用易刮伤肌肤和衣物的构造；</w:t>
      </w:r>
    </w:p>
    <w:p w14:paraId="62EF3A73">
      <w:pPr>
        <w:pStyle w:val="54"/>
        <w:spacing w:before="24" w:after="24"/>
      </w:pPr>
      <w:r>
        <w:t>（2）设有吊顶的亭、廊等，其吊顶应采用防潮材料；</w:t>
      </w:r>
    </w:p>
    <w:p w14:paraId="0EA233E8">
      <w:pPr>
        <w:pStyle w:val="54"/>
        <w:spacing w:before="24" w:after="24"/>
      </w:pPr>
      <w:r>
        <w:t>（3）亭、廊、棚架的体量与尺度，应与场地相适宜，其净高不应小于2.2m；</w:t>
      </w:r>
    </w:p>
    <w:p w14:paraId="7FAE14DB">
      <w:pPr>
        <w:pStyle w:val="54"/>
        <w:spacing w:before="24" w:after="24"/>
      </w:pPr>
      <w:r>
        <w:t>（4）膜结构设计不应对人流活动产生安全隐患，并应避开消防通道。</w:t>
      </w:r>
    </w:p>
    <w:p w14:paraId="546323FF">
      <w:pPr>
        <w:pStyle w:val="54"/>
        <w:spacing w:before="24" w:after="24"/>
      </w:pPr>
      <w:r>
        <w:t>9.4.2围墙设计应达到围护、安全要求，高度应为1.8m～2.2m；表面材料应方便清洗和维护。</w:t>
      </w:r>
    </w:p>
    <w:p w14:paraId="7A68D303">
      <w:pPr>
        <w:pStyle w:val="54"/>
        <w:spacing w:before="24" w:after="24"/>
      </w:pPr>
      <w:r>
        <w:t>9.4.3人行景观桥设计应自然简洁，与环境协调，并应符合下列规定：</w:t>
      </w:r>
    </w:p>
    <w:p w14:paraId="22741114">
      <w:pPr>
        <w:pStyle w:val="54"/>
        <w:spacing w:before="24" w:after="24"/>
      </w:pPr>
      <w:r>
        <w:t>（1）应有阻止车辆通过的设施；</w:t>
      </w:r>
    </w:p>
    <w:p w14:paraId="59BFF0D3">
      <w:pPr>
        <w:pStyle w:val="54"/>
        <w:spacing w:before="24" w:after="24"/>
      </w:pPr>
      <w:r>
        <w:t>（2）桥面均布荷载应按4.5kN/㎡取值；计算单块人行桥板时，应按5.0kN/㎡的均布荷载或1.5kN的竖向集中力分别验算，并取其不利者；</w:t>
      </w:r>
    </w:p>
    <w:p w14:paraId="3386B036">
      <w:pPr>
        <w:pStyle w:val="54"/>
        <w:spacing w:before="24" w:after="24"/>
      </w:pPr>
      <w:r>
        <w:t>（3）无防护设施的园桥、汀步及临水平台附近2.0m范围以内的常水位水深不应大于0.5m；桥面、汀步及临水平台面与水体底面的垂直距离不应大于0.7m。</w:t>
      </w:r>
    </w:p>
    <w:p w14:paraId="5122CE20">
      <w:pPr>
        <w:pStyle w:val="54"/>
        <w:spacing w:before="24" w:after="24"/>
      </w:pPr>
      <w:r>
        <w:t>9.4.4小品设施应优先选用新技术、新材料、新工艺，应安全环保、坚固耐用。</w:t>
      </w:r>
    </w:p>
    <w:p w14:paraId="3F4A788B">
      <w:pPr>
        <w:pStyle w:val="54"/>
        <w:spacing w:before="24" w:after="24"/>
      </w:pPr>
      <w:r>
        <w:t>9.4.5小品设施不宜采用大面积的金属、玻璃等高反射性材料。</w:t>
      </w:r>
    </w:p>
    <w:p w14:paraId="26FF3AF3">
      <w:pPr>
        <w:pStyle w:val="54"/>
        <w:spacing w:before="24" w:after="24"/>
      </w:pPr>
      <w:r>
        <w:t>9.4.6室外座椅（具）的设计应满足人体舒适度要求，普通座面高宜为0.40m～0.45m，座面宽宜为0.40m～0.50m，靠背座椅的靠背倾角宜为100°～110°。</w:t>
      </w:r>
    </w:p>
    <w:p w14:paraId="28853693">
      <w:pPr>
        <w:pStyle w:val="54"/>
        <w:spacing w:before="24" w:after="24"/>
      </w:pPr>
      <w:r>
        <w:t>9.4.7结合座凳设置的花坛高度宜为0.4m～0.6m；花坛应有排水措施。</w:t>
      </w:r>
    </w:p>
    <w:p w14:paraId="198B6505">
      <w:pPr>
        <w:pStyle w:val="54"/>
        <w:spacing w:before="24" w:after="24"/>
      </w:pPr>
      <w:r>
        <w:t>9.4.8雕塑、景墙浮雕等，其材质、色彩、体量、尺度、题材等应与周围环境相匹配，应具有时代感，并应符合主题。</w:t>
      </w:r>
    </w:p>
    <w:p w14:paraId="13AF2C76">
      <w:pPr>
        <w:pStyle w:val="54"/>
        <w:spacing w:before="24" w:after="24"/>
      </w:pPr>
      <w:r>
        <w:t>9.4.9人工堆叠假山石应以安全为前提，进行总体造型和结构设计，造型应完整美观，结构应牢固耐久；宜少而精，并应与环境协调。</w:t>
      </w:r>
    </w:p>
    <w:p w14:paraId="424974D2">
      <w:pPr>
        <w:pStyle w:val="54"/>
        <w:spacing w:before="24" w:after="24"/>
      </w:pPr>
      <w:r>
        <w:t>9.4.10照明灯具应根据实际需要适量合理选型，所选用的庭院灯、草坪灯、泛光灯、地坪灯等应与环境相匹配，使其成为景观中的一部分。</w:t>
      </w:r>
    </w:p>
    <w:p w14:paraId="171380D8">
      <w:pPr>
        <w:pStyle w:val="54"/>
        <w:spacing w:before="24" w:after="24"/>
      </w:pPr>
      <w:r>
        <w:t>9.4.11布告栏、指示牌等标志牌设置应位置恰当、格式统一、内容清晰；标志的用材应耐用，方便维修。</w:t>
      </w:r>
    </w:p>
    <w:p w14:paraId="6242AF2A">
      <w:pPr>
        <w:pStyle w:val="54"/>
        <w:spacing w:before="24" w:after="24"/>
      </w:pPr>
      <w:r>
        <w:t xml:space="preserve">9.4.12栏杆构造应符合下列规定： </w:t>
      </w:r>
    </w:p>
    <w:p w14:paraId="3346D026">
      <w:pPr>
        <w:pStyle w:val="54"/>
        <w:spacing w:before="24" w:after="24"/>
      </w:pPr>
      <w:r>
        <w:t>（1）不应采用锐角或利刺等形式；</w:t>
      </w:r>
    </w:p>
    <w:p w14:paraId="3EAC1F3E">
      <w:pPr>
        <w:pStyle w:val="54"/>
        <w:spacing w:before="24" w:after="24"/>
      </w:pPr>
      <w:r>
        <w:t>（2）凡活动边缘临空高差大于0.7m处，应设防护栏杆设施，其高度不应小于1.2m，护栏应从可踏面起计算高度；</w:t>
      </w:r>
    </w:p>
    <w:p w14:paraId="6C375467">
      <w:pPr>
        <w:pStyle w:val="54"/>
        <w:spacing w:before="24" w:after="24"/>
      </w:pPr>
      <w:r>
        <w:t>（3）构造应坚固耐久且不易攀登，其扶手上的活荷载取值竖向荷载应按1.2kN/m计算，水平向外荷载应按1.0kN/m计算，其中竖向荷载和水平荷载不同时计算；作用在栏杆立柱柱顶的水平推力应为1.0kN/m。</w:t>
      </w:r>
    </w:p>
    <w:p w14:paraId="21ADED2E">
      <w:pPr>
        <w:pStyle w:val="54"/>
        <w:spacing w:before="24" w:after="24"/>
      </w:pPr>
      <w:r>
        <w:t>9.4.13健身器械、儿童游戏场设施应避免干扰周边环境，并应符合下列规定：</w:t>
      </w:r>
    </w:p>
    <w:p w14:paraId="2870B7A2">
      <w:pPr>
        <w:pStyle w:val="54"/>
        <w:spacing w:before="24" w:after="24"/>
      </w:pPr>
      <w:r>
        <w:t>（1）健身器械应安全、牢固；健身场地周边应设置座椅；</w:t>
      </w:r>
    </w:p>
    <w:p w14:paraId="074184FE">
      <w:pPr>
        <w:pStyle w:val="54"/>
        <w:spacing w:before="24" w:after="24"/>
      </w:pPr>
      <w:r>
        <w:t>（2）儿童游戏场内当设有洁净的沙坑，沙坑周边应有防沙粒散失的措施，沙坑内应有排水措施；</w:t>
      </w:r>
    </w:p>
    <w:p w14:paraId="7797AE28">
      <w:pPr>
        <w:pStyle w:val="54"/>
        <w:spacing w:before="24" w:after="24"/>
      </w:pPr>
      <w:r>
        <w:t>（3）儿童游戏器械结构应坚固耐用，并应避免构造上的硬棱角，尺度应与儿童的人体尺度相适应。</w:t>
      </w:r>
    </w:p>
    <w:p w14:paraId="110122FB">
      <w:pPr>
        <w:pStyle w:val="54"/>
        <w:spacing w:before="24" w:after="24"/>
      </w:pPr>
      <w:r>
        <w:t>9.4.14垃圾容器高宜为0.6m～0.8m、宽宜为0.5m～0.6m，亦可选用成品，其外观色彩及标志应符合垃圾分类收集的要求。</w:t>
      </w:r>
    </w:p>
    <w:p w14:paraId="73A7A0C4">
      <w:pPr>
        <w:pStyle w:val="66"/>
        <w:rPr>
          <w:rFonts w:cs="Times New Roman"/>
        </w:rPr>
      </w:pPr>
      <w:r>
        <w:rPr>
          <w:rFonts w:cs="Times New Roman"/>
        </w:rPr>
        <w:t>9.5 种植设计</w:t>
      </w:r>
    </w:p>
    <w:p w14:paraId="00CF7824">
      <w:pPr>
        <w:pStyle w:val="54"/>
        <w:spacing w:before="24" w:after="24"/>
      </w:pPr>
      <w:r>
        <w:t>9.5.1绿地指标应符合当地控制性详细规划及城市绿地管理的有关规定。</w:t>
      </w:r>
    </w:p>
    <w:p w14:paraId="3240B726">
      <w:pPr>
        <w:pStyle w:val="54"/>
        <w:spacing w:before="24" w:after="24"/>
      </w:pPr>
      <w:r>
        <w:t>9.5.2应优先选择观赏性强的乡土植物，应综合考虑植物习性及生境，做到适地适树；宜多采用保健类及芳香类植物，不应选择有毒有刺、散发异味及容易引起过敏的植物；应避免选择入侵性强的植物。</w:t>
      </w:r>
    </w:p>
    <w:p w14:paraId="77BEFDE0">
      <w:pPr>
        <w:pStyle w:val="54"/>
        <w:spacing w:before="24" w:after="24"/>
      </w:pPr>
      <w:r>
        <w:t>9.5.3绿化设计应满足《云南省海绵城市建设技术规程》DBJ53/T-171-2024的相关要求。</w:t>
      </w:r>
    </w:p>
    <w:p w14:paraId="751E743E">
      <w:pPr>
        <w:pStyle w:val="54"/>
        <w:spacing w:before="24" w:after="24"/>
      </w:pPr>
      <w:r>
        <w:t>9.5.4植物配置应符合下列规定</w:t>
      </w:r>
    </w:p>
    <w:p w14:paraId="2C5E6C7B">
      <w:pPr>
        <w:pStyle w:val="54"/>
        <w:spacing w:before="24" w:after="24"/>
      </w:pPr>
      <w:r>
        <w:t>（1）应以总体设计的植物景观效果为依据；</w:t>
      </w:r>
    </w:p>
    <w:p w14:paraId="3D746B33">
      <w:pPr>
        <w:pStyle w:val="54"/>
        <w:spacing w:before="24" w:after="24"/>
      </w:pPr>
      <w:r>
        <w:t>（2）应注重植物的生态多样性，形成稳定的生态系统；</w:t>
      </w:r>
    </w:p>
    <w:p w14:paraId="36414611">
      <w:pPr>
        <w:pStyle w:val="54"/>
        <w:spacing w:before="24" w:after="24"/>
      </w:pPr>
      <w:r>
        <w:t>（3）应满足建筑通风、采光及日照的要求；</w:t>
      </w:r>
    </w:p>
    <w:p w14:paraId="0129B90B">
      <w:pPr>
        <w:pStyle w:val="54"/>
        <w:spacing w:before="24" w:after="24"/>
      </w:pPr>
      <w:r>
        <w:t>（4）应注重植物乔灌草搭配、季相色彩搭配、速生慢生搭配，营造丰富的植物景观和空间；</w:t>
      </w:r>
    </w:p>
    <w:p w14:paraId="38AC9DAF">
      <w:pPr>
        <w:pStyle w:val="54"/>
        <w:spacing w:before="24" w:after="24"/>
      </w:pPr>
      <w:r>
        <w:t>（5）应保持合理的常绿与落叶植物比例，在常绿大乔木较少的区域可适当增加常绿小乔木及常绿灌木的数量。</w:t>
      </w:r>
    </w:p>
    <w:p w14:paraId="512A0F60">
      <w:pPr>
        <w:pStyle w:val="54"/>
        <w:spacing w:before="24" w:after="24"/>
      </w:pPr>
      <w:r>
        <w:t>9.5.5植物与建（构）筑物的最小间距应符合下表</w:t>
      </w:r>
    </w:p>
    <w:tbl>
      <w:tblPr>
        <w:tblStyle w:val="31"/>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79"/>
        <w:gridCol w:w="1355"/>
        <w:gridCol w:w="3237"/>
        <w:gridCol w:w="2638"/>
      </w:tblGrid>
      <w:tr w14:paraId="5FC75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334" w:type="dxa"/>
            <w:gridSpan w:val="2"/>
            <w:vMerge w:val="restart"/>
            <w:vAlign w:val="center"/>
          </w:tcPr>
          <w:p w14:paraId="559CC225">
            <w:pPr>
              <w:pStyle w:val="71"/>
              <w:spacing w:before="24" w:after="24"/>
              <w:rPr>
                <w:rFonts w:cs="Times New Roman"/>
              </w:rPr>
            </w:pPr>
            <w:r>
              <w:rPr>
                <w:rFonts w:cs="Times New Roman"/>
              </w:rPr>
              <w:t>建（构）筑物名称</w:t>
            </w:r>
          </w:p>
        </w:tc>
        <w:tc>
          <w:tcPr>
            <w:tcW w:w="5875" w:type="dxa"/>
            <w:gridSpan w:val="2"/>
            <w:vAlign w:val="center"/>
          </w:tcPr>
          <w:p w14:paraId="79D0F156">
            <w:pPr>
              <w:pStyle w:val="71"/>
              <w:spacing w:before="24" w:after="24"/>
              <w:rPr>
                <w:rFonts w:cs="Times New Roman"/>
              </w:rPr>
            </w:pPr>
            <w:r>
              <w:rPr>
                <w:rFonts w:cs="Times New Roman"/>
              </w:rPr>
              <w:t>最小间距（m）</w:t>
            </w:r>
          </w:p>
        </w:tc>
      </w:tr>
      <w:tr w14:paraId="3E3A9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34" w:type="dxa"/>
            <w:gridSpan w:val="2"/>
            <w:vMerge w:val="continue"/>
            <w:vAlign w:val="center"/>
          </w:tcPr>
          <w:p w14:paraId="7EADB420">
            <w:pPr>
              <w:pStyle w:val="71"/>
              <w:spacing w:before="24" w:after="24"/>
              <w:rPr>
                <w:rFonts w:cs="Times New Roman"/>
              </w:rPr>
            </w:pPr>
          </w:p>
        </w:tc>
        <w:tc>
          <w:tcPr>
            <w:tcW w:w="3237" w:type="dxa"/>
            <w:vAlign w:val="center"/>
          </w:tcPr>
          <w:p w14:paraId="68E438BE">
            <w:pPr>
              <w:pStyle w:val="71"/>
              <w:spacing w:before="24" w:after="24"/>
              <w:rPr>
                <w:rFonts w:cs="Times New Roman"/>
              </w:rPr>
            </w:pPr>
            <w:r>
              <w:rPr>
                <w:rFonts w:cs="Times New Roman"/>
              </w:rPr>
              <w:t>至乔木中心</w:t>
            </w:r>
          </w:p>
        </w:tc>
        <w:tc>
          <w:tcPr>
            <w:tcW w:w="2638" w:type="dxa"/>
            <w:vAlign w:val="center"/>
          </w:tcPr>
          <w:p w14:paraId="1661BA73">
            <w:pPr>
              <w:pStyle w:val="71"/>
              <w:spacing w:before="24" w:after="24"/>
              <w:rPr>
                <w:rFonts w:cs="Times New Roman"/>
              </w:rPr>
            </w:pPr>
            <w:r>
              <w:rPr>
                <w:rFonts w:cs="Times New Roman"/>
              </w:rPr>
              <w:t>至灌木中心</w:t>
            </w:r>
          </w:p>
        </w:tc>
      </w:tr>
      <w:tr w14:paraId="17E04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79" w:type="dxa"/>
            <w:vMerge w:val="restart"/>
            <w:vAlign w:val="center"/>
          </w:tcPr>
          <w:p w14:paraId="68C1E6A6">
            <w:pPr>
              <w:pStyle w:val="71"/>
              <w:spacing w:before="24" w:after="24"/>
              <w:rPr>
                <w:rFonts w:cs="Times New Roman"/>
              </w:rPr>
            </w:pPr>
            <w:r>
              <w:rPr>
                <w:rFonts w:cs="Times New Roman"/>
              </w:rPr>
              <w:t>建筑物外墙</w:t>
            </w:r>
          </w:p>
        </w:tc>
        <w:tc>
          <w:tcPr>
            <w:tcW w:w="1355" w:type="dxa"/>
            <w:vAlign w:val="center"/>
          </w:tcPr>
          <w:p w14:paraId="71BA6417">
            <w:pPr>
              <w:pStyle w:val="71"/>
              <w:spacing w:before="24" w:after="24"/>
              <w:rPr>
                <w:rFonts w:cs="Times New Roman"/>
              </w:rPr>
            </w:pPr>
            <w:r>
              <w:rPr>
                <w:rFonts w:cs="Times New Roman"/>
              </w:rPr>
              <w:t>南窗</w:t>
            </w:r>
          </w:p>
        </w:tc>
        <w:tc>
          <w:tcPr>
            <w:tcW w:w="3237" w:type="dxa"/>
            <w:vAlign w:val="center"/>
          </w:tcPr>
          <w:p w14:paraId="169EB4E1">
            <w:pPr>
              <w:pStyle w:val="71"/>
              <w:spacing w:before="24" w:after="24"/>
              <w:rPr>
                <w:rFonts w:cs="Times New Roman"/>
              </w:rPr>
            </w:pPr>
            <w:r>
              <w:rPr>
                <w:rFonts w:cs="Times New Roman"/>
              </w:rPr>
              <w:t>5.5</w:t>
            </w:r>
          </w:p>
        </w:tc>
        <w:tc>
          <w:tcPr>
            <w:tcW w:w="2638" w:type="dxa"/>
            <w:vAlign w:val="center"/>
          </w:tcPr>
          <w:p w14:paraId="618DCC37">
            <w:pPr>
              <w:pStyle w:val="71"/>
              <w:spacing w:before="24" w:after="24"/>
              <w:rPr>
                <w:rFonts w:cs="Times New Roman"/>
              </w:rPr>
            </w:pPr>
            <w:r>
              <w:rPr>
                <w:rFonts w:cs="Times New Roman"/>
              </w:rPr>
              <w:t>1.5</w:t>
            </w:r>
          </w:p>
        </w:tc>
      </w:tr>
      <w:tr w14:paraId="2B5DE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79" w:type="dxa"/>
            <w:vMerge w:val="continue"/>
            <w:vAlign w:val="center"/>
          </w:tcPr>
          <w:p w14:paraId="12304E6F">
            <w:pPr>
              <w:pStyle w:val="71"/>
              <w:spacing w:before="24" w:after="24"/>
              <w:rPr>
                <w:rFonts w:cs="Times New Roman"/>
              </w:rPr>
            </w:pPr>
          </w:p>
        </w:tc>
        <w:tc>
          <w:tcPr>
            <w:tcW w:w="1355" w:type="dxa"/>
            <w:vAlign w:val="center"/>
          </w:tcPr>
          <w:p w14:paraId="623DB790">
            <w:pPr>
              <w:pStyle w:val="71"/>
              <w:spacing w:before="24" w:after="24"/>
              <w:rPr>
                <w:rFonts w:cs="Times New Roman"/>
              </w:rPr>
            </w:pPr>
            <w:r>
              <w:rPr>
                <w:rFonts w:cs="Times New Roman"/>
              </w:rPr>
              <w:t>其余窗</w:t>
            </w:r>
          </w:p>
        </w:tc>
        <w:tc>
          <w:tcPr>
            <w:tcW w:w="3237" w:type="dxa"/>
            <w:vAlign w:val="center"/>
          </w:tcPr>
          <w:p w14:paraId="74B7F4D6">
            <w:pPr>
              <w:pStyle w:val="71"/>
              <w:spacing w:before="24" w:after="24"/>
              <w:rPr>
                <w:rFonts w:cs="Times New Roman"/>
              </w:rPr>
            </w:pPr>
            <w:r>
              <w:rPr>
                <w:rFonts w:cs="Times New Roman"/>
              </w:rPr>
              <w:t>3.0</w:t>
            </w:r>
          </w:p>
        </w:tc>
        <w:tc>
          <w:tcPr>
            <w:tcW w:w="2638" w:type="dxa"/>
            <w:vAlign w:val="center"/>
          </w:tcPr>
          <w:p w14:paraId="5038BAAA">
            <w:pPr>
              <w:pStyle w:val="71"/>
              <w:spacing w:before="24" w:after="24"/>
              <w:rPr>
                <w:rFonts w:cs="Times New Roman"/>
              </w:rPr>
            </w:pPr>
            <w:r>
              <w:rPr>
                <w:rFonts w:cs="Times New Roman"/>
              </w:rPr>
              <w:t>1.5</w:t>
            </w:r>
          </w:p>
        </w:tc>
      </w:tr>
      <w:tr w14:paraId="4ED33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79" w:type="dxa"/>
            <w:vMerge w:val="continue"/>
            <w:vAlign w:val="center"/>
          </w:tcPr>
          <w:p w14:paraId="4D96E0BC">
            <w:pPr>
              <w:pStyle w:val="71"/>
              <w:spacing w:before="24" w:after="24"/>
              <w:rPr>
                <w:rFonts w:cs="Times New Roman"/>
              </w:rPr>
            </w:pPr>
          </w:p>
        </w:tc>
        <w:tc>
          <w:tcPr>
            <w:tcW w:w="1355" w:type="dxa"/>
            <w:vAlign w:val="center"/>
          </w:tcPr>
          <w:p w14:paraId="303869E2">
            <w:pPr>
              <w:pStyle w:val="71"/>
              <w:spacing w:before="24" w:after="24"/>
              <w:rPr>
                <w:rFonts w:cs="Times New Roman"/>
              </w:rPr>
            </w:pPr>
            <w:r>
              <w:rPr>
                <w:rFonts w:cs="Times New Roman"/>
              </w:rPr>
              <w:t>无窗</w:t>
            </w:r>
          </w:p>
        </w:tc>
        <w:tc>
          <w:tcPr>
            <w:tcW w:w="3237" w:type="dxa"/>
            <w:vAlign w:val="center"/>
          </w:tcPr>
          <w:p w14:paraId="7F42D7EB">
            <w:pPr>
              <w:pStyle w:val="71"/>
              <w:spacing w:before="24" w:after="24"/>
              <w:rPr>
                <w:rFonts w:cs="Times New Roman"/>
              </w:rPr>
            </w:pPr>
            <w:r>
              <w:rPr>
                <w:rFonts w:cs="Times New Roman"/>
              </w:rPr>
              <w:t>2.0</w:t>
            </w:r>
          </w:p>
        </w:tc>
        <w:tc>
          <w:tcPr>
            <w:tcW w:w="2638" w:type="dxa"/>
            <w:vAlign w:val="center"/>
          </w:tcPr>
          <w:p w14:paraId="426243E3">
            <w:pPr>
              <w:pStyle w:val="71"/>
              <w:spacing w:before="24" w:after="24"/>
              <w:rPr>
                <w:rFonts w:cs="Times New Roman"/>
              </w:rPr>
            </w:pPr>
            <w:r>
              <w:rPr>
                <w:rFonts w:cs="Times New Roman"/>
              </w:rPr>
              <w:t>1.5</w:t>
            </w:r>
          </w:p>
        </w:tc>
      </w:tr>
      <w:tr w14:paraId="1245F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34" w:type="dxa"/>
            <w:gridSpan w:val="2"/>
            <w:vAlign w:val="center"/>
          </w:tcPr>
          <w:p w14:paraId="18C4B698">
            <w:pPr>
              <w:pStyle w:val="71"/>
              <w:spacing w:before="24" w:after="24"/>
              <w:rPr>
                <w:rFonts w:cs="Times New Roman"/>
              </w:rPr>
            </w:pPr>
            <w:r>
              <w:rPr>
                <w:rFonts w:cs="Times New Roman"/>
              </w:rPr>
              <w:t>挡土墙顶内和墙角外</w:t>
            </w:r>
          </w:p>
        </w:tc>
        <w:tc>
          <w:tcPr>
            <w:tcW w:w="3237" w:type="dxa"/>
            <w:vAlign w:val="center"/>
          </w:tcPr>
          <w:p w14:paraId="4D9DB29F">
            <w:pPr>
              <w:pStyle w:val="71"/>
              <w:spacing w:before="24" w:after="24"/>
              <w:rPr>
                <w:rFonts w:cs="Times New Roman"/>
              </w:rPr>
            </w:pPr>
            <w:r>
              <w:rPr>
                <w:rFonts w:cs="Times New Roman"/>
              </w:rPr>
              <w:t>2.0</w:t>
            </w:r>
          </w:p>
        </w:tc>
        <w:tc>
          <w:tcPr>
            <w:tcW w:w="2638" w:type="dxa"/>
            <w:vAlign w:val="center"/>
          </w:tcPr>
          <w:p w14:paraId="35DA4997">
            <w:pPr>
              <w:pStyle w:val="71"/>
              <w:spacing w:before="24" w:after="24"/>
              <w:rPr>
                <w:rFonts w:cs="Times New Roman"/>
              </w:rPr>
            </w:pPr>
            <w:r>
              <w:rPr>
                <w:rFonts w:cs="Times New Roman"/>
              </w:rPr>
              <w:t>0.5</w:t>
            </w:r>
          </w:p>
        </w:tc>
      </w:tr>
      <w:tr w14:paraId="52CD4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334" w:type="dxa"/>
            <w:gridSpan w:val="2"/>
            <w:vAlign w:val="center"/>
          </w:tcPr>
          <w:p w14:paraId="2166AD3C">
            <w:pPr>
              <w:pStyle w:val="71"/>
              <w:spacing w:before="24" w:after="24"/>
              <w:rPr>
                <w:rFonts w:cs="Times New Roman"/>
              </w:rPr>
            </w:pPr>
            <w:r>
              <w:rPr>
                <w:rFonts w:cs="Times New Roman"/>
              </w:rPr>
              <w:t>围墙（2m高以下）</w:t>
            </w:r>
          </w:p>
        </w:tc>
        <w:tc>
          <w:tcPr>
            <w:tcW w:w="3237" w:type="dxa"/>
            <w:vAlign w:val="center"/>
          </w:tcPr>
          <w:p w14:paraId="7B10ABB0">
            <w:pPr>
              <w:pStyle w:val="71"/>
              <w:spacing w:before="24" w:after="24"/>
              <w:rPr>
                <w:rFonts w:cs="Times New Roman"/>
              </w:rPr>
            </w:pPr>
            <w:r>
              <w:rPr>
                <w:rFonts w:cs="Times New Roman"/>
              </w:rPr>
              <w:t>1.0</w:t>
            </w:r>
          </w:p>
        </w:tc>
        <w:tc>
          <w:tcPr>
            <w:tcW w:w="2638" w:type="dxa"/>
            <w:vAlign w:val="center"/>
          </w:tcPr>
          <w:p w14:paraId="4997776C">
            <w:pPr>
              <w:pStyle w:val="71"/>
              <w:spacing w:before="24" w:after="24"/>
              <w:rPr>
                <w:rFonts w:cs="Times New Roman"/>
              </w:rPr>
            </w:pPr>
            <w:r>
              <w:rPr>
                <w:rFonts w:cs="Times New Roman"/>
              </w:rPr>
              <w:t>0.75</w:t>
            </w:r>
          </w:p>
        </w:tc>
      </w:tr>
      <w:tr w14:paraId="2D4E2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34" w:type="dxa"/>
            <w:gridSpan w:val="2"/>
            <w:vAlign w:val="center"/>
          </w:tcPr>
          <w:p w14:paraId="282C5967">
            <w:pPr>
              <w:pStyle w:val="71"/>
              <w:spacing w:before="24" w:after="24"/>
              <w:rPr>
                <w:rFonts w:cs="Times New Roman"/>
              </w:rPr>
            </w:pPr>
            <w:r>
              <w:rPr>
                <w:rFonts w:cs="Times New Roman"/>
              </w:rPr>
              <w:t>道路路边缘</w:t>
            </w:r>
          </w:p>
        </w:tc>
        <w:tc>
          <w:tcPr>
            <w:tcW w:w="3237" w:type="dxa"/>
            <w:vAlign w:val="center"/>
          </w:tcPr>
          <w:p w14:paraId="486E926B">
            <w:pPr>
              <w:pStyle w:val="71"/>
              <w:spacing w:before="24" w:after="24"/>
              <w:rPr>
                <w:rFonts w:cs="Times New Roman"/>
              </w:rPr>
            </w:pPr>
            <w:r>
              <w:rPr>
                <w:rFonts w:cs="Times New Roman"/>
              </w:rPr>
              <w:t>0.75</w:t>
            </w:r>
          </w:p>
        </w:tc>
        <w:tc>
          <w:tcPr>
            <w:tcW w:w="2638" w:type="dxa"/>
            <w:vAlign w:val="center"/>
          </w:tcPr>
          <w:p w14:paraId="54F3F015">
            <w:pPr>
              <w:pStyle w:val="71"/>
              <w:spacing w:before="24" w:after="24"/>
              <w:rPr>
                <w:rFonts w:cs="Times New Roman"/>
              </w:rPr>
            </w:pPr>
            <w:r>
              <w:rPr>
                <w:rFonts w:cs="Times New Roman"/>
              </w:rPr>
              <w:t>0.5</w:t>
            </w:r>
          </w:p>
        </w:tc>
      </w:tr>
      <w:tr w14:paraId="78B18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3334" w:type="dxa"/>
            <w:gridSpan w:val="2"/>
            <w:vAlign w:val="center"/>
          </w:tcPr>
          <w:p w14:paraId="2B4662DB">
            <w:pPr>
              <w:pStyle w:val="71"/>
              <w:spacing w:before="24" w:after="24"/>
              <w:rPr>
                <w:rFonts w:cs="Times New Roman"/>
              </w:rPr>
            </w:pPr>
            <w:r>
              <w:rPr>
                <w:rFonts w:cs="Times New Roman"/>
              </w:rPr>
              <w:t>人行道路面边缘</w:t>
            </w:r>
          </w:p>
        </w:tc>
        <w:tc>
          <w:tcPr>
            <w:tcW w:w="3237" w:type="dxa"/>
            <w:vAlign w:val="center"/>
          </w:tcPr>
          <w:p w14:paraId="464B2447">
            <w:pPr>
              <w:pStyle w:val="71"/>
              <w:spacing w:before="24" w:after="24"/>
              <w:rPr>
                <w:rFonts w:cs="Times New Roman"/>
              </w:rPr>
            </w:pPr>
            <w:r>
              <w:rPr>
                <w:rFonts w:cs="Times New Roman"/>
              </w:rPr>
              <w:t>0.75</w:t>
            </w:r>
          </w:p>
        </w:tc>
        <w:tc>
          <w:tcPr>
            <w:tcW w:w="2638" w:type="dxa"/>
            <w:vAlign w:val="center"/>
          </w:tcPr>
          <w:p w14:paraId="4BBBA4E3">
            <w:pPr>
              <w:pStyle w:val="71"/>
              <w:spacing w:before="24" w:after="24"/>
              <w:rPr>
                <w:rFonts w:cs="Times New Roman"/>
              </w:rPr>
            </w:pPr>
            <w:r>
              <w:rPr>
                <w:rFonts w:cs="Times New Roman"/>
              </w:rPr>
              <w:t>0.5</w:t>
            </w:r>
          </w:p>
        </w:tc>
      </w:tr>
      <w:tr w14:paraId="6246B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34" w:type="dxa"/>
            <w:gridSpan w:val="2"/>
            <w:vAlign w:val="center"/>
          </w:tcPr>
          <w:p w14:paraId="4D2CCCF8">
            <w:pPr>
              <w:pStyle w:val="71"/>
              <w:spacing w:before="24" w:after="24"/>
              <w:rPr>
                <w:rFonts w:cs="Times New Roman"/>
              </w:rPr>
            </w:pPr>
            <w:r>
              <w:rPr>
                <w:rFonts w:cs="Times New Roman"/>
              </w:rPr>
              <w:t>排水沟边缘</w:t>
            </w:r>
          </w:p>
        </w:tc>
        <w:tc>
          <w:tcPr>
            <w:tcW w:w="3237" w:type="dxa"/>
            <w:vAlign w:val="center"/>
          </w:tcPr>
          <w:p w14:paraId="4AC02806">
            <w:pPr>
              <w:pStyle w:val="71"/>
              <w:spacing w:before="24" w:after="24"/>
              <w:rPr>
                <w:rFonts w:cs="Times New Roman"/>
              </w:rPr>
            </w:pPr>
            <w:r>
              <w:rPr>
                <w:rFonts w:cs="Times New Roman"/>
              </w:rPr>
              <w:t>1</w:t>
            </w:r>
          </w:p>
        </w:tc>
        <w:tc>
          <w:tcPr>
            <w:tcW w:w="2638" w:type="dxa"/>
            <w:vAlign w:val="center"/>
          </w:tcPr>
          <w:p w14:paraId="48CC5787">
            <w:pPr>
              <w:pStyle w:val="71"/>
              <w:spacing w:before="24" w:after="24"/>
              <w:rPr>
                <w:rFonts w:cs="Times New Roman"/>
              </w:rPr>
            </w:pPr>
            <w:r>
              <w:rPr>
                <w:rFonts w:cs="Times New Roman"/>
              </w:rPr>
              <w:t>0.3</w:t>
            </w:r>
          </w:p>
        </w:tc>
      </w:tr>
      <w:tr w14:paraId="0A746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34" w:type="dxa"/>
            <w:gridSpan w:val="2"/>
            <w:vAlign w:val="center"/>
          </w:tcPr>
          <w:p w14:paraId="4F0F692B">
            <w:pPr>
              <w:pStyle w:val="71"/>
              <w:spacing w:before="24" w:after="24"/>
              <w:rPr>
                <w:rFonts w:cs="Times New Roman"/>
              </w:rPr>
            </w:pPr>
            <w:r>
              <w:rPr>
                <w:rFonts w:cs="Times New Roman"/>
              </w:rPr>
              <w:t>体育用场地</w:t>
            </w:r>
          </w:p>
        </w:tc>
        <w:tc>
          <w:tcPr>
            <w:tcW w:w="3237" w:type="dxa"/>
            <w:vAlign w:val="center"/>
          </w:tcPr>
          <w:p w14:paraId="1D4265AC">
            <w:pPr>
              <w:pStyle w:val="71"/>
              <w:spacing w:before="24" w:after="24"/>
              <w:rPr>
                <w:rFonts w:cs="Times New Roman"/>
              </w:rPr>
            </w:pPr>
            <w:r>
              <w:rPr>
                <w:rFonts w:cs="Times New Roman"/>
              </w:rPr>
              <w:t>3.0</w:t>
            </w:r>
          </w:p>
        </w:tc>
        <w:tc>
          <w:tcPr>
            <w:tcW w:w="2638" w:type="dxa"/>
            <w:vAlign w:val="center"/>
          </w:tcPr>
          <w:p w14:paraId="1743432A">
            <w:pPr>
              <w:pStyle w:val="71"/>
              <w:spacing w:before="24" w:after="24"/>
              <w:rPr>
                <w:rFonts w:cs="Times New Roman"/>
              </w:rPr>
            </w:pPr>
            <w:r>
              <w:rPr>
                <w:rFonts w:cs="Times New Roman"/>
              </w:rPr>
              <w:t>3.0</w:t>
            </w:r>
          </w:p>
        </w:tc>
      </w:tr>
    </w:tbl>
    <w:p w14:paraId="2EAA80B5">
      <w:pPr>
        <w:pStyle w:val="54"/>
        <w:spacing w:before="24" w:after="24"/>
      </w:pPr>
      <w:r>
        <w:t>9.5.6土球苗、裸根苗综合控制指标如下</w:t>
      </w:r>
    </w:p>
    <w:tbl>
      <w:tblPr>
        <w:tblStyle w:val="31"/>
        <w:tblW w:w="9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2"/>
        <w:gridCol w:w="8496"/>
      </w:tblGrid>
      <w:tr w14:paraId="3C51C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vAlign w:val="center"/>
          </w:tcPr>
          <w:p w14:paraId="5E1873E6">
            <w:pPr>
              <w:pStyle w:val="71"/>
              <w:spacing w:before="24" w:after="24"/>
              <w:rPr>
                <w:rFonts w:cs="Times New Roman"/>
              </w:rPr>
            </w:pPr>
            <w:r>
              <w:rPr>
                <w:rFonts w:cs="Times New Roman"/>
              </w:rPr>
              <w:t>项目</w:t>
            </w:r>
          </w:p>
        </w:tc>
        <w:tc>
          <w:tcPr>
            <w:tcW w:w="8496" w:type="dxa"/>
            <w:vAlign w:val="center"/>
          </w:tcPr>
          <w:p w14:paraId="6B2317B8">
            <w:pPr>
              <w:pStyle w:val="71"/>
              <w:spacing w:before="24" w:after="24"/>
              <w:rPr>
                <w:rFonts w:cs="Times New Roman"/>
              </w:rPr>
            </w:pPr>
            <w:r>
              <w:rPr>
                <w:rFonts w:cs="Times New Roman"/>
              </w:rPr>
              <w:t>综合控制指标</w:t>
            </w:r>
          </w:p>
        </w:tc>
      </w:tr>
      <w:tr w14:paraId="208AB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vAlign w:val="center"/>
          </w:tcPr>
          <w:p w14:paraId="29468C3C">
            <w:pPr>
              <w:pStyle w:val="71"/>
              <w:spacing w:before="24" w:after="24"/>
              <w:rPr>
                <w:rFonts w:cs="Times New Roman"/>
              </w:rPr>
            </w:pPr>
            <w:r>
              <w:rPr>
                <w:rFonts w:cs="Times New Roman"/>
              </w:rPr>
              <w:t>树冠形态</w:t>
            </w:r>
          </w:p>
        </w:tc>
        <w:tc>
          <w:tcPr>
            <w:tcW w:w="8496" w:type="dxa"/>
            <w:vAlign w:val="center"/>
          </w:tcPr>
          <w:p w14:paraId="127EAB9F">
            <w:pPr>
              <w:pStyle w:val="71"/>
              <w:spacing w:before="24" w:after="24"/>
              <w:jc w:val="both"/>
              <w:rPr>
                <w:rFonts w:cs="Times New Roman"/>
              </w:rPr>
            </w:pPr>
            <w:r>
              <w:rPr>
                <w:rFonts w:cs="Times New Roman"/>
              </w:rPr>
              <w:t>形态自然周正，冠型丰满，无明显偏冠、缺冠、冠径最大值与最小值的比值宜小于 1.5；乔木植株高度、胸径、冠幅比例匀称；灌木冠层和基部饱满度一致，分枝数3枝以上，藤木主蔓长度和分枝数与苗龄相符</w:t>
            </w:r>
          </w:p>
        </w:tc>
      </w:tr>
      <w:tr w14:paraId="7CB18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vAlign w:val="center"/>
          </w:tcPr>
          <w:p w14:paraId="041DAC8F">
            <w:pPr>
              <w:pStyle w:val="71"/>
              <w:spacing w:before="24" w:after="24"/>
              <w:rPr>
                <w:rFonts w:cs="Times New Roman"/>
              </w:rPr>
            </w:pPr>
            <w:r>
              <w:rPr>
                <w:rFonts w:cs="Times New Roman"/>
              </w:rPr>
              <w:t>枝干</w:t>
            </w:r>
          </w:p>
        </w:tc>
        <w:tc>
          <w:tcPr>
            <w:tcW w:w="8496" w:type="dxa"/>
            <w:vAlign w:val="center"/>
          </w:tcPr>
          <w:p w14:paraId="01719018">
            <w:pPr>
              <w:pStyle w:val="71"/>
              <w:spacing w:before="24" w:after="24"/>
              <w:jc w:val="both"/>
              <w:rPr>
                <w:rFonts w:cs="Times New Roman"/>
              </w:rPr>
            </w:pPr>
            <w:r>
              <w:rPr>
                <w:rFonts w:cs="Times New Roman"/>
              </w:rPr>
              <w:t>枝干紧实、分枝形态自然、比例适度，生长枝节间比例匀称；乔木植株主干挺直树皮完整，无明显空洞、裂缝、虫洞、伤口、划痕等；灌木、藤木等植株分枝形态匀称，枝条坚实有韧性</w:t>
            </w:r>
          </w:p>
        </w:tc>
      </w:tr>
      <w:tr w14:paraId="06747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vAlign w:val="center"/>
          </w:tcPr>
          <w:p w14:paraId="419FFFEB">
            <w:pPr>
              <w:pStyle w:val="71"/>
              <w:spacing w:before="24" w:after="24"/>
              <w:rPr>
                <w:rFonts w:cs="Times New Roman"/>
              </w:rPr>
            </w:pPr>
            <w:r>
              <w:rPr>
                <w:rFonts w:cs="Times New Roman"/>
              </w:rPr>
              <w:t>叶片</w:t>
            </w:r>
          </w:p>
        </w:tc>
        <w:tc>
          <w:tcPr>
            <w:tcW w:w="8496" w:type="dxa"/>
            <w:vAlign w:val="center"/>
          </w:tcPr>
          <w:p w14:paraId="3229BE40">
            <w:pPr>
              <w:pStyle w:val="71"/>
              <w:spacing w:before="24" w:after="24"/>
              <w:jc w:val="both"/>
              <w:rPr>
                <w:rFonts w:cs="Times New Roman"/>
              </w:rPr>
            </w:pPr>
            <w:r>
              <w:rPr>
                <w:rFonts w:cs="Times New Roman"/>
              </w:rPr>
              <w:t>叶型标准匀称，叶片硬挺饱满、颜色正常，无明显蛀眼、卷蔫、萎黄或坏死</w:t>
            </w:r>
          </w:p>
        </w:tc>
      </w:tr>
      <w:tr w14:paraId="05D2E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vAlign w:val="center"/>
          </w:tcPr>
          <w:p w14:paraId="3DC4569F">
            <w:pPr>
              <w:pStyle w:val="71"/>
              <w:spacing w:before="24" w:after="24"/>
              <w:rPr>
                <w:rFonts w:cs="Times New Roman"/>
              </w:rPr>
            </w:pPr>
            <w:r>
              <w:rPr>
                <w:rFonts w:cs="Times New Roman"/>
              </w:rPr>
              <w:t>根系</w:t>
            </w:r>
          </w:p>
        </w:tc>
        <w:tc>
          <w:tcPr>
            <w:tcW w:w="8496" w:type="dxa"/>
            <w:vAlign w:val="center"/>
          </w:tcPr>
          <w:p w14:paraId="303BEBD4">
            <w:pPr>
              <w:pStyle w:val="71"/>
              <w:spacing w:before="24" w:after="24"/>
              <w:jc w:val="both"/>
              <w:rPr>
                <w:rFonts w:cs="Times New Roman"/>
              </w:rPr>
            </w:pPr>
            <w:r>
              <w:rPr>
                <w:rFonts w:cs="Times New Roman"/>
              </w:rPr>
              <w:t>根系发育良好，无病虫害、无生理性伤害和机械损害等</w:t>
            </w:r>
          </w:p>
        </w:tc>
      </w:tr>
      <w:tr w14:paraId="612D2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vAlign w:val="center"/>
          </w:tcPr>
          <w:p w14:paraId="068A7877">
            <w:pPr>
              <w:pStyle w:val="71"/>
              <w:spacing w:before="24" w:after="24"/>
              <w:rPr>
                <w:rFonts w:cs="Times New Roman"/>
              </w:rPr>
            </w:pPr>
            <w:r>
              <w:rPr>
                <w:rFonts w:cs="Times New Roman"/>
              </w:rPr>
              <w:t>生长势</w:t>
            </w:r>
          </w:p>
        </w:tc>
        <w:tc>
          <w:tcPr>
            <w:tcW w:w="8496" w:type="dxa"/>
            <w:vAlign w:val="center"/>
          </w:tcPr>
          <w:p w14:paraId="093C1638">
            <w:pPr>
              <w:pStyle w:val="71"/>
              <w:spacing w:before="24" w:after="24"/>
              <w:jc w:val="both"/>
              <w:rPr>
                <w:rFonts w:cs="Times New Roman"/>
              </w:rPr>
            </w:pPr>
            <w:r>
              <w:rPr>
                <w:rFonts w:cs="Times New Roman"/>
              </w:rPr>
              <w:t>植株健壮，长势旺盛，不因修剪造型等造成生长势受损，当年生枝条生长量明显</w:t>
            </w:r>
          </w:p>
        </w:tc>
      </w:tr>
    </w:tbl>
    <w:p w14:paraId="1BB8F34C">
      <w:pPr>
        <w:pStyle w:val="54"/>
        <w:spacing w:before="24" w:after="24"/>
      </w:pPr>
      <w:r>
        <w:t>9.5.7土球苗土球规格应符合下表要求</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4"/>
        <w:gridCol w:w="8104"/>
      </w:tblGrid>
      <w:tr w14:paraId="2A249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4" w:type="dxa"/>
            <w:vAlign w:val="center"/>
          </w:tcPr>
          <w:p w14:paraId="215A6AC0">
            <w:pPr>
              <w:pStyle w:val="71"/>
              <w:spacing w:before="24" w:after="24"/>
              <w:rPr>
                <w:rFonts w:cs="Times New Roman"/>
              </w:rPr>
            </w:pPr>
            <w:r>
              <w:rPr>
                <w:rFonts w:cs="Times New Roman"/>
              </w:rPr>
              <w:t>项目</w:t>
            </w:r>
          </w:p>
        </w:tc>
        <w:tc>
          <w:tcPr>
            <w:tcW w:w="8104" w:type="dxa"/>
            <w:vAlign w:val="center"/>
          </w:tcPr>
          <w:p w14:paraId="24BE0DCF">
            <w:pPr>
              <w:pStyle w:val="71"/>
              <w:spacing w:before="24" w:after="24"/>
              <w:rPr>
                <w:rFonts w:cs="Times New Roman"/>
              </w:rPr>
            </w:pPr>
            <w:r>
              <w:rPr>
                <w:rFonts w:cs="Times New Roman"/>
              </w:rPr>
              <w:t>规格</w:t>
            </w:r>
          </w:p>
        </w:tc>
      </w:tr>
      <w:tr w14:paraId="6F936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4" w:type="dxa"/>
            <w:vAlign w:val="center"/>
          </w:tcPr>
          <w:p w14:paraId="57F5344C">
            <w:pPr>
              <w:pStyle w:val="71"/>
              <w:spacing w:before="24" w:after="24"/>
              <w:rPr>
                <w:rFonts w:cs="Times New Roman"/>
              </w:rPr>
            </w:pPr>
            <w:r>
              <w:rPr>
                <w:rFonts w:cs="Times New Roman"/>
              </w:rPr>
              <w:t>乔木</w:t>
            </w:r>
          </w:p>
        </w:tc>
        <w:tc>
          <w:tcPr>
            <w:tcW w:w="8104" w:type="dxa"/>
            <w:vAlign w:val="center"/>
          </w:tcPr>
          <w:p w14:paraId="74E42604">
            <w:pPr>
              <w:pStyle w:val="71"/>
              <w:spacing w:before="24" w:after="24"/>
              <w:jc w:val="both"/>
              <w:rPr>
                <w:rFonts w:cs="Times New Roman"/>
              </w:rPr>
            </w:pPr>
            <w:r>
              <w:rPr>
                <w:rFonts w:cs="Times New Roman"/>
              </w:rPr>
              <w:t>土球苗土球直径应为其胸径的8倍～10倍，土球高度应为土球直径的4/5以上</w:t>
            </w:r>
          </w:p>
        </w:tc>
      </w:tr>
      <w:tr w14:paraId="0A857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4" w:type="dxa"/>
            <w:vAlign w:val="center"/>
          </w:tcPr>
          <w:p w14:paraId="0438F293">
            <w:pPr>
              <w:pStyle w:val="71"/>
              <w:spacing w:before="24" w:after="24"/>
              <w:rPr>
                <w:rFonts w:cs="Times New Roman"/>
              </w:rPr>
            </w:pPr>
            <w:r>
              <w:rPr>
                <w:rFonts w:cs="Times New Roman"/>
              </w:rPr>
              <w:t>灌木</w:t>
            </w:r>
          </w:p>
        </w:tc>
        <w:tc>
          <w:tcPr>
            <w:tcW w:w="8104" w:type="dxa"/>
            <w:vAlign w:val="center"/>
          </w:tcPr>
          <w:p w14:paraId="17BEB72A">
            <w:pPr>
              <w:pStyle w:val="71"/>
              <w:spacing w:before="24" w:after="24"/>
              <w:jc w:val="both"/>
              <w:rPr>
                <w:rFonts w:cs="Times New Roman"/>
              </w:rPr>
            </w:pPr>
            <w:r>
              <w:rPr>
                <w:rFonts w:cs="Times New Roman"/>
              </w:rPr>
              <w:t>土球苗土球直径应为其冠幅的1/3~2/3，土球高度为其土球直径的3/5以上</w:t>
            </w:r>
          </w:p>
        </w:tc>
      </w:tr>
      <w:tr w14:paraId="2D3CB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4" w:type="dxa"/>
            <w:vAlign w:val="center"/>
          </w:tcPr>
          <w:p w14:paraId="3E3A0BDB">
            <w:pPr>
              <w:pStyle w:val="71"/>
              <w:spacing w:before="24" w:after="24"/>
              <w:rPr>
                <w:rFonts w:cs="Times New Roman"/>
              </w:rPr>
            </w:pPr>
            <w:r>
              <w:rPr>
                <w:rFonts w:cs="Times New Roman"/>
              </w:rPr>
              <w:t>棕榈</w:t>
            </w:r>
          </w:p>
        </w:tc>
        <w:tc>
          <w:tcPr>
            <w:tcW w:w="8104" w:type="dxa"/>
            <w:vAlign w:val="center"/>
          </w:tcPr>
          <w:p w14:paraId="53E5AD78">
            <w:pPr>
              <w:pStyle w:val="71"/>
              <w:spacing w:before="24" w:after="24"/>
              <w:jc w:val="both"/>
              <w:rPr>
                <w:rFonts w:cs="Times New Roman"/>
              </w:rPr>
            </w:pPr>
            <w:r>
              <w:rPr>
                <w:rFonts w:cs="Times New Roman"/>
              </w:rPr>
              <w:t>土球苗土球直径应为其地径的2倍～5倍，土球高度应为土球直径的2/3以上</w:t>
            </w:r>
          </w:p>
        </w:tc>
      </w:tr>
      <w:tr w14:paraId="25E5F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1464" w:type="dxa"/>
            <w:vAlign w:val="center"/>
          </w:tcPr>
          <w:p w14:paraId="0D559A7B">
            <w:pPr>
              <w:pStyle w:val="71"/>
              <w:spacing w:before="24" w:after="24"/>
              <w:rPr>
                <w:rFonts w:cs="Times New Roman"/>
              </w:rPr>
            </w:pPr>
            <w:r>
              <w:rPr>
                <w:rFonts w:cs="Times New Roman"/>
              </w:rPr>
              <w:t>竹类</w:t>
            </w:r>
          </w:p>
        </w:tc>
        <w:tc>
          <w:tcPr>
            <w:tcW w:w="8104" w:type="dxa"/>
            <w:vAlign w:val="center"/>
          </w:tcPr>
          <w:p w14:paraId="281417E8">
            <w:pPr>
              <w:pStyle w:val="71"/>
              <w:spacing w:before="24" w:after="24"/>
              <w:jc w:val="both"/>
              <w:rPr>
                <w:rFonts w:cs="Times New Roman"/>
              </w:rPr>
            </w:pPr>
            <w:r>
              <w:rPr>
                <w:rFonts w:cs="Times New Roman"/>
              </w:rPr>
              <w:t>土球足够大，至少应带来鞭300mm，去鞭400mm，竹鞭两端各不少于1个鞭芽，且保留足量的护心土，保护竹鞭、竹篼不受损</w:t>
            </w:r>
          </w:p>
        </w:tc>
      </w:tr>
      <w:tr w14:paraId="7D045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9568" w:type="dxa"/>
            <w:gridSpan w:val="2"/>
            <w:vAlign w:val="center"/>
          </w:tcPr>
          <w:p w14:paraId="01D2549A">
            <w:pPr>
              <w:pStyle w:val="71"/>
              <w:spacing w:before="24" w:after="24"/>
              <w:jc w:val="both"/>
              <w:rPr>
                <w:rFonts w:cs="Times New Roman"/>
              </w:rPr>
            </w:pPr>
            <w:r>
              <w:rPr>
                <w:rFonts w:cs="Times New Roman"/>
              </w:rPr>
              <w:t>常绿苗木、全冠苗木、落叶珍贵苗木,特大苗木和不易成活苗木以及有其他特殊质量要求的苗木应带土球掘苗且应依据实际情况进行调整。</w:t>
            </w:r>
          </w:p>
        </w:tc>
      </w:tr>
    </w:tbl>
    <w:p w14:paraId="29DF53A0">
      <w:pPr>
        <w:pStyle w:val="54"/>
        <w:spacing w:before="24" w:after="24"/>
      </w:pPr>
      <w:r>
        <w:t>9.5.8裸根苗根系幅度规格应符合下表</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4"/>
        <w:gridCol w:w="8104"/>
      </w:tblGrid>
      <w:tr w14:paraId="62CF3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4" w:type="dxa"/>
          </w:tcPr>
          <w:p w14:paraId="7797E349">
            <w:pPr>
              <w:pStyle w:val="71"/>
              <w:spacing w:before="24" w:after="24"/>
              <w:rPr>
                <w:rFonts w:cs="Times New Roman"/>
              </w:rPr>
            </w:pPr>
            <w:r>
              <w:rPr>
                <w:rFonts w:cs="Times New Roman"/>
              </w:rPr>
              <w:t>项目</w:t>
            </w:r>
          </w:p>
        </w:tc>
        <w:tc>
          <w:tcPr>
            <w:tcW w:w="8104" w:type="dxa"/>
          </w:tcPr>
          <w:p w14:paraId="18F75046">
            <w:pPr>
              <w:pStyle w:val="71"/>
              <w:spacing w:before="24" w:after="24"/>
              <w:rPr>
                <w:rFonts w:cs="Times New Roman"/>
              </w:rPr>
            </w:pPr>
            <w:r>
              <w:rPr>
                <w:rFonts w:cs="Times New Roman"/>
              </w:rPr>
              <w:t>规格</w:t>
            </w:r>
          </w:p>
        </w:tc>
      </w:tr>
      <w:tr w14:paraId="249CB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1464" w:type="dxa"/>
          </w:tcPr>
          <w:p w14:paraId="439DDA17">
            <w:pPr>
              <w:pStyle w:val="71"/>
              <w:spacing w:before="24" w:after="24"/>
              <w:rPr>
                <w:rFonts w:cs="Times New Roman"/>
              </w:rPr>
            </w:pPr>
            <w:r>
              <w:rPr>
                <w:rFonts w:cs="Times New Roman"/>
              </w:rPr>
              <w:t>乔木</w:t>
            </w:r>
          </w:p>
        </w:tc>
        <w:tc>
          <w:tcPr>
            <w:tcW w:w="8104" w:type="dxa"/>
          </w:tcPr>
          <w:p w14:paraId="19C48E88">
            <w:pPr>
              <w:pStyle w:val="71"/>
              <w:spacing w:before="24" w:after="24"/>
              <w:rPr>
                <w:rFonts w:cs="Times New Roman"/>
              </w:rPr>
            </w:pPr>
            <w:r>
              <w:rPr>
                <w:rFonts w:cs="Times New Roman"/>
              </w:rPr>
              <w:t>土裸根苗根系幅度应为其胸径的8倍~10倍，且保留护心土</w:t>
            </w:r>
          </w:p>
        </w:tc>
      </w:tr>
      <w:tr w14:paraId="6CBCD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4" w:type="dxa"/>
          </w:tcPr>
          <w:p w14:paraId="2B8AB84C">
            <w:pPr>
              <w:pStyle w:val="71"/>
              <w:spacing w:before="24" w:after="24"/>
              <w:rPr>
                <w:rFonts w:cs="Times New Roman"/>
              </w:rPr>
            </w:pPr>
            <w:r>
              <w:rPr>
                <w:rFonts w:cs="Times New Roman"/>
              </w:rPr>
              <w:t>灌木</w:t>
            </w:r>
          </w:p>
        </w:tc>
        <w:tc>
          <w:tcPr>
            <w:tcW w:w="8104" w:type="dxa"/>
          </w:tcPr>
          <w:p w14:paraId="03CD0EC9">
            <w:pPr>
              <w:pStyle w:val="71"/>
              <w:spacing w:before="24" w:after="24"/>
              <w:rPr>
                <w:rFonts w:cs="Times New Roman"/>
              </w:rPr>
            </w:pPr>
            <w:r>
              <w:rPr>
                <w:rFonts w:cs="Times New Roman"/>
              </w:rPr>
              <w:t>裸根苗根系幅度应为其冠幅的1/2~2/3，且保留护心土</w:t>
            </w:r>
          </w:p>
        </w:tc>
      </w:tr>
      <w:tr w14:paraId="20593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4" w:type="dxa"/>
          </w:tcPr>
          <w:p w14:paraId="24027AE6">
            <w:pPr>
              <w:pStyle w:val="71"/>
              <w:spacing w:before="24" w:after="24"/>
              <w:rPr>
                <w:rFonts w:cs="Times New Roman"/>
              </w:rPr>
            </w:pPr>
            <w:r>
              <w:rPr>
                <w:rFonts w:cs="Times New Roman"/>
              </w:rPr>
              <w:t>棕榈</w:t>
            </w:r>
          </w:p>
        </w:tc>
        <w:tc>
          <w:tcPr>
            <w:tcW w:w="8104" w:type="dxa"/>
          </w:tcPr>
          <w:p w14:paraId="0E319CCE">
            <w:pPr>
              <w:pStyle w:val="71"/>
              <w:spacing w:before="24" w:after="24"/>
              <w:rPr>
                <w:rFonts w:cs="Times New Roman"/>
              </w:rPr>
            </w:pPr>
            <w:r>
              <w:rPr>
                <w:rFonts w:cs="Times New Roman"/>
              </w:rPr>
              <w:t>裸根苗根系幅度应按其地径的3倍~6倍，且保留护心土</w:t>
            </w:r>
          </w:p>
        </w:tc>
      </w:tr>
    </w:tbl>
    <w:p w14:paraId="199601CD">
      <w:pPr>
        <w:pStyle w:val="54"/>
        <w:spacing w:before="24" w:after="24"/>
      </w:pPr>
      <w:r>
        <w:t>9.5.9绿化种植土壤应具备常规土壤的外观，有一定疏松度、无明显可视杂物、常规土色、无明显异味；除有地下空间、屋顶绿化等特殊地带，绿化种植土壤有效土层下应无大面积的不透水层，否则应打碎或钻孔，使土壤种植层和地下水能有效贯通。污泥、淤泥等不应直接作为绿化种植土壤，应清除建筑垃圾。花坛用土或用于种植对土壤病虫害敏感植物的绿化土壤宜先将其进行消毒处理后再使用。</w:t>
      </w:r>
    </w:p>
    <w:p w14:paraId="2ACFC2BB">
      <w:pPr>
        <w:pStyle w:val="54"/>
        <w:spacing w:before="24" w:after="24"/>
      </w:pPr>
      <w:r>
        <w:t>9.5.10临道路设置的乔、灌木应满足道路最小视距要求；</w:t>
      </w:r>
    </w:p>
    <w:p w14:paraId="7F6E4EAE">
      <w:pPr>
        <w:pStyle w:val="54"/>
        <w:spacing w:before="24" w:after="24"/>
      </w:pPr>
      <w:r>
        <w:t>9.5.11植物的选择可参照《香格里拉市城乡绿化美化中长期规划（2022—2031 年）》中相关推荐。</w:t>
      </w:r>
    </w:p>
    <w:p w14:paraId="45CD65BE">
      <w:pPr>
        <w:pStyle w:val="66"/>
        <w:rPr>
          <w:rFonts w:cs="Times New Roman"/>
        </w:rPr>
      </w:pPr>
      <w:r>
        <w:rPr>
          <w:rFonts w:cs="Times New Roman"/>
        </w:rPr>
        <w:t>9.6 水体设计</w:t>
      </w:r>
    </w:p>
    <w:p w14:paraId="73C4FFAA">
      <w:pPr>
        <w:pStyle w:val="54"/>
        <w:spacing w:before="24" w:after="24"/>
      </w:pPr>
      <w:r>
        <w:t>1.居住绿地中的水体设计应满足安全要求；</w:t>
      </w:r>
    </w:p>
    <w:p w14:paraId="67910E32">
      <w:pPr>
        <w:pStyle w:val="54"/>
        <w:spacing w:before="24" w:after="24"/>
      </w:pPr>
      <w:r>
        <w:t>2.居住绿地中的水体宜采用雨水、中水、城市再生水及天然水源等作为水源；</w:t>
      </w:r>
    </w:p>
    <w:p w14:paraId="42DA94AB">
      <w:pPr>
        <w:pStyle w:val="54"/>
        <w:spacing w:before="24" w:after="24"/>
      </w:pPr>
      <w:r>
        <w:t>3.居住绿地中水体的最高水位，应确保绿地内的重要建（构）筑物不被水淹;最低水位不应影响水体景观效果;最低水位与最高水位相差宜小于0.8m；</w:t>
      </w:r>
    </w:p>
    <w:p w14:paraId="56862B4D">
      <w:pPr>
        <w:pStyle w:val="54"/>
        <w:spacing w:before="24" w:after="24"/>
      </w:pPr>
      <w:r>
        <w:t>4.居住绿地中营造湿地景观的水体，水深宜为0.1m～1.2m；</w:t>
      </w:r>
    </w:p>
    <w:p w14:paraId="7438183D">
      <w:pPr>
        <w:pStyle w:val="54"/>
        <w:spacing w:before="24" w:after="24"/>
      </w:pPr>
      <w:r>
        <w:t>5.居住绿地水体宜以原土构筑池底，并应采用种植水生植物、养鱼等生物措施促进水体自净。</w:t>
      </w:r>
    </w:p>
    <w:p w14:paraId="2706D240">
      <w:pPr>
        <w:pStyle w:val="64"/>
        <w:spacing w:before="24" w:after="24"/>
        <w:rPr>
          <w:rFonts w:cs="Times New Roman"/>
        </w:rPr>
      </w:pPr>
      <w:bookmarkStart w:id="107" w:name="_Toc221894138"/>
      <w:r>
        <w:rPr>
          <w:rFonts w:cs="Times New Roman"/>
        </w:rPr>
        <w:t>10、道路专业</w:t>
      </w:r>
      <w:bookmarkEnd w:id="107"/>
    </w:p>
    <w:p w14:paraId="4BBC9EEA">
      <w:pPr>
        <w:pStyle w:val="66"/>
        <w:rPr>
          <w:rFonts w:cs="Times New Roman"/>
        </w:rPr>
      </w:pPr>
      <w:r>
        <w:rPr>
          <w:rFonts w:cs="Times New Roman"/>
        </w:rPr>
        <w:t>10.1 总则</w:t>
      </w:r>
    </w:p>
    <w:p w14:paraId="1E2963A8">
      <w:pPr>
        <w:pStyle w:val="54"/>
        <w:spacing w:before="24" w:after="24"/>
      </w:pPr>
      <w:r>
        <w:t>从项目整体规划布局的角度出发，用系统理念分析解决问题，妥善处理交通、结构、环境、排水、绿化、照明等专业与其他系统的各种矛盾，确立“尊重规划，合理优化”，在满足功能和安全的前提下，体现设计道路“生态、环保、节能、和谐”的总体设计思路。本项目道路工程总体设计原则如下：</w:t>
      </w:r>
    </w:p>
    <w:p w14:paraId="34E0E60B">
      <w:pPr>
        <w:pStyle w:val="54"/>
        <w:spacing w:before="24" w:after="24"/>
      </w:pPr>
      <w:r>
        <w:t>1.总体设计满足规划的功能要求，规范的设计标准。</w:t>
      </w:r>
    </w:p>
    <w:p w14:paraId="32E60ECF">
      <w:pPr>
        <w:pStyle w:val="54"/>
        <w:spacing w:before="24" w:after="24"/>
      </w:pPr>
      <w:r>
        <w:t>2.道路平面、纵断面及横断面设计合理协调，路面结构合理。</w:t>
      </w:r>
    </w:p>
    <w:p w14:paraId="3ED2FABC">
      <w:pPr>
        <w:pStyle w:val="54"/>
        <w:spacing w:before="24" w:after="24"/>
      </w:pPr>
      <w:r>
        <w:t>3.在满足技术标准要求的基础上，以充分发挥投资效益为前提，考虑其综合性、经济性、时间性等诸多要素，使设计切实可行。</w:t>
      </w:r>
    </w:p>
    <w:p w14:paraId="3EE9C87A">
      <w:pPr>
        <w:pStyle w:val="54"/>
        <w:spacing w:before="24" w:after="24"/>
      </w:pPr>
      <w:r>
        <w:t>4.道路与周边的景观环境相协调，做到功能性与景观性的统一。</w:t>
      </w:r>
    </w:p>
    <w:p w14:paraId="29BCC36B">
      <w:pPr>
        <w:pStyle w:val="54"/>
        <w:spacing w:before="24" w:after="24"/>
      </w:pPr>
      <w:r>
        <w:t>5.灵活运用纵断面线形指标，合理设置纵坡，同时考虑填挖工程量的平衡，减少土石方工程量，并尽量使土石方就近利用，以节约工程成本。</w:t>
      </w:r>
    </w:p>
    <w:p w14:paraId="49A1A435">
      <w:pPr>
        <w:pStyle w:val="54"/>
        <w:spacing w:before="24" w:after="24"/>
      </w:pPr>
      <w:r>
        <w:t>6.纵断面线形设计，在综合考虑地形以及水文、地质、填挖取土等因素的基础上，各项指标的采用力求合理，满足工程要求且线形舒适。</w:t>
      </w:r>
    </w:p>
    <w:p w14:paraId="592551E8">
      <w:pPr>
        <w:pStyle w:val="54"/>
        <w:spacing w:before="24" w:after="24"/>
      </w:pPr>
      <w:r>
        <w:t>7.尽量使道路纵坡平顺，行车安全顺适，与周围标高衔接顺畅，最终达到环境效益与经济效益的合理统一。</w:t>
      </w:r>
    </w:p>
    <w:p w14:paraId="07C40428">
      <w:pPr>
        <w:pStyle w:val="54"/>
        <w:spacing w:before="24" w:after="24"/>
      </w:pPr>
      <w:r>
        <w:t>8.灵活运用线形指标，避免长陡坡出现。</w:t>
      </w:r>
    </w:p>
    <w:p w14:paraId="05E021F7">
      <w:pPr>
        <w:pStyle w:val="54"/>
        <w:spacing w:before="24" w:after="24"/>
      </w:pPr>
      <w:r>
        <w:t>9.设计中要考虑路拱的形式和坡度及雨水口的位置，同时还要注意道路两侧建筑内部排水的出口，以便取得密切配合，保证雨水的排放。</w:t>
      </w:r>
    </w:p>
    <w:p w14:paraId="0283B363">
      <w:pPr>
        <w:pStyle w:val="54"/>
        <w:spacing w:before="24" w:after="24"/>
      </w:pPr>
      <w:r>
        <w:t>10.避免沿路的地上，地下管线，各种构筑物以及人防工程等相互干扰。在布置时，要综合考虑各种管线及构筑物间的配合和合理安排，留有发展余地提供维修的方便。</w:t>
      </w:r>
    </w:p>
    <w:p w14:paraId="1185885A">
      <w:pPr>
        <w:pStyle w:val="54"/>
        <w:spacing w:before="24" w:after="24"/>
      </w:pPr>
      <w:r>
        <w:t>11.注意节省建设投资，节约用地。横断面各组成部分配置既要紧凑，又要考虑留有余地。</w:t>
      </w:r>
    </w:p>
    <w:p w14:paraId="4ACC9EB1">
      <w:pPr>
        <w:pStyle w:val="66"/>
        <w:rPr>
          <w:rFonts w:cs="Times New Roman"/>
        </w:rPr>
      </w:pPr>
      <w:r>
        <w:rPr>
          <w:rFonts w:cs="Times New Roman"/>
        </w:rPr>
        <w:t>10.2 技术要求</w:t>
      </w:r>
    </w:p>
    <w:p w14:paraId="26F0CD69">
      <w:pPr>
        <w:pStyle w:val="54"/>
        <w:spacing w:before="24" w:after="24"/>
      </w:pPr>
      <w:r>
        <w:t>本项目技术标准如下：</w:t>
      </w:r>
    </w:p>
    <w:p w14:paraId="7F04F834">
      <w:pPr>
        <w:pStyle w:val="54"/>
        <w:spacing w:before="24" w:after="24"/>
      </w:pPr>
      <w:r>
        <w:t>1.道路等级：城市主干路；</w:t>
      </w:r>
    </w:p>
    <w:p w14:paraId="7CB2D288">
      <w:pPr>
        <w:pStyle w:val="54"/>
        <w:spacing w:before="24" w:after="24"/>
      </w:pPr>
      <w:r>
        <w:t>2.设计车速：30Km/h；</w:t>
      </w:r>
    </w:p>
    <w:p w14:paraId="73439E1E">
      <w:pPr>
        <w:pStyle w:val="54"/>
        <w:spacing w:before="24" w:after="24"/>
      </w:pPr>
      <w:r>
        <w:t>3.设计基准期：</w:t>
      </w:r>
      <w:r>
        <w:rPr>
          <w:rFonts w:ascii="Cambria Math" w:hAnsi="Cambria Math" w:cs="Cambria Math"/>
        </w:rPr>
        <w:t>①</w:t>
      </w:r>
      <w:r>
        <w:t>道路设计交通量达到饱和状态时的设计基准期：主干路应为20年。</w:t>
      </w:r>
      <w:r>
        <w:rPr>
          <w:rFonts w:ascii="Cambria Math" w:hAnsi="Cambria Math" w:cs="Cambria Math"/>
        </w:rPr>
        <w:t>②</w:t>
      </w:r>
      <w:r>
        <w:t>沥青混凝土路面结构的设计基准期为15年；</w:t>
      </w:r>
    </w:p>
    <w:p w14:paraId="0415E8B4">
      <w:pPr>
        <w:pStyle w:val="54"/>
        <w:spacing w:before="24" w:after="24"/>
      </w:pPr>
      <w:r>
        <w:t>4.荷载标准：次干路采用城-A级；</w:t>
      </w:r>
    </w:p>
    <w:p w14:paraId="578CE1FC">
      <w:pPr>
        <w:pStyle w:val="54"/>
        <w:spacing w:before="24" w:after="24"/>
      </w:pPr>
      <w:r>
        <w:t>5.抗震设防标准：抗震设防烈度为7度（0.15g），第二组；</w:t>
      </w:r>
    </w:p>
    <w:p w14:paraId="52C65AE9">
      <w:pPr>
        <w:pStyle w:val="54"/>
        <w:spacing w:before="24" w:after="24"/>
      </w:pPr>
      <w:r>
        <w:t>6.道路最小净高：4.5m。</w:t>
      </w:r>
    </w:p>
    <w:p w14:paraId="1E9A78BC">
      <w:pPr>
        <w:pStyle w:val="66"/>
        <w:rPr>
          <w:rFonts w:cs="Times New Roman"/>
        </w:rPr>
      </w:pPr>
      <w:r>
        <w:rPr>
          <w:rFonts w:cs="Times New Roman"/>
        </w:rPr>
        <w:t>10.3道路工程</w:t>
      </w:r>
    </w:p>
    <w:p w14:paraId="271680D7">
      <w:pPr>
        <w:pStyle w:val="54"/>
        <w:spacing w:before="24" w:after="24"/>
      </w:pPr>
      <w:r>
        <w:t>10.3.1平面设计</w:t>
      </w:r>
    </w:p>
    <w:p w14:paraId="255988F4">
      <w:pPr>
        <w:pStyle w:val="54"/>
        <w:spacing w:before="24" w:after="24"/>
      </w:pPr>
      <w:r>
        <w:t>1.直线</w:t>
      </w:r>
    </w:p>
    <w:p w14:paraId="76E7D21A">
      <w:pPr>
        <w:pStyle w:val="54"/>
        <w:spacing w:before="24" w:after="24"/>
      </w:pPr>
      <w:r>
        <w:t>设计速度小于 60kmh或地形条件困难时，同向曲线间的最小直线长度（m）宜大于或等于设计速度（以km/h计）的3倍;反向曲线间的最小直线长度（m）宜大于或等于设计速度（以km/h计）的15 倍。特殊困难时亦应大于或等于停车视距。</w:t>
      </w:r>
    </w:p>
    <w:p w14:paraId="36742B01">
      <w:pPr>
        <w:pStyle w:val="54"/>
        <w:spacing w:before="24" w:after="24"/>
      </w:pPr>
      <w:r>
        <w:t>2.圆曲线</w:t>
      </w:r>
    </w:p>
    <w:p w14:paraId="21A28D12">
      <w:pPr>
        <w:pStyle w:val="54"/>
        <w:spacing w:before="24" w:after="24"/>
      </w:pPr>
      <w:r>
        <w:t>道路圆曲线最小半径应复核下表规定。当地形条件受限制时，可采用设超高圆曲线最小半径的一般值;当地形条件特别困难时，可采用设超高圆曲线最小半径的极限值。</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80"/>
        <w:gridCol w:w="1106"/>
        <w:gridCol w:w="1205"/>
        <w:gridCol w:w="1275"/>
        <w:gridCol w:w="1276"/>
      </w:tblGrid>
      <w:tr w14:paraId="54C6B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86" w:type="dxa"/>
            <w:gridSpan w:val="2"/>
            <w:tcBorders>
              <w:top w:val="single" w:color="auto" w:sz="4" w:space="0"/>
              <w:left w:val="single" w:color="auto" w:sz="4" w:space="0"/>
              <w:bottom w:val="single" w:color="auto" w:sz="4" w:space="0"/>
              <w:right w:val="single" w:color="auto" w:sz="4" w:space="0"/>
            </w:tcBorders>
            <w:vAlign w:val="center"/>
          </w:tcPr>
          <w:p w14:paraId="740ABEDB">
            <w:pPr>
              <w:pStyle w:val="71"/>
              <w:spacing w:before="24" w:after="24"/>
              <w:rPr>
                <w:rFonts w:cs="Times New Roman"/>
              </w:rPr>
            </w:pPr>
            <w:r>
              <w:rPr>
                <w:rFonts w:cs="Times New Roman"/>
              </w:rPr>
              <w:t>设计速度（Km/h）</w:t>
            </w:r>
          </w:p>
        </w:tc>
        <w:tc>
          <w:tcPr>
            <w:tcW w:w="1205" w:type="dxa"/>
            <w:tcBorders>
              <w:top w:val="single" w:color="auto" w:sz="4" w:space="0"/>
              <w:left w:val="single" w:color="auto" w:sz="4" w:space="0"/>
              <w:bottom w:val="single" w:color="auto" w:sz="4" w:space="0"/>
              <w:right w:val="single" w:color="auto" w:sz="4" w:space="0"/>
            </w:tcBorders>
            <w:vAlign w:val="center"/>
          </w:tcPr>
          <w:p w14:paraId="5B48D729">
            <w:pPr>
              <w:pStyle w:val="71"/>
              <w:spacing w:before="24" w:after="24"/>
              <w:rPr>
                <w:rFonts w:cs="Times New Roman"/>
              </w:rPr>
            </w:pPr>
            <w:r>
              <w:rPr>
                <w:rFonts w:cs="Times New Roman"/>
              </w:rPr>
              <w:t>30</w:t>
            </w:r>
          </w:p>
        </w:tc>
        <w:tc>
          <w:tcPr>
            <w:tcW w:w="1275" w:type="dxa"/>
            <w:tcBorders>
              <w:top w:val="single" w:color="auto" w:sz="4" w:space="0"/>
              <w:left w:val="single" w:color="auto" w:sz="4" w:space="0"/>
              <w:bottom w:val="single" w:color="auto" w:sz="4" w:space="0"/>
              <w:right w:val="single" w:color="auto" w:sz="4" w:space="0"/>
            </w:tcBorders>
            <w:vAlign w:val="center"/>
          </w:tcPr>
          <w:p w14:paraId="147326A0">
            <w:pPr>
              <w:pStyle w:val="71"/>
              <w:spacing w:before="24" w:after="24"/>
              <w:rPr>
                <w:rFonts w:cs="Times New Roman"/>
              </w:rPr>
            </w:pPr>
            <w:r>
              <w:rPr>
                <w:rFonts w:cs="Times New Roman"/>
              </w:rPr>
              <w:t>20</w:t>
            </w:r>
          </w:p>
        </w:tc>
        <w:tc>
          <w:tcPr>
            <w:tcW w:w="1276" w:type="dxa"/>
            <w:tcBorders>
              <w:top w:val="single" w:color="auto" w:sz="4" w:space="0"/>
              <w:left w:val="single" w:color="auto" w:sz="4" w:space="0"/>
              <w:bottom w:val="single" w:color="auto" w:sz="4" w:space="0"/>
              <w:right w:val="single" w:color="auto" w:sz="4" w:space="0"/>
            </w:tcBorders>
            <w:vAlign w:val="center"/>
          </w:tcPr>
          <w:p w14:paraId="209D7CBA">
            <w:pPr>
              <w:pStyle w:val="71"/>
              <w:spacing w:before="24" w:after="24"/>
              <w:rPr>
                <w:rFonts w:cs="Times New Roman"/>
              </w:rPr>
            </w:pPr>
            <w:r>
              <w:rPr>
                <w:rFonts w:cs="Times New Roman"/>
              </w:rPr>
              <w:t>15</w:t>
            </w:r>
          </w:p>
        </w:tc>
      </w:tr>
      <w:tr w14:paraId="74DA7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86" w:type="dxa"/>
            <w:gridSpan w:val="2"/>
            <w:tcBorders>
              <w:top w:val="single" w:color="auto" w:sz="4" w:space="0"/>
              <w:left w:val="single" w:color="auto" w:sz="4" w:space="0"/>
              <w:bottom w:val="single" w:color="auto" w:sz="4" w:space="0"/>
              <w:right w:val="single" w:color="auto" w:sz="4" w:space="0"/>
            </w:tcBorders>
            <w:vAlign w:val="center"/>
          </w:tcPr>
          <w:p w14:paraId="65C17F25">
            <w:pPr>
              <w:pStyle w:val="71"/>
              <w:spacing w:before="24" w:after="24"/>
              <w:rPr>
                <w:rFonts w:cs="Times New Roman"/>
              </w:rPr>
            </w:pPr>
            <w:r>
              <w:rPr>
                <w:rFonts w:cs="Times New Roman"/>
              </w:rPr>
              <w:t>不设超高最小半径（m）</w:t>
            </w:r>
          </w:p>
        </w:tc>
        <w:tc>
          <w:tcPr>
            <w:tcW w:w="1205" w:type="dxa"/>
            <w:tcBorders>
              <w:top w:val="single" w:color="auto" w:sz="4" w:space="0"/>
              <w:left w:val="single" w:color="auto" w:sz="4" w:space="0"/>
              <w:bottom w:val="single" w:color="auto" w:sz="4" w:space="0"/>
              <w:right w:val="single" w:color="auto" w:sz="4" w:space="0"/>
            </w:tcBorders>
            <w:vAlign w:val="center"/>
          </w:tcPr>
          <w:p w14:paraId="4B37A8A6">
            <w:pPr>
              <w:pStyle w:val="71"/>
              <w:spacing w:before="24" w:after="24"/>
              <w:rPr>
                <w:rFonts w:cs="Times New Roman"/>
              </w:rPr>
            </w:pPr>
            <w:r>
              <w:rPr>
                <w:rFonts w:cs="Times New Roman"/>
              </w:rPr>
              <w:t>150</w:t>
            </w:r>
          </w:p>
        </w:tc>
        <w:tc>
          <w:tcPr>
            <w:tcW w:w="1275" w:type="dxa"/>
            <w:tcBorders>
              <w:top w:val="single" w:color="auto" w:sz="4" w:space="0"/>
              <w:left w:val="single" w:color="auto" w:sz="4" w:space="0"/>
              <w:bottom w:val="single" w:color="auto" w:sz="4" w:space="0"/>
              <w:right w:val="single" w:color="auto" w:sz="4" w:space="0"/>
            </w:tcBorders>
            <w:vAlign w:val="center"/>
          </w:tcPr>
          <w:p w14:paraId="314DCBF6">
            <w:pPr>
              <w:pStyle w:val="71"/>
              <w:spacing w:before="24" w:after="24"/>
              <w:rPr>
                <w:rFonts w:cs="Times New Roman"/>
              </w:rPr>
            </w:pPr>
            <w:r>
              <w:rPr>
                <w:rFonts w:cs="Times New Roman"/>
              </w:rPr>
              <w:t>70</w:t>
            </w:r>
          </w:p>
        </w:tc>
        <w:tc>
          <w:tcPr>
            <w:tcW w:w="1276" w:type="dxa"/>
            <w:tcBorders>
              <w:top w:val="single" w:color="auto" w:sz="4" w:space="0"/>
              <w:left w:val="single" w:color="auto" w:sz="4" w:space="0"/>
              <w:bottom w:val="single" w:color="auto" w:sz="4" w:space="0"/>
              <w:right w:val="single" w:color="auto" w:sz="4" w:space="0"/>
            </w:tcBorders>
            <w:vAlign w:val="center"/>
          </w:tcPr>
          <w:p w14:paraId="1096662D">
            <w:pPr>
              <w:pStyle w:val="71"/>
              <w:spacing w:before="24" w:after="24"/>
              <w:rPr>
                <w:rFonts w:cs="Times New Roman"/>
              </w:rPr>
            </w:pPr>
            <w:r>
              <w:rPr>
                <w:rFonts w:cs="Times New Roman"/>
              </w:rPr>
              <w:t>40</w:t>
            </w:r>
          </w:p>
        </w:tc>
      </w:tr>
      <w:tr w14:paraId="0714D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80" w:type="dxa"/>
            <w:vMerge w:val="restart"/>
            <w:tcBorders>
              <w:top w:val="nil"/>
              <w:left w:val="single" w:color="auto" w:sz="4" w:space="0"/>
              <w:bottom w:val="single" w:color="auto" w:sz="4" w:space="0"/>
              <w:right w:val="single" w:color="auto" w:sz="4" w:space="0"/>
            </w:tcBorders>
            <w:vAlign w:val="center"/>
          </w:tcPr>
          <w:p w14:paraId="7CEAF8E2">
            <w:pPr>
              <w:pStyle w:val="71"/>
              <w:spacing w:before="24" w:after="24"/>
              <w:rPr>
                <w:rFonts w:cs="Times New Roman"/>
              </w:rPr>
            </w:pPr>
            <w:r>
              <w:rPr>
                <w:rFonts w:cs="Times New Roman"/>
              </w:rPr>
              <w:t>设超高最小半径（m）</w:t>
            </w:r>
          </w:p>
        </w:tc>
        <w:tc>
          <w:tcPr>
            <w:tcW w:w="1106" w:type="dxa"/>
            <w:tcBorders>
              <w:top w:val="single" w:color="auto" w:sz="4" w:space="0"/>
              <w:left w:val="single" w:color="auto" w:sz="4" w:space="0"/>
              <w:bottom w:val="single" w:color="auto" w:sz="4" w:space="0"/>
              <w:right w:val="single" w:color="auto" w:sz="4" w:space="0"/>
            </w:tcBorders>
            <w:vAlign w:val="center"/>
          </w:tcPr>
          <w:p w14:paraId="5D5AE751">
            <w:pPr>
              <w:pStyle w:val="71"/>
              <w:spacing w:before="24" w:after="24"/>
              <w:rPr>
                <w:rFonts w:cs="Times New Roman"/>
              </w:rPr>
            </w:pPr>
            <w:r>
              <w:rPr>
                <w:rFonts w:cs="Times New Roman"/>
              </w:rPr>
              <w:t>一般值</w:t>
            </w:r>
          </w:p>
        </w:tc>
        <w:tc>
          <w:tcPr>
            <w:tcW w:w="1205" w:type="dxa"/>
            <w:tcBorders>
              <w:top w:val="single" w:color="auto" w:sz="4" w:space="0"/>
              <w:left w:val="single" w:color="auto" w:sz="4" w:space="0"/>
              <w:bottom w:val="single" w:color="auto" w:sz="4" w:space="0"/>
              <w:right w:val="single" w:color="auto" w:sz="4" w:space="0"/>
            </w:tcBorders>
            <w:vAlign w:val="center"/>
          </w:tcPr>
          <w:p w14:paraId="0368F9F4">
            <w:pPr>
              <w:pStyle w:val="71"/>
              <w:spacing w:before="24" w:after="24"/>
              <w:rPr>
                <w:rFonts w:cs="Times New Roman"/>
              </w:rPr>
            </w:pPr>
            <w:r>
              <w:rPr>
                <w:rFonts w:cs="Times New Roman"/>
              </w:rPr>
              <w:t>85</w:t>
            </w:r>
          </w:p>
        </w:tc>
        <w:tc>
          <w:tcPr>
            <w:tcW w:w="1275" w:type="dxa"/>
            <w:tcBorders>
              <w:top w:val="single" w:color="auto" w:sz="4" w:space="0"/>
              <w:left w:val="single" w:color="auto" w:sz="4" w:space="0"/>
              <w:bottom w:val="single" w:color="auto" w:sz="4" w:space="0"/>
              <w:right w:val="single" w:color="auto" w:sz="4" w:space="0"/>
            </w:tcBorders>
            <w:vAlign w:val="center"/>
          </w:tcPr>
          <w:p w14:paraId="6D49ABDA">
            <w:pPr>
              <w:pStyle w:val="71"/>
              <w:spacing w:before="24" w:after="24"/>
              <w:rPr>
                <w:rFonts w:cs="Times New Roman"/>
              </w:rPr>
            </w:pPr>
            <w:r>
              <w:rPr>
                <w:rFonts w:cs="Times New Roman"/>
              </w:rPr>
              <w:t>40</w:t>
            </w:r>
          </w:p>
        </w:tc>
        <w:tc>
          <w:tcPr>
            <w:tcW w:w="1276" w:type="dxa"/>
            <w:tcBorders>
              <w:top w:val="single" w:color="auto" w:sz="4" w:space="0"/>
              <w:left w:val="single" w:color="auto" w:sz="4" w:space="0"/>
              <w:bottom w:val="single" w:color="auto" w:sz="4" w:space="0"/>
              <w:right w:val="single" w:color="auto" w:sz="4" w:space="0"/>
            </w:tcBorders>
            <w:vAlign w:val="center"/>
          </w:tcPr>
          <w:p w14:paraId="3E52BC76">
            <w:pPr>
              <w:pStyle w:val="71"/>
              <w:spacing w:before="24" w:after="24"/>
              <w:rPr>
                <w:rFonts w:cs="Times New Roman"/>
              </w:rPr>
            </w:pPr>
            <w:r>
              <w:rPr>
                <w:rFonts w:cs="Times New Roman"/>
              </w:rPr>
              <w:t>30</w:t>
            </w:r>
          </w:p>
        </w:tc>
      </w:tr>
      <w:tr w14:paraId="7DE15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80" w:type="dxa"/>
            <w:vMerge w:val="continue"/>
            <w:tcBorders>
              <w:top w:val="nil"/>
              <w:left w:val="single" w:color="auto" w:sz="4" w:space="0"/>
              <w:bottom w:val="single" w:color="auto" w:sz="4" w:space="0"/>
              <w:right w:val="single" w:color="auto" w:sz="4" w:space="0"/>
            </w:tcBorders>
            <w:vAlign w:val="center"/>
          </w:tcPr>
          <w:p w14:paraId="4536B52B">
            <w:pPr>
              <w:pStyle w:val="71"/>
              <w:spacing w:before="24" w:after="24"/>
              <w:rPr>
                <w:rFonts w:cs="Times New Roman"/>
              </w:rPr>
            </w:pPr>
          </w:p>
        </w:tc>
        <w:tc>
          <w:tcPr>
            <w:tcW w:w="1106" w:type="dxa"/>
            <w:tcBorders>
              <w:top w:val="single" w:color="auto" w:sz="4" w:space="0"/>
              <w:left w:val="single" w:color="auto" w:sz="4" w:space="0"/>
              <w:bottom w:val="single" w:color="auto" w:sz="4" w:space="0"/>
              <w:right w:val="single" w:color="auto" w:sz="4" w:space="0"/>
            </w:tcBorders>
            <w:vAlign w:val="center"/>
          </w:tcPr>
          <w:p w14:paraId="5ED103C4">
            <w:pPr>
              <w:pStyle w:val="71"/>
              <w:spacing w:before="24" w:after="24"/>
              <w:rPr>
                <w:rFonts w:cs="Times New Roman"/>
              </w:rPr>
            </w:pPr>
            <w:r>
              <w:rPr>
                <w:rFonts w:cs="Times New Roman"/>
              </w:rPr>
              <w:t>极限值</w:t>
            </w:r>
          </w:p>
        </w:tc>
        <w:tc>
          <w:tcPr>
            <w:tcW w:w="1205" w:type="dxa"/>
            <w:tcBorders>
              <w:top w:val="single" w:color="auto" w:sz="4" w:space="0"/>
              <w:left w:val="single" w:color="auto" w:sz="4" w:space="0"/>
              <w:bottom w:val="single" w:color="auto" w:sz="4" w:space="0"/>
              <w:right w:val="single" w:color="auto" w:sz="4" w:space="0"/>
            </w:tcBorders>
            <w:vAlign w:val="center"/>
          </w:tcPr>
          <w:p w14:paraId="138A6B8B">
            <w:pPr>
              <w:pStyle w:val="71"/>
              <w:spacing w:before="24" w:after="24"/>
              <w:rPr>
                <w:rFonts w:cs="Times New Roman"/>
              </w:rPr>
            </w:pPr>
            <w:r>
              <w:rPr>
                <w:rFonts w:cs="Times New Roman"/>
              </w:rPr>
              <w:t>40</w:t>
            </w:r>
          </w:p>
        </w:tc>
        <w:tc>
          <w:tcPr>
            <w:tcW w:w="1275" w:type="dxa"/>
            <w:tcBorders>
              <w:top w:val="single" w:color="auto" w:sz="4" w:space="0"/>
              <w:left w:val="single" w:color="auto" w:sz="4" w:space="0"/>
              <w:bottom w:val="single" w:color="auto" w:sz="4" w:space="0"/>
              <w:right w:val="single" w:color="auto" w:sz="4" w:space="0"/>
            </w:tcBorders>
            <w:vAlign w:val="center"/>
          </w:tcPr>
          <w:p w14:paraId="404C7835">
            <w:pPr>
              <w:pStyle w:val="71"/>
              <w:spacing w:before="24" w:after="24"/>
              <w:rPr>
                <w:rFonts w:cs="Times New Roman"/>
              </w:rPr>
            </w:pPr>
            <w:r>
              <w:rPr>
                <w:rFonts w:cs="Times New Roman"/>
              </w:rPr>
              <w:t>20</w:t>
            </w:r>
          </w:p>
        </w:tc>
        <w:tc>
          <w:tcPr>
            <w:tcW w:w="1276" w:type="dxa"/>
            <w:tcBorders>
              <w:top w:val="single" w:color="auto" w:sz="4" w:space="0"/>
              <w:left w:val="single" w:color="auto" w:sz="4" w:space="0"/>
              <w:bottom w:val="single" w:color="auto" w:sz="4" w:space="0"/>
              <w:right w:val="single" w:color="auto" w:sz="4" w:space="0"/>
            </w:tcBorders>
            <w:vAlign w:val="center"/>
          </w:tcPr>
          <w:p w14:paraId="50AC5262">
            <w:pPr>
              <w:pStyle w:val="71"/>
              <w:spacing w:before="24" w:after="24"/>
              <w:rPr>
                <w:rFonts w:cs="Times New Roman"/>
              </w:rPr>
            </w:pPr>
            <w:r>
              <w:rPr>
                <w:rFonts w:cs="Times New Roman"/>
              </w:rPr>
              <w:t>15</w:t>
            </w:r>
          </w:p>
        </w:tc>
      </w:tr>
    </w:tbl>
    <w:p w14:paraId="49E8D519">
      <w:pPr>
        <w:pStyle w:val="54"/>
        <w:spacing w:before="24" w:after="24"/>
      </w:pPr>
      <w:r>
        <w:t>3.平曲线最小长度</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7"/>
        <w:gridCol w:w="1106"/>
        <w:gridCol w:w="921"/>
        <w:gridCol w:w="992"/>
        <w:gridCol w:w="993"/>
      </w:tblGrid>
      <w:tr w14:paraId="3942C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53" w:type="dxa"/>
            <w:gridSpan w:val="2"/>
            <w:tcBorders>
              <w:top w:val="single" w:color="auto" w:sz="4" w:space="0"/>
              <w:left w:val="single" w:color="auto" w:sz="4" w:space="0"/>
              <w:bottom w:val="single" w:color="auto" w:sz="4" w:space="0"/>
              <w:right w:val="single" w:color="auto" w:sz="4" w:space="0"/>
            </w:tcBorders>
            <w:vAlign w:val="center"/>
          </w:tcPr>
          <w:p w14:paraId="04440E01">
            <w:pPr>
              <w:pStyle w:val="71"/>
              <w:spacing w:before="24" w:after="24"/>
              <w:rPr>
                <w:rFonts w:cs="Times New Roman"/>
              </w:rPr>
            </w:pPr>
            <w:r>
              <w:rPr>
                <w:rFonts w:cs="Times New Roman"/>
              </w:rPr>
              <w:t>设计速度（Km/h）</w:t>
            </w:r>
          </w:p>
        </w:tc>
        <w:tc>
          <w:tcPr>
            <w:tcW w:w="921" w:type="dxa"/>
            <w:tcBorders>
              <w:top w:val="single" w:color="auto" w:sz="4" w:space="0"/>
              <w:left w:val="single" w:color="auto" w:sz="4" w:space="0"/>
              <w:bottom w:val="single" w:color="auto" w:sz="4" w:space="0"/>
              <w:right w:val="single" w:color="auto" w:sz="4" w:space="0"/>
            </w:tcBorders>
            <w:vAlign w:val="center"/>
          </w:tcPr>
          <w:p w14:paraId="41DA01BF">
            <w:pPr>
              <w:pStyle w:val="71"/>
              <w:spacing w:before="24" w:after="24"/>
              <w:rPr>
                <w:rFonts w:cs="Times New Roman"/>
              </w:rPr>
            </w:pPr>
            <w:r>
              <w:rPr>
                <w:rFonts w:cs="Times New Roman"/>
              </w:rPr>
              <w:t>30</w:t>
            </w:r>
          </w:p>
        </w:tc>
        <w:tc>
          <w:tcPr>
            <w:tcW w:w="992" w:type="dxa"/>
            <w:tcBorders>
              <w:top w:val="single" w:color="auto" w:sz="4" w:space="0"/>
              <w:left w:val="single" w:color="auto" w:sz="4" w:space="0"/>
              <w:bottom w:val="single" w:color="auto" w:sz="4" w:space="0"/>
              <w:right w:val="single" w:color="auto" w:sz="4" w:space="0"/>
            </w:tcBorders>
            <w:vAlign w:val="center"/>
          </w:tcPr>
          <w:p w14:paraId="6381DDDE">
            <w:pPr>
              <w:pStyle w:val="71"/>
              <w:spacing w:before="24" w:after="24"/>
              <w:rPr>
                <w:rFonts w:cs="Times New Roman"/>
              </w:rPr>
            </w:pPr>
            <w:r>
              <w:rPr>
                <w:rFonts w:cs="Times New Roman"/>
              </w:rPr>
              <w:t>20</w:t>
            </w:r>
          </w:p>
        </w:tc>
        <w:tc>
          <w:tcPr>
            <w:tcW w:w="993" w:type="dxa"/>
            <w:tcBorders>
              <w:top w:val="single" w:color="auto" w:sz="4" w:space="0"/>
              <w:left w:val="single" w:color="auto" w:sz="4" w:space="0"/>
              <w:bottom w:val="single" w:color="auto" w:sz="4" w:space="0"/>
              <w:right w:val="single" w:color="auto" w:sz="4" w:space="0"/>
            </w:tcBorders>
            <w:vAlign w:val="center"/>
          </w:tcPr>
          <w:p w14:paraId="0829738E">
            <w:pPr>
              <w:pStyle w:val="71"/>
              <w:spacing w:before="24" w:after="24"/>
              <w:rPr>
                <w:rFonts w:cs="Times New Roman"/>
              </w:rPr>
            </w:pPr>
            <w:r>
              <w:rPr>
                <w:rFonts w:cs="Times New Roman"/>
              </w:rPr>
              <w:t>15</w:t>
            </w:r>
          </w:p>
        </w:tc>
      </w:tr>
      <w:tr w14:paraId="63F18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53" w:type="dxa"/>
            <w:gridSpan w:val="2"/>
            <w:tcBorders>
              <w:top w:val="single" w:color="auto" w:sz="4" w:space="0"/>
              <w:left w:val="single" w:color="auto" w:sz="4" w:space="0"/>
              <w:bottom w:val="single" w:color="auto" w:sz="4" w:space="0"/>
              <w:right w:val="single" w:color="auto" w:sz="4" w:space="0"/>
            </w:tcBorders>
            <w:vAlign w:val="center"/>
          </w:tcPr>
          <w:p w14:paraId="5149AF6A">
            <w:pPr>
              <w:pStyle w:val="71"/>
              <w:spacing w:before="24" w:after="24"/>
              <w:rPr>
                <w:rFonts w:cs="Times New Roman"/>
              </w:rPr>
            </w:pPr>
            <w:r>
              <w:rPr>
                <w:rFonts w:cs="Times New Roman"/>
              </w:rPr>
              <w:t>圆曲线最小长度（m）</w:t>
            </w:r>
          </w:p>
        </w:tc>
        <w:tc>
          <w:tcPr>
            <w:tcW w:w="921" w:type="dxa"/>
            <w:tcBorders>
              <w:top w:val="single" w:color="auto" w:sz="4" w:space="0"/>
              <w:left w:val="single" w:color="auto" w:sz="4" w:space="0"/>
              <w:bottom w:val="single" w:color="auto" w:sz="4" w:space="0"/>
              <w:right w:val="single" w:color="auto" w:sz="4" w:space="0"/>
            </w:tcBorders>
            <w:vAlign w:val="center"/>
          </w:tcPr>
          <w:p w14:paraId="12DB59B1">
            <w:pPr>
              <w:pStyle w:val="71"/>
              <w:spacing w:before="24" w:after="24"/>
              <w:rPr>
                <w:rFonts w:cs="Times New Roman"/>
              </w:rPr>
            </w:pPr>
            <w:r>
              <w:rPr>
                <w:rFonts w:cs="Times New Roman"/>
              </w:rPr>
              <w:t>25</w:t>
            </w:r>
          </w:p>
        </w:tc>
        <w:tc>
          <w:tcPr>
            <w:tcW w:w="992" w:type="dxa"/>
            <w:tcBorders>
              <w:top w:val="single" w:color="auto" w:sz="4" w:space="0"/>
              <w:left w:val="single" w:color="auto" w:sz="4" w:space="0"/>
              <w:bottom w:val="single" w:color="auto" w:sz="4" w:space="0"/>
              <w:right w:val="single" w:color="auto" w:sz="4" w:space="0"/>
            </w:tcBorders>
            <w:vAlign w:val="center"/>
          </w:tcPr>
          <w:p w14:paraId="040C8929">
            <w:pPr>
              <w:pStyle w:val="71"/>
              <w:spacing w:before="24" w:after="24"/>
              <w:rPr>
                <w:rFonts w:cs="Times New Roman"/>
              </w:rPr>
            </w:pPr>
            <w:r>
              <w:rPr>
                <w:rFonts w:cs="Times New Roman"/>
              </w:rPr>
              <w:t>20</w:t>
            </w:r>
          </w:p>
        </w:tc>
        <w:tc>
          <w:tcPr>
            <w:tcW w:w="993" w:type="dxa"/>
            <w:tcBorders>
              <w:top w:val="single" w:color="auto" w:sz="4" w:space="0"/>
              <w:left w:val="single" w:color="auto" w:sz="4" w:space="0"/>
              <w:bottom w:val="single" w:color="auto" w:sz="4" w:space="0"/>
              <w:right w:val="single" w:color="auto" w:sz="4" w:space="0"/>
            </w:tcBorders>
            <w:vAlign w:val="center"/>
          </w:tcPr>
          <w:p w14:paraId="6FF6A3A9">
            <w:pPr>
              <w:pStyle w:val="71"/>
              <w:spacing w:before="24" w:after="24"/>
              <w:rPr>
                <w:rFonts w:cs="Times New Roman"/>
              </w:rPr>
            </w:pPr>
            <w:r>
              <w:rPr>
                <w:rFonts w:cs="Times New Roman"/>
              </w:rPr>
              <w:t>15</w:t>
            </w:r>
          </w:p>
        </w:tc>
      </w:tr>
      <w:tr w14:paraId="2A731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47" w:type="dxa"/>
            <w:vMerge w:val="restart"/>
            <w:tcBorders>
              <w:top w:val="nil"/>
              <w:left w:val="single" w:color="auto" w:sz="4" w:space="0"/>
              <w:bottom w:val="single" w:color="auto" w:sz="4" w:space="0"/>
              <w:right w:val="single" w:color="auto" w:sz="4" w:space="0"/>
            </w:tcBorders>
            <w:vAlign w:val="center"/>
          </w:tcPr>
          <w:p w14:paraId="44A0FE6E">
            <w:pPr>
              <w:pStyle w:val="71"/>
              <w:spacing w:before="24" w:after="24"/>
              <w:rPr>
                <w:rFonts w:cs="Times New Roman"/>
              </w:rPr>
            </w:pPr>
            <w:r>
              <w:rPr>
                <w:rFonts w:cs="Times New Roman"/>
              </w:rPr>
              <w:t>平曲线最小长度（m）</w:t>
            </w:r>
          </w:p>
        </w:tc>
        <w:tc>
          <w:tcPr>
            <w:tcW w:w="1106" w:type="dxa"/>
            <w:tcBorders>
              <w:top w:val="single" w:color="auto" w:sz="4" w:space="0"/>
              <w:left w:val="single" w:color="auto" w:sz="4" w:space="0"/>
              <w:bottom w:val="single" w:color="auto" w:sz="4" w:space="0"/>
              <w:right w:val="single" w:color="auto" w:sz="4" w:space="0"/>
            </w:tcBorders>
            <w:vAlign w:val="center"/>
          </w:tcPr>
          <w:p w14:paraId="6F4D973A">
            <w:pPr>
              <w:pStyle w:val="71"/>
              <w:spacing w:before="24" w:after="24"/>
              <w:rPr>
                <w:rFonts w:cs="Times New Roman"/>
              </w:rPr>
            </w:pPr>
            <w:r>
              <w:rPr>
                <w:rFonts w:cs="Times New Roman"/>
              </w:rPr>
              <w:t>一般值</w:t>
            </w:r>
          </w:p>
        </w:tc>
        <w:tc>
          <w:tcPr>
            <w:tcW w:w="921" w:type="dxa"/>
            <w:tcBorders>
              <w:top w:val="single" w:color="auto" w:sz="4" w:space="0"/>
              <w:left w:val="single" w:color="auto" w:sz="4" w:space="0"/>
              <w:bottom w:val="single" w:color="auto" w:sz="4" w:space="0"/>
              <w:right w:val="single" w:color="auto" w:sz="4" w:space="0"/>
            </w:tcBorders>
            <w:vAlign w:val="center"/>
          </w:tcPr>
          <w:p w14:paraId="0EAF8109">
            <w:pPr>
              <w:pStyle w:val="71"/>
              <w:spacing w:before="24" w:after="24"/>
              <w:rPr>
                <w:rFonts w:cs="Times New Roman"/>
              </w:rPr>
            </w:pPr>
            <w:r>
              <w:rPr>
                <w:rFonts w:cs="Times New Roman"/>
              </w:rPr>
              <w:t>80</w:t>
            </w:r>
          </w:p>
        </w:tc>
        <w:tc>
          <w:tcPr>
            <w:tcW w:w="992" w:type="dxa"/>
            <w:tcBorders>
              <w:top w:val="single" w:color="auto" w:sz="4" w:space="0"/>
              <w:left w:val="single" w:color="auto" w:sz="4" w:space="0"/>
              <w:bottom w:val="single" w:color="auto" w:sz="4" w:space="0"/>
              <w:right w:val="single" w:color="auto" w:sz="4" w:space="0"/>
            </w:tcBorders>
            <w:vAlign w:val="center"/>
          </w:tcPr>
          <w:p w14:paraId="7DF5FE92">
            <w:pPr>
              <w:pStyle w:val="71"/>
              <w:spacing w:before="24" w:after="24"/>
              <w:rPr>
                <w:rFonts w:cs="Times New Roman"/>
              </w:rPr>
            </w:pPr>
            <w:r>
              <w:rPr>
                <w:rFonts w:cs="Times New Roman"/>
              </w:rPr>
              <w:t>60</w:t>
            </w:r>
          </w:p>
        </w:tc>
        <w:tc>
          <w:tcPr>
            <w:tcW w:w="993" w:type="dxa"/>
            <w:tcBorders>
              <w:top w:val="single" w:color="auto" w:sz="4" w:space="0"/>
              <w:left w:val="single" w:color="auto" w:sz="4" w:space="0"/>
              <w:bottom w:val="single" w:color="auto" w:sz="4" w:space="0"/>
              <w:right w:val="single" w:color="auto" w:sz="4" w:space="0"/>
            </w:tcBorders>
            <w:vAlign w:val="center"/>
          </w:tcPr>
          <w:p w14:paraId="6134321B">
            <w:pPr>
              <w:pStyle w:val="71"/>
              <w:spacing w:before="24" w:after="24"/>
              <w:rPr>
                <w:rFonts w:cs="Times New Roman"/>
              </w:rPr>
            </w:pPr>
            <w:r>
              <w:rPr>
                <w:rFonts w:cs="Times New Roman"/>
              </w:rPr>
              <w:t>50</w:t>
            </w:r>
          </w:p>
        </w:tc>
      </w:tr>
      <w:tr w14:paraId="7C347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47" w:type="dxa"/>
            <w:vMerge w:val="continue"/>
            <w:tcBorders>
              <w:top w:val="nil"/>
              <w:left w:val="single" w:color="auto" w:sz="4" w:space="0"/>
              <w:bottom w:val="single" w:color="auto" w:sz="4" w:space="0"/>
              <w:right w:val="single" w:color="auto" w:sz="4" w:space="0"/>
            </w:tcBorders>
            <w:vAlign w:val="center"/>
          </w:tcPr>
          <w:p w14:paraId="1BE41CB4">
            <w:pPr>
              <w:pStyle w:val="71"/>
              <w:spacing w:before="24" w:after="24"/>
              <w:rPr>
                <w:rFonts w:cs="Times New Roman"/>
              </w:rPr>
            </w:pPr>
          </w:p>
        </w:tc>
        <w:tc>
          <w:tcPr>
            <w:tcW w:w="1106" w:type="dxa"/>
            <w:tcBorders>
              <w:top w:val="single" w:color="auto" w:sz="4" w:space="0"/>
              <w:left w:val="single" w:color="auto" w:sz="4" w:space="0"/>
              <w:bottom w:val="single" w:color="auto" w:sz="4" w:space="0"/>
              <w:right w:val="single" w:color="auto" w:sz="4" w:space="0"/>
            </w:tcBorders>
            <w:vAlign w:val="center"/>
          </w:tcPr>
          <w:p w14:paraId="192DDD37">
            <w:pPr>
              <w:pStyle w:val="71"/>
              <w:spacing w:before="24" w:after="24"/>
              <w:rPr>
                <w:rFonts w:cs="Times New Roman"/>
              </w:rPr>
            </w:pPr>
            <w:r>
              <w:rPr>
                <w:rFonts w:cs="Times New Roman"/>
              </w:rPr>
              <w:t>极限值</w:t>
            </w:r>
          </w:p>
        </w:tc>
        <w:tc>
          <w:tcPr>
            <w:tcW w:w="921" w:type="dxa"/>
            <w:tcBorders>
              <w:top w:val="single" w:color="auto" w:sz="4" w:space="0"/>
              <w:left w:val="single" w:color="auto" w:sz="4" w:space="0"/>
              <w:bottom w:val="single" w:color="auto" w:sz="4" w:space="0"/>
              <w:right w:val="single" w:color="auto" w:sz="4" w:space="0"/>
            </w:tcBorders>
            <w:vAlign w:val="center"/>
          </w:tcPr>
          <w:p w14:paraId="0F8C46D3">
            <w:pPr>
              <w:pStyle w:val="71"/>
              <w:spacing w:before="24" w:after="24"/>
              <w:rPr>
                <w:rFonts w:cs="Times New Roman"/>
              </w:rPr>
            </w:pPr>
            <w:r>
              <w:rPr>
                <w:rFonts w:cs="Times New Roman"/>
              </w:rPr>
              <w:t>50</w:t>
            </w:r>
          </w:p>
        </w:tc>
        <w:tc>
          <w:tcPr>
            <w:tcW w:w="992" w:type="dxa"/>
            <w:tcBorders>
              <w:top w:val="single" w:color="auto" w:sz="4" w:space="0"/>
              <w:left w:val="single" w:color="auto" w:sz="4" w:space="0"/>
              <w:bottom w:val="single" w:color="auto" w:sz="4" w:space="0"/>
              <w:right w:val="single" w:color="auto" w:sz="4" w:space="0"/>
            </w:tcBorders>
            <w:vAlign w:val="center"/>
          </w:tcPr>
          <w:p w14:paraId="1385B6D7">
            <w:pPr>
              <w:pStyle w:val="71"/>
              <w:spacing w:before="24" w:after="24"/>
              <w:rPr>
                <w:rFonts w:cs="Times New Roman"/>
              </w:rPr>
            </w:pPr>
            <w:r>
              <w:rPr>
                <w:rFonts w:cs="Times New Roman"/>
              </w:rPr>
              <w:t>40</w:t>
            </w:r>
          </w:p>
        </w:tc>
        <w:tc>
          <w:tcPr>
            <w:tcW w:w="993" w:type="dxa"/>
            <w:tcBorders>
              <w:top w:val="single" w:color="auto" w:sz="4" w:space="0"/>
              <w:left w:val="single" w:color="auto" w:sz="4" w:space="0"/>
              <w:bottom w:val="single" w:color="auto" w:sz="4" w:space="0"/>
              <w:right w:val="single" w:color="auto" w:sz="4" w:space="0"/>
            </w:tcBorders>
            <w:vAlign w:val="center"/>
          </w:tcPr>
          <w:p w14:paraId="0BC413B3">
            <w:pPr>
              <w:pStyle w:val="71"/>
              <w:spacing w:before="24" w:after="24"/>
              <w:rPr>
                <w:rFonts w:cs="Times New Roman"/>
              </w:rPr>
            </w:pPr>
            <w:r>
              <w:rPr>
                <w:rFonts w:cs="Times New Roman"/>
              </w:rPr>
              <w:t>30</w:t>
            </w:r>
          </w:p>
        </w:tc>
      </w:tr>
    </w:tbl>
    <w:p w14:paraId="041FEB1B">
      <w:pPr>
        <w:pStyle w:val="54"/>
        <w:spacing w:before="24" w:after="24"/>
      </w:pPr>
      <w:r>
        <w:t>4.缓和曲线</w:t>
      </w:r>
    </w:p>
    <w:p w14:paraId="578B1EE2">
      <w:pPr>
        <w:pStyle w:val="54"/>
        <w:spacing w:before="24" w:after="24"/>
      </w:pPr>
      <w:r>
        <w:t>直线与圆曲线或大半径圆曲线与小半径圆曲线之间应设置缓和曲线。缓和曲线应采用回旋线。</w:t>
      </w:r>
    </w:p>
    <w:p w14:paraId="0F2CA729">
      <w:pPr>
        <w:pStyle w:val="54"/>
        <w:spacing w:before="24" w:after="24"/>
      </w:pPr>
      <w:r>
        <w:t>当设计速度小于40km/h时，缓和曲线可采用直线代替，直线长度应满足缓和曲线最小长度的要求。</w:t>
      </w:r>
    </w:p>
    <w:p w14:paraId="3F158851">
      <w:pPr>
        <w:pStyle w:val="54"/>
        <w:spacing w:before="24" w:after="24"/>
      </w:pPr>
      <w:r>
        <w:t>缓和曲线最小长度应符合下表规定。当圆曲线按规定需设置超高时，缓和曲线长度还应大于超高缓和段长度。</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8"/>
        <w:gridCol w:w="926"/>
        <w:gridCol w:w="1134"/>
        <w:gridCol w:w="1418"/>
      </w:tblGrid>
      <w:tr w14:paraId="24AF9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28" w:type="dxa"/>
            <w:tcBorders>
              <w:top w:val="single" w:color="auto" w:sz="4" w:space="0"/>
              <w:left w:val="single" w:color="auto" w:sz="4" w:space="0"/>
              <w:bottom w:val="single" w:color="auto" w:sz="4" w:space="0"/>
              <w:right w:val="single" w:color="auto" w:sz="4" w:space="0"/>
            </w:tcBorders>
            <w:vAlign w:val="center"/>
          </w:tcPr>
          <w:p w14:paraId="381B5CA6">
            <w:pPr>
              <w:pStyle w:val="71"/>
              <w:spacing w:before="24" w:after="24"/>
              <w:rPr>
                <w:rFonts w:cs="Times New Roman"/>
              </w:rPr>
            </w:pPr>
            <w:r>
              <w:rPr>
                <w:rFonts w:cs="Times New Roman"/>
              </w:rPr>
              <w:t>设计速度（Km/h）</w:t>
            </w:r>
          </w:p>
        </w:tc>
        <w:tc>
          <w:tcPr>
            <w:tcW w:w="926" w:type="dxa"/>
            <w:tcBorders>
              <w:top w:val="single" w:color="auto" w:sz="4" w:space="0"/>
              <w:left w:val="single" w:color="auto" w:sz="4" w:space="0"/>
              <w:bottom w:val="single" w:color="auto" w:sz="4" w:space="0"/>
              <w:right w:val="single" w:color="auto" w:sz="4" w:space="0"/>
            </w:tcBorders>
            <w:vAlign w:val="center"/>
          </w:tcPr>
          <w:p w14:paraId="0CBE2240">
            <w:pPr>
              <w:pStyle w:val="71"/>
              <w:spacing w:before="24" w:after="24"/>
              <w:rPr>
                <w:rFonts w:cs="Times New Roman"/>
              </w:rPr>
            </w:pPr>
            <w:r>
              <w:rPr>
                <w:rFonts w:cs="Times New Roman"/>
              </w:rPr>
              <w:t>30</w:t>
            </w:r>
          </w:p>
        </w:tc>
        <w:tc>
          <w:tcPr>
            <w:tcW w:w="1134" w:type="dxa"/>
            <w:tcBorders>
              <w:top w:val="single" w:color="auto" w:sz="4" w:space="0"/>
              <w:left w:val="single" w:color="auto" w:sz="4" w:space="0"/>
              <w:bottom w:val="single" w:color="auto" w:sz="4" w:space="0"/>
              <w:right w:val="single" w:color="auto" w:sz="4" w:space="0"/>
            </w:tcBorders>
            <w:vAlign w:val="center"/>
          </w:tcPr>
          <w:p w14:paraId="7534B1D6">
            <w:pPr>
              <w:pStyle w:val="71"/>
              <w:spacing w:before="24" w:after="24"/>
              <w:rPr>
                <w:rFonts w:cs="Times New Roman"/>
              </w:rPr>
            </w:pPr>
            <w:r>
              <w:rPr>
                <w:rFonts w:cs="Times New Roman"/>
              </w:rPr>
              <w:t>20</w:t>
            </w:r>
          </w:p>
        </w:tc>
        <w:tc>
          <w:tcPr>
            <w:tcW w:w="1418" w:type="dxa"/>
            <w:tcBorders>
              <w:top w:val="single" w:color="auto" w:sz="4" w:space="0"/>
              <w:left w:val="single" w:color="auto" w:sz="4" w:space="0"/>
              <w:bottom w:val="single" w:color="auto" w:sz="4" w:space="0"/>
              <w:right w:val="single" w:color="auto" w:sz="4" w:space="0"/>
            </w:tcBorders>
            <w:vAlign w:val="center"/>
          </w:tcPr>
          <w:p w14:paraId="01974E9D">
            <w:pPr>
              <w:pStyle w:val="71"/>
              <w:spacing w:before="24" w:after="24"/>
              <w:rPr>
                <w:rFonts w:cs="Times New Roman"/>
              </w:rPr>
            </w:pPr>
            <w:r>
              <w:rPr>
                <w:rFonts w:cs="Times New Roman"/>
              </w:rPr>
              <w:t>15</w:t>
            </w:r>
          </w:p>
        </w:tc>
      </w:tr>
      <w:tr w14:paraId="54E04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28" w:type="dxa"/>
            <w:tcBorders>
              <w:top w:val="single" w:color="auto" w:sz="4" w:space="0"/>
              <w:left w:val="single" w:color="auto" w:sz="4" w:space="0"/>
              <w:bottom w:val="single" w:color="auto" w:sz="4" w:space="0"/>
              <w:right w:val="single" w:color="auto" w:sz="4" w:space="0"/>
            </w:tcBorders>
            <w:vAlign w:val="center"/>
          </w:tcPr>
          <w:p w14:paraId="7F617696">
            <w:pPr>
              <w:pStyle w:val="71"/>
              <w:spacing w:before="24" w:after="24"/>
              <w:rPr>
                <w:rFonts w:cs="Times New Roman"/>
              </w:rPr>
            </w:pPr>
            <w:r>
              <w:rPr>
                <w:rFonts w:cs="Times New Roman"/>
              </w:rPr>
              <w:t>缓和曲线最小长度（m）</w:t>
            </w:r>
          </w:p>
        </w:tc>
        <w:tc>
          <w:tcPr>
            <w:tcW w:w="926" w:type="dxa"/>
            <w:tcBorders>
              <w:top w:val="single" w:color="auto" w:sz="4" w:space="0"/>
              <w:left w:val="single" w:color="auto" w:sz="4" w:space="0"/>
              <w:bottom w:val="single" w:color="auto" w:sz="4" w:space="0"/>
              <w:right w:val="single" w:color="auto" w:sz="4" w:space="0"/>
            </w:tcBorders>
            <w:vAlign w:val="center"/>
          </w:tcPr>
          <w:p w14:paraId="590F4F84">
            <w:pPr>
              <w:pStyle w:val="71"/>
              <w:spacing w:before="24" w:after="24"/>
              <w:rPr>
                <w:rFonts w:cs="Times New Roman"/>
              </w:rPr>
            </w:pPr>
            <w:r>
              <w:rPr>
                <w:rFonts w:cs="Times New Roman"/>
              </w:rPr>
              <w:t>25</w:t>
            </w:r>
          </w:p>
        </w:tc>
        <w:tc>
          <w:tcPr>
            <w:tcW w:w="1134" w:type="dxa"/>
            <w:tcBorders>
              <w:top w:val="single" w:color="auto" w:sz="4" w:space="0"/>
              <w:left w:val="single" w:color="auto" w:sz="4" w:space="0"/>
              <w:bottom w:val="single" w:color="auto" w:sz="4" w:space="0"/>
              <w:right w:val="single" w:color="auto" w:sz="4" w:space="0"/>
            </w:tcBorders>
            <w:vAlign w:val="center"/>
          </w:tcPr>
          <w:p w14:paraId="3B6A564B">
            <w:pPr>
              <w:pStyle w:val="71"/>
              <w:spacing w:before="24" w:after="24"/>
              <w:rPr>
                <w:rFonts w:cs="Times New Roman"/>
              </w:rPr>
            </w:pPr>
            <w:r>
              <w:rPr>
                <w:rFonts w:cs="Times New Roman"/>
              </w:rPr>
              <w:t>20</w:t>
            </w:r>
          </w:p>
        </w:tc>
        <w:tc>
          <w:tcPr>
            <w:tcW w:w="1418" w:type="dxa"/>
            <w:tcBorders>
              <w:top w:val="single" w:color="auto" w:sz="4" w:space="0"/>
              <w:left w:val="single" w:color="auto" w:sz="4" w:space="0"/>
              <w:bottom w:val="single" w:color="auto" w:sz="4" w:space="0"/>
              <w:right w:val="single" w:color="auto" w:sz="4" w:space="0"/>
            </w:tcBorders>
            <w:vAlign w:val="center"/>
          </w:tcPr>
          <w:p w14:paraId="797D3ED4">
            <w:pPr>
              <w:pStyle w:val="71"/>
              <w:spacing w:before="24" w:after="24"/>
              <w:rPr>
                <w:rFonts w:cs="Times New Roman"/>
              </w:rPr>
            </w:pPr>
            <w:r>
              <w:rPr>
                <w:rFonts w:cs="Times New Roman"/>
              </w:rPr>
              <w:t>15</w:t>
            </w:r>
          </w:p>
        </w:tc>
      </w:tr>
    </w:tbl>
    <w:p w14:paraId="3AC6BFB2">
      <w:pPr>
        <w:pStyle w:val="54"/>
        <w:spacing w:before="24" w:after="24"/>
      </w:pPr>
      <w:r>
        <w:t>5.圆曲线超高</w:t>
      </w:r>
    </w:p>
    <w:p w14:paraId="75B4E8AD">
      <w:pPr>
        <w:pStyle w:val="54"/>
        <w:spacing w:before="24" w:after="24"/>
      </w:pPr>
      <w:r>
        <w:t>当圆曲线半径小于不设超高最小半径时，在圆曲线范围内应设超高，最大超高横坡度应符合下表的规定。当由直线段的正常路拱断面过渡到圆曲线上的超高断面时，必须设置超高缓和段。</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8"/>
        <w:gridCol w:w="1635"/>
        <w:gridCol w:w="1701"/>
      </w:tblGrid>
      <w:tr w14:paraId="30F70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28" w:type="dxa"/>
            <w:tcBorders>
              <w:top w:val="single" w:color="auto" w:sz="4" w:space="0"/>
              <w:left w:val="single" w:color="auto" w:sz="4" w:space="0"/>
              <w:bottom w:val="single" w:color="auto" w:sz="4" w:space="0"/>
              <w:right w:val="single" w:color="auto" w:sz="4" w:space="0"/>
            </w:tcBorders>
            <w:vAlign w:val="center"/>
          </w:tcPr>
          <w:p w14:paraId="384F2CF5">
            <w:pPr>
              <w:pStyle w:val="71"/>
              <w:spacing w:before="24" w:after="24"/>
              <w:rPr>
                <w:rFonts w:cs="Times New Roman"/>
              </w:rPr>
            </w:pPr>
            <w:r>
              <w:rPr>
                <w:rFonts w:cs="Times New Roman"/>
              </w:rPr>
              <w:t>设计速度（Km/h）</w:t>
            </w:r>
          </w:p>
        </w:tc>
        <w:tc>
          <w:tcPr>
            <w:tcW w:w="1635" w:type="dxa"/>
            <w:tcBorders>
              <w:top w:val="single" w:color="auto" w:sz="4" w:space="0"/>
              <w:left w:val="single" w:color="auto" w:sz="4" w:space="0"/>
              <w:bottom w:val="single" w:color="auto" w:sz="4" w:space="0"/>
              <w:right w:val="single" w:color="auto" w:sz="4" w:space="0"/>
            </w:tcBorders>
            <w:vAlign w:val="center"/>
          </w:tcPr>
          <w:p w14:paraId="507C9370">
            <w:pPr>
              <w:pStyle w:val="71"/>
              <w:spacing w:before="24" w:after="24"/>
              <w:rPr>
                <w:rFonts w:cs="Times New Roman"/>
              </w:rPr>
            </w:pPr>
            <w:r>
              <w:rPr>
                <w:rFonts w:cs="Times New Roman"/>
              </w:rPr>
              <w:t>30</w:t>
            </w:r>
          </w:p>
        </w:tc>
        <w:tc>
          <w:tcPr>
            <w:tcW w:w="1701" w:type="dxa"/>
            <w:tcBorders>
              <w:top w:val="single" w:color="auto" w:sz="4" w:space="0"/>
              <w:left w:val="single" w:color="auto" w:sz="4" w:space="0"/>
              <w:bottom w:val="single" w:color="auto" w:sz="4" w:space="0"/>
              <w:right w:val="single" w:color="auto" w:sz="4" w:space="0"/>
            </w:tcBorders>
            <w:vAlign w:val="center"/>
          </w:tcPr>
          <w:p w14:paraId="563100C2">
            <w:pPr>
              <w:pStyle w:val="71"/>
              <w:spacing w:before="24" w:after="24"/>
              <w:rPr>
                <w:rFonts w:cs="Times New Roman"/>
              </w:rPr>
            </w:pPr>
            <w:r>
              <w:rPr>
                <w:rFonts w:cs="Times New Roman"/>
              </w:rPr>
              <w:t>20</w:t>
            </w:r>
          </w:p>
        </w:tc>
      </w:tr>
      <w:tr w14:paraId="55C65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28" w:type="dxa"/>
            <w:tcBorders>
              <w:top w:val="single" w:color="auto" w:sz="4" w:space="0"/>
              <w:left w:val="single" w:color="auto" w:sz="4" w:space="0"/>
              <w:bottom w:val="single" w:color="auto" w:sz="4" w:space="0"/>
              <w:right w:val="single" w:color="auto" w:sz="4" w:space="0"/>
            </w:tcBorders>
            <w:vAlign w:val="center"/>
          </w:tcPr>
          <w:p w14:paraId="0EE84DAA">
            <w:pPr>
              <w:pStyle w:val="71"/>
              <w:spacing w:before="24" w:after="24"/>
              <w:rPr>
                <w:rFonts w:cs="Times New Roman"/>
              </w:rPr>
            </w:pPr>
            <w:r>
              <w:rPr>
                <w:rFonts w:cs="Times New Roman"/>
              </w:rPr>
              <w:t>最大超高横坡度（%）</w:t>
            </w:r>
          </w:p>
        </w:tc>
        <w:tc>
          <w:tcPr>
            <w:tcW w:w="1635" w:type="dxa"/>
            <w:tcBorders>
              <w:top w:val="single" w:color="auto" w:sz="4" w:space="0"/>
              <w:left w:val="single" w:color="auto" w:sz="4" w:space="0"/>
              <w:bottom w:val="single" w:color="auto" w:sz="4" w:space="0"/>
              <w:right w:val="single" w:color="auto" w:sz="4" w:space="0"/>
            </w:tcBorders>
            <w:vAlign w:val="center"/>
          </w:tcPr>
          <w:p w14:paraId="00F83B84">
            <w:pPr>
              <w:pStyle w:val="71"/>
              <w:spacing w:before="24" w:after="24"/>
              <w:rPr>
                <w:rFonts w:cs="Times New Roman"/>
              </w:rPr>
            </w:pPr>
            <w:r>
              <w:rPr>
                <w:rFonts w:cs="Times New Roman"/>
              </w:rPr>
              <w:t>2</w:t>
            </w:r>
          </w:p>
        </w:tc>
        <w:tc>
          <w:tcPr>
            <w:tcW w:w="1701" w:type="dxa"/>
            <w:tcBorders>
              <w:top w:val="single" w:color="auto" w:sz="4" w:space="0"/>
              <w:left w:val="single" w:color="auto" w:sz="4" w:space="0"/>
              <w:bottom w:val="single" w:color="auto" w:sz="4" w:space="0"/>
              <w:right w:val="single" w:color="auto" w:sz="4" w:space="0"/>
            </w:tcBorders>
            <w:vAlign w:val="center"/>
          </w:tcPr>
          <w:p w14:paraId="4E0FF8BD">
            <w:pPr>
              <w:pStyle w:val="71"/>
              <w:spacing w:before="24" w:after="24"/>
              <w:rPr>
                <w:rFonts w:cs="Times New Roman"/>
              </w:rPr>
            </w:pPr>
            <w:r>
              <w:rPr>
                <w:rFonts w:cs="Times New Roman"/>
              </w:rPr>
              <w:t>2</w:t>
            </w:r>
          </w:p>
        </w:tc>
      </w:tr>
    </w:tbl>
    <w:p w14:paraId="3501DFD3">
      <w:pPr>
        <w:pStyle w:val="54"/>
        <w:spacing w:before="24" w:after="24"/>
      </w:pPr>
      <w:r>
        <w:t>超高缓和段应在缓和曲线全长范围内进行。当缓和曲线较长时，超高缓和段可设在缓和曲线的某一区段范围内进行。当设计速度小于40km/h时，超高缓和段可在直线段内进行。超高缓和段长度与缓和由线长度两者中应取大值作为缓和曲线的计算长度。</w:t>
      </w:r>
    </w:p>
    <w:p w14:paraId="23F462B1">
      <w:pPr>
        <w:pStyle w:val="54"/>
        <w:spacing w:before="24" w:after="24"/>
      </w:pPr>
      <w:r>
        <w:t>6.圆曲线加宽</w:t>
      </w:r>
    </w:p>
    <w:p w14:paraId="717AED40">
      <w:pPr>
        <w:pStyle w:val="54"/>
        <w:spacing w:before="24" w:after="24"/>
      </w:pPr>
      <w:r>
        <w:t>当圆曲线半径小于或等于250m时，应在圆曲线范围内设置加宽，每条车道加宽值应符合下表的规定。</w:t>
      </w:r>
    </w:p>
    <w:tbl>
      <w:tblPr>
        <w:tblStyle w:val="31"/>
        <w:tblW w:w="9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1203"/>
        <w:gridCol w:w="951"/>
        <w:gridCol w:w="860"/>
        <w:gridCol w:w="860"/>
        <w:gridCol w:w="860"/>
        <w:gridCol w:w="862"/>
        <w:gridCol w:w="718"/>
        <w:gridCol w:w="718"/>
        <w:gridCol w:w="718"/>
        <w:gridCol w:w="718"/>
        <w:gridCol w:w="718"/>
      </w:tblGrid>
      <w:tr w14:paraId="1B14C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701" w:type="dxa"/>
            <w:vMerge w:val="restart"/>
            <w:tcBorders>
              <w:top w:val="single" w:color="auto" w:sz="4" w:space="0"/>
              <w:left w:val="single" w:color="auto" w:sz="4" w:space="0"/>
              <w:bottom w:val="single" w:color="auto" w:sz="4" w:space="0"/>
              <w:right w:val="single" w:color="auto" w:sz="4" w:space="0"/>
            </w:tcBorders>
            <w:vAlign w:val="center"/>
          </w:tcPr>
          <w:p w14:paraId="13EC9EFF">
            <w:pPr>
              <w:pStyle w:val="71"/>
              <w:spacing w:before="24" w:after="24"/>
              <w:rPr>
                <w:rFonts w:cs="Times New Roman"/>
              </w:rPr>
            </w:pPr>
            <w:r>
              <w:rPr>
                <w:rFonts w:cs="Times New Roman"/>
              </w:rPr>
              <w:t>加宽类型</w:t>
            </w:r>
          </w:p>
        </w:tc>
        <w:tc>
          <w:tcPr>
            <w:tcW w:w="1203" w:type="dxa"/>
            <w:vMerge w:val="restart"/>
            <w:tcBorders>
              <w:top w:val="single" w:color="auto" w:sz="4" w:space="0"/>
              <w:left w:val="single" w:color="auto" w:sz="4" w:space="0"/>
              <w:bottom w:val="single" w:color="auto" w:sz="4" w:space="0"/>
              <w:right w:val="single" w:color="auto" w:sz="4" w:space="0"/>
            </w:tcBorders>
            <w:vAlign w:val="center"/>
          </w:tcPr>
          <w:p w14:paraId="779C6218">
            <w:pPr>
              <w:pStyle w:val="71"/>
              <w:spacing w:before="24" w:after="24"/>
              <w:rPr>
                <w:rFonts w:cs="Times New Roman"/>
              </w:rPr>
            </w:pPr>
            <w:r>
              <w:rPr>
                <w:rFonts w:cs="Times New Roman"/>
              </w:rPr>
              <w:t>汽车前悬</w:t>
            </w:r>
          </w:p>
          <w:p w14:paraId="456C1B2B">
            <w:pPr>
              <w:pStyle w:val="71"/>
              <w:spacing w:before="24" w:after="24"/>
              <w:rPr>
                <w:rFonts w:cs="Times New Roman"/>
              </w:rPr>
            </w:pPr>
            <w:r>
              <w:rPr>
                <w:rFonts w:cs="Times New Roman"/>
              </w:rPr>
              <w:t>加轴距</w:t>
            </w:r>
          </w:p>
          <w:p w14:paraId="5F5B228D">
            <w:pPr>
              <w:pStyle w:val="71"/>
              <w:spacing w:before="24" w:after="24"/>
              <w:rPr>
                <w:rFonts w:cs="Times New Roman"/>
              </w:rPr>
            </w:pPr>
            <w:r>
              <w:rPr>
                <w:rFonts w:cs="Times New Roman"/>
              </w:rPr>
              <w:t>（m）</w:t>
            </w:r>
          </w:p>
        </w:tc>
        <w:tc>
          <w:tcPr>
            <w:tcW w:w="951" w:type="dxa"/>
            <w:vMerge w:val="restart"/>
            <w:tcBorders>
              <w:top w:val="single" w:color="auto" w:sz="4" w:space="0"/>
              <w:left w:val="single" w:color="auto" w:sz="4" w:space="0"/>
              <w:bottom w:val="single" w:color="auto" w:sz="4" w:space="0"/>
              <w:right w:val="single" w:color="auto" w:sz="4" w:space="0"/>
            </w:tcBorders>
            <w:vAlign w:val="center"/>
          </w:tcPr>
          <w:p w14:paraId="46496492">
            <w:pPr>
              <w:pStyle w:val="71"/>
              <w:spacing w:before="24" w:after="24"/>
              <w:rPr>
                <w:rFonts w:cs="Times New Roman"/>
              </w:rPr>
            </w:pPr>
            <w:r>
              <w:rPr>
                <w:rFonts w:cs="Times New Roman"/>
              </w:rPr>
              <w:t>车型</w:t>
            </w:r>
          </w:p>
        </w:tc>
        <w:tc>
          <w:tcPr>
            <w:tcW w:w="7032" w:type="dxa"/>
            <w:gridSpan w:val="9"/>
            <w:tcBorders>
              <w:top w:val="single" w:color="auto" w:sz="4" w:space="0"/>
              <w:left w:val="single" w:color="auto" w:sz="4" w:space="0"/>
              <w:bottom w:val="single" w:color="auto" w:sz="4" w:space="0"/>
              <w:right w:val="single" w:color="auto" w:sz="4" w:space="0"/>
            </w:tcBorders>
            <w:vAlign w:val="center"/>
          </w:tcPr>
          <w:p w14:paraId="08A41DB8">
            <w:pPr>
              <w:pStyle w:val="71"/>
              <w:spacing w:before="24" w:after="24"/>
              <w:rPr>
                <w:rFonts w:cs="Times New Roman"/>
              </w:rPr>
            </w:pPr>
            <w:r>
              <w:rPr>
                <w:rFonts w:cs="Times New Roman"/>
              </w:rPr>
              <w:t>圆曲线半径（m）</w:t>
            </w:r>
          </w:p>
        </w:tc>
      </w:tr>
      <w:tr w14:paraId="33AC5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jc w:val="center"/>
        </w:trPr>
        <w:tc>
          <w:tcPr>
            <w:tcW w:w="701" w:type="dxa"/>
            <w:vMerge w:val="continue"/>
            <w:tcBorders>
              <w:top w:val="single" w:color="auto" w:sz="4" w:space="0"/>
              <w:left w:val="single" w:color="auto" w:sz="4" w:space="0"/>
              <w:bottom w:val="single" w:color="auto" w:sz="4" w:space="0"/>
              <w:right w:val="single" w:color="auto" w:sz="4" w:space="0"/>
            </w:tcBorders>
            <w:vAlign w:val="center"/>
          </w:tcPr>
          <w:p w14:paraId="06F53EE4">
            <w:pPr>
              <w:pStyle w:val="71"/>
              <w:spacing w:before="24" w:after="24"/>
              <w:rPr>
                <w:rFonts w:cs="Times New Roman"/>
              </w:rPr>
            </w:pPr>
          </w:p>
        </w:tc>
        <w:tc>
          <w:tcPr>
            <w:tcW w:w="1203" w:type="dxa"/>
            <w:vMerge w:val="continue"/>
            <w:tcBorders>
              <w:top w:val="single" w:color="auto" w:sz="4" w:space="0"/>
              <w:left w:val="single" w:color="auto" w:sz="4" w:space="0"/>
              <w:bottom w:val="single" w:color="auto" w:sz="4" w:space="0"/>
              <w:right w:val="single" w:color="auto" w:sz="4" w:space="0"/>
            </w:tcBorders>
            <w:vAlign w:val="center"/>
          </w:tcPr>
          <w:p w14:paraId="097A5625">
            <w:pPr>
              <w:pStyle w:val="71"/>
              <w:spacing w:before="24" w:after="24"/>
              <w:rPr>
                <w:rFonts w:cs="Times New Roman"/>
              </w:rPr>
            </w:pPr>
          </w:p>
        </w:tc>
        <w:tc>
          <w:tcPr>
            <w:tcW w:w="951" w:type="dxa"/>
            <w:vMerge w:val="continue"/>
            <w:tcBorders>
              <w:top w:val="single" w:color="auto" w:sz="4" w:space="0"/>
              <w:left w:val="single" w:color="auto" w:sz="4" w:space="0"/>
              <w:bottom w:val="single" w:color="auto" w:sz="4" w:space="0"/>
              <w:right w:val="single" w:color="auto" w:sz="4" w:space="0"/>
            </w:tcBorders>
            <w:vAlign w:val="center"/>
          </w:tcPr>
          <w:p w14:paraId="35478E74">
            <w:pPr>
              <w:pStyle w:val="71"/>
              <w:spacing w:before="24" w:after="24"/>
              <w:rPr>
                <w:rFonts w:cs="Times New Roman"/>
              </w:rPr>
            </w:pPr>
          </w:p>
        </w:tc>
        <w:tc>
          <w:tcPr>
            <w:tcW w:w="860" w:type="dxa"/>
            <w:tcBorders>
              <w:top w:val="single" w:color="auto" w:sz="4" w:space="0"/>
              <w:left w:val="single" w:color="auto" w:sz="4" w:space="0"/>
              <w:bottom w:val="single" w:color="auto" w:sz="4" w:space="0"/>
              <w:right w:val="single" w:color="auto" w:sz="4" w:space="0"/>
            </w:tcBorders>
            <w:vAlign w:val="center"/>
          </w:tcPr>
          <w:p w14:paraId="1530B6C9">
            <w:pPr>
              <w:pStyle w:val="71"/>
              <w:spacing w:before="24" w:after="24"/>
              <w:rPr>
                <w:rFonts w:cs="Times New Roman"/>
              </w:rPr>
            </w:pPr>
            <w:r>
              <w:rPr>
                <w:rFonts w:cs="Times New Roman"/>
              </w:rPr>
              <w:t>200＜R≤250</w:t>
            </w:r>
          </w:p>
        </w:tc>
        <w:tc>
          <w:tcPr>
            <w:tcW w:w="860" w:type="dxa"/>
            <w:tcBorders>
              <w:top w:val="single" w:color="auto" w:sz="4" w:space="0"/>
              <w:left w:val="single" w:color="auto" w:sz="4" w:space="0"/>
              <w:bottom w:val="single" w:color="auto" w:sz="4" w:space="0"/>
              <w:right w:val="single" w:color="auto" w:sz="4" w:space="0"/>
            </w:tcBorders>
            <w:vAlign w:val="center"/>
          </w:tcPr>
          <w:p w14:paraId="08E0EACE">
            <w:pPr>
              <w:pStyle w:val="71"/>
              <w:spacing w:before="24" w:after="24"/>
              <w:rPr>
                <w:rFonts w:cs="Times New Roman"/>
              </w:rPr>
            </w:pPr>
            <w:r>
              <w:rPr>
                <w:rFonts w:cs="Times New Roman"/>
              </w:rPr>
              <w:t>150＜R≤200</w:t>
            </w:r>
          </w:p>
        </w:tc>
        <w:tc>
          <w:tcPr>
            <w:tcW w:w="860" w:type="dxa"/>
            <w:tcBorders>
              <w:top w:val="single" w:color="auto" w:sz="4" w:space="0"/>
              <w:left w:val="single" w:color="auto" w:sz="4" w:space="0"/>
              <w:bottom w:val="single" w:color="auto" w:sz="4" w:space="0"/>
              <w:right w:val="single" w:color="auto" w:sz="4" w:space="0"/>
            </w:tcBorders>
            <w:vAlign w:val="center"/>
          </w:tcPr>
          <w:p w14:paraId="379C93A3">
            <w:pPr>
              <w:pStyle w:val="71"/>
              <w:spacing w:before="24" w:after="24"/>
              <w:rPr>
                <w:rFonts w:cs="Times New Roman"/>
              </w:rPr>
            </w:pPr>
            <w:r>
              <w:rPr>
                <w:rFonts w:cs="Times New Roman"/>
              </w:rPr>
              <w:t>100＜R≤150</w:t>
            </w:r>
          </w:p>
        </w:tc>
        <w:tc>
          <w:tcPr>
            <w:tcW w:w="862" w:type="dxa"/>
            <w:tcBorders>
              <w:top w:val="single" w:color="auto" w:sz="4" w:space="0"/>
              <w:left w:val="single" w:color="auto" w:sz="4" w:space="0"/>
              <w:bottom w:val="single" w:color="auto" w:sz="4" w:space="0"/>
              <w:right w:val="single" w:color="auto" w:sz="4" w:space="0"/>
            </w:tcBorders>
            <w:vAlign w:val="center"/>
          </w:tcPr>
          <w:p w14:paraId="0CD8B3E7">
            <w:pPr>
              <w:pStyle w:val="71"/>
              <w:spacing w:before="24" w:after="24"/>
              <w:rPr>
                <w:rFonts w:cs="Times New Roman"/>
              </w:rPr>
            </w:pPr>
            <w:r>
              <w:rPr>
                <w:rFonts w:cs="Times New Roman"/>
              </w:rPr>
              <w:t>80＜</w:t>
            </w:r>
          </w:p>
          <w:p w14:paraId="707A56AB">
            <w:pPr>
              <w:pStyle w:val="71"/>
              <w:spacing w:before="24" w:after="24"/>
              <w:rPr>
                <w:rFonts w:cs="Times New Roman"/>
              </w:rPr>
            </w:pPr>
            <w:r>
              <w:rPr>
                <w:rFonts w:cs="Times New Roman"/>
              </w:rPr>
              <w:t>R≤100</w:t>
            </w:r>
          </w:p>
        </w:tc>
        <w:tc>
          <w:tcPr>
            <w:tcW w:w="718" w:type="dxa"/>
            <w:tcBorders>
              <w:top w:val="single" w:color="auto" w:sz="4" w:space="0"/>
              <w:left w:val="single" w:color="auto" w:sz="4" w:space="0"/>
              <w:bottom w:val="single" w:color="auto" w:sz="4" w:space="0"/>
              <w:right w:val="single" w:color="auto" w:sz="4" w:space="0"/>
            </w:tcBorders>
            <w:vAlign w:val="center"/>
          </w:tcPr>
          <w:p w14:paraId="205BCF57">
            <w:pPr>
              <w:pStyle w:val="71"/>
              <w:spacing w:before="24" w:after="24"/>
              <w:rPr>
                <w:rFonts w:cs="Times New Roman"/>
              </w:rPr>
            </w:pPr>
            <w:r>
              <w:rPr>
                <w:rFonts w:cs="Times New Roman"/>
              </w:rPr>
              <w:t>70＜</w:t>
            </w:r>
          </w:p>
          <w:p w14:paraId="7D2E01C3">
            <w:pPr>
              <w:pStyle w:val="71"/>
              <w:spacing w:before="24" w:after="24"/>
              <w:rPr>
                <w:rFonts w:cs="Times New Roman"/>
              </w:rPr>
            </w:pPr>
            <w:r>
              <w:rPr>
                <w:rFonts w:cs="Times New Roman"/>
              </w:rPr>
              <w:t>R≤</w:t>
            </w:r>
          </w:p>
          <w:p w14:paraId="690688C7">
            <w:pPr>
              <w:pStyle w:val="71"/>
              <w:spacing w:before="24" w:after="24"/>
              <w:rPr>
                <w:rFonts w:cs="Times New Roman"/>
              </w:rPr>
            </w:pPr>
            <w:r>
              <w:rPr>
                <w:rFonts w:cs="Times New Roman"/>
              </w:rPr>
              <w:t>80</w:t>
            </w:r>
          </w:p>
        </w:tc>
        <w:tc>
          <w:tcPr>
            <w:tcW w:w="718" w:type="dxa"/>
            <w:tcBorders>
              <w:top w:val="single" w:color="auto" w:sz="4" w:space="0"/>
              <w:left w:val="single" w:color="auto" w:sz="4" w:space="0"/>
              <w:bottom w:val="single" w:color="auto" w:sz="4" w:space="0"/>
              <w:right w:val="single" w:color="auto" w:sz="4" w:space="0"/>
            </w:tcBorders>
            <w:vAlign w:val="center"/>
          </w:tcPr>
          <w:p w14:paraId="3ABA2CB6">
            <w:pPr>
              <w:pStyle w:val="71"/>
              <w:spacing w:before="24" w:after="24"/>
              <w:rPr>
                <w:rFonts w:cs="Times New Roman"/>
              </w:rPr>
            </w:pPr>
            <w:r>
              <w:rPr>
                <w:rFonts w:cs="Times New Roman"/>
              </w:rPr>
              <w:t>50＜R≤70</w:t>
            </w:r>
          </w:p>
        </w:tc>
        <w:tc>
          <w:tcPr>
            <w:tcW w:w="718" w:type="dxa"/>
            <w:tcBorders>
              <w:top w:val="single" w:color="auto" w:sz="4" w:space="0"/>
              <w:left w:val="single" w:color="auto" w:sz="4" w:space="0"/>
              <w:bottom w:val="single" w:color="auto" w:sz="4" w:space="0"/>
              <w:right w:val="single" w:color="auto" w:sz="4" w:space="0"/>
            </w:tcBorders>
            <w:vAlign w:val="center"/>
          </w:tcPr>
          <w:p w14:paraId="1352039C">
            <w:pPr>
              <w:pStyle w:val="71"/>
              <w:spacing w:before="24" w:after="24"/>
              <w:rPr>
                <w:rFonts w:cs="Times New Roman"/>
              </w:rPr>
            </w:pPr>
            <w:r>
              <w:rPr>
                <w:rFonts w:cs="Times New Roman"/>
              </w:rPr>
              <w:t>40＜R≤50</w:t>
            </w:r>
          </w:p>
        </w:tc>
        <w:tc>
          <w:tcPr>
            <w:tcW w:w="718" w:type="dxa"/>
            <w:tcBorders>
              <w:top w:val="single" w:color="auto" w:sz="4" w:space="0"/>
              <w:left w:val="single" w:color="auto" w:sz="4" w:space="0"/>
              <w:bottom w:val="single" w:color="auto" w:sz="4" w:space="0"/>
              <w:right w:val="single" w:color="auto" w:sz="4" w:space="0"/>
            </w:tcBorders>
            <w:vAlign w:val="center"/>
          </w:tcPr>
          <w:p w14:paraId="4C6121B5">
            <w:pPr>
              <w:pStyle w:val="71"/>
              <w:spacing w:before="24" w:after="24"/>
              <w:rPr>
                <w:rFonts w:cs="Times New Roman"/>
              </w:rPr>
            </w:pPr>
            <w:r>
              <w:rPr>
                <w:rFonts w:cs="Times New Roman"/>
              </w:rPr>
              <w:t>30＜R≤40</w:t>
            </w:r>
          </w:p>
        </w:tc>
        <w:tc>
          <w:tcPr>
            <w:tcW w:w="718" w:type="dxa"/>
            <w:tcBorders>
              <w:top w:val="single" w:color="auto" w:sz="4" w:space="0"/>
              <w:left w:val="single" w:color="auto" w:sz="4" w:space="0"/>
              <w:bottom w:val="single" w:color="auto" w:sz="4" w:space="0"/>
              <w:right w:val="single" w:color="auto" w:sz="4" w:space="0"/>
            </w:tcBorders>
            <w:vAlign w:val="center"/>
          </w:tcPr>
          <w:p w14:paraId="4556F2C6">
            <w:pPr>
              <w:pStyle w:val="71"/>
              <w:spacing w:before="24" w:after="24"/>
              <w:rPr>
                <w:rFonts w:cs="Times New Roman"/>
              </w:rPr>
            </w:pPr>
            <w:r>
              <w:rPr>
                <w:rFonts w:cs="Times New Roman"/>
              </w:rPr>
              <w:t>20＜R≤30</w:t>
            </w:r>
          </w:p>
        </w:tc>
      </w:tr>
      <w:tr w14:paraId="66011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768B49CA">
            <w:pPr>
              <w:pStyle w:val="71"/>
              <w:spacing w:before="24" w:after="24"/>
              <w:rPr>
                <w:rFonts w:cs="Times New Roman"/>
              </w:rPr>
            </w:pPr>
            <w:r>
              <w:rPr>
                <w:rFonts w:cs="Times New Roman"/>
              </w:rPr>
              <w:t>1</w:t>
            </w:r>
          </w:p>
        </w:tc>
        <w:tc>
          <w:tcPr>
            <w:tcW w:w="1203" w:type="dxa"/>
            <w:tcBorders>
              <w:top w:val="single" w:color="auto" w:sz="4" w:space="0"/>
              <w:left w:val="single" w:color="auto" w:sz="4" w:space="0"/>
              <w:bottom w:val="single" w:color="auto" w:sz="4" w:space="0"/>
              <w:right w:val="single" w:color="auto" w:sz="4" w:space="0"/>
            </w:tcBorders>
            <w:vAlign w:val="center"/>
          </w:tcPr>
          <w:p w14:paraId="589AD23A">
            <w:pPr>
              <w:pStyle w:val="71"/>
              <w:spacing w:before="24" w:after="24"/>
              <w:rPr>
                <w:rFonts w:cs="Times New Roman"/>
              </w:rPr>
            </w:pPr>
            <w:r>
              <w:rPr>
                <w:rFonts w:cs="Times New Roman"/>
              </w:rPr>
              <w:t>0.8+3.8</w:t>
            </w:r>
          </w:p>
        </w:tc>
        <w:tc>
          <w:tcPr>
            <w:tcW w:w="951" w:type="dxa"/>
            <w:tcBorders>
              <w:top w:val="single" w:color="auto" w:sz="4" w:space="0"/>
              <w:left w:val="single" w:color="auto" w:sz="4" w:space="0"/>
              <w:bottom w:val="single" w:color="auto" w:sz="4" w:space="0"/>
              <w:right w:val="single" w:color="auto" w:sz="4" w:space="0"/>
            </w:tcBorders>
            <w:vAlign w:val="center"/>
          </w:tcPr>
          <w:p w14:paraId="467FE10C">
            <w:pPr>
              <w:pStyle w:val="71"/>
              <w:spacing w:before="24" w:after="24"/>
              <w:rPr>
                <w:rFonts w:cs="Times New Roman"/>
              </w:rPr>
            </w:pPr>
            <w:r>
              <w:rPr>
                <w:rFonts w:cs="Times New Roman"/>
              </w:rPr>
              <w:t>小客车</w:t>
            </w:r>
          </w:p>
        </w:tc>
        <w:tc>
          <w:tcPr>
            <w:tcW w:w="860" w:type="dxa"/>
            <w:tcBorders>
              <w:top w:val="single" w:color="auto" w:sz="4" w:space="0"/>
              <w:left w:val="single" w:color="auto" w:sz="4" w:space="0"/>
              <w:bottom w:val="single" w:color="auto" w:sz="4" w:space="0"/>
              <w:right w:val="single" w:color="auto" w:sz="4" w:space="0"/>
            </w:tcBorders>
            <w:vAlign w:val="center"/>
          </w:tcPr>
          <w:p w14:paraId="32E96B5E">
            <w:pPr>
              <w:pStyle w:val="71"/>
              <w:spacing w:before="24" w:after="24"/>
              <w:rPr>
                <w:rFonts w:cs="Times New Roman"/>
              </w:rPr>
            </w:pPr>
            <w:r>
              <w:rPr>
                <w:rFonts w:cs="Times New Roman"/>
              </w:rPr>
              <w:t>0.30</w:t>
            </w:r>
          </w:p>
        </w:tc>
        <w:tc>
          <w:tcPr>
            <w:tcW w:w="860" w:type="dxa"/>
            <w:tcBorders>
              <w:top w:val="single" w:color="auto" w:sz="4" w:space="0"/>
              <w:left w:val="single" w:color="auto" w:sz="4" w:space="0"/>
              <w:bottom w:val="single" w:color="auto" w:sz="4" w:space="0"/>
              <w:right w:val="single" w:color="auto" w:sz="4" w:space="0"/>
            </w:tcBorders>
            <w:vAlign w:val="center"/>
          </w:tcPr>
          <w:p w14:paraId="3FC8BF1A">
            <w:pPr>
              <w:pStyle w:val="71"/>
              <w:spacing w:before="24" w:after="24"/>
              <w:rPr>
                <w:rFonts w:cs="Times New Roman"/>
              </w:rPr>
            </w:pPr>
            <w:r>
              <w:rPr>
                <w:rFonts w:cs="Times New Roman"/>
              </w:rPr>
              <w:t>0.30</w:t>
            </w:r>
          </w:p>
        </w:tc>
        <w:tc>
          <w:tcPr>
            <w:tcW w:w="860" w:type="dxa"/>
            <w:tcBorders>
              <w:top w:val="single" w:color="auto" w:sz="4" w:space="0"/>
              <w:left w:val="single" w:color="auto" w:sz="4" w:space="0"/>
              <w:bottom w:val="single" w:color="auto" w:sz="4" w:space="0"/>
              <w:right w:val="single" w:color="auto" w:sz="4" w:space="0"/>
            </w:tcBorders>
            <w:vAlign w:val="center"/>
          </w:tcPr>
          <w:p w14:paraId="13582D01">
            <w:pPr>
              <w:pStyle w:val="71"/>
              <w:spacing w:before="24" w:after="24"/>
              <w:rPr>
                <w:rFonts w:cs="Times New Roman"/>
              </w:rPr>
            </w:pPr>
            <w:r>
              <w:rPr>
                <w:rFonts w:cs="Times New Roman"/>
              </w:rPr>
              <w:t>0.35</w:t>
            </w:r>
          </w:p>
        </w:tc>
        <w:tc>
          <w:tcPr>
            <w:tcW w:w="862" w:type="dxa"/>
            <w:tcBorders>
              <w:top w:val="single" w:color="auto" w:sz="4" w:space="0"/>
              <w:left w:val="single" w:color="auto" w:sz="4" w:space="0"/>
              <w:bottom w:val="single" w:color="auto" w:sz="4" w:space="0"/>
              <w:right w:val="single" w:color="auto" w:sz="4" w:space="0"/>
            </w:tcBorders>
            <w:vAlign w:val="center"/>
          </w:tcPr>
          <w:p w14:paraId="38C329B3">
            <w:pPr>
              <w:pStyle w:val="71"/>
              <w:spacing w:before="24" w:after="24"/>
              <w:rPr>
                <w:rFonts w:cs="Times New Roman"/>
              </w:rPr>
            </w:pPr>
            <w:r>
              <w:rPr>
                <w:rFonts w:cs="Times New Roman"/>
              </w:rPr>
              <w:t>0.40</w:t>
            </w:r>
          </w:p>
        </w:tc>
        <w:tc>
          <w:tcPr>
            <w:tcW w:w="718" w:type="dxa"/>
            <w:tcBorders>
              <w:top w:val="single" w:color="auto" w:sz="4" w:space="0"/>
              <w:left w:val="single" w:color="auto" w:sz="4" w:space="0"/>
              <w:bottom w:val="single" w:color="auto" w:sz="4" w:space="0"/>
              <w:right w:val="single" w:color="auto" w:sz="4" w:space="0"/>
            </w:tcBorders>
            <w:vAlign w:val="center"/>
          </w:tcPr>
          <w:p w14:paraId="3223838E">
            <w:pPr>
              <w:pStyle w:val="71"/>
              <w:spacing w:before="24" w:after="24"/>
              <w:rPr>
                <w:rFonts w:cs="Times New Roman"/>
              </w:rPr>
            </w:pPr>
            <w:r>
              <w:rPr>
                <w:rFonts w:cs="Times New Roman"/>
              </w:rPr>
              <w:t>0.40</w:t>
            </w:r>
          </w:p>
        </w:tc>
        <w:tc>
          <w:tcPr>
            <w:tcW w:w="718" w:type="dxa"/>
            <w:tcBorders>
              <w:top w:val="single" w:color="auto" w:sz="4" w:space="0"/>
              <w:left w:val="single" w:color="auto" w:sz="4" w:space="0"/>
              <w:bottom w:val="single" w:color="auto" w:sz="4" w:space="0"/>
              <w:right w:val="single" w:color="auto" w:sz="4" w:space="0"/>
            </w:tcBorders>
            <w:vAlign w:val="center"/>
          </w:tcPr>
          <w:p w14:paraId="177ABC06">
            <w:pPr>
              <w:pStyle w:val="71"/>
              <w:spacing w:before="24" w:after="24"/>
              <w:rPr>
                <w:rFonts w:cs="Times New Roman"/>
              </w:rPr>
            </w:pPr>
            <w:r>
              <w:rPr>
                <w:rFonts w:cs="Times New Roman"/>
              </w:rPr>
              <w:t>0.45</w:t>
            </w:r>
          </w:p>
        </w:tc>
        <w:tc>
          <w:tcPr>
            <w:tcW w:w="718" w:type="dxa"/>
            <w:tcBorders>
              <w:top w:val="single" w:color="auto" w:sz="4" w:space="0"/>
              <w:left w:val="single" w:color="auto" w:sz="4" w:space="0"/>
              <w:bottom w:val="single" w:color="auto" w:sz="4" w:space="0"/>
              <w:right w:val="single" w:color="auto" w:sz="4" w:space="0"/>
            </w:tcBorders>
            <w:vAlign w:val="center"/>
          </w:tcPr>
          <w:p w14:paraId="5A8BF910">
            <w:pPr>
              <w:pStyle w:val="71"/>
              <w:spacing w:before="24" w:after="24"/>
              <w:rPr>
                <w:rFonts w:cs="Times New Roman"/>
              </w:rPr>
            </w:pPr>
            <w:r>
              <w:rPr>
                <w:rFonts w:cs="Times New Roman"/>
              </w:rPr>
              <w:t>0.50</w:t>
            </w:r>
          </w:p>
        </w:tc>
        <w:tc>
          <w:tcPr>
            <w:tcW w:w="718" w:type="dxa"/>
            <w:tcBorders>
              <w:top w:val="single" w:color="auto" w:sz="4" w:space="0"/>
              <w:left w:val="single" w:color="auto" w:sz="4" w:space="0"/>
              <w:bottom w:val="single" w:color="auto" w:sz="4" w:space="0"/>
              <w:right w:val="single" w:color="auto" w:sz="4" w:space="0"/>
            </w:tcBorders>
            <w:vAlign w:val="center"/>
          </w:tcPr>
          <w:p w14:paraId="46DEAE35">
            <w:pPr>
              <w:pStyle w:val="71"/>
              <w:spacing w:before="24" w:after="24"/>
              <w:rPr>
                <w:rFonts w:cs="Times New Roman"/>
              </w:rPr>
            </w:pPr>
            <w:r>
              <w:rPr>
                <w:rFonts w:cs="Times New Roman"/>
              </w:rPr>
              <w:t>0.60</w:t>
            </w:r>
          </w:p>
        </w:tc>
        <w:tc>
          <w:tcPr>
            <w:tcW w:w="718" w:type="dxa"/>
            <w:tcBorders>
              <w:top w:val="single" w:color="auto" w:sz="4" w:space="0"/>
              <w:left w:val="single" w:color="auto" w:sz="4" w:space="0"/>
              <w:bottom w:val="single" w:color="auto" w:sz="4" w:space="0"/>
              <w:right w:val="single" w:color="auto" w:sz="4" w:space="0"/>
            </w:tcBorders>
            <w:vAlign w:val="center"/>
          </w:tcPr>
          <w:p w14:paraId="67CE0776">
            <w:pPr>
              <w:pStyle w:val="71"/>
              <w:spacing w:before="24" w:after="24"/>
              <w:rPr>
                <w:rFonts w:cs="Times New Roman"/>
              </w:rPr>
            </w:pPr>
            <w:r>
              <w:rPr>
                <w:rFonts w:cs="Times New Roman"/>
              </w:rPr>
              <w:t>0.75</w:t>
            </w:r>
          </w:p>
        </w:tc>
      </w:tr>
      <w:tr w14:paraId="197AD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53AB496C">
            <w:pPr>
              <w:pStyle w:val="71"/>
              <w:spacing w:before="24" w:after="24"/>
              <w:rPr>
                <w:rFonts w:cs="Times New Roman"/>
              </w:rPr>
            </w:pPr>
            <w:r>
              <w:rPr>
                <w:rFonts w:cs="Times New Roman"/>
              </w:rPr>
              <w:t>2</w:t>
            </w:r>
          </w:p>
        </w:tc>
        <w:tc>
          <w:tcPr>
            <w:tcW w:w="1203" w:type="dxa"/>
            <w:tcBorders>
              <w:top w:val="single" w:color="auto" w:sz="4" w:space="0"/>
              <w:left w:val="single" w:color="auto" w:sz="4" w:space="0"/>
              <w:bottom w:val="single" w:color="auto" w:sz="4" w:space="0"/>
              <w:right w:val="single" w:color="auto" w:sz="4" w:space="0"/>
            </w:tcBorders>
            <w:vAlign w:val="center"/>
          </w:tcPr>
          <w:p w14:paraId="6D2CA24D">
            <w:pPr>
              <w:pStyle w:val="71"/>
              <w:spacing w:before="24" w:after="24"/>
              <w:rPr>
                <w:rFonts w:cs="Times New Roman"/>
              </w:rPr>
            </w:pPr>
            <w:r>
              <w:rPr>
                <w:rFonts w:cs="Times New Roman"/>
              </w:rPr>
              <w:t>1.5+6.5</w:t>
            </w:r>
          </w:p>
        </w:tc>
        <w:tc>
          <w:tcPr>
            <w:tcW w:w="951" w:type="dxa"/>
            <w:tcBorders>
              <w:top w:val="single" w:color="auto" w:sz="4" w:space="0"/>
              <w:left w:val="single" w:color="auto" w:sz="4" w:space="0"/>
              <w:bottom w:val="single" w:color="auto" w:sz="4" w:space="0"/>
              <w:right w:val="single" w:color="auto" w:sz="4" w:space="0"/>
            </w:tcBorders>
            <w:vAlign w:val="center"/>
          </w:tcPr>
          <w:p w14:paraId="645B5DA8">
            <w:pPr>
              <w:pStyle w:val="71"/>
              <w:spacing w:before="24" w:after="24"/>
              <w:rPr>
                <w:rFonts w:cs="Times New Roman"/>
              </w:rPr>
            </w:pPr>
            <w:r>
              <w:rPr>
                <w:rFonts w:cs="Times New Roman"/>
              </w:rPr>
              <w:t>大型车</w:t>
            </w:r>
          </w:p>
        </w:tc>
        <w:tc>
          <w:tcPr>
            <w:tcW w:w="860" w:type="dxa"/>
            <w:tcBorders>
              <w:top w:val="single" w:color="auto" w:sz="4" w:space="0"/>
              <w:left w:val="single" w:color="auto" w:sz="4" w:space="0"/>
              <w:bottom w:val="single" w:color="auto" w:sz="4" w:space="0"/>
              <w:right w:val="single" w:color="auto" w:sz="4" w:space="0"/>
            </w:tcBorders>
            <w:vAlign w:val="center"/>
          </w:tcPr>
          <w:p w14:paraId="2024CF46">
            <w:pPr>
              <w:pStyle w:val="71"/>
              <w:spacing w:before="24" w:after="24"/>
              <w:rPr>
                <w:rFonts w:cs="Times New Roman"/>
              </w:rPr>
            </w:pPr>
            <w:r>
              <w:rPr>
                <w:rFonts w:cs="Times New Roman"/>
              </w:rPr>
              <w:t>0.40</w:t>
            </w:r>
          </w:p>
        </w:tc>
        <w:tc>
          <w:tcPr>
            <w:tcW w:w="860" w:type="dxa"/>
            <w:tcBorders>
              <w:top w:val="single" w:color="auto" w:sz="4" w:space="0"/>
              <w:left w:val="single" w:color="auto" w:sz="4" w:space="0"/>
              <w:bottom w:val="single" w:color="auto" w:sz="4" w:space="0"/>
              <w:right w:val="single" w:color="auto" w:sz="4" w:space="0"/>
            </w:tcBorders>
            <w:vAlign w:val="center"/>
          </w:tcPr>
          <w:p w14:paraId="3F3070B8">
            <w:pPr>
              <w:pStyle w:val="71"/>
              <w:spacing w:before="24" w:after="24"/>
              <w:rPr>
                <w:rFonts w:cs="Times New Roman"/>
              </w:rPr>
            </w:pPr>
            <w:r>
              <w:rPr>
                <w:rFonts w:cs="Times New Roman"/>
              </w:rPr>
              <w:t>0.45</w:t>
            </w:r>
          </w:p>
        </w:tc>
        <w:tc>
          <w:tcPr>
            <w:tcW w:w="860" w:type="dxa"/>
            <w:tcBorders>
              <w:top w:val="single" w:color="auto" w:sz="4" w:space="0"/>
              <w:left w:val="single" w:color="auto" w:sz="4" w:space="0"/>
              <w:bottom w:val="single" w:color="auto" w:sz="4" w:space="0"/>
              <w:right w:val="single" w:color="auto" w:sz="4" w:space="0"/>
            </w:tcBorders>
            <w:vAlign w:val="center"/>
          </w:tcPr>
          <w:p w14:paraId="406116D7">
            <w:pPr>
              <w:pStyle w:val="71"/>
              <w:spacing w:before="24" w:after="24"/>
              <w:rPr>
                <w:rFonts w:cs="Times New Roman"/>
              </w:rPr>
            </w:pPr>
            <w:r>
              <w:rPr>
                <w:rFonts w:cs="Times New Roman"/>
              </w:rPr>
              <w:t>0.60</w:t>
            </w:r>
          </w:p>
        </w:tc>
        <w:tc>
          <w:tcPr>
            <w:tcW w:w="862" w:type="dxa"/>
            <w:tcBorders>
              <w:top w:val="single" w:color="auto" w:sz="4" w:space="0"/>
              <w:left w:val="single" w:color="auto" w:sz="4" w:space="0"/>
              <w:bottom w:val="single" w:color="auto" w:sz="4" w:space="0"/>
              <w:right w:val="single" w:color="auto" w:sz="4" w:space="0"/>
            </w:tcBorders>
            <w:vAlign w:val="center"/>
          </w:tcPr>
          <w:p w14:paraId="67B60155">
            <w:pPr>
              <w:pStyle w:val="71"/>
              <w:spacing w:before="24" w:after="24"/>
              <w:rPr>
                <w:rFonts w:cs="Times New Roman"/>
              </w:rPr>
            </w:pPr>
            <w:r>
              <w:rPr>
                <w:rFonts w:cs="Times New Roman"/>
              </w:rPr>
              <w:t>0.65</w:t>
            </w:r>
          </w:p>
        </w:tc>
        <w:tc>
          <w:tcPr>
            <w:tcW w:w="718" w:type="dxa"/>
            <w:tcBorders>
              <w:top w:val="single" w:color="auto" w:sz="4" w:space="0"/>
              <w:left w:val="single" w:color="auto" w:sz="4" w:space="0"/>
              <w:bottom w:val="single" w:color="auto" w:sz="4" w:space="0"/>
              <w:right w:val="single" w:color="auto" w:sz="4" w:space="0"/>
            </w:tcBorders>
            <w:vAlign w:val="center"/>
          </w:tcPr>
          <w:p w14:paraId="4C5E01CE">
            <w:pPr>
              <w:pStyle w:val="71"/>
              <w:spacing w:before="24" w:after="24"/>
              <w:rPr>
                <w:rFonts w:cs="Times New Roman"/>
              </w:rPr>
            </w:pPr>
            <w:r>
              <w:rPr>
                <w:rFonts w:cs="Times New Roman"/>
              </w:rPr>
              <w:t>0.70</w:t>
            </w:r>
          </w:p>
        </w:tc>
        <w:tc>
          <w:tcPr>
            <w:tcW w:w="718" w:type="dxa"/>
            <w:tcBorders>
              <w:top w:val="single" w:color="auto" w:sz="4" w:space="0"/>
              <w:left w:val="single" w:color="auto" w:sz="4" w:space="0"/>
              <w:bottom w:val="single" w:color="auto" w:sz="4" w:space="0"/>
              <w:right w:val="single" w:color="auto" w:sz="4" w:space="0"/>
            </w:tcBorders>
            <w:vAlign w:val="center"/>
          </w:tcPr>
          <w:p w14:paraId="4D781334">
            <w:pPr>
              <w:pStyle w:val="71"/>
              <w:spacing w:before="24" w:after="24"/>
              <w:rPr>
                <w:rFonts w:cs="Times New Roman"/>
              </w:rPr>
            </w:pPr>
            <w:r>
              <w:rPr>
                <w:rFonts w:cs="Times New Roman"/>
              </w:rPr>
              <w:t>0.90</w:t>
            </w:r>
          </w:p>
        </w:tc>
        <w:tc>
          <w:tcPr>
            <w:tcW w:w="718" w:type="dxa"/>
            <w:tcBorders>
              <w:top w:val="single" w:color="auto" w:sz="4" w:space="0"/>
              <w:left w:val="single" w:color="auto" w:sz="4" w:space="0"/>
              <w:bottom w:val="single" w:color="auto" w:sz="4" w:space="0"/>
              <w:right w:val="single" w:color="auto" w:sz="4" w:space="0"/>
            </w:tcBorders>
            <w:vAlign w:val="center"/>
          </w:tcPr>
          <w:p w14:paraId="128583CA">
            <w:pPr>
              <w:pStyle w:val="71"/>
              <w:spacing w:before="24" w:after="24"/>
              <w:rPr>
                <w:rFonts w:cs="Times New Roman"/>
              </w:rPr>
            </w:pPr>
            <w:r>
              <w:rPr>
                <w:rFonts w:cs="Times New Roman"/>
              </w:rPr>
              <w:t>1.05</w:t>
            </w:r>
          </w:p>
        </w:tc>
        <w:tc>
          <w:tcPr>
            <w:tcW w:w="718" w:type="dxa"/>
            <w:tcBorders>
              <w:top w:val="single" w:color="auto" w:sz="4" w:space="0"/>
              <w:left w:val="single" w:color="auto" w:sz="4" w:space="0"/>
              <w:bottom w:val="single" w:color="auto" w:sz="4" w:space="0"/>
              <w:right w:val="single" w:color="auto" w:sz="4" w:space="0"/>
            </w:tcBorders>
            <w:vAlign w:val="center"/>
          </w:tcPr>
          <w:p w14:paraId="271DA451">
            <w:pPr>
              <w:pStyle w:val="71"/>
              <w:spacing w:before="24" w:after="24"/>
              <w:rPr>
                <w:rFonts w:cs="Times New Roman"/>
              </w:rPr>
            </w:pPr>
            <w:r>
              <w:rPr>
                <w:rFonts w:cs="Times New Roman"/>
              </w:rPr>
              <w:t>1.30</w:t>
            </w:r>
          </w:p>
        </w:tc>
        <w:tc>
          <w:tcPr>
            <w:tcW w:w="718" w:type="dxa"/>
            <w:tcBorders>
              <w:top w:val="single" w:color="auto" w:sz="4" w:space="0"/>
              <w:left w:val="single" w:color="auto" w:sz="4" w:space="0"/>
              <w:bottom w:val="single" w:color="auto" w:sz="4" w:space="0"/>
              <w:right w:val="single" w:color="auto" w:sz="4" w:space="0"/>
            </w:tcBorders>
            <w:vAlign w:val="center"/>
          </w:tcPr>
          <w:p w14:paraId="3735794A">
            <w:pPr>
              <w:pStyle w:val="71"/>
              <w:spacing w:before="24" w:after="24"/>
              <w:rPr>
                <w:rFonts w:cs="Times New Roman"/>
              </w:rPr>
            </w:pPr>
            <w:r>
              <w:rPr>
                <w:rFonts w:cs="Times New Roman"/>
              </w:rPr>
              <w:t>1.80</w:t>
            </w:r>
          </w:p>
        </w:tc>
      </w:tr>
      <w:tr w14:paraId="71EF4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18DA7241">
            <w:pPr>
              <w:pStyle w:val="71"/>
              <w:spacing w:before="24" w:after="24"/>
              <w:rPr>
                <w:rFonts w:cs="Times New Roman"/>
              </w:rPr>
            </w:pPr>
            <w:r>
              <w:rPr>
                <w:rFonts w:cs="Times New Roman"/>
              </w:rPr>
              <w:t>3</w:t>
            </w:r>
          </w:p>
        </w:tc>
        <w:tc>
          <w:tcPr>
            <w:tcW w:w="1203" w:type="dxa"/>
            <w:tcBorders>
              <w:top w:val="single" w:color="auto" w:sz="4" w:space="0"/>
              <w:left w:val="single" w:color="auto" w:sz="4" w:space="0"/>
              <w:bottom w:val="single" w:color="auto" w:sz="4" w:space="0"/>
              <w:right w:val="single" w:color="auto" w:sz="4" w:space="0"/>
            </w:tcBorders>
            <w:vAlign w:val="center"/>
          </w:tcPr>
          <w:p w14:paraId="0F5DF10C">
            <w:pPr>
              <w:pStyle w:val="71"/>
              <w:spacing w:before="24" w:after="24"/>
              <w:rPr>
                <w:rFonts w:cs="Times New Roman"/>
              </w:rPr>
            </w:pPr>
            <w:r>
              <w:rPr>
                <w:rFonts w:cs="Times New Roman"/>
              </w:rPr>
              <w:t>1.7+5.8</w:t>
            </w:r>
          </w:p>
          <w:p w14:paraId="21F50D23">
            <w:pPr>
              <w:pStyle w:val="71"/>
              <w:spacing w:before="24" w:after="24"/>
              <w:rPr>
                <w:rFonts w:cs="Times New Roman"/>
              </w:rPr>
            </w:pPr>
            <w:r>
              <w:rPr>
                <w:rFonts w:cs="Times New Roman"/>
              </w:rPr>
              <w:t>+6.7</w:t>
            </w:r>
          </w:p>
        </w:tc>
        <w:tc>
          <w:tcPr>
            <w:tcW w:w="951" w:type="dxa"/>
            <w:tcBorders>
              <w:top w:val="single" w:color="auto" w:sz="4" w:space="0"/>
              <w:left w:val="single" w:color="auto" w:sz="4" w:space="0"/>
              <w:bottom w:val="single" w:color="auto" w:sz="4" w:space="0"/>
              <w:right w:val="single" w:color="auto" w:sz="4" w:space="0"/>
            </w:tcBorders>
            <w:vAlign w:val="center"/>
          </w:tcPr>
          <w:p w14:paraId="5105BEE5">
            <w:pPr>
              <w:pStyle w:val="71"/>
              <w:spacing w:before="24" w:after="24"/>
              <w:rPr>
                <w:rFonts w:cs="Times New Roman"/>
              </w:rPr>
            </w:pPr>
            <w:r>
              <w:rPr>
                <w:rFonts w:cs="Times New Roman"/>
              </w:rPr>
              <w:t>铰链车</w:t>
            </w:r>
          </w:p>
        </w:tc>
        <w:tc>
          <w:tcPr>
            <w:tcW w:w="860" w:type="dxa"/>
            <w:tcBorders>
              <w:top w:val="single" w:color="auto" w:sz="4" w:space="0"/>
              <w:left w:val="single" w:color="auto" w:sz="4" w:space="0"/>
              <w:bottom w:val="single" w:color="auto" w:sz="4" w:space="0"/>
              <w:right w:val="single" w:color="auto" w:sz="4" w:space="0"/>
            </w:tcBorders>
            <w:vAlign w:val="center"/>
          </w:tcPr>
          <w:p w14:paraId="64794675">
            <w:pPr>
              <w:pStyle w:val="71"/>
              <w:spacing w:before="24" w:after="24"/>
              <w:rPr>
                <w:rFonts w:cs="Times New Roman"/>
              </w:rPr>
            </w:pPr>
            <w:r>
              <w:rPr>
                <w:rFonts w:cs="Times New Roman"/>
              </w:rPr>
              <w:t>0.45</w:t>
            </w:r>
          </w:p>
        </w:tc>
        <w:tc>
          <w:tcPr>
            <w:tcW w:w="860" w:type="dxa"/>
            <w:tcBorders>
              <w:top w:val="single" w:color="auto" w:sz="4" w:space="0"/>
              <w:left w:val="single" w:color="auto" w:sz="4" w:space="0"/>
              <w:bottom w:val="single" w:color="auto" w:sz="4" w:space="0"/>
              <w:right w:val="single" w:color="auto" w:sz="4" w:space="0"/>
            </w:tcBorders>
            <w:vAlign w:val="center"/>
          </w:tcPr>
          <w:p w14:paraId="1B90EC98">
            <w:pPr>
              <w:pStyle w:val="71"/>
              <w:spacing w:before="24" w:after="24"/>
              <w:rPr>
                <w:rFonts w:cs="Times New Roman"/>
              </w:rPr>
            </w:pPr>
            <w:r>
              <w:rPr>
                <w:rFonts w:cs="Times New Roman"/>
              </w:rPr>
              <w:t>0.60</w:t>
            </w:r>
          </w:p>
        </w:tc>
        <w:tc>
          <w:tcPr>
            <w:tcW w:w="860" w:type="dxa"/>
            <w:tcBorders>
              <w:top w:val="single" w:color="auto" w:sz="4" w:space="0"/>
              <w:left w:val="single" w:color="auto" w:sz="4" w:space="0"/>
              <w:bottom w:val="single" w:color="auto" w:sz="4" w:space="0"/>
              <w:right w:val="single" w:color="auto" w:sz="4" w:space="0"/>
            </w:tcBorders>
            <w:vAlign w:val="center"/>
          </w:tcPr>
          <w:p w14:paraId="21D140E3">
            <w:pPr>
              <w:pStyle w:val="71"/>
              <w:spacing w:before="24" w:after="24"/>
              <w:rPr>
                <w:rFonts w:cs="Times New Roman"/>
              </w:rPr>
            </w:pPr>
            <w:r>
              <w:rPr>
                <w:rFonts w:cs="Times New Roman"/>
              </w:rPr>
              <w:t>0.75</w:t>
            </w:r>
          </w:p>
        </w:tc>
        <w:tc>
          <w:tcPr>
            <w:tcW w:w="862" w:type="dxa"/>
            <w:tcBorders>
              <w:top w:val="single" w:color="auto" w:sz="4" w:space="0"/>
              <w:left w:val="single" w:color="auto" w:sz="4" w:space="0"/>
              <w:bottom w:val="single" w:color="auto" w:sz="4" w:space="0"/>
              <w:right w:val="single" w:color="auto" w:sz="4" w:space="0"/>
            </w:tcBorders>
            <w:vAlign w:val="center"/>
          </w:tcPr>
          <w:p w14:paraId="73B30ABF">
            <w:pPr>
              <w:pStyle w:val="71"/>
              <w:spacing w:before="24" w:after="24"/>
              <w:rPr>
                <w:rFonts w:cs="Times New Roman"/>
              </w:rPr>
            </w:pPr>
            <w:r>
              <w:rPr>
                <w:rFonts w:cs="Times New Roman"/>
              </w:rPr>
              <w:t>0.90</w:t>
            </w:r>
          </w:p>
        </w:tc>
        <w:tc>
          <w:tcPr>
            <w:tcW w:w="718" w:type="dxa"/>
            <w:tcBorders>
              <w:top w:val="single" w:color="auto" w:sz="4" w:space="0"/>
              <w:left w:val="single" w:color="auto" w:sz="4" w:space="0"/>
              <w:bottom w:val="single" w:color="auto" w:sz="4" w:space="0"/>
              <w:right w:val="single" w:color="auto" w:sz="4" w:space="0"/>
            </w:tcBorders>
            <w:vAlign w:val="center"/>
          </w:tcPr>
          <w:p w14:paraId="36B029C3">
            <w:pPr>
              <w:pStyle w:val="71"/>
              <w:spacing w:before="24" w:after="24"/>
              <w:rPr>
                <w:rFonts w:cs="Times New Roman"/>
              </w:rPr>
            </w:pPr>
            <w:r>
              <w:rPr>
                <w:rFonts w:cs="Times New Roman"/>
              </w:rPr>
              <w:t>0.95</w:t>
            </w:r>
          </w:p>
        </w:tc>
        <w:tc>
          <w:tcPr>
            <w:tcW w:w="718" w:type="dxa"/>
            <w:tcBorders>
              <w:top w:val="single" w:color="auto" w:sz="4" w:space="0"/>
              <w:left w:val="single" w:color="auto" w:sz="4" w:space="0"/>
              <w:bottom w:val="single" w:color="auto" w:sz="4" w:space="0"/>
              <w:right w:val="single" w:color="auto" w:sz="4" w:space="0"/>
            </w:tcBorders>
            <w:vAlign w:val="center"/>
          </w:tcPr>
          <w:p w14:paraId="1F3EF8BB">
            <w:pPr>
              <w:pStyle w:val="71"/>
              <w:spacing w:before="24" w:after="24"/>
              <w:rPr>
                <w:rFonts w:cs="Times New Roman"/>
              </w:rPr>
            </w:pPr>
            <w:r>
              <w:rPr>
                <w:rFonts w:cs="Times New Roman"/>
              </w:rPr>
              <w:t>1.25</w:t>
            </w:r>
          </w:p>
        </w:tc>
        <w:tc>
          <w:tcPr>
            <w:tcW w:w="718" w:type="dxa"/>
            <w:tcBorders>
              <w:top w:val="single" w:color="auto" w:sz="4" w:space="0"/>
              <w:left w:val="single" w:color="auto" w:sz="4" w:space="0"/>
              <w:bottom w:val="single" w:color="auto" w:sz="4" w:space="0"/>
              <w:right w:val="single" w:color="auto" w:sz="4" w:space="0"/>
            </w:tcBorders>
            <w:vAlign w:val="center"/>
          </w:tcPr>
          <w:p w14:paraId="4DD8DE12">
            <w:pPr>
              <w:pStyle w:val="71"/>
              <w:spacing w:before="24" w:after="24"/>
              <w:rPr>
                <w:rFonts w:cs="Times New Roman"/>
              </w:rPr>
            </w:pPr>
            <w:r>
              <w:rPr>
                <w:rFonts w:cs="Times New Roman"/>
              </w:rPr>
              <w:t>1.50</w:t>
            </w:r>
          </w:p>
        </w:tc>
        <w:tc>
          <w:tcPr>
            <w:tcW w:w="718" w:type="dxa"/>
            <w:tcBorders>
              <w:top w:val="single" w:color="auto" w:sz="4" w:space="0"/>
              <w:left w:val="single" w:color="auto" w:sz="4" w:space="0"/>
              <w:bottom w:val="single" w:color="auto" w:sz="4" w:space="0"/>
              <w:right w:val="single" w:color="auto" w:sz="4" w:space="0"/>
            </w:tcBorders>
            <w:vAlign w:val="center"/>
          </w:tcPr>
          <w:p w14:paraId="13CC44F7">
            <w:pPr>
              <w:pStyle w:val="71"/>
              <w:spacing w:before="24" w:after="24"/>
              <w:rPr>
                <w:rFonts w:cs="Times New Roman"/>
              </w:rPr>
            </w:pPr>
            <w:r>
              <w:rPr>
                <w:rFonts w:cs="Times New Roman"/>
              </w:rPr>
              <w:t>1.90</w:t>
            </w:r>
          </w:p>
        </w:tc>
        <w:tc>
          <w:tcPr>
            <w:tcW w:w="718" w:type="dxa"/>
            <w:tcBorders>
              <w:top w:val="single" w:color="auto" w:sz="4" w:space="0"/>
              <w:left w:val="single" w:color="auto" w:sz="4" w:space="0"/>
              <w:bottom w:val="single" w:color="auto" w:sz="4" w:space="0"/>
              <w:right w:val="single" w:color="auto" w:sz="4" w:space="0"/>
            </w:tcBorders>
            <w:vAlign w:val="center"/>
          </w:tcPr>
          <w:p w14:paraId="1E7E64D7">
            <w:pPr>
              <w:pStyle w:val="71"/>
              <w:spacing w:before="24" w:after="24"/>
              <w:rPr>
                <w:rFonts w:cs="Times New Roman"/>
              </w:rPr>
            </w:pPr>
            <w:r>
              <w:rPr>
                <w:rFonts w:cs="Times New Roman"/>
              </w:rPr>
              <w:t>2.75</w:t>
            </w:r>
          </w:p>
        </w:tc>
      </w:tr>
    </w:tbl>
    <w:p w14:paraId="0466B1C9">
      <w:pPr>
        <w:pStyle w:val="54"/>
        <w:spacing w:before="24" w:after="24"/>
      </w:pPr>
      <w:r>
        <w:t>圆曲线上的路面加宽应设置在圆曲线的内侧。当受条件限制时，次干路、支路可在圆曲线的两侧加宽。</w:t>
      </w:r>
    </w:p>
    <w:p w14:paraId="72BF1A66">
      <w:pPr>
        <w:pStyle w:val="54"/>
        <w:spacing w:before="24" w:after="24"/>
      </w:pPr>
      <w:r>
        <w:t>圆曲线范围内的加宽应为不变的全加宽值，两端应设置加宽缓和段。</w:t>
      </w:r>
    </w:p>
    <w:p w14:paraId="2864A59B">
      <w:pPr>
        <w:pStyle w:val="54"/>
        <w:spacing w:before="24" w:after="24"/>
      </w:pPr>
      <w:r>
        <w:t>加宽缓和段的长度宜符合下列规定:</w:t>
      </w:r>
    </w:p>
    <w:p w14:paraId="3831EA2D">
      <w:pPr>
        <w:pStyle w:val="54"/>
        <w:spacing w:before="24" w:after="24"/>
      </w:pPr>
      <w:r>
        <w:rPr>
          <w:rFonts w:ascii="Cambria Math" w:hAnsi="Cambria Math" w:cs="Cambria Math"/>
        </w:rPr>
        <w:t>①</w:t>
      </w:r>
      <w:r>
        <w:t>当设置缓和曲线或超高缓和段时，加宽缓和段长度应采用与缓和曲线或超高缓和段长度相同的数值。</w:t>
      </w:r>
    </w:p>
    <w:p w14:paraId="6DF18308">
      <w:pPr>
        <w:pStyle w:val="54"/>
        <w:spacing w:before="24" w:after="24"/>
      </w:pPr>
      <w:r>
        <w:rPr>
          <w:rFonts w:ascii="Cambria Math" w:hAnsi="Cambria Math" w:cs="Cambria Math"/>
        </w:rPr>
        <w:t>②</w:t>
      </w:r>
      <w:r>
        <w:t>当不设缓和曲线或超高缓和段时，加宽缓和段长度应按加宽侧路面边缘宽度渐变率为1:15～1:30计算，且长度不应小于10m。</w:t>
      </w:r>
    </w:p>
    <w:p w14:paraId="653CBD12">
      <w:pPr>
        <w:pStyle w:val="54"/>
        <w:spacing w:before="24" w:after="24"/>
      </w:pPr>
      <w:r>
        <w:t>10.3.2 纵断面设计</w:t>
      </w:r>
    </w:p>
    <w:p w14:paraId="662E3C6B">
      <w:pPr>
        <w:pStyle w:val="54"/>
        <w:spacing w:before="24" w:after="24"/>
      </w:pPr>
      <w:r>
        <w:t>本次发包范围内道路场地均为山地，结合上位规划及现场情况综合考虑，道路纵断面设计可按《云南省山地城镇道路工程设计导则》（云南省住房和城乡建设厅）执行。</w:t>
      </w:r>
    </w:p>
    <w:p w14:paraId="16D0CFC2">
      <w:pPr>
        <w:pStyle w:val="54"/>
        <w:spacing w:before="24" w:after="24"/>
      </w:pPr>
      <w:r>
        <w:t>1.道路机动车道的最大纵坡不应大于下表：</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08"/>
        <w:gridCol w:w="1106"/>
        <w:gridCol w:w="760"/>
        <w:gridCol w:w="917"/>
      </w:tblGrid>
      <w:tr w14:paraId="63D12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14" w:type="dxa"/>
            <w:gridSpan w:val="2"/>
            <w:tcBorders>
              <w:top w:val="single" w:color="auto" w:sz="4" w:space="0"/>
              <w:left w:val="single" w:color="auto" w:sz="4" w:space="0"/>
              <w:bottom w:val="single" w:color="auto" w:sz="4" w:space="0"/>
              <w:right w:val="single" w:color="auto" w:sz="4" w:space="0"/>
            </w:tcBorders>
            <w:vAlign w:val="center"/>
          </w:tcPr>
          <w:p w14:paraId="63BEF4C1">
            <w:pPr>
              <w:pStyle w:val="71"/>
              <w:spacing w:before="24" w:after="24"/>
              <w:rPr>
                <w:rFonts w:cs="Times New Roman"/>
              </w:rPr>
            </w:pPr>
            <w:r>
              <w:rPr>
                <w:rFonts w:cs="Times New Roman"/>
              </w:rPr>
              <w:t>设计速度（Km/h）</w:t>
            </w:r>
          </w:p>
        </w:tc>
        <w:tc>
          <w:tcPr>
            <w:tcW w:w="760" w:type="dxa"/>
            <w:tcBorders>
              <w:top w:val="single" w:color="auto" w:sz="4" w:space="0"/>
              <w:left w:val="single" w:color="auto" w:sz="4" w:space="0"/>
              <w:bottom w:val="single" w:color="auto" w:sz="4" w:space="0"/>
              <w:right w:val="single" w:color="auto" w:sz="4" w:space="0"/>
            </w:tcBorders>
            <w:vAlign w:val="center"/>
          </w:tcPr>
          <w:p w14:paraId="2FC0818E">
            <w:pPr>
              <w:pStyle w:val="71"/>
              <w:spacing w:before="24" w:after="24"/>
              <w:rPr>
                <w:rFonts w:cs="Times New Roman"/>
              </w:rPr>
            </w:pPr>
            <w:r>
              <w:rPr>
                <w:rFonts w:cs="Times New Roman"/>
              </w:rPr>
              <w:t>30</w:t>
            </w:r>
          </w:p>
        </w:tc>
        <w:tc>
          <w:tcPr>
            <w:tcW w:w="917" w:type="dxa"/>
            <w:tcBorders>
              <w:top w:val="single" w:color="auto" w:sz="4" w:space="0"/>
              <w:left w:val="single" w:color="auto" w:sz="4" w:space="0"/>
              <w:bottom w:val="single" w:color="auto" w:sz="4" w:space="0"/>
              <w:right w:val="single" w:color="auto" w:sz="4" w:space="0"/>
            </w:tcBorders>
            <w:vAlign w:val="center"/>
          </w:tcPr>
          <w:p w14:paraId="0736FE94">
            <w:pPr>
              <w:pStyle w:val="71"/>
              <w:spacing w:before="24" w:after="24"/>
              <w:rPr>
                <w:rFonts w:cs="Times New Roman"/>
              </w:rPr>
            </w:pPr>
            <w:r>
              <w:rPr>
                <w:rFonts w:cs="Times New Roman"/>
              </w:rPr>
              <w:t>≤20</w:t>
            </w:r>
          </w:p>
        </w:tc>
      </w:tr>
      <w:tr w14:paraId="0FB4F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08" w:type="dxa"/>
            <w:vMerge w:val="restart"/>
            <w:tcBorders>
              <w:top w:val="nil"/>
              <w:left w:val="single" w:color="auto" w:sz="4" w:space="0"/>
              <w:bottom w:val="single" w:color="auto" w:sz="4" w:space="0"/>
              <w:right w:val="single" w:color="auto" w:sz="4" w:space="0"/>
            </w:tcBorders>
            <w:vAlign w:val="center"/>
          </w:tcPr>
          <w:p w14:paraId="6AB89D3C">
            <w:pPr>
              <w:pStyle w:val="71"/>
              <w:spacing w:before="24" w:after="24"/>
              <w:rPr>
                <w:rFonts w:cs="Times New Roman"/>
              </w:rPr>
            </w:pPr>
            <w:r>
              <w:rPr>
                <w:rFonts w:cs="Times New Roman"/>
              </w:rPr>
              <w:t>最大纵坡（%）</w:t>
            </w:r>
          </w:p>
        </w:tc>
        <w:tc>
          <w:tcPr>
            <w:tcW w:w="1106" w:type="dxa"/>
            <w:tcBorders>
              <w:top w:val="single" w:color="auto" w:sz="4" w:space="0"/>
              <w:left w:val="single" w:color="auto" w:sz="4" w:space="0"/>
              <w:bottom w:val="single" w:color="auto" w:sz="4" w:space="0"/>
              <w:right w:val="single" w:color="auto" w:sz="4" w:space="0"/>
            </w:tcBorders>
            <w:vAlign w:val="center"/>
          </w:tcPr>
          <w:p w14:paraId="4774FC22">
            <w:pPr>
              <w:pStyle w:val="71"/>
              <w:spacing w:before="24" w:after="24"/>
              <w:rPr>
                <w:rFonts w:cs="Times New Roman"/>
              </w:rPr>
            </w:pPr>
            <w:r>
              <w:rPr>
                <w:rFonts w:cs="Times New Roman"/>
              </w:rPr>
              <w:t>一般值</w:t>
            </w:r>
          </w:p>
        </w:tc>
        <w:tc>
          <w:tcPr>
            <w:tcW w:w="760" w:type="dxa"/>
            <w:tcBorders>
              <w:top w:val="single" w:color="auto" w:sz="4" w:space="0"/>
              <w:left w:val="single" w:color="auto" w:sz="4" w:space="0"/>
              <w:bottom w:val="single" w:color="auto" w:sz="4" w:space="0"/>
              <w:right w:val="single" w:color="auto" w:sz="4" w:space="0"/>
            </w:tcBorders>
            <w:vAlign w:val="center"/>
          </w:tcPr>
          <w:p w14:paraId="6DF98F6C">
            <w:pPr>
              <w:pStyle w:val="71"/>
              <w:spacing w:before="24" w:after="24"/>
              <w:rPr>
                <w:rFonts w:cs="Times New Roman"/>
              </w:rPr>
            </w:pPr>
            <w:r>
              <w:rPr>
                <w:rFonts w:cs="Times New Roman"/>
              </w:rPr>
              <w:t>8</w:t>
            </w:r>
          </w:p>
        </w:tc>
        <w:tc>
          <w:tcPr>
            <w:tcW w:w="917" w:type="dxa"/>
            <w:tcBorders>
              <w:top w:val="single" w:color="auto" w:sz="4" w:space="0"/>
              <w:left w:val="single" w:color="auto" w:sz="4" w:space="0"/>
              <w:bottom w:val="single" w:color="auto" w:sz="4" w:space="0"/>
              <w:right w:val="single" w:color="auto" w:sz="4" w:space="0"/>
            </w:tcBorders>
            <w:vAlign w:val="center"/>
          </w:tcPr>
          <w:p w14:paraId="1A0011BB">
            <w:pPr>
              <w:pStyle w:val="71"/>
              <w:spacing w:before="24" w:after="24"/>
              <w:rPr>
                <w:rFonts w:cs="Times New Roman"/>
              </w:rPr>
            </w:pPr>
            <w:r>
              <w:rPr>
                <w:rFonts w:cs="Times New Roman"/>
              </w:rPr>
              <w:t>9</w:t>
            </w:r>
          </w:p>
        </w:tc>
      </w:tr>
      <w:tr w14:paraId="3EEE0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08" w:type="dxa"/>
            <w:vMerge w:val="continue"/>
            <w:tcBorders>
              <w:top w:val="nil"/>
              <w:left w:val="single" w:color="auto" w:sz="4" w:space="0"/>
              <w:bottom w:val="single" w:color="auto" w:sz="4" w:space="0"/>
              <w:right w:val="single" w:color="auto" w:sz="4" w:space="0"/>
            </w:tcBorders>
            <w:vAlign w:val="center"/>
          </w:tcPr>
          <w:p w14:paraId="2B960932">
            <w:pPr>
              <w:pStyle w:val="71"/>
              <w:spacing w:before="24" w:after="24"/>
              <w:rPr>
                <w:rFonts w:cs="Times New Roman"/>
              </w:rPr>
            </w:pPr>
          </w:p>
        </w:tc>
        <w:tc>
          <w:tcPr>
            <w:tcW w:w="1106" w:type="dxa"/>
            <w:tcBorders>
              <w:top w:val="single" w:color="auto" w:sz="4" w:space="0"/>
              <w:left w:val="single" w:color="auto" w:sz="4" w:space="0"/>
              <w:bottom w:val="single" w:color="auto" w:sz="4" w:space="0"/>
              <w:right w:val="single" w:color="auto" w:sz="4" w:space="0"/>
            </w:tcBorders>
            <w:vAlign w:val="center"/>
          </w:tcPr>
          <w:p w14:paraId="35EB8A92">
            <w:pPr>
              <w:pStyle w:val="71"/>
              <w:spacing w:before="24" w:after="24"/>
              <w:rPr>
                <w:rFonts w:cs="Times New Roman"/>
              </w:rPr>
            </w:pPr>
            <w:r>
              <w:rPr>
                <w:rFonts w:cs="Times New Roman"/>
              </w:rPr>
              <w:t>极限值</w:t>
            </w:r>
          </w:p>
        </w:tc>
        <w:tc>
          <w:tcPr>
            <w:tcW w:w="760" w:type="dxa"/>
            <w:tcBorders>
              <w:top w:val="single" w:color="auto" w:sz="4" w:space="0"/>
              <w:left w:val="single" w:color="auto" w:sz="4" w:space="0"/>
              <w:bottom w:val="single" w:color="auto" w:sz="4" w:space="0"/>
              <w:right w:val="single" w:color="auto" w:sz="4" w:space="0"/>
            </w:tcBorders>
            <w:vAlign w:val="center"/>
          </w:tcPr>
          <w:p w14:paraId="282FE0DA">
            <w:pPr>
              <w:pStyle w:val="71"/>
              <w:spacing w:before="24" w:after="24"/>
              <w:rPr>
                <w:rFonts w:cs="Times New Roman"/>
              </w:rPr>
            </w:pPr>
            <w:r>
              <w:rPr>
                <w:rFonts w:cs="Times New Roman"/>
              </w:rPr>
              <w:t>10</w:t>
            </w:r>
          </w:p>
        </w:tc>
        <w:tc>
          <w:tcPr>
            <w:tcW w:w="917" w:type="dxa"/>
            <w:tcBorders>
              <w:top w:val="single" w:color="auto" w:sz="4" w:space="0"/>
              <w:left w:val="single" w:color="auto" w:sz="4" w:space="0"/>
              <w:bottom w:val="single" w:color="auto" w:sz="4" w:space="0"/>
              <w:right w:val="single" w:color="auto" w:sz="4" w:space="0"/>
            </w:tcBorders>
            <w:vAlign w:val="center"/>
          </w:tcPr>
          <w:p w14:paraId="4FD1CE8E">
            <w:pPr>
              <w:pStyle w:val="71"/>
              <w:spacing w:before="24" w:after="24"/>
              <w:rPr>
                <w:rFonts w:cs="Times New Roman"/>
              </w:rPr>
            </w:pPr>
            <w:r>
              <w:rPr>
                <w:rFonts w:cs="Times New Roman"/>
              </w:rPr>
              <w:t>12</w:t>
            </w:r>
          </w:p>
        </w:tc>
      </w:tr>
    </w:tbl>
    <w:p w14:paraId="4BEBEEBE">
      <w:pPr>
        <w:pStyle w:val="54"/>
        <w:spacing w:before="24" w:after="24"/>
      </w:pPr>
      <w:r>
        <w:t>2.道路最小纵坡</w:t>
      </w:r>
    </w:p>
    <w:p w14:paraId="3532BFF2">
      <w:pPr>
        <w:pStyle w:val="54"/>
        <w:spacing w:before="24" w:after="24"/>
      </w:pPr>
      <w:r>
        <w:t>道路最小纵坡不应小于0.3%;当特殊困难纵坡小于0.3%时，应设置锯齿形偏沟或采取其他排水措施。</w:t>
      </w:r>
    </w:p>
    <w:p w14:paraId="76FA8758">
      <w:pPr>
        <w:pStyle w:val="54"/>
        <w:spacing w:before="24" w:after="24"/>
      </w:pPr>
      <w:r>
        <w:t>3.道路机动车道纵坡的最小坡长应符合下表：</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4"/>
        <w:gridCol w:w="760"/>
        <w:gridCol w:w="760"/>
        <w:gridCol w:w="760"/>
      </w:tblGrid>
      <w:tr w14:paraId="67C64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14" w:type="dxa"/>
            <w:tcBorders>
              <w:top w:val="single" w:color="auto" w:sz="4" w:space="0"/>
              <w:left w:val="single" w:color="auto" w:sz="4" w:space="0"/>
              <w:bottom w:val="single" w:color="auto" w:sz="4" w:space="0"/>
              <w:right w:val="single" w:color="auto" w:sz="4" w:space="0"/>
            </w:tcBorders>
            <w:vAlign w:val="center"/>
          </w:tcPr>
          <w:p w14:paraId="04273269">
            <w:pPr>
              <w:pStyle w:val="71"/>
              <w:spacing w:before="24" w:after="24"/>
              <w:rPr>
                <w:rFonts w:cs="Times New Roman"/>
              </w:rPr>
            </w:pPr>
            <w:r>
              <w:rPr>
                <w:rFonts w:cs="Times New Roman"/>
              </w:rPr>
              <w:t>设计速度（Km/h）</w:t>
            </w:r>
          </w:p>
        </w:tc>
        <w:tc>
          <w:tcPr>
            <w:tcW w:w="760" w:type="dxa"/>
            <w:tcBorders>
              <w:top w:val="single" w:color="auto" w:sz="4" w:space="0"/>
              <w:left w:val="single" w:color="auto" w:sz="4" w:space="0"/>
              <w:bottom w:val="single" w:color="auto" w:sz="4" w:space="0"/>
              <w:right w:val="single" w:color="auto" w:sz="4" w:space="0"/>
            </w:tcBorders>
            <w:vAlign w:val="center"/>
          </w:tcPr>
          <w:p w14:paraId="6EC587EF">
            <w:pPr>
              <w:pStyle w:val="71"/>
              <w:spacing w:before="24" w:after="24"/>
              <w:rPr>
                <w:rFonts w:cs="Times New Roman"/>
              </w:rPr>
            </w:pPr>
            <w:r>
              <w:rPr>
                <w:rFonts w:cs="Times New Roman"/>
              </w:rPr>
              <w:t>30</w:t>
            </w:r>
          </w:p>
        </w:tc>
        <w:tc>
          <w:tcPr>
            <w:tcW w:w="760" w:type="dxa"/>
            <w:tcBorders>
              <w:top w:val="single" w:color="auto" w:sz="4" w:space="0"/>
              <w:left w:val="single" w:color="auto" w:sz="4" w:space="0"/>
              <w:bottom w:val="single" w:color="auto" w:sz="4" w:space="0"/>
              <w:right w:val="single" w:color="auto" w:sz="4" w:space="0"/>
            </w:tcBorders>
            <w:vAlign w:val="center"/>
          </w:tcPr>
          <w:p w14:paraId="2AFCD8F5">
            <w:pPr>
              <w:pStyle w:val="71"/>
              <w:spacing w:before="24" w:after="24"/>
              <w:rPr>
                <w:rFonts w:cs="Times New Roman"/>
              </w:rPr>
            </w:pPr>
            <w:r>
              <w:rPr>
                <w:rFonts w:cs="Times New Roman"/>
              </w:rPr>
              <w:t>20</w:t>
            </w:r>
          </w:p>
        </w:tc>
        <w:tc>
          <w:tcPr>
            <w:tcW w:w="760" w:type="dxa"/>
            <w:tcBorders>
              <w:top w:val="single" w:color="auto" w:sz="4" w:space="0"/>
              <w:left w:val="single" w:color="auto" w:sz="4" w:space="0"/>
              <w:bottom w:val="single" w:color="auto" w:sz="4" w:space="0"/>
              <w:right w:val="single" w:color="auto" w:sz="4" w:space="0"/>
            </w:tcBorders>
            <w:vAlign w:val="center"/>
          </w:tcPr>
          <w:p w14:paraId="411BEFAB">
            <w:pPr>
              <w:pStyle w:val="71"/>
              <w:spacing w:before="24" w:after="24"/>
              <w:rPr>
                <w:rFonts w:cs="Times New Roman"/>
              </w:rPr>
            </w:pPr>
            <w:r>
              <w:rPr>
                <w:rFonts w:cs="Times New Roman"/>
              </w:rPr>
              <w:t>15</w:t>
            </w:r>
          </w:p>
        </w:tc>
      </w:tr>
      <w:tr w14:paraId="7BBB3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14" w:type="dxa"/>
            <w:tcBorders>
              <w:top w:val="single" w:color="auto" w:sz="4" w:space="0"/>
              <w:left w:val="single" w:color="auto" w:sz="4" w:space="0"/>
              <w:bottom w:val="single" w:color="auto" w:sz="4" w:space="0"/>
              <w:right w:val="single" w:color="auto" w:sz="4" w:space="0"/>
            </w:tcBorders>
            <w:vAlign w:val="center"/>
          </w:tcPr>
          <w:p w14:paraId="3C1BFB35">
            <w:pPr>
              <w:pStyle w:val="71"/>
              <w:spacing w:before="24" w:after="24"/>
              <w:rPr>
                <w:rFonts w:cs="Times New Roman"/>
              </w:rPr>
            </w:pPr>
            <w:r>
              <w:rPr>
                <w:rFonts w:cs="Times New Roman"/>
              </w:rPr>
              <w:t>最小坡长（m）</w:t>
            </w:r>
          </w:p>
        </w:tc>
        <w:tc>
          <w:tcPr>
            <w:tcW w:w="760" w:type="dxa"/>
            <w:tcBorders>
              <w:top w:val="single" w:color="auto" w:sz="4" w:space="0"/>
              <w:left w:val="single" w:color="auto" w:sz="4" w:space="0"/>
              <w:bottom w:val="single" w:color="auto" w:sz="4" w:space="0"/>
              <w:right w:val="single" w:color="auto" w:sz="4" w:space="0"/>
            </w:tcBorders>
            <w:vAlign w:val="center"/>
          </w:tcPr>
          <w:p w14:paraId="1880E3B1">
            <w:pPr>
              <w:pStyle w:val="71"/>
              <w:spacing w:before="24" w:after="24"/>
              <w:rPr>
                <w:rFonts w:cs="Times New Roman"/>
              </w:rPr>
            </w:pPr>
            <w:r>
              <w:rPr>
                <w:rFonts w:cs="Times New Roman"/>
              </w:rPr>
              <w:t>85</w:t>
            </w:r>
          </w:p>
        </w:tc>
        <w:tc>
          <w:tcPr>
            <w:tcW w:w="760" w:type="dxa"/>
            <w:tcBorders>
              <w:top w:val="single" w:color="auto" w:sz="4" w:space="0"/>
              <w:left w:val="single" w:color="auto" w:sz="4" w:space="0"/>
              <w:bottom w:val="single" w:color="auto" w:sz="4" w:space="0"/>
              <w:right w:val="single" w:color="auto" w:sz="4" w:space="0"/>
            </w:tcBorders>
            <w:vAlign w:val="center"/>
          </w:tcPr>
          <w:p w14:paraId="23ABC310">
            <w:pPr>
              <w:pStyle w:val="71"/>
              <w:spacing w:before="24" w:after="24"/>
              <w:rPr>
                <w:rFonts w:cs="Times New Roman"/>
              </w:rPr>
            </w:pPr>
            <w:r>
              <w:rPr>
                <w:rFonts w:cs="Times New Roman"/>
              </w:rPr>
              <w:t>60</w:t>
            </w:r>
          </w:p>
        </w:tc>
        <w:tc>
          <w:tcPr>
            <w:tcW w:w="760" w:type="dxa"/>
            <w:tcBorders>
              <w:top w:val="single" w:color="auto" w:sz="4" w:space="0"/>
              <w:left w:val="single" w:color="auto" w:sz="4" w:space="0"/>
              <w:bottom w:val="single" w:color="auto" w:sz="4" w:space="0"/>
              <w:right w:val="single" w:color="auto" w:sz="4" w:space="0"/>
            </w:tcBorders>
            <w:vAlign w:val="center"/>
          </w:tcPr>
          <w:p w14:paraId="0F66F46A">
            <w:pPr>
              <w:pStyle w:val="71"/>
              <w:spacing w:before="24" w:after="24"/>
              <w:rPr>
                <w:rFonts w:cs="Times New Roman"/>
              </w:rPr>
            </w:pPr>
            <w:r>
              <w:rPr>
                <w:rFonts w:cs="Times New Roman"/>
              </w:rPr>
              <w:t>40</w:t>
            </w:r>
          </w:p>
        </w:tc>
      </w:tr>
    </w:tbl>
    <w:p w14:paraId="576498F6">
      <w:pPr>
        <w:pStyle w:val="54"/>
        <w:spacing w:before="24" w:after="24"/>
      </w:pPr>
      <w:r>
        <w:t>4.道路不同纵坡的最大坡长</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7"/>
        <w:gridCol w:w="1620"/>
        <w:gridCol w:w="915"/>
        <w:gridCol w:w="915"/>
        <w:gridCol w:w="915"/>
      </w:tblGrid>
      <w:tr w14:paraId="00E6E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697" w:type="dxa"/>
            <w:gridSpan w:val="2"/>
            <w:tcBorders>
              <w:top w:val="single" w:color="auto" w:sz="4" w:space="0"/>
              <w:left w:val="single" w:color="auto" w:sz="4" w:space="0"/>
              <w:bottom w:val="single" w:color="auto" w:sz="4" w:space="0"/>
              <w:right w:val="single" w:color="auto" w:sz="4" w:space="0"/>
            </w:tcBorders>
            <w:vAlign w:val="center"/>
          </w:tcPr>
          <w:p w14:paraId="494CF833">
            <w:pPr>
              <w:pStyle w:val="71"/>
              <w:spacing w:before="24" w:after="24"/>
              <w:rPr>
                <w:rFonts w:cs="Times New Roman"/>
              </w:rPr>
            </w:pPr>
            <w:r>
              <w:rPr>
                <w:rFonts w:cs="Times New Roman"/>
              </w:rPr>
              <w:t>设计速度（Km/h）</w:t>
            </w:r>
          </w:p>
        </w:tc>
        <w:tc>
          <w:tcPr>
            <w:tcW w:w="915" w:type="dxa"/>
            <w:tcBorders>
              <w:top w:val="single" w:color="auto" w:sz="4" w:space="0"/>
              <w:left w:val="single" w:color="auto" w:sz="4" w:space="0"/>
              <w:bottom w:val="single" w:color="auto" w:sz="4" w:space="0"/>
              <w:right w:val="single" w:color="auto" w:sz="4" w:space="0"/>
            </w:tcBorders>
            <w:vAlign w:val="center"/>
          </w:tcPr>
          <w:p w14:paraId="28DA8669">
            <w:pPr>
              <w:pStyle w:val="71"/>
              <w:spacing w:before="24" w:after="24"/>
              <w:rPr>
                <w:rFonts w:cs="Times New Roman"/>
              </w:rPr>
            </w:pPr>
            <w:r>
              <w:rPr>
                <w:rFonts w:cs="Times New Roman"/>
              </w:rPr>
              <w:t>30</w:t>
            </w:r>
          </w:p>
        </w:tc>
        <w:tc>
          <w:tcPr>
            <w:tcW w:w="915" w:type="dxa"/>
            <w:tcBorders>
              <w:top w:val="single" w:color="auto" w:sz="4" w:space="0"/>
              <w:left w:val="single" w:color="auto" w:sz="4" w:space="0"/>
              <w:bottom w:val="single" w:color="auto" w:sz="4" w:space="0"/>
              <w:right w:val="single" w:color="auto" w:sz="4" w:space="0"/>
            </w:tcBorders>
            <w:vAlign w:val="center"/>
          </w:tcPr>
          <w:p w14:paraId="6263215D">
            <w:pPr>
              <w:pStyle w:val="71"/>
              <w:spacing w:before="24" w:after="24"/>
              <w:rPr>
                <w:rFonts w:cs="Times New Roman"/>
              </w:rPr>
            </w:pPr>
            <w:r>
              <w:rPr>
                <w:rFonts w:cs="Times New Roman"/>
              </w:rPr>
              <w:t>20</w:t>
            </w:r>
          </w:p>
        </w:tc>
        <w:tc>
          <w:tcPr>
            <w:tcW w:w="915" w:type="dxa"/>
            <w:tcBorders>
              <w:top w:val="single" w:color="auto" w:sz="4" w:space="0"/>
              <w:left w:val="single" w:color="auto" w:sz="4" w:space="0"/>
              <w:bottom w:val="single" w:color="auto" w:sz="4" w:space="0"/>
              <w:right w:val="single" w:color="auto" w:sz="4" w:space="0"/>
            </w:tcBorders>
            <w:vAlign w:val="center"/>
          </w:tcPr>
          <w:p w14:paraId="1003E7F8">
            <w:pPr>
              <w:pStyle w:val="71"/>
              <w:spacing w:before="24" w:after="24"/>
              <w:rPr>
                <w:rFonts w:cs="Times New Roman"/>
              </w:rPr>
            </w:pPr>
            <w:r>
              <w:rPr>
                <w:rFonts w:cs="Times New Roman"/>
              </w:rPr>
              <w:t>15</w:t>
            </w:r>
          </w:p>
        </w:tc>
      </w:tr>
      <w:tr w14:paraId="4742B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2077" w:type="dxa"/>
            <w:vMerge w:val="restart"/>
            <w:tcBorders>
              <w:top w:val="nil"/>
              <w:left w:val="single" w:color="auto" w:sz="4" w:space="0"/>
              <w:bottom w:val="single" w:color="auto" w:sz="4" w:space="0"/>
              <w:right w:val="single" w:color="auto" w:sz="4" w:space="0"/>
            </w:tcBorders>
            <w:vAlign w:val="center"/>
          </w:tcPr>
          <w:p w14:paraId="3435B1D8">
            <w:pPr>
              <w:pStyle w:val="71"/>
              <w:spacing w:before="24" w:after="24"/>
              <w:rPr>
                <w:rFonts w:cs="Times New Roman"/>
              </w:rPr>
            </w:pPr>
            <w:r>
              <w:rPr>
                <w:rFonts w:cs="Times New Roman"/>
              </w:rPr>
              <w:t>纵</w:t>
            </w:r>
          </w:p>
          <w:p w14:paraId="0AF486F6">
            <w:pPr>
              <w:pStyle w:val="71"/>
              <w:spacing w:before="24" w:after="24"/>
              <w:rPr>
                <w:rFonts w:cs="Times New Roman"/>
              </w:rPr>
            </w:pPr>
            <w:r>
              <w:rPr>
                <w:rFonts w:cs="Times New Roman"/>
              </w:rPr>
              <w:t>坡</w:t>
            </w:r>
          </w:p>
          <w:p w14:paraId="61EA4207">
            <w:pPr>
              <w:pStyle w:val="71"/>
              <w:spacing w:before="24" w:after="24"/>
              <w:rPr>
                <w:rFonts w:cs="Times New Roman"/>
              </w:rPr>
            </w:pPr>
            <w:r>
              <w:rPr>
                <w:rFonts w:cs="Times New Roman"/>
              </w:rPr>
              <w:t>坡</w:t>
            </w:r>
          </w:p>
          <w:p w14:paraId="72F3E0A4">
            <w:pPr>
              <w:pStyle w:val="71"/>
              <w:spacing w:before="24" w:after="24"/>
              <w:rPr>
                <w:rFonts w:cs="Times New Roman"/>
              </w:rPr>
            </w:pPr>
            <w:r>
              <w:rPr>
                <w:rFonts w:cs="Times New Roman"/>
              </w:rPr>
              <w:t>度（%）</w:t>
            </w:r>
          </w:p>
        </w:tc>
        <w:tc>
          <w:tcPr>
            <w:tcW w:w="1620" w:type="dxa"/>
            <w:tcBorders>
              <w:top w:val="single" w:color="auto" w:sz="4" w:space="0"/>
              <w:left w:val="single" w:color="auto" w:sz="4" w:space="0"/>
              <w:bottom w:val="single" w:color="auto" w:sz="4" w:space="0"/>
              <w:right w:val="single" w:color="auto" w:sz="4" w:space="0"/>
            </w:tcBorders>
            <w:vAlign w:val="center"/>
          </w:tcPr>
          <w:p w14:paraId="10FDF0DD">
            <w:pPr>
              <w:pStyle w:val="71"/>
              <w:spacing w:before="24" w:after="24"/>
              <w:rPr>
                <w:rFonts w:cs="Times New Roman"/>
              </w:rPr>
            </w:pPr>
            <w:r>
              <w:rPr>
                <w:rFonts w:cs="Times New Roman"/>
              </w:rPr>
              <w:t>5</w:t>
            </w:r>
          </w:p>
        </w:tc>
        <w:tc>
          <w:tcPr>
            <w:tcW w:w="915" w:type="dxa"/>
            <w:tcBorders>
              <w:top w:val="single" w:color="auto" w:sz="4" w:space="0"/>
              <w:left w:val="single" w:color="auto" w:sz="4" w:space="0"/>
              <w:bottom w:val="single" w:color="auto" w:sz="4" w:space="0"/>
              <w:right w:val="single" w:color="auto" w:sz="4" w:space="0"/>
            </w:tcBorders>
            <w:vAlign w:val="center"/>
          </w:tcPr>
          <w:p w14:paraId="790DF65E">
            <w:pPr>
              <w:pStyle w:val="71"/>
              <w:spacing w:before="24" w:after="24"/>
              <w:rPr>
                <w:rFonts w:cs="Times New Roman"/>
              </w:rPr>
            </w:pPr>
          </w:p>
        </w:tc>
        <w:tc>
          <w:tcPr>
            <w:tcW w:w="915" w:type="dxa"/>
            <w:tcBorders>
              <w:top w:val="single" w:color="auto" w:sz="4" w:space="0"/>
              <w:left w:val="single" w:color="auto" w:sz="4" w:space="0"/>
              <w:bottom w:val="single" w:color="auto" w:sz="4" w:space="0"/>
              <w:right w:val="single" w:color="auto" w:sz="4" w:space="0"/>
            </w:tcBorders>
            <w:vAlign w:val="center"/>
          </w:tcPr>
          <w:p w14:paraId="27B17B2C">
            <w:pPr>
              <w:pStyle w:val="71"/>
              <w:spacing w:before="24" w:after="24"/>
              <w:rPr>
                <w:rFonts w:cs="Times New Roman"/>
              </w:rPr>
            </w:pPr>
          </w:p>
        </w:tc>
        <w:tc>
          <w:tcPr>
            <w:tcW w:w="915" w:type="dxa"/>
            <w:tcBorders>
              <w:top w:val="single" w:color="auto" w:sz="4" w:space="0"/>
              <w:left w:val="single" w:color="auto" w:sz="4" w:space="0"/>
              <w:bottom w:val="single" w:color="auto" w:sz="4" w:space="0"/>
              <w:right w:val="single" w:color="auto" w:sz="4" w:space="0"/>
            </w:tcBorders>
            <w:vAlign w:val="center"/>
          </w:tcPr>
          <w:p w14:paraId="5ECF06BF">
            <w:pPr>
              <w:pStyle w:val="71"/>
              <w:spacing w:before="24" w:after="24"/>
              <w:rPr>
                <w:rFonts w:cs="Times New Roman"/>
              </w:rPr>
            </w:pPr>
          </w:p>
        </w:tc>
      </w:tr>
      <w:tr w14:paraId="25865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2077" w:type="dxa"/>
            <w:vMerge w:val="continue"/>
            <w:tcBorders>
              <w:top w:val="nil"/>
              <w:left w:val="single" w:color="auto" w:sz="4" w:space="0"/>
              <w:bottom w:val="single" w:color="auto" w:sz="4" w:space="0"/>
              <w:right w:val="single" w:color="auto" w:sz="4" w:space="0"/>
            </w:tcBorders>
            <w:vAlign w:val="center"/>
          </w:tcPr>
          <w:p w14:paraId="66662797">
            <w:pPr>
              <w:pStyle w:val="71"/>
              <w:spacing w:before="24" w:after="24"/>
              <w:rPr>
                <w:rFonts w:cs="Times New Roman"/>
              </w:rPr>
            </w:pPr>
          </w:p>
        </w:tc>
        <w:tc>
          <w:tcPr>
            <w:tcW w:w="1620" w:type="dxa"/>
            <w:tcBorders>
              <w:top w:val="single" w:color="auto" w:sz="4" w:space="0"/>
              <w:left w:val="single" w:color="auto" w:sz="4" w:space="0"/>
              <w:bottom w:val="single" w:color="auto" w:sz="4" w:space="0"/>
              <w:right w:val="single" w:color="auto" w:sz="4" w:space="0"/>
            </w:tcBorders>
            <w:vAlign w:val="center"/>
          </w:tcPr>
          <w:p w14:paraId="7809B128">
            <w:pPr>
              <w:pStyle w:val="71"/>
              <w:spacing w:before="24" w:after="24"/>
              <w:rPr>
                <w:rFonts w:cs="Times New Roman"/>
              </w:rPr>
            </w:pPr>
            <w:r>
              <w:rPr>
                <w:rFonts w:cs="Times New Roman"/>
              </w:rPr>
              <w:t>6</w:t>
            </w:r>
          </w:p>
        </w:tc>
        <w:tc>
          <w:tcPr>
            <w:tcW w:w="915" w:type="dxa"/>
            <w:tcBorders>
              <w:top w:val="single" w:color="auto" w:sz="4" w:space="0"/>
              <w:left w:val="single" w:color="auto" w:sz="4" w:space="0"/>
              <w:bottom w:val="single" w:color="auto" w:sz="4" w:space="0"/>
              <w:right w:val="single" w:color="auto" w:sz="4" w:space="0"/>
            </w:tcBorders>
            <w:vAlign w:val="center"/>
          </w:tcPr>
          <w:p w14:paraId="26DE3B8D">
            <w:pPr>
              <w:pStyle w:val="71"/>
              <w:spacing w:before="24" w:after="24"/>
              <w:rPr>
                <w:rFonts w:cs="Times New Roman"/>
              </w:rPr>
            </w:pPr>
            <w:r>
              <w:rPr>
                <w:rFonts w:cs="Times New Roman"/>
              </w:rPr>
              <w:t>700</w:t>
            </w:r>
          </w:p>
        </w:tc>
        <w:tc>
          <w:tcPr>
            <w:tcW w:w="915" w:type="dxa"/>
            <w:tcBorders>
              <w:top w:val="single" w:color="auto" w:sz="4" w:space="0"/>
              <w:left w:val="single" w:color="auto" w:sz="4" w:space="0"/>
              <w:bottom w:val="single" w:color="auto" w:sz="4" w:space="0"/>
              <w:right w:val="single" w:color="auto" w:sz="4" w:space="0"/>
            </w:tcBorders>
            <w:vAlign w:val="center"/>
          </w:tcPr>
          <w:p w14:paraId="369F58FB">
            <w:pPr>
              <w:pStyle w:val="71"/>
              <w:spacing w:before="24" w:after="24"/>
              <w:rPr>
                <w:rFonts w:cs="Times New Roman"/>
              </w:rPr>
            </w:pPr>
          </w:p>
        </w:tc>
        <w:tc>
          <w:tcPr>
            <w:tcW w:w="915" w:type="dxa"/>
            <w:tcBorders>
              <w:top w:val="single" w:color="auto" w:sz="4" w:space="0"/>
              <w:left w:val="single" w:color="auto" w:sz="4" w:space="0"/>
              <w:bottom w:val="single" w:color="auto" w:sz="4" w:space="0"/>
              <w:right w:val="single" w:color="auto" w:sz="4" w:space="0"/>
            </w:tcBorders>
            <w:vAlign w:val="center"/>
          </w:tcPr>
          <w:p w14:paraId="1A2556F9">
            <w:pPr>
              <w:pStyle w:val="71"/>
              <w:spacing w:before="24" w:after="24"/>
              <w:rPr>
                <w:rFonts w:cs="Times New Roman"/>
              </w:rPr>
            </w:pPr>
          </w:p>
        </w:tc>
      </w:tr>
      <w:tr w14:paraId="669D4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2077" w:type="dxa"/>
            <w:vMerge w:val="continue"/>
            <w:tcBorders>
              <w:top w:val="nil"/>
              <w:left w:val="single" w:color="auto" w:sz="4" w:space="0"/>
              <w:bottom w:val="single" w:color="auto" w:sz="4" w:space="0"/>
              <w:right w:val="single" w:color="auto" w:sz="4" w:space="0"/>
            </w:tcBorders>
            <w:vAlign w:val="center"/>
          </w:tcPr>
          <w:p w14:paraId="2D5F5FAF">
            <w:pPr>
              <w:pStyle w:val="71"/>
              <w:spacing w:before="24" w:after="24"/>
              <w:rPr>
                <w:rFonts w:cs="Times New Roman"/>
              </w:rPr>
            </w:pPr>
          </w:p>
        </w:tc>
        <w:tc>
          <w:tcPr>
            <w:tcW w:w="1620" w:type="dxa"/>
            <w:tcBorders>
              <w:top w:val="single" w:color="auto" w:sz="4" w:space="0"/>
              <w:left w:val="single" w:color="auto" w:sz="4" w:space="0"/>
              <w:bottom w:val="single" w:color="auto" w:sz="4" w:space="0"/>
              <w:right w:val="single" w:color="auto" w:sz="4" w:space="0"/>
            </w:tcBorders>
            <w:vAlign w:val="center"/>
          </w:tcPr>
          <w:p w14:paraId="3EE685A1">
            <w:pPr>
              <w:pStyle w:val="71"/>
              <w:spacing w:before="24" w:after="24"/>
              <w:rPr>
                <w:rFonts w:cs="Times New Roman"/>
              </w:rPr>
            </w:pPr>
            <w:r>
              <w:rPr>
                <w:rFonts w:cs="Times New Roman"/>
              </w:rPr>
              <w:t>7</w:t>
            </w:r>
          </w:p>
        </w:tc>
        <w:tc>
          <w:tcPr>
            <w:tcW w:w="915" w:type="dxa"/>
            <w:tcBorders>
              <w:top w:val="single" w:color="auto" w:sz="4" w:space="0"/>
              <w:left w:val="single" w:color="auto" w:sz="4" w:space="0"/>
              <w:bottom w:val="single" w:color="auto" w:sz="4" w:space="0"/>
              <w:right w:val="single" w:color="auto" w:sz="4" w:space="0"/>
            </w:tcBorders>
            <w:vAlign w:val="center"/>
          </w:tcPr>
          <w:p w14:paraId="2CA14F26">
            <w:pPr>
              <w:pStyle w:val="71"/>
              <w:spacing w:before="24" w:after="24"/>
              <w:rPr>
                <w:rFonts w:cs="Times New Roman"/>
              </w:rPr>
            </w:pPr>
            <w:r>
              <w:rPr>
                <w:rFonts w:cs="Times New Roman"/>
              </w:rPr>
              <w:t>500</w:t>
            </w:r>
          </w:p>
        </w:tc>
        <w:tc>
          <w:tcPr>
            <w:tcW w:w="915" w:type="dxa"/>
            <w:tcBorders>
              <w:top w:val="single" w:color="auto" w:sz="4" w:space="0"/>
              <w:left w:val="single" w:color="auto" w:sz="4" w:space="0"/>
              <w:bottom w:val="single" w:color="auto" w:sz="4" w:space="0"/>
              <w:right w:val="single" w:color="auto" w:sz="4" w:space="0"/>
            </w:tcBorders>
            <w:vAlign w:val="center"/>
          </w:tcPr>
          <w:p w14:paraId="43664098">
            <w:pPr>
              <w:pStyle w:val="71"/>
              <w:spacing w:before="24" w:after="24"/>
              <w:rPr>
                <w:rFonts w:cs="Times New Roman"/>
              </w:rPr>
            </w:pPr>
            <w:r>
              <w:rPr>
                <w:rFonts w:cs="Times New Roman"/>
              </w:rPr>
              <w:t>600</w:t>
            </w:r>
          </w:p>
        </w:tc>
        <w:tc>
          <w:tcPr>
            <w:tcW w:w="915" w:type="dxa"/>
            <w:tcBorders>
              <w:top w:val="single" w:color="auto" w:sz="4" w:space="0"/>
              <w:left w:val="single" w:color="auto" w:sz="4" w:space="0"/>
              <w:bottom w:val="single" w:color="auto" w:sz="4" w:space="0"/>
              <w:right w:val="single" w:color="auto" w:sz="4" w:space="0"/>
            </w:tcBorders>
            <w:vAlign w:val="center"/>
          </w:tcPr>
          <w:p w14:paraId="44C8CE40">
            <w:pPr>
              <w:pStyle w:val="71"/>
              <w:spacing w:before="24" w:after="24"/>
              <w:rPr>
                <w:rFonts w:cs="Times New Roman"/>
              </w:rPr>
            </w:pPr>
            <w:r>
              <w:rPr>
                <w:rFonts w:cs="Times New Roman"/>
              </w:rPr>
              <w:t>700</w:t>
            </w:r>
          </w:p>
        </w:tc>
      </w:tr>
      <w:tr w14:paraId="51FFB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2077" w:type="dxa"/>
            <w:vMerge w:val="continue"/>
            <w:tcBorders>
              <w:top w:val="nil"/>
              <w:left w:val="single" w:color="auto" w:sz="4" w:space="0"/>
              <w:bottom w:val="single" w:color="auto" w:sz="4" w:space="0"/>
              <w:right w:val="single" w:color="auto" w:sz="4" w:space="0"/>
            </w:tcBorders>
            <w:vAlign w:val="center"/>
          </w:tcPr>
          <w:p w14:paraId="3BDC8218">
            <w:pPr>
              <w:pStyle w:val="71"/>
              <w:spacing w:before="24" w:after="24"/>
              <w:rPr>
                <w:rFonts w:cs="Times New Roman"/>
              </w:rPr>
            </w:pPr>
          </w:p>
        </w:tc>
        <w:tc>
          <w:tcPr>
            <w:tcW w:w="1620" w:type="dxa"/>
            <w:tcBorders>
              <w:top w:val="single" w:color="auto" w:sz="4" w:space="0"/>
              <w:left w:val="single" w:color="auto" w:sz="4" w:space="0"/>
              <w:bottom w:val="single" w:color="auto" w:sz="4" w:space="0"/>
              <w:right w:val="single" w:color="auto" w:sz="4" w:space="0"/>
            </w:tcBorders>
            <w:vAlign w:val="center"/>
          </w:tcPr>
          <w:p w14:paraId="1577B600">
            <w:pPr>
              <w:pStyle w:val="71"/>
              <w:spacing w:before="24" w:after="24"/>
              <w:rPr>
                <w:rFonts w:cs="Times New Roman"/>
              </w:rPr>
            </w:pPr>
            <w:r>
              <w:rPr>
                <w:rFonts w:cs="Times New Roman"/>
              </w:rPr>
              <w:t>8</w:t>
            </w:r>
          </w:p>
        </w:tc>
        <w:tc>
          <w:tcPr>
            <w:tcW w:w="915" w:type="dxa"/>
            <w:tcBorders>
              <w:top w:val="single" w:color="auto" w:sz="4" w:space="0"/>
              <w:left w:val="single" w:color="auto" w:sz="4" w:space="0"/>
              <w:bottom w:val="single" w:color="auto" w:sz="4" w:space="0"/>
              <w:right w:val="single" w:color="auto" w:sz="4" w:space="0"/>
            </w:tcBorders>
            <w:vAlign w:val="center"/>
          </w:tcPr>
          <w:p w14:paraId="2C8DEB54">
            <w:pPr>
              <w:pStyle w:val="71"/>
              <w:spacing w:before="24" w:after="24"/>
              <w:rPr>
                <w:rFonts w:cs="Times New Roman"/>
              </w:rPr>
            </w:pPr>
            <w:r>
              <w:rPr>
                <w:rFonts w:cs="Times New Roman"/>
              </w:rPr>
              <w:t>300</w:t>
            </w:r>
          </w:p>
        </w:tc>
        <w:tc>
          <w:tcPr>
            <w:tcW w:w="915" w:type="dxa"/>
            <w:tcBorders>
              <w:top w:val="single" w:color="auto" w:sz="4" w:space="0"/>
              <w:left w:val="single" w:color="auto" w:sz="4" w:space="0"/>
              <w:bottom w:val="single" w:color="auto" w:sz="4" w:space="0"/>
              <w:right w:val="single" w:color="auto" w:sz="4" w:space="0"/>
            </w:tcBorders>
            <w:vAlign w:val="center"/>
          </w:tcPr>
          <w:p w14:paraId="5B89BA60">
            <w:pPr>
              <w:pStyle w:val="71"/>
              <w:spacing w:before="24" w:after="24"/>
              <w:rPr>
                <w:rFonts w:cs="Times New Roman"/>
              </w:rPr>
            </w:pPr>
            <w:r>
              <w:rPr>
                <w:rFonts w:cs="Times New Roman"/>
              </w:rPr>
              <w:t>400</w:t>
            </w:r>
          </w:p>
        </w:tc>
        <w:tc>
          <w:tcPr>
            <w:tcW w:w="915" w:type="dxa"/>
            <w:tcBorders>
              <w:top w:val="single" w:color="auto" w:sz="4" w:space="0"/>
              <w:left w:val="single" w:color="auto" w:sz="4" w:space="0"/>
              <w:bottom w:val="single" w:color="auto" w:sz="4" w:space="0"/>
              <w:right w:val="single" w:color="auto" w:sz="4" w:space="0"/>
            </w:tcBorders>
            <w:vAlign w:val="center"/>
          </w:tcPr>
          <w:p w14:paraId="4DBFCBF1">
            <w:pPr>
              <w:pStyle w:val="71"/>
              <w:spacing w:before="24" w:after="24"/>
              <w:rPr>
                <w:rFonts w:cs="Times New Roman"/>
              </w:rPr>
            </w:pPr>
            <w:r>
              <w:rPr>
                <w:rFonts w:cs="Times New Roman"/>
              </w:rPr>
              <w:t>500</w:t>
            </w:r>
          </w:p>
        </w:tc>
      </w:tr>
      <w:tr w14:paraId="3CB29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2077" w:type="dxa"/>
            <w:vMerge w:val="continue"/>
            <w:tcBorders>
              <w:top w:val="nil"/>
              <w:left w:val="single" w:color="auto" w:sz="4" w:space="0"/>
              <w:bottom w:val="single" w:color="auto" w:sz="4" w:space="0"/>
              <w:right w:val="single" w:color="auto" w:sz="4" w:space="0"/>
            </w:tcBorders>
            <w:vAlign w:val="center"/>
          </w:tcPr>
          <w:p w14:paraId="5A66A79A">
            <w:pPr>
              <w:pStyle w:val="71"/>
              <w:spacing w:before="24" w:after="24"/>
              <w:rPr>
                <w:rFonts w:cs="Times New Roman"/>
              </w:rPr>
            </w:pPr>
          </w:p>
        </w:tc>
        <w:tc>
          <w:tcPr>
            <w:tcW w:w="1620" w:type="dxa"/>
            <w:tcBorders>
              <w:top w:val="single" w:color="auto" w:sz="4" w:space="0"/>
              <w:left w:val="single" w:color="auto" w:sz="4" w:space="0"/>
              <w:bottom w:val="single" w:color="auto" w:sz="4" w:space="0"/>
              <w:right w:val="single" w:color="auto" w:sz="4" w:space="0"/>
            </w:tcBorders>
            <w:vAlign w:val="center"/>
          </w:tcPr>
          <w:p w14:paraId="2F38A5AC">
            <w:pPr>
              <w:pStyle w:val="71"/>
              <w:spacing w:before="24" w:after="24"/>
              <w:rPr>
                <w:rFonts w:cs="Times New Roman"/>
              </w:rPr>
            </w:pPr>
            <w:r>
              <w:rPr>
                <w:rFonts w:cs="Times New Roman"/>
              </w:rPr>
              <w:t>9</w:t>
            </w:r>
          </w:p>
        </w:tc>
        <w:tc>
          <w:tcPr>
            <w:tcW w:w="915" w:type="dxa"/>
            <w:tcBorders>
              <w:top w:val="single" w:color="auto" w:sz="4" w:space="0"/>
              <w:left w:val="single" w:color="auto" w:sz="4" w:space="0"/>
              <w:bottom w:val="single" w:color="auto" w:sz="4" w:space="0"/>
              <w:right w:val="single" w:color="auto" w:sz="4" w:space="0"/>
            </w:tcBorders>
            <w:vAlign w:val="center"/>
          </w:tcPr>
          <w:p w14:paraId="2B389273">
            <w:pPr>
              <w:pStyle w:val="71"/>
              <w:spacing w:before="24" w:after="24"/>
              <w:rPr>
                <w:rFonts w:cs="Times New Roman"/>
              </w:rPr>
            </w:pPr>
            <w:r>
              <w:rPr>
                <w:rFonts w:cs="Times New Roman"/>
              </w:rPr>
              <w:t>200</w:t>
            </w:r>
          </w:p>
        </w:tc>
        <w:tc>
          <w:tcPr>
            <w:tcW w:w="915" w:type="dxa"/>
            <w:tcBorders>
              <w:top w:val="single" w:color="auto" w:sz="4" w:space="0"/>
              <w:left w:val="single" w:color="auto" w:sz="4" w:space="0"/>
              <w:bottom w:val="single" w:color="auto" w:sz="4" w:space="0"/>
              <w:right w:val="single" w:color="auto" w:sz="4" w:space="0"/>
            </w:tcBorders>
            <w:vAlign w:val="center"/>
          </w:tcPr>
          <w:p w14:paraId="34570CE3">
            <w:pPr>
              <w:pStyle w:val="71"/>
              <w:spacing w:before="24" w:after="24"/>
              <w:rPr>
                <w:rFonts w:cs="Times New Roman"/>
              </w:rPr>
            </w:pPr>
            <w:r>
              <w:rPr>
                <w:rFonts w:cs="Times New Roman"/>
              </w:rPr>
              <w:t>300</w:t>
            </w:r>
          </w:p>
        </w:tc>
        <w:tc>
          <w:tcPr>
            <w:tcW w:w="915" w:type="dxa"/>
            <w:tcBorders>
              <w:top w:val="single" w:color="auto" w:sz="4" w:space="0"/>
              <w:left w:val="single" w:color="auto" w:sz="4" w:space="0"/>
              <w:bottom w:val="single" w:color="auto" w:sz="4" w:space="0"/>
              <w:right w:val="single" w:color="auto" w:sz="4" w:space="0"/>
            </w:tcBorders>
            <w:vAlign w:val="center"/>
          </w:tcPr>
          <w:p w14:paraId="0A962268">
            <w:pPr>
              <w:pStyle w:val="71"/>
              <w:spacing w:before="24" w:after="24"/>
              <w:rPr>
                <w:rFonts w:cs="Times New Roman"/>
              </w:rPr>
            </w:pPr>
            <w:r>
              <w:rPr>
                <w:rFonts w:cs="Times New Roman"/>
              </w:rPr>
              <w:t>350</w:t>
            </w:r>
          </w:p>
        </w:tc>
      </w:tr>
      <w:tr w14:paraId="342B0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2077" w:type="dxa"/>
            <w:vMerge w:val="continue"/>
            <w:tcBorders>
              <w:top w:val="nil"/>
              <w:left w:val="single" w:color="auto" w:sz="4" w:space="0"/>
              <w:bottom w:val="single" w:color="auto" w:sz="4" w:space="0"/>
              <w:right w:val="single" w:color="auto" w:sz="4" w:space="0"/>
            </w:tcBorders>
            <w:vAlign w:val="center"/>
          </w:tcPr>
          <w:p w14:paraId="2B47F6FF">
            <w:pPr>
              <w:pStyle w:val="71"/>
              <w:spacing w:before="24" w:after="24"/>
              <w:rPr>
                <w:rFonts w:cs="Times New Roman"/>
              </w:rPr>
            </w:pPr>
          </w:p>
        </w:tc>
        <w:tc>
          <w:tcPr>
            <w:tcW w:w="1620" w:type="dxa"/>
            <w:tcBorders>
              <w:top w:val="single" w:color="auto" w:sz="4" w:space="0"/>
              <w:left w:val="single" w:color="auto" w:sz="4" w:space="0"/>
              <w:bottom w:val="single" w:color="auto" w:sz="4" w:space="0"/>
              <w:right w:val="single" w:color="auto" w:sz="4" w:space="0"/>
            </w:tcBorders>
            <w:vAlign w:val="center"/>
          </w:tcPr>
          <w:p w14:paraId="02DB5E72">
            <w:pPr>
              <w:pStyle w:val="71"/>
              <w:spacing w:before="24" w:after="24"/>
              <w:rPr>
                <w:rFonts w:cs="Times New Roman"/>
              </w:rPr>
            </w:pPr>
            <w:r>
              <w:rPr>
                <w:rFonts w:cs="Times New Roman"/>
              </w:rPr>
              <w:t>10</w:t>
            </w:r>
          </w:p>
        </w:tc>
        <w:tc>
          <w:tcPr>
            <w:tcW w:w="915" w:type="dxa"/>
            <w:tcBorders>
              <w:top w:val="single" w:color="auto" w:sz="4" w:space="0"/>
              <w:left w:val="single" w:color="auto" w:sz="4" w:space="0"/>
              <w:bottom w:val="single" w:color="auto" w:sz="4" w:space="0"/>
              <w:right w:val="single" w:color="auto" w:sz="4" w:space="0"/>
            </w:tcBorders>
            <w:vAlign w:val="center"/>
          </w:tcPr>
          <w:p w14:paraId="34C2EBAB">
            <w:pPr>
              <w:pStyle w:val="71"/>
              <w:spacing w:before="24" w:after="24"/>
              <w:rPr>
                <w:rFonts w:cs="Times New Roman"/>
              </w:rPr>
            </w:pPr>
            <w:r>
              <w:rPr>
                <w:rFonts w:cs="Times New Roman"/>
              </w:rPr>
              <w:t>150</w:t>
            </w:r>
          </w:p>
        </w:tc>
        <w:tc>
          <w:tcPr>
            <w:tcW w:w="915" w:type="dxa"/>
            <w:tcBorders>
              <w:top w:val="single" w:color="auto" w:sz="4" w:space="0"/>
              <w:left w:val="single" w:color="auto" w:sz="4" w:space="0"/>
              <w:bottom w:val="single" w:color="auto" w:sz="4" w:space="0"/>
              <w:right w:val="single" w:color="auto" w:sz="4" w:space="0"/>
            </w:tcBorders>
            <w:vAlign w:val="center"/>
          </w:tcPr>
          <w:p w14:paraId="34D7D810">
            <w:pPr>
              <w:pStyle w:val="71"/>
              <w:spacing w:before="24" w:after="24"/>
              <w:rPr>
                <w:rFonts w:cs="Times New Roman"/>
              </w:rPr>
            </w:pPr>
            <w:r>
              <w:rPr>
                <w:rFonts w:cs="Times New Roman"/>
              </w:rPr>
              <w:t>200</w:t>
            </w:r>
          </w:p>
        </w:tc>
        <w:tc>
          <w:tcPr>
            <w:tcW w:w="915" w:type="dxa"/>
            <w:tcBorders>
              <w:top w:val="single" w:color="auto" w:sz="4" w:space="0"/>
              <w:left w:val="single" w:color="auto" w:sz="4" w:space="0"/>
              <w:bottom w:val="single" w:color="auto" w:sz="4" w:space="0"/>
              <w:right w:val="single" w:color="auto" w:sz="4" w:space="0"/>
            </w:tcBorders>
            <w:vAlign w:val="center"/>
          </w:tcPr>
          <w:p w14:paraId="5788BF98">
            <w:pPr>
              <w:pStyle w:val="71"/>
              <w:spacing w:before="24" w:after="24"/>
              <w:rPr>
                <w:rFonts w:cs="Times New Roman"/>
              </w:rPr>
            </w:pPr>
            <w:r>
              <w:rPr>
                <w:rFonts w:cs="Times New Roman"/>
              </w:rPr>
              <w:t>250</w:t>
            </w:r>
          </w:p>
        </w:tc>
      </w:tr>
      <w:tr w14:paraId="54B06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2077" w:type="dxa"/>
            <w:vMerge w:val="continue"/>
            <w:tcBorders>
              <w:top w:val="nil"/>
              <w:left w:val="single" w:color="auto" w:sz="4" w:space="0"/>
              <w:bottom w:val="single" w:color="auto" w:sz="4" w:space="0"/>
              <w:right w:val="single" w:color="auto" w:sz="4" w:space="0"/>
            </w:tcBorders>
            <w:vAlign w:val="center"/>
          </w:tcPr>
          <w:p w14:paraId="7183E267">
            <w:pPr>
              <w:pStyle w:val="71"/>
              <w:spacing w:before="24" w:after="24"/>
              <w:rPr>
                <w:rFonts w:cs="Times New Roman"/>
              </w:rPr>
            </w:pPr>
          </w:p>
        </w:tc>
        <w:tc>
          <w:tcPr>
            <w:tcW w:w="1620" w:type="dxa"/>
            <w:tcBorders>
              <w:top w:val="single" w:color="auto" w:sz="4" w:space="0"/>
              <w:left w:val="single" w:color="auto" w:sz="4" w:space="0"/>
              <w:bottom w:val="single" w:color="auto" w:sz="4" w:space="0"/>
              <w:right w:val="single" w:color="auto" w:sz="4" w:space="0"/>
            </w:tcBorders>
            <w:vAlign w:val="center"/>
          </w:tcPr>
          <w:p w14:paraId="6B917F5A">
            <w:pPr>
              <w:pStyle w:val="71"/>
              <w:spacing w:before="24" w:after="24"/>
              <w:rPr>
                <w:rFonts w:cs="Times New Roman"/>
              </w:rPr>
            </w:pPr>
            <w:r>
              <w:rPr>
                <w:rFonts w:cs="Times New Roman"/>
              </w:rPr>
              <w:t>11</w:t>
            </w:r>
          </w:p>
        </w:tc>
        <w:tc>
          <w:tcPr>
            <w:tcW w:w="915" w:type="dxa"/>
            <w:tcBorders>
              <w:top w:val="single" w:color="auto" w:sz="4" w:space="0"/>
              <w:left w:val="single" w:color="auto" w:sz="4" w:space="0"/>
              <w:bottom w:val="single" w:color="auto" w:sz="4" w:space="0"/>
              <w:right w:val="single" w:color="auto" w:sz="4" w:space="0"/>
            </w:tcBorders>
            <w:vAlign w:val="center"/>
          </w:tcPr>
          <w:p w14:paraId="47CF9C4D">
            <w:pPr>
              <w:pStyle w:val="71"/>
              <w:spacing w:before="24" w:after="24"/>
              <w:rPr>
                <w:rFonts w:cs="Times New Roman"/>
              </w:rPr>
            </w:pPr>
          </w:p>
        </w:tc>
        <w:tc>
          <w:tcPr>
            <w:tcW w:w="915" w:type="dxa"/>
            <w:tcBorders>
              <w:top w:val="single" w:color="auto" w:sz="4" w:space="0"/>
              <w:left w:val="single" w:color="auto" w:sz="4" w:space="0"/>
              <w:bottom w:val="single" w:color="auto" w:sz="4" w:space="0"/>
              <w:right w:val="single" w:color="auto" w:sz="4" w:space="0"/>
            </w:tcBorders>
            <w:vAlign w:val="center"/>
          </w:tcPr>
          <w:p w14:paraId="02AC1283">
            <w:pPr>
              <w:pStyle w:val="71"/>
              <w:spacing w:before="24" w:after="24"/>
              <w:rPr>
                <w:rFonts w:cs="Times New Roman"/>
              </w:rPr>
            </w:pPr>
            <w:r>
              <w:rPr>
                <w:rFonts w:cs="Times New Roman"/>
              </w:rPr>
              <w:t>150</w:t>
            </w:r>
          </w:p>
        </w:tc>
        <w:tc>
          <w:tcPr>
            <w:tcW w:w="915" w:type="dxa"/>
            <w:tcBorders>
              <w:top w:val="single" w:color="auto" w:sz="4" w:space="0"/>
              <w:left w:val="single" w:color="auto" w:sz="4" w:space="0"/>
              <w:bottom w:val="single" w:color="auto" w:sz="4" w:space="0"/>
              <w:right w:val="single" w:color="auto" w:sz="4" w:space="0"/>
            </w:tcBorders>
            <w:vAlign w:val="center"/>
          </w:tcPr>
          <w:p w14:paraId="1E4EEB95">
            <w:pPr>
              <w:pStyle w:val="71"/>
              <w:spacing w:before="24" w:after="24"/>
              <w:rPr>
                <w:rFonts w:cs="Times New Roman"/>
              </w:rPr>
            </w:pPr>
            <w:r>
              <w:rPr>
                <w:rFonts w:cs="Times New Roman"/>
              </w:rPr>
              <w:t>200</w:t>
            </w:r>
          </w:p>
        </w:tc>
      </w:tr>
      <w:tr w14:paraId="389AC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2077" w:type="dxa"/>
            <w:vMerge w:val="continue"/>
            <w:tcBorders>
              <w:top w:val="nil"/>
              <w:left w:val="single" w:color="auto" w:sz="4" w:space="0"/>
              <w:bottom w:val="single" w:color="auto" w:sz="4" w:space="0"/>
              <w:right w:val="single" w:color="auto" w:sz="4" w:space="0"/>
            </w:tcBorders>
            <w:vAlign w:val="center"/>
          </w:tcPr>
          <w:p w14:paraId="0F0F68F8">
            <w:pPr>
              <w:pStyle w:val="71"/>
              <w:spacing w:before="24" w:after="24"/>
              <w:rPr>
                <w:rFonts w:cs="Times New Roman"/>
              </w:rPr>
            </w:pPr>
          </w:p>
        </w:tc>
        <w:tc>
          <w:tcPr>
            <w:tcW w:w="1620" w:type="dxa"/>
            <w:tcBorders>
              <w:top w:val="single" w:color="auto" w:sz="4" w:space="0"/>
              <w:left w:val="single" w:color="auto" w:sz="4" w:space="0"/>
              <w:bottom w:val="single" w:color="auto" w:sz="4" w:space="0"/>
              <w:right w:val="single" w:color="auto" w:sz="4" w:space="0"/>
            </w:tcBorders>
            <w:vAlign w:val="center"/>
          </w:tcPr>
          <w:p w14:paraId="5D3AA917">
            <w:pPr>
              <w:pStyle w:val="71"/>
              <w:spacing w:before="24" w:after="24"/>
              <w:rPr>
                <w:rFonts w:cs="Times New Roman"/>
              </w:rPr>
            </w:pPr>
            <w:r>
              <w:rPr>
                <w:rFonts w:cs="Times New Roman"/>
              </w:rPr>
              <w:t>12</w:t>
            </w:r>
          </w:p>
        </w:tc>
        <w:tc>
          <w:tcPr>
            <w:tcW w:w="915" w:type="dxa"/>
            <w:tcBorders>
              <w:top w:val="single" w:color="auto" w:sz="4" w:space="0"/>
              <w:left w:val="single" w:color="auto" w:sz="4" w:space="0"/>
              <w:bottom w:val="single" w:color="auto" w:sz="4" w:space="0"/>
              <w:right w:val="single" w:color="auto" w:sz="4" w:space="0"/>
            </w:tcBorders>
            <w:vAlign w:val="center"/>
          </w:tcPr>
          <w:p w14:paraId="2E75BDA2">
            <w:pPr>
              <w:pStyle w:val="71"/>
              <w:spacing w:before="24" w:after="24"/>
              <w:rPr>
                <w:rFonts w:cs="Times New Roman"/>
              </w:rPr>
            </w:pPr>
          </w:p>
        </w:tc>
        <w:tc>
          <w:tcPr>
            <w:tcW w:w="915" w:type="dxa"/>
            <w:tcBorders>
              <w:top w:val="single" w:color="auto" w:sz="4" w:space="0"/>
              <w:left w:val="single" w:color="auto" w:sz="4" w:space="0"/>
              <w:bottom w:val="single" w:color="auto" w:sz="4" w:space="0"/>
              <w:right w:val="single" w:color="auto" w:sz="4" w:space="0"/>
            </w:tcBorders>
            <w:vAlign w:val="center"/>
          </w:tcPr>
          <w:p w14:paraId="75F8C75D">
            <w:pPr>
              <w:pStyle w:val="71"/>
              <w:spacing w:before="24" w:after="24"/>
              <w:rPr>
                <w:rFonts w:cs="Times New Roman"/>
              </w:rPr>
            </w:pPr>
            <w:r>
              <w:rPr>
                <w:rFonts w:cs="Times New Roman"/>
              </w:rPr>
              <w:t>100</w:t>
            </w:r>
          </w:p>
        </w:tc>
        <w:tc>
          <w:tcPr>
            <w:tcW w:w="915" w:type="dxa"/>
            <w:tcBorders>
              <w:top w:val="single" w:color="auto" w:sz="4" w:space="0"/>
              <w:left w:val="single" w:color="auto" w:sz="4" w:space="0"/>
              <w:bottom w:val="single" w:color="auto" w:sz="4" w:space="0"/>
              <w:right w:val="single" w:color="auto" w:sz="4" w:space="0"/>
            </w:tcBorders>
            <w:vAlign w:val="center"/>
          </w:tcPr>
          <w:p w14:paraId="640540FB">
            <w:pPr>
              <w:pStyle w:val="71"/>
              <w:spacing w:before="24" w:after="24"/>
              <w:rPr>
                <w:rFonts w:cs="Times New Roman"/>
              </w:rPr>
            </w:pPr>
            <w:r>
              <w:rPr>
                <w:rFonts w:cs="Times New Roman"/>
              </w:rPr>
              <w:t>150</w:t>
            </w:r>
          </w:p>
        </w:tc>
      </w:tr>
    </w:tbl>
    <w:p w14:paraId="24439DA5">
      <w:pPr>
        <w:pStyle w:val="54"/>
        <w:spacing w:before="24" w:after="24"/>
      </w:pPr>
      <w:r>
        <w:t>5.竖曲线最小半径及长度</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1"/>
        <w:gridCol w:w="1260"/>
        <w:gridCol w:w="915"/>
        <w:gridCol w:w="915"/>
        <w:gridCol w:w="915"/>
      </w:tblGrid>
      <w:tr w14:paraId="1F0CE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41" w:type="dxa"/>
            <w:gridSpan w:val="2"/>
            <w:tcBorders>
              <w:top w:val="single" w:color="auto" w:sz="4" w:space="0"/>
              <w:left w:val="single" w:color="auto" w:sz="4" w:space="0"/>
              <w:bottom w:val="single" w:color="auto" w:sz="4" w:space="0"/>
              <w:right w:val="single" w:color="auto" w:sz="4" w:space="0"/>
            </w:tcBorders>
            <w:vAlign w:val="center"/>
          </w:tcPr>
          <w:p w14:paraId="510384A7">
            <w:pPr>
              <w:pStyle w:val="71"/>
              <w:spacing w:before="24" w:after="24"/>
              <w:rPr>
                <w:rFonts w:cs="Times New Roman"/>
              </w:rPr>
            </w:pPr>
            <w:r>
              <w:rPr>
                <w:rFonts w:cs="Times New Roman"/>
              </w:rPr>
              <w:t>设计速度（Km/h）</w:t>
            </w:r>
          </w:p>
        </w:tc>
        <w:tc>
          <w:tcPr>
            <w:tcW w:w="915" w:type="dxa"/>
            <w:tcBorders>
              <w:top w:val="single" w:color="auto" w:sz="4" w:space="0"/>
              <w:left w:val="single" w:color="auto" w:sz="4" w:space="0"/>
              <w:bottom w:val="single" w:color="auto" w:sz="4" w:space="0"/>
              <w:right w:val="single" w:color="auto" w:sz="4" w:space="0"/>
            </w:tcBorders>
            <w:vAlign w:val="center"/>
          </w:tcPr>
          <w:p w14:paraId="0F04DFF9">
            <w:pPr>
              <w:pStyle w:val="71"/>
              <w:spacing w:before="24" w:after="24"/>
              <w:rPr>
                <w:rFonts w:cs="Times New Roman"/>
              </w:rPr>
            </w:pPr>
            <w:r>
              <w:rPr>
                <w:rFonts w:cs="Times New Roman"/>
              </w:rPr>
              <w:t>30</w:t>
            </w:r>
          </w:p>
        </w:tc>
        <w:tc>
          <w:tcPr>
            <w:tcW w:w="915" w:type="dxa"/>
            <w:tcBorders>
              <w:top w:val="single" w:color="auto" w:sz="4" w:space="0"/>
              <w:left w:val="single" w:color="auto" w:sz="4" w:space="0"/>
              <w:bottom w:val="single" w:color="auto" w:sz="4" w:space="0"/>
              <w:right w:val="single" w:color="auto" w:sz="4" w:space="0"/>
            </w:tcBorders>
            <w:vAlign w:val="center"/>
          </w:tcPr>
          <w:p w14:paraId="49111D1C">
            <w:pPr>
              <w:pStyle w:val="71"/>
              <w:spacing w:before="24" w:after="24"/>
              <w:rPr>
                <w:rFonts w:cs="Times New Roman"/>
              </w:rPr>
            </w:pPr>
            <w:r>
              <w:rPr>
                <w:rFonts w:cs="Times New Roman"/>
              </w:rPr>
              <w:t>20</w:t>
            </w:r>
          </w:p>
        </w:tc>
        <w:tc>
          <w:tcPr>
            <w:tcW w:w="915" w:type="dxa"/>
            <w:tcBorders>
              <w:top w:val="single" w:color="auto" w:sz="4" w:space="0"/>
              <w:left w:val="single" w:color="auto" w:sz="4" w:space="0"/>
              <w:bottom w:val="single" w:color="auto" w:sz="4" w:space="0"/>
              <w:right w:val="single" w:color="auto" w:sz="4" w:space="0"/>
            </w:tcBorders>
            <w:vAlign w:val="center"/>
          </w:tcPr>
          <w:p w14:paraId="3096AA38">
            <w:pPr>
              <w:pStyle w:val="71"/>
              <w:spacing w:before="24" w:after="24"/>
              <w:rPr>
                <w:rFonts w:cs="Times New Roman"/>
              </w:rPr>
            </w:pPr>
            <w:r>
              <w:rPr>
                <w:rFonts w:cs="Times New Roman"/>
              </w:rPr>
              <w:t>15</w:t>
            </w:r>
          </w:p>
        </w:tc>
      </w:tr>
      <w:tr w14:paraId="24362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2281" w:type="dxa"/>
            <w:vMerge w:val="restart"/>
            <w:tcBorders>
              <w:top w:val="nil"/>
              <w:left w:val="single" w:color="auto" w:sz="4" w:space="0"/>
              <w:bottom w:val="single" w:color="auto" w:sz="4" w:space="0"/>
              <w:right w:val="single" w:color="auto" w:sz="4" w:space="0"/>
            </w:tcBorders>
            <w:vAlign w:val="center"/>
          </w:tcPr>
          <w:p w14:paraId="4C26D249">
            <w:pPr>
              <w:pStyle w:val="71"/>
              <w:spacing w:before="24" w:after="24"/>
              <w:rPr>
                <w:rFonts w:cs="Times New Roman"/>
              </w:rPr>
            </w:pPr>
            <w:r>
              <w:rPr>
                <w:rFonts w:cs="Times New Roman"/>
              </w:rPr>
              <w:t>凸形</w:t>
            </w:r>
          </w:p>
          <w:p w14:paraId="085E260C">
            <w:pPr>
              <w:pStyle w:val="71"/>
              <w:spacing w:before="24" w:after="24"/>
              <w:rPr>
                <w:rFonts w:cs="Times New Roman"/>
              </w:rPr>
            </w:pPr>
            <w:r>
              <w:rPr>
                <w:rFonts w:cs="Times New Roman"/>
              </w:rPr>
              <w:t>竖曲线半径（m）</w:t>
            </w:r>
          </w:p>
        </w:tc>
        <w:tc>
          <w:tcPr>
            <w:tcW w:w="1260" w:type="dxa"/>
            <w:tcBorders>
              <w:top w:val="single" w:color="auto" w:sz="4" w:space="0"/>
              <w:left w:val="single" w:color="auto" w:sz="4" w:space="0"/>
              <w:bottom w:val="single" w:color="auto" w:sz="4" w:space="0"/>
              <w:right w:val="single" w:color="auto" w:sz="4" w:space="0"/>
            </w:tcBorders>
            <w:vAlign w:val="center"/>
          </w:tcPr>
          <w:p w14:paraId="1EE64093">
            <w:pPr>
              <w:pStyle w:val="71"/>
              <w:spacing w:before="24" w:after="24"/>
              <w:rPr>
                <w:rFonts w:cs="Times New Roman"/>
              </w:rPr>
            </w:pPr>
            <w:r>
              <w:rPr>
                <w:rFonts w:cs="Times New Roman"/>
              </w:rPr>
              <w:t>一般值</w:t>
            </w:r>
          </w:p>
        </w:tc>
        <w:tc>
          <w:tcPr>
            <w:tcW w:w="915" w:type="dxa"/>
            <w:tcBorders>
              <w:top w:val="single" w:color="auto" w:sz="4" w:space="0"/>
              <w:left w:val="single" w:color="auto" w:sz="4" w:space="0"/>
              <w:bottom w:val="single" w:color="auto" w:sz="4" w:space="0"/>
              <w:right w:val="single" w:color="auto" w:sz="4" w:space="0"/>
            </w:tcBorders>
            <w:vAlign w:val="center"/>
          </w:tcPr>
          <w:p w14:paraId="0248134F">
            <w:pPr>
              <w:pStyle w:val="71"/>
              <w:spacing w:before="24" w:after="24"/>
              <w:rPr>
                <w:rFonts w:cs="Times New Roman"/>
              </w:rPr>
            </w:pPr>
            <w:r>
              <w:rPr>
                <w:rFonts w:cs="Times New Roman"/>
              </w:rPr>
              <w:t>400</w:t>
            </w:r>
          </w:p>
        </w:tc>
        <w:tc>
          <w:tcPr>
            <w:tcW w:w="915" w:type="dxa"/>
            <w:tcBorders>
              <w:top w:val="single" w:color="auto" w:sz="4" w:space="0"/>
              <w:left w:val="single" w:color="auto" w:sz="4" w:space="0"/>
              <w:bottom w:val="single" w:color="auto" w:sz="4" w:space="0"/>
              <w:right w:val="single" w:color="auto" w:sz="4" w:space="0"/>
            </w:tcBorders>
            <w:vAlign w:val="center"/>
          </w:tcPr>
          <w:p w14:paraId="22197141">
            <w:pPr>
              <w:pStyle w:val="71"/>
              <w:spacing w:before="24" w:after="24"/>
              <w:rPr>
                <w:rFonts w:cs="Times New Roman"/>
              </w:rPr>
            </w:pPr>
            <w:r>
              <w:rPr>
                <w:rFonts w:cs="Times New Roman"/>
              </w:rPr>
              <w:t>150</w:t>
            </w:r>
          </w:p>
        </w:tc>
        <w:tc>
          <w:tcPr>
            <w:tcW w:w="915" w:type="dxa"/>
            <w:tcBorders>
              <w:top w:val="single" w:color="auto" w:sz="4" w:space="0"/>
              <w:left w:val="single" w:color="auto" w:sz="4" w:space="0"/>
              <w:bottom w:val="single" w:color="auto" w:sz="4" w:space="0"/>
              <w:right w:val="single" w:color="auto" w:sz="4" w:space="0"/>
            </w:tcBorders>
            <w:vAlign w:val="center"/>
          </w:tcPr>
          <w:p w14:paraId="451A7CE4">
            <w:pPr>
              <w:pStyle w:val="71"/>
              <w:spacing w:before="24" w:after="24"/>
              <w:rPr>
                <w:rFonts w:cs="Times New Roman"/>
              </w:rPr>
            </w:pPr>
            <w:r>
              <w:rPr>
                <w:rFonts w:cs="Times New Roman"/>
              </w:rPr>
              <w:t>120</w:t>
            </w:r>
          </w:p>
        </w:tc>
      </w:tr>
      <w:tr w14:paraId="31FA1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2281" w:type="dxa"/>
            <w:vMerge w:val="continue"/>
            <w:tcBorders>
              <w:top w:val="nil"/>
              <w:left w:val="single" w:color="auto" w:sz="4" w:space="0"/>
              <w:bottom w:val="single" w:color="auto" w:sz="4" w:space="0"/>
              <w:right w:val="single" w:color="auto" w:sz="4" w:space="0"/>
            </w:tcBorders>
            <w:vAlign w:val="center"/>
          </w:tcPr>
          <w:p w14:paraId="4BED61FA">
            <w:pPr>
              <w:pStyle w:val="71"/>
              <w:spacing w:before="24" w:after="24"/>
              <w:rPr>
                <w:rFonts w:cs="Times New Roman"/>
              </w:rPr>
            </w:pPr>
          </w:p>
        </w:tc>
        <w:tc>
          <w:tcPr>
            <w:tcW w:w="1260" w:type="dxa"/>
            <w:tcBorders>
              <w:top w:val="single" w:color="auto" w:sz="4" w:space="0"/>
              <w:left w:val="single" w:color="auto" w:sz="4" w:space="0"/>
              <w:bottom w:val="single" w:color="auto" w:sz="4" w:space="0"/>
              <w:right w:val="single" w:color="auto" w:sz="4" w:space="0"/>
            </w:tcBorders>
            <w:vAlign w:val="center"/>
          </w:tcPr>
          <w:p w14:paraId="6CD4A33C">
            <w:pPr>
              <w:pStyle w:val="71"/>
              <w:spacing w:before="24" w:after="24"/>
              <w:rPr>
                <w:rFonts w:cs="Times New Roman"/>
              </w:rPr>
            </w:pPr>
            <w:r>
              <w:rPr>
                <w:rFonts w:cs="Times New Roman"/>
              </w:rPr>
              <w:t>极限值</w:t>
            </w:r>
          </w:p>
        </w:tc>
        <w:tc>
          <w:tcPr>
            <w:tcW w:w="915" w:type="dxa"/>
            <w:tcBorders>
              <w:top w:val="single" w:color="auto" w:sz="4" w:space="0"/>
              <w:left w:val="single" w:color="auto" w:sz="4" w:space="0"/>
              <w:bottom w:val="single" w:color="auto" w:sz="4" w:space="0"/>
              <w:right w:val="single" w:color="auto" w:sz="4" w:space="0"/>
            </w:tcBorders>
            <w:vAlign w:val="center"/>
          </w:tcPr>
          <w:p w14:paraId="348738D2">
            <w:pPr>
              <w:pStyle w:val="71"/>
              <w:spacing w:before="24" w:after="24"/>
              <w:rPr>
                <w:rFonts w:cs="Times New Roman"/>
              </w:rPr>
            </w:pPr>
            <w:r>
              <w:rPr>
                <w:rFonts w:cs="Times New Roman"/>
              </w:rPr>
              <w:t>250</w:t>
            </w:r>
          </w:p>
        </w:tc>
        <w:tc>
          <w:tcPr>
            <w:tcW w:w="915" w:type="dxa"/>
            <w:tcBorders>
              <w:top w:val="single" w:color="auto" w:sz="4" w:space="0"/>
              <w:left w:val="single" w:color="auto" w:sz="4" w:space="0"/>
              <w:bottom w:val="single" w:color="auto" w:sz="4" w:space="0"/>
              <w:right w:val="single" w:color="auto" w:sz="4" w:space="0"/>
            </w:tcBorders>
            <w:vAlign w:val="center"/>
          </w:tcPr>
          <w:p w14:paraId="429BAC3A">
            <w:pPr>
              <w:pStyle w:val="71"/>
              <w:spacing w:before="24" w:after="24"/>
              <w:rPr>
                <w:rFonts w:cs="Times New Roman"/>
              </w:rPr>
            </w:pPr>
            <w:r>
              <w:rPr>
                <w:rFonts w:cs="Times New Roman"/>
              </w:rPr>
              <w:t>100</w:t>
            </w:r>
          </w:p>
        </w:tc>
        <w:tc>
          <w:tcPr>
            <w:tcW w:w="915" w:type="dxa"/>
            <w:tcBorders>
              <w:top w:val="single" w:color="auto" w:sz="4" w:space="0"/>
              <w:left w:val="single" w:color="auto" w:sz="4" w:space="0"/>
              <w:bottom w:val="single" w:color="auto" w:sz="4" w:space="0"/>
              <w:right w:val="single" w:color="auto" w:sz="4" w:space="0"/>
            </w:tcBorders>
            <w:vAlign w:val="center"/>
          </w:tcPr>
          <w:p w14:paraId="692B0209">
            <w:pPr>
              <w:pStyle w:val="71"/>
              <w:spacing w:before="24" w:after="24"/>
              <w:rPr>
                <w:rFonts w:cs="Times New Roman"/>
              </w:rPr>
            </w:pPr>
            <w:r>
              <w:rPr>
                <w:rFonts w:cs="Times New Roman"/>
              </w:rPr>
              <w:t>80</w:t>
            </w:r>
          </w:p>
        </w:tc>
      </w:tr>
      <w:tr w14:paraId="4E595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2281" w:type="dxa"/>
            <w:vMerge w:val="restart"/>
            <w:tcBorders>
              <w:top w:val="nil"/>
              <w:left w:val="single" w:color="auto" w:sz="4" w:space="0"/>
              <w:bottom w:val="single" w:color="auto" w:sz="4" w:space="0"/>
              <w:right w:val="single" w:color="auto" w:sz="4" w:space="0"/>
            </w:tcBorders>
            <w:vAlign w:val="center"/>
          </w:tcPr>
          <w:p w14:paraId="61AD1BEC">
            <w:pPr>
              <w:pStyle w:val="71"/>
              <w:spacing w:before="24" w:after="24"/>
              <w:rPr>
                <w:rFonts w:cs="Times New Roman"/>
              </w:rPr>
            </w:pPr>
            <w:r>
              <w:rPr>
                <w:rFonts w:cs="Times New Roman"/>
              </w:rPr>
              <w:t>凹形</w:t>
            </w:r>
          </w:p>
          <w:p w14:paraId="491508F9">
            <w:pPr>
              <w:pStyle w:val="71"/>
              <w:spacing w:before="24" w:after="24"/>
              <w:rPr>
                <w:rFonts w:cs="Times New Roman"/>
              </w:rPr>
            </w:pPr>
            <w:r>
              <w:rPr>
                <w:rFonts w:cs="Times New Roman"/>
              </w:rPr>
              <w:t>竖曲线半径（m）</w:t>
            </w:r>
          </w:p>
        </w:tc>
        <w:tc>
          <w:tcPr>
            <w:tcW w:w="1260" w:type="dxa"/>
            <w:tcBorders>
              <w:top w:val="single" w:color="auto" w:sz="4" w:space="0"/>
              <w:left w:val="single" w:color="auto" w:sz="4" w:space="0"/>
              <w:bottom w:val="single" w:color="auto" w:sz="4" w:space="0"/>
              <w:right w:val="single" w:color="auto" w:sz="4" w:space="0"/>
            </w:tcBorders>
            <w:vAlign w:val="center"/>
          </w:tcPr>
          <w:p w14:paraId="470602F0">
            <w:pPr>
              <w:pStyle w:val="71"/>
              <w:spacing w:before="24" w:after="24"/>
              <w:rPr>
                <w:rFonts w:cs="Times New Roman"/>
              </w:rPr>
            </w:pPr>
            <w:r>
              <w:rPr>
                <w:rFonts w:cs="Times New Roman"/>
              </w:rPr>
              <w:t>一般值</w:t>
            </w:r>
          </w:p>
        </w:tc>
        <w:tc>
          <w:tcPr>
            <w:tcW w:w="915" w:type="dxa"/>
            <w:tcBorders>
              <w:top w:val="single" w:color="auto" w:sz="4" w:space="0"/>
              <w:left w:val="single" w:color="auto" w:sz="4" w:space="0"/>
              <w:bottom w:val="single" w:color="auto" w:sz="4" w:space="0"/>
              <w:right w:val="single" w:color="auto" w:sz="4" w:space="0"/>
            </w:tcBorders>
            <w:vAlign w:val="center"/>
          </w:tcPr>
          <w:p w14:paraId="4CAB79CB">
            <w:pPr>
              <w:pStyle w:val="71"/>
              <w:spacing w:before="24" w:after="24"/>
              <w:rPr>
                <w:rFonts w:cs="Times New Roman"/>
              </w:rPr>
            </w:pPr>
            <w:r>
              <w:rPr>
                <w:rFonts w:cs="Times New Roman"/>
              </w:rPr>
              <w:t>400</w:t>
            </w:r>
          </w:p>
        </w:tc>
        <w:tc>
          <w:tcPr>
            <w:tcW w:w="915" w:type="dxa"/>
            <w:tcBorders>
              <w:top w:val="single" w:color="auto" w:sz="4" w:space="0"/>
              <w:left w:val="single" w:color="auto" w:sz="4" w:space="0"/>
              <w:bottom w:val="single" w:color="auto" w:sz="4" w:space="0"/>
              <w:right w:val="single" w:color="auto" w:sz="4" w:space="0"/>
            </w:tcBorders>
            <w:vAlign w:val="center"/>
          </w:tcPr>
          <w:p w14:paraId="696C3AF5">
            <w:pPr>
              <w:pStyle w:val="71"/>
              <w:spacing w:before="24" w:after="24"/>
              <w:rPr>
                <w:rFonts w:cs="Times New Roman"/>
              </w:rPr>
            </w:pPr>
            <w:r>
              <w:rPr>
                <w:rFonts w:cs="Times New Roman"/>
              </w:rPr>
              <w:t>150</w:t>
            </w:r>
          </w:p>
        </w:tc>
        <w:tc>
          <w:tcPr>
            <w:tcW w:w="915" w:type="dxa"/>
            <w:tcBorders>
              <w:top w:val="single" w:color="auto" w:sz="4" w:space="0"/>
              <w:left w:val="single" w:color="auto" w:sz="4" w:space="0"/>
              <w:bottom w:val="single" w:color="auto" w:sz="4" w:space="0"/>
              <w:right w:val="single" w:color="auto" w:sz="4" w:space="0"/>
            </w:tcBorders>
            <w:vAlign w:val="center"/>
          </w:tcPr>
          <w:p w14:paraId="781EBD84">
            <w:pPr>
              <w:pStyle w:val="71"/>
              <w:spacing w:before="24" w:after="24"/>
              <w:rPr>
                <w:rFonts w:cs="Times New Roman"/>
              </w:rPr>
            </w:pPr>
            <w:r>
              <w:rPr>
                <w:rFonts w:cs="Times New Roman"/>
              </w:rPr>
              <w:t>120</w:t>
            </w:r>
          </w:p>
        </w:tc>
      </w:tr>
      <w:tr w14:paraId="1F4D2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2281" w:type="dxa"/>
            <w:vMerge w:val="continue"/>
            <w:tcBorders>
              <w:top w:val="nil"/>
              <w:left w:val="single" w:color="auto" w:sz="4" w:space="0"/>
              <w:bottom w:val="single" w:color="auto" w:sz="4" w:space="0"/>
              <w:right w:val="single" w:color="auto" w:sz="4" w:space="0"/>
            </w:tcBorders>
            <w:vAlign w:val="center"/>
          </w:tcPr>
          <w:p w14:paraId="552F21B1">
            <w:pPr>
              <w:pStyle w:val="71"/>
              <w:spacing w:before="24" w:after="24"/>
              <w:rPr>
                <w:rFonts w:cs="Times New Roman"/>
              </w:rPr>
            </w:pPr>
          </w:p>
        </w:tc>
        <w:tc>
          <w:tcPr>
            <w:tcW w:w="1260" w:type="dxa"/>
            <w:tcBorders>
              <w:top w:val="single" w:color="auto" w:sz="4" w:space="0"/>
              <w:left w:val="single" w:color="auto" w:sz="4" w:space="0"/>
              <w:bottom w:val="single" w:color="auto" w:sz="4" w:space="0"/>
              <w:right w:val="single" w:color="auto" w:sz="4" w:space="0"/>
            </w:tcBorders>
            <w:vAlign w:val="center"/>
          </w:tcPr>
          <w:p w14:paraId="0C2C71C0">
            <w:pPr>
              <w:pStyle w:val="71"/>
              <w:spacing w:before="24" w:after="24"/>
              <w:rPr>
                <w:rFonts w:cs="Times New Roman"/>
              </w:rPr>
            </w:pPr>
            <w:r>
              <w:rPr>
                <w:rFonts w:cs="Times New Roman"/>
              </w:rPr>
              <w:t>极限值</w:t>
            </w:r>
          </w:p>
        </w:tc>
        <w:tc>
          <w:tcPr>
            <w:tcW w:w="915" w:type="dxa"/>
            <w:tcBorders>
              <w:top w:val="single" w:color="auto" w:sz="4" w:space="0"/>
              <w:left w:val="single" w:color="auto" w:sz="4" w:space="0"/>
              <w:bottom w:val="single" w:color="auto" w:sz="4" w:space="0"/>
              <w:right w:val="single" w:color="auto" w:sz="4" w:space="0"/>
            </w:tcBorders>
            <w:vAlign w:val="center"/>
          </w:tcPr>
          <w:p w14:paraId="20147C30">
            <w:pPr>
              <w:pStyle w:val="71"/>
              <w:spacing w:before="24" w:after="24"/>
              <w:rPr>
                <w:rFonts w:cs="Times New Roman"/>
              </w:rPr>
            </w:pPr>
            <w:r>
              <w:rPr>
                <w:rFonts w:cs="Times New Roman"/>
              </w:rPr>
              <w:t>250</w:t>
            </w:r>
          </w:p>
        </w:tc>
        <w:tc>
          <w:tcPr>
            <w:tcW w:w="915" w:type="dxa"/>
            <w:tcBorders>
              <w:top w:val="single" w:color="auto" w:sz="4" w:space="0"/>
              <w:left w:val="single" w:color="auto" w:sz="4" w:space="0"/>
              <w:bottom w:val="single" w:color="auto" w:sz="4" w:space="0"/>
              <w:right w:val="single" w:color="auto" w:sz="4" w:space="0"/>
            </w:tcBorders>
            <w:vAlign w:val="center"/>
          </w:tcPr>
          <w:p w14:paraId="4CED0212">
            <w:pPr>
              <w:pStyle w:val="71"/>
              <w:spacing w:before="24" w:after="24"/>
              <w:rPr>
                <w:rFonts w:cs="Times New Roman"/>
              </w:rPr>
            </w:pPr>
            <w:r>
              <w:rPr>
                <w:rFonts w:cs="Times New Roman"/>
              </w:rPr>
              <w:t>100</w:t>
            </w:r>
          </w:p>
        </w:tc>
        <w:tc>
          <w:tcPr>
            <w:tcW w:w="915" w:type="dxa"/>
            <w:tcBorders>
              <w:top w:val="single" w:color="auto" w:sz="4" w:space="0"/>
              <w:left w:val="single" w:color="auto" w:sz="4" w:space="0"/>
              <w:bottom w:val="single" w:color="auto" w:sz="4" w:space="0"/>
              <w:right w:val="single" w:color="auto" w:sz="4" w:space="0"/>
            </w:tcBorders>
            <w:vAlign w:val="center"/>
          </w:tcPr>
          <w:p w14:paraId="3B755511">
            <w:pPr>
              <w:pStyle w:val="71"/>
              <w:spacing w:before="24" w:after="24"/>
              <w:rPr>
                <w:rFonts w:cs="Times New Roman"/>
              </w:rPr>
            </w:pPr>
            <w:r>
              <w:rPr>
                <w:rFonts w:cs="Times New Roman"/>
              </w:rPr>
              <w:t>80</w:t>
            </w:r>
          </w:p>
        </w:tc>
      </w:tr>
      <w:tr w14:paraId="27794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2281" w:type="dxa"/>
            <w:vMerge w:val="restart"/>
            <w:tcBorders>
              <w:top w:val="nil"/>
              <w:left w:val="single" w:color="auto" w:sz="4" w:space="0"/>
              <w:bottom w:val="single" w:color="auto" w:sz="4" w:space="0"/>
              <w:right w:val="single" w:color="auto" w:sz="4" w:space="0"/>
            </w:tcBorders>
            <w:vAlign w:val="center"/>
          </w:tcPr>
          <w:p w14:paraId="6F267E9A">
            <w:pPr>
              <w:pStyle w:val="71"/>
              <w:spacing w:before="24" w:after="24"/>
              <w:rPr>
                <w:rFonts w:cs="Times New Roman"/>
              </w:rPr>
            </w:pPr>
            <w:r>
              <w:rPr>
                <w:rFonts w:cs="Times New Roman"/>
              </w:rPr>
              <w:t>竖曲线长度</w:t>
            </w:r>
          </w:p>
          <w:p w14:paraId="32D3CB3D">
            <w:pPr>
              <w:pStyle w:val="71"/>
              <w:spacing w:before="24" w:after="24"/>
              <w:rPr>
                <w:rFonts w:cs="Times New Roman"/>
              </w:rPr>
            </w:pPr>
            <w:r>
              <w:rPr>
                <w:rFonts w:cs="Times New Roman"/>
              </w:rPr>
              <w:t>（m）</w:t>
            </w:r>
          </w:p>
        </w:tc>
        <w:tc>
          <w:tcPr>
            <w:tcW w:w="1260" w:type="dxa"/>
            <w:tcBorders>
              <w:top w:val="single" w:color="auto" w:sz="4" w:space="0"/>
              <w:left w:val="single" w:color="auto" w:sz="4" w:space="0"/>
              <w:bottom w:val="single" w:color="auto" w:sz="4" w:space="0"/>
              <w:right w:val="single" w:color="auto" w:sz="4" w:space="0"/>
            </w:tcBorders>
            <w:vAlign w:val="center"/>
          </w:tcPr>
          <w:p w14:paraId="0228AF37">
            <w:pPr>
              <w:pStyle w:val="71"/>
              <w:spacing w:before="24" w:after="24"/>
              <w:rPr>
                <w:rFonts w:cs="Times New Roman"/>
              </w:rPr>
            </w:pPr>
            <w:r>
              <w:rPr>
                <w:rFonts w:cs="Times New Roman"/>
              </w:rPr>
              <w:t>一般值</w:t>
            </w:r>
          </w:p>
        </w:tc>
        <w:tc>
          <w:tcPr>
            <w:tcW w:w="915" w:type="dxa"/>
            <w:tcBorders>
              <w:top w:val="single" w:color="auto" w:sz="4" w:space="0"/>
              <w:left w:val="single" w:color="auto" w:sz="4" w:space="0"/>
              <w:bottom w:val="single" w:color="auto" w:sz="4" w:space="0"/>
              <w:right w:val="single" w:color="auto" w:sz="4" w:space="0"/>
            </w:tcBorders>
            <w:vAlign w:val="center"/>
          </w:tcPr>
          <w:p w14:paraId="6DD69277">
            <w:pPr>
              <w:pStyle w:val="71"/>
              <w:spacing w:before="24" w:after="24"/>
              <w:rPr>
                <w:rFonts w:cs="Times New Roman"/>
              </w:rPr>
            </w:pPr>
            <w:r>
              <w:rPr>
                <w:rFonts w:cs="Times New Roman"/>
              </w:rPr>
              <w:t>60</w:t>
            </w:r>
          </w:p>
        </w:tc>
        <w:tc>
          <w:tcPr>
            <w:tcW w:w="915" w:type="dxa"/>
            <w:tcBorders>
              <w:top w:val="single" w:color="auto" w:sz="4" w:space="0"/>
              <w:left w:val="single" w:color="auto" w:sz="4" w:space="0"/>
              <w:bottom w:val="single" w:color="auto" w:sz="4" w:space="0"/>
              <w:right w:val="single" w:color="auto" w:sz="4" w:space="0"/>
            </w:tcBorders>
            <w:vAlign w:val="center"/>
          </w:tcPr>
          <w:p w14:paraId="5BBDD5FE">
            <w:pPr>
              <w:pStyle w:val="71"/>
              <w:spacing w:before="24" w:after="24"/>
              <w:rPr>
                <w:rFonts w:cs="Times New Roman"/>
              </w:rPr>
            </w:pPr>
            <w:r>
              <w:rPr>
                <w:rFonts w:cs="Times New Roman"/>
              </w:rPr>
              <w:t>50</w:t>
            </w:r>
          </w:p>
        </w:tc>
        <w:tc>
          <w:tcPr>
            <w:tcW w:w="915" w:type="dxa"/>
            <w:tcBorders>
              <w:top w:val="single" w:color="auto" w:sz="4" w:space="0"/>
              <w:left w:val="single" w:color="auto" w:sz="4" w:space="0"/>
              <w:bottom w:val="single" w:color="auto" w:sz="4" w:space="0"/>
              <w:right w:val="single" w:color="auto" w:sz="4" w:space="0"/>
            </w:tcBorders>
            <w:vAlign w:val="center"/>
          </w:tcPr>
          <w:p w14:paraId="1CC75E4C">
            <w:pPr>
              <w:pStyle w:val="71"/>
              <w:spacing w:before="24" w:after="24"/>
              <w:rPr>
                <w:rFonts w:cs="Times New Roman"/>
              </w:rPr>
            </w:pPr>
            <w:r>
              <w:rPr>
                <w:rFonts w:cs="Times New Roman"/>
              </w:rPr>
              <w:t>40</w:t>
            </w:r>
          </w:p>
        </w:tc>
      </w:tr>
      <w:tr w14:paraId="79A43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2281" w:type="dxa"/>
            <w:vMerge w:val="continue"/>
            <w:tcBorders>
              <w:top w:val="nil"/>
              <w:left w:val="single" w:color="auto" w:sz="4" w:space="0"/>
              <w:bottom w:val="single" w:color="auto" w:sz="4" w:space="0"/>
              <w:right w:val="single" w:color="auto" w:sz="4" w:space="0"/>
            </w:tcBorders>
            <w:vAlign w:val="center"/>
          </w:tcPr>
          <w:p w14:paraId="72CFD3A6">
            <w:pPr>
              <w:pStyle w:val="71"/>
              <w:spacing w:before="24" w:after="24"/>
              <w:rPr>
                <w:rFonts w:cs="Times New Roman"/>
              </w:rPr>
            </w:pPr>
          </w:p>
        </w:tc>
        <w:tc>
          <w:tcPr>
            <w:tcW w:w="1260" w:type="dxa"/>
            <w:tcBorders>
              <w:top w:val="single" w:color="auto" w:sz="4" w:space="0"/>
              <w:left w:val="single" w:color="auto" w:sz="4" w:space="0"/>
              <w:bottom w:val="single" w:color="auto" w:sz="4" w:space="0"/>
              <w:right w:val="single" w:color="auto" w:sz="4" w:space="0"/>
            </w:tcBorders>
            <w:vAlign w:val="center"/>
          </w:tcPr>
          <w:p w14:paraId="29F78F14">
            <w:pPr>
              <w:pStyle w:val="71"/>
              <w:spacing w:before="24" w:after="24"/>
              <w:rPr>
                <w:rFonts w:cs="Times New Roman"/>
              </w:rPr>
            </w:pPr>
            <w:r>
              <w:rPr>
                <w:rFonts w:cs="Times New Roman"/>
              </w:rPr>
              <w:t>极限值</w:t>
            </w:r>
          </w:p>
        </w:tc>
        <w:tc>
          <w:tcPr>
            <w:tcW w:w="915" w:type="dxa"/>
            <w:tcBorders>
              <w:top w:val="single" w:color="auto" w:sz="4" w:space="0"/>
              <w:left w:val="single" w:color="auto" w:sz="4" w:space="0"/>
              <w:bottom w:val="single" w:color="auto" w:sz="4" w:space="0"/>
              <w:right w:val="single" w:color="auto" w:sz="4" w:space="0"/>
            </w:tcBorders>
            <w:vAlign w:val="center"/>
          </w:tcPr>
          <w:p w14:paraId="1938AAD7">
            <w:pPr>
              <w:pStyle w:val="71"/>
              <w:spacing w:before="24" w:after="24"/>
              <w:rPr>
                <w:rFonts w:cs="Times New Roman"/>
              </w:rPr>
            </w:pPr>
            <w:r>
              <w:rPr>
                <w:rFonts w:cs="Times New Roman"/>
              </w:rPr>
              <w:t>25</w:t>
            </w:r>
          </w:p>
        </w:tc>
        <w:tc>
          <w:tcPr>
            <w:tcW w:w="915" w:type="dxa"/>
            <w:tcBorders>
              <w:top w:val="single" w:color="auto" w:sz="4" w:space="0"/>
              <w:left w:val="single" w:color="auto" w:sz="4" w:space="0"/>
              <w:bottom w:val="single" w:color="auto" w:sz="4" w:space="0"/>
              <w:right w:val="single" w:color="auto" w:sz="4" w:space="0"/>
            </w:tcBorders>
            <w:vAlign w:val="center"/>
          </w:tcPr>
          <w:p w14:paraId="2DFEB2E7">
            <w:pPr>
              <w:pStyle w:val="71"/>
              <w:spacing w:before="24" w:after="24"/>
              <w:rPr>
                <w:rFonts w:cs="Times New Roman"/>
              </w:rPr>
            </w:pPr>
            <w:r>
              <w:rPr>
                <w:rFonts w:cs="Times New Roman"/>
              </w:rPr>
              <w:t>20</w:t>
            </w:r>
          </w:p>
        </w:tc>
        <w:tc>
          <w:tcPr>
            <w:tcW w:w="915" w:type="dxa"/>
            <w:tcBorders>
              <w:top w:val="single" w:color="auto" w:sz="4" w:space="0"/>
              <w:left w:val="single" w:color="auto" w:sz="4" w:space="0"/>
              <w:bottom w:val="single" w:color="auto" w:sz="4" w:space="0"/>
              <w:right w:val="single" w:color="auto" w:sz="4" w:space="0"/>
            </w:tcBorders>
            <w:vAlign w:val="center"/>
          </w:tcPr>
          <w:p w14:paraId="1F22159F">
            <w:pPr>
              <w:pStyle w:val="71"/>
              <w:spacing w:before="24" w:after="24"/>
              <w:rPr>
                <w:rFonts w:cs="Times New Roman"/>
              </w:rPr>
            </w:pPr>
            <w:r>
              <w:rPr>
                <w:rFonts w:cs="Times New Roman"/>
              </w:rPr>
              <w:t>15</w:t>
            </w:r>
          </w:p>
        </w:tc>
      </w:tr>
    </w:tbl>
    <w:p w14:paraId="2BBC45E9">
      <w:pPr>
        <w:pStyle w:val="54"/>
        <w:spacing w:before="24" w:after="24"/>
      </w:pPr>
      <w:r>
        <w:t>6.平均纵坡</w:t>
      </w:r>
    </w:p>
    <w:p w14:paraId="70D2B39D">
      <w:pPr>
        <w:pStyle w:val="54"/>
        <w:spacing w:before="24" w:after="24"/>
      </w:pPr>
      <w:r>
        <w:t>除快速路外的其他等级山地城市道路应控制平均纵坡度。越岭路段相对高差为200~500m 时，平均纵坡度宜采用5.5%:相对高差大于 500m 时，宜采用 5%，且任意连续 3km 长度范围内的平均纵坡度不宜大于 5.5%。</w:t>
      </w:r>
    </w:p>
    <w:p w14:paraId="5E41822C">
      <w:pPr>
        <w:pStyle w:val="54"/>
        <w:spacing w:before="24" w:after="24"/>
      </w:pPr>
      <w:r>
        <w:t>7.合成坡度</w:t>
      </w:r>
    </w:p>
    <w:p w14:paraId="122BC0CE">
      <w:pPr>
        <w:pStyle w:val="54"/>
        <w:spacing w:before="24" w:after="24"/>
      </w:pPr>
      <w:r>
        <w:t>在设有超高的平曲线上，超高横坡度与道路纵坡度的合成坡度应小于或等于下表的规定：</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4"/>
        <w:gridCol w:w="892"/>
        <w:gridCol w:w="893"/>
      </w:tblGrid>
      <w:tr w14:paraId="73E90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14" w:type="dxa"/>
            <w:tcBorders>
              <w:top w:val="single" w:color="auto" w:sz="4" w:space="0"/>
              <w:left w:val="single" w:color="auto" w:sz="4" w:space="0"/>
              <w:bottom w:val="single" w:color="auto" w:sz="4" w:space="0"/>
              <w:right w:val="single" w:color="auto" w:sz="4" w:space="0"/>
            </w:tcBorders>
            <w:vAlign w:val="center"/>
          </w:tcPr>
          <w:p w14:paraId="33906B1D">
            <w:pPr>
              <w:pStyle w:val="71"/>
              <w:spacing w:before="24" w:after="24"/>
              <w:rPr>
                <w:rFonts w:cs="Times New Roman"/>
              </w:rPr>
            </w:pPr>
            <w:r>
              <w:rPr>
                <w:rFonts w:cs="Times New Roman"/>
              </w:rPr>
              <w:t>设计速度（Km/h）</w:t>
            </w:r>
          </w:p>
        </w:tc>
        <w:tc>
          <w:tcPr>
            <w:tcW w:w="892" w:type="dxa"/>
            <w:tcBorders>
              <w:top w:val="single" w:color="auto" w:sz="4" w:space="0"/>
              <w:left w:val="single" w:color="auto" w:sz="4" w:space="0"/>
              <w:bottom w:val="single" w:color="auto" w:sz="4" w:space="0"/>
              <w:right w:val="single" w:color="auto" w:sz="4" w:space="0"/>
            </w:tcBorders>
            <w:vAlign w:val="center"/>
          </w:tcPr>
          <w:p w14:paraId="466A0DED">
            <w:pPr>
              <w:pStyle w:val="71"/>
              <w:spacing w:before="24" w:after="24"/>
              <w:rPr>
                <w:rFonts w:cs="Times New Roman"/>
              </w:rPr>
            </w:pPr>
            <w:r>
              <w:rPr>
                <w:rFonts w:cs="Times New Roman"/>
              </w:rPr>
              <w:t>30</w:t>
            </w:r>
          </w:p>
        </w:tc>
        <w:tc>
          <w:tcPr>
            <w:tcW w:w="893" w:type="dxa"/>
            <w:tcBorders>
              <w:top w:val="single" w:color="auto" w:sz="4" w:space="0"/>
              <w:left w:val="single" w:color="auto" w:sz="4" w:space="0"/>
              <w:bottom w:val="single" w:color="auto" w:sz="4" w:space="0"/>
              <w:right w:val="single" w:color="auto" w:sz="4" w:space="0"/>
            </w:tcBorders>
            <w:vAlign w:val="center"/>
          </w:tcPr>
          <w:p w14:paraId="6DA5277E">
            <w:pPr>
              <w:pStyle w:val="71"/>
              <w:spacing w:before="24" w:after="24"/>
              <w:rPr>
                <w:rFonts w:cs="Times New Roman"/>
              </w:rPr>
            </w:pPr>
            <w:r>
              <w:rPr>
                <w:rFonts w:cs="Times New Roman"/>
              </w:rPr>
              <w:t>≤20</w:t>
            </w:r>
          </w:p>
        </w:tc>
      </w:tr>
      <w:tr w14:paraId="1504E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14" w:type="dxa"/>
            <w:tcBorders>
              <w:top w:val="single" w:color="auto" w:sz="4" w:space="0"/>
              <w:left w:val="single" w:color="auto" w:sz="4" w:space="0"/>
              <w:bottom w:val="single" w:color="auto" w:sz="4" w:space="0"/>
              <w:right w:val="single" w:color="auto" w:sz="4" w:space="0"/>
            </w:tcBorders>
            <w:vAlign w:val="center"/>
          </w:tcPr>
          <w:p w14:paraId="4E3C2939">
            <w:pPr>
              <w:pStyle w:val="71"/>
              <w:spacing w:before="24" w:after="24"/>
              <w:rPr>
                <w:rFonts w:cs="Times New Roman"/>
              </w:rPr>
            </w:pPr>
            <w:r>
              <w:rPr>
                <w:rFonts w:cs="Times New Roman"/>
              </w:rPr>
              <w:t>合成坡度（m）</w:t>
            </w:r>
          </w:p>
        </w:tc>
        <w:tc>
          <w:tcPr>
            <w:tcW w:w="892" w:type="dxa"/>
            <w:tcBorders>
              <w:top w:val="single" w:color="auto" w:sz="4" w:space="0"/>
              <w:left w:val="single" w:color="auto" w:sz="4" w:space="0"/>
              <w:bottom w:val="single" w:color="auto" w:sz="4" w:space="0"/>
              <w:right w:val="single" w:color="auto" w:sz="4" w:space="0"/>
            </w:tcBorders>
            <w:vAlign w:val="center"/>
          </w:tcPr>
          <w:p w14:paraId="75064B0B">
            <w:pPr>
              <w:pStyle w:val="71"/>
              <w:spacing w:before="24" w:after="24"/>
              <w:rPr>
                <w:rFonts w:cs="Times New Roman"/>
              </w:rPr>
            </w:pPr>
            <w:r>
              <w:rPr>
                <w:rFonts w:cs="Times New Roman"/>
              </w:rPr>
              <w:t>11</w:t>
            </w:r>
          </w:p>
        </w:tc>
        <w:tc>
          <w:tcPr>
            <w:tcW w:w="893" w:type="dxa"/>
            <w:tcBorders>
              <w:top w:val="single" w:color="auto" w:sz="4" w:space="0"/>
              <w:left w:val="single" w:color="auto" w:sz="4" w:space="0"/>
              <w:bottom w:val="single" w:color="auto" w:sz="4" w:space="0"/>
              <w:right w:val="single" w:color="auto" w:sz="4" w:space="0"/>
            </w:tcBorders>
            <w:vAlign w:val="center"/>
          </w:tcPr>
          <w:p w14:paraId="0D79CEF3">
            <w:pPr>
              <w:pStyle w:val="71"/>
              <w:spacing w:before="24" w:after="24"/>
              <w:rPr>
                <w:rFonts w:cs="Times New Roman"/>
              </w:rPr>
            </w:pPr>
            <w:r>
              <w:rPr>
                <w:rFonts w:cs="Times New Roman"/>
              </w:rPr>
              <w:t>13</w:t>
            </w:r>
          </w:p>
        </w:tc>
      </w:tr>
    </w:tbl>
    <w:p w14:paraId="79220F21">
      <w:pPr>
        <w:pStyle w:val="54"/>
        <w:spacing w:before="24" w:after="24"/>
      </w:pPr>
      <w:r>
        <w:t>10.3.3线性组合设计</w:t>
      </w:r>
    </w:p>
    <w:p w14:paraId="2AAB5528">
      <w:pPr>
        <w:pStyle w:val="54"/>
        <w:spacing w:before="24" w:after="24"/>
      </w:pPr>
      <w:r>
        <w:t>线形组合应满足行车安全、舒适以及与沿线环境、景观协调的要求，平面、纵断面线形应均衡，路面排水应通畅。</w:t>
      </w:r>
    </w:p>
    <w:p w14:paraId="09EEB63A">
      <w:pPr>
        <w:pStyle w:val="54"/>
        <w:spacing w:before="24" w:after="24"/>
      </w:pPr>
      <w:r>
        <w:t>线形组合设计应符合下列规定：</w:t>
      </w:r>
    </w:p>
    <w:p w14:paraId="25D1889E">
      <w:pPr>
        <w:pStyle w:val="54"/>
        <w:spacing w:before="24" w:after="24"/>
      </w:pPr>
      <w:r>
        <w:t>1.应使线形在视觉上能自然地诱导驾驶员的视线，并应保持视觉的连续性。</w:t>
      </w:r>
    </w:p>
    <w:p w14:paraId="7272DC0E">
      <w:pPr>
        <w:pStyle w:val="54"/>
        <w:spacing w:before="24" w:after="24"/>
      </w:pPr>
      <w:r>
        <w:t>2.应避免平面、纵断面、横断面极限值的相互组合设计。</w:t>
      </w:r>
    </w:p>
    <w:p w14:paraId="3B70E9F1">
      <w:pPr>
        <w:pStyle w:val="54"/>
        <w:spacing w:before="24" w:after="24"/>
      </w:pPr>
      <w:r>
        <w:t>3.平、纵面线形应相互对应，技术指标大小均衡连续，以及与之相邻路段各技术指标的均衡、连续。</w:t>
      </w:r>
    </w:p>
    <w:p w14:paraId="75CB88E8">
      <w:pPr>
        <w:pStyle w:val="54"/>
        <w:spacing w:before="24" w:after="24"/>
      </w:pPr>
      <w:r>
        <w:t>4.条件受限时选用平面、纵断面的各接近或最大、最小值及其组合时，应考虑前后地形、技术指标运用等对实际运行速度的影响。</w:t>
      </w:r>
    </w:p>
    <w:p w14:paraId="1C501BA1">
      <w:pPr>
        <w:pStyle w:val="54"/>
        <w:spacing w:before="24" w:after="24"/>
      </w:pPr>
      <w:r>
        <w:t>5.横坡与纵坡应组合得当，并应利于路面排水和行车安全。</w:t>
      </w:r>
    </w:p>
    <w:p w14:paraId="48409FF7">
      <w:pPr>
        <w:pStyle w:val="54"/>
        <w:spacing w:before="24" w:after="24"/>
      </w:pPr>
      <w:r>
        <w:t>10.3.4 横断面设计</w:t>
      </w:r>
    </w:p>
    <w:p w14:paraId="7245B493">
      <w:pPr>
        <w:pStyle w:val="54"/>
        <w:spacing w:before="24" w:after="24"/>
      </w:pPr>
      <w:r>
        <w:t>1.道路各功能板块最小宽度</w:t>
      </w:r>
    </w:p>
    <w:p w14:paraId="772D502E">
      <w:pPr>
        <w:pStyle w:val="54"/>
        <w:spacing w:before="24" w:after="24"/>
      </w:pPr>
      <w:r>
        <w:t>（1）一条机动车道最小宽度</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34"/>
        <w:gridCol w:w="1971"/>
        <w:gridCol w:w="1972"/>
      </w:tblGrid>
      <w:tr w14:paraId="52110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34" w:type="dxa"/>
            <w:vMerge w:val="restart"/>
            <w:tcBorders>
              <w:top w:val="single" w:color="auto" w:sz="4" w:space="0"/>
              <w:left w:val="single" w:color="auto" w:sz="4" w:space="0"/>
              <w:bottom w:val="single" w:color="auto" w:sz="4" w:space="0"/>
              <w:right w:val="single" w:color="auto" w:sz="4" w:space="0"/>
            </w:tcBorders>
            <w:vAlign w:val="center"/>
          </w:tcPr>
          <w:p w14:paraId="2069DA64">
            <w:pPr>
              <w:pStyle w:val="71"/>
              <w:spacing w:before="24" w:after="24"/>
              <w:rPr>
                <w:rFonts w:cs="Times New Roman"/>
              </w:rPr>
            </w:pPr>
            <w:r>
              <w:rPr>
                <w:rFonts w:cs="Times New Roman"/>
              </w:rPr>
              <w:t>车辆及车道类型</w:t>
            </w:r>
          </w:p>
        </w:tc>
        <w:tc>
          <w:tcPr>
            <w:tcW w:w="3943" w:type="dxa"/>
            <w:gridSpan w:val="2"/>
            <w:tcBorders>
              <w:top w:val="single" w:color="auto" w:sz="4" w:space="0"/>
              <w:left w:val="single" w:color="auto" w:sz="4" w:space="0"/>
              <w:bottom w:val="single" w:color="auto" w:sz="4" w:space="0"/>
              <w:right w:val="single" w:color="auto" w:sz="4" w:space="0"/>
            </w:tcBorders>
            <w:vAlign w:val="center"/>
          </w:tcPr>
          <w:p w14:paraId="17EBF48A">
            <w:pPr>
              <w:pStyle w:val="71"/>
              <w:spacing w:before="24" w:after="24"/>
              <w:rPr>
                <w:rFonts w:cs="Times New Roman"/>
              </w:rPr>
            </w:pPr>
            <w:r>
              <w:rPr>
                <w:rFonts w:cs="Times New Roman"/>
              </w:rPr>
              <w:t>设计速度（Km/h）</w:t>
            </w:r>
          </w:p>
        </w:tc>
      </w:tr>
      <w:tr w14:paraId="38765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34" w:type="dxa"/>
            <w:vMerge w:val="continue"/>
            <w:tcBorders>
              <w:top w:val="single" w:color="auto" w:sz="4" w:space="0"/>
              <w:left w:val="single" w:color="auto" w:sz="4" w:space="0"/>
              <w:bottom w:val="single" w:color="auto" w:sz="4" w:space="0"/>
              <w:right w:val="single" w:color="auto" w:sz="4" w:space="0"/>
            </w:tcBorders>
            <w:vAlign w:val="center"/>
          </w:tcPr>
          <w:p w14:paraId="73335647">
            <w:pPr>
              <w:pStyle w:val="71"/>
              <w:spacing w:before="24" w:after="24"/>
              <w:rPr>
                <w:rFonts w:cs="Times New Roman"/>
              </w:rPr>
            </w:pPr>
          </w:p>
        </w:tc>
        <w:tc>
          <w:tcPr>
            <w:tcW w:w="1971" w:type="dxa"/>
            <w:tcBorders>
              <w:top w:val="single" w:color="auto" w:sz="4" w:space="0"/>
              <w:left w:val="single" w:color="auto" w:sz="4" w:space="0"/>
              <w:bottom w:val="single" w:color="auto" w:sz="4" w:space="0"/>
              <w:right w:val="single" w:color="auto" w:sz="4" w:space="0"/>
            </w:tcBorders>
            <w:vAlign w:val="center"/>
          </w:tcPr>
          <w:p w14:paraId="1381E751">
            <w:pPr>
              <w:pStyle w:val="71"/>
              <w:spacing w:before="24" w:after="24"/>
              <w:rPr>
                <w:rFonts w:cs="Times New Roman"/>
              </w:rPr>
            </w:pPr>
            <w:r>
              <w:rPr>
                <w:rFonts w:cs="Times New Roman"/>
              </w:rPr>
              <w:t>＞60</w:t>
            </w:r>
          </w:p>
        </w:tc>
        <w:tc>
          <w:tcPr>
            <w:tcW w:w="1972" w:type="dxa"/>
            <w:tcBorders>
              <w:top w:val="single" w:color="auto" w:sz="4" w:space="0"/>
              <w:left w:val="single" w:color="auto" w:sz="4" w:space="0"/>
              <w:bottom w:val="single" w:color="auto" w:sz="4" w:space="0"/>
              <w:right w:val="single" w:color="auto" w:sz="4" w:space="0"/>
            </w:tcBorders>
            <w:vAlign w:val="center"/>
          </w:tcPr>
          <w:p w14:paraId="7993DC46">
            <w:pPr>
              <w:pStyle w:val="71"/>
              <w:spacing w:before="24" w:after="24"/>
              <w:rPr>
                <w:rFonts w:cs="Times New Roman"/>
              </w:rPr>
            </w:pPr>
            <w:r>
              <w:rPr>
                <w:rFonts w:cs="Times New Roman"/>
              </w:rPr>
              <w:t>≤60</w:t>
            </w:r>
          </w:p>
        </w:tc>
      </w:tr>
      <w:tr w14:paraId="72C2B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34" w:type="dxa"/>
            <w:tcBorders>
              <w:top w:val="single" w:color="auto" w:sz="4" w:space="0"/>
              <w:left w:val="single" w:color="auto" w:sz="4" w:space="0"/>
              <w:bottom w:val="single" w:color="auto" w:sz="4" w:space="0"/>
              <w:right w:val="single" w:color="auto" w:sz="4" w:space="0"/>
            </w:tcBorders>
            <w:vAlign w:val="center"/>
          </w:tcPr>
          <w:p w14:paraId="3029EFE9">
            <w:pPr>
              <w:pStyle w:val="71"/>
              <w:spacing w:before="24" w:after="24"/>
              <w:rPr>
                <w:rFonts w:cs="Times New Roman"/>
              </w:rPr>
            </w:pPr>
            <w:r>
              <w:rPr>
                <w:rFonts w:cs="Times New Roman"/>
              </w:rPr>
              <w:t>大型车或混行车道（m）</w:t>
            </w:r>
          </w:p>
        </w:tc>
        <w:tc>
          <w:tcPr>
            <w:tcW w:w="1971" w:type="dxa"/>
            <w:tcBorders>
              <w:top w:val="single" w:color="auto" w:sz="4" w:space="0"/>
              <w:left w:val="single" w:color="auto" w:sz="4" w:space="0"/>
              <w:bottom w:val="single" w:color="auto" w:sz="4" w:space="0"/>
              <w:right w:val="single" w:color="auto" w:sz="4" w:space="0"/>
            </w:tcBorders>
            <w:vAlign w:val="center"/>
          </w:tcPr>
          <w:p w14:paraId="53E5843A">
            <w:pPr>
              <w:pStyle w:val="71"/>
              <w:spacing w:before="24" w:after="24"/>
              <w:rPr>
                <w:rFonts w:cs="Times New Roman"/>
              </w:rPr>
            </w:pPr>
            <w:r>
              <w:rPr>
                <w:rFonts w:cs="Times New Roman"/>
              </w:rPr>
              <w:t>3.75</w:t>
            </w:r>
          </w:p>
        </w:tc>
        <w:tc>
          <w:tcPr>
            <w:tcW w:w="1972" w:type="dxa"/>
            <w:tcBorders>
              <w:top w:val="single" w:color="auto" w:sz="4" w:space="0"/>
              <w:left w:val="single" w:color="auto" w:sz="4" w:space="0"/>
              <w:bottom w:val="single" w:color="auto" w:sz="4" w:space="0"/>
              <w:right w:val="single" w:color="auto" w:sz="4" w:space="0"/>
            </w:tcBorders>
            <w:vAlign w:val="center"/>
          </w:tcPr>
          <w:p w14:paraId="270E82F5">
            <w:pPr>
              <w:pStyle w:val="71"/>
              <w:spacing w:before="24" w:after="24"/>
              <w:rPr>
                <w:rFonts w:cs="Times New Roman"/>
              </w:rPr>
            </w:pPr>
            <w:r>
              <w:rPr>
                <w:rFonts w:cs="Times New Roman"/>
              </w:rPr>
              <w:t>3.50</w:t>
            </w:r>
          </w:p>
        </w:tc>
      </w:tr>
      <w:tr w14:paraId="4A311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34" w:type="dxa"/>
            <w:tcBorders>
              <w:top w:val="single" w:color="auto" w:sz="4" w:space="0"/>
              <w:left w:val="single" w:color="auto" w:sz="4" w:space="0"/>
              <w:bottom w:val="single" w:color="auto" w:sz="4" w:space="0"/>
              <w:right w:val="single" w:color="auto" w:sz="4" w:space="0"/>
            </w:tcBorders>
            <w:vAlign w:val="center"/>
          </w:tcPr>
          <w:p w14:paraId="33998CEA">
            <w:pPr>
              <w:pStyle w:val="71"/>
              <w:spacing w:before="24" w:after="24"/>
              <w:rPr>
                <w:rFonts w:cs="Times New Roman"/>
              </w:rPr>
            </w:pPr>
            <w:r>
              <w:rPr>
                <w:rFonts w:cs="Times New Roman"/>
              </w:rPr>
              <w:t>小客车专用车道</w:t>
            </w:r>
          </w:p>
        </w:tc>
        <w:tc>
          <w:tcPr>
            <w:tcW w:w="1971" w:type="dxa"/>
            <w:tcBorders>
              <w:top w:val="single" w:color="auto" w:sz="4" w:space="0"/>
              <w:left w:val="single" w:color="auto" w:sz="4" w:space="0"/>
              <w:bottom w:val="single" w:color="auto" w:sz="4" w:space="0"/>
              <w:right w:val="single" w:color="auto" w:sz="4" w:space="0"/>
            </w:tcBorders>
            <w:vAlign w:val="center"/>
          </w:tcPr>
          <w:p w14:paraId="24BFA92D">
            <w:pPr>
              <w:pStyle w:val="71"/>
              <w:spacing w:before="24" w:after="24"/>
              <w:rPr>
                <w:rFonts w:cs="Times New Roman"/>
              </w:rPr>
            </w:pPr>
            <w:r>
              <w:rPr>
                <w:rFonts w:cs="Times New Roman"/>
              </w:rPr>
              <w:t>3.50</w:t>
            </w:r>
          </w:p>
        </w:tc>
        <w:tc>
          <w:tcPr>
            <w:tcW w:w="1972" w:type="dxa"/>
            <w:tcBorders>
              <w:top w:val="single" w:color="auto" w:sz="4" w:space="0"/>
              <w:left w:val="single" w:color="auto" w:sz="4" w:space="0"/>
              <w:bottom w:val="single" w:color="auto" w:sz="4" w:space="0"/>
              <w:right w:val="single" w:color="auto" w:sz="4" w:space="0"/>
            </w:tcBorders>
            <w:vAlign w:val="center"/>
          </w:tcPr>
          <w:p w14:paraId="67C9F7B7">
            <w:pPr>
              <w:pStyle w:val="71"/>
              <w:spacing w:before="24" w:after="24"/>
              <w:rPr>
                <w:rFonts w:cs="Times New Roman"/>
              </w:rPr>
            </w:pPr>
            <w:r>
              <w:rPr>
                <w:rFonts w:cs="Times New Roman"/>
              </w:rPr>
              <w:t>3.25</w:t>
            </w:r>
          </w:p>
        </w:tc>
      </w:tr>
    </w:tbl>
    <w:p w14:paraId="5814958B">
      <w:pPr>
        <w:pStyle w:val="54"/>
        <w:spacing w:before="24" w:after="24"/>
      </w:pPr>
      <w:r>
        <w:t>机动车道路面宽度应为机动车道宽度及两侧路缘带宽度之和。</w:t>
      </w:r>
    </w:p>
    <w:p w14:paraId="28B9CEBD">
      <w:pPr>
        <w:pStyle w:val="54"/>
        <w:spacing w:before="24" w:after="24"/>
      </w:pPr>
      <w:r>
        <w:t>单幅路及三幅路采用中间分隔物或交通标线分隔对向交通时，机动车道路面宽度还应包括分隔物或交通标线的宽度。</w:t>
      </w:r>
    </w:p>
    <w:p w14:paraId="7B3CE8F2">
      <w:pPr>
        <w:pStyle w:val="54"/>
        <w:spacing w:before="24" w:after="24"/>
      </w:pPr>
      <w:r>
        <w:t>公交港湾式停靠站可分为直接式和分离式两种。直接式公交停靠站的车道宽度不应小于3.00m;分离式公交停靠站的车道总宽度应包括路缘带宽度，不应小于3.50m。</w:t>
      </w:r>
    </w:p>
    <w:p w14:paraId="6AC18645">
      <w:pPr>
        <w:pStyle w:val="54"/>
        <w:spacing w:before="24" w:after="24"/>
      </w:pPr>
      <w:r>
        <w:t>（2）一条非机动车道最小宽度</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34"/>
        <w:gridCol w:w="1971"/>
        <w:gridCol w:w="1972"/>
      </w:tblGrid>
      <w:tr w14:paraId="08C27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34" w:type="dxa"/>
            <w:tcBorders>
              <w:top w:val="single" w:color="auto" w:sz="4" w:space="0"/>
              <w:left w:val="single" w:color="auto" w:sz="4" w:space="0"/>
              <w:bottom w:val="single" w:color="auto" w:sz="4" w:space="0"/>
              <w:right w:val="single" w:color="auto" w:sz="4" w:space="0"/>
            </w:tcBorders>
            <w:vAlign w:val="center"/>
          </w:tcPr>
          <w:p w14:paraId="1D48F6BC">
            <w:pPr>
              <w:pStyle w:val="71"/>
              <w:spacing w:before="24" w:after="24"/>
              <w:rPr>
                <w:rFonts w:cs="Times New Roman"/>
              </w:rPr>
            </w:pPr>
            <w:r>
              <w:rPr>
                <w:rFonts w:cs="Times New Roman"/>
              </w:rPr>
              <w:t>车辆类型</w:t>
            </w:r>
          </w:p>
        </w:tc>
        <w:tc>
          <w:tcPr>
            <w:tcW w:w="1971" w:type="dxa"/>
            <w:tcBorders>
              <w:top w:val="single" w:color="auto" w:sz="4" w:space="0"/>
              <w:left w:val="single" w:color="auto" w:sz="4" w:space="0"/>
              <w:bottom w:val="single" w:color="auto" w:sz="4" w:space="0"/>
              <w:right w:val="single" w:color="auto" w:sz="4" w:space="0"/>
            </w:tcBorders>
            <w:vAlign w:val="center"/>
          </w:tcPr>
          <w:p w14:paraId="132E52D5">
            <w:pPr>
              <w:pStyle w:val="71"/>
              <w:spacing w:before="24" w:after="24"/>
              <w:rPr>
                <w:rFonts w:cs="Times New Roman"/>
              </w:rPr>
            </w:pPr>
            <w:r>
              <w:rPr>
                <w:rFonts w:cs="Times New Roman"/>
              </w:rPr>
              <w:t>自行车</w:t>
            </w:r>
          </w:p>
        </w:tc>
        <w:tc>
          <w:tcPr>
            <w:tcW w:w="1972" w:type="dxa"/>
            <w:tcBorders>
              <w:top w:val="single" w:color="auto" w:sz="4" w:space="0"/>
              <w:left w:val="single" w:color="auto" w:sz="4" w:space="0"/>
              <w:bottom w:val="single" w:color="auto" w:sz="4" w:space="0"/>
              <w:right w:val="single" w:color="auto" w:sz="4" w:space="0"/>
            </w:tcBorders>
            <w:vAlign w:val="center"/>
          </w:tcPr>
          <w:p w14:paraId="732C6242">
            <w:pPr>
              <w:pStyle w:val="71"/>
              <w:spacing w:before="24" w:after="24"/>
              <w:rPr>
                <w:rFonts w:cs="Times New Roman"/>
              </w:rPr>
            </w:pPr>
            <w:r>
              <w:rPr>
                <w:rFonts w:cs="Times New Roman"/>
              </w:rPr>
              <w:t>三轮车</w:t>
            </w:r>
          </w:p>
        </w:tc>
      </w:tr>
      <w:tr w14:paraId="1DC57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34" w:type="dxa"/>
            <w:tcBorders>
              <w:top w:val="single" w:color="auto" w:sz="4" w:space="0"/>
              <w:left w:val="single" w:color="auto" w:sz="4" w:space="0"/>
              <w:bottom w:val="single" w:color="auto" w:sz="4" w:space="0"/>
              <w:right w:val="single" w:color="auto" w:sz="4" w:space="0"/>
            </w:tcBorders>
            <w:vAlign w:val="center"/>
          </w:tcPr>
          <w:p w14:paraId="274D2999">
            <w:pPr>
              <w:pStyle w:val="71"/>
              <w:spacing w:before="24" w:after="24"/>
              <w:rPr>
                <w:rFonts w:cs="Times New Roman"/>
              </w:rPr>
            </w:pPr>
            <w:r>
              <w:rPr>
                <w:rFonts w:cs="Times New Roman"/>
              </w:rPr>
              <w:t>非机动车道宽度（m）</w:t>
            </w:r>
          </w:p>
        </w:tc>
        <w:tc>
          <w:tcPr>
            <w:tcW w:w="1971" w:type="dxa"/>
            <w:tcBorders>
              <w:top w:val="single" w:color="auto" w:sz="4" w:space="0"/>
              <w:left w:val="single" w:color="auto" w:sz="4" w:space="0"/>
              <w:bottom w:val="single" w:color="auto" w:sz="4" w:space="0"/>
              <w:right w:val="single" w:color="auto" w:sz="4" w:space="0"/>
            </w:tcBorders>
            <w:vAlign w:val="center"/>
          </w:tcPr>
          <w:p w14:paraId="56418DC6">
            <w:pPr>
              <w:pStyle w:val="71"/>
              <w:spacing w:before="24" w:after="24"/>
              <w:rPr>
                <w:rFonts w:cs="Times New Roman"/>
              </w:rPr>
            </w:pPr>
            <w:r>
              <w:rPr>
                <w:rFonts w:cs="Times New Roman"/>
              </w:rPr>
              <w:t>1.0</w:t>
            </w:r>
          </w:p>
        </w:tc>
        <w:tc>
          <w:tcPr>
            <w:tcW w:w="1972" w:type="dxa"/>
            <w:tcBorders>
              <w:top w:val="single" w:color="auto" w:sz="4" w:space="0"/>
              <w:left w:val="single" w:color="auto" w:sz="4" w:space="0"/>
              <w:bottom w:val="single" w:color="auto" w:sz="4" w:space="0"/>
              <w:right w:val="single" w:color="auto" w:sz="4" w:space="0"/>
            </w:tcBorders>
            <w:vAlign w:val="center"/>
          </w:tcPr>
          <w:p w14:paraId="2BE8D1CD">
            <w:pPr>
              <w:pStyle w:val="71"/>
              <w:spacing w:before="24" w:after="24"/>
              <w:rPr>
                <w:rFonts w:cs="Times New Roman"/>
              </w:rPr>
            </w:pPr>
            <w:r>
              <w:rPr>
                <w:rFonts w:cs="Times New Roman"/>
              </w:rPr>
              <w:t>2.0</w:t>
            </w:r>
          </w:p>
        </w:tc>
      </w:tr>
    </w:tbl>
    <w:p w14:paraId="3C41D6C7">
      <w:pPr>
        <w:pStyle w:val="54"/>
        <w:spacing w:before="24" w:after="24"/>
      </w:pPr>
      <w:r>
        <w:t>沿道路两侧设置的单向非机动车道宽度不宜小于 2.5m。</w:t>
      </w:r>
    </w:p>
    <w:p w14:paraId="44D970F3">
      <w:pPr>
        <w:pStyle w:val="54"/>
        <w:spacing w:before="24" w:after="24"/>
      </w:pPr>
      <w:r>
        <w:t>（3）人行道最小宽度</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21"/>
        <w:gridCol w:w="1784"/>
        <w:gridCol w:w="1972"/>
      </w:tblGrid>
      <w:tr w14:paraId="477D6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1" w:type="dxa"/>
            <w:vMerge w:val="restart"/>
            <w:tcBorders>
              <w:top w:val="single" w:color="auto" w:sz="4" w:space="0"/>
              <w:left w:val="single" w:color="auto" w:sz="4" w:space="0"/>
              <w:bottom w:val="single" w:color="auto" w:sz="4" w:space="0"/>
              <w:right w:val="single" w:color="auto" w:sz="4" w:space="0"/>
            </w:tcBorders>
            <w:vAlign w:val="center"/>
          </w:tcPr>
          <w:p w14:paraId="64CF0041">
            <w:pPr>
              <w:pStyle w:val="71"/>
              <w:spacing w:before="24" w:after="24"/>
              <w:rPr>
                <w:rFonts w:cs="Times New Roman"/>
              </w:rPr>
            </w:pPr>
            <w:r>
              <w:rPr>
                <w:rFonts w:cs="Times New Roman"/>
              </w:rPr>
              <w:t>项目</w:t>
            </w:r>
          </w:p>
        </w:tc>
        <w:tc>
          <w:tcPr>
            <w:tcW w:w="3756" w:type="dxa"/>
            <w:gridSpan w:val="2"/>
            <w:tcBorders>
              <w:top w:val="single" w:color="auto" w:sz="4" w:space="0"/>
              <w:left w:val="single" w:color="auto" w:sz="4" w:space="0"/>
              <w:bottom w:val="single" w:color="auto" w:sz="4" w:space="0"/>
              <w:right w:val="single" w:color="auto" w:sz="4" w:space="0"/>
            </w:tcBorders>
            <w:vAlign w:val="center"/>
          </w:tcPr>
          <w:p w14:paraId="74499F9E">
            <w:pPr>
              <w:pStyle w:val="71"/>
              <w:spacing w:before="24" w:after="24"/>
              <w:rPr>
                <w:rFonts w:cs="Times New Roman"/>
              </w:rPr>
            </w:pPr>
            <w:r>
              <w:rPr>
                <w:rFonts w:cs="Times New Roman"/>
              </w:rPr>
              <w:t>人行道最小宽度（m）</w:t>
            </w:r>
          </w:p>
        </w:tc>
      </w:tr>
      <w:tr w14:paraId="4C652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1" w:type="dxa"/>
            <w:vMerge w:val="continue"/>
            <w:tcBorders>
              <w:top w:val="single" w:color="auto" w:sz="4" w:space="0"/>
              <w:left w:val="single" w:color="auto" w:sz="4" w:space="0"/>
              <w:bottom w:val="single" w:color="auto" w:sz="4" w:space="0"/>
              <w:right w:val="single" w:color="auto" w:sz="4" w:space="0"/>
            </w:tcBorders>
            <w:vAlign w:val="center"/>
          </w:tcPr>
          <w:p w14:paraId="2FF4311C">
            <w:pPr>
              <w:pStyle w:val="71"/>
              <w:spacing w:before="24" w:after="24"/>
              <w:rPr>
                <w:rFonts w:cs="Times New Roman"/>
              </w:rPr>
            </w:pPr>
          </w:p>
        </w:tc>
        <w:tc>
          <w:tcPr>
            <w:tcW w:w="1784" w:type="dxa"/>
            <w:tcBorders>
              <w:top w:val="single" w:color="auto" w:sz="4" w:space="0"/>
              <w:left w:val="single" w:color="auto" w:sz="4" w:space="0"/>
              <w:bottom w:val="single" w:color="auto" w:sz="4" w:space="0"/>
              <w:right w:val="single" w:color="auto" w:sz="4" w:space="0"/>
            </w:tcBorders>
            <w:vAlign w:val="center"/>
          </w:tcPr>
          <w:p w14:paraId="460CD6D7">
            <w:pPr>
              <w:pStyle w:val="71"/>
              <w:spacing w:before="24" w:after="24"/>
              <w:rPr>
                <w:rFonts w:cs="Times New Roman"/>
              </w:rPr>
            </w:pPr>
            <w:r>
              <w:rPr>
                <w:rFonts w:cs="Times New Roman"/>
              </w:rPr>
              <w:t>一般值</w:t>
            </w:r>
          </w:p>
        </w:tc>
        <w:tc>
          <w:tcPr>
            <w:tcW w:w="1972" w:type="dxa"/>
            <w:tcBorders>
              <w:top w:val="single" w:color="auto" w:sz="4" w:space="0"/>
              <w:left w:val="single" w:color="auto" w:sz="4" w:space="0"/>
              <w:bottom w:val="single" w:color="auto" w:sz="4" w:space="0"/>
              <w:right w:val="single" w:color="auto" w:sz="4" w:space="0"/>
            </w:tcBorders>
            <w:vAlign w:val="center"/>
          </w:tcPr>
          <w:p w14:paraId="759ABD82">
            <w:pPr>
              <w:pStyle w:val="71"/>
              <w:spacing w:before="24" w:after="24"/>
              <w:rPr>
                <w:rFonts w:cs="Times New Roman"/>
              </w:rPr>
            </w:pPr>
            <w:r>
              <w:rPr>
                <w:rFonts w:cs="Times New Roman"/>
              </w:rPr>
              <w:t>最小值</w:t>
            </w:r>
          </w:p>
        </w:tc>
      </w:tr>
      <w:tr w14:paraId="249BE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1" w:type="dxa"/>
            <w:tcBorders>
              <w:top w:val="single" w:color="auto" w:sz="4" w:space="0"/>
              <w:left w:val="single" w:color="auto" w:sz="4" w:space="0"/>
              <w:bottom w:val="single" w:color="auto" w:sz="4" w:space="0"/>
              <w:right w:val="single" w:color="auto" w:sz="4" w:space="0"/>
            </w:tcBorders>
            <w:vAlign w:val="center"/>
          </w:tcPr>
          <w:p w14:paraId="5FCBBAC7">
            <w:pPr>
              <w:pStyle w:val="71"/>
              <w:spacing w:before="24" w:after="24"/>
              <w:rPr>
                <w:rFonts w:cs="Times New Roman"/>
              </w:rPr>
            </w:pPr>
            <w:r>
              <w:rPr>
                <w:rFonts w:cs="Times New Roman"/>
              </w:rPr>
              <w:t>各级道路</w:t>
            </w:r>
          </w:p>
        </w:tc>
        <w:tc>
          <w:tcPr>
            <w:tcW w:w="1784" w:type="dxa"/>
            <w:tcBorders>
              <w:top w:val="single" w:color="auto" w:sz="4" w:space="0"/>
              <w:left w:val="single" w:color="auto" w:sz="4" w:space="0"/>
              <w:bottom w:val="single" w:color="auto" w:sz="4" w:space="0"/>
              <w:right w:val="single" w:color="auto" w:sz="4" w:space="0"/>
            </w:tcBorders>
            <w:vAlign w:val="center"/>
          </w:tcPr>
          <w:p w14:paraId="25C94973">
            <w:pPr>
              <w:pStyle w:val="71"/>
              <w:spacing w:before="24" w:after="24"/>
              <w:rPr>
                <w:rFonts w:cs="Times New Roman"/>
              </w:rPr>
            </w:pPr>
            <w:r>
              <w:rPr>
                <w:rFonts w:cs="Times New Roman"/>
              </w:rPr>
              <w:t>3.0</w:t>
            </w:r>
          </w:p>
        </w:tc>
        <w:tc>
          <w:tcPr>
            <w:tcW w:w="1972" w:type="dxa"/>
            <w:tcBorders>
              <w:top w:val="single" w:color="auto" w:sz="4" w:space="0"/>
              <w:left w:val="single" w:color="auto" w:sz="4" w:space="0"/>
              <w:bottom w:val="single" w:color="auto" w:sz="4" w:space="0"/>
              <w:right w:val="single" w:color="auto" w:sz="4" w:space="0"/>
            </w:tcBorders>
            <w:vAlign w:val="center"/>
          </w:tcPr>
          <w:p w14:paraId="36137C7F">
            <w:pPr>
              <w:pStyle w:val="71"/>
              <w:spacing w:before="24" w:after="24"/>
              <w:rPr>
                <w:rFonts w:cs="Times New Roman"/>
              </w:rPr>
            </w:pPr>
            <w:r>
              <w:rPr>
                <w:rFonts w:cs="Times New Roman"/>
              </w:rPr>
              <w:t>2.0</w:t>
            </w:r>
          </w:p>
        </w:tc>
      </w:tr>
      <w:tr w14:paraId="57DD1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1" w:type="dxa"/>
            <w:tcBorders>
              <w:top w:val="single" w:color="auto" w:sz="4" w:space="0"/>
              <w:left w:val="single" w:color="auto" w:sz="4" w:space="0"/>
              <w:bottom w:val="single" w:color="auto" w:sz="4" w:space="0"/>
              <w:right w:val="single" w:color="auto" w:sz="4" w:space="0"/>
            </w:tcBorders>
            <w:vAlign w:val="center"/>
          </w:tcPr>
          <w:p w14:paraId="0BAF50E3">
            <w:pPr>
              <w:pStyle w:val="71"/>
              <w:spacing w:before="24" w:after="24"/>
              <w:rPr>
                <w:rFonts w:cs="Times New Roman"/>
              </w:rPr>
            </w:pPr>
            <w:r>
              <w:rPr>
                <w:rFonts w:cs="Times New Roman"/>
              </w:rPr>
              <w:t>商业或公共场所集中路段</w:t>
            </w:r>
          </w:p>
        </w:tc>
        <w:tc>
          <w:tcPr>
            <w:tcW w:w="1784" w:type="dxa"/>
            <w:tcBorders>
              <w:top w:val="single" w:color="auto" w:sz="4" w:space="0"/>
              <w:left w:val="single" w:color="auto" w:sz="4" w:space="0"/>
              <w:bottom w:val="single" w:color="auto" w:sz="4" w:space="0"/>
              <w:right w:val="single" w:color="auto" w:sz="4" w:space="0"/>
            </w:tcBorders>
            <w:vAlign w:val="center"/>
          </w:tcPr>
          <w:p w14:paraId="5FBEBF2C">
            <w:pPr>
              <w:pStyle w:val="71"/>
              <w:spacing w:before="24" w:after="24"/>
              <w:rPr>
                <w:rFonts w:cs="Times New Roman"/>
              </w:rPr>
            </w:pPr>
            <w:r>
              <w:rPr>
                <w:rFonts w:cs="Times New Roman"/>
              </w:rPr>
              <w:t>5.0</w:t>
            </w:r>
          </w:p>
        </w:tc>
        <w:tc>
          <w:tcPr>
            <w:tcW w:w="1972" w:type="dxa"/>
            <w:tcBorders>
              <w:top w:val="single" w:color="auto" w:sz="4" w:space="0"/>
              <w:left w:val="single" w:color="auto" w:sz="4" w:space="0"/>
              <w:bottom w:val="single" w:color="auto" w:sz="4" w:space="0"/>
              <w:right w:val="single" w:color="auto" w:sz="4" w:space="0"/>
            </w:tcBorders>
            <w:vAlign w:val="center"/>
          </w:tcPr>
          <w:p w14:paraId="33B8E95B">
            <w:pPr>
              <w:pStyle w:val="71"/>
              <w:spacing w:before="24" w:after="24"/>
              <w:rPr>
                <w:rFonts w:cs="Times New Roman"/>
              </w:rPr>
            </w:pPr>
            <w:r>
              <w:rPr>
                <w:rFonts w:cs="Times New Roman"/>
              </w:rPr>
              <w:t>4.0</w:t>
            </w:r>
          </w:p>
        </w:tc>
      </w:tr>
      <w:tr w14:paraId="33A18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1" w:type="dxa"/>
            <w:tcBorders>
              <w:top w:val="single" w:color="auto" w:sz="4" w:space="0"/>
              <w:left w:val="single" w:color="auto" w:sz="4" w:space="0"/>
              <w:bottom w:val="single" w:color="auto" w:sz="4" w:space="0"/>
              <w:right w:val="single" w:color="auto" w:sz="4" w:space="0"/>
            </w:tcBorders>
            <w:vAlign w:val="center"/>
          </w:tcPr>
          <w:p w14:paraId="56DDC395">
            <w:pPr>
              <w:pStyle w:val="71"/>
              <w:spacing w:before="24" w:after="24"/>
              <w:rPr>
                <w:rFonts w:cs="Times New Roman"/>
              </w:rPr>
            </w:pPr>
            <w:r>
              <w:rPr>
                <w:rFonts w:cs="Times New Roman"/>
              </w:rPr>
              <w:t>火车站、码头附近路段</w:t>
            </w:r>
          </w:p>
        </w:tc>
        <w:tc>
          <w:tcPr>
            <w:tcW w:w="1784" w:type="dxa"/>
            <w:tcBorders>
              <w:top w:val="single" w:color="auto" w:sz="4" w:space="0"/>
              <w:left w:val="single" w:color="auto" w:sz="4" w:space="0"/>
              <w:bottom w:val="single" w:color="auto" w:sz="4" w:space="0"/>
              <w:right w:val="single" w:color="auto" w:sz="4" w:space="0"/>
            </w:tcBorders>
            <w:vAlign w:val="center"/>
          </w:tcPr>
          <w:p w14:paraId="14A51348">
            <w:pPr>
              <w:pStyle w:val="71"/>
              <w:spacing w:before="24" w:after="24"/>
              <w:rPr>
                <w:rFonts w:cs="Times New Roman"/>
              </w:rPr>
            </w:pPr>
            <w:r>
              <w:rPr>
                <w:rFonts w:cs="Times New Roman"/>
              </w:rPr>
              <w:t>5.0</w:t>
            </w:r>
          </w:p>
        </w:tc>
        <w:tc>
          <w:tcPr>
            <w:tcW w:w="1972" w:type="dxa"/>
            <w:tcBorders>
              <w:top w:val="single" w:color="auto" w:sz="4" w:space="0"/>
              <w:left w:val="single" w:color="auto" w:sz="4" w:space="0"/>
              <w:bottom w:val="single" w:color="auto" w:sz="4" w:space="0"/>
              <w:right w:val="single" w:color="auto" w:sz="4" w:space="0"/>
            </w:tcBorders>
            <w:vAlign w:val="center"/>
          </w:tcPr>
          <w:p w14:paraId="1BE17711">
            <w:pPr>
              <w:pStyle w:val="71"/>
              <w:spacing w:before="24" w:after="24"/>
              <w:rPr>
                <w:rFonts w:cs="Times New Roman"/>
              </w:rPr>
            </w:pPr>
            <w:r>
              <w:rPr>
                <w:rFonts w:cs="Times New Roman"/>
              </w:rPr>
              <w:t>4.0</w:t>
            </w:r>
          </w:p>
        </w:tc>
      </w:tr>
      <w:tr w14:paraId="4D4D6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1" w:type="dxa"/>
            <w:tcBorders>
              <w:top w:val="single" w:color="auto" w:sz="4" w:space="0"/>
              <w:left w:val="single" w:color="auto" w:sz="4" w:space="0"/>
              <w:bottom w:val="single" w:color="auto" w:sz="4" w:space="0"/>
              <w:right w:val="single" w:color="auto" w:sz="4" w:space="0"/>
            </w:tcBorders>
            <w:vAlign w:val="center"/>
          </w:tcPr>
          <w:p w14:paraId="579FEB2C">
            <w:pPr>
              <w:pStyle w:val="71"/>
              <w:spacing w:before="24" w:after="24"/>
              <w:rPr>
                <w:rFonts w:cs="Times New Roman"/>
              </w:rPr>
            </w:pPr>
            <w:r>
              <w:rPr>
                <w:rFonts w:cs="Times New Roman"/>
              </w:rPr>
              <w:t>长途汽车站</w:t>
            </w:r>
          </w:p>
        </w:tc>
        <w:tc>
          <w:tcPr>
            <w:tcW w:w="1784" w:type="dxa"/>
            <w:tcBorders>
              <w:top w:val="single" w:color="auto" w:sz="4" w:space="0"/>
              <w:left w:val="single" w:color="auto" w:sz="4" w:space="0"/>
              <w:bottom w:val="single" w:color="auto" w:sz="4" w:space="0"/>
              <w:right w:val="single" w:color="auto" w:sz="4" w:space="0"/>
            </w:tcBorders>
            <w:vAlign w:val="center"/>
          </w:tcPr>
          <w:p w14:paraId="2D0DD4A5">
            <w:pPr>
              <w:pStyle w:val="71"/>
              <w:spacing w:before="24" w:after="24"/>
              <w:rPr>
                <w:rFonts w:cs="Times New Roman"/>
              </w:rPr>
            </w:pPr>
            <w:r>
              <w:rPr>
                <w:rFonts w:cs="Times New Roman"/>
              </w:rPr>
              <w:t>4.0</w:t>
            </w:r>
          </w:p>
        </w:tc>
        <w:tc>
          <w:tcPr>
            <w:tcW w:w="1972" w:type="dxa"/>
            <w:tcBorders>
              <w:top w:val="single" w:color="auto" w:sz="4" w:space="0"/>
              <w:left w:val="single" w:color="auto" w:sz="4" w:space="0"/>
              <w:bottom w:val="single" w:color="auto" w:sz="4" w:space="0"/>
              <w:right w:val="single" w:color="auto" w:sz="4" w:space="0"/>
            </w:tcBorders>
            <w:vAlign w:val="center"/>
          </w:tcPr>
          <w:p w14:paraId="06A399BB">
            <w:pPr>
              <w:pStyle w:val="71"/>
              <w:spacing w:before="24" w:after="24"/>
              <w:rPr>
                <w:rFonts w:cs="Times New Roman"/>
              </w:rPr>
            </w:pPr>
            <w:r>
              <w:rPr>
                <w:rFonts w:cs="Times New Roman"/>
              </w:rPr>
              <w:t>3.0</w:t>
            </w:r>
          </w:p>
        </w:tc>
      </w:tr>
    </w:tbl>
    <w:p w14:paraId="2CB42210">
      <w:pPr>
        <w:pStyle w:val="54"/>
        <w:spacing w:before="24" w:after="24"/>
      </w:pPr>
      <w:r>
        <w:t>（4）路肩最小宽度</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4"/>
        <w:gridCol w:w="814"/>
        <w:gridCol w:w="800"/>
        <w:gridCol w:w="1666"/>
        <w:gridCol w:w="840"/>
        <w:gridCol w:w="827"/>
      </w:tblGrid>
      <w:tr w14:paraId="04523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4" w:type="dxa"/>
            <w:tcBorders>
              <w:top w:val="single" w:color="auto" w:sz="4" w:space="0"/>
              <w:left w:val="single" w:color="auto" w:sz="4" w:space="0"/>
              <w:bottom w:val="single" w:color="auto" w:sz="4" w:space="0"/>
              <w:right w:val="single" w:color="auto" w:sz="4" w:space="0"/>
            </w:tcBorders>
            <w:vAlign w:val="center"/>
          </w:tcPr>
          <w:p w14:paraId="158B97C8">
            <w:pPr>
              <w:pStyle w:val="71"/>
              <w:spacing w:before="24" w:after="24"/>
              <w:rPr>
                <w:rFonts w:cs="Times New Roman"/>
              </w:rPr>
            </w:pPr>
            <w:r>
              <w:rPr>
                <w:rFonts w:cs="Times New Roman"/>
              </w:rPr>
              <w:t>设计速度（Km/h）</w:t>
            </w:r>
          </w:p>
        </w:tc>
        <w:tc>
          <w:tcPr>
            <w:tcW w:w="814" w:type="dxa"/>
            <w:tcBorders>
              <w:top w:val="single" w:color="auto" w:sz="4" w:space="0"/>
              <w:left w:val="single" w:color="auto" w:sz="4" w:space="0"/>
              <w:bottom w:val="single" w:color="auto" w:sz="4" w:space="0"/>
              <w:right w:val="single" w:color="auto" w:sz="4" w:space="0"/>
            </w:tcBorders>
            <w:vAlign w:val="center"/>
          </w:tcPr>
          <w:p w14:paraId="274A9093">
            <w:pPr>
              <w:pStyle w:val="71"/>
              <w:spacing w:before="24" w:after="24"/>
              <w:rPr>
                <w:rFonts w:cs="Times New Roman"/>
              </w:rPr>
            </w:pPr>
            <w:r>
              <w:rPr>
                <w:rFonts w:cs="Times New Roman"/>
              </w:rPr>
              <w:t>100</w:t>
            </w:r>
          </w:p>
        </w:tc>
        <w:tc>
          <w:tcPr>
            <w:tcW w:w="800" w:type="dxa"/>
            <w:tcBorders>
              <w:top w:val="single" w:color="auto" w:sz="4" w:space="0"/>
              <w:left w:val="single" w:color="auto" w:sz="4" w:space="0"/>
              <w:bottom w:val="single" w:color="auto" w:sz="4" w:space="0"/>
              <w:right w:val="single" w:color="auto" w:sz="4" w:space="0"/>
            </w:tcBorders>
            <w:vAlign w:val="center"/>
          </w:tcPr>
          <w:p w14:paraId="729924BA">
            <w:pPr>
              <w:pStyle w:val="71"/>
              <w:spacing w:before="24" w:after="24"/>
              <w:rPr>
                <w:rFonts w:cs="Times New Roman"/>
              </w:rPr>
            </w:pPr>
            <w:r>
              <w:rPr>
                <w:rFonts w:cs="Times New Roman"/>
              </w:rPr>
              <w:t>80</w:t>
            </w:r>
          </w:p>
        </w:tc>
        <w:tc>
          <w:tcPr>
            <w:tcW w:w="1666" w:type="dxa"/>
            <w:tcBorders>
              <w:top w:val="single" w:color="auto" w:sz="4" w:space="0"/>
              <w:left w:val="single" w:color="auto" w:sz="4" w:space="0"/>
              <w:bottom w:val="single" w:color="auto" w:sz="4" w:space="0"/>
              <w:right w:val="single" w:color="auto" w:sz="4" w:space="0"/>
            </w:tcBorders>
            <w:vAlign w:val="center"/>
          </w:tcPr>
          <w:p w14:paraId="7822DECA">
            <w:pPr>
              <w:pStyle w:val="71"/>
              <w:spacing w:before="24" w:after="24"/>
              <w:rPr>
                <w:rFonts w:cs="Times New Roman"/>
              </w:rPr>
            </w:pPr>
            <w:r>
              <w:rPr>
                <w:rFonts w:cs="Times New Roman"/>
              </w:rPr>
              <w:t>60</w:t>
            </w:r>
          </w:p>
        </w:tc>
        <w:tc>
          <w:tcPr>
            <w:tcW w:w="840" w:type="dxa"/>
            <w:tcBorders>
              <w:top w:val="single" w:color="auto" w:sz="4" w:space="0"/>
              <w:left w:val="single" w:color="auto" w:sz="4" w:space="0"/>
              <w:bottom w:val="single" w:color="auto" w:sz="4" w:space="0"/>
              <w:right w:val="single" w:color="auto" w:sz="4" w:space="0"/>
            </w:tcBorders>
            <w:vAlign w:val="center"/>
          </w:tcPr>
          <w:p w14:paraId="6CC9E8E3">
            <w:pPr>
              <w:pStyle w:val="71"/>
              <w:spacing w:before="24" w:after="24"/>
              <w:rPr>
                <w:rFonts w:cs="Times New Roman"/>
              </w:rPr>
            </w:pPr>
            <w:r>
              <w:rPr>
                <w:rFonts w:cs="Times New Roman"/>
              </w:rPr>
              <w:t>50</w:t>
            </w:r>
          </w:p>
        </w:tc>
        <w:tc>
          <w:tcPr>
            <w:tcW w:w="827" w:type="dxa"/>
            <w:tcBorders>
              <w:top w:val="single" w:color="auto" w:sz="4" w:space="0"/>
              <w:left w:val="single" w:color="auto" w:sz="4" w:space="0"/>
              <w:bottom w:val="single" w:color="auto" w:sz="4" w:space="0"/>
              <w:right w:val="single" w:color="auto" w:sz="4" w:space="0"/>
            </w:tcBorders>
            <w:vAlign w:val="center"/>
          </w:tcPr>
          <w:p w14:paraId="18F82FE6">
            <w:pPr>
              <w:pStyle w:val="71"/>
              <w:spacing w:before="24" w:after="24"/>
              <w:rPr>
                <w:rFonts w:cs="Times New Roman"/>
              </w:rPr>
            </w:pPr>
            <w:r>
              <w:rPr>
                <w:rFonts w:cs="Times New Roman"/>
              </w:rPr>
              <w:t>40</w:t>
            </w:r>
          </w:p>
        </w:tc>
      </w:tr>
      <w:tr w14:paraId="2D53A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4" w:type="dxa"/>
            <w:tcBorders>
              <w:top w:val="single" w:color="auto" w:sz="4" w:space="0"/>
              <w:left w:val="single" w:color="auto" w:sz="4" w:space="0"/>
              <w:bottom w:val="single" w:color="auto" w:sz="4" w:space="0"/>
              <w:right w:val="single" w:color="auto" w:sz="4" w:space="0"/>
            </w:tcBorders>
            <w:vAlign w:val="center"/>
          </w:tcPr>
          <w:p w14:paraId="625C07FD">
            <w:pPr>
              <w:pStyle w:val="71"/>
              <w:spacing w:before="24" w:after="24"/>
              <w:rPr>
                <w:rFonts w:cs="Times New Roman"/>
              </w:rPr>
            </w:pPr>
            <w:r>
              <w:rPr>
                <w:rFonts w:cs="Times New Roman"/>
              </w:rPr>
              <w:t>保护性路肩最小宽度（m）</w:t>
            </w:r>
          </w:p>
        </w:tc>
        <w:tc>
          <w:tcPr>
            <w:tcW w:w="814" w:type="dxa"/>
            <w:tcBorders>
              <w:top w:val="single" w:color="auto" w:sz="4" w:space="0"/>
              <w:left w:val="single" w:color="auto" w:sz="4" w:space="0"/>
              <w:bottom w:val="single" w:color="auto" w:sz="4" w:space="0"/>
              <w:right w:val="single" w:color="auto" w:sz="4" w:space="0"/>
            </w:tcBorders>
            <w:vAlign w:val="center"/>
          </w:tcPr>
          <w:p w14:paraId="7FAB6EF7">
            <w:pPr>
              <w:pStyle w:val="71"/>
              <w:spacing w:before="24" w:after="24"/>
              <w:rPr>
                <w:rFonts w:cs="Times New Roman"/>
              </w:rPr>
            </w:pPr>
            <w:r>
              <w:rPr>
                <w:rFonts w:cs="Times New Roman"/>
              </w:rPr>
              <w:t>0.75</w:t>
            </w:r>
          </w:p>
        </w:tc>
        <w:tc>
          <w:tcPr>
            <w:tcW w:w="800" w:type="dxa"/>
            <w:tcBorders>
              <w:top w:val="single" w:color="auto" w:sz="4" w:space="0"/>
              <w:left w:val="single" w:color="auto" w:sz="4" w:space="0"/>
              <w:bottom w:val="single" w:color="auto" w:sz="4" w:space="0"/>
              <w:right w:val="single" w:color="auto" w:sz="4" w:space="0"/>
            </w:tcBorders>
            <w:vAlign w:val="center"/>
          </w:tcPr>
          <w:p w14:paraId="6ECCF5CF">
            <w:pPr>
              <w:pStyle w:val="71"/>
              <w:spacing w:before="24" w:after="24"/>
              <w:rPr>
                <w:rFonts w:cs="Times New Roman"/>
              </w:rPr>
            </w:pPr>
            <w:r>
              <w:rPr>
                <w:rFonts w:cs="Times New Roman"/>
              </w:rPr>
              <w:t>0.75</w:t>
            </w:r>
          </w:p>
        </w:tc>
        <w:tc>
          <w:tcPr>
            <w:tcW w:w="1666" w:type="dxa"/>
            <w:tcBorders>
              <w:top w:val="single" w:color="auto" w:sz="4" w:space="0"/>
              <w:left w:val="single" w:color="auto" w:sz="4" w:space="0"/>
              <w:bottom w:val="single" w:color="auto" w:sz="4" w:space="0"/>
              <w:right w:val="single" w:color="auto" w:sz="4" w:space="0"/>
            </w:tcBorders>
            <w:vAlign w:val="center"/>
          </w:tcPr>
          <w:p w14:paraId="47FEFE9C">
            <w:pPr>
              <w:pStyle w:val="71"/>
              <w:spacing w:before="24" w:after="24"/>
              <w:rPr>
                <w:rFonts w:cs="Times New Roman"/>
              </w:rPr>
            </w:pPr>
            <w:r>
              <w:rPr>
                <w:rFonts w:cs="Times New Roman"/>
              </w:rPr>
              <w:t>0.75（0.5）</w:t>
            </w:r>
          </w:p>
        </w:tc>
        <w:tc>
          <w:tcPr>
            <w:tcW w:w="840" w:type="dxa"/>
            <w:tcBorders>
              <w:top w:val="single" w:color="auto" w:sz="4" w:space="0"/>
              <w:left w:val="single" w:color="auto" w:sz="4" w:space="0"/>
              <w:bottom w:val="single" w:color="auto" w:sz="4" w:space="0"/>
              <w:right w:val="single" w:color="auto" w:sz="4" w:space="0"/>
            </w:tcBorders>
            <w:vAlign w:val="center"/>
          </w:tcPr>
          <w:p w14:paraId="1C7A7C9E">
            <w:pPr>
              <w:pStyle w:val="71"/>
              <w:spacing w:before="24" w:after="24"/>
              <w:rPr>
                <w:rFonts w:cs="Times New Roman"/>
              </w:rPr>
            </w:pPr>
            <w:r>
              <w:rPr>
                <w:rFonts w:cs="Times New Roman"/>
              </w:rPr>
              <w:t>0.5</w:t>
            </w:r>
          </w:p>
        </w:tc>
        <w:tc>
          <w:tcPr>
            <w:tcW w:w="827" w:type="dxa"/>
            <w:tcBorders>
              <w:top w:val="single" w:color="auto" w:sz="4" w:space="0"/>
              <w:left w:val="single" w:color="auto" w:sz="4" w:space="0"/>
              <w:bottom w:val="single" w:color="auto" w:sz="4" w:space="0"/>
              <w:right w:val="single" w:color="auto" w:sz="4" w:space="0"/>
            </w:tcBorders>
            <w:vAlign w:val="center"/>
          </w:tcPr>
          <w:p w14:paraId="220B79FD">
            <w:pPr>
              <w:pStyle w:val="71"/>
              <w:spacing w:before="24" w:after="24"/>
              <w:rPr>
                <w:rFonts w:cs="Times New Roman"/>
              </w:rPr>
            </w:pPr>
            <w:r>
              <w:rPr>
                <w:rFonts w:cs="Times New Roman"/>
              </w:rPr>
              <w:t>0.5</w:t>
            </w:r>
          </w:p>
        </w:tc>
      </w:tr>
      <w:tr w14:paraId="240ED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4" w:type="dxa"/>
            <w:tcBorders>
              <w:top w:val="single" w:color="auto" w:sz="4" w:space="0"/>
              <w:left w:val="single" w:color="auto" w:sz="4" w:space="0"/>
              <w:bottom w:val="single" w:color="auto" w:sz="4" w:space="0"/>
              <w:right w:val="single" w:color="auto" w:sz="4" w:space="0"/>
            </w:tcBorders>
            <w:vAlign w:val="center"/>
          </w:tcPr>
          <w:p w14:paraId="7D70CB9D">
            <w:pPr>
              <w:pStyle w:val="71"/>
              <w:spacing w:before="24" w:after="24"/>
              <w:rPr>
                <w:rFonts w:cs="Times New Roman"/>
              </w:rPr>
            </w:pPr>
            <w:r>
              <w:rPr>
                <w:rFonts w:cs="Times New Roman"/>
              </w:rPr>
              <w:t>有少量行人时的路肩最小宽度（m）</w:t>
            </w:r>
          </w:p>
        </w:tc>
        <w:tc>
          <w:tcPr>
            <w:tcW w:w="1614" w:type="dxa"/>
            <w:gridSpan w:val="2"/>
            <w:tcBorders>
              <w:top w:val="single" w:color="auto" w:sz="4" w:space="0"/>
              <w:left w:val="single" w:color="auto" w:sz="4" w:space="0"/>
              <w:bottom w:val="single" w:color="auto" w:sz="4" w:space="0"/>
              <w:right w:val="single" w:color="auto" w:sz="4" w:space="0"/>
            </w:tcBorders>
            <w:vAlign w:val="center"/>
          </w:tcPr>
          <w:p w14:paraId="6B402F75">
            <w:pPr>
              <w:pStyle w:val="71"/>
              <w:spacing w:before="24" w:after="24"/>
              <w:rPr>
                <w:rFonts w:cs="Times New Roman"/>
              </w:rPr>
            </w:pPr>
            <w:r>
              <w:rPr>
                <w:rFonts w:cs="Times New Roman"/>
              </w:rPr>
              <w:t>—</w:t>
            </w:r>
          </w:p>
        </w:tc>
        <w:tc>
          <w:tcPr>
            <w:tcW w:w="3333" w:type="dxa"/>
            <w:gridSpan w:val="3"/>
            <w:tcBorders>
              <w:top w:val="single" w:color="auto" w:sz="4" w:space="0"/>
              <w:left w:val="single" w:color="auto" w:sz="4" w:space="0"/>
              <w:bottom w:val="single" w:color="auto" w:sz="4" w:space="0"/>
              <w:right w:val="single" w:color="auto" w:sz="4" w:space="0"/>
            </w:tcBorders>
            <w:vAlign w:val="center"/>
          </w:tcPr>
          <w:p w14:paraId="18698B3A">
            <w:pPr>
              <w:pStyle w:val="71"/>
              <w:spacing w:before="24" w:after="24"/>
              <w:rPr>
                <w:rFonts w:cs="Times New Roman"/>
              </w:rPr>
            </w:pPr>
            <w:r>
              <w:rPr>
                <w:rFonts w:cs="Times New Roman"/>
              </w:rPr>
              <w:t>1.5</w:t>
            </w:r>
          </w:p>
        </w:tc>
      </w:tr>
    </w:tbl>
    <w:p w14:paraId="693F4EE9">
      <w:pPr>
        <w:pStyle w:val="54"/>
        <w:spacing w:before="24" w:after="24"/>
      </w:pPr>
      <w:r>
        <w:t>注：括号内为主干路保护性路肩最小宽度的取值。</w:t>
      </w:r>
    </w:p>
    <w:p w14:paraId="3CC32B6B">
      <w:pPr>
        <w:pStyle w:val="54"/>
        <w:spacing w:before="24" w:after="24"/>
      </w:pPr>
      <w:r>
        <w:t>2.路拱与横坡</w:t>
      </w:r>
    </w:p>
    <w:p w14:paraId="26657B7E">
      <w:pPr>
        <w:pStyle w:val="54"/>
        <w:spacing w:before="24" w:after="24"/>
      </w:pPr>
      <w:r>
        <w:t>（1）机动车路拱形式宜采用直线路拱，沥青混凝土路面路拱设计坡度1.0%～2.0%；</w:t>
      </w:r>
    </w:p>
    <w:p w14:paraId="1E3F5F87">
      <w:pPr>
        <w:pStyle w:val="54"/>
        <w:spacing w:before="24" w:after="24"/>
      </w:pPr>
      <w:r>
        <w:t>（2）非机动车路拱形式宜采用直线单面坡，横坡度宜为1.0%～2.0%；</w:t>
      </w:r>
    </w:p>
    <w:p w14:paraId="00406DDA">
      <w:pPr>
        <w:pStyle w:val="54"/>
        <w:spacing w:before="24" w:after="24"/>
      </w:pPr>
      <w:r>
        <w:t>（3）人行道坡度宜采用单面破，横坡度宜为1.0%～2.0%；</w:t>
      </w:r>
    </w:p>
    <w:p w14:paraId="42C2F353">
      <w:pPr>
        <w:pStyle w:val="54"/>
        <w:spacing w:before="24" w:after="24"/>
      </w:pPr>
      <w:r>
        <w:t>（4）保护性路肩应向道路外侧倾斜，横坡度可比路面横坡度加大1.0%，宜为3.0%。</w:t>
      </w:r>
    </w:p>
    <w:p w14:paraId="4BFD9AA8">
      <w:pPr>
        <w:pStyle w:val="54"/>
        <w:spacing w:before="24" w:after="24"/>
      </w:pPr>
      <w:r>
        <w:t>3.路缘石</w:t>
      </w:r>
    </w:p>
    <w:p w14:paraId="5B230FA6">
      <w:pPr>
        <w:pStyle w:val="54"/>
        <w:spacing w:before="24" w:after="24"/>
      </w:pPr>
      <w:r>
        <w:t>（1）缘石宜高出路面边缘 10~20cm。隧道内线形弯曲路段或陡峻路段等处，可高出路面 25~40cm，并应有足够的埋置深度，以保证稳定。</w:t>
      </w:r>
    </w:p>
    <w:p w14:paraId="6B1C2D5E">
      <w:pPr>
        <w:pStyle w:val="54"/>
        <w:spacing w:before="24" w:after="24"/>
      </w:pPr>
      <w:r>
        <w:t>（2）缘石宜采用立式，出入口宜采用斜式或平式。人行道及人行横道宽度范围内缘石宜采用斜式或平式，便于儿童车、轮椅及残疾人通行。在分隔带端头或交叉口的小半径处，缘石宜采用曲线形。</w:t>
      </w:r>
    </w:p>
    <w:p w14:paraId="330555BA">
      <w:pPr>
        <w:pStyle w:val="54"/>
        <w:spacing w:before="24" w:after="24"/>
      </w:pPr>
      <w:r>
        <w:t>（3）缘石材料宜采用当地石质或水泥混凝土块。水泥混凝土抗压强度不宜低于30MPa。石材强度要不宜低于 30MPa。</w:t>
      </w:r>
    </w:p>
    <w:p w14:paraId="6EB68DAB">
      <w:pPr>
        <w:pStyle w:val="54"/>
        <w:spacing w:before="24" w:after="24"/>
      </w:pPr>
      <w:r>
        <w:t>10.3.5 平面交叉设计</w:t>
      </w:r>
    </w:p>
    <w:p w14:paraId="6C65D5CD">
      <w:pPr>
        <w:pStyle w:val="54"/>
        <w:spacing w:before="24" w:after="24"/>
      </w:pPr>
      <w:r>
        <w:t>1.平面交叉口应根据城市道路的布置、相交道路等级、交通组织等选择合适的类型，并应符合下列规定:</w:t>
      </w:r>
    </w:p>
    <w:p w14:paraId="19C7FCE8">
      <w:pPr>
        <w:pStyle w:val="54"/>
        <w:spacing w:before="24" w:after="24"/>
      </w:pPr>
      <w:r>
        <w:t>（1）主干路与主干路、主干路与次干路、次干路与次干路相交，应采用信号控制交叉口。</w:t>
      </w:r>
    </w:p>
    <w:p w14:paraId="283E0542">
      <w:pPr>
        <w:pStyle w:val="54"/>
        <w:spacing w:before="24" w:after="24"/>
      </w:pPr>
      <w:r>
        <w:t>（2）主干路与支路，支路可采用右进右出的交通组织方式。</w:t>
      </w:r>
    </w:p>
    <w:p w14:paraId="6E5C788F">
      <w:pPr>
        <w:pStyle w:val="54"/>
        <w:spacing w:before="24" w:after="24"/>
      </w:pPr>
      <w:r>
        <w:t>2.平面交叉口的间距应根据城市规模、路网规划、道路等级、设计速度、设计交通量及高峰期间最大阻车长度等确定，满足进出口道总长度要求，且不宜小于150m。</w:t>
      </w:r>
    </w:p>
    <w:p w14:paraId="6C8A0001">
      <w:pPr>
        <w:pStyle w:val="54"/>
        <w:spacing w:before="24" w:after="24"/>
      </w:pPr>
      <w:r>
        <w:t>3.平面交叉口设计范围应包括各条道路的相交部分、进出口道（展宽段和渐变段）以及非机动车道、人行道和过街设施所围成的区域。</w:t>
      </w:r>
    </w:p>
    <w:p w14:paraId="052F2286">
      <w:pPr>
        <w:pStyle w:val="54"/>
        <w:spacing w:before="24" w:after="24"/>
      </w:pPr>
      <w:r>
        <w:t>4.平面交叉口范围内的设计速度宜为路段的0.5倍~0.7倍，直行车可取大值，转弯车可取小值。当验算视距三角形时，进口道直行车设计速度应与路段设计速度一致。</w:t>
      </w:r>
    </w:p>
    <w:p w14:paraId="7C4C2167">
      <w:pPr>
        <w:pStyle w:val="54"/>
        <w:spacing w:before="24" w:after="24"/>
      </w:pPr>
      <w:r>
        <w:t>5.平面交叉口范围内的道路平面线形宜采用直线;当采用圆曲线时，其圆曲线半径宜大于不设超高的最小圆曲线半径。</w:t>
      </w:r>
    </w:p>
    <w:p w14:paraId="0FAA6B80">
      <w:pPr>
        <w:pStyle w:val="54"/>
        <w:spacing w:before="24" w:after="24"/>
      </w:pPr>
      <w:r>
        <w:t>6.平面交叉口范围内的道路纵坡不宜大于2.5%，困难情况下不应大于3.0%。山区城市道路等特殊情况，在保证行车安全的条件下可适当增加，但不应大于4%。</w:t>
      </w:r>
    </w:p>
    <w:p w14:paraId="17EAC360">
      <w:pPr>
        <w:pStyle w:val="54"/>
        <w:spacing w:before="24" w:after="24"/>
      </w:pPr>
      <w:r>
        <w:t>7.平面交叉口竖向设计应保持主要道路的纵坡度不变，次要道路纵坡度宜服从主要道路。</w:t>
      </w:r>
    </w:p>
    <w:p w14:paraId="2456045B">
      <w:pPr>
        <w:pStyle w:val="54"/>
        <w:spacing w:before="24" w:after="24"/>
      </w:pPr>
      <w:r>
        <w:t>8.平面交叉口均应设置行人和非机动车过街设施，并应与交叉口的几何特征、人流车流、交通组织方式等相协调，宜优先选用平面过街方式。当人行横道穿越机动车道部分的长度大于16m时，应设置行人二次过街安全岛。</w:t>
      </w:r>
    </w:p>
    <w:p w14:paraId="12F1DFAB">
      <w:pPr>
        <w:pStyle w:val="54"/>
        <w:spacing w:before="24" w:after="24"/>
      </w:pPr>
      <w:r>
        <w:t>10.3.6路面设计</w:t>
      </w:r>
    </w:p>
    <w:p w14:paraId="641E56F8">
      <w:pPr>
        <w:pStyle w:val="54"/>
        <w:spacing w:before="24" w:after="24"/>
      </w:pPr>
      <w:r>
        <w:t>1.道路路面设计应符合下列规定:</w:t>
      </w:r>
    </w:p>
    <w:p w14:paraId="7AFB5C9B">
      <w:pPr>
        <w:pStyle w:val="54"/>
        <w:spacing w:before="24" w:after="24"/>
      </w:pPr>
      <w:r>
        <w:t>（1）根据道路的地理地质条件、路基土特性、路基水文及气候环境状况，考虑强度、刚度、稳定性和耐久性因素，进行路基路面整体结构综合设计;</w:t>
      </w:r>
    </w:p>
    <w:p w14:paraId="181C9175">
      <w:pPr>
        <w:pStyle w:val="54"/>
        <w:spacing w:before="24" w:after="24"/>
      </w:pPr>
      <w:r>
        <w:t>（2）因地制宜、合理选材、降低能耗，充分利用再生材料;</w:t>
      </w:r>
    </w:p>
    <w:p w14:paraId="1B0505C1">
      <w:pPr>
        <w:pStyle w:val="54"/>
        <w:spacing w:before="24" w:after="24"/>
      </w:pPr>
      <w:r>
        <w:t>（3）应便于施工，利于养护并减少对周边环境及生态的影响;</w:t>
      </w:r>
    </w:p>
    <w:p w14:paraId="2ABA8532">
      <w:pPr>
        <w:pStyle w:val="54"/>
        <w:spacing w:before="24" w:after="24"/>
      </w:pPr>
      <w:r>
        <w:t>（4）对交叉口进口道和停靠站等路段进行特殊设计;</w:t>
      </w:r>
    </w:p>
    <w:p w14:paraId="50949EF6">
      <w:pPr>
        <w:pStyle w:val="54"/>
        <w:spacing w:before="24" w:after="24"/>
      </w:pPr>
      <w:r>
        <w:t>（5）应具有行车安全、舒适和与环境、生态及社会协调的综合效益。</w:t>
      </w:r>
    </w:p>
    <w:p w14:paraId="70A32E5D">
      <w:pPr>
        <w:pStyle w:val="54"/>
        <w:spacing w:before="24" w:after="24"/>
      </w:pPr>
      <w:r>
        <w:t>2.设计要素</w:t>
      </w:r>
    </w:p>
    <w:p w14:paraId="3F368E4F">
      <w:pPr>
        <w:pStyle w:val="54"/>
        <w:spacing w:before="24" w:after="24"/>
      </w:pPr>
      <w:r>
        <w:t>（1）路面设计基准期</w:t>
      </w:r>
    </w:p>
    <w:p w14:paraId="2AFE5587">
      <w:pPr>
        <w:pStyle w:val="54"/>
        <w:spacing w:before="24" w:after="24"/>
      </w:pPr>
      <w:r>
        <w:t>1）道路设计交通量达到饱和状态时的设计基准期：主干路应为20年;</w:t>
      </w:r>
    </w:p>
    <w:p w14:paraId="7A23D3F0">
      <w:pPr>
        <w:pStyle w:val="54"/>
        <w:spacing w:before="24" w:after="24"/>
      </w:pPr>
      <w:r>
        <w:t>2）沥青混凝土路面结构的设计基准期：主干路应为15年。</w:t>
      </w:r>
    </w:p>
    <w:p w14:paraId="4B868B5C">
      <w:pPr>
        <w:pStyle w:val="54"/>
        <w:spacing w:before="24" w:after="24"/>
      </w:pPr>
      <w:r>
        <w:t>（2）标准轴载</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96"/>
        <w:gridCol w:w="1635"/>
      </w:tblGrid>
      <w:tr w14:paraId="60874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6" w:type="dxa"/>
            <w:tcBorders>
              <w:top w:val="single" w:color="auto" w:sz="4" w:space="0"/>
              <w:left w:val="single" w:color="auto" w:sz="4" w:space="0"/>
              <w:bottom w:val="single" w:color="auto" w:sz="4" w:space="0"/>
              <w:right w:val="single" w:color="auto" w:sz="4" w:space="0"/>
            </w:tcBorders>
            <w:vAlign w:val="center"/>
          </w:tcPr>
          <w:p w14:paraId="039D14ED">
            <w:pPr>
              <w:pStyle w:val="71"/>
              <w:spacing w:before="24" w:after="24"/>
              <w:rPr>
                <w:rFonts w:cs="Times New Roman"/>
              </w:rPr>
            </w:pPr>
            <w:r>
              <w:rPr>
                <w:rFonts w:cs="Times New Roman"/>
              </w:rPr>
              <w:t>标准轴载</w:t>
            </w:r>
          </w:p>
        </w:tc>
        <w:tc>
          <w:tcPr>
            <w:tcW w:w="1635" w:type="dxa"/>
            <w:tcBorders>
              <w:top w:val="single" w:color="auto" w:sz="4" w:space="0"/>
              <w:left w:val="single" w:color="auto" w:sz="4" w:space="0"/>
              <w:bottom w:val="single" w:color="auto" w:sz="4" w:space="0"/>
              <w:right w:val="single" w:color="auto" w:sz="4" w:space="0"/>
            </w:tcBorders>
            <w:vAlign w:val="center"/>
          </w:tcPr>
          <w:p w14:paraId="3C388D08">
            <w:pPr>
              <w:pStyle w:val="71"/>
              <w:spacing w:before="24" w:after="24"/>
              <w:rPr>
                <w:rFonts w:cs="Times New Roman"/>
              </w:rPr>
            </w:pPr>
            <w:r>
              <w:rPr>
                <w:rFonts w:cs="Times New Roman"/>
              </w:rPr>
              <w:t>BZZ-100</w:t>
            </w:r>
          </w:p>
        </w:tc>
      </w:tr>
      <w:tr w14:paraId="106D5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6" w:type="dxa"/>
            <w:tcBorders>
              <w:top w:val="single" w:color="auto" w:sz="4" w:space="0"/>
              <w:left w:val="single" w:color="auto" w:sz="4" w:space="0"/>
              <w:bottom w:val="single" w:color="auto" w:sz="4" w:space="0"/>
              <w:right w:val="single" w:color="auto" w:sz="4" w:space="0"/>
            </w:tcBorders>
            <w:vAlign w:val="center"/>
          </w:tcPr>
          <w:p w14:paraId="412C7AD1">
            <w:pPr>
              <w:pStyle w:val="71"/>
              <w:spacing w:before="24" w:after="24"/>
              <w:rPr>
                <w:rFonts w:cs="Times New Roman"/>
              </w:rPr>
            </w:pPr>
            <w:r>
              <w:rPr>
                <w:rFonts w:cs="Times New Roman"/>
              </w:rPr>
              <w:t>标准轴载P（KN）</w:t>
            </w:r>
          </w:p>
        </w:tc>
        <w:tc>
          <w:tcPr>
            <w:tcW w:w="1635" w:type="dxa"/>
            <w:tcBorders>
              <w:top w:val="single" w:color="auto" w:sz="4" w:space="0"/>
              <w:left w:val="single" w:color="auto" w:sz="4" w:space="0"/>
              <w:bottom w:val="single" w:color="auto" w:sz="4" w:space="0"/>
              <w:right w:val="single" w:color="auto" w:sz="4" w:space="0"/>
            </w:tcBorders>
            <w:vAlign w:val="center"/>
          </w:tcPr>
          <w:p w14:paraId="62707CB7">
            <w:pPr>
              <w:pStyle w:val="71"/>
              <w:spacing w:before="24" w:after="24"/>
              <w:rPr>
                <w:rFonts w:cs="Times New Roman"/>
              </w:rPr>
            </w:pPr>
            <w:r>
              <w:rPr>
                <w:rFonts w:cs="Times New Roman"/>
              </w:rPr>
              <w:t>100</w:t>
            </w:r>
          </w:p>
        </w:tc>
      </w:tr>
      <w:tr w14:paraId="5E791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6" w:type="dxa"/>
            <w:tcBorders>
              <w:top w:val="single" w:color="auto" w:sz="4" w:space="0"/>
              <w:left w:val="single" w:color="auto" w:sz="4" w:space="0"/>
              <w:bottom w:val="single" w:color="auto" w:sz="4" w:space="0"/>
              <w:right w:val="single" w:color="auto" w:sz="4" w:space="0"/>
            </w:tcBorders>
            <w:vAlign w:val="center"/>
          </w:tcPr>
          <w:p w14:paraId="4E63354B">
            <w:pPr>
              <w:pStyle w:val="71"/>
              <w:spacing w:before="24" w:after="24"/>
              <w:rPr>
                <w:rFonts w:cs="Times New Roman"/>
              </w:rPr>
            </w:pPr>
            <w:r>
              <w:rPr>
                <w:rFonts w:cs="Times New Roman"/>
              </w:rPr>
              <w:t>轮胎接地压强P（MPa）</w:t>
            </w:r>
          </w:p>
        </w:tc>
        <w:tc>
          <w:tcPr>
            <w:tcW w:w="1635" w:type="dxa"/>
            <w:tcBorders>
              <w:top w:val="single" w:color="auto" w:sz="4" w:space="0"/>
              <w:left w:val="single" w:color="auto" w:sz="4" w:space="0"/>
              <w:bottom w:val="single" w:color="auto" w:sz="4" w:space="0"/>
              <w:right w:val="single" w:color="auto" w:sz="4" w:space="0"/>
            </w:tcBorders>
            <w:vAlign w:val="center"/>
          </w:tcPr>
          <w:p w14:paraId="4F006D97">
            <w:pPr>
              <w:pStyle w:val="71"/>
              <w:spacing w:before="24" w:after="24"/>
              <w:rPr>
                <w:rFonts w:cs="Times New Roman"/>
              </w:rPr>
            </w:pPr>
            <w:r>
              <w:rPr>
                <w:rFonts w:cs="Times New Roman"/>
              </w:rPr>
              <w:t>0.70</w:t>
            </w:r>
          </w:p>
        </w:tc>
      </w:tr>
      <w:tr w14:paraId="4F1E8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6" w:type="dxa"/>
            <w:tcBorders>
              <w:top w:val="single" w:color="auto" w:sz="4" w:space="0"/>
              <w:left w:val="single" w:color="auto" w:sz="4" w:space="0"/>
              <w:bottom w:val="single" w:color="auto" w:sz="4" w:space="0"/>
              <w:right w:val="single" w:color="auto" w:sz="4" w:space="0"/>
            </w:tcBorders>
            <w:vAlign w:val="center"/>
          </w:tcPr>
          <w:p w14:paraId="657CAAC4">
            <w:pPr>
              <w:pStyle w:val="71"/>
              <w:spacing w:before="24" w:after="24"/>
              <w:rPr>
                <w:rFonts w:cs="Times New Roman"/>
              </w:rPr>
            </w:pPr>
            <w:r>
              <w:rPr>
                <w:rFonts w:cs="Times New Roman"/>
              </w:rPr>
              <w:t>单轮传压面当量圆直径d（cm）</w:t>
            </w:r>
          </w:p>
        </w:tc>
        <w:tc>
          <w:tcPr>
            <w:tcW w:w="1635" w:type="dxa"/>
            <w:tcBorders>
              <w:top w:val="single" w:color="auto" w:sz="4" w:space="0"/>
              <w:left w:val="single" w:color="auto" w:sz="4" w:space="0"/>
              <w:bottom w:val="single" w:color="auto" w:sz="4" w:space="0"/>
              <w:right w:val="single" w:color="auto" w:sz="4" w:space="0"/>
            </w:tcBorders>
            <w:vAlign w:val="center"/>
          </w:tcPr>
          <w:p w14:paraId="7AB00E38">
            <w:pPr>
              <w:pStyle w:val="71"/>
              <w:spacing w:before="24" w:after="24"/>
              <w:rPr>
                <w:rFonts w:cs="Times New Roman"/>
              </w:rPr>
            </w:pPr>
            <w:r>
              <w:rPr>
                <w:rFonts w:cs="Times New Roman"/>
              </w:rPr>
              <w:t>21.30</w:t>
            </w:r>
          </w:p>
        </w:tc>
      </w:tr>
      <w:tr w14:paraId="0445E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6" w:type="dxa"/>
            <w:tcBorders>
              <w:top w:val="single" w:color="auto" w:sz="4" w:space="0"/>
              <w:left w:val="single" w:color="auto" w:sz="4" w:space="0"/>
              <w:bottom w:val="single" w:color="auto" w:sz="4" w:space="0"/>
              <w:right w:val="single" w:color="auto" w:sz="4" w:space="0"/>
            </w:tcBorders>
            <w:vAlign w:val="center"/>
          </w:tcPr>
          <w:p w14:paraId="60F6ABAB">
            <w:pPr>
              <w:pStyle w:val="71"/>
              <w:spacing w:before="24" w:after="24"/>
              <w:rPr>
                <w:rFonts w:cs="Times New Roman"/>
              </w:rPr>
            </w:pPr>
            <w:r>
              <w:rPr>
                <w:rFonts w:cs="Times New Roman"/>
              </w:rPr>
              <w:t>两轮中心距（cm）</w:t>
            </w:r>
          </w:p>
        </w:tc>
        <w:tc>
          <w:tcPr>
            <w:tcW w:w="1635" w:type="dxa"/>
            <w:tcBorders>
              <w:top w:val="single" w:color="auto" w:sz="4" w:space="0"/>
              <w:left w:val="single" w:color="auto" w:sz="4" w:space="0"/>
              <w:bottom w:val="single" w:color="auto" w:sz="4" w:space="0"/>
              <w:right w:val="single" w:color="auto" w:sz="4" w:space="0"/>
            </w:tcBorders>
            <w:vAlign w:val="center"/>
          </w:tcPr>
          <w:p w14:paraId="7224AE76">
            <w:pPr>
              <w:pStyle w:val="71"/>
              <w:spacing w:before="24" w:after="24"/>
              <w:rPr>
                <w:rFonts w:cs="Times New Roman"/>
              </w:rPr>
            </w:pPr>
            <w:r>
              <w:rPr>
                <w:rFonts w:cs="Times New Roman"/>
              </w:rPr>
              <w:t>1.5d</w:t>
            </w:r>
          </w:p>
        </w:tc>
      </w:tr>
    </w:tbl>
    <w:p w14:paraId="07F8FAB9">
      <w:pPr>
        <w:pStyle w:val="54"/>
        <w:spacing w:before="24" w:after="24"/>
      </w:pPr>
      <w:r>
        <w:t>设计交通量的计算应将不同轴载的各种车辆换算成BZZ-100 标准轴载的当量轴次。</w:t>
      </w:r>
    </w:p>
    <w:p w14:paraId="75B73277">
      <w:pPr>
        <w:pStyle w:val="54"/>
        <w:spacing w:before="24" w:after="24"/>
      </w:pPr>
      <w:r>
        <w:t>3.路面结构层选择</w:t>
      </w:r>
    </w:p>
    <w:p w14:paraId="10180654">
      <w:pPr>
        <w:pStyle w:val="54"/>
        <w:spacing w:before="24" w:after="24"/>
      </w:pPr>
      <w:r>
        <w:t>结合本项目上位规划及可研批复，本项目道路路面均采用沥青混凝土路面。</w:t>
      </w:r>
    </w:p>
    <w:p w14:paraId="04B78B2D">
      <w:pPr>
        <w:pStyle w:val="54"/>
        <w:spacing w:before="24" w:after="24"/>
      </w:pPr>
      <w:r>
        <w:t>（1）主干道机动车道</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71"/>
        <w:gridCol w:w="2221"/>
      </w:tblGrid>
      <w:tr w14:paraId="5E2B3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971" w:type="dxa"/>
            <w:tcBorders>
              <w:top w:val="single" w:color="auto" w:sz="4" w:space="0"/>
              <w:left w:val="single" w:color="auto" w:sz="4" w:space="0"/>
              <w:bottom w:val="single" w:color="auto" w:sz="4" w:space="0"/>
              <w:right w:val="single" w:color="auto" w:sz="4" w:space="0"/>
            </w:tcBorders>
            <w:vAlign w:val="center"/>
          </w:tcPr>
          <w:p w14:paraId="1062FBD7">
            <w:pPr>
              <w:pStyle w:val="71"/>
              <w:spacing w:before="24" w:after="24"/>
              <w:rPr>
                <w:rFonts w:cs="Times New Roman"/>
              </w:rPr>
            </w:pPr>
            <w:r>
              <w:rPr>
                <w:rFonts w:cs="Times New Roman"/>
              </w:rPr>
              <w:t>结构层</w:t>
            </w:r>
          </w:p>
        </w:tc>
        <w:tc>
          <w:tcPr>
            <w:tcW w:w="2221" w:type="dxa"/>
            <w:tcBorders>
              <w:top w:val="single" w:color="auto" w:sz="4" w:space="0"/>
              <w:left w:val="single" w:color="auto" w:sz="4" w:space="0"/>
              <w:bottom w:val="single" w:color="auto" w:sz="4" w:space="0"/>
              <w:right w:val="single" w:color="auto" w:sz="4" w:space="0"/>
            </w:tcBorders>
            <w:vAlign w:val="center"/>
          </w:tcPr>
          <w:p w14:paraId="40642D50">
            <w:pPr>
              <w:pStyle w:val="71"/>
              <w:spacing w:before="24" w:after="24"/>
              <w:rPr>
                <w:rFonts w:cs="Times New Roman"/>
              </w:rPr>
            </w:pPr>
            <w:r>
              <w:rPr>
                <w:rFonts w:cs="Times New Roman"/>
              </w:rPr>
              <w:t>厚度（cm）</w:t>
            </w:r>
          </w:p>
        </w:tc>
      </w:tr>
      <w:tr w14:paraId="06F24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71" w:type="dxa"/>
            <w:tcBorders>
              <w:top w:val="single" w:color="auto" w:sz="4" w:space="0"/>
              <w:left w:val="single" w:color="auto" w:sz="4" w:space="0"/>
              <w:bottom w:val="single" w:color="auto" w:sz="4" w:space="0"/>
              <w:right w:val="single" w:color="auto" w:sz="4" w:space="0"/>
            </w:tcBorders>
            <w:vAlign w:val="center"/>
          </w:tcPr>
          <w:p w14:paraId="3AFBD587">
            <w:pPr>
              <w:pStyle w:val="71"/>
              <w:spacing w:before="24" w:after="24"/>
              <w:rPr>
                <w:rFonts w:cs="Times New Roman"/>
              </w:rPr>
            </w:pPr>
            <w:r>
              <w:rPr>
                <w:rFonts w:cs="Times New Roman"/>
              </w:rPr>
              <w:t>细粒式沥青混凝土 AC-13C（5％SBS 改性剂）</w:t>
            </w:r>
          </w:p>
        </w:tc>
        <w:tc>
          <w:tcPr>
            <w:tcW w:w="2221" w:type="dxa"/>
            <w:tcBorders>
              <w:top w:val="single" w:color="auto" w:sz="4" w:space="0"/>
              <w:left w:val="single" w:color="auto" w:sz="4" w:space="0"/>
              <w:bottom w:val="single" w:color="auto" w:sz="4" w:space="0"/>
              <w:right w:val="single" w:color="auto" w:sz="4" w:space="0"/>
            </w:tcBorders>
            <w:vAlign w:val="center"/>
          </w:tcPr>
          <w:p w14:paraId="6A3B7B33">
            <w:pPr>
              <w:pStyle w:val="71"/>
              <w:spacing w:before="24" w:after="24"/>
              <w:rPr>
                <w:rFonts w:cs="Times New Roman"/>
              </w:rPr>
            </w:pPr>
            <w:r>
              <w:rPr>
                <w:rFonts w:cs="Times New Roman"/>
              </w:rPr>
              <w:t>4</w:t>
            </w:r>
          </w:p>
        </w:tc>
      </w:tr>
      <w:tr w14:paraId="7B29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71" w:type="dxa"/>
            <w:tcBorders>
              <w:top w:val="single" w:color="auto" w:sz="4" w:space="0"/>
              <w:left w:val="single" w:color="auto" w:sz="4" w:space="0"/>
              <w:bottom w:val="single" w:color="auto" w:sz="4" w:space="0"/>
              <w:right w:val="single" w:color="auto" w:sz="4" w:space="0"/>
            </w:tcBorders>
            <w:vAlign w:val="center"/>
          </w:tcPr>
          <w:p w14:paraId="17B1538F">
            <w:pPr>
              <w:pStyle w:val="71"/>
              <w:spacing w:before="24" w:after="24"/>
              <w:rPr>
                <w:rFonts w:cs="Times New Roman"/>
              </w:rPr>
            </w:pPr>
            <w:r>
              <w:rPr>
                <w:rFonts w:cs="Times New Roman"/>
              </w:rPr>
              <w:t>粘层</w:t>
            </w:r>
          </w:p>
        </w:tc>
        <w:tc>
          <w:tcPr>
            <w:tcW w:w="2221" w:type="dxa"/>
            <w:tcBorders>
              <w:top w:val="single" w:color="auto" w:sz="4" w:space="0"/>
              <w:left w:val="single" w:color="auto" w:sz="4" w:space="0"/>
              <w:bottom w:val="single" w:color="auto" w:sz="4" w:space="0"/>
              <w:right w:val="single" w:color="auto" w:sz="4" w:space="0"/>
            </w:tcBorders>
            <w:vAlign w:val="center"/>
          </w:tcPr>
          <w:p w14:paraId="08DF576A">
            <w:pPr>
              <w:pStyle w:val="71"/>
              <w:spacing w:before="24" w:after="24"/>
              <w:rPr>
                <w:rFonts w:cs="Times New Roman"/>
              </w:rPr>
            </w:pPr>
            <w:r>
              <w:rPr>
                <w:rFonts w:cs="Times New Roman"/>
              </w:rPr>
              <w:t>-</w:t>
            </w:r>
          </w:p>
        </w:tc>
      </w:tr>
      <w:tr w14:paraId="5E8D6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71" w:type="dxa"/>
            <w:tcBorders>
              <w:top w:val="single" w:color="auto" w:sz="4" w:space="0"/>
              <w:left w:val="single" w:color="auto" w:sz="4" w:space="0"/>
              <w:bottom w:val="single" w:color="auto" w:sz="4" w:space="0"/>
              <w:right w:val="single" w:color="auto" w:sz="4" w:space="0"/>
            </w:tcBorders>
            <w:vAlign w:val="center"/>
          </w:tcPr>
          <w:p w14:paraId="76F29D96">
            <w:pPr>
              <w:pStyle w:val="71"/>
              <w:spacing w:before="24" w:after="24"/>
              <w:rPr>
                <w:rFonts w:cs="Times New Roman"/>
              </w:rPr>
            </w:pPr>
            <w:r>
              <w:rPr>
                <w:rFonts w:cs="Times New Roman"/>
              </w:rPr>
              <w:t>中粒式沥青混凝土 AC-20C</w:t>
            </w:r>
          </w:p>
        </w:tc>
        <w:tc>
          <w:tcPr>
            <w:tcW w:w="2221" w:type="dxa"/>
            <w:tcBorders>
              <w:top w:val="single" w:color="auto" w:sz="4" w:space="0"/>
              <w:left w:val="single" w:color="auto" w:sz="4" w:space="0"/>
              <w:bottom w:val="single" w:color="auto" w:sz="4" w:space="0"/>
              <w:right w:val="single" w:color="auto" w:sz="4" w:space="0"/>
            </w:tcBorders>
            <w:vAlign w:val="center"/>
          </w:tcPr>
          <w:p w14:paraId="5494765B">
            <w:pPr>
              <w:pStyle w:val="71"/>
              <w:spacing w:before="24" w:after="24"/>
              <w:rPr>
                <w:rFonts w:cs="Times New Roman"/>
              </w:rPr>
            </w:pPr>
            <w:r>
              <w:rPr>
                <w:rFonts w:cs="Times New Roman"/>
              </w:rPr>
              <w:t>5</w:t>
            </w:r>
          </w:p>
        </w:tc>
      </w:tr>
      <w:tr w14:paraId="55470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71" w:type="dxa"/>
            <w:tcBorders>
              <w:top w:val="single" w:color="auto" w:sz="4" w:space="0"/>
              <w:left w:val="single" w:color="auto" w:sz="4" w:space="0"/>
              <w:bottom w:val="single" w:color="auto" w:sz="4" w:space="0"/>
              <w:right w:val="single" w:color="auto" w:sz="4" w:space="0"/>
            </w:tcBorders>
            <w:vAlign w:val="center"/>
          </w:tcPr>
          <w:p w14:paraId="72859CF6">
            <w:pPr>
              <w:pStyle w:val="71"/>
              <w:spacing w:before="24" w:after="24"/>
              <w:rPr>
                <w:rFonts w:cs="Times New Roman"/>
              </w:rPr>
            </w:pPr>
            <w:r>
              <w:rPr>
                <w:rFonts w:cs="Times New Roman"/>
              </w:rPr>
              <w:t>粘层</w:t>
            </w:r>
          </w:p>
        </w:tc>
        <w:tc>
          <w:tcPr>
            <w:tcW w:w="2221" w:type="dxa"/>
            <w:tcBorders>
              <w:top w:val="single" w:color="auto" w:sz="4" w:space="0"/>
              <w:left w:val="single" w:color="auto" w:sz="4" w:space="0"/>
              <w:bottom w:val="single" w:color="auto" w:sz="4" w:space="0"/>
              <w:right w:val="single" w:color="auto" w:sz="4" w:space="0"/>
            </w:tcBorders>
            <w:vAlign w:val="center"/>
          </w:tcPr>
          <w:p w14:paraId="0AE383E1">
            <w:pPr>
              <w:pStyle w:val="71"/>
              <w:spacing w:before="24" w:after="24"/>
              <w:rPr>
                <w:rFonts w:cs="Times New Roman"/>
              </w:rPr>
            </w:pPr>
            <w:r>
              <w:rPr>
                <w:rFonts w:cs="Times New Roman"/>
              </w:rPr>
              <w:t>-</w:t>
            </w:r>
          </w:p>
        </w:tc>
      </w:tr>
      <w:tr w14:paraId="473DB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971" w:type="dxa"/>
            <w:tcBorders>
              <w:top w:val="single" w:color="auto" w:sz="4" w:space="0"/>
              <w:left w:val="single" w:color="auto" w:sz="4" w:space="0"/>
              <w:bottom w:val="single" w:color="auto" w:sz="4" w:space="0"/>
              <w:right w:val="single" w:color="auto" w:sz="4" w:space="0"/>
            </w:tcBorders>
            <w:vAlign w:val="center"/>
          </w:tcPr>
          <w:p w14:paraId="2015CAB0">
            <w:pPr>
              <w:pStyle w:val="71"/>
              <w:spacing w:before="24" w:after="24"/>
              <w:rPr>
                <w:rFonts w:cs="Times New Roman"/>
              </w:rPr>
            </w:pPr>
            <w:r>
              <w:rPr>
                <w:rFonts w:cs="Times New Roman"/>
              </w:rPr>
              <w:t>粗粒式沥青混凝土 AC-25C</w:t>
            </w:r>
          </w:p>
        </w:tc>
        <w:tc>
          <w:tcPr>
            <w:tcW w:w="2221" w:type="dxa"/>
            <w:tcBorders>
              <w:top w:val="single" w:color="auto" w:sz="4" w:space="0"/>
              <w:left w:val="single" w:color="auto" w:sz="4" w:space="0"/>
              <w:bottom w:val="single" w:color="auto" w:sz="4" w:space="0"/>
              <w:right w:val="single" w:color="auto" w:sz="4" w:space="0"/>
            </w:tcBorders>
            <w:vAlign w:val="center"/>
          </w:tcPr>
          <w:p w14:paraId="7F0D95EE">
            <w:pPr>
              <w:pStyle w:val="71"/>
              <w:spacing w:before="24" w:after="24"/>
              <w:rPr>
                <w:rFonts w:cs="Times New Roman"/>
              </w:rPr>
            </w:pPr>
            <w:r>
              <w:rPr>
                <w:rFonts w:cs="Times New Roman"/>
              </w:rPr>
              <w:t>7</w:t>
            </w:r>
          </w:p>
        </w:tc>
      </w:tr>
      <w:tr w14:paraId="537BE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71" w:type="dxa"/>
            <w:tcBorders>
              <w:top w:val="single" w:color="auto" w:sz="4" w:space="0"/>
              <w:left w:val="single" w:color="auto" w:sz="4" w:space="0"/>
              <w:bottom w:val="single" w:color="auto" w:sz="4" w:space="0"/>
              <w:right w:val="single" w:color="auto" w:sz="4" w:space="0"/>
            </w:tcBorders>
            <w:vAlign w:val="center"/>
          </w:tcPr>
          <w:p w14:paraId="268A83A6">
            <w:pPr>
              <w:pStyle w:val="71"/>
              <w:spacing w:before="24" w:after="24"/>
              <w:rPr>
                <w:rFonts w:cs="Times New Roman"/>
              </w:rPr>
            </w:pPr>
            <w:r>
              <w:rPr>
                <w:rFonts w:cs="Times New Roman"/>
              </w:rPr>
              <w:t>BCR 稀浆封层</w:t>
            </w:r>
          </w:p>
        </w:tc>
        <w:tc>
          <w:tcPr>
            <w:tcW w:w="2221" w:type="dxa"/>
            <w:tcBorders>
              <w:top w:val="single" w:color="auto" w:sz="4" w:space="0"/>
              <w:left w:val="single" w:color="auto" w:sz="4" w:space="0"/>
              <w:bottom w:val="single" w:color="auto" w:sz="4" w:space="0"/>
              <w:right w:val="single" w:color="auto" w:sz="4" w:space="0"/>
            </w:tcBorders>
            <w:vAlign w:val="center"/>
          </w:tcPr>
          <w:p w14:paraId="2AE94EAC">
            <w:pPr>
              <w:pStyle w:val="71"/>
              <w:spacing w:before="24" w:after="24"/>
              <w:rPr>
                <w:rFonts w:cs="Times New Roman"/>
              </w:rPr>
            </w:pPr>
            <w:r>
              <w:rPr>
                <w:rFonts w:cs="Times New Roman"/>
              </w:rPr>
              <w:t>0.6</w:t>
            </w:r>
          </w:p>
        </w:tc>
      </w:tr>
      <w:tr w14:paraId="5CD9A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71" w:type="dxa"/>
            <w:tcBorders>
              <w:top w:val="single" w:color="auto" w:sz="4" w:space="0"/>
              <w:left w:val="single" w:color="auto" w:sz="4" w:space="0"/>
              <w:bottom w:val="single" w:color="auto" w:sz="4" w:space="0"/>
              <w:right w:val="single" w:color="auto" w:sz="4" w:space="0"/>
            </w:tcBorders>
            <w:vAlign w:val="center"/>
          </w:tcPr>
          <w:p w14:paraId="5474ED88">
            <w:pPr>
              <w:pStyle w:val="71"/>
              <w:spacing w:before="24" w:after="24"/>
              <w:rPr>
                <w:rFonts w:cs="Times New Roman"/>
              </w:rPr>
            </w:pPr>
            <w:r>
              <w:rPr>
                <w:rFonts w:cs="Times New Roman"/>
              </w:rPr>
              <w:t>PC-2 透层</w:t>
            </w:r>
          </w:p>
        </w:tc>
        <w:tc>
          <w:tcPr>
            <w:tcW w:w="2221" w:type="dxa"/>
            <w:tcBorders>
              <w:top w:val="single" w:color="auto" w:sz="4" w:space="0"/>
              <w:left w:val="single" w:color="auto" w:sz="4" w:space="0"/>
              <w:bottom w:val="single" w:color="auto" w:sz="4" w:space="0"/>
              <w:right w:val="single" w:color="auto" w:sz="4" w:space="0"/>
            </w:tcBorders>
            <w:vAlign w:val="center"/>
          </w:tcPr>
          <w:p w14:paraId="24C962A2">
            <w:pPr>
              <w:pStyle w:val="71"/>
              <w:spacing w:before="24" w:after="24"/>
              <w:rPr>
                <w:rFonts w:cs="Times New Roman"/>
              </w:rPr>
            </w:pPr>
          </w:p>
        </w:tc>
      </w:tr>
      <w:tr w14:paraId="3198F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71" w:type="dxa"/>
            <w:tcBorders>
              <w:top w:val="single" w:color="auto" w:sz="4" w:space="0"/>
              <w:left w:val="single" w:color="auto" w:sz="4" w:space="0"/>
              <w:bottom w:val="single" w:color="auto" w:sz="4" w:space="0"/>
              <w:right w:val="single" w:color="auto" w:sz="4" w:space="0"/>
            </w:tcBorders>
            <w:vAlign w:val="center"/>
          </w:tcPr>
          <w:p w14:paraId="25EAA059">
            <w:pPr>
              <w:pStyle w:val="71"/>
              <w:spacing w:before="24" w:after="24"/>
              <w:rPr>
                <w:rFonts w:cs="Times New Roman"/>
              </w:rPr>
            </w:pPr>
            <w:r>
              <w:rPr>
                <w:rFonts w:cs="Times New Roman"/>
              </w:rPr>
              <w:t>水泥稳定碎石 （水泥 5%）</w:t>
            </w:r>
          </w:p>
        </w:tc>
        <w:tc>
          <w:tcPr>
            <w:tcW w:w="2221" w:type="dxa"/>
            <w:tcBorders>
              <w:top w:val="single" w:color="auto" w:sz="4" w:space="0"/>
              <w:left w:val="single" w:color="auto" w:sz="4" w:space="0"/>
              <w:bottom w:val="single" w:color="auto" w:sz="4" w:space="0"/>
              <w:right w:val="single" w:color="auto" w:sz="4" w:space="0"/>
            </w:tcBorders>
            <w:vAlign w:val="center"/>
          </w:tcPr>
          <w:p w14:paraId="35163FC3">
            <w:pPr>
              <w:pStyle w:val="71"/>
              <w:spacing w:before="24" w:after="24"/>
              <w:rPr>
                <w:rFonts w:cs="Times New Roman"/>
              </w:rPr>
            </w:pPr>
            <w:r>
              <w:rPr>
                <w:rFonts w:cs="Times New Roman"/>
              </w:rPr>
              <w:t>36</w:t>
            </w:r>
          </w:p>
        </w:tc>
      </w:tr>
      <w:tr w14:paraId="01B53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971" w:type="dxa"/>
            <w:tcBorders>
              <w:top w:val="single" w:color="auto" w:sz="4" w:space="0"/>
              <w:left w:val="single" w:color="auto" w:sz="4" w:space="0"/>
              <w:bottom w:val="single" w:color="auto" w:sz="4" w:space="0"/>
              <w:right w:val="single" w:color="auto" w:sz="4" w:space="0"/>
            </w:tcBorders>
            <w:vAlign w:val="center"/>
          </w:tcPr>
          <w:p w14:paraId="5421655D">
            <w:pPr>
              <w:pStyle w:val="71"/>
              <w:spacing w:before="24" w:after="24"/>
              <w:rPr>
                <w:rFonts w:cs="Times New Roman"/>
              </w:rPr>
            </w:pPr>
            <w:r>
              <w:rPr>
                <w:rFonts w:cs="Times New Roman"/>
              </w:rPr>
              <w:t>级配碎石</w:t>
            </w:r>
          </w:p>
        </w:tc>
        <w:tc>
          <w:tcPr>
            <w:tcW w:w="2221" w:type="dxa"/>
            <w:tcBorders>
              <w:top w:val="single" w:color="auto" w:sz="4" w:space="0"/>
              <w:left w:val="single" w:color="auto" w:sz="4" w:space="0"/>
              <w:bottom w:val="single" w:color="auto" w:sz="4" w:space="0"/>
              <w:right w:val="single" w:color="auto" w:sz="4" w:space="0"/>
            </w:tcBorders>
            <w:vAlign w:val="center"/>
          </w:tcPr>
          <w:p w14:paraId="203A900E">
            <w:pPr>
              <w:pStyle w:val="71"/>
              <w:spacing w:before="24" w:after="24"/>
              <w:rPr>
                <w:rFonts w:cs="Times New Roman"/>
              </w:rPr>
            </w:pPr>
            <w:r>
              <w:rPr>
                <w:rFonts w:cs="Times New Roman"/>
              </w:rPr>
              <w:t>15</w:t>
            </w:r>
          </w:p>
        </w:tc>
      </w:tr>
      <w:tr w14:paraId="03197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71" w:type="dxa"/>
            <w:tcBorders>
              <w:top w:val="single" w:color="auto" w:sz="4" w:space="0"/>
              <w:left w:val="single" w:color="auto" w:sz="4" w:space="0"/>
              <w:bottom w:val="single" w:color="auto" w:sz="4" w:space="0"/>
              <w:right w:val="single" w:color="auto" w:sz="4" w:space="0"/>
            </w:tcBorders>
            <w:vAlign w:val="center"/>
          </w:tcPr>
          <w:p w14:paraId="2051413B">
            <w:pPr>
              <w:pStyle w:val="71"/>
              <w:spacing w:before="24" w:after="24"/>
              <w:rPr>
                <w:rFonts w:cs="Times New Roman"/>
              </w:rPr>
            </w:pPr>
            <w:r>
              <w:rPr>
                <w:rFonts w:cs="Times New Roman"/>
              </w:rPr>
              <w:t>路床填料：碎石土（碎石含量≥70%）</w:t>
            </w:r>
          </w:p>
        </w:tc>
        <w:tc>
          <w:tcPr>
            <w:tcW w:w="2221" w:type="dxa"/>
            <w:tcBorders>
              <w:top w:val="single" w:color="auto" w:sz="4" w:space="0"/>
              <w:left w:val="single" w:color="auto" w:sz="4" w:space="0"/>
              <w:bottom w:val="single" w:color="auto" w:sz="4" w:space="0"/>
              <w:right w:val="single" w:color="auto" w:sz="4" w:space="0"/>
            </w:tcBorders>
            <w:vAlign w:val="center"/>
          </w:tcPr>
          <w:p w14:paraId="68403AB7">
            <w:pPr>
              <w:pStyle w:val="71"/>
              <w:spacing w:before="24" w:after="24"/>
              <w:rPr>
                <w:rFonts w:cs="Times New Roman"/>
              </w:rPr>
            </w:pPr>
            <w:r>
              <w:rPr>
                <w:rFonts w:cs="Times New Roman"/>
              </w:rPr>
              <w:t>80</w:t>
            </w:r>
          </w:p>
        </w:tc>
      </w:tr>
    </w:tbl>
    <w:p w14:paraId="03FE32AC">
      <w:pPr>
        <w:pStyle w:val="54"/>
        <w:spacing w:before="24" w:after="24"/>
      </w:pPr>
      <w:r>
        <w:t>（2）人行道</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71"/>
        <w:gridCol w:w="2221"/>
      </w:tblGrid>
      <w:tr w14:paraId="3A05F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71" w:type="dxa"/>
            <w:tcBorders>
              <w:top w:val="single" w:color="auto" w:sz="4" w:space="0"/>
              <w:left w:val="single" w:color="auto" w:sz="4" w:space="0"/>
              <w:bottom w:val="single" w:color="auto" w:sz="4" w:space="0"/>
              <w:right w:val="single" w:color="auto" w:sz="4" w:space="0"/>
            </w:tcBorders>
            <w:vAlign w:val="center"/>
          </w:tcPr>
          <w:p w14:paraId="49EAAA7B">
            <w:pPr>
              <w:pStyle w:val="71"/>
              <w:spacing w:before="24" w:after="24"/>
              <w:rPr>
                <w:rFonts w:cs="Times New Roman"/>
              </w:rPr>
            </w:pPr>
            <w:r>
              <w:rPr>
                <w:rFonts w:cs="Times New Roman"/>
              </w:rPr>
              <w:t>结构层</w:t>
            </w:r>
          </w:p>
        </w:tc>
        <w:tc>
          <w:tcPr>
            <w:tcW w:w="2221" w:type="dxa"/>
            <w:tcBorders>
              <w:top w:val="single" w:color="auto" w:sz="4" w:space="0"/>
              <w:left w:val="single" w:color="auto" w:sz="4" w:space="0"/>
              <w:bottom w:val="single" w:color="auto" w:sz="4" w:space="0"/>
              <w:right w:val="single" w:color="auto" w:sz="4" w:space="0"/>
            </w:tcBorders>
            <w:vAlign w:val="center"/>
          </w:tcPr>
          <w:p w14:paraId="4A9B11C8">
            <w:pPr>
              <w:pStyle w:val="71"/>
              <w:spacing w:before="24" w:after="24"/>
              <w:rPr>
                <w:rFonts w:cs="Times New Roman"/>
              </w:rPr>
            </w:pPr>
            <w:r>
              <w:rPr>
                <w:rFonts w:cs="Times New Roman"/>
              </w:rPr>
              <w:t>厚度（cm）</w:t>
            </w:r>
          </w:p>
        </w:tc>
      </w:tr>
      <w:tr w14:paraId="3EC4B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71" w:type="dxa"/>
            <w:tcBorders>
              <w:top w:val="single" w:color="auto" w:sz="4" w:space="0"/>
              <w:left w:val="single" w:color="auto" w:sz="4" w:space="0"/>
              <w:bottom w:val="single" w:color="auto" w:sz="4" w:space="0"/>
              <w:right w:val="single" w:color="auto" w:sz="4" w:space="0"/>
            </w:tcBorders>
            <w:vAlign w:val="center"/>
          </w:tcPr>
          <w:p w14:paraId="1332FC4B">
            <w:pPr>
              <w:pStyle w:val="71"/>
              <w:spacing w:before="24" w:after="24"/>
              <w:rPr>
                <w:rFonts w:cs="Times New Roman"/>
              </w:rPr>
            </w:pPr>
            <w:r>
              <w:rPr>
                <w:rFonts w:cs="Times New Roman"/>
              </w:rPr>
              <w:t>透水砖铺装</w:t>
            </w:r>
          </w:p>
        </w:tc>
        <w:tc>
          <w:tcPr>
            <w:tcW w:w="2221" w:type="dxa"/>
            <w:tcBorders>
              <w:top w:val="single" w:color="auto" w:sz="4" w:space="0"/>
              <w:left w:val="single" w:color="auto" w:sz="4" w:space="0"/>
              <w:bottom w:val="single" w:color="auto" w:sz="4" w:space="0"/>
              <w:right w:val="single" w:color="auto" w:sz="4" w:space="0"/>
            </w:tcBorders>
            <w:vAlign w:val="center"/>
          </w:tcPr>
          <w:p w14:paraId="26059227">
            <w:pPr>
              <w:pStyle w:val="71"/>
              <w:spacing w:before="24" w:after="24"/>
              <w:rPr>
                <w:rFonts w:cs="Times New Roman"/>
              </w:rPr>
            </w:pPr>
            <w:r>
              <w:rPr>
                <w:rFonts w:cs="Times New Roman"/>
              </w:rPr>
              <w:t>6</w:t>
            </w:r>
          </w:p>
        </w:tc>
      </w:tr>
      <w:tr w14:paraId="134E2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71" w:type="dxa"/>
            <w:tcBorders>
              <w:top w:val="single" w:color="auto" w:sz="4" w:space="0"/>
              <w:left w:val="single" w:color="auto" w:sz="4" w:space="0"/>
              <w:bottom w:val="single" w:color="auto" w:sz="4" w:space="0"/>
              <w:right w:val="single" w:color="auto" w:sz="4" w:space="0"/>
            </w:tcBorders>
            <w:vAlign w:val="center"/>
          </w:tcPr>
          <w:p w14:paraId="1AE95BDC">
            <w:pPr>
              <w:pStyle w:val="71"/>
              <w:spacing w:before="24" w:after="24"/>
              <w:rPr>
                <w:rFonts w:cs="Times New Roman"/>
              </w:rPr>
            </w:pPr>
            <w:r>
              <w:rPr>
                <w:rFonts w:cs="Times New Roman"/>
              </w:rPr>
              <w:t>石屑</w:t>
            </w:r>
          </w:p>
        </w:tc>
        <w:tc>
          <w:tcPr>
            <w:tcW w:w="2221" w:type="dxa"/>
            <w:tcBorders>
              <w:top w:val="single" w:color="auto" w:sz="4" w:space="0"/>
              <w:left w:val="single" w:color="auto" w:sz="4" w:space="0"/>
              <w:bottom w:val="single" w:color="auto" w:sz="4" w:space="0"/>
              <w:right w:val="single" w:color="auto" w:sz="4" w:space="0"/>
            </w:tcBorders>
            <w:vAlign w:val="center"/>
          </w:tcPr>
          <w:p w14:paraId="0575CD35">
            <w:pPr>
              <w:pStyle w:val="71"/>
              <w:spacing w:before="24" w:after="24"/>
              <w:rPr>
                <w:rFonts w:cs="Times New Roman"/>
              </w:rPr>
            </w:pPr>
            <w:r>
              <w:rPr>
                <w:rFonts w:cs="Times New Roman"/>
              </w:rPr>
              <w:t>3</w:t>
            </w:r>
          </w:p>
        </w:tc>
      </w:tr>
      <w:tr w14:paraId="02E3A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71" w:type="dxa"/>
            <w:tcBorders>
              <w:top w:val="single" w:color="auto" w:sz="4" w:space="0"/>
              <w:left w:val="single" w:color="auto" w:sz="4" w:space="0"/>
              <w:bottom w:val="single" w:color="auto" w:sz="4" w:space="0"/>
              <w:right w:val="single" w:color="auto" w:sz="4" w:space="0"/>
            </w:tcBorders>
            <w:vAlign w:val="center"/>
          </w:tcPr>
          <w:p w14:paraId="39050784">
            <w:pPr>
              <w:pStyle w:val="71"/>
              <w:spacing w:before="24" w:after="24"/>
              <w:rPr>
                <w:rFonts w:cs="Times New Roman"/>
              </w:rPr>
            </w:pPr>
            <w:r>
              <w:rPr>
                <w:rFonts w:cs="Times New Roman"/>
              </w:rPr>
              <w:t>透水混凝土（C20）</w:t>
            </w:r>
          </w:p>
        </w:tc>
        <w:tc>
          <w:tcPr>
            <w:tcW w:w="2221" w:type="dxa"/>
            <w:tcBorders>
              <w:top w:val="single" w:color="auto" w:sz="4" w:space="0"/>
              <w:left w:val="single" w:color="auto" w:sz="4" w:space="0"/>
              <w:bottom w:val="single" w:color="auto" w:sz="4" w:space="0"/>
              <w:right w:val="single" w:color="auto" w:sz="4" w:space="0"/>
            </w:tcBorders>
            <w:vAlign w:val="center"/>
          </w:tcPr>
          <w:p w14:paraId="10FE327D">
            <w:pPr>
              <w:pStyle w:val="71"/>
              <w:spacing w:before="24" w:after="24"/>
              <w:rPr>
                <w:rFonts w:cs="Times New Roman"/>
              </w:rPr>
            </w:pPr>
            <w:r>
              <w:rPr>
                <w:rFonts w:cs="Times New Roman"/>
              </w:rPr>
              <w:t>15</w:t>
            </w:r>
          </w:p>
        </w:tc>
      </w:tr>
      <w:tr w14:paraId="427C9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71" w:type="dxa"/>
            <w:tcBorders>
              <w:top w:val="single" w:color="auto" w:sz="4" w:space="0"/>
              <w:left w:val="single" w:color="auto" w:sz="4" w:space="0"/>
              <w:bottom w:val="single" w:color="auto" w:sz="4" w:space="0"/>
              <w:right w:val="single" w:color="auto" w:sz="4" w:space="0"/>
            </w:tcBorders>
            <w:vAlign w:val="center"/>
          </w:tcPr>
          <w:p w14:paraId="73D406F3">
            <w:pPr>
              <w:pStyle w:val="71"/>
              <w:spacing w:before="24" w:after="24"/>
              <w:rPr>
                <w:rFonts w:cs="Times New Roman"/>
              </w:rPr>
            </w:pPr>
            <w:r>
              <w:rPr>
                <w:rFonts w:cs="Times New Roman"/>
              </w:rPr>
              <w:t>砂砾石</w:t>
            </w:r>
          </w:p>
        </w:tc>
        <w:tc>
          <w:tcPr>
            <w:tcW w:w="2221" w:type="dxa"/>
            <w:tcBorders>
              <w:top w:val="single" w:color="auto" w:sz="4" w:space="0"/>
              <w:left w:val="single" w:color="auto" w:sz="4" w:space="0"/>
              <w:bottom w:val="single" w:color="auto" w:sz="4" w:space="0"/>
              <w:right w:val="single" w:color="auto" w:sz="4" w:space="0"/>
            </w:tcBorders>
            <w:vAlign w:val="center"/>
          </w:tcPr>
          <w:p w14:paraId="281B82FB">
            <w:pPr>
              <w:pStyle w:val="71"/>
              <w:spacing w:before="24" w:after="24"/>
              <w:rPr>
                <w:rFonts w:cs="Times New Roman"/>
              </w:rPr>
            </w:pPr>
            <w:r>
              <w:rPr>
                <w:rFonts w:cs="Times New Roman"/>
              </w:rPr>
              <w:t>10</w:t>
            </w:r>
          </w:p>
        </w:tc>
      </w:tr>
      <w:tr w14:paraId="57945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71" w:type="dxa"/>
            <w:tcBorders>
              <w:top w:val="single" w:color="auto" w:sz="4" w:space="0"/>
              <w:left w:val="single" w:color="auto" w:sz="4" w:space="0"/>
              <w:bottom w:val="single" w:color="auto" w:sz="4" w:space="0"/>
              <w:right w:val="single" w:color="auto" w:sz="4" w:space="0"/>
            </w:tcBorders>
            <w:vAlign w:val="center"/>
          </w:tcPr>
          <w:p w14:paraId="405BB5FF">
            <w:pPr>
              <w:pStyle w:val="71"/>
              <w:spacing w:before="24" w:after="24"/>
              <w:rPr>
                <w:rFonts w:cs="Times New Roman"/>
              </w:rPr>
            </w:pPr>
            <w:r>
              <w:rPr>
                <w:rFonts w:cs="Times New Roman"/>
              </w:rPr>
              <w:t>路床填料：碎石土（碎石含量≥70%）</w:t>
            </w:r>
          </w:p>
        </w:tc>
        <w:tc>
          <w:tcPr>
            <w:tcW w:w="2221" w:type="dxa"/>
            <w:tcBorders>
              <w:top w:val="single" w:color="auto" w:sz="4" w:space="0"/>
              <w:left w:val="single" w:color="auto" w:sz="4" w:space="0"/>
              <w:bottom w:val="single" w:color="auto" w:sz="4" w:space="0"/>
              <w:right w:val="single" w:color="auto" w:sz="4" w:space="0"/>
            </w:tcBorders>
            <w:vAlign w:val="center"/>
          </w:tcPr>
          <w:p w14:paraId="1961CA23">
            <w:pPr>
              <w:pStyle w:val="71"/>
              <w:spacing w:before="24" w:after="24"/>
              <w:rPr>
                <w:rFonts w:cs="Times New Roman"/>
              </w:rPr>
            </w:pPr>
            <w:r>
              <w:rPr>
                <w:rFonts w:cs="Times New Roman"/>
              </w:rPr>
              <w:t>30</w:t>
            </w:r>
          </w:p>
        </w:tc>
      </w:tr>
    </w:tbl>
    <w:p w14:paraId="705A8E60">
      <w:pPr>
        <w:pStyle w:val="54"/>
        <w:spacing w:before="24" w:after="24"/>
      </w:pPr>
      <w:r>
        <w:t>4.路面抗滑性能规定</w:t>
      </w:r>
    </w:p>
    <w:p w14:paraId="5D14EF1C">
      <w:pPr>
        <w:pStyle w:val="54"/>
        <w:spacing w:before="24" w:after="24"/>
      </w:pPr>
      <w:r>
        <w:t>根据《城镇道路路面设计规范（CJJ169-2012）》3.2.8条，主干路沥青路面在质量验收时抗滑性能指标可按下表执行：</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0"/>
        <w:gridCol w:w="2144"/>
        <w:gridCol w:w="2410"/>
      </w:tblGrid>
      <w:tr w14:paraId="6B90E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0" w:type="auto"/>
            <w:vMerge w:val="restart"/>
            <w:tcBorders>
              <w:top w:val="single" w:color="auto" w:sz="4" w:space="0"/>
              <w:left w:val="single" w:color="auto" w:sz="4" w:space="0"/>
              <w:bottom w:val="single" w:color="auto" w:sz="4" w:space="0"/>
              <w:right w:val="single" w:color="auto" w:sz="4" w:space="0"/>
            </w:tcBorders>
            <w:vAlign w:val="center"/>
          </w:tcPr>
          <w:p w14:paraId="0725F74B">
            <w:pPr>
              <w:pStyle w:val="71"/>
              <w:spacing w:before="24" w:after="24"/>
              <w:rPr>
                <w:rFonts w:cs="Times New Roman"/>
              </w:rPr>
            </w:pPr>
            <w:r>
              <w:rPr>
                <w:rFonts w:cs="Times New Roman"/>
              </w:rPr>
              <w:t>年平均降雨量（mm）</w:t>
            </w:r>
          </w:p>
        </w:tc>
        <w:tc>
          <w:tcPr>
            <w:tcW w:w="0" w:type="auto"/>
            <w:gridSpan w:val="2"/>
            <w:tcBorders>
              <w:top w:val="single" w:color="auto" w:sz="4" w:space="0"/>
              <w:left w:val="single" w:color="auto" w:sz="4" w:space="0"/>
              <w:bottom w:val="single" w:color="auto" w:sz="4" w:space="0"/>
              <w:right w:val="single" w:color="auto" w:sz="4" w:space="0"/>
            </w:tcBorders>
            <w:vAlign w:val="center"/>
          </w:tcPr>
          <w:p w14:paraId="568C9DDC">
            <w:pPr>
              <w:pStyle w:val="71"/>
              <w:spacing w:before="24" w:after="24"/>
              <w:rPr>
                <w:rFonts w:cs="Times New Roman"/>
              </w:rPr>
            </w:pPr>
            <w:r>
              <w:rPr>
                <w:rFonts w:cs="Times New Roman"/>
              </w:rPr>
              <w:t>质量验收值</w:t>
            </w:r>
          </w:p>
        </w:tc>
      </w:tr>
      <w:tr w14:paraId="2A8A7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3033705B">
            <w:pPr>
              <w:pStyle w:val="71"/>
              <w:spacing w:before="24" w:after="24"/>
              <w:rPr>
                <w:rFonts w:cs="Times New Roman"/>
              </w:rPr>
            </w:pPr>
          </w:p>
        </w:tc>
        <w:tc>
          <w:tcPr>
            <w:tcW w:w="0" w:type="auto"/>
            <w:tcBorders>
              <w:top w:val="single" w:color="auto" w:sz="4" w:space="0"/>
              <w:left w:val="single" w:color="auto" w:sz="4" w:space="0"/>
              <w:bottom w:val="single" w:color="auto" w:sz="4" w:space="0"/>
              <w:right w:val="single" w:color="auto" w:sz="4" w:space="0"/>
            </w:tcBorders>
            <w:vAlign w:val="center"/>
          </w:tcPr>
          <w:p w14:paraId="406A28B4">
            <w:pPr>
              <w:pStyle w:val="71"/>
              <w:spacing w:before="24" w:after="24"/>
              <w:rPr>
                <w:rFonts w:cs="Times New Roman"/>
              </w:rPr>
            </w:pPr>
            <w:r>
              <w:rPr>
                <w:rFonts w:cs="Times New Roman"/>
              </w:rPr>
              <w:t>横向力系数SFC60</w:t>
            </w:r>
          </w:p>
        </w:tc>
        <w:tc>
          <w:tcPr>
            <w:tcW w:w="0" w:type="auto"/>
            <w:tcBorders>
              <w:top w:val="single" w:color="auto" w:sz="4" w:space="0"/>
              <w:left w:val="single" w:color="auto" w:sz="4" w:space="0"/>
              <w:bottom w:val="single" w:color="auto" w:sz="4" w:space="0"/>
              <w:right w:val="single" w:color="auto" w:sz="4" w:space="0"/>
            </w:tcBorders>
            <w:vAlign w:val="center"/>
          </w:tcPr>
          <w:p w14:paraId="43A84C78">
            <w:pPr>
              <w:pStyle w:val="71"/>
              <w:spacing w:before="24" w:after="24"/>
              <w:rPr>
                <w:rFonts w:cs="Times New Roman"/>
              </w:rPr>
            </w:pPr>
            <w:r>
              <w:rPr>
                <w:rFonts w:cs="Times New Roman"/>
              </w:rPr>
              <w:t>构造深度TD（mm）</w:t>
            </w:r>
          </w:p>
        </w:tc>
      </w:tr>
      <w:tr w14:paraId="69A04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1C3440BD">
            <w:pPr>
              <w:pStyle w:val="71"/>
              <w:spacing w:before="24" w:after="24"/>
              <w:rPr>
                <w:rFonts w:cs="Times New Roman"/>
              </w:rPr>
            </w:pPr>
            <w:r>
              <w:rPr>
                <w:rFonts w:cs="Times New Roman"/>
              </w:rPr>
              <w:t>＞1000</w:t>
            </w:r>
          </w:p>
        </w:tc>
        <w:tc>
          <w:tcPr>
            <w:tcW w:w="0" w:type="auto"/>
            <w:tcBorders>
              <w:top w:val="single" w:color="auto" w:sz="4" w:space="0"/>
              <w:left w:val="single" w:color="auto" w:sz="4" w:space="0"/>
              <w:bottom w:val="single" w:color="auto" w:sz="4" w:space="0"/>
              <w:right w:val="single" w:color="auto" w:sz="4" w:space="0"/>
            </w:tcBorders>
            <w:vAlign w:val="center"/>
          </w:tcPr>
          <w:p w14:paraId="1BA463CF">
            <w:pPr>
              <w:pStyle w:val="71"/>
              <w:spacing w:before="24" w:after="24"/>
              <w:rPr>
                <w:rFonts w:cs="Times New Roman"/>
              </w:rPr>
            </w:pPr>
            <w:r>
              <w:rPr>
                <w:rFonts w:cs="Times New Roman"/>
              </w:rPr>
              <w:t>≥54</w:t>
            </w:r>
          </w:p>
        </w:tc>
        <w:tc>
          <w:tcPr>
            <w:tcW w:w="0" w:type="auto"/>
            <w:tcBorders>
              <w:top w:val="single" w:color="auto" w:sz="4" w:space="0"/>
              <w:left w:val="single" w:color="auto" w:sz="4" w:space="0"/>
              <w:bottom w:val="single" w:color="auto" w:sz="4" w:space="0"/>
              <w:right w:val="single" w:color="auto" w:sz="4" w:space="0"/>
            </w:tcBorders>
            <w:vAlign w:val="center"/>
          </w:tcPr>
          <w:p w14:paraId="0C95CB2D">
            <w:pPr>
              <w:pStyle w:val="71"/>
              <w:spacing w:before="24" w:after="24"/>
              <w:rPr>
                <w:rFonts w:cs="Times New Roman"/>
              </w:rPr>
            </w:pPr>
            <w:r>
              <w:rPr>
                <w:rFonts w:cs="Times New Roman"/>
              </w:rPr>
              <w:t>≥0.55</w:t>
            </w:r>
          </w:p>
        </w:tc>
      </w:tr>
      <w:tr w14:paraId="10228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44130294">
            <w:pPr>
              <w:pStyle w:val="71"/>
              <w:spacing w:before="24" w:after="24"/>
              <w:rPr>
                <w:rFonts w:cs="Times New Roman"/>
              </w:rPr>
            </w:pPr>
            <w:r>
              <w:rPr>
                <w:rFonts w:cs="Times New Roman"/>
              </w:rPr>
              <w:t>500~1000</w:t>
            </w:r>
          </w:p>
        </w:tc>
        <w:tc>
          <w:tcPr>
            <w:tcW w:w="0" w:type="auto"/>
            <w:tcBorders>
              <w:top w:val="single" w:color="auto" w:sz="4" w:space="0"/>
              <w:left w:val="single" w:color="auto" w:sz="4" w:space="0"/>
              <w:bottom w:val="single" w:color="auto" w:sz="4" w:space="0"/>
              <w:right w:val="single" w:color="auto" w:sz="4" w:space="0"/>
            </w:tcBorders>
            <w:vAlign w:val="center"/>
          </w:tcPr>
          <w:p w14:paraId="2856CC65">
            <w:pPr>
              <w:pStyle w:val="71"/>
              <w:spacing w:before="24" w:after="24"/>
              <w:rPr>
                <w:rFonts w:cs="Times New Roman"/>
              </w:rPr>
            </w:pPr>
            <w:r>
              <w:rPr>
                <w:rFonts w:cs="Times New Roman"/>
              </w:rPr>
              <w:t>≥50</w:t>
            </w:r>
          </w:p>
        </w:tc>
        <w:tc>
          <w:tcPr>
            <w:tcW w:w="0" w:type="auto"/>
            <w:tcBorders>
              <w:top w:val="single" w:color="auto" w:sz="4" w:space="0"/>
              <w:left w:val="single" w:color="auto" w:sz="4" w:space="0"/>
              <w:bottom w:val="single" w:color="auto" w:sz="4" w:space="0"/>
              <w:right w:val="single" w:color="auto" w:sz="4" w:space="0"/>
            </w:tcBorders>
            <w:vAlign w:val="center"/>
          </w:tcPr>
          <w:p w14:paraId="24EC165C">
            <w:pPr>
              <w:pStyle w:val="71"/>
              <w:spacing w:before="24" w:after="24"/>
              <w:rPr>
                <w:rFonts w:cs="Times New Roman"/>
              </w:rPr>
            </w:pPr>
            <w:r>
              <w:rPr>
                <w:rFonts w:cs="Times New Roman"/>
              </w:rPr>
              <w:t>≥0.50</w:t>
            </w:r>
          </w:p>
        </w:tc>
      </w:tr>
      <w:tr w14:paraId="6ECCF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18CE38D4">
            <w:pPr>
              <w:pStyle w:val="71"/>
              <w:spacing w:before="24" w:after="24"/>
              <w:rPr>
                <w:rFonts w:cs="Times New Roman"/>
              </w:rPr>
            </w:pPr>
            <w:r>
              <w:rPr>
                <w:rFonts w:cs="Times New Roman"/>
              </w:rPr>
              <w:t>250~500</w:t>
            </w:r>
          </w:p>
        </w:tc>
        <w:tc>
          <w:tcPr>
            <w:tcW w:w="0" w:type="auto"/>
            <w:tcBorders>
              <w:top w:val="single" w:color="auto" w:sz="4" w:space="0"/>
              <w:left w:val="single" w:color="auto" w:sz="4" w:space="0"/>
              <w:bottom w:val="single" w:color="auto" w:sz="4" w:space="0"/>
              <w:right w:val="single" w:color="auto" w:sz="4" w:space="0"/>
            </w:tcBorders>
            <w:vAlign w:val="center"/>
          </w:tcPr>
          <w:p w14:paraId="3A66E060">
            <w:pPr>
              <w:pStyle w:val="71"/>
              <w:spacing w:before="24" w:after="24"/>
              <w:rPr>
                <w:rFonts w:cs="Times New Roman"/>
              </w:rPr>
            </w:pPr>
            <w:r>
              <w:rPr>
                <w:rFonts w:cs="Times New Roman"/>
              </w:rPr>
              <w:t>≥45</w:t>
            </w:r>
          </w:p>
        </w:tc>
        <w:tc>
          <w:tcPr>
            <w:tcW w:w="0" w:type="auto"/>
            <w:tcBorders>
              <w:top w:val="single" w:color="auto" w:sz="4" w:space="0"/>
              <w:left w:val="single" w:color="auto" w:sz="4" w:space="0"/>
              <w:bottom w:val="single" w:color="auto" w:sz="4" w:space="0"/>
              <w:right w:val="single" w:color="auto" w:sz="4" w:space="0"/>
            </w:tcBorders>
            <w:vAlign w:val="center"/>
          </w:tcPr>
          <w:p w14:paraId="17BAA808">
            <w:pPr>
              <w:pStyle w:val="71"/>
              <w:spacing w:before="24" w:after="24"/>
              <w:rPr>
                <w:rFonts w:cs="Times New Roman"/>
              </w:rPr>
            </w:pPr>
            <w:r>
              <w:rPr>
                <w:rFonts w:cs="Times New Roman"/>
              </w:rPr>
              <w:t>≥0.45</w:t>
            </w:r>
          </w:p>
        </w:tc>
      </w:tr>
    </w:tbl>
    <w:p w14:paraId="481E290C">
      <w:pPr>
        <w:pStyle w:val="73"/>
        <w:spacing w:before="24" w:after="24"/>
        <w:ind w:firstLine="482"/>
        <w:rPr>
          <w:rFonts w:hint="eastAsia" w:ascii="仿宋" w:hAnsi="仿宋" w:cs="Times New Roman"/>
        </w:rPr>
      </w:pPr>
      <w:r>
        <w:rPr>
          <w:rFonts w:ascii="仿宋" w:hAnsi="仿宋" w:cs="Times New Roman"/>
        </w:rPr>
        <w:t>注：1.应采用测定速度为60Km/h±1Km/h时的横向系数（SFC</w:t>
      </w:r>
      <w:r>
        <w:rPr>
          <w:rFonts w:ascii="仿宋" w:hAnsi="仿宋" w:cs="Times New Roman"/>
          <w:vertAlign w:val="subscript"/>
        </w:rPr>
        <w:t>60</w:t>
      </w:r>
      <w:r>
        <w:rPr>
          <w:rFonts w:ascii="仿宋" w:hAnsi="仿宋" w:cs="Times New Roman"/>
        </w:rPr>
        <w:t>）作为控制指标；</w:t>
      </w:r>
    </w:p>
    <w:p w14:paraId="481991CB">
      <w:pPr>
        <w:pStyle w:val="73"/>
        <w:spacing w:before="24" w:after="24"/>
        <w:ind w:firstLine="964" w:firstLineChars="400"/>
        <w:rPr>
          <w:rFonts w:hint="eastAsia" w:ascii="仿宋" w:hAnsi="仿宋" w:cs="Times New Roman"/>
        </w:rPr>
      </w:pPr>
      <w:r>
        <w:rPr>
          <w:rFonts w:ascii="仿宋" w:hAnsi="仿宋" w:cs="Times New Roman"/>
        </w:rPr>
        <w:t>2.路面宏观构造深度可用铺砂法或激光构造深度仪测定。</w:t>
      </w:r>
    </w:p>
    <w:p w14:paraId="17FAE9D2">
      <w:pPr>
        <w:pStyle w:val="54"/>
        <w:spacing w:before="24" w:after="24"/>
      </w:pPr>
      <w:r>
        <w:t>10.3.7无障碍设计</w:t>
      </w:r>
    </w:p>
    <w:p w14:paraId="0FE8E54C">
      <w:pPr>
        <w:pStyle w:val="54"/>
        <w:spacing w:before="24" w:after="24"/>
      </w:pPr>
      <w:r>
        <w:t>1.缘石坡道</w:t>
      </w:r>
    </w:p>
    <w:p w14:paraId="74B15D70">
      <w:pPr>
        <w:pStyle w:val="54"/>
        <w:spacing w:before="24" w:after="24"/>
      </w:pPr>
      <w:r>
        <w:t>（1）各种路口、出入口和人行横道处，有高差时应设置缘石坡道。</w:t>
      </w:r>
    </w:p>
    <w:p w14:paraId="535A80CE">
      <w:pPr>
        <w:pStyle w:val="54"/>
        <w:spacing w:before="24" w:after="24"/>
      </w:pPr>
      <w:r>
        <w:t>（2）缘石坡道距坡道下口路缘石250mm~300mm 处应设置提示盲道，提示盲道的长度应与缘石坡道的宽度相对应。</w:t>
      </w:r>
    </w:p>
    <w:p w14:paraId="520C470F">
      <w:pPr>
        <w:pStyle w:val="54"/>
        <w:spacing w:before="24" w:after="24"/>
      </w:pPr>
      <w:r>
        <w:t>（3）缘石坡道的坡度应符合下列规定:</w:t>
      </w:r>
    </w:p>
    <w:p w14:paraId="3C0EFDB1">
      <w:pPr>
        <w:pStyle w:val="54"/>
        <w:spacing w:before="24" w:after="24"/>
      </w:pPr>
      <w:r>
        <w:rPr>
          <w:rFonts w:ascii="Cambria Math" w:hAnsi="Cambria Math" w:cs="Cambria Math"/>
        </w:rPr>
        <w:t>①</w:t>
      </w:r>
      <w:r>
        <w:t>全宽式单面坡缘石坡道的坡度不应大于1:20;</w:t>
      </w:r>
    </w:p>
    <w:p w14:paraId="262730B7">
      <w:pPr>
        <w:pStyle w:val="54"/>
        <w:spacing w:before="24" w:after="24"/>
      </w:pPr>
      <w:r>
        <w:rPr>
          <w:rFonts w:ascii="Cambria Math" w:hAnsi="Cambria Math" w:cs="Cambria Math"/>
        </w:rPr>
        <w:t>②</w:t>
      </w:r>
      <w:r>
        <w:t>其他形式缘石坡道的正面和侧面的坡度不应大于1:12。</w:t>
      </w:r>
    </w:p>
    <w:p w14:paraId="4884A5E9">
      <w:pPr>
        <w:pStyle w:val="54"/>
        <w:spacing w:before="24" w:after="24"/>
      </w:pPr>
      <w:r>
        <w:t>（4）缘石坡道的宽度应符合下列规定:</w:t>
      </w:r>
    </w:p>
    <w:p w14:paraId="23DDB5C9">
      <w:pPr>
        <w:pStyle w:val="54"/>
        <w:spacing w:before="24" w:after="24"/>
      </w:pPr>
      <w:r>
        <w:rPr>
          <w:rFonts w:ascii="Cambria Math" w:hAnsi="Cambria Math" w:cs="Cambria Math"/>
        </w:rPr>
        <w:t>①</w:t>
      </w:r>
      <w:r>
        <w:t>全宽式单面坡缘石坡道的坡道宽度应与人行道宽度相同;</w:t>
      </w:r>
    </w:p>
    <w:p w14:paraId="0B93A734">
      <w:pPr>
        <w:pStyle w:val="54"/>
        <w:spacing w:before="24" w:after="24"/>
      </w:pPr>
      <w:r>
        <w:rPr>
          <w:rFonts w:ascii="Cambria Math" w:hAnsi="Cambria Math" w:cs="Cambria Math"/>
        </w:rPr>
        <w:t>②</w:t>
      </w:r>
      <w:r>
        <w:t>三面坡缘石坡道的正面坡道宽度不应小于1.20m;</w:t>
      </w:r>
    </w:p>
    <w:p w14:paraId="3A823ECC">
      <w:pPr>
        <w:pStyle w:val="54"/>
        <w:spacing w:before="24" w:after="24"/>
      </w:pPr>
      <w:r>
        <w:rPr>
          <w:rFonts w:ascii="Cambria Math" w:hAnsi="Cambria Math" w:cs="Cambria Math"/>
        </w:rPr>
        <w:t>③</w:t>
      </w:r>
      <w:r>
        <w:t>其他形式的缘名坡道的坡口览度均不应小于1.50m。</w:t>
      </w:r>
    </w:p>
    <w:p w14:paraId="31AFE7D6">
      <w:pPr>
        <w:pStyle w:val="54"/>
        <w:spacing w:before="24" w:after="24"/>
      </w:pPr>
      <w:r>
        <w:t>（5）缘石坡道顶端处应留有过渡空间，过渡空间的宽度不应小于900mm。</w:t>
      </w:r>
    </w:p>
    <w:p w14:paraId="445DBA69">
      <w:pPr>
        <w:pStyle w:val="54"/>
        <w:spacing w:before="24" w:after="24"/>
      </w:pPr>
      <w:r>
        <w:t>（6）缘石坡道上下坡处不应设置雨水篦子。设置阻车时，阻车桩的净间距不应小于 900mm。</w:t>
      </w:r>
    </w:p>
    <w:p w14:paraId="5AC5146D">
      <w:pPr>
        <w:pStyle w:val="54"/>
        <w:spacing w:before="24" w:after="24"/>
      </w:pPr>
      <w:r>
        <w:t>2.盲道</w:t>
      </w:r>
    </w:p>
    <w:p w14:paraId="55AD81F9">
      <w:pPr>
        <w:pStyle w:val="54"/>
        <w:spacing w:before="24" w:after="24"/>
      </w:pPr>
      <w:r>
        <w:t>（1）盲道的铺设应保证视觉障碍者安全行走和辨别方向；</w:t>
      </w:r>
    </w:p>
    <w:p w14:paraId="7C600844">
      <w:pPr>
        <w:pStyle w:val="54"/>
        <w:spacing w:before="24" w:after="24"/>
      </w:pPr>
      <w:r>
        <w:t>（2）盲道铺设应避开障碍物，任何设施不得占用盲道；</w:t>
      </w:r>
    </w:p>
    <w:p w14:paraId="0B2A1E9B">
      <w:pPr>
        <w:pStyle w:val="54"/>
        <w:spacing w:before="24" w:after="24"/>
      </w:pPr>
      <w:r>
        <w:t>（3）需要安全警示和提示处应设置提示盲道，其长度应与需安全警示和提示的范围相对应。行进盲道的起点、终点、转弯处，应设置提示盲道，其宽度不应小于300mm，且不应小于行进盲道的宽度；</w:t>
      </w:r>
    </w:p>
    <w:p w14:paraId="69E4C432">
      <w:pPr>
        <w:pStyle w:val="54"/>
        <w:spacing w:before="24" w:after="24"/>
      </w:pPr>
      <w:r>
        <w:t>（4）盲道应与相邻人行道铺面的颜色或材质形成差异。</w:t>
      </w:r>
    </w:p>
    <w:p w14:paraId="0847B298">
      <w:pPr>
        <w:pStyle w:val="54"/>
        <w:spacing w:before="24" w:after="24"/>
      </w:pPr>
      <w:r>
        <w:t>10.3.8路基设计</w:t>
      </w:r>
    </w:p>
    <w:p w14:paraId="419B316F">
      <w:pPr>
        <w:pStyle w:val="54"/>
        <w:spacing w:before="24" w:after="24"/>
      </w:pPr>
      <w:r>
        <w:t>1.一般路基设计</w:t>
      </w:r>
    </w:p>
    <w:p w14:paraId="79C43C59">
      <w:pPr>
        <w:pStyle w:val="54"/>
        <w:spacing w:before="24" w:after="24"/>
      </w:pPr>
      <w:r>
        <w:t>（1）压实度和填料要求：</w:t>
      </w:r>
    </w:p>
    <w:p w14:paraId="784C180B">
      <w:pPr>
        <w:pStyle w:val="54"/>
        <w:spacing w:before="24" w:after="24"/>
      </w:pPr>
      <w:r>
        <w:t>路基填筑材料的技术要求如下：</w:t>
      </w:r>
    </w:p>
    <w:p w14:paraId="1A4345A0">
      <w:pPr>
        <w:pStyle w:val="54"/>
        <w:spacing w:before="24" w:after="24"/>
      </w:pPr>
      <w:r>
        <w:rPr>
          <w:rFonts w:ascii="Cambria Math" w:hAnsi="Cambria Math" w:cs="Cambria Math"/>
        </w:rPr>
        <w:t>①</w:t>
      </w:r>
      <w:r>
        <w:t>填料不得使用腐殖土、杂填土、废弃物和其他路基施工规范禁止使用的病害土体；不得含有植物根系或其他有机物；</w:t>
      </w:r>
    </w:p>
    <w:p w14:paraId="21D2C6B2">
      <w:pPr>
        <w:pStyle w:val="54"/>
        <w:spacing w:before="24" w:after="24"/>
      </w:pPr>
      <w:r>
        <w:rPr>
          <w:rFonts w:ascii="Cambria Math" w:hAnsi="Cambria Math" w:cs="Cambria Math"/>
        </w:rPr>
        <w:t>②</w:t>
      </w:r>
      <w:r>
        <w:t>填料粒径应小于150mm；</w:t>
      </w:r>
    </w:p>
    <w:p w14:paraId="2E1D5DA7">
      <w:pPr>
        <w:pStyle w:val="54"/>
        <w:spacing w:before="24" w:after="24"/>
      </w:pPr>
      <w:r>
        <w:rPr>
          <w:rFonts w:ascii="Cambria Math" w:hAnsi="Cambria Math" w:cs="Cambria Math"/>
        </w:rPr>
        <w:t>③</w:t>
      </w:r>
      <w:r>
        <w:t>填料最小强度（CBR）：详见下表；</w:t>
      </w:r>
    </w:p>
    <w:p w14:paraId="379E91FB">
      <w:pPr>
        <w:pStyle w:val="54"/>
        <w:spacing w:before="24" w:after="24"/>
      </w:pPr>
      <w:r>
        <w:rPr>
          <w:rFonts w:ascii="Cambria Math" w:hAnsi="Cambria Math" w:cs="Cambria Math"/>
        </w:rPr>
        <w:t>④</w:t>
      </w:r>
      <w:r>
        <w:t>填料液限小于50%；塑性指数小于26；</w:t>
      </w:r>
    </w:p>
    <w:p w14:paraId="59531A81">
      <w:pPr>
        <w:pStyle w:val="54"/>
        <w:spacing w:before="24" w:after="24"/>
      </w:pPr>
      <w:r>
        <w:rPr>
          <w:rFonts w:ascii="Cambria Math" w:hAnsi="Cambria Math" w:cs="Cambria Math"/>
        </w:rPr>
        <w:t>⑤</w:t>
      </w:r>
      <w:r>
        <w:t>路基顶面设计回弹模量值不应小于30MPa，否则应进行处理。</w:t>
      </w:r>
    </w:p>
    <w:p w14:paraId="642CBC46">
      <w:pPr>
        <w:pStyle w:val="54"/>
        <w:spacing w:before="24" w:after="24"/>
      </w:pPr>
      <w:r>
        <w:t>路基不同部位填料的最小强度、最大粒径要求按现行《城市道路路基设计规范》（CJJ194-2013）的规定执行，填料最小强度及路基压实度标准按下表执行：</w:t>
      </w:r>
    </w:p>
    <w:tbl>
      <w:tblPr>
        <w:tblStyle w:val="30"/>
        <w:tblW w:w="38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0"/>
        <w:gridCol w:w="1549"/>
        <w:gridCol w:w="1923"/>
        <w:gridCol w:w="2104"/>
      </w:tblGrid>
      <w:tr w14:paraId="62091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115" w:type="pct"/>
            <w:tcBorders>
              <w:top w:val="single" w:color="auto" w:sz="4" w:space="0"/>
              <w:left w:val="single" w:color="auto" w:sz="4" w:space="0"/>
              <w:bottom w:val="single" w:color="auto" w:sz="4" w:space="0"/>
              <w:right w:val="single" w:color="auto" w:sz="4" w:space="0"/>
            </w:tcBorders>
            <w:vAlign w:val="center"/>
          </w:tcPr>
          <w:p w14:paraId="233FBB79">
            <w:pPr>
              <w:pStyle w:val="71"/>
              <w:spacing w:before="24" w:after="24"/>
              <w:rPr>
                <w:rFonts w:cs="Times New Roman"/>
              </w:rPr>
            </w:pPr>
            <w:r>
              <w:rPr>
                <w:rFonts w:cs="Times New Roman"/>
              </w:rPr>
              <w:t>项目分类</w:t>
            </w:r>
          </w:p>
        </w:tc>
        <w:tc>
          <w:tcPr>
            <w:tcW w:w="1079" w:type="pct"/>
            <w:tcBorders>
              <w:top w:val="single" w:color="auto" w:sz="4" w:space="0"/>
              <w:left w:val="single" w:color="auto" w:sz="4" w:space="0"/>
              <w:bottom w:val="single" w:color="auto" w:sz="4" w:space="0"/>
              <w:right w:val="single" w:color="auto" w:sz="4" w:space="0"/>
            </w:tcBorders>
            <w:vAlign w:val="center"/>
          </w:tcPr>
          <w:p w14:paraId="5F07D5F7">
            <w:pPr>
              <w:pStyle w:val="71"/>
              <w:spacing w:before="24" w:after="24"/>
              <w:rPr>
                <w:rFonts w:cs="Times New Roman"/>
              </w:rPr>
            </w:pPr>
            <w:r>
              <w:rPr>
                <w:rFonts w:cs="Times New Roman"/>
              </w:rPr>
              <w:t>路面底面以下深度（cm）</w:t>
            </w:r>
          </w:p>
        </w:tc>
        <w:tc>
          <w:tcPr>
            <w:tcW w:w="1340" w:type="pct"/>
            <w:tcBorders>
              <w:top w:val="single" w:color="auto" w:sz="4" w:space="0"/>
              <w:left w:val="single" w:color="auto" w:sz="4" w:space="0"/>
              <w:bottom w:val="single" w:color="auto" w:sz="4" w:space="0"/>
              <w:right w:val="single" w:color="auto" w:sz="4" w:space="0"/>
            </w:tcBorders>
            <w:vAlign w:val="center"/>
          </w:tcPr>
          <w:p w14:paraId="4AA849BC">
            <w:pPr>
              <w:pStyle w:val="71"/>
              <w:spacing w:before="24" w:after="24"/>
              <w:rPr>
                <w:rFonts w:cs="Times New Roman"/>
              </w:rPr>
            </w:pPr>
            <w:r>
              <w:rPr>
                <w:rFonts w:cs="Times New Roman"/>
              </w:rPr>
              <w:t>填料最小强度（CBR）（%）</w:t>
            </w:r>
          </w:p>
        </w:tc>
        <w:tc>
          <w:tcPr>
            <w:tcW w:w="1465" w:type="pct"/>
            <w:tcBorders>
              <w:top w:val="single" w:color="auto" w:sz="4" w:space="0"/>
              <w:left w:val="single" w:color="auto" w:sz="4" w:space="0"/>
              <w:bottom w:val="single" w:color="auto" w:sz="4" w:space="0"/>
              <w:right w:val="single" w:color="auto" w:sz="4" w:space="0"/>
            </w:tcBorders>
            <w:vAlign w:val="center"/>
          </w:tcPr>
          <w:p w14:paraId="35218571">
            <w:pPr>
              <w:pStyle w:val="71"/>
              <w:spacing w:before="24" w:after="24"/>
              <w:rPr>
                <w:rFonts w:cs="Times New Roman"/>
              </w:rPr>
            </w:pPr>
            <w:r>
              <w:rPr>
                <w:rFonts w:cs="Times New Roman"/>
              </w:rPr>
              <w:t>主干路路基压实度（%）</w:t>
            </w:r>
          </w:p>
        </w:tc>
      </w:tr>
      <w:tr w14:paraId="402EE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15" w:type="pct"/>
            <w:tcBorders>
              <w:top w:val="single" w:color="auto" w:sz="4" w:space="0"/>
              <w:left w:val="single" w:color="auto" w:sz="4" w:space="0"/>
              <w:bottom w:val="single" w:color="auto" w:sz="4" w:space="0"/>
              <w:right w:val="single" w:color="auto" w:sz="4" w:space="0"/>
            </w:tcBorders>
            <w:vAlign w:val="center"/>
          </w:tcPr>
          <w:p w14:paraId="121932AB">
            <w:pPr>
              <w:pStyle w:val="71"/>
              <w:spacing w:before="24" w:after="24"/>
              <w:rPr>
                <w:rFonts w:cs="Times New Roman"/>
              </w:rPr>
            </w:pPr>
            <w:r>
              <w:rPr>
                <w:rFonts w:cs="Times New Roman"/>
              </w:rPr>
              <w:t>上路床</w:t>
            </w:r>
          </w:p>
        </w:tc>
        <w:tc>
          <w:tcPr>
            <w:tcW w:w="1079" w:type="pct"/>
            <w:tcBorders>
              <w:top w:val="single" w:color="auto" w:sz="4" w:space="0"/>
              <w:left w:val="single" w:color="auto" w:sz="4" w:space="0"/>
              <w:bottom w:val="single" w:color="auto" w:sz="4" w:space="0"/>
              <w:right w:val="single" w:color="auto" w:sz="4" w:space="0"/>
            </w:tcBorders>
            <w:vAlign w:val="center"/>
          </w:tcPr>
          <w:p w14:paraId="6BB97BDF">
            <w:pPr>
              <w:pStyle w:val="71"/>
              <w:spacing w:before="24" w:after="24"/>
              <w:rPr>
                <w:rFonts w:cs="Times New Roman"/>
              </w:rPr>
            </w:pPr>
            <w:r>
              <w:rPr>
                <w:rFonts w:cs="Times New Roman"/>
              </w:rPr>
              <w:t>0~30</w:t>
            </w:r>
          </w:p>
        </w:tc>
        <w:tc>
          <w:tcPr>
            <w:tcW w:w="1340" w:type="pct"/>
            <w:tcBorders>
              <w:top w:val="single" w:color="auto" w:sz="4" w:space="0"/>
              <w:left w:val="single" w:color="auto" w:sz="4" w:space="0"/>
              <w:bottom w:val="single" w:color="auto" w:sz="4" w:space="0"/>
              <w:right w:val="single" w:color="auto" w:sz="4" w:space="0"/>
            </w:tcBorders>
            <w:vAlign w:val="center"/>
          </w:tcPr>
          <w:p w14:paraId="45D20B3A">
            <w:pPr>
              <w:pStyle w:val="71"/>
              <w:spacing w:before="24" w:after="24"/>
              <w:rPr>
                <w:rFonts w:cs="Times New Roman"/>
              </w:rPr>
            </w:pPr>
            <w:r>
              <w:rPr>
                <w:rFonts w:cs="Times New Roman"/>
              </w:rPr>
              <w:t>8</w:t>
            </w:r>
          </w:p>
        </w:tc>
        <w:tc>
          <w:tcPr>
            <w:tcW w:w="1465" w:type="pct"/>
            <w:tcBorders>
              <w:top w:val="single" w:color="auto" w:sz="4" w:space="0"/>
              <w:left w:val="single" w:color="auto" w:sz="4" w:space="0"/>
              <w:bottom w:val="single" w:color="auto" w:sz="4" w:space="0"/>
              <w:right w:val="single" w:color="auto" w:sz="4" w:space="0"/>
            </w:tcBorders>
            <w:vAlign w:val="center"/>
          </w:tcPr>
          <w:p w14:paraId="26059B98">
            <w:pPr>
              <w:pStyle w:val="71"/>
              <w:spacing w:before="24" w:after="24"/>
              <w:rPr>
                <w:rFonts w:cs="Times New Roman"/>
              </w:rPr>
            </w:pPr>
            <w:r>
              <w:rPr>
                <w:rFonts w:cs="Times New Roman"/>
              </w:rPr>
              <w:t>≥95</w:t>
            </w:r>
          </w:p>
        </w:tc>
      </w:tr>
      <w:tr w14:paraId="2B98F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15" w:type="pct"/>
            <w:tcBorders>
              <w:top w:val="single" w:color="auto" w:sz="4" w:space="0"/>
              <w:left w:val="single" w:color="auto" w:sz="4" w:space="0"/>
              <w:bottom w:val="single" w:color="auto" w:sz="4" w:space="0"/>
              <w:right w:val="single" w:color="auto" w:sz="4" w:space="0"/>
            </w:tcBorders>
            <w:vAlign w:val="center"/>
          </w:tcPr>
          <w:p w14:paraId="61BF7803">
            <w:pPr>
              <w:pStyle w:val="71"/>
              <w:spacing w:before="24" w:after="24"/>
              <w:rPr>
                <w:rFonts w:cs="Times New Roman"/>
              </w:rPr>
            </w:pPr>
            <w:r>
              <w:rPr>
                <w:rFonts w:cs="Times New Roman"/>
              </w:rPr>
              <w:t>下路床</w:t>
            </w:r>
          </w:p>
        </w:tc>
        <w:tc>
          <w:tcPr>
            <w:tcW w:w="1079" w:type="pct"/>
            <w:tcBorders>
              <w:top w:val="single" w:color="auto" w:sz="4" w:space="0"/>
              <w:left w:val="single" w:color="auto" w:sz="4" w:space="0"/>
              <w:bottom w:val="single" w:color="auto" w:sz="4" w:space="0"/>
              <w:right w:val="single" w:color="auto" w:sz="4" w:space="0"/>
            </w:tcBorders>
            <w:vAlign w:val="center"/>
          </w:tcPr>
          <w:p w14:paraId="096BE502">
            <w:pPr>
              <w:pStyle w:val="71"/>
              <w:spacing w:before="24" w:after="24"/>
              <w:rPr>
                <w:rFonts w:cs="Times New Roman"/>
              </w:rPr>
            </w:pPr>
            <w:r>
              <w:rPr>
                <w:rFonts w:cs="Times New Roman"/>
              </w:rPr>
              <w:t>30~80</w:t>
            </w:r>
          </w:p>
        </w:tc>
        <w:tc>
          <w:tcPr>
            <w:tcW w:w="1340" w:type="pct"/>
            <w:tcBorders>
              <w:top w:val="single" w:color="auto" w:sz="4" w:space="0"/>
              <w:left w:val="single" w:color="auto" w:sz="4" w:space="0"/>
              <w:bottom w:val="single" w:color="auto" w:sz="4" w:space="0"/>
              <w:right w:val="single" w:color="auto" w:sz="4" w:space="0"/>
            </w:tcBorders>
            <w:vAlign w:val="center"/>
          </w:tcPr>
          <w:p w14:paraId="0B3D3002">
            <w:pPr>
              <w:pStyle w:val="71"/>
              <w:spacing w:before="24" w:after="24"/>
              <w:rPr>
                <w:rFonts w:cs="Times New Roman"/>
              </w:rPr>
            </w:pPr>
            <w:r>
              <w:rPr>
                <w:rFonts w:cs="Times New Roman"/>
              </w:rPr>
              <w:t>5</w:t>
            </w:r>
          </w:p>
        </w:tc>
        <w:tc>
          <w:tcPr>
            <w:tcW w:w="1465" w:type="pct"/>
            <w:tcBorders>
              <w:top w:val="single" w:color="auto" w:sz="4" w:space="0"/>
              <w:left w:val="single" w:color="auto" w:sz="4" w:space="0"/>
              <w:bottom w:val="single" w:color="auto" w:sz="4" w:space="0"/>
              <w:right w:val="single" w:color="auto" w:sz="4" w:space="0"/>
            </w:tcBorders>
            <w:vAlign w:val="center"/>
          </w:tcPr>
          <w:p w14:paraId="45676BA2">
            <w:pPr>
              <w:pStyle w:val="71"/>
              <w:spacing w:before="24" w:after="24"/>
              <w:rPr>
                <w:rFonts w:cs="Times New Roman"/>
              </w:rPr>
            </w:pPr>
            <w:r>
              <w:rPr>
                <w:rFonts w:cs="Times New Roman"/>
              </w:rPr>
              <w:t>≥95</w:t>
            </w:r>
          </w:p>
        </w:tc>
      </w:tr>
      <w:tr w14:paraId="65297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15" w:type="pct"/>
            <w:tcBorders>
              <w:top w:val="single" w:color="auto" w:sz="4" w:space="0"/>
              <w:left w:val="single" w:color="auto" w:sz="4" w:space="0"/>
              <w:bottom w:val="single" w:color="auto" w:sz="4" w:space="0"/>
              <w:right w:val="single" w:color="auto" w:sz="4" w:space="0"/>
            </w:tcBorders>
            <w:vAlign w:val="center"/>
          </w:tcPr>
          <w:p w14:paraId="25E6CE60">
            <w:pPr>
              <w:pStyle w:val="71"/>
              <w:spacing w:before="24" w:after="24"/>
              <w:rPr>
                <w:rFonts w:cs="Times New Roman"/>
              </w:rPr>
            </w:pPr>
            <w:r>
              <w:rPr>
                <w:rFonts w:cs="Times New Roman"/>
              </w:rPr>
              <w:t>上路堤</w:t>
            </w:r>
          </w:p>
        </w:tc>
        <w:tc>
          <w:tcPr>
            <w:tcW w:w="1079" w:type="pct"/>
            <w:tcBorders>
              <w:top w:val="single" w:color="auto" w:sz="4" w:space="0"/>
              <w:left w:val="single" w:color="auto" w:sz="4" w:space="0"/>
              <w:bottom w:val="single" w:color="auto" w:sz="4" w:space="0"/>
              <w:right w:val="single" w:color="auto" w:sz="4" w:space="0"/>
            </w:tcBorders>
            <w:vAlign w:val="center"/>
          </w:tcPr>
          <w:p w14:paraId="2287F040">
            <w:pPr>
              <w:pStyle w:val="71"/>
              <w:spacing w:before="24" w:after="24"/>
              <w:rPr>
                <w:rFonts w:cs="Times New Roman"/>
              </w:rPr>
            </w:pPr>
            <w:r>
              <w:rPr>
                <w:rFonts w:cs="Times New Roman"/>
              </w:rPr>
              <w:t>80~150</w:t>
            </w:r>
          </w:p>
        </w:tc>
        <w:tc>
          <w:tcPr>
            <w:tcW w:w="1340" w:type="pct"/>
            <w:tcBorders>
              <w:top w:val="single" w:color="auto" w:sz="4" w:space="0"/>
              <w:left w:val="single" w:color="auto" w:sz="4" w:space="0"/>
              <w:bottom w:val="single" w:color="auto" w:sz="4" w:space="0"/>
              <w:right w:val="single" w:color="auto" w:sz="4" w:space="0"/>
            </w:tcBorders>
            <w:vAlign w:val="center"/>
          </w:tcPr>
          <w:p w14:paraId="541883A4">
            <w:pPr>
              <w:pStyle w:val="71"/>
              <w:spacing w:before="24" w:after="24"/>
              <w:rPr>
                <w:rFonts w:cs="Times New Roman"/>
              </w:rPr>
            </w:pPr>
            <w:r>
              <w:rPr>
                <w:rFonts w:cs="Times New Roman"/>
              </w:rPr>
              <w:t>4</w:t>
            </w:r>
          </w:p>
        </w:tc>
        <w:tc>
          <w:tcPr>
            <w:tcW w:w="1465" w:type="pct"/>
            <w:tcBorders>
              <w:top w:val="single" w:color="auto" w:sz="4" w:space="0"/>
              <w:left w:val="single" w:color="auto" w:sz="4" w:space="0"/>
              <w:bottom w:val="single" w:color="auto" w:sz="4" w:space="0"/>
              <w:right w:val="single" w:color="auto" w:sz="4" w:space="0"/>
            </w:tcBorders>
            <w:vAlign w:val="center"/>
          </w:tcPr>
          <w:p w14:paraId="4B7F13DA">
            <w:pPr>
              <w:pStyle w:val="71"/>
              <w:spacing w:before="24" w:after="24"/>
              <w:rPr>
                <w:rFonts w:cs="Times New Roman"/>
              </w:rPr>
            </w:pPr>
            <w:r>
              <w:rPr>
                <w:rFonts w:cs="Times New Roman"/>
              </w:rPr>
              <w:t>≥93</w:t>
            </w:r>
          </w:p>
        </w:tc>
      </w:tr>
      <w:tr w14:paraId="5C8D7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15" w:type="pct"/>
            <w:tcBorders>
              <w:top w:val="single" w:color="auto" w:sz="4" w:space="0"/>
              <w:left w:val="single" w:color="auto" w:sz="4" w:space="0"/>
              <w:bottom w:val="single" w:color="auto" w:sz="4" w:space="0"/>
              <w:right w:val="single" w:color="auto" w:sz="4" w:space="0"/>
            </w:tcBorders>
            <w:vAlign w:val="center"/>
          </w:tcPr>
          <w:p w14:paraId="0250395E">
            <w:pPr>
              <w:pStyle w:val="71"/>
              <w:spacing w:before="24" w:after="24"/>
              <w:rPr>
                <w:rFonts w:cs="Times New Roman"/>
              </w:rPr>
            </w:pPr>
            <w:r>
              <w:rPr>
                <w:rFonts w:cs="Times New Roman"/>
              </w:rPr>
              <w:t>下路堤</w:t>
            </w:r>
          </w:p>
        </w:tc>
        <w:tc>
          <w:tcPr>
            <w:tcW w:w="1079" w:type="pct"/>
            <w:tcBorders>
              <w:top w:val="single" w:color="auto" w:sz="4" w:space="0"/>
              <w:left w:val="single" w:color="auto" w:sz="4" w:space="0"/>
              <w:bottom w:val="single" w:color="auto" w:sz="4" w:space="0"/>
              <w:right w:val="single" w:color="auto" w:sz="4" w:space="0"/>
            </w:tcBorders>
            <w:vAlign w:val="center"/>
          </w:tcPr>
          <w:p w14:paraId="5AB57375">
            <w:pPr>
              <w:pStyle w:val="71"/>
              <w:spacing w:before="24" w:after="24"/>
              <w:rPr>
                <w:rFonts w:cs="Times New Roman"/>
              </w:rPr>
            </w:pPr>
            <w:r>
              <w:rPr>
                <w:rFonts w:cs="Times New Roman"/>
              </w:rPr>
              <w:t>&gt;150</w:t>
            </w:r>
          </w:p>
        </w:tc>
        <w:tc>
          <w:tcPr>
            <w:tcW w:w="1340" w:type="pct"/>
            <w:tcBorders>
              <w:top w:val="single" w:color="auto" w:sz="4" w:space="0"/>
              <w:left w:val="single" w:color="auto" w:sz="4" w:space="0"/>
              <w:bottom w:val="single" w:color="auto" w:sz="4" w:space="0"/>
              <w:right w:val="single" w:color="auto" w:sz="4" w:space="0"/>
            </w:tcBorders>
            <w:vAlign w:val="center"/>
          </w:tcPr>
          <w:p w14:paraId="7E1B4511">
            <w:pPr>
              <w:pStyle w:val="71"/>
              <w:spacing w:before="24" w:after="24"/>
              <w:rPr>
                <w:rFonts w:cs="Times New Roman"/>
              </w:rPr>
            </w:pPr>
            <w:r>
              <w:rPr>
                <w:rFonts w:cs="Times New Roman"/>
              </w:rPr>
              <w:t>3</w:t>
            </w:r>
          </w:p>
        </w:tc>
        <w:tc>
          <w:tcPr>
            <w:tcW w:w="1465" w:type="pct"/>
            <w:tcBorders>
              <w:top w:val="single" w:color="auto" w:sz="4" w:space="0"/>
              <w:left w:val="single" w:color="auto" w:sz="4" w:space="0"/>
              <w:bottom w:val="single" w:color="auto" w:sz="4" w:space="0"/>
              <w:right w:val="single" w:color="auto" w:sz="4" w:space="0"/>
            </w:tcBorders>
            <w:vAlign w:val="center"/>
          </w:tcPr>
          <w:p w14:paraId="77358DCA">
            <w:pPr>
              <w:pStyle w:val="71"/>
              <w:spacing w:before="24" w:after="24"/>
              <w:rPr>
                <w:rFonts w:cs="Times New Roman"/>
              </w:rPr>
            </w:pPr>
            <w:r>
              <w:rPr>
                <w:rFonts w:cs="Times New Roman"/>
              </w:rPr>
              <w:t>≥92</w:t>
            </w:r>
          </w:p>
        </w:tc>
      </w:tr>
      <w:tr w14:paraId="3D7E3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15" w:type="pct"/>
            <w:vMerge w:val="restart"/>
            <w:tcBorders>
              <w:top w:val="nil"/>
              <w:left w:val="single" w:color="auto" w:sz="4" w:space="0"/>
              <w:bottom w:val="single" w:color="auto" w:sz="4" w:space="0"/>
              <w:right w:val="single" w:color="auto" w:sz="4" w:space="0"/>
            </w:tcBorders>
            <w:vAlign w:val="center"/>
          </w:tcPr>
          <w:p w14:paraId="3B4991B9">
            <w:pPr>
              <w:pStyle w:val="71"/>
              <w:spacing w:before="24" w:after="24"/>
              <w:rPr>
                <w:rFonts w:cs="Times New Roman"/>
              </w:rPr>
            </w:pPr>
            <w:r>
              <w:rPr>
                <w:rFonts w:cs="Times New Roman"/>
              </w:rPr>
              <w:t>零填及挖方路基</w:t>
            </w:r>
          </w:p>
        </w:tc>
        <w:tc>
          <w:tcPr>
            <w:tcW w:w="1079" w:type="pct"/>
            <w:tcBorders>
              <w:top w:val="single" w:color="auto" w:sz="4" w:space="0"/>
              <w:left w:val="single" w:color="auto" w:sz="4" w:space="0"/>
              <w:bottom w:val="single" w:color="auto" w:sz="4" w:space="0"/>
              <w:right w:val="single" w:color="auto" w:sz="4" w:space="0"/>
            </w:tcBorders>
            <w:vAlign w:val="center"/>
          </w:tcPr>
          <w:p w14:paraId="10683615">
            <w:pPr>
              <w:pStyle w:val="71"/>
              <w:spacing w:before="24" w:after="24"/>
              <w:rPr>
                <w:rFonts w:cs="Times New Roman"/>
              </w:rPr>
            </w:pPr>
            <w:r>
              <w:rPr>
                <w:rFonts w:cs="Times New Roman"/>
              </w:rPr>
              <w:t>0~30</w:t>
            </w:r>
          </w:p>
        </w:tc>
        <w:tc>
          <w:tcPr>
            <w:tcW w:w="1340" w:type="pct"/>
            <w:tcBorders>
              <w:top w:val="single" w:color="auto" w:sz="4" w:space="0"/>
              <w:left w:val="single" w:color="auto" w:sz="4" w:space="0"/>
              <w:bottom w:val="single" w:color="auto" w:sz="4" w:space="0"/>
              <w:right w:val="single" w:color="auto" w:sz="4" w:space="0"/>
            </w:tcBorders>
            <w:vAlign w:val="center"/>
          </w:tcPr>
          <w:p w14:paraId="08EF8F3C">
            <w:pPr>
              <w:pStyle w:val="71"/>
              <w:spacing w:before="24" w:after="24"/>
              <w:rPr>
                <w:rFonts w:cs="Times New Roman"/>
              </w:rPr>
            </w:pPr>
            <w:r>
              <w:rPr>
                <w:rFonts w:cs="Times New Roman"/>
              </w:rPr>
              <w:t>8</w:t>
            </w:r>
          </w:p>
        </w:tc>
        <w:tc>
          <w:tcPr>
            <w:tcW w:w="1465" w:type="pct"/>
            <w:tcBorders>
              <w:top w:val="single" w:color="auto" w:sz="4" w:space="0"/>
              <w:left w:val="single" w:color="auto" w:sz="4" w:space="0"/>
              <w:bottom w:val="single" w:color="auto" w:sz="4" w:space="0"/>
              <w:right w:val="single" w:color="auto" w:sz="4" w:space="0"/>
            </w:tcBorders>
            <w:vAlign w:val="center"/>
          </w:tcPr>
          <w:p w14:paraId="6956AED6">
            <w:pPr>
              <w:pStyle w:val="71"/>
              <w:spacing w:before="24" w:after="24"/>
              <w:rPr>
                <w:rFonts w:cs="Times New Roman"/>
              </w:rPr>
            </w:pPr>
            <w:r>
              <w:rPr>
                <w:rFonts w:cs="Times New Roman"/>
              </w:rPr>
              <w:t>≥95</w:t>
            </w:r>
          </w:p>
        </w:tc>
      </w:tr>
      <w:tr w14:paraId="458DC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15" w:type="pct"/>
            <w:vMerge w:val="continue"/>
            <w:tcBorders>
              <w:top w:val="nil"/>
              <w:left w:val="single" w:color="auto" w:sz="4" w:space="0"/>
              <w:bottom w:val="single" w:color="auto" w:sz="4" w:space="0"/>
              <w:right w:val="single" w:color="auto" w:sz="4" w:space="0"/>
            </w:tcBorders>
            <w:vAlign w:val="center"/>
          </w:tcPr>
          <w:p w14:paraId="2D25886B">
            <w:pPr>
              <w:pStyle w:val="71"/>
              <w:spacing w:before="24" w:after="24"/>
              <w:rPr>
                <w:rFonts w:cs="Times New Roman"/>
              </w:rPr>
            </w:pPr>
          </w:p>
        </w:tc>
        <w:tc>
          <w:tcPr>
            <w:tcW w:w="1079" w:type="pct"/>
            <w:tcBorders>
              <w:top w:val="single" w:color="auto" w:sz="4" w:space="0"/>
              <w:left w:val="single" w:color="auto" w:sz="4" w:space="0"/>
              <w:bottom w:val="single" w:color="auto" w:sz="4" w:space="0"/>
              <w:right w:val="single" w:color="auto" w:sz="4" w:space="0"/>
            </w:tcBorders>
            <w:vAlign w:val="center"/>
          </w:tcPr>
          <w:p w14:paraId="13EF4D8F">
            <w:pPr>
              <w:pStyle w:val="71"/>
              <w:spacing w:before="24" w:after="24"/>
              <w:rPr>
                <w:rFonts w:cs="Times New Roman"/>
              </w:rPr>
            </w:pPr>
            <w:r>
              <w:rPr>
                <w:rFonts w:cs="Times New Roman"/>
              </w:rPr>
              <w:t>30~80</w:t>
            </w:r>
          </w:p>
        </w:tc>
        <w:tc>
          <w:tcPr>
            <w:tcW w:w="1340" w:type="pct"/>
            <w:tcBorders>
              <w:top w:val="single" w:color="auto" w:sz="4" w:space="0"/>
              <w:left w:val="single" w:color="auto" w:sz="4" w:space="0"/>
              <w:bottom w:val="single" w:color="auto" w:sz="4" w:space="0"/>
              <w:right w:val="single" w:color="auto" w:sz="4" w:space="0"/>
            </w:tcBorders>
            <w:vAlign w:val="center"/>
          </w:tcPr>
          <w:p w14:paraId="5E7F34E0">
            <w:pPr>
              <w:pStyle w:val="71"/>
              <w:spacing w:before="24" w:after="24"/>
              <w:rPr>
                <w:rFonts w:cs="Times New Roman"/>
              </w:rPr>
            </w:pPr>
            <w:r>
              <w:rPr>
                <w:rFonts w:cs="Times New Roman"/>
              </w:rPr>
              <w:t>5</w:t>
            </w:r>
          </w:p>
        </w:tc>
        <w:tc>
          <w:tcPr>
            <w:tcW w:w="1465" w:type="pct"/>
            <w:tcBorders>
              <w:top w:val="single" w:color="auto" w:sz="4" w:space="0"/>
              <w:left w:val="single" w:color="auto" w:sz="4" w:space="0"/>
              <w:bottom w:val="single" w:color="auto" w:sz="4" w:space="0"/>
              <w:right w:val="single" w:color="auto" w:sz="4" w:space="0"/>
            </w:tcBorders>
            <w:vAlign w:val="center"/>
          </w:tcPr>
          <w:p w14:paraId="511C4B9E">
            <w:pPr>
              <w:pStyle w:val="71"/>
              <w:spacing w:before="24" w:after="24"/>
              <w:rPr>
                <w:rFonts w:cs="Times New Roman"/>
              </w:rPr>
            </w:pPr>
            <w:r>
              <w:rPr>
                <w:rFonts w:cs="Times New Roman"/>
              </w:rPr>
              <w:t>≥93</w:t>
            </w:r>
          </w:p>
        </w:tc>
      </w:tr>
    </w:tbl>
    <w:p w14:paraId="6B5F7F4E">
      <w:pPr>
        <w:pStyle w:val="73"/>
        <w:spacing w:before="24" w:after="24"/>
        <w:ind w:firstLine="482"/>
        <w:rPr>
          <w:rFonts w:cs="Times New Roman"/>
        </w:rPr>
      </w:pPr>
      <w:r>
        <w:rPr>
          <w:rFonts w:cs="Times New Roman"/>
        </w:rPr>
        <w:t>注:</w:t>
      </w:r>
      <w:r>
        <w:rPr>
          <w:rFonts w:ascii="Cambria Math" w:hAnsi="Cambria Math" w:cs="Cambria Math"/>
        </w:rPr>
        <w:t>①</w:t>
      </w:r>
      <w:r>
        <w:rPr>
          <w:rFonts w:cs="Times New Roman"/>
        </w:rPr>
        <w:t>当路床填料CBR值达不到表中要求值时，可采用掺石灰或其他稳定材料处理；</w:t>
      </w:r>
    </w:p>
    <w:p w14:paraId="49A3B5F1">
      <w:pPr>
        <w:pStyle w:val="73"/>
        <w:spacing w:before="24" w:after="24"/>
        <w:ind w:firstLine="482"/>
        <w:rPr>
          <w:rFonts w:cs="Times New Roman"/>
        </w:rPr>
      </w:pPr>
      <w:r>
        <w:rPr>
          <w:rFonts w:ascii="Cambria Math" w:hAnsi="Cambria Math" w:cs="Cambria Math"/>
        </w:rPr>
        <w:t>②</w:t>
      </w:r>
      <w:r>
        <w:rPr>
          <w:rFonts w:cs="Times New Roman"/>
        </w:rPr>
        <w:t>表中所列压实度值为按《公路土工试验规程》重型击试验法求得的最大干密实度的压实度；</w:t>
      </w:r>
    </w:p>
    <w:p w14:paraId="2887B9E4">
      <w:pPr>
        <w:pStyle w:val="73"/>
        <w:spacing w:before="24" w:after="24"/>
        <w:ind w:firstLine="482"/>
        <w:rPr>
          <w:rFonts w:cs="Times New Roman"/>
        </w:rPr>
      </w:pPr>
      <w:r>
        <w:rPr>
          <w:rFonts w:ascii="Cambria Math" w:hAnsi="Cambria Math" w:cs="Cambria Math"/>
        </w:rPr>
        <w:t>③</w:t>
      </w:r>
      <w:r>
        <w:rPr>
          <w:rFonts w:cs="Times New Roman"/>
        </w:rPr>
        <w:t>粗粒土（填石）填料的最大粒径，不应超过压实层厚的2/3；</w:t>
      </w:r>
    </w:p>
    <w:p w14:paraId="79F32369">
      <w:pPr>
        <w:pStyle w:val="73"/>
        <w:spacing w:before="24" w:after="24"/>
        <w:ind w:firstLine="482"/>
        <w:rPr>
          <w:rFonts w:cs="Times New Roman"/>
        </w:rPr>
      </w:pPr>
      <w:r>
        <w:rPr>
          <w:rFonts w:ascii="Cambria Math" w:hAnsi="Cambria Math" w:cs="Cambria Math"/>
        </w:rPr>
        <w:t>④</w:t>
      </w:r>
      <w:r>
        <w:rPr>
          <w:rFonts w:cs="Times New Roman"/>
        </w:rPr>
        <w:t>路堤基底为耕地或土质松散时，应在填筑前进行压实，其压实度（重型）不应小于85％。当路基填土高度小于路床厚度（80cm）时，基底的压实度不宜小于路床的压实标准，基底松散土层厚度大于30cm时，应翻挖再回填分层压实。</w:t>
      </w:r>
    </w:p>
    <w:p w14:paraId="7FA26D33">
      <w:pPr>
        <w:pStyle w:val="54"/>
        <w:spacing w:before="24" w:after="24"/>
      </w:pPr>
      <w:r>
        <w:t>（2）台背回填</w:t>
      </w:r>
    </w:p>
    <w:p w14:paraId="154439B0">
      <w:pPr>
        <w:pStyle w:val="54"/>
        <w:spacing w:before="24" w:after="24"/>
      </w:pPr>
      <w:r>
        <w:t>桥台后开挖台阶，台阶宽2m，坡比1:1.5，路床内铺两层土工格栅，每延米抗拉强度≥40KN/m，采用碎石土回填，压实度≥96%。</w:t>
      </w:r>
    </w:p>
    <w:p w14:paraId="7565C7A9">
      <w:pPr>
        <w:pStyle w:val="54"/>
        <w:spacing w:before="24" w:after="24"/>
      </w:pPr>
      <w:r>
        <w:t>涵台后开挖台阶，为保证道路路基与涵台搭接效果，台背采取挖台阶处理，台阶宽2m，坡比1:1.5回填至涵洞顶1m处，在原地面处铺设一层3m宽土工格栅，每延米抗拉强度≥40KN/m。盖板涵台背填土必须在盖板连接缝中的混凝土及盖板现浇部分混凝土达到设计强度的70%，且砌体砂浆及台帽混凝土（现浇时）达到设计强度后方可进行。台后填土材料要求：填土时应做到两个台背同时分层夯填，分层厚度不大于20厘米，压实度不低于90。台背填土采用填碎石土（含石率70%），且应保证填料内摩擦角不小于35°。台背回填碾压不宜采用振动式压路机碾压，应采用冲击夯夯。</w:t>
      </w:r>
    </w:p>
    <w:p w14:paraId="5CA99D79">
      <w:pPr>
        <w:pStyle w:val="54"/>
        <w:spacing w:before="24" w:after="24"/>
      </w:pPr>
      <w:r>
        <w:t>（3）边坡坡率</w:t>
      </w:r>
    </w:p>
    <w:p w14:paraId="720B0731">
      <w:pPr>
        <w:pStyle w:val="54"/>
        <w:spacing w:before="24" w:after="24"/>
      </w:pPr>
      <w:r>
        <w:t>1）填方边坡：路基填方边坡坡度根据路基填料种类、边坡高度和基底工程地质条件，并经水文地质及工程地质勘察后确定。一般路基（边坡高度＜20m）边坡坡率，根据路基填土高度分段：自上而下，8m一级边坡，0m～8m边坡坡率为1:1.5；8m处设2m平台，次级边坡坡率为1:1.75，16m处设置2m平台，三级边坡坡率1：2；坡脚与排水沟内边缘设宽1.0m的护坡道。</w:t>
      </w:r>
    </w:p>
    <w:p w14:paraId="2C1FD3A5">
      <w:pPr>
        <w:pStyle w:val="54"/>
        <w:spacing w:before="24" w:after="24"/>
      </w:pPr>
      <w:r>
        <w:t>2）挖方边坡：土质挖方边坡设计根据边坡高度、土的湿度、密实度、地下水、地面水的情况、土的成因类型及生成年代、既有人工边坡及自然边坡稳定状况等因素确定。土质路堑边坡坡率建议值详见下表：</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3"/>
        <w:gridCol w:w="3766"/>
        <w:gridCol w:w="3767"/>
      </w:tblGrid>
      <w:tr w14:paraId="7A690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944" w:type="pct"/>
            <w:vMerge w:val="restart"/>
            <w:tcBorders>
              <w:top w:val="single" w:color="auto" w:sz="4" w:space="0"/>
              <w:left w:val="single" w:color="auto" w:sz="4" w:space="0"/>
              <w:bottom w:val="single" w:color="auto" w:sz="4" w:space="0"/>
              <w:right w:val="single" w:color="auto" w:sz="4" w:space="0"/>
            </w:tcBorders>
            <w:vAlign w:val="center"/>
          </w:tcPr>
          <w:p w14:paraId="5C0729B2">
            <w:pPr>
              <w:pStyle w:val="71"/>
              <w:spacing w:before="24" w:after="24"/>
              <w:rPr>
                <w:rFonts w:cs="Times New Roman"/>
              </w:rPr>
            </w:pPr>
            <w:r>
              <w:rPr>
                <w:rFonts w:cs="Times New Roman"/>
              </w:rPr>
              <w:t>边坡高度（m）</w:t>
            </w:r>
          </w:p>
        </w:tc>
        <w:tc>
          <w:tcPr>
            <w:tcW w:w="4054" w:type="pct"/>
            <w:gridSpan w:val="2"/>
            <w:tcBorders>
              <w:top w:val="single" w:color="auto" w:sz="4" w:space="0"/>
              <w:left w:val="single" w:color="auto" w:sz="4" w:space="0"/>
              <w:bottom w:val="single" w:color="auto" w:sz="4" w:space="0"/>
              <w:right w:val="single" w:color="auto" w:sz="4" w:space="0"/>
            </w:tcBorders>
            <w:vAlign w:val="center"/>
          </w:tcPr>
          <w:p w14:paraId="19D779D1">
            <w:pPr>
              <w:pStyle w:val="71"/>
              <w:spacing w:before="24" w:after="24"/>
              <w:rPr>
                <w:rFonts w:cs="Times New Roman"/>
              </w:rPr>
            </w:pPr>
            <w:r>
              <w:rPr>
                <w:rFonts w:cs="Times New Roman"/>
              </w:rPr>
              <w:t>地形特征</w:t>
            </w:r>
          </w:p>
        </w:tc>
      </w:tr>
      <w:tr w14:paraId="53B72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944" w:type="pct"/>
            <w:vMerge w:val="continue"/>
            <w:tcBorders>
              <w:top w:val="single" w:color="auto" w:sz="4" w:space="0"/>
              <w:left w:val="single" w:color="auto" w:sz="4" w:space="0"/>
              <w:bottom w:val="single" w:color="auto" w:sz="4" w:space="0"/>
              <w:right w:val="single" w:color="auto" w:sz="4" w:space="0"/>
            </w:tcBorders>
            <w:vAlign w:val="center"/>
          </w:tcPr>
          <w:p w14:paraId="2B1E3347">
            <w:pPr>
              <w:pStyle w:val="71"/>
              <w:spacing w:before="24" w:after="24"/>
              <w:rPr>
                <w:rFonts w:cs="Times New Roman"/>
              </w:rPr>
            </w:pPr>
          </w:p>
        </w:tc>
        <w:tc>
          <w:tcPr>
            <w:tcW w:w="2028" w:type="pct"/>
            <w:tcBorders>
              <w:top w:val="single" w:color="auto" w:sz="4" w:space="0"/>
              <w:left w:val="single" w:color="auto" w:sz="4" w:space="0"/>
              <w:bottom w:val="single" w:color="auto" w:sz="4" w:space="0"/>
              <w:right w:val="single" w:color="auto" w:sz="4" w:space="0"/>
            </w:tcBorders>
            <w:vAlign w:val="center"/>
          </w:tcPr>
          <w:p w14:paraId="40A1F3D9">
            <w:pPr>
              <w:pStyle w:val="71"/>
              <w:spacing w:before="24" w:after="24"/>
              <w:rPr>
                <w:rFonts w:cs="Times New Roman"/>
              </w:rPr>
            </w:pPr>
            <w:r>
              <w:rPr>
                <w:rFonts w:cs="Times New Roman"/>
              </w:rPr>
              <w:t>地形平缓</w:t>
            </w:r>
          </w:p>
        </w:tc>
        <w:tc>
          <w:tcPr>
            <w:tcW w:w="2028" w:type="pct"/>
            <w:tcBorders>
              <w:top w:val="single" w:color="auto" w:sz="4" w:space="0"/>
              <w:left w:val="single" w:color="auto" w:sz="4" w:space="0"/>
              <w:bottom w:val="single" w:color="auto" w:sz="4" w:space="0"/>
              <w:right w:val="single" w:color="auto" w:sz="4" w:space="0"/>
            </w:tcBorders>
            <w:vAlign w:val="center"/>
          </w:tcPr>
          <w:p w14:paraId="2014A97F">
            <w:pPr>
              <w:pStyle w:val="71"/>
              <w:spacing w:before="24" w:after="24"/>
              <w:rPr>
                <w:rFonts w:cs="Times New Roman"/>
              </w:rPr>
            </w:pPr>
            <w:r>
              <w:rPr>
                <w:rFonts w:cs="Times New Roman"/>
              </w:rPr>
              <w:t>斜坡较陡</w:t>
            </w:r>
          </w:p>
        </w:tc>
      </w:tr>
      <w:tr w14:paraId="6D6AF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4" w:type="pct"/>
            <w:tcBorders>
              <w:top w:val="single" w:color="auto" w:sz="4" w:space="0"/>
              <w:left w:val="single" w:color="auto" w:sz="4" w:space="0"/>
              <w:bottom w:val="single" w:color="auto" w:sz="4" w:space="0"/>
              <w:right w:val="single" w:color="auto" w:sz="4" w:space="0"/>
            </w:tcBorders>
            <w:vAlign w:val="center"/>
          </w:tcPr>
          <w:p w14:paraId="33B5B558">
            <w:pPr>
              <w:pStyle w:val="71"/>
              <w:spacing w:before="24" w:after="24"/>
              <w:rPr>
                <w:rFonts w:cs="Times New Roman"/>
              </w:rPr>
            </w:pPr>
            <w:r>
              <w:rPr>
                <w:rFonts w:cs="Times New Roman"/>
              </w:rPr>
              <w:t>0～8</w:t>
            </w:r>
          </w:p>
        </w:tc>
        <w:tc>
          <w:tcPr>
            <w:tcW w:w="2028" w:type="pct"/>
            <w:tcBorders>
              <w:top w:val="single" w:color="auto" w:sz="4" w:space="0"/>
              <w:left w:val="single" w:color="auto" w:sz="4" w:space="0"/>
              <w:bottom w:val="single" w:color="auto" w:sz="4" w:space="0"/>
              <w:right w:val="single" w:color="auto" w:sz="4" w:space="0"/>
            </w:tcBorders>
            <w:vAlign w:val="center"/>
          </w:tcPr>
          <w:p w14:paraId="5CFAD24D">
            <w:pPr>
              <w:pStyle w:val="71"/>
              <w:spacing w:before="24" w:after="24"/>
              <w:rPr>
                <w:rFonts w:cs="Times New Roman"/>
              </w:rPr>
            </w:pPr>
            <w:r>
              <w:rPr>
                <w:rFonts w:cs="Times New Roman"/>
              </w:rPr>
              <w:t>1:1</w:t>
            </w:r>
          </w:p>
        </w:tc>
        <w:tc>
          <w:tcPr>
            <w:tcW w:w="2028" w:type="pct"/>
            <w:tcBorders>
              <w:top w:val="single" w:color="auto" w:sz="4" w:space="0"/>
              <w:left w:val="single" w:color="auto" w:sz="4" w:space="0"/>
              <w:bottom w:val="single" w:color="auto" w:sz="4" w:space="0"/>
              <w:right w:val="single" w:color="auto" w:sz="4" w:space="0"/>
            </w:tcBorders>
            <w:vAlign w:val="center"/>
          </w:tcPr>
          <w:p w14:paraId="1D62ABF1">
            <w:pPr>
              <w:pStyle w:val="71"/>
              <w:spacing w:before="24" w:after="24"/>
              <w:rPr>
                <w:rFonts w:cs="Times New Roman"/>
              </w:rPr>
            </w:pPr>
            <w:r>
              <w:rPr>
                <w:rFonts w:cs="Times New Roman"/>
              </w:rPr>
              <w:t>1:0.3～1:0.5</w:t>
            </w:r>
          </w:p>
        </w:tc>
      </w:tr>
      <w:tr w14:paraId="6ABF1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4" w:type="pct"/>
            <w:tcBorders>
              <w:top w:val="single" w:color="auto" w:sz="4" w:space="0"/>
              <w:left w:val="single" w:color="auto" w:sz="4" w:space="0"/>
              <w:bottom w:val="single" w:color="auto" w:sz="4" w:space="0"/>
              <w:right w:val="single" w:color="auto" w:sz="4" w:space="0"/>
            </w:tcBorders>
            <w:vAlign w:val="center"/>
          </w:tcPr>
          <w:p w14:paraId="3BF13DEC">
            <w:pPr>
              <w:pStyle w:val="71"/>
              <w:spacing w:before="24" w:after="24"/>
              <w:rPr>
                <w:rFonts w:cs="Times New Roman"/>
              </w:rPr>
            </w:pPr>
            <w:r>
              <w:rPr>
                <w:rFonts w:cs="Times New Roman"/>
              </w:rPr>
              <w:t>＞8</w:t>
            </w:r>
          </w:p>
        </w:tc>
        <w:tc>
          <w:tcPr>
            <w:tcW w:w="2028" w:type="pct"/>
            <w:tcBorders>
              <w:top w:val="single" w:color="auto" w:sz="4" w:space="0"/>
              <w:left w:val="single" w:color="auto" w:sz="4" w:space="0"/>
              <w:bottom w:val="single" w:color="auto" w:sz="4" w:space="0"/>
              <w:right w:val="single" w:color="auto" w:sz="4" w:space="0"/>
            </w:tcBorders>
            <w:vAlign w:val="center"/>
          </w:tcPr>
          <w:p w14:paraId="30E14B98">
            <w:pPr>
              <w:pStyle w:val="71"/>
              <w:spacing w:before="24" w:after="24"/>
              <w:rPr>
                <w:rFonts w:cs="Times New Roman"/>
              </w:rPr>
            </w:pPr>
            <w:r>
              <w:rPr>
                <w:rFonts w:cs="Times New Roman"/>
              </w:rPr>
              <w:t>1:1～1:1.5</w:t>
            </w:r>
          </w:p>
        </w:tc>
        <w:tc>
          <w:tcPr>
            <w:tcW w:w="2028" w:type="pct"/>
            <w:tcBorders>
              <w:top w:val="single" w:color="auto" w:sz="4" w:space="0"/>
              <w:left w:val="single" w:color="auto" w:sz="4" w:space="0"/>
              <w:bottom w:val="single" w:color="auto" w:sz="4" w:space="0"/>
              <w:right w:val="single" w:color="auto" w:sz="4" w:space="0"/>
            </w:tcBorders>
            <w:vAlign w:val="center"/>
          </w:tcPr>
          <w:p w14:paraId="4E1DDD49">
            <w:pPr>
              <w:pStyle w:val="71"/>
              <w:spacing w:before="24" w:after="24"/>
              <w:rPr>
                <w:rFonts w:cs="Times New Roman"/>
              </w:rPr>
            </w:pPr>
            <w:r>
              <w:rPr>
                <w:rFonts w:cs="Times New Roman"/>
              </w:rPr>
              <w:t>1:0.3～1:0.75</w:t>
            </w:r>
          </w:p>
        </w:tc>
      </w:tr>
    </w:tbl>
    <w:p w14:paraId="3FB83DB2">
      <w:pPr>
        <w:pStyle w:val="54"/>
        <w:spacing w:before="24" w:after="24"/>
      </w:pPr>
      <w:r>
        <w:t>岩石挖方边坡设计综合考虑岩性、构造裂隙产状与路线关系、岩体风化程度、力学性质和开挖高度，以及地下水﹑地面水、既有人工边坡和自然边坡稳定状况，并兼顾地貌、土石方平衡等因素确定。岩质路堑边坡坡率建议值详见下表：</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8"/>
        <w:gridCol w:w="572"/>
        <w:gridCol w:w="2464"/>
        <w:gridCol w:w="1027"/>
        <w:gridCol w:w="1812"/>
        <w:gridCol w:w="819"/>
        <w:gridCol w:w="1944"/>
      </w:tblGrid>
      <w:tr w14:paraId="0FC43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9" w:type="pct"/>
            <w:vMerge w:val="restart"/>
            <w:tcBorders>
              <w:top w:val="single" w:color="auto" w:sz="4" w:space="0"/>
              <w:left w:val="single" w:color="auto" w:sz="4" w:space="0"/>
              <w:bottom w:val="single" w:color="auto" w:sz="4" w:space="0"/>
              <w:right w:val="single" w:color="auto" w:sz="4" w:space="0"/>
            </w:tcBorders>
            <w:vAlign w:val="center"/>
          </w:tcPr>
          <w:p w14:paraId="1A23BC65">
            <w:pPr>
              <w:pStyle w:val="71"/>
              <w:spacing w:before="24" w:after="24"/>
              <w:rPr>
                <w:rFonts w:cs="Times New Roman"/>
              </w:rPr>
            </w:pPr>
            <w:r>
              <w:rPr>
                <w:rFonts w:cs="Times New Roman"/>
              </w:rPr>
              <w:t>岩土类别</w:t>
            </w:r>
          </w:p>
        </w:tc>
        <w:tc>
          <w:tcPr>
            <w:tcW w:w="1634" w:type="pct"/>
            <w:gridSpan w:val="2"/>
            <w:tcBorders>
              <w:top w:val="single" w:color="auto" w:sz="4" w:space="0"/>
              <w:left w:val="single" w:color="auto" w:sz="4" w:space="0"/>
              <w:bottom w:val="single" w:color="auto" w:sz="4" w:space="0"/>
              <w:right w:val="single" w:color="auto" w:sz="4" w:space="0"/>
            </w:tcBorders>
            <w:vAlign w:val="center"/>
          </w:tcPr>
          <w:p w14:paraId="67FF234A">
            <w:pPr>
              <w:pStyle w:val="71"/>
              <w:spacing w:before="24" w:after="24"/>
              <w:rPr>
                <w:rFonts w:cs="Times New Roman"/>
              </w:rPr>
            </w:pPr>
            <w:r>
              <w:rPr>
                <w:rFonts w:cs="Times New Roman"/>
              </w:rPr>
              <w:t>一级边坡</w:t>
            </w:r>
          </w:p>
        </w:tc>
        <w:tc>
          <w:tcPr>
            <w:tcW w:w="1528" w:type="pct"/>
            <w:gridSpan w:val="2"/>
            <w:tcBorders>
              <w:top w:val="single" w:color="auto" w:sz="4" w:space="0"/>
              <w:left w:val="single" w:color="auto" w:sz="4" w:space="0"/>
              <w:bottom w:val="single" w:color="auto" w:sz="4" w:space="0"/>
              <w:right w:val="single" w:color="auto" w:sz="4" w:space="0"/>
            </w:tcBorders>
            <w:vAlign w:val="center"/>
          </w:tcPr>
          <w:p w14:paraId="41F9BB5A">
            <w:pPr>
              <w:pStyle w:val="71"/>
              <w:spacing w:before="24" w:after="24"/>
              <w:rPr>
                <w:rFonts w:cs="Times New Roman"/>
              </w:rPr>
            </w:pPr>
            <w:r>
              <w:rPr>
                <w:rFonts w:cs="Times New Roman"/>
              </w:rPr>
              <w:t>二级边坡</w:t>
            </w:r>
          </w:p>
        </w:tc>
        <w:tc>
          <w:tcPr>
            <w:tcW w:w="1487" w:type="pct"/>
            <w:gridSpan w:val="2"/>
            <w:tcBorders>
              <w:top w:val="single" w:color="auto" w:sz="4" w:space="0"/>
              <w:left w:val="single" w:color="auto" w:sz="4" w:space="0"/>
              <w:bottom w:val="single" w:color="auto" w:sz="4" w:space="0"/>
              <w:right w:val="single" w:color="auto" w:sz="4" w:space="0"/>
            </w:tcBorders>
            <w:vAlign w:val="center"/>
          </w:tcPr>
          <w:p w14:paraId="249553FF">
            <w:pPr>
              <w:pStyle w:val="71"/>
              <w:spacing w:before="24" w:after="24"/>
              <w:rPr>
                <w:rFonts w:cs="Times New Roman"/>
              </w:rPr>
            </w:pPr>
            <w:r>
              <w:rPr>
                <w:rFonts w:cs="Times New Roman"/>
              </w:rPr>
              <w:t>三级以上边坡（含三级）</w:t>
            </w:r>
          </w:p>
        </w:tc>
      </w:tr>
      <w:tr w14:paraId="104F7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9" w:type="pct"/>
            <w:vMerge w:val="continue"/>
            <w:tcBorders>
              <w:top w:val="single" w:color="auto" w:sz="4" w:space="0"/>
              <w:left w:val="single" w:color="auto" w:sz="4" w:space="0"/>
              <w:bottom w:val="single" w:color="auto" w:sz="4" w:space="0"/>
              <w:right w:val="single" w:color="auto" w:sz="4" w:space="0"/>
            </w:tcBorders>
            <w:vAlign w:val="center"/>
          </w:tcPr>
          <w:p w14:paraId="74AB1F56">
            <w:pPr>
              <w:pStyle w:val="71"/>
              <w:spacing w:before="24" w:after="24"/>
              <w:rPr>
                <w:rFonts w:cs="Times New Roman"/>
              </w:rPr>
            </w:pPr>
          </w:p>
        </w:tc>
        <w:tc>
          <w:tcPr>
            <w:tcW w:w="308" w:type="pct"/>
            <w:tcBorders>
              <w:top w:val="single" w:color="auto" w:sz="4" w:space="0"/>
              <w:left w:val="single" w:color="auto" w:sz="4" w:space="0"/>
              <w:bottom w:val="single" w:color="auto" w:sz="4" w:space="0"/>
              <w:right w:val="single" w:color="auto" w:sz="4" w:space="0"/>
            </w:tcBorders>
            <w:vAlign w:val="center"/>
          </w:tcPr>
          <w:p w14:paraId="63DE1668">
            <w:pPr>
              <w:pStyle w:val="71"/>
              <w:spacing w:before="24" w:after="24"/>
              <w:rPr>
                <w:rFonts w:cs="Times New Roman"/>
              </w:rPr>
            </w:pPr>
            <w:r>
              <w:rPr>
                <w:rFonts w:cs="Times New Roman"/>
              </w:rPr>
              <w:t>高度</w:t>
            </w:r>
          </w:p>
        </w:tc>
        <w:tc>
          <w:tcPr>
            <w:tcW w:w="1324" w:type="pct"/>
            <w:tcBorders>
              <w:top w:val="single" w:color="auto" w:sz="4" w:space="0"/>
              <w:left w:val="single" w:color="auto" w:sz="4" w:space="0"/>
              <w:bottom w:val="single" w:color="auto" w:sz="4" w:space="0"/>
              <w:right w:val="single" w:color="auto" w:sz="4" w:space="0"/>
            </w:tcBorders>
            <w:vAlign w:val="center"/>
          </w:tcPr>
          <w:p w14:paraId="5A0E90D6">
            <w:pPr>
              <w:pStyle w:val="71"/>
              <w:spacing w:before="24" w:after="24"/>
              <w:rPr>
                <w:rFonts w:cs="Times New Roman"/>
              </w:rPr>
            </w:pPr>
            <w:r>
              <w:rPr>
                <w:rFonts w:cs="Times New Roman"/>
              </w:rPr>
              <w:t>坡度</w:t>
            </w:r>
          </w:p>
        </w:tc>
        <w:tc>
          <w:tcPr>
            <w:tcW w:w="553" w:type="pct"/>
            <w:tcBorders>
              <w:top w:val="single" w:color="auto" w:sz="4" w:space="0"/>
              <w:left w:val="single" w:color="auto" w:sz="4" w:space="0"/>
              <w:bottom w:val="single" w:color="auto" w:sz="4" w:space="0"/>
              <w:right w:val="single" w:color="auto" w:sz="4" w:space="0"/>
            </w:tcBorders>
            <w:vAlign w:val="center"/>
          </w:tcPr>
          <w:p w14:paraId="7BD741A6">
            <w:pPr>
              <w:pStyle w:val="71"/>
              <w:spacing w:before="24" w:after="24"/>
              <w:rPr>
                <w:rFonts w:cs="Times New Roman"/>
              </w:rPr>
            </w:pPr>
            <w:r>
              <w:rPr>
                <w:rFonts w:cs="Times New Roman"/>
              </w:rPr>
              <w:t>高度</w:t>
            </w:r>
          </w:p>
        </w:tc>
        <w:tc>
          <w:tcPr>
            <w:tcW w:w="974" w:type="pct"/>
            <w:tcBorders>
              <w:top w:val="single" w:color="auto" w:sz="4" w:space="0"/>
              <w:left w:val="single" w:color="auto" w:sz="4" w:space="0"/>
              <w:bottom w:val="single" w:color="auto" w:sz="4" w:space="0"/>
              <w:right w:val="single" w:color="auto" w:sz="4" w:space="0"/>
            </w:tcBorders>
            <w:vAlign w:val="center"/>
          </w:tcPr>
          <w:p w14:paraId="0BFE6A54">
            <w:pPr>
              <w:pStyle w:val="71"/>
              <w:spacing w:before="24" w:after="24"/>
              <w:rPr>
                <w:rFonts w:cs="Times New Roman"/>
              </w:rPr>
            </w:pPr>
            <w:r>
              <w:rPr>
                <w:rFonts w:cs="Times New Roman"/>
              </w:rPr>
              <w:t>坡度</w:t>
            </w:r>
          </w:p>
        </w:tc>
        <w:tc>
          <w:tcPr>
            <w:tcW w:w="441" w:type="pct"/>
            <w:tcBorders>
              <w:top w:val="single" w:color="auto" w:sz="4" w:space="0"/>
              <w:left w:val="single" w:color="auto" w:sz="4" w:space="0"/>
              <w:bottom w:val="single" w:color="auto" w:sz="4" w:space="0"/>
              <w:right w:val="single" w:color="auto" w:sz="4" w:space="0"/>
            </w:tcBorders>
            <w:vAlign w:val="center"/>
          </w:tcPr>
          <w:p w14:paraId="3A41D715">
            <w:pPr>
              <w:pStyle w:val="71"/>
              <w:spacing w:before="24" w:after="24"/>
              <w:rPr>
                <w:rFonts w:cs="Times New Roman"/>
              </w:rPr>
            </w:pPr>
            <w:r>
              <w:rPr>
                <w:rFonts w:cs="Times New Roman"/>
              </w:rPr>
              <w:t>高度</w:t>
            </w:r>
          </w:p>
        </w:tc>
        <w:tc>
          <w:tcPr>
            <w:tcW w:w="1045" w:type="pct"/>
            <w:tcBorders>
              <w:top w:val="single" w:color="auto" w:sz="4" w:space="0"/>
              <w:left w:val="single" w:color="auto" w:sz="4" w:space="0"/>
              <w:bottom w:val="single" w:color="auto" w:sz="4" w:space="0"/>
              <w:right w:val="single" w:color="auto" w:sz="4" w:space="0"/>
            </w:tcBorders>
            <w:vAlign w:val="center"/>
          </w:tcPr>
          <w:p w14:paraId="0AE50DCF">
            <w:pPr>
              <w:pStyle w:val="71"/>
              <w:spacing w:before="24" w:after="24"/>
              <w:rPr>
                <w:rFonts w:cs="Times New Roman"/>
              </w:rPr>
            </w:pPr>
            <w:r>
              <w:rPr>
                <w:rFonts w:cs="Times New Roman"/>
              </w:rPr>
              <w:t>坡度</w:t>
            </w:r>
          </w:p>
        </w:tc>
      </w:tr>
      <w:tr w14:paraId="4FFF4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9" w:type="pct"/>
            <w:tcBorders>
              <w:top w:val="single" w:color="auto" w:sz="4" w:space="0"/>
              <w:left w:val="single" w:color="auto" w:sz="4" w:space="0"/>
              <w:bottom w:val="single" w:color="auto" w:sz="4" w:space="0"/>
              <w:right w:val="single" w:color="auto" w:sz="4" w:space="0"/>
            </w:tcBorders>
            <w:vAlign w:val="center"/>
          </w:tcPr>
          <w:p w14:paraId="534D0592">
            <w:pPr>
              <w:pStyle w:val="71"/>
              <w:spacing w:before="24" w:after="24"/>
              <w:rPr>
                <w:rFonts w:cs="Times New Roman"/>
              </w:rPr>
            </w:pPr>
            <w:r>
              <w:rPr>
                <w:rFonts w:cs="Times New Roman"/>
              </w:rPr>
              <w:t>岩质边坡</w:t>
            </w:r>
          </w:p>
        </w:tc>
        <w:tc>
          <w:tcPr>
            <w:tcW w:w="308" w:type="pct"/>
            <w:tcBorders>
              <w:top w:val="single" w:color="auto" w:sz="4" w:space="0"/>
              <w:left w:val="single" w:color="auto" w:sz="4" w:space="0"/>
              <w:bottom w:val="single" w:color="auto" w:sz="4" w:space="0"/>
              <w:right w:val="single" w:color="auto" w:sz="4" w:space="0"/>
            </w:tcBorders>
            <w:vAlign w:val="center"/>
          </w:tcPr>
          <w:p w14:paraId="4CDB8DAD">
            <w:pPr>
              <w:pStyle w:val="71"/>
              <w:spacing w:before="24" w:after="24"/>
              <w:rPr>
                <w:rFonts w:cs="Times New Roman"/>
              </w:rPr>
            </w:pPr>
            <w:r>
              <w:rPr>
                <w:rFonts w:cs="Times New Roman"/>
              </w:rPr>
              <w:t>8</w:t>
            </w:r>
          </w:p>
        </w:tc>
        <w:tc>
          <w:tcPr>
            <w:tcW w:w="1324" w:type="pct"/>
            <w:tcBorders>
              <w:top w:val="single" w:color="auto" w:sz="4" w:space="0"/>
              <w:left w:val="single" w:color="auto" w:sz="4" w:space="0"/>
              <w:bottom w:val="single" w:color="auto" w:sz="4" w:space="0"/>
              <w:right w:val="single" w:color="auto" w:sz="4" w:space="0"/>
            </w:tcBorders>
            <w:vAlign w:val="center"/>
          </w:tcPr>
          <w:p w14:paraId="1DD7054F">
            <w:pPr>
              <w:pStyle w:val="71"/>
              <w:spacing w:before="24" w:after="24"/>
              <w:jc w:val="both"/>
              <w:rPr>
                <w:rFonts w:cs="Times New Roman"/>
              </w:rPr>
            </w:pPr>
            <w:r>
              <w:rPr>
                <w:rFonts w:cs="Times New Roman"/>
              </w:rPr>
              <w:t>强风化1：0.5</w:t>
            </w:r>
          </w:p>
          <w:p w14:paraId="5CF36AE9">
            <w:pPr>
              <w:pStyle w:val="71"/>
              <w:spacing w:before="24" w:after="24"/>
              <w:jc w:val="both"/>
              <w:rPr>
                <w:rFonts w:cs="Times New Roman"/>
              </w:rPr>
            </w:pPr>
            <w:r>
              <w:rPr>
                <w:rFonts w:cs="Times New Roman"/>
              </w:rPr>
              <w:t>中～强风化1：0.3</w:t>
            </w:r>
          </w:p>
          <w:p w14:paraId="015943DD">
            <w:pPr>
              <w:pStyle w:val="71"/>
              <w:spacing w:before="24" w:after="24"/>
              <w:jc w:val="both"/>
              <w:rPr>
                <w:rFonts w:cs="Times New Roman"/>
              </w:rPr>
            </w:pPr>
            <w:r>
              <w:rPr>
                <w:rFonts w:cs="Times New Roman"/>
              </w:rPr>
              <w:t>弱风化1:0.3</w:t>
            </w:r>
          </w:p>
        </w:tc>
        <w:tc>
          <w:tcPr>
            <w:tcW w:w="553" w:type="pct"/>
            <w:tcBorders>
              <w:top w:val="single" w:color="auto" w:sz="4" w:space="0"/>
              <w:left w:val="single" w:color="auto" w:sz="4" w:space="0"/>
              <w:bottom w:val="single" w:color="auto" w:sz="4" w:space="0"/>
              <w:right w:val="single" w:color="auto" w:sz="4" w:space="0"/>
            </w:tcBorders>
            <w:vAlign w:val="center"/>
          </w:tcPr>
          <w:p w14:paraId="588D393E">
            <w:pPr>
              <w:pStyle w:val="71"/>
              <w:spacing w:before="24" w:after="24"/>
              <w:rPr>
                <w:rFonts w:cs="Times New Roman"/>
              </w:rPr>
            </w:pPr>
            <w:r>
              <w:rPr>
                <w:rFonts w:cs="Times New Roman"/>
              </w:rPr>
              <w:t>8</w:t>
            </w:r>
          </w:p>
        </w:tc>
        <w:tc>
          <w:tcPr>
            <w:tcW w:w="974" w:type="pct"/>
            <w:tcBorders>
              <w:top w:val="single" w:color="auto" w:sz="4" w:space="0"/>
              <w:left w:val="single" w:color="auto" w:sz="4" w:space="0"/>
              <w:bottom w:val="single" w:color="auto" w:sz="4" w:space="0"/>
              <w:right w:val="single" w:color="auto" w:sz="4" w:space="0"/>
            </w:tcBorders>
            <w:vAlign w:val="center"/>
          </w:tcPr>
          <w:p w14:paraId="3CD9F610">
            <w:pPr>
              <w:pStyle w:val="71"/>
              <w:spacing w:before="24" w:after="24"/>
              <w:jc w:val="both"/>
              <w:rPr>
                <w:rFonts w:cs="Times New Roman"/>
              </w:rPr>
            </w:pPr>
            <w:r>
              <w:rPr>
                <w:rFonts w:cs="Times New Roman"/>
              </w:rPr>
              <w:t>强风化1：0.75</w:t>
            </w:r>
          </w:p>
          <w:p w14:paraId="10C19064">
            <w:pPr>
              <w:pStyle w:val="71"/>
              <w:spacing w:before="24" w:after="24"/>
              <w:jc w:val="both"/>
              <w:rPr>
                <w:rFonts w:cs="Times New Roman"/>
              </w:rPr>
            </w:pPr>
            <w:r>
              <w:rPr>
                <w:rFonts w:cs="Times New Roman"/>
              </w:rPr>
              <w:t>中～强风化1：0.5</w:t>
            </w:r>
          </w:p>
          <w:p w14:paraId="6CCD183A">
            <w:pPr>
              <w:pStyle w:val="71"/>
              <w:spacing w:before="24" w:after="24"/>
              <w:jc w:val="both"/>
              <w:rPr>
                <w:rFonts w:cs="Times New Roman"/>
              </w:rPr>
            </w:pPr>
            <w:r>
              <w:rPr>
                <w:rFonts w:cs="Times New Roman"/>
              </w:rPr>
              <w:t>弱风化1:0.5</w:t>
            </w:r>
          </w:p>
        </w:tc>
        <w:tc>
          <w:tcPr>
            <w:tcW w:w="441" w:type="pct"/>
            <w:tcBorders>
              <w:top w:val="single" w:color="auto" w:sz="4" w:space="0"/>
              <w:left w:val="single" w:color="auto" w:sz="4" w:space="0"/>
              <w:bottom w:val="single" w:color="auto" w:sz="4" w:space="0"/>
              <w:right w:val="single" w:color="auto" w:sz="4" w:space="0"/>
            </w:tcBorders>
            <w:vAlign w:val="center"/>
          </w:tcPr>
          <w:p w14:paraId="1327695A">
            <w:pPr>
              <w:pStyle w:val="71"/>
              <w:spacing w:before="24" w:after="24"/>
              <w:jc w:val="both"/>
              <w:rPr>
                <w:rFonts w:cs="Times New Roman"/>
              </w:rPr>
            </w:pPr>
            <w:r>
              <w:rPr>
                <w:rFonts w:cs="Times New Roman"/>
              </w:rPr>
              <w:t>8</w:t>
            </w:r>
          </w:p>
        </w:tc>
        <w:tc>
          <w:tcPr>
            <w:tcW w:w="1045" w:type="pct"/>
            <w:tcBorders>
              <w:top w:val="single" w:color="auto" w:sz="4" w:space="0"/>
              <w:left w:val="single" w:color="auto" w:sz="4" w:space="0"/>
              <w:bottom w:val="single" w:color="auto" w:sz="4" w:space="0"/>
              <w:right w:val="single" w:color="auto" w:sz="4" w:space="0"/>
            </w:tcBorders>
            <w:vAlign w:val="center"/>
          </w:tcPr>
          <w:p w14:paraId="6A0153F8">
            <w:pPr>
              <w:pStyle w:val="71"/>
              <w:spacing w:before="24" w:after="24"/>
              <w:jc w:val="both"/>
              <w:rPr>
                <w:rFonts w:cs="Times New Roman"/>
              </w:rPr>
            </w:pPr>
            <w:r>
              <w:rPr>
                <w:rFonts w:cs="Times New Roman"/>
              </w:rPr>
              <w:t>各级边坡高度一般为8m，坡率1：0.5～1：1，但相邻边坡坡率变化不超过1：0.25</w:t>
            </w:r>
          </w:p>
        </w:tc>
      </w:tr>
    </w:tbl>
    <w:p w14:paraId="102F4A2C">
      <w:pPr>
        <w:pStyle w:val="54"/>
        <w:spacing w:before="24" w:after="24"/>
      </w:pPr>
      <w:r>
        <w:t>3）护坡道及碎落台</w:t>
      </w:r>
    </w:p>
    <w:p w14:paraId="013D4238">
      <w:pPr>
        <w:pStyle w:val="54"/>
        <w:spacing w:before="24" w:after="24"/>
      </w:pPr>
      <w:r>
        <w:t>填方路基，当坡脚外设排水沟时，坡脚与排水沟内边缘设宽1.0m的护坡道。未设支挡挖方地段设置1.0m碎落台。</w:t>
      </w:r>
    </w:p>
    <w:p w14:paraId="262215B8">
      <w:pPr>
        <w:pStyle w:val="54"/>
        <w:spacing w:before="24" w:after="24"/>
      </w:pPr>
      <w:r>
        <w:t>（4）路线纵向填挖交界处及横向半填半挖设计</w:t>
      </w:r>
    </w:p>
    <w:p w14:paraId="04A7F03E">
      <w:pPr>
        <w:pStyle w:val="54"/>
        <w:spacing w:before="24" w:after="24"/>
      </w:pPr>
      <w:r>
        <w:t>1）填挖交界及半填半挖路基主要采用挖台阶和设置土工格栅处理。</w:t>
      </w:r>
    </w:p>
    <w:p w14:paraId="39B82293">
      <w:pPr>
        <w:pStyle w:val="54"/>
        <w:spacing w:before="24" w:after="24"/>
      </w:pPr>
      <w:r>
        <w:rPr>
          <w:rFonts w:ascii="Cambria Math" w:hAnsi="Cambria Math" w:cs="Cambria Math"/>
        </w:rPr>
        <w:t>①</w:t>
      </w:r>
      <w:r>
        <w:t>山坡路堤，当地面横坡陡于1：5时，原地面清除表土后应挖成宽度不小于2m的台阶，台阶向内做3%的横坡，并用小型机械加以夯实；</w:t>
      </w:r>
    </w:p>
    <w:p w14:paraId="68132B64">
      <w:pPr>
        <w:pStyle w:val="54"/>
        <w:spacing w:before="24" w:after="24"/>
      </w:pPr>
      <w:r>
        <w:rPr>
          <w:rFonts w:ascii="Cambria Math" w:hAnsi="Cambria Math" w:cs="Cambria Math"/>
        </w:rPr>
        <w:t>②</w:t>
      </w:r>
      <w:r>
        <w:t>在铺设时，对于加筋路堤及横向半填半挖路段应将强度高的方向置于垂直于路轴线方向，而对于纵向填挖交界路段则应使强度高的方向与路轴线一致。</w:t>
      </w:r>
    </w:p>
    <w:p w14:paraId="42749683">
      <w:pPr>
        <w:pStyle w:val="54"/>
        <w:spacing w:before="24" w:after="24"/>
      </w:pPr>
      <w:r>
        <w:rPr>
          <w:rFonts w:ascii="Cambria Math" w:hAnsi="Cambria Math" w:cs="Cambria Math"/>
        </w:rPr>
        <w:t>③</w:t>
      </w:r>
      <w:r>
        <w:t>为了减小地下水对路基的破坏，在填挖交界处设置横向渗沟，并与挖方路段纵向渗沟连接共同排除地下水。</w:t>
      </w:r>
    </w:p>
    <w:p w14:paraId="0DBEEABF">
      <w:pPr>
        <w:pStyle w:val="54"/>
        <w:spacing w:before="24" w:after="24"/>
      </w:pPr>
      <w:r>
        <w:t>2）纵向填挖交界设计</w:t>
      </w:r>
    </w:p>
    <w:p w14:paraId="70405BFA">
      <w:pPr>
        <w:pStyle w:val="54"/>
        <w:spacing w:before="24" w:after="24"/>
      </w:pPr>
      <w:r>
        <w:t>纵向填挖交界处设置过渡段，长度不小于20.0m，土质地段过渡段采用级配良好的砾（角砾）类土、砂类土、碎石土填筑，岩石地段过渡段采用填石路基。纵向填挖交界处，按照规范规定的压实度，路基填筑至路床底部后，可采用冲击式振动压路机或强夯等措施进行增压补实，以消减路基填挖间差异变形。</w:t>
      </w:r>
    </w:p>
    <w:p w14:paraId="701587AB">
      <w:pPr>
        <w:pStyle w:val="54"/>
        <w:spacing w:before="24" w:after="24"/>
      </w:pPr>
      <w:r>
        <w:t>3）横向半填半挖设计</w:t>
      </w:r>
    </w:p>
    <w:p w14:paraId="0502A316">
      <w:pPr>
        <w:pStyle w:val="54"/>
        <w:spacing w:before="24" w:after="24"/>
      </w:pPr>
      <w:r>
        <w:t>横向半填半挖路床下0.5m-1.0m范围内铺设一层双向土工格栅。半填半挖路基的填料应综合设计，当挖方区为土质时，应优先选用渗水性好的材料填筑，对挖方区路床80cm范围内土质进行超挖回填碾压；当挖方区为石质时，可采用开挖渣石土回填。</w:t>
      </w:r>
    </w:p>
    <w:p w14:paraId="51372F20">
      <w:pPr>
        <w:pStyle w:val="54"/>
        <w:spacing w:before="24" w:after="24"/>
      </w:pPr>
      <w:r>
        <w:t>2.路基边坡防护与支挡</w:t>
      </w:r>
    </w:p>
    <w:p w14:paraId="4D17B7F0">
      <w:pPr>
        <w:pStyle w:val="54"/>
        <w:spacing w:before="24" w:after="24"/>
      </w:pPr>
      <w:r>
        <w:t>（1）路基防护应采取工程防护与植物防护相结合的防护措施，并应与景观相协调。</w:t>
      </w:r>
    </w:p>
    <w:p w14:paraId="21F85FCF">
      <w:pPr>
        <w:pStyle w:val="54"/>
        <w:spacing w:before="24" w:after="24"/>
      </w:pPr>
      <w:r>
        <w:t>（2）城市道路路基边坡的支挡工程设计，应查明路基边坡和支挡结构地基的工程地质、水文地质条件及环境条件等，并取得设计必要的岩土物理力学参数，根据其工程特性进行路基防护设计。对存在稳定性隐患的路基，应进行稳定性分析；当稳定性不满足要求时，必须采取加固措施。</w:t>
      </w:r>
    </w:p>
    <w:p w14:paraId="50805812">
      <w:pPr>
        <w:pStyle w:val="54"/>
        <w:spacing w:before="24" w:after="24"/>
      </w:pPr>
      <w:r>
        <w:t>（3）路基支挡结构设计应满足各种设计荷载组合下支挡结构的稳定、坚固和耐久；结构类型选择及设置位置的确定应安全可靠、经济合理、便于施工养护；结构材料应符合耐久、耐腐蚀的要求。</w:t>
      </w:r>
    </w:p>
    <w:p w14:paraId="66BF9C81">
      <w:pPr>
        <w:pStyle w:val="54"/>
        <w:spacing w:before="24" w:after="24"/>
      </w:pPr>
      <w:r>
        <w:t>（4）对路堤稳定性差或需设置下挡墙收坡时,应根据地形条件确定挡土墙或其他支挡结构形式，地面横坡较陡时，应采用衡重式路肩挡土墙，必要时设置桩基托梁路肩挡土墙。</w:t>
      </w:r>
    </w:p>
    <w:p w14:paraId="5FE3E544">
      <w:pPr>
        <w:pStyle w:val="54"/>
        <w:spacing w:before="24" w:after="24"/>
      </w:pPr>
      <w:r>
        <w:t>（5）挖方地段地面横坡较陡时应设置适当支挡措施收坡，避免剥山皮，破坏环境及引发工程滑坡。</w:t>
      </w:r>
    </w:p>
    <w:p w14:paraId="44DF4AD4">
      <w:pPr>
        <w:pStyle w:val="54"/>
        <w:spacing w:before="24" w:after="24"/>
      </w:pPr>
      <w:r>
        <w:t>（6）路堑挡土墙或护面墙墙趾宜低于边沟排水面 0.5~0.6m 或低于路肩 1m（不设边沟时）。挡土墙基底纵坡不应大于 5%，否则应设计为台阶式。</w:t>
      </w:r>
    </w:p>
    <w:p w14:paraId="45467AC9">
      <w:pPr>
        <w:pStyle w:val="54"/>
        <w:spacing w:before="24" w:after="24"/>
      </w:pPr>
      <w:r>
        <w:t>（7）考虑景观、防护效果及造价等因素，路堑风化岩石边坡不宜采用挂网喷锚防护土质边坡不应采用挂网喷锚防护。</w:t>
      </w:r>
    </w:p>
    <w:p w14:paraId="3BE14DB5">
      <w:pPr>
        <w:pStyle w:val="54"/>
        <w:spacing w:before="24" w:after="24"/>
      </w:pPr>
      <w:r>
        <w:t>（8）植物防护时，宜采用适宜当地乡土的植物，坡率不宜陡于1:0.75。</w:t>
      </w:r>
    </w:p>
    <w:p w14:paraId="4D6EE6AE">
      <w:pPr>
        <w:pStyle w:val="54"/>
        <w:spacing w:before="24" w:after="24"/>
      </w:pPr>
      <w:r>
        <w:t>（9）防护与支挡工程应加强排水设施的设置，挡土墙背应连续设置反滤层。</w:t>
      </w:r>
    </w:p>
    <w:p w14:paraId="32947774">
      <w:pPr>
        <w:pStyle w:val="54"/>
        <w:spacing w:before="24" w:after="24"/>
      </w:pPr>
      <w:r>
        <w:t>3.特殊路基设计</w:t>
      </w:r>
    </w:p>
    <w:p w14:paraId="04B7799B">
      <w:pPr>
        <w:pStyle w:val="54"/>
        <w:spacing w:before="24" w:after="24"/>
      </w:pPr>
      <w:r>
        <w:t>本项目暂无详细勘察报告，参考项目周边《德钦新县城近期-414户安置房及配套基础设施建设项目（一期）详细勘察》，暂定以下软基处理方案：</w:t>
      </w:r>
    </w:p>
    <w:p w14:paraId="0DC0E855">
      <w:pPr>
        <w:pStyle w:val="54"/>
        <w:spacing w:before="24" w:after="24"/>
      </w:pPr>
      <w:r>
        <w:t>1）农田、易受地下水影响的路基</w:t>
      </w:r>
    </w:p>
    <w:p w14:paraId="3C9DC11F">
      <w:pPr>
        <w:pStyle w:val="54"/>
        <w:spacing w:before="24" w:after="24"/>
      </w:pPr>
      <w:r>
        <w:t>对于农田、易受地下水影响或者其他软土的路基,有条件的情况下应先超挖 1m 软土（具体看地勘情况而定），再铺筑块石 80cm，之后在块石上铺筑 20CM 砂石垫层并分层碾压。对于需进行深层地基处理的路段，清除地表耕植土等杂物后，进行深层路基处理;若清除杂物后地基承载力太低导致路基处理机械无法进场，可预先铺设30cm风化玄武岩作为施工平台。路基处理施工完毕后，进行常规的路基施工。</w:t>
      </w:r>
    </w:p>
    <w:p w14:paraId="0B069D9A">
      <w:pPr>
        <w:pStyle w:val="54"/>
        <w:spacing w:before="24" w:after="24"/>
      </w:pPr>
      <w:r>
        <w:t>2）水塘、积水洼地</w:t>
      </w:r>
    </w:p>
    <w:p w14:paraId="17D8E089">
      <w:pPr>
        <w:pStyle w:val="54"/>
        <w:spacing w:before="24" w:after="24"/>
      </w:pPr>
      <w:r>
        <w:t>在水塘、积水洼地上填筑路基，当有条件排水清淤的情况下，应清除积水，挖除地表淤泥，用土夹石分层填筑并压实至原地面，之后可进行常规的路基施工。对没有条件排水清淤的路段采用抛石挤淤的方式，石料采用直径不小于 30cm 的片石，片石高于水面后，进行碾压，并在片石上设置 40cm 厚的碎石反滤层并碾压，然后进行常规路堤的填筑。抛石范围较路基宽 3m。对于需进行深层地基处理的路段，需清除淤泥后，采用土夹石回填至周边原地面标高，然后进行深层地基处理。待深层地基处理结束后，进行一般的路基施工。</w:t>
      </w:r>
    </w:p>
    <w:p w14:paraId="762A9519">
      <w:pPr>
        <w:pStyle w:val="54"/>
        <w:spacing w:before="24" w:after="24"/>
      </w:pPr>
      <w:r>
        <w:t>在道路施工图设计时，根据本项目《道路地质详细勘察报告》，进一步明确本项目路基范围内软基的处理方式及处理范围。</w:t>
      </w:r>
    </w:p>
    <w:p w14:paraId="5AA6DC29">
      <w:pPr>
        <w:pStyle w:val="54"/>
        <w:spacing w:before="24" w:after="24"/>
        <w:ind w:firstLine="562"/>
        <w:outlineLvl w:val="3"/>
        <w:rPr>
          <w:b/>
          <w:bCs/>
        </w:rPr>
      </w:pPr>
      <w:r>
        <w:rPr>
          <w:b/>
          <w:bCs/>
        </w:rPr>
        <w:t>10.4交通工程</w:t>
      </w:r>
    </w:p>
    <w:p w14:paraId="4E59094E">
      <w:pPr>
        <w:pStyle w:val="54"/>
        <w:spacing w:before="24" w:after="24"/>
      </w:pPr>
      <w:r>
        <w:t>根据《中华人民共和国道路交通安全法》《城市道路交通标志和标线设置规范》规定交通安全设施是涉及道路安全使用、交通功能得以实现的重要设施。交通安全设施包括交通标志、交通标线、视频监控及一些附属设施。</w:t>
      </w:r>
    </w:p>
    <w:p w14:paraId="48C6CB34">
      <w:pPr>
        <w:pStyle w:val="54"/>
        <w:spacing w:before="24" w:after="24"/>
      </w:pPr>
      <w:r>
        <w:t>1.交通标志分类</w:t>
      </w:r>
    </w:p>
    <w:p w14:paraId="0D6E69E1">
      <w:pPr>
        <w:pStyle w:val="54"/>
        <w:spacing w:before="24" w:after="24"/>
      </w:pPr>
      <w:r>
        <w:t>（1）交通标志是用图形符号、颜色和文字向交通参与者传递特定信息，是管理交通的安全设施。交通标志主要有警告、禁令、指路和指示标志等。警告标志的颜色为黄底、黑边、黑图案；禁令标志的颜色，除个别标志外，为白色、红圈、红杠、黑图案，图案压杠。指路标志的颜色根据道路等级进行区分，本项目指路标志的颜色为蓝底白图案。交通标志的颜色、图案、文字、数字等，严格按国标GB5768-2009规定执行。</w:t>
      </w:r>
    </w:p>
    <w:p w14:paraId="5FE08400">
      <w:pPr>
        <w:pStyle w:val="54"/>
        <w:spacing w:before="24" w:after="24"/>
      </w:pPr>
      <w:r>
        <w:t>道路标志板衬底采用三级反光膜，文字及图案采用三级反光膜。</w:t>
      </w:r>
    </w:p>
    <w:p w14:paraId="4334D4BC">
      <w:pPr>
        <w:pStyle w:val="54"/>
        <w:spacing w:before="24" w:after="24"/>
      </w:pPr>
      <w:r>
        <w:t>（2）标志板版面设计</w:t>
      </w:r>
    </w:p>
    <w:p w14:paraId="5CD1F6E1">
      <w:pPr>
        <w:pStyle w:val="54"/>
        <w:spacing w:before="24" w:after="24"/>
      </w:pPr>
      <w:r>
        <w:t>1）警告标志</w:t>
      </w:r>
    </w:p>
    <w:p w14:paraId="7DF8F39F">
      <w:pPr>
        <w:pStyle w:val="54"/>
        <w:spacing w:before="24" w:after="24"/>
      </w:pPr>
      <w:r>
        <w:t>警告标志的颜色为黄底、黑边、黑图案。警告标志的形状为等边三角形，顶角朝上。</w:t>
      </w:r>
    </w:p>
    <w:p w14:paraId="52A70B74">
      <w:pPr>
        <w:pStyle w:val="54"/>
        <w:spacing w:before="24" w:after="24"/>
      </w:pPr>
      <w:r>
        <w:t>三角形标志边长为70cm。</w:t>
      </w:r>
    </w:p>
    <w:p w14:paraId="6D6F422C">
      <w:pPr>
        <w:pStyle w:val="54"/>
        <w:spacing w:before="24" w:after="24"/>
      </w:pPr>
      <w:r>
        <w:t>2）禁令标志</w:t>
      </w:r>
    </w:p>
    <w:p w14:paraId="604A7470">
      <w:pPr>
        <w:pStyle w:val="54"/>
        <w:spacing w:before="24" w:after="24"/>
      </w:pPr>
      <w:r>
        <w:t>禁令标志的颜色，除个别标志外，为白底、红圈、红杠、黑图案，图案压杠。</w:t>
      </w:r>
    </w:p>
    <w:p w14:paraId="2361E09B">
      <w:pPr>
        <w:pStyle w:val="54"/>
        <w:spacing w:before="24" w:after="24"/>
      </w:pPr>
      <w:r>
        <w:t>禁令标志的形状为圆形、八角形、顶角向下的等边三角形。</w:t>
      </w:r>
    </w:p>
    <w:p w14:paraId="7CF24DB5">
      <w:pPr>
        <w:pStyle w:val="54"/>
        <w:spacing w:before="24" w:after="24"/>
      </w:pPr>
      <w:r>
        <w:t>圆形标志外径为60cm。</w:t>
      </w:r>
    </w:p>
    <w:p w14:paraId="769C09D1">
      <w:pPr>
        <w:pStyle w:val="54"/>
        <w:spacing w:before="24" w:after="24"/>
      </w:pPr>
      <w:r>
        <w:t>三角形标志边长为70cm。</w:t>
      </w:r>
    </w:p>
    <w:p w14:paraId="5B319AE0">
      <w:pPr>
        <w:pStyle w:val="54"/>
        <w:spacing w:before="24" w:after="24"/>
      </w:pPr>
      <w:r>
        <w:t>八角形标志外径为60cm。</w:t>
      </w:r>
    </w:p>
    <w:p w14:paraId="190F5845">
      <w:pPr>
        <w:pStyle w:val="54"/>
        <w:spacing w:before="24" w:after="24"/>
      </w:pPr>
      <w:r>
        <w:t>3）指示标志</w:t>
      </w:r>
    </w:p>
    <w:p w14:paraId="7CBA212F">
      <w:pPr>
        <w:pStyle w:val="54"/>
        <w:spacing w:before="24" w:after="24"/>
      </w:pPr>
      <w:r>
        <w:t>指示标志的颜色为蓝底、白图案。指示标志的形状分为圆形、长方形和正方形。</w:t>
      </w:r>
    </w:p>
    <w:p w14:paraId="0B980B47">
      <w:pPr>
        <w:pStyle w:val="54"/>
        <w:spacing w:before="24" w:after="24"/>
      </w:pPr>
      <w:r>
        <w:t>圆形标志外径为60cm。</w:t>
      </w:r>
    </w:p>
    <w:p w14:paraId="62F5585D">
      <w:pPr>
        <w:pStyle w:val="54"/>
        <w:spacing w:before="24" w:after="24"/>
      </w:pPr>
      <w:r>
        <w:t>正方形边长为60cm。</w:t>
      </w:r>
    </w:p>
    <w:p w14:paraId="794BE31D">
      <w:pPr>
        <w:pStyle w:val="54"/>
        <w:spacing w:before="24" w:after="24"/>
      </w:pPr>
      <w:r>
        <w:t>长方形边长为140×100cm。</w:t>
      </w:r>
    </w:p>
    <w:p w14:paraId="6F54CEFC">
      <w:pPr>
        <w:pStyle w:val="54"/>
        <w:spacing w:before="24" w:after="24"/>
      </w:pPr>
      <w:r>
        <w:t>4）指路标志</w:t>
      </w:r>
    </w:p>
    <w:p w14:paraId="239598B4">
      <w:pPr>
        <w:pStyle w:val="54"/>
        <w:spacing w:before="24" w:after="24"/>
      </w:pPr>
      <w:r>
        <w:t>指路标志的颜色为蓝底白图案。</w:t>
      </w:r>
    </w:p>
    <w:p w14:paraId="3D0FEE4F">
      <w:pPr>
        <w:pStyle w:val="54"/>
        <w:spacing w:before="24" w:after="24"/>
      </w:pPr>
      <w:r>
        <w:t>标志版面为长方形，采用中英文字体对照。</w:t>
      </w:r>
    </w:p>
    <w:p w14:paraId="27361A07">
      <w:pPr>
        <w:pStyle w:val="54"/>
        <w:spacing w:before="24" w:after="24"/>
      </w:pPr>
      <w:r>
        <w:t>汉字字高：设计速度为30Km/h汉字高为30cm。</w:t>
      </w:r>
    </w:p>
    <w:p w14:paraId="61914366">
      <w:pPr>
        <w:pStyle w:val="54"/>
        <w:spacing w:before="24" w:after="24"/>
      </w:pPr>
      <w:r>
        <w:t>英文、拼音或少数民族文字字高为汉字高的1/2。</w:t>
      </w:r>
    </w:p>
    <w:p w14:paraId="1CD39D7D">
      <w:pPr>
        <w:pStyle w:val="54"/>
        <w:spacing w:before="24" w:after="24"/>
      </w:pPr>
      <w:r>
        <w:t>（3）交通标志的设置</w:t>
      </w:r>
    </w:p>
    <w:p w14:paraId="7D4D7A6E">
      <w:pPr>
        <w:pStyle w:val="54"/>
        <w:spacing w:before="24" w:after="24"/>
      </w:pPr>
      <w:r>
        <w:t>交通标志结合交通标线对车辆行驶加以前方出口预告和正确引导。交通标志主要设置在道路交叉口等特殊路段上以指示各种交通信息。</w:t>
      </w:r>
    </w:p>
    <w:p w14:paraId="205ECCBE">
      <w:pPr>
        <w:pStyle w:val="54"/>
        <w:spacing w:before="24" w:after="24"/>
      </w:pPr>
      <w:r>
        <w:t>1）横向道路标志</w:t>
      </w:r>
    </w:p>
    <w:p w14:paraId="6FE15562">
      <w:pPr>
        <w:pStyle w:val="54"/>
        <w:spacing w:before="24" w:after="24"/>
      </w:pPr>
      <w:r>
        <w:t>在主线道路交叉口前，在距停车线60m处用F杆设置横向道路路口指示标志。</w:t>
      </w:r>
    </w:p>
    <w:p w14:paraId="329591EE">
      <w:pPr>
        <w:pStyle w:val="54"/>
        <w:spacing w:before="24" w:after="24"/>
      </w:pPr>
      <w:r>
        <w:t>2）标志板支撑结构</w:t>
      </w:r>
    </w:p>
    <w:p w14:paraId="2F0C1EB8">
      <w:pPr>
        <w:pStyle w:val="54"/>
        <w:spacing w:before="24" w:after="24"/>
      </w:pPr>
      <w:r>
        <w:t>交通标志根据支撑结构形式的不同可分为：直杆、弯杆、F杆、T杆和龙门架结构等。交通标志板及标志结构的设置不得侵入道路建筑限界，须满足道路净高5.5m和侧向净宽0.25m的要求。交通标志板不得被其他物体如绿化、广告牌等所遮挡。</w:t>
      </w:r>
    </w:p>
    <w:p w14:paraId="7F0348B7">
      <w:pPr>
        <w:pStyle w:val="54"/>
        <w:spacing w:before="24" w:after="24"/>
      </w:pPr>
      <w:r>
        <w:t>单柱柱式和悬臂柱式等形式，具体位置主要根据道路条件和交通标志情形选择确定。</w:t>
      </w:r>
    </w:p>
    <w:p w14:paraId="3C098672">
      <w:pPr>
        <w:pStyle w:val="54"/>
        <w:spacing w:before="24" w:after="24"/>
      </w:pPr>
      <w:r>
        <w:t>a、悬臂式标志L杆采用等边八角型钢管制作。</w:t>
      </w:r>
    </w:p>
    <w:p w14:paraId="5477A7E4">
      <w:pPr>
        <w:pStyle w:val="54"/>
        <w:spacing w:before="24" w:after="24"/>
      </w:pPr>
      <w:r>
        <w:t>b、单柱式标志杆主要支撑小型标志，因支撑标志板大小的不同，单立杆的管径也有区别，单立杆采用φ76mm的钢管制作。</w:t>
      </w:r>
    </w:p>
    <w:p w14:paraId="0D70C5ED">
      <w:pPr>
        <w:pStyle w:val="54"/>
        <w:spacing w:before="24" w:after="24"/>
      </w:pPr>
      <w:r>
        <w:t>3）风荷载计算中设计风速应符合下列规定：</w:t>
      </w:r>
    </w:p>
    <w:p w14:paraId="3A65BE62">
      <w:pPr>
        <w:pStyle w:val="54"/>
        <w:spacing w:before="24" w:after="24"/>
      </w:pPr>
      <w:r>
        <w:t>a、应采用标志所在地区距离平坦空旷地面10m高,50年遇10min的计算平均最大风速;</w:t>
      </w:r>
    </w:p>
    <w:p w14:paraId="6C4592A9">
      <w:pPr>
        <w:pStyle w:val="54"/>
        <w:spacing w:before="24" w:after="24"/>
      </w:pPr>
      <w:r>
        <w:t>b、缺乏风速观测资料时</w:t>
      </w:r>
      <w:r>
        <w:rPr>
          <w:rFonts w:hint="eastAsia"/>
        </w:rPr>
        <w:t>，</w:t>
      </w:r>
      <w:r>
        <w:t>设计风速可按《全国基本风速值和基本风速分布图》,经实地调查核实后采用,但不得小于22m/s。</w:t>
      </w:r>
    </w:p>
    <w:p w14:paraId="44184E29">
      <w:pPr>
        <w:pStyle w:val="54"/>
        <w:spacing w:before="24" w:after="24"/>
      </w:pPr>
      <w:r>
        <w:t>2.交通标线</w:t>
      </w:r>
    </w:p>
    <w:p w14:paraId="737B62F8">
      <w:pPr>
        <w:pStyle w:val="54"/>
        <w:spacing w:before="24" w:after="24"/>
      </w:pPr>
      <w:r>
        <w:t>根据道路的设计参数，对车行道进行合理布置和车道划分。</w:t>
      </w:r>
    </w:p>
    <w:p w14:paraId="5F90A965">
      <w:pPr>
        <w:pStyle w:val="54"/>
        <w:spacing w:before="24" w:after="24"/>
      </w:pPr>
      <w:r>
        <w:t>（1）标线种类及标准</w:t>
      </w:r>
    </w:p>
    <w:p w14:paraId="4BBF77B5">
      <w:pPr>
        <w:pStyle w:val="54"/>
        <w:spacing w:before="24" w:after="24"/>
      </w:pPr>
      <w:r>
        <w:t>1）车道分界线</w:t>
      </w:r>
    </w:p>
    <w:p w14:paraId="0B6049CD">
      <w:pPr>
        <w:pStyle w:val="54"/>
        <w:spacing w:before="24" w:after="24"/>
      </w:pPr>
      <w:r>
        <w:t>车道分界线为白色虚线或实线，用来分隔同向行驶的车道。车道分界线采用线宽为15cm；车道分界线虚线主路线段长2m，间隔4m。</w:t>
      </w:r>
    </w:p>
    <w:p w14:paraId="07FBF84C">
      <w:pPr>
        <w:pStyle w:val="54"/>
        <w:spacing w:before="24" w:after="24"/>
      </w:pPr>
      <w:r>
        <w:t>一般横向道路对向车道分界线为黄色单虚线或双实线，线宽为15cm。若为单虚线，线段长4m，间隔6m。</w:t>
      </w:r>
    </w:p>
    <w:p w14:paraId="68711F46">
      <w:pPr>
        <w:pStyle w:val="54"/>
        <w:spacing w:before="24" w:after="24"/>
      </w:pPr>
      <w:r>
        <w:t>2）车行道边缘线</w:t>
      </w:r>
    </w:p>
    <w:p w14:paraId="56C9ABF3">
      <w:pPr>
        <w:pStyle w:val="54"/>
        <w:spacing w:before="24" w:after="24"/>
      </w:pPr>
      <w:r>
        <w:t>车行道边缘线为白色实线，用来表示车行道的边线，线宽为15cm。</w:t>
      </w:r>
    </w:p>
    <w:p w14:paraId="11D67C38">
      <w:pPr>
        <w:pStyle w:val="54"/>
        <w:spacing w:before="24" w:after="24"/>
      </w:pPr>
      <w:r>
        <w:t>3）出入口标线</w:t>
      </w:r>
    </w:p>
    <w:p w14:paraId="6C683C3E">
      <w:pPr>
        <w:pStyle w:val="54"/>
        <w:spacing w:before="24" w:after="24"/>
      </w:pPr>
      <w:r>
        <w:t>在出入口、交叉口及允许路边停车路段等允许机动车跨越边缘线的地方，可设置车行道边缘白色虚线，线宽为15cm，虚线线段长为2m，间隔长为4m。</w:t>
      </w:r>
    </w:p>
    <w:p w14:paraId="75DC16CC">
      <w:pPr>
        <w:pStyle w:val="54"/>
        <w:spacing w:before="24" w:after="24"/>
      </w:pPr>
      <w:r>
        <w:t>4）导向箭头</w:t>
      </w:r>
    </w:p>
    <w:p w14:paraId="17638F1E">
      <w:pPr>
        <w:pStyle w:val="54"/>
        <w:spacing w:before="24" w:after="24"/>
      </w:pPr>
      <w:r>
        <w:t>导向箭头的颜色为白色，导向箭头的总长为3.0m。</w:t>
      </w:r>
    </w:p>
    <w:p w14:paraId="617620E0">
      <w:pPr>
        <w:pStyle w:val="54"/>
        <w:spacing w:before="24" w:after="24"/>
      </w:pPr>
      <w:r>
        <w:t>5）人行横道线应宽大于3m，标线宽40cm，每隔60cm划一条。交叉口停车线距斑马线1-2m。</w:t>
      </w:r>
    </w:p>
    <w:p w14:paraId="0BD82D4F">
      <w:pPr>
        <w:pStyle w:val="54"/>
        <w:spacing w:before="24" w:after="24"/>
      </w:pPr>
      <w:r>
        <w:t>6）停止线</w:t>
      </w:r>
    </w:p>
    <w:p w14:paraId="7F4EF3CE">
      <w:pPr>
        <w:pStyle w:val="54"/>
        <w:spacing w:before="24" w:after="24"/>
      </w:pPr>
      <w:r>
        <w:t>停止线为白色实线。双向行驶的路口，停止线应与对象车道分界线连接:停止线的宽度为 20cm。</w:t>
      </w:r>
    </w:p>
    <w:p w14:paraId="12EC2A50">
      <w:pPr>
        <w:pStyle w:val="54"/>
        <w:spacing w:before="24" w:after="24"/>
      </w:pPr>
      <w:r>
        <w:t>停止线应设置在有利于驾驶人观察路况的位置。当设有人行横道时，停止线应距人行横道 100~300cm。</w:t>
      </w:r>
    </w:p>
    <w:p w14:paraId="091FF7F0">
      <w:pPr>
        <w:pStyle w:val="54"/>
        <w:spacing w:before="24" w:after="24"/>
      </w:pPr>
      <w:r>
        <w:t>停止线对横向公路左转机动车正常通行有影响的，可适当后移，或部分车道的停止线作适当后移，后移距离可为100~300cm。</w:t>
      </w:r>
    </w:p>
    <w:p w14:paraId="2A77607F">
      <w:pPr>
        <w:pStyle w:val="54"/>
        <w:spacing w:before="24" w:after="24"/>
      </w:pPr>
      <w:r>
        <w:t>7）减速线</w:t>
      </w:r>
    </w:p>
    <w:p w14:paraId="40BDA55A">
      <w:pPr>
        <w:pStyle w:val="54"/>
        <w:spacing w:before="24" w:after="24"/>
      </w:pPr>
      <w:r>
        <w:t>要求减速路段的减速线采用有振动感的震荡标线。</w:t>
      </w:r>
    </w:p>
    <w:p w14:paraId="467D56E5">
      <w:pPr>
        <w:pStyle w:val="54"/>
        <w:spacing w:before="24" w:after="24"/>
      </w:pPr>
      <w:r>
        <w:t>（2）交通标线材料</w:t>
      </w:r>
    </w:p>
    <w:p w14:paraId="517B69EE">
      <w:pPr>
        <w:pStyle w:val="54"/>
        <w:spacing w:before="24" w:after="24"/>
      </w:pPr>
      <w:r>
        <w:t>1）交通标线材料采用Ⅱ类标线，采用热熔型标线漆，线厚1.5mm。涂料内玻璃珠含量不得低于25%，标线表面撒玻璃珠应均匀。减速线采用有振动感的震荡标线材料。</w:t>
      </w:r>
    </w:p>
    <w:p w14:paraId="069BA808">
      <w:pPr>
        <w:pStyle w:val="54"/>
        <w:spacing w:before="24" w:after="24"/>
      </w:pPr>
      <w:r>
        <w:t>2）标线应具有良好的视认性，颜色均匀、边缘整齐、线型规则、线条流畅。标线涂层厚度应均匀，无明显起泡、皱纹、斑点、开裂、发粘、脱落、泛花等缺陷。</w:t>
      </w:r>
    </w:p>
    <w:p w14:paraId="1C89E2D8">
      <w:pPr>
        <w:pStyle w:val="54"/>
        <w:spacing w:before="24" w:after="24"/>
      </w:pPr>
      <w:r>
        <w:t>3）所有相交道路交叉口右转位置或右进右出处的出口处应施划停车让行停止标线和相应的“停”字。道路沿线的单位、小区、工厂门口等开口处均应施划人行横道线，以保证人行道的连续。</w:t>
      </w:r>
    </w:p>
    <w:p w14:paraId="70D04B30">
      <w:pPr>
        <w:pStyle w:val="54"/>
        <w:spacing w:before="24" w:after="24"/>
      </w:pPr>
      <w:r>
        <w:t>3.交通通信管道设计内容及要求</w:t>
      </w:r>
    </w:p>
    <w:p w14:paraId="01E15EA9">
      <w:pPr>
        <w:pStyle w:val="54"/>
        <w:spacing w:before="24" w:after="24"/>
      </w:pPr>
      <w:r>
        <w:t>1）管道采用明挖方式施工时，接线井应设置在人行道上，如因地下空间不够无法设置在人行道上而设置在绿化带内的，绿化带内的接线井应高出浮土与路缘平行，距路缘尺寸在0.5m 左右，在交叉口处，接线井等必须避开人行道三角坡、盲道等。</w:t>
      </w:r>
    </w:p>
    <w:p w14:paraId="3DF9345D">
      <w:pPr>
        <w:pStyle w:val="54"/>
        <w:spacing w:before="24" w:after="24"/>
      </w:pPr>
      <w:r>
        <w:t>2）严禁在路面或人行道低洼积水处以及弯道处的车行道内设置接线井。交警接线井尽量避免设置在右转车道靠近路缘石的位置或右转车道绿化带靠近路缘石的位置。</w:t>
      </w:r>
    </w:p>
    <w:p w14:paraId="1C5AABC1">
      <w:pPr>
        <w:pStyle w:val="54"/>
        <w:spacing w:before="24" w:after="24"/>
      </w:pPr>
      <w:r>
        <w:t>3）接线井井环与井盖需吻合良好，井口表面平整，四周无破损、漏水；用内套式带拉手环套管盖对管道进行密封。</w:t>
      </w:r>
    </w:p>
    <w:p w14:paraId="5D7BDF08">
      <w:pPr>
        <w:pStyle w:val="54"/>
        <w:spacing w:before="24" w:after="24"/>
      </w:pPr>
      <w:r>
        <w:t>4）过街管道需埋设4根φ75HDPE管,外用φ100mm的热度锌钢管保护,形成“井”字回路，并采用C25混凝土进行包封，路段纵向埋设2根φ75HDPE管,间隔30—50米设置接线手井;带电设备（信号灯、信号机、电子监控、电子诱导屏。电子警察等）的机箱、杆件旁3米内需设置接线手井，并与纵向主管道相互贯通。</w:t>
      </w:r>
    </w:p>
    <w:p w14:paraId="74282087">
      <w:pPr>
        <w:pStyle w:val="54"/>
        <w:spacing w:before="24" w:after="24"/>
      </w:pPr>
      <w:r>
        <w:t>4.交通信号灯</w:t>
      </w:r>
    </w:p>
    <w:p w14:paraId="4274C717">
      <w:pPr>
        <w:pStyle w:val="54"/>
        <w:spacing w:before="24" w:after="24"/>
      </w:pPr>
      <w:r>
        <w:t>交通信号灯的设置应根据道路交叉口类型、路口交通流量、路口交通事故等综合条件进行设置。</w:t>
      </w:r>
    </w:p>
    <w:p w14:paraId="15069480">
      <w:pPr>
        <w:pStyle w:val="54"/>
        <w:spacing w:before="24" w:after="24"/>
      </w:pPr>
      <w:r>
        <w:t>交通信号灯具符合GB14887《道路交通信号灯》及第一号修改单1类1级（W型）、GB4208-93《外壳防护等级（IP代码）》、JGJ/T16-92《民用建筑电气设计规范》、GBJ-54-83《低压配电装置线路设计规范》等规范。具有公安部交通安全产品质量监督检测中心的检测报告（检测项目不少于21项），检测报告必须是近3年内送检且在有效期内，超过检测期视为无效检测报告。信号灯灯壳为纯黑色且无白边，人行信号灯灯盘为静态灯盘，机动车道信号灯发光单元透面尺寸为ф400mm，非机动车道信号灯发光单元透面尺寸为ф300mm。</w:t>
      </w:r>
    </w:p>
    <w:p w14:paraId="387BAF7E">
      <w:pPr>
        <w:pStyle w:val="54"/>
        <w:spacing w:before="24" w:after="24"/>
      </w:pPr>
      <w:r>
        <w:t>5.视频监控</w:t>
      </w:r>
    </w:p>
    <w:p w14:paraId="7C084910">
      <w:pPr>
        <w:pStyle w:val="54"/>
        <w:spacing w:before="24" w:after="24"/>
      </w:pPr>
      <w:r>
        <w:t>道路监控使用技术新颖具有交通违法监管功能的专用视频监控设备。需具有手、自动抓拍功能，能够对违法停车、逆行、违法倒车、违法掉头、实线并道、压线、违禁行驶等违法信息进行监管记录，并能够叠加防伪基本证据信息；驾驶人面部特征记录。主要技术参数须满足以下主要参数：摄像机的视频分辨率≥400万有效像素，镜头光学变焦&gt;35倍；视频输出分辨率支持≥2560X1440@30fps；视频码流支持多码流输出格式；网络延时不大于110ms，具备较强的网络自适应能力。</w:t>
      </w:r>
    </w:p>
    <w:p w14:paraId="64E7F846">
      <w:pPr>
        <w:pStyle w:val="54"/>
        <w:spacing w:before="24" w:after="24"/>
      </w:pPr>
      <w:r>
        <w:t>视频监控存储设备放置在交警机房进行存储，视频资料存储时间不小于60天。视频监控数据存储设备，每台需配置不低于8块（每块6T）硬盘。</w:t>
      </w:r>
    </w:p>
    <w:p w14:paraId="322C933C">
      <w:pPr>
        <w:pStyle w:val="54"/>
        <w:spacing w:before="24" w:after="24"/>
      </w:pPr>
      <w:r>
        <w:t>汇聚点的视频监控设备机箱高度根据安装环境使用不低于1.5米的标准防水防尘网络机箱。机箱基础要应考虑实际安装位置情况，考虑防淹水。</w:t>
      </w:r>
    </w:p>
    <w:p w14:paraId="73193DA9">
      <w:pPr>
        <w:pStyle w:val="54"/>
        <w:spacing w:before="24" w:after="24"/>
      </w:pPr>
      <w:r>
        <w:t>6.电子警察</w:t>
      </w:r>
    </w:p>
    <w:p w14:paraId="2A5F6692">
      <w:pPr>
        <w:pStyle w:val="54"/>
        <w:spacing w:before="24" w:after="24"/>
      </w:pPr>
      <w:r>
        <w:t>电子警察需具有手、自动抓拍功能，能够对闯红灯、压线、逆行、违禁行驶、不礼让行人等违法信息进行监管记录，并能够叠加防伪基本证据信息；支持车牌、车型、车身颜色及安全带、遮阳板等信息自动识别；具有交通量统计功能。主要技术参数须满足以下主要参数：支持智能识别功能；抓拍单元的图像采集有效像素≥900万；视频分辨率≥4096×2160@25fps；每1~2条车道配置一组环保型补闪光灯。前端（智能终端）存储设备配置不低于6TB的存储硬盘，并具有断点续传功能。电子警察安装杆件距停车线 20~30米，横臂长度需覆盖所有进口车道。</w:t>
      </w:r>
    </w:p>
    <w:p w14:paraId="28EEB15A">
      <w:pPr>
        <w:pStyle w:val="54"/>
        <w:spacing w:before="24" w:after="24"/>
      </w:pPr>
      <w:r>
        <w:t>具有监管交通违法行为功能的交通科技设施，必须出具公安部交通安全产品质量监督检测中心的检测报告，要厂商授权才能使用的后台存储、控制设备，要提供永久性的使用授权文件。</w:t>
      </w:r>
    </w:p>
    <w:p w14:paraId="68169A04">
      <w:pPr>
        <w:pStyle w:val="54"/>
        <w:spacing w:before="24" w:after="24"/>
      </w:pPr>
      <w:r>
        <w:t>7.盲钟</w:t>
      </w:r>
    </w:p>
    <w:p w14:paraId="461F80DE">
      <w:pPr>
        <w:pStyle w:val="54"/>
        <w:spacing w:before="24" w:after="24"/>
      </w:pPr>
      <w:r>
        <w:t>每组人行信号灯配置1套盲钟，直接与信号机输出红绿灯控制信号接口，连线方便，能够根据路口红绿灯变化实时改变语音提示内容，并能按照当地交警支队的需求进行灵活变更配置。</w:t>
      </w:r>
    </w:p>
    <w:p w14:paraId="419F9054">
      <w:pPr>
        <w:pStyle w:val="54"/>
        <w:spacing w:before="24" w:after="24"/>
      </w:pPr>
      <w:r>
        <w:t>盲钟设备具有高精度的时间功能模块，根据使用需求能够通过编程设置合理的、多形式的开关机时间，开关机时段至少4段。一个信号灯灯杆上不应安装两个方向的声响提示装置。</w:t>
      </w:r>
    </w:p>
    <w:p w14:paraId="2170AB87">
      <w:pPr>
        <w:pStyle w:val="54"/>
        <w:spacing w:before="24" w:after="24"/>
      </w:pPr>
      <w:r>
        <w:t>可自编程人性化多时段设置高、低音，高、低音实现无缝转换；高、低音回路各至少1路。高、低音音量大小可由用户根据路口实际需要进行平滑调整。</w:t>
      </w:r>
    </w:p>
    <w:p w14:paraId="7A7118AE">
      <w:pPr>
        <w:pStyle w:val="54"/>
        <w:spacing w:before="24" w:after="24"/>
      </w:pPr>
      <w:r>
        <w:t>8.交安工程设计中，本发包人要求未尽事宜按国家、地方及行业相关标准执行，并在取得当地交警部门专项批复后方可实施。</w:t>
      </w:r>
    </w:p>
    <w:p w14:paraId="5FCCC5B8">
      <w:pPr>
        <w:pStyle w:val="54"/>
        <w:spacing w:before="24" w:after="24"/>
        <w:ind w:firstLine="562"/>
        <w:outlineLvl w:val="3"/>
        <w:rPr>
          <w:b/>
          <w:bCs/>
        </w:rPr>
      </w:pPr>
      <w:r>
        <w:rPr>
          <w:b/>
          <w:bCs/>
        </w:rPr>
        <w:t>10.5桥涵工程</w:t>
      </w:r>
    </w:p>
    <w:p w14:paraId="4DC9FD15">
      <w:pPr>
        <w:pStyle w:val="54"/>
        <w:spacing w:before="24" w:after="24"/>
      </w:pPr>
      <w:r>
        <w:t>1.主要技术标准</w:t>
      </w:r>
    </w:p>
    <w:p w14:paraId="58FEF548">
      <w:pPr>
        <w:pStyle w:val="54"/>
        <w:spacing w:before="24" w:after="24"/>
      </w:pPr>
      <w:r>
        <w:t>设计荷载：次干道采用城-A级，人群荷载采用3.0KN/㎡；</w:t>
      </w:r>
    </w:p>
    <w:p w14:paraId="48149F27">
      <w:pPr>
        <w:pStyle w:val="54"/>
        <w:spacing w:before="24" w:after="24"/>
      </w:pPr>
      <w:r>
        <w:t>设计车速：30Km/h；</w:t>
      </w:r>
    </w:p>
    <w:p w14:paraId="5A2A6665">
      <w:pPr>
        <w:pStyle w:val="54"/>
        <w:spacing w:before="24" w:after="24"/>
      </w:pPr>
      <w:r>
        <w:t>桥梁、涵洞结构设计基准期：100年；</w:t>
      </w:r>
    </w:p>
    <w:p w14:paraId="27A7189E">
      <w:pPr>
        <w:pStyle w:val="54"/>
        <w:spacing w:before="24" w:after="24"/>
      </w:pPr>
      <w:r>
        <w:t>桥梁规模：中、小桥；</w:t>
      </w:r>
    </w:p>
    <w:p w14:paraId="50683CC4">
      <w:pPr>
        <w:pStyle w:val="54"/>
        <w:spacing w:before="24" w:after="24"/>
      </w:pPr>
      <w:r>
        <w:t>桥梁设计使用年限：50年；</w:t>
      </w:r>
    </w:p>
    <w:p w14:paraId="49EFFD19">
      <w:pPr>
        <w:pStyle w:val="54"/>
        <w:spacing w:before="24" w:after="24"/>
      </w:pPr>
      <w:r>
        <w:t>涵洞设计使用年限：50年；</w:t>
      </w:r>
    </w:p>
    <w:p w14:paraId="16CD9661">
      <w:pPr>
        <w:pStyle w:val="54"/>
        <w:spacing w:before="24" w:after="24"/>
      </w:pPr>
      <w:r>
        <w:t>设计地震烈度：7度设防，地震动峰值加速度0.15g，反应谱特征周期0.4/s；</w:t>
      </w:r>
    </w:p>
    <w:p w14:paraId="680EC919">
      <w:pPr>
        <w:pStyle w:val="54"/>
        <w:spacing w:before="24" w:after="24"/>
      </w:pPr>
      <w:r>
        <w:t>环境类别：Ⅰ类；</w:t>
      </w:r>
    </w:p>
    <w:p w14:paraId="1A45B753">
      <w:pPr>
        <w:pStyle w:val="54"/>
        <w:spacing w:before="24" w:after="24"/>
      </w:pPr>
      <w:r>
        <w:t>桥梁安全等级：一级；</w:t>
      </w:r>
    </w:p>
    <w:p w14:paraId="7F96AC90">
      <w:pPr>
        <w:pStyle w:val="54"/>
        <w:spacing w:before="24" w:after="24"/>
      </w:pPr>
      <w:r>
        <w:t>桥梁设计防洪频率：设计防洪频率20年一遇。</w:t>
      </w:r>
    </w:p>
    <w:p w14:paraId="5267001B">
      <w:pPr>
        <w:pStyle w:val="54"/>
        <w:spacing w:before="24" w:after="24"/>
      </w:pPr>
      <w:r>
        <w:t>2.平、纵、横技术指标</w:t>
      </w:r>
    </w:p>
    <w:p w14:paraId="547BE5F2">
      <w:pPr>
        <w:pStyle w:val="54"/>
        <w:spacing w:before="24" w:after="24"/>
      </w:pPr>
      <w:r>
        <w:t>桥梁及其引道的平、纵、横技术指标应与路线总体布设相协调，各项技术指标应符合路线布设的要求，并应符合下列规定:</w:t>
      </w:r>
    </w:p>
    <w:p w14:paraId="30316276">
      <w:pPr>
        <w:pStyle w:val="54"/>
        <w:spacing w:before="24" w:after="24"/>
      </w:pPr>
      <w:r>
        <w:t>（1）桥梁在平面上宜做成直桥，当特殊情况时可做成弯桥，其线形布置应符合现行行业标准《城市道路设计规范》CJJ 37的规定。</w:t>
      </w:r>
    </w:p>
    <w:p w14:paraId="719B11C5">
      <w:pPr>
        <w:pStyle w:val="54"/>
        <w:spacing w:before="24" w:after="24"/>
      </w:pPr>
      <w:r>
        <w:t>（2）桥面车行道路幅宽度宜与所衔接道路的车行道路幅宽度致。当道路现状与规划断面相差很大，桥梁按规划车行道布置。</w:t>
      </w:r>
    </w:p>
    <w:p w14:paraId="6505A8A7">
      <w:pPr>
        <w:pStyle w:val="54"/>
        <w:spacing w:before="24" w:after="24"/>
      </w:pPr>
      <w:r>
        <w:t>（3）桥面应设不小于0.3%的纵坡;桥面最大纵坡、坡度长度与竖曲线布设应符合现行行业标准《城市道路设计规范》CJJ 37的规定。桥梁纵断面设计时，应考虑到长期荷载作用下的构件挠曲和墩台沉降的影响。</w:t>
      </w:r>
    </w:p>
    <w:p w14:paraId="2523F2B3">
      <w:pPr>
        <w:pStyle w:val="54"/>
        <w:spacing w:before="24" w:after="24"/>
      </w:pPr>
      <w:r>
        <w:t>（4）桥上纵坡机动车道不宜大于4.0%，非机动车道不宜大于2.5%;桥头引道机动车道纵坡不宜大于5.0%。</w:t>
      </w:r>
    </w:p>
    <w:p w14:paraId="6F22834F">
      <w:pPr>
        <w:pStyle w:val="54"/>
        <w:spacing w:before="24" w:after="24"/>
      </w:pPr>
      <w:r>
        <w:t>（5）当桥面纵坡大于3.0%时，桥上可不设排水口，但应在桥头引道上两侧设置雨水口。</w:t>
      </w:r>
    </w:p>
    <w:p w14:paraId="1A145614">
      <w:pPr>
        <w:pStyle w:val="54"/>
        <w:spacing w:before="24" w:after="24"/>
      </w:pPr>
      <w:r>
        <w:t>（6）桥面车行道应按现行行业标准《城市道路设计规范》CJJ37的规定设置横坡，在主干路桥上，横坡宜为2%;人行道上宜设置1%~2%向车行道的单向横坡，在路缘石或防撞护栏旁应设置足够数量的排水孔。在排水孔之间的纵坡不宜小于0.3%~0.5%。</w:t>
      </w:r>
    </w:p>
    <w:p w14:paraId="1936F1CB">
      <w:pPr>
        <w:pStyle w:val="54"/>
        <w:spacing w:before="24" w:after="24"/>
      </w:pPr>
      <w:r>
        <w:t>（7）桥梁、涵洞的布置还应结合所涉及河、沟的治理设计协同设计。</w:t>
      </w:r>
    </w:p>
    <w:p w14:paraId="6BE6B8E2">
      <w:pPr>
        <w:pStyle w:val="54"/>
        <w:spacing w:before="24" w:after="24"/>
      </w:pPr>
      <w:r>
        <w:t>（8）涵洞纵断面设计时，应考虑所在市政道路地下管线的布置需求。</w:t>
      </w:r>
    </w:p>
    <w:p w14:paraId="0D4FA287">
      <w:pPr>
        <w:pStyle w:val="54"/>
        <w:spacing w:before="24" w:after="24"/>
      </w:pPr>
      <w:r>
        <w:t>3.桥梁净空</w:t>
      </w:r>
    </w:p>
    <w:p w14:paraId="431AC23A">
      <w:pPr>
        <w:pStyle w:val="54"/>
        <w:spacing w:before="24" w:after="24"/>
      </w:pPr>
      <w:r>
        <w:t>（1）桥面净空</w:t>
      </w:r>
    </w:p>
    <w:p w14:paraId="7499F2D9">
      <w:pPr>
        <w:pStyle w:val="54"/>
        <w:spacing w:before="24" w:after="24"/>
      </w:pPr>
      <w:r>
        <w:t>桥面净空除与桥梁所在道路净空相关要求一致外，尚应符合下列规定：</w:t>
      </w:r>
    </w:p>
    <w:p w14:paraId="51066F7C">
      <w:pPr>
        <w:pStyle w:val="54"/>
        <w:spacing w:before="24" w:after="24"/>
      </w:pPr>
      <w:r>
        <w:t>1）桥梁人行道或检修道外侧必须设置人行道栏杆。</w:t>
      </w:r>
    </w:p>
    <w:p w14:paraId="7EEFBD3D">
      <w:pPr>
        <w:pStyle w:val="54"/>
        <w:spacing w:before="24" w:after="24"/>
      </w:pPr>
      <w:r>
        <w:t>2）对主干路的桥梁，当两侧无人行道时，两侧应设检修道，其宽度宜为0.50m~0.75m。</w:t>
      </w:r>
    </w:p>
    <w:p w14:paraId="4E3BBB28">
      <w:pPr>
        <w:pStyle w:val="54"/>
        <w:spacing w:before="24" w:after="24"/>
      </w:pPr>
      <w:r>
        <w:t>3）对主干路的桥梁，桥面为混合行车道或专用机动车道时，人行道或检修道缘石宜高出车行道路面0.25m~0.40m。</w:t>
      </w:r>
    </w:p>
    <w:p w14:paraId="6487B9E2">
      <w:pPr>
        <w:pStyle w:val="54"/>
        <w:spacing w:before="24" w:after="24"/>
      </w:pPr>
      <w:r>
        <w:t>（2）桥下净空</w:t>
      </w:r>
    </w:p>
    <w:p w14:paraId="45F2F076">
      <w:pPr>
        <w:pStyle w:val="54"/>
        <w:spacing w:before="24" w:after="24"/>
      </w:pPr>
      <w:r>
        <w:t>1）不通航河流的桥下净空应根据计算水位或最高流冰面加安全高度确定。</w:t>
      </w:r>
    </w:p>
    <w:p w14:paraId="13FFC526">
      <w:pPr>
        <w:pStyle w:val="54"/>
        <w:spacing w:before="24" w:after="24"/>
      </w:pPr>
      <w:r>
        <w:t>当河流有形成流冰阻塞的危险或有漂浮物通过时，应按实际调查的数据，在计算水位的基础上，结合当地具体情况酌留一定富余量，作为确定桥下净空的依据。对淤积的河流，桥下净空应适当增加。</w:t>
      </w:r>
    </w:p>
    <w:p w14:paraId="563AF3F5">
      <w:pPr>
        <w:pStyle w:val="54"/>
        <w:spacing w:before="24" w:after="24"/>
      </w:pPr>
      <w:r>
        <w:t>在不通航或无流放木筏河流上及通航河流的不通航桥孔内，桥下净空不应小于下表的规定。</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2682"/>
        <w:gridCol w:w="2619"/>
        <w:gridCol w:w="2831"/>
      </w:tblGrid>
      <w:tr w14:paraId="1F144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15" w:type="dxa"/>
            <w:gridSpan w:val="2"/>
            <w:tcBorders>
              <w:top w:val="single" w:color="auto" w:sz="4" w:space="0"/>
              <w:left w:val="single" w:color="auto" w:sz="4" w:space="0"/>
              <w:bottom w:val="single" w:color="auto" w:sz="4" w:space="0"/>
              <w:right w:val="single" w:color="auto" w:sz="4" w:space="0"/>
            </w:tcBorders>
            <w:vAlign w:val="center"/>
          </w:tcPr>
          <w:p w14:paraId="2EADDDD7">
            <w:pPr>
              <w:pStyle w:val="71"/>
              <w:spacing w:before="24" w:after="24"/>
              <w:rPr>
                <w:rFonts w:cs="Times New Roman"/>
              </w:rPr>
            </w:pPr>
            <w:r>
              <w:rPr>
                <w:rFonts w:cs="Times New Roman"/>
              </w:rPr>
              <w:t>桥梁的部位</w:t>
            </w:r>
          </w:p>
        </w:tc>
        <w:tc>
          <w:tcPr>
            <w:tcW w:w="2666" w:type="dxa"/>
            <w:tcBorders>
              <w:top w:val="single" w:color="auto" w:sz="4" w:space="0"/>
              <w:left w:val="single" w:color="auto" w:sz="4" w:space="0"/>
              <w:bottom w:val="single" w:color="auto" w:sz="4" w:space="0"/>
              <w:right w:val="single" w:color="auto" w:sz="4" w:space="0"/>
            </w:tcBorders>
            <w:vAlign w:val="center"/>
          </w:tcPr>
          <w:p w14:paraId="5F2440CB">
            <w:pPr>
              <w:pStyle w:val="71"/>
              <w:spacing w:before="24" w:after="24"/>
              <w:rPr>
                <w:rFonts w:cs="Times New Roman"/>
              </w:rPr>
            </w:pPr>
            <w:r>
              <w:rPr>
                <w:rFonts w:cs="Times New Roman"/>
              </w:rPr>
              <w:t>高出计算水位（m）</w:t>
            </w:r>
          </w:p>
        </w:tc>
        <w:tc>
          <w:tcPr>
            <w:tcW w:w="2882" w:type="dxa"/>
            <w:tcBorders>
              <w:top w:val="single" w:color="auto" w:sz="4" w:space="0"/>
              <w:left w:val="single" w:color="auto" w:sz="4" w:space="0"/>
              <w:bottom w:val="single" w:color="auto" w:sz="4" w:space="0"/>
              <w:right w:val="single" w:color="auto" w:sz="4" w:space="0"/>
            </w:tcBorders>
            <w:vAlign w:val="center"/>
          </w:tcPr>
          <w:p w14:paraId="0CD694B9">
            <w:pPr>
              <w:pStyle w:val="71"/>
              <w:spacing w:before="24" w:after="24"/>
              <w:rPr>
                <w:rFonts w:cs="Times New Roman"/>
              </w:rPr>
            </w:pPr>
            <w:r>
              <w:rPr>
                <w:rFonts w:cs="Times New Roman"/>
              </w:rPr>
              <w:t>高出最高流水面（m）</w:t>
            </w:r>
          </w:p>
        </w:tc>
      </w:tr>
      <w:tr w14:paraId="46A07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3" w:type="dxa"/>
            <w:vMerge w:val="restart"/>
            <w:tcBorders>
              <w:top w:val="nil"/>
              <w:left w:val="single" w:color="auto" w:sz="4" w:space="0"/>
              <w:bottom w:val="single" w:color="auto" w:sz="4" w:space="0"/>
              <w:right w:val="single" w:color="auto" w:sz="4" w:space="0"/>
            </w:tcBorders>
            <w:vAlign w:val="center"/>
          </w:tcPr>
          <w:p w14:paraId="675CBB8F">
            <w:pPr>
              <w:pStyle w:val="71"/>
              <w:spacing w:before="24" w:after="24"/>
              <w:rPr>
                <w:rFonts w:cs="Times New Roman"/>
              </w:rPr>
            </w:pPr>
            <w:r>
              <w:rPr>
                <w:rFonts w:cs="Times New Roman"/>
              </w:rPr>
              <w:t>梁底</w:t>
            </w:r>
          </w:p>
        </w:tc>
        <w:tc>
          <w:tcPr>
            <w:tcW w:w="2742" w:type="dxa"/>
            <w:tcBorders>
              <w:top w:val="single" w:color="auto" w:sz="4" w:space="0"/>
              <w:left w:val="single" w:color="auto" w:sz="4" w:space="0"/>
              <w:bottom w:val="single" w:color="auto" w:sz="4" w:space="0"/>
              <w:right w:val="single" w:color="auto" w:sz="4" w:space="0"/>
            </w:tcBorders>
            <w:vAlign w:val="center"/>
          </w:tcPr>
          <w:p w14:paraId="6B94507C">
            <w:pPr>
              <w:pStyle w:val="71"/>
              <w:spacing w:before="24" w:after="24"/>
              <w:rPr>
                <w:rFonts w:cs="Times New Roman"/>
              </w:rPr>
            </w:pPr>
            <w:r>
              <w:rPr>
                <w:rFonts w:cs="Times New Roman"/>
              </w:rPr>
              <w:t>洪水期无大漂流</w:t>
            </w:r>
          </w:p>
        </w:tc>
        <w:tc>
          <w:tcPr>
            <w:tcW w:w="2666" w:type="dxa"/>
            <w:tcBorders>
              <w:top w:val="single" w:color="auto" w:sz="4" w:space="0"/>
              <w:left w:val="single" w:color="auto" w:sz="4" w:space="0"/>
              <w:bottom w:val="single" w:color="auto" w:sz="4" w:space="0"/>
              <w:right w:val="single" w:color="auto" w:sz="4" w:space="0"/>
            </w:tcBorders>
            <w:vAlign w:val="center"/>
          </w:tcPr>
          <w:p w14:paraId="33E0A8B2">
            <w:pPr>
              <w:pStyle w:val="71"/>
              <w:spacing w:before="24" w:after="24"/>
              <w:rPr>
                <w:rFonts w:cs="Times New Roman"/>
              </w:rPr>
            </w:pPr>
            <w:r>
              <w:rPr>
                <w:rFonts w:cs="Times New Roman"/>
              </w:rPr>
              <w:t>0.50</w:t>
            </w:r>
          </w:p>
        </w:tc>
        <w:tc>
          <w:tcPr>
            <w:tcW w:w="2882" w:type="dxa"/>
            <w:tcBorders>
              <w:top w:val="single" w:color="auto" w:sz="4" w:space="0"/>
              <w:left w:val="single" w:color="auto" w:sz="4" w:space="0"/>
              <w:bottom w:val="single" w:color="auto" w:sz="4" w:space="0"/>
              <w:right w:val="single" w:color="auto" w:sz="4" w:space="0"/>
            </w:tcBorders>
            <w:vAlign w:val="center"/>
          </w:tcPr>
          <w:p w14:paraId="4CB4940C">
            <w:pPr>
              <w:pStyle w:val="71"/>
              <w:spacing w:before="24" w:after="24"/>
              <w:rPr>
                <w:rFonts w:cs="Times New Roman"/>
              </w:rPr>
            </w:pPr>
            <w:r>
              <w:rPr>
                <w:rFonts w:cs="Times New Roman"/>
              </w:rPr>
              <w:t>0.75</w:t>
            </w:r>
          </w:p>
        </w:tc>
      </w:tr>
      <w:tr w14:paraId="46424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3" w:type="dxa"/>
            <w:vMerge w:val="continue"/>
            <w:tcBorders>
              <w:top w:val="nil"/>
              <w:left w:val="single" w:color="auto" w:sz="4" w:space="0"/>
              <w:bottom w:val="single" w:color="auto" w:sz="4" w:space="0"/>
              <w:right w:val="single" w:color="auto" w:sz="4" w:space="0"/>
            </w:tcBorders>
            <w:vAlign w:val="center"/>
          </w:tcPr>
          <w:p w14:paraId="14674912">
            <w:pPr>
              <w:pStyle w:val="71"/>
              <w:spacing w:before="24" w:after="24"/>
              <w:rPr>
                <w:rFonts w:cs="Times New Roman"/>
              </w:rPr>
            </w:pPr>
          </w:p>
        </w:tc>
        <w:tc>
          <w:tcPr>
            <w:tcW w:w="2742" w:type="dxa"/>
            <w:tcBorders>
              <w:top w:val="single" w:color="auto" w:sz="4" w:space="0"/>
              <w:left w:val="single" w:color="auto" w:sz="4" w:space="0"/>
              <w:bottom w:val="single" w:color="auto" w:sz="4" w:space="0"/>
              <w:right w:val="single" w:color="auto" w:sz="4" w:space="0"/>
            </w:tcBorders>
            <w:vAlign w:val="center"/>
          </w:tcPr>
          <w:p w14:paraId="596AFB20">
            <w:pPr>
              <w:pStyle w:val="71"/>
              <w:spacing w:before="24" w:after="24"/>
              <w:rPr>
                <w:rFonts w:cs="Times New Roman"/>
              </w:rPr>
            </w:pPr>
            <w:r>
              <w:rPr>
                <w:rFonts w:cs="Times New Roman"/>
              </w:rPr>
              <w:t>洪水期有大漂流</w:t>
            </w:r>
          </w:p>
        </w:tc>
        <w:tc>
          <w:tcPr>
            <w:tcW w:w="2666" w:type="dxa"/>
            <w:tcBorders>
              <w:top w:val="single" w:color="auto" w:sz="4" w:space="0"/>
              <w:left w:val="single" w:color="auto" w:sz="4" w:space="0"/>
              <w:bottom w:val="single" w:color="auto" w:sz="4" w:space="0"/>
              <w:right w:val="single" w:color="auto" w:sz="4" w:space="0"/>
            </w:tcBorders>
            <w:vAlign w:val="center"/>
          </w:tcPr>
          <w:p w14:paraId="7830CE51">
            <w:pPr>
              <w:pStyle w:val="71"/>
              <w:spacing w:before="24" w:after="24"/>
              <w:rPr>
                <w:rFonts w:cs="Times New Roman"/>
              </w:rPr>
            </w:pPr>
            <w:r>
              <w:rPr>
                <w:rFonts w:cs="Times New Roman"/>
              </w:rPr>
              <w:t>1.50</w:t>
            </w:r>
          </w:p>
        </w:tc>
        <w:tc>
          <w:tcPr>
            <w:tcW w:w="2882" w:type="dxa"/>
            <w:tcBorders>
              <w:top w:val="single" w:color="auto" w:sz="4" w:space="0"/>
              <w:left w:val="single" w:color="auto" w:sz="4" w:space="0"/>
              <w:bottom w:val="single" w:color="auto" w:sz="4" w:space="0"/>
              <w:right w:val="single" w:color="auto" w:sz="4" w:space="0"/>
            </w:tcBorders>
            <w:vAlign w:val="center"/>
          </w:tcPr>
          <w:p w14:paraId="0367F583">
            <w:pPr>
              <w:pStyle w:val="71"/>
              <w:spacing w:before="24" w:after="24"/>
              <w:rPr>
                <w:rFonts w:cs="Times New Roman"/>
              </w:rPr>
            </w:pPr>
            <w:r>
              <w:rPr>
                <w:rFonts w:cs="Times New Roman"/>
              </w:rPr>
              <w:t>-</w:t>
            </w:r>
          </w:p>
        </w:tc>
      </w:tr>
      <w:tr w14:paraId="75435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3" w:type="dxa"/>
            <w:vMerge w:val="continue"/>
            <w:tcBorders>
              <w:top w:val="nil"/>
              <w:left w:val="single" w:color="auto" w:sz="4" w:space="0"/>
              <w:bottom w:val="single" w:color="auto" w:sz="4" w:space="0"/>
              <w:right w:val="single" w:color="auto" w:sz="4" w:space="0"/>
            </w:tcBorders>
            <w:vAlign w:val="center"/>
          </w:tcPr>
          <w:p w14:paraId="78C1A94B">
            <w:pPr>
              <w:pStyle w:val="71"/>
              <w:spacing w:before="24" w:after="24"/>
              <w:rPr>
                <w:rFonts w:cs="Times New Roman"/>
              </w:rPr>
            </w:pPr>
          </w:p>
        </w:tc>
        <w:tc>
          <w:tcPr>
            <w:tcW w:w="2742" w:type="dxa"/>
            <w:tcBorders>
              <w:top w:val="single" w:color="auto" w:sz="4" w:space="0"/>
              <w:left w:val="single" w:color="auto" w:sz="4" w:space="0"/>
              <w:bottom w:val="single" w:color="auto" w:sz="4" w:space="0"/>
              <w:right w:val="single" w:color="auto" w:sz="4" w:space="0"/>
            </w:tcBorders>
            <w:vAlign w:val="center"/>
          </w:tcPr>
          <w:p w14:paraId="3888A898">
            <w:pPr>
              <w:pStyle w:val="71"/>
              <w:spacing w:before="24" w:after="24"/>
              <w:rPr>
                <w:rFonts w:cs="Times New Roman"/>
              </w:rPr>
            </w:pPr>
            <w:r>
              <w:rPr>
                <w:rFonts w:cs="Times New Roman"/>
              </w:rPr>
              <w:t>有泥石流</w:t>
            </w:r>
          </w:p>
        </w:tc>
        <w:tc>
          <w:tcPr>
            <w:tcW w:w="2666" w:type="dxa"/>
            <w:tcBorders>
              <w:top w:val="single" w:color="auto" w:sz="4" w:space="0"/>
              <w:left w:val="single" w:color="auto" w:sz="4" w:space="0"/>
              <w:bottom w:val="single" w:color="auto" w:sz="4" w:space="0"/>
              <w:right w:val="single" w:color="auto" w:sz="4" w:space="0"/>
            </w:tcBorders>
            <w:vAlign w:val="center"/>
          </w:tcPr>
          <w:p w14:paraId="6DB89CEB">
            <w:pPr>
              <w:pStyle w:val="71"/>
              <w:spacing w:before="24" w:after="24"/>
              <w:rPr>
                <w:rFonts w:cs="Times New Roman"/>
              </w:rPr>
            </w:pPr>
            <w:r>
              <w:rPr>
                <w:rFonts w:cs="Times New Roman"/>
              </w:rPr>
              <w:t>1.00</w:t>
            </w:r>
          </w:p>
        </w:tc>
        <w:tc>
          <w:tcPr>
            <w:tcW w:w="2882" w:type="dxa"/>
            <w:tcBorders>
              <w:top w:val="single" w:color="auto" w:sz="4" w:space="0"/>
              <w:left w:val="single" w:color="auto" w:sz="4" w:space="0"/>
              <w:bottom w:val="single" w:color="auto" w:sz="4" w:space="0"/>
              <w:right w:val="single" w:color="auto" w:sz="4" w:space="0"/>
            </w:tcBorders>
            <w:vAlign w:val="center"/>
          </w:tcPr>
          <w:p w14:paraId="5E68CB12">
            <w:pPr>
              <w:pStyle w:val="71"/>
              <w:spacing w:before="24" w:after="24"/>
              <w:rPr>
                <w:rFonts w:cs="Times New Roman"/>
              </w:rPr>
            </w:pPr>
            <w:r>
              <w:rPr>
                <w:rFonts w:cs="Times New Roman"/>
              </w:rPr>
              <w:t>-</w:t>
            </w:r>
          </w:p>
        </w:tc>
      </w:tr>
      <w:tr w14:paraId="2E6DF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15" w:type="dxa"/>
            <w:gridSpan w:val="2"/>
            <w:tcBorders>
              <w:top w:val="single" w:color="auto" w:sz="4" w:space="0"/>
              <w:left w:val="single" w:color="auto" w:sz="4" w:space="0"/>
              <w:bottom w:val="single" w:color="auto" w:sz="4" w:space="0"/>
              <w:right w:val="single" w:color="auto" w:sz="4" w:space="0"/>
            </w:tcBorders>
            <w:vAlign w:val="center"/>
          </w:tcPr>
          <w:p w14:paraId="33EE800C">
            <w:pPr>
              <w:pStyle w:val="71"/>
              <w:spacing w:before="24" w:after="24"/>
              <w:rPr>
                <w:rFonts w:cs="Times New Roman"/>
              </w:rPr>
            </w:pPr>
            <w:r>
              <w:rPr>
                <w:rFonts w:cs="Times New Roman"/>
              </w:rPr>
              <w:t>支承垫石顶面</w:t>
            </w:r>
          </w:p>
        </w:tc>
        <w:tc>
          <w:tcPr>
            <w:tcW w:w="2666" w:type="dxa"/>
            <w:tcBorders>
              <w:top w:val="single" w:color="auto" w:sz="4" w:space="0"/>
              <w:left w:val="single" w:color="auto" w:sz="4" w:space="0"/>
              <w:bottom w:val="single" w:color="auto" w:sz="4" w:space="0"/>
              <w:right w:val="single" w:color="auto" w:sz="4" w:space="0"/>
            </w:tcBorders>
            <w:vAlign w:val="center"/>
          </w:tcPr>
          <w:p w14:paraId="5FB31351">
            <w:pPr>
              <w:pStyle w:val="71"/>
              <w:spacing w:before="24" w:after="24"/>
              <w:rPr>
                <w:rFonts w:cs="Times New Roman"/>
              </w:rPr>
            </w:pPr>
            <w:r>
              <w:rPr>
                <w:rFonts w:cs="Times New Roman"/>
              </w:rPr>
              <w:t>0.25</w:t>
            </w:r>
          </w:p>
        </w:tc>
        <w:tc>
          <w:tcPr>
            <w:tcW w:w="2882" w:type="dxa"/>
            <w:tcBorders>
              <w:top w:val="single" w:color="auto" w:sz="4" w:space="0"/>
              <w:left w:val="single" w:color="auto" w:sz="4" w:space="0"/>
              <w:bottom w:val="single" w:color="auto" w:sz="4" w:space="0"/>
              <w:right w:val="single" w:color="auto" w:sz="4" w:space="0"/>
            </w:tcBorders>
            <w:vAlign w:val="center"/>
          </w:tcPr>
          <w:p w14:paraId="73F8E4C9">
            <w:pPr>
              <w:pStyle w:val="71"/>
              <w:spacing w:before="24" w:after="24"/>
              <w:rPr>
                <w:rFonts w:cs="Times New Roman"/>
              </w:rPr>
            </w:pPr>
            <w:r>
              <w:rPr>
                <w:rFonts w:cs="Times New Roman"/>
              </w:rPr>
              <w:t>0.5</w:t>
            </w:r>
          </w:p>
        </w:tc>
      </w:tr>
      <w:tr w14:paraId="6AB95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15" w:type="dxa"/>
            <w:gridSpan w:val="2"/>
            <w:tcBorders>
              <w:top w:val="single" w:color="auto" w:sz="4" w:space="0"/>
              <w:left w:val="single" w:color="auto" w:sz="4" w:space="0"/>
              <w:bottom w:val="single" w:color="auto" w:sz="4" w:space="0"/>
              <w:right w:val="single" w:color="auto" w:sz="4" w:space="0"/>
            </w:tcBorders>
            <w:vAlign w:val="center"/>
          </w:tcPr>
          <w:p w14:paraId="4B6EDF93">
            <w:pPr>
              <w:pStyle w:val="71"/>
              <w:spacing w:before="24" w:after="24"/>
              <w:rPr>
                <w:rFonts w:cs="Times New Roman"/>
              </w:rPr>
            </w:pPr>
            <w:r>
              <w:rPr>
                <w:rFonts w:cs="Times New Roman"/>
              </w:rPr>
              <w:t>拱 脚</w:t>
            </w:r>
          </w:p>
        </w:tc>
        <w:tc>
          <w:tcPr>
            <w:tcW w:w="2666" w:type="dxa"/>
            <w:tcBorders>
              <w:top w:val="single" w:color="auto" w:sz="4" w:space="0"/>
              <w:left w:val="single" w:color="auto" w:sz="4" w:space="0"/>
              <w:bottom w:val="single" w:color="auto" w:sz="4" w:space="0"/>
              <w:right w:val="single" w:color="auto" w:sz="4" w:space="0"/>
            </w:tcBorders>
            <w:vAlign w:val="center"/>
          </w:tcPr>
          <w:p w14:paraId="7783E237">
            <w:pPr>
              <w:pStyle w:val="71"/>
              <w:spacing w:before="24" w:after="24"/>
              <w:rPr>
                <w:rFonts w:cs="Times New Roman"/>
              </w:rPr>
            </w:pPr>
            <w:r>
              <w:rPr>
                <w:rFonts w:cs="Times New Roman"/>
              </w:rPr>
              <w:t>0.25</w:t>
            </w:r>
          </w:p>
        </w:tc>
        <w:tc>
          <w:tcPr>
            <w:tcW w:w="2882" w:type="dxa"/>
            <w:tcBorders>
              <w:top w:val="single" w:color="auto" w:sz="4" w:space="0"/>
              <w:left w:val="single" w:color="auto" w:sz="4" w:space="0"/>
              <w:bottom w:val="single" w:color="auto" w:sz="4" w:space="0"/>
              <w:right w:val="single" w:color="auto" w:sz="4" w:space="0"/>
            </w:tcBorders>
            <w:vAlign w:val="center"/>
          </w:tcPr>
          <w:p w14:paraId="198A53B1">
            <w:pPr>
              <w:pStyle w:val="71"/>
              <w:spacing w:before="24" w:after="24"/>
              <w:rPr>
                <w:rFonts w:cs="Times New Roman"/>
              </w:rPr>
            </w:pPr>
            <w:r>
              <w:rPr>
                <w:rFonts w:cs="Times New Roman"/>
              </w:rPr>
              <w:t>0.25</w:t>
            </w:r>
          </w:p>
        </w:tc>
      </w:tr>
    </w:tbl>
    <w:p w14:paraId="64218B35">
      <w:pPr>
        <w:pStyle w:val="54"/>
        <w:spacing w:before="24" w:after="24"/>
      </w:pPr>
      <w:r>
        <w:t>4.涵洞净空</w:t>
      </w:r>
    </w:p>
    <w:p w14:paraId="75E64A3D">
      <w:pPr>
        <w:pStyle w:val="54"/>
        <w:spacing w:before="24" w:after="24"/>
      </w:pPr>
      <w:r>
        <w:t>洞宜设计为无压力式的。无压力式涵洞内顶点至洞内设计洪水频率标准水位的净高应符合下表的规定。</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15"/>
        <w:gridCol w:w="1666"/>
        <w:gridCol w:w="1666"/>
        <w:gridCol w:w="1666"/>
      </w:tblGrid>
      <w:tr w14:paraId="2714B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15" w:type="dxa"/>
            <w:tcBorders>
              <w:top w:val="single" w:color="auto" w:sz="4" w:space="0"/>
              <w:left w:val="single" w:color="auto" w:sz="4" w:space="0"/>
              <w:bottom w:val="single" w:color="auto" w:sz="4" w:space="0"/>
              <w:right w:val="single" w:color="auto" w:sz="4" w:space="0"/>
            </w:tcBorders>
            <w:vAlign w:val="center"/>
          </w:tcPr>
          <w:p w14:paraId="1EBB0C22">
            <w:pPr>
              <w:pStyle w:val="71"/>
              <w:spacing w:before="24" w:after="24"/>
              <w:rPr>
                <w:rFonts w:cs="Times New Roman"/>
              </w:rPr>
            </w:pPr>
            <w:r>
              <w:rPr>
                <w:rFonts w:cs="Times New Roman"/>
              </w:rPr>
              <w:t>涵洞进口净高（或内径）h（m）</w:t>
            </w:r>
          </w:p>
        </w:tc>
        <w:tc>
          <w:tcPr>
            <w:tcW w:w="1666" w:type="dxa"/>
            <w:tcBorders>
              <w:top w:val="single" w:color="auto" w:sz="4" w:space="0"/>
              <w:left w:val="single" w:color="auto" w:sz="4" w:space="0"/>
              <w:bottom w:val="single" w:color="auto" w:sz="4" w:space="0"/>
              <w:right w:val="single" w:color="auto" w:sz="4" w:space="0"/>
            </w:tcBorders>
            <w:vAlign w:val="center"/>
          </w:tcPr>
          <w:p w14:paraId="08CD4581">
            <w:pPr>
              <w:pStyle w:val="71"/>
              <w:spacing w:before="24" w:after="24"/>
              <w:rPr>
                <w:rFonts w:cs="Times New Roman"/>
              </w:rPr>
            </w:pPr>
            <w:r>
              <w:rPr>
                <w:rFonts w:cs="Times New Roman"/>
              </w:rPr>
              <w:t>管涵</w:t>
            </w:r>
          </w:p>
        </w:tc>
        <w:tc>
          <w:tcPr>
            <w:tcW w:w="1666" w:type="dxa"/>
            <w:tcBorders>
              <w:top w:val="single" w:color="auto" w:sz="4" w:space="0"/>
              <w:left w:val="single" w:color="auto" w:sz="4" w:space="0"/>
              <w:bottom w:val="single" w:color="auto" w:sz="4" w:space="0"/>
              <w:right w:val="single" w:color="auto" w:sz="4" w:space="0"/>
            </w:tcBorders>
            <w:vAlign w:val="center"/>
          </w:tcPr>
          <w:p w14:paraId="45F00E79">
            <w:pPr>
              <w:pStyle w:val="71"/>
              <w:spacing w:before="24" w:after="24"/>
              <w:rPr>
                <w:rFonts w:cs="Times New Roman"/>
              </w:rPr>
            </w:pPr>
            <w:r>
              <w:rPr>
                <w:rFonts w:cs="Times New Roman"/>
              </w:rPr>
              <w:t>拱涵</w:t>
            </w:r>
          </w:p>
        </w:tc>
        <w:tc>
          <w:tcPr>
            <w:tcW w:w="1666" w:type="dxa"/>
            <w:tcBorders>
              <w:top w:val="single" w:color="auto" w:sz="4" w:space="0"/>
              <w:left w:val="single" w:color="auto" w:sz="4" w:space="0"/>
              <w:bottom w:val="single" w:color="auto" w:sz="4" w:space="0"/>
              <w:right w:val="single" w:color="auto" w:sz="4" w:space="0"/>
            </w:tcBorders>
            <w:vAlign w:val="center"/>
          </w:tcPr>
          <w:p w14:paraId="25682308">
            <w:pPr>
              <w:pStyle w:val="71"/>
              <w:spacing w:before="24" w:after="24"/>
              <w:rPr>
                <w:rFonts w:cs="Times New Roman"/>
              </w:rPr>
            </w:pPr>
            <w:r>
              <w:rPr>
                <w:rFonts w:cs="Times New Roman"/>
              </w:rPr>
              <w:t>矩形涵</w:t>
            </w:r>
          </w:p>
        </w:tc>
      </w:tr>
      <w:tr w14:paraId="45132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15" w:type="dxa"/>
            <w:tcBorders>
              <w:top w:val="single" w:color="auto" w:sz="4" w:space="0"/>
              <w:left w:val="single" w:color="auto" w:sz="4" w:space="0"/>
              <w:bottom w:val="single" w:color="auto" w:sz="4" w:space="0"/>
              <w:right w:val="single" w:color="auto" w:sz="4" w:space="0"/>
            </w:tcBorders>
            <w:vAlign w:val="center"/>
          </w:tcPr>
          <w:p w14:paraId="602544E6">
            <w:pPr>
              <w:pStyle w:val="71"/>
              <w:spacing w:before="24" w:after="24"/>
              <w:rPr>
                <w:rFonts w:cs="Times New Roman"/>
              </w:rPr>
            </w:pPr>
            <w:r>
              <w:rPr>
                <w:rFonts w:cs="Times New Roman"/>
              </w:rPr>
              <w:t>h≤3</w:t>
            </w:r>
          </w:p>
        </w:tc>
        <w:tc>
          <w:tcPr>
            <w:tcW w:w="1666" w:type="dxa"/>
            <w:tcBorders>
              <w:top w:val="single" w:color="auto" w:sz="4" w:space="0"/>
              <w:left w:val="single" w:color="auto" w:sz="4" w:space="0"/>
              <w:bottom w:val="single" w:color="auto" w:sz="4" w:space="0"/>
              <w:right w:val="single" w:color="auto" w:sz="4" w:space="0"/>
            </w:tcBorders>
            <w:vAlign w:val="center"/>
          </w:tcPr>
          <w:p w14:paraId="10D10339">
            <w:pPr>
              <w:pStyle w:val="71"/>
              <w:spacing w:before="24" w:after="24"/>
              <w:rPr>
                <w:rFonts w:cs="Times New Roman"/>
              </w:rPr>
            </w:pPr>
            <w:r>
              <w:rPr>
                <w:rFonts w:cs="Times New Roman"/>
              </w:rPr>
              <w:t>≥h/4</w:t>
            </w:r>
          </w:p>
        </w:tc>
        <w:tc>
          <w:tcPr>
            <w:tcW w:w="1666" w:type="dxa"/>
            <w:tcBorders>
              <w:top w:val="single" w:color="auto" w:sz="4" w:space="0"/>
              <w:left w:val="single" w:color="auto" w:sz="4" w:space="0"/>
              <w:bottom w:val="single" w:color="auto" w:sz="4" w:space="0"/>
              <w:right w:val="single" w:color="auto" w:sz="4" w:space="0"/>
            </w:tcBorders>
            <w:vAlign w:val="center"/>
          </w:tcPr>
          <w:p w14:paraId="3D75691D">
            <w:pPr>
              <w:pStyle w:val="71"/>
              <w:spacing w:before="24" w:after="24"/>
              <w:rPr>
                <w:rFonts w:cs="Times New Roman"/>
              </w:rPr>
            </w:pPr>
            <w:r>
              <w:rPr>
                <w:rFonts w:cs="Times New Roman"/>
              </w:rPr>
              <w:t>≥h/4</w:t>
            </w:r>
          </w:p>
        </w:tc>
        <w:tc>
          <w:tcPr>
            <w:tcW w:w="1666" w:type="dxa"/>
            <w:tcBorders>
              <w:top w:val="single" w:color="auto" w:sz="4" w:space="0"/>
              <w:left w:val="single" w:color="auto" w:sz="4" w:space="0"/>
              <w:bottom w:val="single" w:color="auto" w:sz="4" w:space="0"/>
              <w:right w:val="single" w:color="auto" w:sz="4" w:space="0"/>
            </w:tcBorders>
            <w:vAlign w:val="center"/>
          </w:tcPr>
          <w:p w14:paraId="5C4E5B58">
            <w:pPr>
              <w:pStyle w:val="71"/>
              <w:spacing w:before="24" w:after="24"/>
              <w:rPr>
                <w:rFonts w:cs="Times New Roman"/>
              </w:rPr>
            </w:pPr>
            <w:r>
              <w:rPr>
                <w:rFonts w:cs="Times New Roman"/>
              </w:rPr>
              <w:t>≥h/6</w:t>
            </w:r>
          </w:p>
        </w:tc>
      </w:tr>
      <w:tr w14:paraId="36A35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915" w:type="dxa"/>
            <w:tcBorders>
              <w:top w:val="single" w:color="auto" w:sz="4" w:space="0"/>
              <w:left w:val="single" w:color="auto" w:sz="4" w:space="0"/>
              <w:bottom w:val="single" w:color="auto" w:sz="4" w:space="0"/>
              <w:right w:val="single" w:color="auto" w:sz="4" w:space="0"/>
            </w:tcBorders>
            <w:vAlign w:val="center"/>
          </w:tcPr>
          <w:p w14:paraId="0B0CF375">
            <w:pPr>
              <w:pStyle w:val="71"/>
              <w:spacing w:before="24" w:after="24"/>
              <w:rPr>
                <w:rFonts w:cs="Times New Roman"/>
              </w:rPr>
            </w:pPr>
            <w:r>
              <w:rPr>
                <w:rFonts w:cs="Times New Roman"/>
              </w:rPr>
              <w:t>h＞3</w:t>
            </w:r>
          </w:p>
        </w:tc>
        <w:tc>
          <w:tcPr>
            <w:tcW w:w="1666" w:type="dxa"/>
            <w:tcBorders>
              <w:top w:val="single" w:color="auto" w:sz="4" w:space="0"/>
              <w:left w:val="single" w:color="auto" w:sz="4" w:space="0"/>
              <w:bottom w:val="single" w:color="auto" w:sz="4" w:space="0"/>
              <w:right w:val="single" w:color="auto" w:sz="4" w:space="0"/>
            </w:tcBorders>
            <w:vAlign w:val="center"/>
          </w:tcPr>
          <w:p w14:paraId="0AE48B3A">
            <w:pPr>
              <w:pStyle w:val="71"/>
              <w:spacing w:before="24" w:after="24"/>
              <w:rPr>
                <w:rFonts w:cs="Times New Roman"/>
              </w:rPr>
            </w:pPr>
            <w:r>
              <w:rPr>
                <w:rFonts w:cs="Times New Roman"/>
              </w:rPr>
              <w:t>≥0.75m</w:t>
            </w:r>
          </w:p>
        </w:tc>
        <w:tc>
          <w:tcPr>
            <w:tcW w:w="1666" w:type="dxa"/>
            <w:tcBorders>
              <w:top w:val="single" w:color="auto" w:sz="4" w:space="0"/>
              <w:left w:val="single" w:color="auto" w:sz="4" w:space="0"/>
              <w:bottom w:val="single" w:color="auto" w:sz="4" w:space="0"/>
              <w:right w:val="single" w:color="auto" w:sz="4" w:space="0"/>
            </w:tcBorders>
            <w:vAlign w:val="center"/>
          </w:tcPr>
          <w:p w14:paraId="7CBDDAA0">
            <w:pPr>
              <w:pStyle w:val="71"/>
              <w:spacing w:before="24" w:after="24"/>
              <w:rPr>
                <w:rFonts w:cs="Times New Roman"/>
              </w:rPr>
            </w:pPr>
            <w:r>
              <w:rPr>
                <w:rFonts w:cs="Times New Roman"/>
              </w:rPr>
              <w:t>≥0.75m</w:t>
            </w:r>
          </w:p>
        </w:tc>
        <w:tc>
          <w:tcPr>
            <w:tcW w:w="1666" w:type="dxa"/>
            <w:tcBorders>
              <w:top w:val="single" w:color="auto" w:sz="4" w:space="0"/>
              <w:left w:val="single" w:color="auto" w:sz="4" w:space="0"/>
              <w:bottom w:val="single" w:color="auto" w:sz="4" w:space="0"/>
              <w:right w:val="single" w:color="auto" w:sz="4" w:space="0"/>
            </w:tcBorders>
            <w:vAlign w:val="center"/>
          </w:tcPr>
          <w:p w14:paraId="1A7932EC">
            <w:pPr>
              <w:pStyle w:val="71"/>
              <w:spacing w:before="24" w:after="24"/>
              <w:rPr>
                <w:rFonts w:cs="Times New Roman"/>
              </w:rPr>
            </w:pPr>
            <w:r>
              <w:rPr>
                <w:rFonts w:cs="Times New Roman"/>
              </w:rPr>
              <w:t>≥0.5m</w:t>
            </w:r>
          </w:p>
        </w:tc>
      </w:tr>
    </w:tbl>
    <w:p w14:paraId="3395A514">
      <w:pPr>
        <w:pStyle w:val="54"/>
        <w:spacing w:before="24" w:after="24"/>
      </w:pPr>
      <w:r>
        <w:t>5.桥涵结构设计</w:t>
      </w:r>
    </w:p>
    <w:p w14:paraId="0EEAB4FA">
      <w:pPr>
        <w:pStyle w:val="54"/>
        <w:spacing w:before="24" w:after="24"/>
      </w:pPr>
      <w:r>
        <w:t>（1）构件在制造、运输、安装和使用过程中，应具有规定的强度、刚度、稳定性和耐久性。</w:t>
      </w:r>
    </w:p>
    <w:p w14:paraId="5D2DA3F3">
      <w:pPr>
        <w:pStyle w:val="54"/>
        <w:spacing w:before="24" w:after="24"/>
      </w:pPr>
      <w:r>
        <w:t>（2）构件应减小由附加力、局部力和偏心力引起的应力。</w:t>
      </w:r>
    </w:p>
    <w:p w14:paraId="3AF785E8">
      <w:pPr>
        <w:pStyle w:val="54"/>
        <w:spacing w:before="24" w:after="24"/>
      </w:pPr>
      <w:r>
        <w:t>（3）结构或构件应根据其所处的环境条件进行耐久性设计采用的材料及其技术性能应符合相关标准的规定。</w:t>
      </w:r>
    </w:p>
    <w:p w14:paraId="44D8ECF3">
      <w:pPr>
        <w:pStyle w:val="54"/>
        <w:spacing w:before="24" w:after="24"/>
      </w:pPr>
      <w:r>
        <w:t>（4）选用的形式应便于制造、施工和养护。</w:t>
      </w:r>
    </w:p>
    <w:p w14:paraId="5106EDAF">
      <w:pPr>
        <w:pStyle w:val="54"/>
        <w:spacing w:before="24" w:after="24"/>
      </w:pPr>
      <w:r>
        <w:t>（5）桥梁应进行抗震设计。抗震设计应按国家现行标准《中国地震动参数区划图》GB18306、《城市道路设计规范》CJ37的规定进行。对已编制地震小区划的城市，可按行政主管部门批准的地震动参数进行抗震设计。</w:t>
      </w:r>
    </w:p>
    <w:p w14:paraId="11D93063">
      <w:pPr>
        <w:pStyle w:val="54"/>
        <w:spacing w:before="24" w:after="24"/>
      </w:pPr>
      <w:r>
        <w:t>地震作用的计算及结构的抗震设计应符合国家现行相关规范的规定。</w:t>
      </w:r>
    </w:p>
    <w:p w14:paraId="54220953">
      <w:pPr>
        <w:pStyle w:val="54"/>
        <w:spacing w:before="24" w:after="24"/>
      </w:pPr>
      <w:r>
        <w:t>（6）当受到城市区域条件限制，需建斜桥、弯桥、坡桥时应根据其具体特点，作为特殊桥梁进行设计。</w:t>
      </w:r>
    </w:p>
    <w:p w14:paraId="38CC9A4E">
      <w:pPr>
        <w:pStyle w:val="54"/>
        <w:spacing w:before="24" w:after="24"/>
      </w:pPr>
      <w:r>
        <w:t>（7）桥梁基础沉降量应符合现行行业标准《公路桥涵地基与基础设计规范》JTGD63的规定。对外部为超静定体系的桥梁应控制引起桥梁上部结构附加内力的基础不均匀沉降量，宜在结构设计中预留调节基础不均匀沉降的构造装置或空间。</w:t>
      </w:r>
    </w:p>
    <w:p w14:paraId="1C48846B">
      <w:pPr>
        <w:pStyle w:val="54"/>
        <w:spacing w:before="24" w:after="24"/>
      </w:pPr>
      <w:r>
        <w:t>6.桥梁支座</w:t>
      </w:r>
    </w:p>
    <w:p w14:paraId="250CCDCC">
      <w:pPr>
        <w:pStyle w:val="54"/>
        <w:spacing w:before="24" w:after="24"/>
      </w:pPr>
      <w:r>
        <w:t>桥梁支座设计应满足下列要求:</w:t>
      </w:r>
    </w:p>
    <w:p w14:paraId="773FC52D">
      <w:pPr>
        <w:pStyle w:val="54"/>
        <w:spacing w:before="24" w:after="24"/>
      </w:pPr>
      <w:r>
        <w:t>（1）桥梁支座可按其跨径、结构形式、反力值、支承处的位移及转角变形值选取不同的支座。桥梁可选用板式橡胶支座或四氟滑板橡胶支座、盆式橡胶支座和球型钢支座。不宜采用带球冠的板式橡胶支座或坡形板式橡胶支座。</w:t>
      </w:r>
    </w:p>
    <w:p w14:paraId="647C46C8">
      <w:pPr>
        <w:pStyle w:val="54"/>
        <w:spacing w:before="24" w:after="24"/>
      </w:pPr>
      <w:r>
        <w:t>（2）桥梁纵桥向单个支承点宜设置一排竖向支座:横桥向竖向支座的设置应考虑支座脱空的影响。</w:t>
      </w:r>
    </w:p>
    <w:p w14:paraId="0EB4552E">
      <w:pPr>
        <w:pStyle w:val="54"/>
        <w:spacing w:before="24" w:after="24"/>
      </w:pPr>
      <w:r>
        <w:t>（3）支座上、下传力面应保持水平。</w:t>
      </w:r>
    </w:p>
    <w:p w14:paraId="3734761E">
      <w:pPr>
        <w:pStyle w:val="54"/>
        <w:spacing w:before="24" w:after="24"/>
      </w:pPr>
      <w:r>
        <w:t>（4）桥梁墩台应预留安装、维护、更换支座的工作空间和操作安全防护设施。</w:t>
      </w:r>
    </w:p>
    <w:p w14:paraId="72A41D69">
      <w:pPr>
        <w:pStyle w:val="54"/>
        <w:spacing w:before="24" w:after="24"/>
      </w:pPr>
      <w:r>
        <w:t>7.桥面伸缩</w:t>
      </w:r>
    </w:p>
    <w:p w14:paraId="1D092E0C">
      <w:pPr>
        <w:pStyle w:val="54"/>
        <w:spacing w:before="24" w:after="24"/>
      </w:pPr>
      <w:r>
        <w:t>桥面伸缩装置，应满足梁端自由伸缩、转角变形及使车辆平稳通过的要求。伸缩装置应根据桥梁长度、结构形式采用经久耐用、防渗、防滑等性能良好，且易于清洁、检修、更换的材料和构造形式。材料及其成品的技术要求应符合国家现行相关标准的规定。</w:t>
      </w:r>
    </w:p>
    <w:p w14:paraId="0438413A">
      <w:pPr>
        <w:pStyle w:val="54"/>
        <w:spacing w:before="24" w:after="24"/>
      </w:pPr>
      <w:r>
        <w:t>在多跨简支梁间，可采用连续桥面。连续桥面的长度不宜大桥面伸缩装置，应满足梁端自由伸缩、转角变形及使车辆平稳通过的要求。伸缩装置应根据桥梁长度、结构形式采用经久耐用、防渗、防滑等性能良好，且易于清洁、检修、更换的材料和构造形式。材料及其成品的技术要求应符合国家现行相关标准的规定。</w:t>
      </w:r>
    </w:p>
    <w:p w14:paraId="7D2B10C1">
      <w:pPr>
        <w:pStyle w:val="54"/>
        <w:spacing w:before="24" w:after="24"/>
      </w:pPr>
      <w:r>
        <w:t>在多跨简支梁间，可采用连续桥面。连续桥面的长度不宜大于100m，连续桥面的构造应完善、牢固和耐用。</w:t>
      </w:r>
    </w:p>
    <w:p w14:paraId="782EAF46">
      <w:pPr>
        <w:pStyle w:val="54"/>
        <w:spacing w:before="24" w:after="24"/>
      </w:pPr>
      <w:r>
        <w:t>对变形量较大的桥面伸缩缝，宜采用板式或模数式伸缩装置。仲缩装置应与梁端牢固锚固。</w:t>
      </w:r>
    </w:p>
    <w:p w14:paraId="320717AD">
      <w:pPr>
        <w:pStyle w:val="54"/>
        <w:spacing w:before="24" w:after="24"/>
      </w:pPr>
      <w:r>
        <w:t>城市快速路、主干路桥梁不得采用浅埋的伸缩装置。</w:t>
      </w:r>
    </w:p>
    <w:p w14:paraId="55241C71">
      <w:pPr>
        <w:pStyle w:val="54"/>
        <w:spacing w:before="24" w:after="24"/>
      </w:pPr>
      <w:r>
        <w:t>当设计伸缩装置时，应考虑其安装的时间，伸缩量应根据温度变化及混凝土收缩、徐变、受荷转角、梁体纵坡及伸缩装置更换所需的间隙量等因素确定。</w:t>
      </w:r>
    </w:p>
    <w:p w14:paraId="6563F7A9">
      <w:pPr>
        <w:pStyle w:val="54"/>
        <w:spacing w:before="24" w:after="24"/>
      </w:pPr>
      <w:r>
        <w:t>对异型桥的伸缩装置，必须检算其纵横向的错位量。</w:t>
      </w:r>
    </w:p>
    <w:p w14:paraId="4720FBB7">
      <w:pPr>
        <w:pStyle w:val="54"/>
        <w:spacing w:before="24" w:after="24"/>
      </w:pPr>
      <w:r>
        <w:t>8.护栏</w:t>
      </w:r>
    </w:p>
    <w:p w14:paraId="576575D8">
      <w:pPr>
        <w:pStyle w:val="54"/>
        <w:spacing w:before="24" w:after="24"/>
      </w:pPr>
      <w:r>
        <w:t>设置栏杆的桥梁，其栏杆的设计，除应满足受力要求外，尚应注意美观，护栏的样式应与桥梁、道路、周围建筑风格协调一致，栏杆高度不应小于 1.1m。</w:t>
      </w:r>
    </w:p>
    <w:p w14:paraId="6A66BB8E">
      <w:pPr>
        <w:pStyle w:val="54"/>
        <w:spacing w:before="24" w:after="24"/>
      </w:pPr>
      <w:r>
        <w:t>桥梁、涵洞上的人行护栏的结构验算竖向荷载应为1.2kN/m，水平向外荷载应为2.5kN/m，两者应分别计算，不同时作用，且不与其他可变作用叠加。</w:t>
      </w:r>
    </w:p>
    <w:p w14:paraId="0236197F">
      <w:pPr>
        <w:pStyle w:val="54"/>
        <w:spacing w:before="24" w:after="24"/>
      </w:pPr>
      <w:r>
        <w:t>9.桥面铺装</w:t>
      </w:r>
    </w:p>
    <w:p w14:paraId="707CC79E">
      <w:pPr>
        <w:pStyle w:val="54"/>
        <w:spacing w:before="24" w:after="24"/>
      </w:pPr>
      <w:r>
        <w:t>桥面铺装的结构形式宜与所衔接的道路路面相协调，可采用沥青混凝土。</w:t>
      </w:r>
    </w:p>
    <w:p w14:paraId="7E02F83A">
      <w:pPr>
        <w:pStyle w:val="54"/>
        <w:spacing w:before="24" w:after="24"/>
      </w:pPr>
      <w:r>
        <w:t>桥面铺装层材料、构造与厚度应符合下列规定:</w:t>
      </w:r>
    </w:p>
    <w:p w14:paraId="52F9B557">
      <w:pPr>
        <w:pStyle w:val="54"/>
        <w:spacing w:before="24" w:after="24"/>
      </w:pPr>
      <w:r>
        <w:t>当为主干路桥梁时，桥面铺装宜采用沥青混凝土材料，铺装层厚度不宜小于80mm，粒料宜与桥头引道上的沥青面层一致。水泥混凝土整平层强度等级不应低于C30，厚度宜为70mm~100mm，并应配有钢筋网或焊接钢筋网。</w:t>
      </w:r>
    </w:p>
    <w:p w14:paraId="50AEB694">
      <w:pPr>
        <w:pStyle w:val="54"/>
        <w:spacing w:before="24" w:after="24"/>
      </w:pPr>
      <w:r>
        <w:t>沥青混凝土铺装底面在水泥混凝土整平层之上应设置柔性防水卷材或涂料，防水材料应具有耐热、冷柔、防渗、耐腐、粘结、抗碾压等性能。材料性能技术要求和设计应符合国家现行相关标准的规定。</w:t>
      </w:r>
    </w:p>
    <w:p w14:paraId="599F1BCA">
      <w:pPr>
        <w:pStyle w:val="54"/>
        <w:spacing w:before="24" w:after="24"/>
      </w:pPr>
      <w:r>
        <w:t>10.桥面排水</w:t>
      </w:r>
    </w:p>
    <w:p w14:paraId="47F9EDEC">
      <w:pPr>
        <w:pStyle w:val="54"/>
        <w:spacing w:before="24" w:after="24"/>
      </w:pPr>
      <w:r>
        <w:t>桥面排水设施的设置应符合下列规定:</w:t>
      </w:r>
    </w:p>
    <w:p w14:paraId="5A2952E5">
      <w:pPr>
        <w:pStyle w:val="54"/>
        <w:spacing w:before="24" w:after="24"/>
      </w:pPr>
      <w:r>
        <w:t>（1）桥面排水设施应适应桥梁结构的变形，细部构造布置应保证桥梁结构的任何部分不受排水设施及泄漏水流的侵蚀。</w:t>
      </w:r>
    </w:p>
    <w:p w14:paraId="7E5E0510">
      <w:pPr>
        <w:pStyle w:val="54"/>
        <w:spacing w:before="24" w:after="24"/>
      </w:pPr>
      <w:r>
        <w:t>（2）应在行车道较低处设排水口，并可通过排水管将桥面水泄入地面排水系统中。</w:t>
      </w:r>
    </w:p>
    <w:p w14:paraId="77F529E6">
      <w:pPr>
        <w:pStyle w:val="54"/>
        <w:spacing w:before="24" w:after="24"/>
      </w:pPr>
      <w:r>
        <w:t>（3）排水管道应采用坚固的、抗腐蚀性能良好的材料制成，管道直径不宜小于 150mm。</w:t>
      </w:r>
    </w:p>
    <w:p w14:paraId="13555CC3">
      <w:pPr>
        <w:pStyle w:val="54"/>
        <w:spacing w:before="24" w:after="24"/>
      </w:pPr>
      <w:r>
        <w:t>（4）排水管道的间距可根据桥梁汇水面积和桥面纵坡大小确定:</w:t>
      </w:r>
    </w:p>
    <w:p w14:paraId="4CD45039">
      <w:pPr>
        <w:pStyle w:val="54"/>
        <w:spacing w:before="24" w:after="24"/>
      </w:pPr>
      <w:r>
        <w:t>当纵坡大子2%时，桥面设置排水管的截面积不宜小于60mm2/㎡；</w:t>
      </w:r>
    </w:p>
    <w:p w14:paraId="08167B12">
      <w:pPr>
        <w:pStyle w:val="54"/>
        <w:spacing w:before="24" w:after="24"/>
      </w:pPr>
      <w:r>
        <w:t>当纵坡小于1%时，桥面设置排水管的截面积不宜小于100mm2/㎡；</w:t>
      </w:r>
    </w:p>
    <w:p w14:paraId="617C0547">
      <w:pPr>
        <w:pStyle w:val="54"/>
        <w:spacing w:before="24" w:after="24"/>
      </w:pPr>
      <w:r>
        <w:t>南方潮湿地区和西北干燥地区可根据暴雨强度适当调整。</w:t>
      </w:r>
    </w:p>
    <w:p w14:paraId="6DE36748">
      <w:pPr>
        <w:pStyle w:val="54"/>
        <w:spacing w:before="24" w:after="24"/>
      </w:pPr>
      <w:r>
        <w:t>（5）当中桥、小桥的桥面设有不小于3%纵坡时，桥上可不设排水口，但应在桥头引道上两侧设置雨水口。</w:t>
      </w:r>
    </w:p>
    <w:p w14:paraId="47FE23FA">
      <w:pPr>
        <w:pStyle w:val="54"/>
        <w:spacing w:before="24" w:after="24"/>
      </w:pPr>
      <w:r>
        <w:t>（6）排水管宜在墩台处接入地面，排水管布置应方便养护少设连接弯头，且宜采用有清除孔的连接弯头:排水管底部应作散水处理。</w:t>
      </w:r>
    </w:p>
    <w:p w14:paraId="7BB6FA2B">
      <w:pPr>
        <w:pStyle w:val="54"/>
        <w:spacing w:before="24" w:after="24"/>
      </w:pPr>
      <w:r>
        <w:t>（7）沥青混凝土铺装在桥跨伸缩缝上坡侧，现浇带与沥青混凝土相接处应设置渗水管。</w:t>
      </w:r>
    </w:p>
    <w:p w14:paraId="35A84759">
      <w:pPr>
        <w:pStyle w:val="54"/>
        <w:spacing w:before="24" w:after="24"/>
      </w:pPr>
      <w:r>
        <w:t>11.其它</w:t>
      </w:r>
    </w:p>
    <w:p w14:paraId="13C5E166">
      <w:pPr>
        <w:pStyle w:val="54"/>
        <w:spacing w:before="24" w:after="24"/>
      </w:pPr>
      <w:r>
        <w:t>照明、环保、消防、交通标志等附属设施不得侵入桥梁、地下通道的净空限界，不得影响桥梁和地下通道的安全使用。</w:t>
      </w:r>
    </w:p>
    <w:p w14:paraId="2964C525">
      <w:pPr>
        <w:pStyle w:val="54"/>
        <w:spacing w:before="24" w:after="24"/>
      </w:pPr>
      <w:r>
        <w:t>对符合本规范规定而设置的各种管线，尚应符合下列规定:</w:t>
      </w:r>
    </w:p>
    <w:p w14:paraId="19EBF409">
      <w:pPr>
        <w:pStyle w:val="54"/>
        <w:spacing w:before="24" w:after="24"/>
      </w:pPr>
      <w:r>
        <w:t>（1）口径较大的管道不宜在桥梁立面上外露。</w:t>
      </w:r>
    </w:p>
    <w:p w14:paraId="0BFDBDB6">
      <w:pPr>
        <w:pStyle w:val="54"/>
        <w:spacing w:before="24" w:after="24"/>
      </w:pPr>
      <w:r>
        <w:t>（2）应妥善安排各类管线，在敷设、养护、检修、更换时不得损坏桥梁。刚性管道宜与桥梁上部结构分离。</w:t>
      </w:r>
    </w:p>
    <w:p w14:paraId="2063AAB0">
      <w:pPr>
        <w:pStyle w:val="54"/>
        <w:spacing w:before="24" w:after="24"/>
      </w:pPr>
      <w:r>
        <w:t>（3）电力电缆与燃气管道不得布置在同一侧。</w:t>
      </w:r>
    </w:p>
    <w:p w14:paraId="2A97E4ED">
      <w:pPr>
        <w:pStyle w:val="54"/>
        <w:spacing w:before="24" w:after="24"/>
        <w:ind w:firstLine="562"/>
        <w:outlineLvl w:val="3"/>
        <w:rPr>
          <w:b/>
          <w:bCs/>
        </w:rPr>
      </w:pPr>
      <w:r>
        <w:rPr>
          <w:b/>
          <w:bCs/>
        </w:rPr>
        <w:t>10.6照明工程</w:t>
      </w:r>
    </w:p>
    <w:p w14:paraId="20361A69">
      <w:pPr>
        <w:pStyle w:val="54"/>
        <w:spacing w:before="24" w:after="24"/>
      </w:pPr>
      <w:r>
        <w:t>（1）道路照明工程包括上述道路照度计算、路灯布置、箱变一次系统、低压配电系统、智能时钟控制系统、保护接地系统等设计。</w:t>
      </w:r>
    </w:p>
    <w:p w14:paraId="569FFE77">
      <w:pPr>
        <w:pStyle w:val="54"/>
        <w:spacing w:before="24" w:after="24"/>
      </w:pPr>
      <w:r>
        <w:t>（2）保证道路的城市功能和活动所需的照度水平，满足视觉要求，保证城市的各类标志、信号灯的诱导性不受干扰；考虑照明灯具的使用和维修方便。</w:t>
      </w:r>
    </w:p>
    <w:p w14:paraId="52F210A4">
      <w:pPr>
        <w:pStyle w:val="54"/>
        <w:spacing w:before="24" w:after="24"/>
      </w:pPr>
      <w:r>
        <w:t>（3）照明系统的控制设计应考虑便利性，提高自动化控制，操作上简便及人性化，提高效率，节约成本。照明系统的稳定性要能保证，无论是长时间的日常照明还是夜半照明都能按照设定的控制模式正常工作。让管理人员第一时间了解，及时的处理各类情况，并能远程监控，保证一年四季不同时段的车辆安全通行。</w:t>
      </w:r>
    </w:p>
    <w:p w14:paraId="2B75559F">
      <w:pPr>
        <w:pStyle w:val="54"/>
        <w:spacing w:before="24" w:after="24"/>
      </w:pPr>
      <w:r>
        <w:t>（4）综合考虑各种环境因素，选择经济、适用、节能的电光源；合理选择灯具的安装位置，使照明灯具发挥最大的照明效率；充分考虑灯具的安全性、维护性及光源的使用寿命，尽量避免造成眩光与光污染；尊重自然，综合考虑人工照明对自然生态的影响，包括动植物生活环境的影响。</w:t>
      </w:r>
    </w:p>
    <w:p w14:paraId="4F6279C5">
      <w:pPr>
        <w:pStyle w:val="54"/>
        <w:spacing w:before="24" w:after="24"/>
      </w:pPr>
      <w:r>
        <w:t>（5）根据《城市道路照明设计标准》CJJ 45-2015 第3.3.3条确定本工程道路照明标准值。</w:t>
      </w:r>
    </w:p>
    <w:p w14:paraId="0FE65F93">
      <w:pPr>
        <w:pStyle w:val="54"/>
        <w:spacing w:before="24" w:after="24"/>
      </w:pPr>
      <w:r>
        <w:t>（6）本次道路照明设计光源应全部采用节能性能较好发光二极管（LED）灯光源，要求光源选择色温4000K左右，光效不低于110Lm/W，光源显色指数（Ra）不小于60，色品容差不大于7SDCM，功率因数不小于0.9，寿命不低于50000小时，光源质保期不低于三年，电器质保期不低于三年。</w:t>
      </w:r>
    </w:p>
    <w:p w14:paraId="13ED3830">
      <w:pPr>
        <w:pStyle w:val="54"/>
        <w:spacing w:before="24" w:after="24"/>
      </w:pPr>
      <w:r>
        <w:t>（7）灯具密封材料要求采用耐高温、耐老化的硅橡胶，防护等级IP65以上；透明件采用钢化玻璃，抗冷热剧变，具有一定的防眩功能；灯具的光源腔和电器箱独立分开，散热性能好；灯具结构具有良好的防腐性能，防腐等级高达WF2以上；灯具的发光效率高达 110lm/w以上，光源寿命长达6万小时以上。</w:t>
      </w:r>
    </w:p>
    <w:p w14:paraId="0E913C3E">
      <w:pPr>
        <w:pStyle w:val="54"/>
        <w:spacing w:before="24" w:after="24"/>
      </w:pPr>
      <w:r>
        <w:t>（8）灯具在点燃3000h时，其光通维持率不低于90%；在点燃 6000h时，其光通维持率应不低于85%；灯具的功率因数高达0.9以上；灯具具有一定的防震性能；灯具内部紧固件、导电接线柱要求采用耐腐防锈金属材料。</w:t>
      </w:r>
    </w:p>
    <w:p w14:paraId="74C0CFD7">
      <w:pPr>
        <w:pStyle w:val="54"/>
        <w:spacing w:before="24" w:after="24"/>
      </w:pPr>
      <w:r>
        <w:t>（9）灯具外壳部件选用铝合金材料压铸成型；整灯灯具（包含光源）保用5年以上；灯杆及灯具应具有良好防腐性能，造型美观、耐用，灯杆采用热镀锌处理，外表增加静电喷塑处理。</w:t>
      </w:r>
    </w:p>
    <w:p w14:paraId="23F26996">
      <w:pPr>
        <w:pStyle w:val="54"/>
        <w:spacing w:before="24" w:after="24"/>
      </w:pPr>
      <w:r>
        <w:t>（10）路灯基础距路沿石 0.8 米布置，路灯灯位若与其它管线、树木、交通工程设施公交站台等冲突时可根据现场情况调整避让。</w:t>
      </w:r>
    </w:p>
    <w:p w14:paraId="25C96A59">
      <w:pPr>
        <w:pStyle w:val="54"/>
        <w:spacing w:before="24" w:after="24"/>
      </w:pPr>
      <w:r>
        <w:t>（11）设置路灯专用箱式变电站提供道路照明电源，箱变备用回路用于交通信号灯电源、公交站台照明及广告灯箱电源等。电源分界点为高压进线柜内进线开关的进线端，高压设备的校验及整定由供电部门完成。</w:t>
      </w:r>
    </w:p>
    <w:p w14:paraId="3B019D6B">
      <w:pPr>
        <w:pStyle w:val="54"/>
        <w:spacing w:before="24" w:after="24"/>
      </w:pPr>
      <w:r>
        <w:t>（12）路灯配电控制柜设于路灯专用箱变（变压器）处，路灯户外配电控制柜选用户外型，采用 IP54 防水箱体，并做明显电气标识，落地式安装，基础高出地面不少于 0.3 米安装，安装于不易积水的安全位置。配电控制柜应设置需使用专用工具开启的闭锁防盗装置。配电控制柜安装基础做法由供货厂家按照柜体尺寸配套提供。</w:t>
      </w:r>
    </w:p>
    <w:p w14:paraId="4800D77B">
      <w:pPr>
        <w:pStyle w:val="54"/>
        <w:spacing w:before="24" w:after="24"/>
      </w:pPr>
      <w:r>
        <w:t>（13）路灯单个干线配电回路采用三相配电。灯具接线时按 A、B、C 三相跳跃线方式，合理分配三相保持三相负荷平衡（带中杆投光灯具的回路接线时应特别注意三相负荷平衡问题），最大相负荷不宜超过三相负荷平均值的 115%，最小相负荷不宜小于三相负荷平均值的 85%。</w:t>
      </w:r>
    </w:p>
    <w:p w14:paraId="635759B5">
      <w:pPr>
        <w:pStyle w:val="54"/>
        <w:spacing w:before="24" w:after="24"/>
      </w:pPr>
      <w:r>
        <w:t>（14）本工程低压电缆各芯导线订货时应分色，A、B、C、N、PE 应按国家相关规范采用黄、绿、红、蓝、黄绿双色线加以区分。</w:t>
      </w:r>
    </w:p>
    <w:p w14:paraId="29194E4C">
      <w:pPr>
        <w:pStyle w:val="54"/>
        <w:spacing w:before="24" w:after="24"/>
      </w:pPr>
      <w:r>
        <w:t>（15）路灯采用单灯控制器的控制方式，全夜灯整夜亮灯，半夜灯根据夜间交通及人流情况调整亮灯时间及照度，由设备厂家深化设计。路灯控制柜内应预留空间为未来安装远程控制创造条件。每个控制柜内采用两套时钟控制系统分别控制路灯开和关；现场调试、检修时采用手控方式。</w:t>
      </w:r>
    </w:p>
    <w:p w14:paraId="4ADD6F68">
      <w:pPr>
        <w:pStyle w:val="54"/>
        <w:spacing w:before="24" w:after="24"/>
      </w:pPr>
      <w:r>
        <w:t>（16）本工程在箱变高压侧设集中计量装置，在每路低压出线设分路计量，在道路照明控制配电箱设低压计量。</w:t>
      </w:r>
    </w:p>
    <w:p w14:paraId="2C07D2A8">
      <w:pPr>
        <w:pStyle w:val="54"/>
        <w:spacing w:before="24" w:after="24"/>
      </w:pPr>
      <w:r>
        <w:t>（17）本工程照明接地系统采用TN-S 接地系统。PE线与灯杆、配电箱等金属设备连接成网，在任意地点的接地电阻不大于4欧。</w:t>
      </w:r>
    </w:p>
    <w:p w14:paraId="432943C2">
      <w:pPr>
        <w:pStyle w:val="54"/>
        <w:spacing w:before="24" w:after="24"/>
        <w:ind w:firstLine="562"/>
        <w:outlineLvl w:val="3"/>
        <w:rPr>
          <w:b/>
          <w:bCs/>
        </w:rPr>
      </w:pPr>
      <w:r>
        <w:rPr>
          <w:b/>
          <w:bCs/>
        </w:rPr>
        <w:t>10.7绿化工程</w:t>
      </w:r>
    </w:p>
    <w:p w14:paraId="21194351">
      <w:pPr>
        <w:pStyle w:val="54"/>
        <w:spacing w:before="24" w:after="24"/>
      </w:pPr>
      <w:r>
        <w:t>1.道路绿化设计原则</w:t>
      </w:r>
    </w:p>
    <w:p w14:paraId="61384C19">
      <w:pPr>
        <w:pStyle w:val="54"/>
        <w:spacing w:before="24" w:after="24"/>
      </w:pPr>
      <w:r>
        <w:t>道路绿化是城市绿色廊道系统的重要组成部分，作为城市绿化系统的一个重要组成部分，体现着城市景观、展现着城市特风貌。道路绿化作为道路的组成部分在创造有特色的城市形象中具有重要作用，道路绿化可以美化街景、方便交通识别、改善自然环境、调节气候等。</w:t>
      </w:r>
    </w:p>
    <w:p w14:paraId="47CC3479">
      <w:pPr>
        <w:pStyle w:val="54"/>
        <w:spacing w:before="24" w:after="24"/>
      </w:pPr>
      <w:r>
        <w:t>以景观生态设计理念和持续发展战略为指导，借鉴风景园林艺术的设计手法，根据道路的空间序列和景观特征，结合地方特点，营造生态优良、环境幽雅、景观和谐、形象独特的生态景观道路。</w:t>
      </w:r>
    </w:p>
    <w:p w14:paraId="0005D430">
      <w:pPr>
        <w:pStyle w:val="54"/>
        <w:spacing w:before="24" w:after="24"/>
      </w:pPr>
      <w:r>
        <w:t>（1）景观设计以“安全、实用、美观”为宗旨，以管理方便为原则。</w:t>
      </w:r>
    </w:p>
    <w:p w14:paraId="7AA9DAD3">
      <w:pPr>
        <w:pStyle w:val="54"/>
        <w:spacing w:before="24" w:after="24"/>
      </w:pPr>
      <w:r>
        <w:t>（2）景观设计满足交通要求，保证行车安全，使司机视线畅通，具有足够的安全视距。</w:t>
      </w:r>
    </w:p>
    <w:p w14:paraId="613CC2FE">
      <w:pPr>
        <w:pStyle w:val="54"/>
        <w:spacing w:before="24" w:after="24"/>
      </w:pPr>
      <w:r>
        <w:t>（3）景观设计注重与道路两侧用地相结合，充分利用道路的自然资源，创造和谐、统一的景观效果。</w:t>
      </w:r>
    </w:p>
    <w:p w14:paraId="73117917">
      <w:pPr>
        <w:pStyle w:val="54"/>
        <w:spacing w:before="24" w:after="24"/>
      </w:pPr>
      <w:r>
        <w:t>（4）采用植物以本地树种为主，选择乡土树木可以更好的适应环境适应气候，使树的长势可以更好发挥作用，但为了使植物种类更加丰富也可适当的选择一些外来植物。</w:t>
      </w:r>
    </w:p>
    <w:p w14:paraId="005F5A00">
      <w:pPr>
        <w:pStyle w:val="54"/>
        <w:spacing w:before="24" w:after="24"/>
      </w:pPr>
      <w:r>
        <w:t>（5）绿化应以安全、实用为宗旨，所用植物具有一定的抗污染能力，且两边的行道树应高大冠密，遮荫、抗风植物，在配置上具有一定的景观效果。</w:t>
      </w:r>
    </w:p>
    <w:p w14:paraId="650C622D">
      <w:pPr>
        <w:pStyle w:val="54"/>
        <w:spacing w:before="24" w:after="24"/>
      </w:pPr>
      <w:r>
        <w:t>（6）结合周围环境进行绿化景观设计，结合交通安全、环境保护、城市美化要求，提高城市绿化景观建设标准。</w:t>
      </w:r>
    </w:p>
    <w:p w14:paraId="271F50B0">
      <w:pPr>
        <w:pStyle w:val="54"/>
        <w:spacing w:before="24" w:after="24"/>
      </w:pPr>
      <w:r>
        <w:t>2.技术标准及要求</w:t>
      </w:r>
    </w:p>
    <w:p w14:paraId="776726DB">
      <w:pPr>
        <w:pStyle w:val="54"/>
        <w:spacing w:before="24" w:after="24"/>
      </w:pPr>
      <w:r>
        <w:t>（1）道路红线宽度＜30.0m，绿地率不应＜15%。</w:t>
      </w:r>
    </w:p>
    <w:p w14:paraId="4B4AA53B">
      <w:pPr>
        <w:pStyle w:val="54"/>
        <w:spacing w:before="24" w:after="24"/>
      </w:pPr>
      <w:r>
        <w:t>（2）行道树绿化带及单体树池宽度不宜＜1.5m。</w:t>
      </w:r>
    </w:p>
    <w:p w14:paraId="09B1A413">
      <w:pPr>
        <w:pStyle w:val="54"/>
        <w:spacing w:before="24" w:after="24"/>
      </w:pPr>
      <w:r>
        <w:t>（3）行道树绿化带及单体树池宜设计成下凹式绿地。</w:t>
      </w:r>
    </w:p>
    <w:p w14:paraId="7EF025FF">
      <w:pPr>
        <w:pStyle w:val="54"/>
        <w:spacing w:before="24" w:after="24"/>
      </w:pPr>
      <w:r>
        <w:t>（4）树种要求：</w:t>
      </w:r>
    </w:p>
    <w:p w14:paraId="5DEE9136">
      <w:pPr>
        <w:pStyle w:val="54"/>
        <w:spacing w:before="24" w:after="24"/>
      </w:pPr>
      <w:r>
        <w:t>1）树种选择应考虑土壤条件、生态习性、抗性强、耐修剪等因素，适地适树。</w:t>
      </w:r>
    </w:p>
    <w:p w14:paraId="24459BE9">
      <w:pPr>
        <w:pStyle w:val="54"/>
        <w:spacing w:before="24" w:after="24"/>
      </w:pPr>
      <w:r>
        <w:t>2）优先选用能够体现地域特点和美化城市的树种，并符合植物间伴生的生态习性。</w:t>
      </w:r>
    </w:p>
    <w:p w14:paraId="1D7B0493">
      <w:pPr>
        <w:pStyle w:val="54"/>
        <w:spacing w:before="24" w:after="24"/>
      </w:pPr>
      <w:r>
        <w:t>3）选择的植物应适应栽植地的环境条件，宜优先选用体现地域特色的植物。</w:t>
      </w:r>
    </w:p>
    <w:p w14:paraId="136B4775">
      <w:pPr>
        <w:pStyle w:val="54"/>
        <w:spacing w:before="24" w:after="24"/>
      </w:pPr>
      <w:r>
        <w:t>（5）行道树最小种植株距应大于4m。行道树树干中心至路缘石外侧最小距离为0.75m。行道树种植点可根据路灯等设施适当调整，乔术与路灯最小距离不应小于 2.0m。</w:t>
      </w:r>
    </w:p>
    <w:p w14:paraId="15A114FF">
      <w:pPr>
        <w:pStyle w:val="54"/>
        <w:spacing w:before="24" w:after="24"/>
      </w:pPr>
      <w:r>
        <w:t>（6）行道树分枝点出圃高度应≥2.5 m，通过管养、修剪后枝下高宜≥3.0。</w:t>
      </w:r>
    </w:p>
    <w:p w14:paraId="5FAF24AB">
      <w:pPr>
        <w:pStyle w:val="54"/>
        <w:spacing w:before="24" w:after="24"/>
      </w:pPr>
      <w:r>
        <w:t>（7）在道路交叉口视距三角形范围内，绿化应采用通透式配置，在距相邻机动车道路面高度0.9 m～3.0 m之间的范围内，绿化植物不遮挡驾驶员视线；平行交叉口视距三角形范围的确定应符合CJJ 152中的规定。</w:t>
      </w:r>
    </w:p>
    <w:p w14:paraId="5D1EB080">
      <w:pPr>
        <w:pStyle w:val="66"/>
        <w:rPr>
          <w:rFonts w:cs="Times New Roman"/>
        </w:rPr>
      </w:pPr>
      <w:r>
        <w:rPr>
          <w:rFonts w:cs="Times New Roman"/>
        </w:rPr>
        <w:t>10.8电气工程</w:t>
      </w:r>
    </w:p>
    <w:p w14:paraId="7D660C6B">
      <w:pPr>
        <w:pStyle w:val="54"/>
        <w:spacing w:before="24" w:after="24"/>
      </w:pPr>
      <w:r>
        <w:t>10.8.1电缆沟设计</w:t>
      </w:r>
    </w:p>
    <w:p w14:paraId="4EF7509E">
      <w:pPr>
        <w:pStyle w:val="54"/>
        <w:spacing w:before="24" w:after="24"/>
      </w:pPr>
      <w:r>
        <w:t>（1）应保证人行道路面的整洁美观，设计除在检查井处设检修盖板外，浮面式电缆沟盖板上方统一进行人行道铺装，电缆沟路径每隔70米左右设置工作井，电缆分支及横穿道路时设置电缆预留井。井内设置φ300集水口一个，管内须填满粗砂，纵向集水口的坡度不小于0.5%。</w:t>
      </w:r>
    </w:p>
    <w:p w14:paraId="00DC9F09">
      <w:pPr>
        <w:pStyle w:val="54"/>
        <w:spacing w:before="24" w:after="24"/>
      </w:pPr>
      <w:r>
        <w:t>（2）电缆沟纵向每隔20米，砌体及压顶梁应设置伸缩缝。伸缩缝要贯穿整个断面。缝宽2厘米，一般缝内填塞胶泥或用涂以沥青的木板等具有弹性的材料，沿内、外、顶三方填塞，填塞深度不小于0.2 米。</w:t>
      </w:r>
    </w:p>
    <w:p w14:paraId="2ACDC362">
      <w:pPr>
        <w:pStyle w:val="54"/>
        <w:spacing w:before="24" w:after="24"/>
      </w:pPr>
      <w:r>
        <w:t>（3）电缆沟支架纵向间距800mm,对侧错开400mm，支架采用复合材料支架。</w:t>
      </w:r>
    </w:p>
    <w:p w14:paraId="32CD5966">
      <w:pPr>
        <w:pStyle w:val="54"/>
        <w:spacing w:before="24" w:after="24"/>
      </w:pPr>
      <w:r>
        <w:t>（4）电缆沟接地：接地桩采用热镀锌角钢（63x6x2500mm）,每20米打一棵，桩顶距地面0.6米。接地线采用Φ10热镀锌圆钢，每20米将接地线引出与接地桩焊接，同时将电缆沟内两侧接地线过沟底部连接。接所有接地装置连接处须牢固焊接，焊接处用沥青作防腐处理。</w:t>
      </w:r>
    </w:p>
    <w:p w14:paraId="0AEB7862">
      <w:pPr>
        <w:pStyle w:val="54"/>
        <w:spacing w:before="24" w:after="24"/>
      </w:pPr>
      <w:r>
        <w:t>（5）每座电缆井设接地装置，接地电阻不应大于10Ω。</w:t>
      </w:r>
    </w:p>
    <w:p w14:paraId="06760D07">
      <w:pPr>
        <w:pStyle w:val="54"/>
        <w:spacing w:before="24" w:after="24"/>
      </w:pPr>
      <w:r>
        <w:t>10.8.2 电缆管群设计</w:t>
      </w:r>
    </w:p>
    <w:p w14:paraId="79DE70F6">
      <w:pPr>
        <w:pStyle w:val="54"/>
        <w:spacing w:before="24" w:after="24"/>
      </w:pPr>
      <w:r>
        <w:t>（1）设计为了尽量减少10kV线路损耗及压降，单回10kV线路输送功率取5000--6000kW。</w:t>
      </w:r>
    </w:p>
    <w:p w14:paraId="65A08464">
      <w:pPr>
        <w:pStyle w:val="54"/>
        <w:spacing w:before="24" w:after="24"/>
      </w:pPr>
      <w:r>
        <w:t>（2）C-PVC管材壁厚不小于8mm。为避免管道埋设过深与其他管线过多冲突，以及利于防盗，所有预埋电力管道采用全线C20砼包封。</w:t>
      </w:r>
    </w:p>
    <w:p w14:paraId="5A03CBAA">
      <w:pPr>
        <w:pStyle w:val="54"/>
        <w:spacing w:before="24" w:after="24"/>
      </w:pPr>
      <w:r>
        <w:t>（3）设计在每个交叉口预埋4根Φ160/C－PVC 管过街横管，相邻的两个交叉口间每隔200米左右预埋 4 根Φ160/C－PVC 管过街横管。</w:t>
      </w:r>
    </w:p>
    <w:p w14:paraId="5EA922B4">
      <w:pPr>
        <w:pStyle w:val="54"/>
        <w:spacing w:before="24" w:after="24"/>
      </w:pPr>
      <w:r>
        <w:t>（4）电缆管道在直线段每隔 60－70 米设中（小）型直通型检查井，在转弯半径较小的路段直通型电缆井间距减小为 30－45 米。</w:t>
      </w:r>
    </w:p>
    <w:p w14:paraId="19A54D74">
      <w:pPr>
        <w:pStyle w:val="54"/>
        <w:spacing w:before="24" w:after="24"/>
      </w:pPr>
      <w:r>
        <w:t>10.8.3 通信管道设计原则</w:t>
      </w:r>
    </w:p>
    <w:p w14:paraId="75990A7E">
      <w:pPr>
        <w:pStyle w:val="54"/>
        <w:spacing w:before="24" w:after="24"/>
      </w:pPr>
      <w:r>
        <w:t>（1）按照集约建设、共建共享、节约城市资源的原则，新增通信基础设施宜共址规划建设。</w:t>
      </w:r>
    </w:p>
    <w:p w14:paraId="0B347C30">
      <w:pPr>
        <w:pStyle w:val="54"/>
        <w:spacing w:before="24" w:after="24"/>
      </w:pPr>
      <w:r>
        <w:t>（2）通信基础设施应和城镇开发同步规划同步建设，避让生态保护红线和永久基本农田，严格控制占用生态和农业空间，应和电力、交通、智慧城市等其他基础设施统筹规划，统一建设。</w:t>
      </w:r>
    </w:p>
    <w:p w14:paraId="778CED04">
      <w:pPr>
        <w:pStyle w:val="54"/>
        <w:spacing w:before="24" w:after="24"/>
      </w:pPr>
      <w:r>
        <w:t>（3）通信管道优先选择人行道，其次道路绿化带、中央分隔带，最后为路肩、慢车道、边坡或路侧隔离带，禁止布置于快车道内，其中心线应平行于道路中心线或建筑红线。</w:t>
      </w:r>
    </w:p>
    <w:p w14:paraId="746D9967">
      <w:pPr>
        <w:pStyle w:val="54"/>
        <w:spacing w:before="24" w:after="24"/>
      </w:pPr>
      <w:r>
        <w:t>（4）通信局所局前管道方向及路由数应根据局房用户覆盖范围、用户分布情况、路网组织架构等综合确定。通信机房局前管道出局宜两个方向，双路由；中心机楼局前管道出局宜三个及以上方向，多路由。</w:t>
      </w:r>
    </w:p>
    <w:p w14:paraId="2BA2F470">
      <w:pPr>
        <w:pStyle w:val="54"/>
        <w:spacing w:before="24" w:after="24"/>
      </w:pPr>
      <w:r>
        <w:t>10.8.4 通信管道设计</w:t>
      </w:r>
    </w:p>
    <w:p w14:paraId="25883572">
      <w:pPr>
        <w:pStyle w:val="54"/>
        <w:spacing w:before="24" w:after="24"/>
      </w:pPr>
      <w:r>
        <w:t>（1）随着通信技术的发展和业务需求的提高，光缆节点越来越接近于终端用户，以便为用户提供多种业务的综合接入能力。本次设计通信管道采用HDPE-7*φ32蜂窝管群敷设。</w:t>
      </w:r>
    </w:p>
    <w:p w14:paraId="75771833">
      <w:pPr>
        <w:pStyle w:val="54"/>
        <w:spacing w:before="24" w:after="24"/>
      </w:pPr>
      <w:r>
        <w:t>（2）主干管道网络结构按环型考虑，管道的建设考虑为光（电）缆提供多个路由，有利于传输网络的组织，同时管道容量一次到位，保证通信网络的稳定性，有利于通信业务的发展。</w:t>
      </w:r>
    </w:p>
    <w:p w14:paraId="74E848CC">
      <w:pPr>
        <w:pStyle w:val="54"/>
        <w:spacing w:before="24" w:after="24"/>
      </w:pPr>
      <w:r>
        <w:t>（3）13 米及以上道路通信管道采用12xHDPE-7*φ32 蜂窝管群，10 米及以下道路通信管道采用 8xHDPE-7*φ32 蜂窝管群。</w:t>
      </w:r>
    </w:p>
    <w:p w14:paraId="0E3DA616">
      <w:pPr>
        <w:pStyle w:val="54"/>
        <w:spacing w:before="24" w:after="24"/>
      </w:pPr>
      <w:r>
        <w:t>（4）弱电管道设计与道路设计同坡，采用斜行坡方式。为避免管道埋设过深与其他管线过多冲突，所有通信管道采用全线C20砼包封。</w:t>
      </w:r>
    </w:p>
    <w:p w14:paraId="6E1943BA">
      <w:pPr>
        <w:pStyle w:val="54"/>
        <w:spacing w:before="24" w:after="24"/>
      </w:pPr>
      <w:r>
        <w:t>（5）电缆管道在直线段每隔50－60米设小型直通型检查井（人弯半径较小的路段直通型电缆井间距减小为20－30米。两个交叉口间每隔 200米预埋过街横管（支管），管道数量为 6 根蜂窝管群。</w:t>
      </w:r>
    </w:p>
    <w:p w14:paraId="5A481714">
      <w:pPr>
        <w:pStyle w:val="54"/>
        <w:spacing w:before="24" w:after="24"/>
      </w:pPr>
      <w:r>
        <w:t>（6）通信管道在人行道埋下设深度不小于 0.7m，车行道下不小于 1.0m。</w:t>
      </w:r>
    </w:p>
    <w:p w14:paraId="1AAA324F">
      <w:pPr>
        <w:pStyle w:val="66"/>
        <w:rPr>
          <w:rFonts w:cs="Times New Roman"/>
        </w:rPr>
      </w:pPr>
      <w:r>
        <w:rPr>
          <w:rFonts w:cs="Times New Roman"/>
        </w:rPr>
        <w:t>10.9给排水工程</w:t>
      </w:r>
    </w:p>
    <w:p w14:paraId="0E58C496">
      <w:pPr>
        <w:pStyle w:val="54"/>
        <w:spacing w:before="24" w:after="24"/>
      </w:pPr>
      <w:r>
        <w:t>10.9.1市政给水管道工程</w:t>
      </w:r>
    </w:p>
    <w:p w14:paraId="7E7A77B2">
      <w:pPr>
        <w:pStyle w:val="54"/>
        <w:spacing w:before="24" w:after="24"/>
      </w:pPr>
      <w:r>
        <w:t>1.市政给水管道工程规划技术要求</w:t>
      </w:r>
    </w:p>
    <w:p w14:paraId="3B4ED343">
      <w:pPr>
        <w:pStyle w:val="54"/>
        <w:spacing w:before="24" w:after="24"/>
      </w:pPr>
      <w:r>
        <w:t>（1）市政给水管道宜沿现有或规划道路铺设，并应缩短线路长度，减少跨越障碍次数。</w:t>
      </w:r>
    </w:p>
    <w:p w14:paraId="5A0B84E2">
      <w:pPr>
        <w:pStyle w:val="54"/>
        <w:spacing w:before="24" w:after="24"/>
      </w:pPr>
      <w:r>
        <w:t>（2）城市配水干管应根据给水规模并结合城市规划布局确定，其走向应沿现有或规划道路布置，并宜避开城市交通主干道。</w:t>
      </w:r>
    </w:p>
    <w:p w14:paraId="06F5C040">
      <w:pPr>
        <w:pStyle w:val="54"/>
        <w:spacing w:before="24" w:after="24"/>
      </w:pPr>
      <w:r>
        <w:t>（3）输水管和配水干管穿越铁路、高速公路、河流、山体时，应选择安全且经济合理的线路。</w:t>
      </w:r>
    </w:p>
    <w:p w14:paraId="1CDD0B2E">
      <w:pPr>
        <w:pStyle w:val="54"/>
        <w:spacing w:before="24" w:after="24"/>
      </w:pPr>
      <w:r>
        <w:t>（4）生活用水的给水系统供水水质必须符合现行国家标准《生活饮用水卫生标准》CB5749的有关规定。</w:t>
      </w:r>
    </w:p>
    <w:p w14:paraId="67029277">
      <w:pPr>
        <w:pStyle w:val="54"/>
        <w:spacing w:before="24" w:after="24"/>
      </w:pPr>
      <w:r>
        <w:t>（5）充分利用地形高差实行重力输配水。</w:t>
      </w:r>
    </w:p>
    <w:p w14:paraId="68B9C641">
      <w:pPr>
        <w:pStyle w:val="54"/>
        <w:spacing w:before="24" w:after="24"/>
      </w:pPr>
      <w:r>
        <w:t>（6）配水管网宜设置成环状，以提高供水的可靠性和安全性。当允许间断供水时，可采用枝状布置，但应考虑将来连成环状管网的可能。</w:t>
      </w:r>
    </w:p>
    <w:p w14:paraId="39F7A273">
      <w:pPr>
        <w:pStyle w:val="54"/>
        <w:spacing w:before="24" w:after="24"/>
      </w:pPr>
      <w:r>
        <w:t>（7）在规划道路和城市公共绿地范围内的室外水表须按地下式设置。</w:t>
      </w:r>
    </w:p>
    <w:p w14:paraId="6C1FF2C3">
      <w:pPr>
        <w:pStyle w:val="54"/>
        <w:spacing w:before="24" w:after="24"/>
      </w:pPr>
      <w:r>
        <w:t>（8）在规划道路下新建、改建的给水管线应预留支管并延伸至道路红线外0.5米，预留支管位置按现状实际或规划确定。</w:t>
      </w:r>
    </w:p>
    <w:p w14:paraId="20B10CA4">
      <w:pPr>
        <w:pStyle w:val="54"/>
        <w:spacing w:before="24" w:after="24"/>
      </w:pPr>
      <w:r>
        <w:t>（9）规划红线宽度≥40米的规划道路，宜双侧布置给水配水管道。</w:t>
      </w:r>
    </w:p>
    <w:p w14:paraId="433EB556">
      <w:pPr>
        <w:pStyle w:val="54"/>
        <w:spacing w:before="24" w:after="24"/>
      </w:pPr>
      <w:r>
        <w:t>（10）单侧布置给水管道时，给水管应设置在道路的西侧或北侧。</w:t>
      </w:r>
    </w:p>
    <w:p w14:paraId="57BF8233">
      <w:pPr>
        <w:pStyle w:val="54"/>
        <w:spacing w:before="24" w:after="24"/>
      </w:pPr>
      <w:r>
        <w:t>（11）规划道路上的管线应当在道路红线内敷设，且尽可能安排在绿化带、人行道和非机动车道下，尽量避免安排在机动车道下。</w:t>
      </w:r>
    </w:p>
    <w:p w14:paraId="68F2D630">
      <w:pPr>
        <w:pStyle w:val="54"/>
        <w:spacing w:before="24" w:after="24"/>
      </w:pPr>
      <w:r>
        <w:t>（12）建设用地内部的管线不得进入规划道路红线内，且距离道路红线应当不小于1.5米。</w:t>
      </w:r>
    </w:p>
    <w:p w14:paraId="470FCC59">
      <w:pPr>
        <w:pStyle w:val="54"/>
        <w:spacing w:before="24" w:after="24"/>
      </w:pPr>
      <w:r>
        <w:t>2.市政给水管道工程设计技术要求</w:t>
      </w:r>
    </w:p>
    <w:p w14:paraId="441F552A">
      <w:pPr>
        <w:pStyle w:val="54"/>
        <w:spacing w:before="24" w:after="24"/>
      </w:pPr>
      <w:r>
        <w:t>（1）城市配水管网的供水水压宜满足用户接管点处服务水头28m的要求，其中局部服务水头要求较高的区域可采取自行加压措施解决。不同建筑层数的最小服务水头，一层为10m，二层为12m，二层以上每增高一层增加4m。</w:t>
      </w:r>
    </w:p>
    <w:p w14:paraId="0112F624">
      <w:pPr>
        <w:pStyle w:val="54"/>
        <w:spacing w:before="24" w:after="24"/>
      </w:pPr>
      <w:r>
        <w:t>（2）城镇公共供水管网严禁与非生活饮用水管网连接，严禁擅自与自建供水设施连接。</w:t>
      </w:r>
    </w:p>
    <w:p w14:paraId="4F797A4D">
      <w:pPr>
        <w:pStyle w:val="54"/>
        <w:spacing w:before="24" w:after="24"/>
      </w:pPr>
      <w:r>
        <w:t>（3）配水管网应按最高日最高时供水量及设计水压进行水力计算，并应按下列3种设计工况校核：</w:t>
      </w:r>
    </w:p>
    <w:p w14:paraId="0255B0CC">
      <w:pPr>
        <w:pStyle w:val="54"/>
        <w:spacing w:before="24" w:after="24"/>
      </w:pPr>
      <w:r>
        <w:t>1）消防时的流量和水压要求；</w:t>
      </w:r>
    </w:p>
    <w:p w14:paraId="2C6C325D">
      <w:pPr>
        <w:pStyle w:val="54"/>
        <w:spacing w:before="24" w:after="24"/>
      </w:pPr>
      <w:r>
        <w:t>2）最大转输时的流量和水压要求；</w:t>
      </w:r>
    </w:p>
    <w:p w14:paraId="4DD4F2BA">
      <w:pPr>
        <w:pStyle w:val="54"/>
        <w:spacing w:before="24" w:after="24"/>
      </w:pPr>
      <w:r>
        <w:t>3）最不利管段发生故障时的事故用水量和水压要求。</w:t>
      </w:r>
    </w:p>
    <w:p w14:paraId="7D70AB59">
      <w:pPr>
        <w:pStyle w:val="54"/>
        <w:spacing w:before="24" w:after="24"/>
      </w:pPr>
      <w:r>
        <w:t>（4）给水管道与污水管道或输送有毒液体管道交叉时，给水管道应敷设在上面，且不应有接口重叠；当给水管道敷设在下面时，应采用钢管或钢套管，钢套管伸出交叉管的长度，每端不得小于3m，钢套管的两端应采用防水材料封闭。</w:t>
      </w:r>
    </w:p>
    <w:p w14:paraId="666A771B">
      <w:pPr>
        <w:pStyle w:val="54"/>
        <w:spacing w:before="24" w:after="24"/>
      </w:pPr>
      <w:r>
        <w:t>（5）输水管（渠）道的始点、终点、分叉处以及穿越河道、铁路、公路段，应根据工程的具体情况和有关部门的规定设置阀（闸）门。输水管道尚应按事故检修的需要设置阀门。配水管网上两个阀门之间独立管段内消火栓的数量不宜超过5个。</w:t>
      </w:r>
    </w:p>
    <w:p w14:paraId="1D6837BA">
      <w:pPr>
        <w:pStyle w:val="54"/>
        <w:spacing w:before="24" w:after="24"/>
      </w:pPr>
      <w:r>
        <w:t>（6）消火栓、空气阀和阀门井等设备及设施应有防止水质二次污染的措施，严寒和寒冷地区应采取防冻措施。</w:t>
      </w:r>
    </w:p>
    <w:p w14:paraId="422EAA25">
      <w:pPr>
        <w:pStyle w:val="54"/>
        <w:spacing w:before="24" w:after="24"/>
      </w:pPr>
      <w:r>
        <w:t>（7）管道沿线应设置管道标志，城区外的地下管道应在地面上设置标志桩，城区内管道应在顶部上方300mm处设警示带。</w:t>
      </w:r>
    </w:p>
    <w:p w14:paraId="13422389">
      <w:pPr>
        <w:pStyle w:val="54"/>
        <w:spacing w:before="24" w:after="24"/>
      </w:pPr>
      <w:r>
        <w:t>（8）市政消火栓宜在道路的一侧设置，并宜靠近十字路口，但当市政道路宽度超过60m时，应在道路的两侧交叉错落设置市政消火栓。</w:t>
      </w:r>
    </w:p>
    <w:p w14:paraId="6B5A0D4B">
      <w:pPr>
        <w:pStyle w:val="54"/>
        <w:spacing w:before="24" w:after="24"/>
      </w:pPr>
      <w:r>
        <w:t>（9）市政桥桥头和城市交通隧道出入口等市政公用设施处，应设置市政消火栓。</w:t>
      </w:r>
    </w:p>
    <w:p w14:paraId="78BCDDDE">
      <w:pPr>
        <w:pStyle w:val="54"/>
        <w:spacing w:before="24" w:after="24"/>
      </w:pPr>
      <w:r>
        <w:t>（10）市政消火栓的保护半径不应超过150m，间距不应大于120m。连接市政消火栓的市政给水管管径不宜小于DN150。</w:t>
      </w:r>
    </w:p>
    <w:p w14:paraId="009895F2">
      <w:pPr>
        <w:pStyle w:val="54"/>
        <w:spacing w:before="24" w:after="24"/>
      </w:pPr>
      <w:r>
        <w:t>（11）市政消火栓应布置在消防车易于接近的人行道和绿地等地点，且不应妨碍交通，并应符合下列规定：</w:t>
      </w:r>
    </w:p>
    <w:p w14:paraId="78BD27F9">
      <w:pPr>
        <w:pStyle w:val="54"/>
        <w:spacing w:before="24" w:after="24"/>
      </w:pPr>
      <w:r>
        <w:t>1）市政消火栓距路边不宜小于0.5m，并不应大于2.0m；</w:t>
      </w:r>
    </w:p>
    <w:p w14:paraId="0BB36B1B">
      <w:pPr>
        <w:pStyle w:val="54"/>
        <w:spacing w:before="24" w:after="24"/>
      </w:pPr>
      <w:r>
        <w:t>2）市政消火栓距建筑外墙或外墙边缘不宜小于5.0m；</w:t>
      </w:r>
    </w:p>
    <w:p w14:paraId="7D209C2F">
      <w:pPr>
        <w:pStyle w:val="54"/>
        <w:spacing w:before="24" w:after="24"/>
      </w:pPr>
      <w:r>
        <w:t>3）市政消火栓应避免设置在机械易撞击的地点，确有困难时，应采取防撞措施。</w:t>
      </w:r>
    </w:p>
    <w:p w14:paraId="6714ABCF">
      <w:pPr>
        <w:pStyle w:val="54"/>
        <w:spacing w:before="24" w:after="24"/>
      </w:pPr>
      <w:r>
        <w:t>（12）当市政给水管网设有市政消火栓时，其平时运行工作压力不应小于0.14MPa，火灾时水力最不利市政消火栓的出流量不应小于15L/s。且供水压力从地面算起不应小于0.10MPa。</w:t>
      </w:r>
    </w:p>
    <w:p w14:paraId="1F102467">
      <w:pPr>
        <w:pStyle w:val="54"/>
        <w:spacing w:before="24" w:after="24"/>
      </w:pPr>
      <w:r>
        <w:t>（13）压力管道竣工验收前应进行水压试验。生活饮用水管道运行前应冲洗、消毒。</w:t>
      </w:r>
    </w:p>
    <w:p w14:paraId="49515517">
      <w:pPr>
        <w:pStyle w:val="54"/>
        <w:spacing w:before="24" w:after="24"/>
      </w:pPr>
      <w:r>
        <w:t>（14）生活饮用水的清水池排空、溢流等管道严禁直接与下水道连通。生活饮用水的清水池四周应排水畅通，严禁污水倒灌和渗漏。</w:t>
      </w:r>
    </w:p>
    <w:p w14:paraId="503A2CBF">
      <w:pPr>
        <w:pStyle w:val="54"/>
        <w:spacing w:before="24" w:after="24"/>
      </w:pPr>
      <w:r>
        <w:t>（15）清水池等调蓄构筑物周围10m以内不得有化粪池、污水处理构筑物、渗水井、垃圾堆放场等污染源；周围2m以内不得有污水管道和污染物。当达不到上述要求时，应采取防止污染的措施。</w:t>
      </w:r>
    </w:p>
    <w:p w14:paraId="62D3699C">
      <w:pPr>
        <w:pStyle w:val="54"/>
        <w:spacing w:before="24" w:after="24"/>
      </w:pPr>
      <w:r>
        <w:t>（16）市政给水管采用K9级球墨铸铁管，T型滑入式或法兰连接。</w:t>
      </w:r>
    </w:p>
    <w:p w14:paraId="638777C9">
      <w:pPr>
        <w:pStyle w:val="54"/>
        <w:spacing w:before="24" w:after="24"/>
      </w:pPr>
      <w:r>
        <w:t>10.9.2市政排水管道工程</w:t>
      </w:r>
    </w:p>
    <w:p w14:paraId="5F0B4C5C">
      <w:pPr>
        <w:pStyle w:val="54"/>
        <w:spacing w:before="24" w:after="24"/>
      </w:pPr>
      <w:r>
        <w:t>1.市政排水管道工程规划技术要求</w:t>
      </w:r>
    </w:p>
    <w:p w14:paraId="4F7D464E">
      <w:pPr>
        <w:pStyle w:val="54"/>
        <w:spacing w:before="24" w:after="24"/>
      </w:pPr>
      <w:r>
        <w:t>（1）新建排水系统应采用分流制。</w:t>
      </w:r>
    </w:p>
    <w:p w14:paraId="13FEF2DC">
      <w:pPr>
        <w:pStyle w:val="54"/>
        <w:spacing w:before="24" w:after="24"/>
      </w:pPr>
      <w:r>
        <w:t>（2）在规划道路下新建、改建的排水管线应预留支管并延伸至道路红线外0.5米，预留支管位置按现状实际或规划确定。</w:t>
      </w:r>
    </w:p>
    <w:p w14:paraId="36B79134">
      <w:pPr>
        <w:pStyle w:val="54"/>
        <w:spacing w:before="24" w:after="24"/>
      </w:pPr>
      <w:r>
        <w:t>（3）规划红线宽度≥40米的规划道路，宜双侧布置排水管道。</w:t>
      </w:r>
    </w:p>
    <w:p w14:paraId="3B4A42F8">
      <w:pPr>
        <w:pStyle w:val="54"/>
        <w:spacing w:before="24" w:after="24"/>
      </w:pPr>
      <w:r>
        <w:t>（4）规划道路上的管线应当在道路红线内敷设，且尽可能安排在绿化带、人行道和非机动车道下，尽量避免安排在机动车道下。</w:t>
      </w:r>
    </w:p>
    <w:p w14:paraId="2AF7FE16">
      <w:pPr>
        <w:pStyle w:val="54"/>
        <w:spacing w:before="24" w:after="24"/>
      </w:pPr>
      <w:r>
        <w:t>（5）建设用地内部的管线不得进入规划道路红线内，且距离道路红线应当不小于1.5米。</w:t>
      </w:r>
    </w:p>
    <w:p w14:paraId="06DB4B3E">
      <w:pPr>
        <w:pStyle w:val="54"/>
        <w:spacing w:before="24" w:after="24"/>
      </w:pPr>
      <w:r>
        <w:t>（6）受有害物质污染场地的雨水径流应单独收集处理，并应达到国家现行相关标准后方可排入排水管渠。</w:t>
      </w:r>
    </w:p>
    <w:p w14:paraId="25E2344F">
      <w:pPr>
        <w:pStyle w:val="54"/>
        <w:spacing w:before="24" w:after="24"/>
      </w:pPr>
      <w:r>
        <w:t>（7）排入城镇污水管网的污水水质必须符合国家现行标准的规定，不应影响城镇排水管渠和污水厂等的正常运行；不应对养护管理人员造成危害；不应影响处理后出水的再生利用和安全排放；不应影响污泥的处理和处置。</w:t>
      </w:r>
    </w:p>
    <w:p w14:paraId="71FD89AC">
      <w:pPr>
        <w:pStyle w:val="54"/>
        <w:spacing w:before="24" w:after="24"/>
      </w:pPr>
      <w:r>
        <w:t>（8）排水工程设计应妥善处理污水与再生水处理及污泥处理过程中产生的固体废弃物，应防止对环境的二次污染。</w:t>
      </w:r>
    </w:p>
    <w:p w14:paraId="2697768F">
      <w:pPr>
        <w:pStyle w:val="54"/>
        <w:spacing w:before="24" w:after="24"/>
      </w:pPr>
      <w:r>
        <w:t>2.市政排水管道工程设计技术要求</w:t>
      </w:r>
    </w:p>
    <w:p w14:paraId="1BAC1528">
      <w:pPr>
        <w:pStyle w:val="54"/>
        <w:spacing w:before="24" w:after="24"/>
      </w:pPr>
      <w:r>
        <w:t>（1）排水管渠和附属构筑物</w:t>
      </w:r>
    </w:p>
    <w:p w14:paraId="33B464C4">
      <w:pPr>
        <w:pStyle w:val="54"/>
        <w:spacing w:before="24" w:after="24"/>
      </w:pPr>
      <w:r>
        <w:rPr>
          <w:rFonts w:ascii="Cambria Math" w:hAnsi="Cambria Math" w:cs="Cambria Math"/>
        </w:rPr>
        <w:t>①</w:t>
      </w:r>
      <w:r>
        <w:t>管渠平面位置和高程应根据地形、土质、地下水位、道路情况、原有的和规划的地下设施、施工条件及养护管理方便等因素综合考虑确定，并应与源头减排设施和排涝除险设施的平面和竖向设计相协调，且应符合下列规定：</w:t>
      </w:r>
    </w:p>
    <w:p w14:paraId="2A8A86C0">
      <w:pPr>
        <w:pStyle w:val="54"/>
        <w:spacing w:before="24" w:after="24"/>
      </w:pPr>
      <w:r>
        <w:t>a.排水干管应布置在排水区域内地势较低或便于雨污水汇集的地带；</w:t>
      </w:r>
    </w:p>
    <w:p w14:paraId="1F603B89">
      <w:pPr>
        <w:pStyle w:val="54"/>
        <w:spacing w:before="24" w:after="24"/>
      </w:pPr>
      <w:r>
        <w:t>b.排水管宜沿城镇道路敷设，并与道路中心线平行，宜设在快车道以外；</w:t>
      </w:r>
    </w:p>
    <w:p w14:paraId="49D8AAB2">
      <w:pPr>
        <w:pStyle w:val="54"/>
        <w:spacing w:before="24" w:after="24"/>
      </w:pPr>
      <w:r>
        <w:t>c.管渠高程设计除应考虑地形坡度外，尚应考虑与其他地下设施的关系及接户管的连接方便。</w:t>
      </w:r>
    </w:p>
    <w:p w14:paraId="181943C9">
      <w:pPr>
        <w:pStyle w:val="54"/>
        <w:spacing w:before="24" w:after="24"/>
      </w:pPr>
      <w:r>
        <w:rPr>
          <w:rFonts w:ascii="Cambria Math" w:hAnsi="Cambria Math" w:cs="Cambria Math"/>
        </w:rPr>
        <w:t>②</w:t>
      </w:r>
      <w:r>
        <w:t>污水和合流污水收集输送时，不应采用明渠。</w:t>
      </w:r>
    </w:p>
    <w:p w14:paraId="1C4A36AF">
      <w:pPr>
        <w:pStyle w:val="54"/>
        <w:spacing w:before="24" w:after="24"/>
      </w:pPr>
      <w:r>
        <w:rPr>
          <w:rFonts w:ascii="Cambria Math" w:hAnsi="Cambria Math" w:cs="Cambria Math"/>
        </w:rPr>
        <w:t>③</w:t>
      </w:r>
      <w:r>
        <w:t>排水管渠系统的设计应以重力流为主，不设或少设提升泵站。当无法采用重力流或重力流不经济时，可采用压力流。</w:t>
      </w:r>
    </w:p>
    <w:p w14:paraId="6620A80C">
      <w:pPr>
        <w:pStyle w:val="54"/>
        <w:spacing w:before="24" w:after="24"/>
      </w:pPr>
      <w:r>
        <w:rPr>
          <w:rFonts w:ascii="Cambria Math" w:hAnsi="Cambria Math" w:cs="Cambria Math"/>
        </w:rPr>
        <w:t>④</w:t>
      </w:r>
      <w:r>
        <w:t>污水管道及湿陷土、膨胀土、流沙地区的雨水管道和附属构筑物应保证其严密性，并应进行严密性试验。</w:t>
      </w:r>
    </w:p>
    <w:p w14:paraId="0DDBB159">
      <w:pPr>
        <w:pStyle w:val="54"/>
        <w:spacing w:before="24" w:after="24"/>
      </w:pPr>
      <w:r>
        <w:rPr>
          <w:rFonts w:ascii="Cambria Math" w:hAnsi="Cambria Math" w:cs="Cambria Math"/>
        </w:rPr>
        <w:t>⑤</w:t>
      </w:r>
      <w:r>
        <w:t>当排水管渠出水口受水体水位顶托时，应根据地区重要性和积水所造成的后果，设置防潮门、闸门或泵站等设施。</w:t>
      </w:r>
    </w:p>
    <w:p w14:paraId="402F66C5">
      <w:pPr>
        <w:pStyle w:val="54"/>
        <w:spacing w:before="24" w:after="24"/>
      </w:pPr>
      <w:r>
        <w:rPr>
          <w:rFonts w:ascii="Cambria Math" w:hAnsi="Cambria Math" w:cs="Cambria Math"/>
        </w:rPr>
        <w:t>⑥</w:t>
      </w:r>
      <w:r>
        <w:t>污水管道最小管径300mm，雨水管道最小管径400mm。</w:t>
      </w:r>
    </w:p>
    <w:p w14:paraId="75865952">
      <w:pPr>
        <w:pStyle w:val="54"/>
        <w:spacing w:before="24" w:after="24"/>
      </w:pPr>
      <w:r>
        <w:rPr>
          <w:rFonts w:ascii="Cambria Math" w:hAnsi="Cambria Math" w:cs="Cambria Math"/>
        </w:rPr>
        <w:t>⑦</w:t>
      </w:r>
      <w:r>
        <w:t>管道转弯和交接处，其水流转角不应小于90°。</w:t>
      </w:r>
    </w:p>
    <w:p w14:paraId="3E1DA31D">
      <w:pPr>
        <w:pStyle w:val="54"/>
        <w:spacing w:before="24" w:after="24"/>
      </w:pPr>
      <w:r>
        <w:rPr>
          <w:rFonts w:ascii="Cambria Math" w:hAnsi="Cambria Math" w:cs="Cambria Math"/>
        </w:rPr>
        <w:t>⑧</w:t>
      </w:r>
      <w:r>
        <w:t>当管道穿过粉砂、细砂层并在最高地下水位以下，或在地震设防烈度为7度及以上设防区时，应采用柔性接口。</w:t>
      </w:r>
    </w:p>
    <w:p w14:paraId="120760FC">
      <w:pPr>
        <w:pStyle w:val="54"/>
        <w:spacing w:before="24" w:after="24"/>
      </w:pPr>
      <w:r>
        <w:rPr>
          <w:rFonts w:ascii="Cambria Math" w:hAnsi="Cambria Math" w:cs="Cambria Math"/>
        </w:rPr>
        <w:t>⑨</w:t>
      </w:r>
      <w:r>
        <w:t>管顶最小覆土深度：人行道下不小于0.6m，车行道下不小于0.7m；最小覆土深度不满足规定时应采用结构加强管材或采用结构加强措施。</w:t>
      </w:r>
    </w:p>
    <w:p w14:paraId="40206808">
      <w:pPr>
        <w:pStyle w:val="54"/>
        <w:spacing w:before="24" w:after="24"/>
      </w:pPr>
      <w:r>
        <w:rPr>
          <w:rFonts w:ascii="Cambria Math" w:hAnsi="Cambria Math" w:cs="Cambria Math"/>
        </w:rPr>
        <w:t>⑩</w:t>
      </w:r>
      <w:r>
        <w:t>道路红线宽度超过40m的城镇干道宜在道路两侧布置排水管道。</w:t>
      </w:r>
    </w:p>
    <w:p w14:paraId="3643D57F">
      <w:pPr>
        <w:pStyle w:val="54"/>
        <w:spacing w:before="24" w:after="24"/>
      </w:pPr>
      <w:r>
        <w:rPr>
          <w:rFonts w:ascii="Cambria Math" w:hAnsi="Cambria Math" w:cs="Cambria Math"/>
        </w:rPr>
        <w:t>⑪</w:t>
      </w:r>
      <w:r>
        <w:t>检查井的位置应设在管道交汇处、转弯处、管径或坡度改变处、跌水处及直线管段上每隔一定距离处。</w:t>
      </w:r>
    </w:p>
    <w:p w14:paraId="636233C3">
      <w:pPr>
        <w:pStyle w:val="54"/>
        <w:spacing w:before="24" w:after="24"/>
      </w:pPr>
      <w:r>
        <w:rPr>
          <w:rFonts w:ascii="Cambria Math" w:hAnsi="Cambria Math" w:cs="Cambria Math"/>
        </w:rPr>
        <w:t>⑫</w:t>
      </w:r>
      <w:r>
        <w:t>污水管道和雨水管道的检查井井盖应有标识。</w:t>
      </w:r>
    </w:p>
    <w:p w14:paraId="4968BCBF">
      <w:pPr>
        <w:pStyle w:val="54"/>
        <w:spacing w:before="24" w:after="24"/>
      </w:pPr>
      <w:r>
        <w:rPr>
          <w:rFonts w:ascii="Cambria Math" w:hAnsi="Cambria Math" w:cs="Cambria Math"/>
        </w:rPr>
        <w:t>⑬</w:t>
      </w:r>
      <w:r>
        <w:t>检查井不得使用砖砌检查井。</w:t>
      </w:r>
    </w:p>
    <w:p w14:paraId="521DBD5C">
      <w:pPr>
        <w:pStyle w:val="54"/>
        <w:spacing w:before="24" w:after="24"/>
      </w:pPr>
      <w:r>
        <w:rPr>
          <w:rFonts w:ascii="Cambria Math" w:hAnsi="Cambria Math" w:cs="Cambria Math"/>
        </w:rPr>
        <w:t>⑭</w:t>
      </w:r>
      <w:r>
        <w:t>检查井井底应设流槽。污水检查井流槽顶可与大管管径的85％处相平，雨水（合流）检查井流槽顶可与大管管径的50％处相平。流槽顶部宽度宜满足检修要求。</w:t>
      </w:r>
    </w:p>
    <w:p w14:paraId="59F64152">
      <w:pPr>
        <w:pStyle w:val="54"/>
        <w:spacing w:before="24" w:after="24"/>
      </w:pPr>
      <w:r>
        <w:rPr>
          <w:rFonts w:ascii="Cambria Math" w:hAnsi="Cambria Math" w:cs="Cambria Math"/>
        </w:rPr>
        <w:t>⑮</w:t>
      </w:r>
      <w:r>
        <w:t>检查井应采用具有足够承载力和稳定性良好的井盖与井座。用于非机动车道、人行道、绿化带等部位的检查井盖承载能力≥B125级，用于机动车道及道路交叉口处等部位的检查井盖承载能力≥D400级。</w:t>
      </w:r>
    </w:p>
    <w:p w14:paraId="5734CAE4">
      <w:pPr>
        <w:pStyle w:val="54"/>
        <w:spacing w:before="24" w:after="24"/>
      </w:pPr>
      <w:r>
        <w:rPr>
          <w:rFonts w:ascii="Cambria Math" w:hAnsi="Cambria Math" w:cs="Cambria Math"/>
        </w:rPr>
        <w:t>⑯</w:t>
      </w:r>
      <w:r>
        <w:t>检查井应采用具有防盗功能的井盖。位于路面上的井盖，宜与路面持平；位于绿化带内井盖，不应低于地面。</w:t>
      </w:r>
    </w:p>
    <w:p w14:paraId="1F588072">
      <w:pPr>
        <w:pStyle w:val="54"/>
        <w:spacing w:before="24" w:after="24"/>
      </w:pPr>
      <w:r>
        <w:rPr>
          <w:rFonts w:ascii="Cambria Math" w:hAnsi="Cambria Math" w:cs="Cambria Math"/>
        </w:rPr>
        <w:t>⑰</w:t>
      </w:r>
      <w:r>
        <w:t>检查井应安装防坠落装置。</w:t>
      </w:r>
    </w:p>
    <w:p w14:paraId="2144534F">
      <w:pPr>
        <w:pStyle w:val="54"/>
        <w:spacing w:before="24" w:after="24"/>
      </w:pPr>
      <w:r>
        <w:rPr>
          <w:rFonts w:ascii="Cambria Math" w:hAnsi="Cambria Math" w:cs="Cambria Math"/>
        </w:rPr>
        <w:t>⑱</w:t>
      </w:r>
      <w:r>
        <w:t>接入检查井的支管（接户管或连接管）管径大于300mm时，支管数不宜超过3条。</w:t>
      </w:r>
    </w:p>
    <w:p w14:paraId="553CB286">
      <w:pPr>
        <w:pStyle w:val="54"/>
        <w:spacing w:before="24" w:after="24"/>
      </w:pPr>
      <w:r>
        <w:rPr>
          <w:rFonts w:ascii="Cambria Math" w:hAnsi="Cambria Math" w:cs="Cambria Math"/>
        </w:rPr>
        <w:t>⑲</w:t>
      </w:r>
      <w:r>
        <w:t>在排水管道每隔适当距离的检查井内、泵站前一检查井内和每一个街坊接户井内，宜设置沉泥槽并考虑沉积淤泥的处理处置。沉泥槽深度宜为0.5m～0.7m。设沉泥槽的检查井内可不做流槽。</w:t>
      </w:r>
    </w:p>
    <w:p w14:paraId="14999AB2">
      <w:pPr>
        <w:pStyle w:val="54"/>
        <w:spacing w:before="24" w:after="24"/>
      </w:pPr>
      <w:r>
        <w:rPr>
          <w:rFonts w:ascii="Cambria Math" w:hAnsi="Cambria Math" w:cs="Cambria Math"/>
        </w:rPr>
        <w:t>⑳</w:t>
      </w:r>
      <w:r>
        <w:t>管道跌水水头为1.0m～2.0m时，宜设跌水井；跌水水头大于2.0m时，应设跌水井。管道转弯处不宜设跌水井。</w:t>
      </w:r>
    </w:p>
    <w:p w14:paraId="63D0543C">
      <w:pPr>
        <w:pStyle w:val="54"/>
        <w:spacing w:before="24" w:after="24"/>
      </w:pPr>
      <w:r>
        <w:rPr>
          <w:rFonts w:eastAsia="微软雅黑"/>
        </w:rPr>
        <w:t>㉑</w:t>
      </w:r>
      <w:r>
        <w:t>雨水口间距宜为25m～50m。连接管串联雨水口不宜超过3个。雨水口连接管长度不宜超过25m。</w:t>
      </w:r>
    </w:p>
    <w:p w14:paraId="4A3C7D21">
      <w:pPr>
        <w:pStyle w:val="54"/>
        <w:spacing w:before="24" w:after="24"/>
      </w:pPr>
      <w:r>
        <w:rPr>
          <w:rFonts w:eastAsia="微软雅黑"/>
        </w:rPr>
        <w:t>㉒</w:t>
      </w:r>
      <w:r>
        <w:t>道路横坡坡度不应小于1.5％，平箅式雨水口的箅面标高应比周围路面标高低3cm～5cm，立箅式雨水口进水处路面标高应比周围路面标高低5cm。</w:t>
      </w:r>
    </w:p>
    <w:p w14:paraId="0D993415">
      <w:pPr>
        <w:pStyle w:val="54"/>
        <w:spacing w:before="24" w:after="24"/>
      </w:pPr>
      <w:r>
        <w:rPr>
          <w:rFonts w:eastAsia="微软雅黑"/>
        </w:rPr>
        <w:t>㉓</w:t>
      </w:r>
      <w:r>
        <w:t>雨水口深度不宜大于1m，并根据需要设置沉泥槽。</w:t>
      </w:r>
    </w:p>
    <w:p w14:paraId="496FBBFB">
      <w:pPr>
        <w:pStyle w:val="54"/>
        <w:spacing w:before="24" w:after="24"/>
      </w:pPr>
      <w:r>
        <w:rPr>
          <w:rFonts w:eastAsia="微软雅黑"/>
        </w:rPr>
        <w:t>㉔</w:t>
      </w:r>
      <w:r>
        <w:t>出水口应采取防冲刷、消能、加固等措施，并设置警示标识。</w:t>
      </w:r>
    </w:p>
    <w:p w14:paraId="5E8B686B">
      <w:pPr>
        <w:pStyle w:val="54"/>
        <w:spacing w:before="24" w:after="24"/>
      </w:pPr>
      <w:r>
        <w:rPr>
          <w:rFonts w:eastAsia="微软雅黑"/>
        </w:rPr>
        <w:t>㉕</w:t>
      </w:r>
      <w:r>
        <w:t>基坑回填要求:</w:t>
      </w:r>
    </w:p>
    <w:p w14:paraId="2531C1B7">
      <w:pPr>
        <w:pStyle w:val="54"/>
        <w:spacing w:before="24" w:after="24"/>
      </w:pPr>
      <w:r>
        <w:t>a、基坑回填必须在流槽及检查井盖板施工完毕、达到设计强度后实施。</w:t>
      </w:r>
    </w:p>
    <w:p w14:paraId="00E15217">
      <w:pPr>
        <w:pStyle w:val="54"/>
        <w:spacing w:before="24" w:after="24"/>
      </w:pPr>
      <w:r>
        <w:t>b、基坑四周应同步回填，其高度差不得大于300mm，回填时不得使用重型机械，回填土压实系数不应低于0.94。冻深范围基坑应使用非冻胀材料回填。</w:t>
      </w:r>
    </w:p>
    <w:p w14:paraId="5F16F034">
      <w:pPr>
        <w:pStyle w:val="54"/>
        <w:spacing w:before="24" w:after="24"/>
      </w:pPr>
      <w:r>
        <w:t>c、当检查井位于路基、广场范围内，路基要求的压实系数大于0.94时，按路基要求的压实系数执行;位于绿地或农田范围内的检查井基坑回填土压实系数可适当降低，但不应低于0.85。</w:t>
      </w:r>
    </w:p>
    <w:p w14:paraId="0E09EF69">
      <w:pPr>
        <w:pStyle w:val="54"/>
        <w:spacing w:before="24" w:after="24"/>
      </w:pPr>
      <w:r>
        <w:t>d、检查井盖板以上0.5m范围内的覆土回填时，不得使用重型及振动压实机械碾压。</w:t>
      </w:r>
    </w:p>
    <w:p w14:paraId="2E323908">
      <w:pPr>
        <w:pStyle w:val="54"/>
        <w:spacing w:before="24" w:after="24"/>
      </w:pPr>
      <w:r>
        <w:t>e、路面范围内,检查井及井简周围不易压实的部位,应采用石灰土、砂、沙砾等材料回填,其回填宽度不宜小于400mm。</w:t>
      </w:r>
    </w:p>
    <w:p w14:paraId="57C2AFFC">
      <w:pPr>
        <w:pStyle w:val="54"/>
        <w:spacing w:before="24" w:after="24"/>
      </w:pPr>
      <w:r>
        <w:rPr>
          <w:rFonts w:eastAsia="微软雅黑"/>
        </w:rPr>
        <w:t>㉖</w:t>
      </w:r>
      <w:r>
        <w:t>直埋承插式排水管道穿越铁路及其他重要的交通干线两端应设置柔性连接接头。</w:t>
      </w:r>
    </w:p>
    <w:p w14:paraId="62E64CB5">
      <w:pPr>
        <w:pStyle w:val="54"/>
        <w:spacing w:before="24" w:after="24"/>
      </w:pPr>
      <w:r>
        <w:rPr>
          <w:rFonts w:eastAsia="微软雅黑"/>
        </w:rPr>
        <w:t>㉗</w:t>
      </w:r>
      <w:r>
        <w:t>排水管道穿过建（构）筑物的墙体或基础时，应符合下列规定:</w:t>
      </w:r>
    </w:p>
    <w:p w14:paraId="3819A6C1">
      <w:pPr>
        <w:pStyle w:val="54"/>
        <w:spacing w:before="24" w:after="24"/>
      </w:pPr>
      <w:r>
        <w:t>a、在穿管的墙体或基础上应设置套管，穿管与套管之间的间隙应用柔性防腐、防水材料密封。</w:t>
      </w:r>
    </w:p>
    <w:p w14:paraId="4B1EFC46">
      <w:pPr>
        <w:pStyle w:val="54"/>
        <w:spacing w:before="24" w:after="24"/>
      </w:pPr>
      <w:r>
        <w:t>b、当穿越的管道与墙体或基础嵌固时，应在穿越的管道上就近设置柔性连接装置。</w:t>
      </w:r>
    </w:p>
    <w:p w14:paraId="7EC0F22D">
      <w:pPr>
        <w:pStyle w:val="54"/>
        <w:spacing w:before="24" w:after="24"/>
      </w:pPr>
      <w:r>
        <w:rPr>
          <w:rFonts w:eastAsia="微软雅黑"/>
        </w:rPr>
        <w:t>㉘</w:t>
      </w:r>
      <w:r>
        <w:t>排水管管材选择：管径DN200～DN500，采用HDPE塑料排水管，橡胶圈承插连接；管径≥DN600，埋深≤4m时采用I级钢筋混凝土排水管，埋深4～6m时采用Ⅱ级钢筋混凝土排水管，埋深≥6m时采用Ⅲ级钢筋混凝土排水管，均采用橡胶圈承插连接。</w:t>
      </w:r>
    </w:p>
    <w:p w14:paraId="4B17A601">
      <w:pPr>
        <w:pStyle w:val="54"/>
        <w:spacing w:before="24" w:after="24"/>
      </w:pPr>
      <w:r>
        <w:t>（2）泵站</w:t>
      </w:r>
    </w:p>
    <w:p w14:paraId="65483F5D">
      <w:pPr>
        <w:pStyle w:val="54"/>
        <w:spacing w:before="24" w:after="24"/>
      </w:pPr>
      <w:r>
        <w:rPr>
          <w:rFonts w:ascii="Cambria Math" w:hAnsi="Cambria Math" w:cs="Cambria Math"/>
        </w:rPr>
        <w:t>①</w:t>
      </w:r>
      <w:r>
        <w:t>排水泵站宜按远期规模设计，水泵机组可按近期规模配置。</w:t>
      </w:r>
    </w:p>
    <w:p w14:paraId="1FB3CC2C">
      <w:pPr>
        <w:pStyle w:val="54"/>
        <w:spacing w:before="24" w:after="24"/>
      </w:pPr>
      <w:r>
        <w:rPr>
          <w:rFonts w:ascii="Cambria Math" w:hAnsi="Cambria Math" w:cs="Cambria Math"/>
        </w:rPr>
        <w:t>②</w:t>
      </w:r>
      <w:r>
        <w:t>泵站室外地坪标高应满足防洪要求，并应符合规划部门规定；泵房室内地坪应比室外地坪高0.2m～0.3m；易受洪水淹没地区的泵站和地下式泵站，其入口处地面标高应比设计洪水位高0.5m以上；当不能满足上述要求时，应设置防洪措施。</w:t>
      </w:r>
    </w:p>
    <w:p w14:paraId="4FAC715A">
      <w:pPr>
        <w:pStyle w:val="54"/>
        <w:spacing w:before="24" w:after="24"/>
      </w:pPr>
      <w:r>
        <w:rPr>
          <w:rFonts w:ascii="Cambria Math" w:hAnsi="Cambria Math" w:cs="Cambria Math"/>
        </w:rPr>
        <w:t>③</w:t>
      </w:r>
      <w:r>
        <w:t>雨水泵站应采用自灌式泵站。污水泵站宜采用自灌式泵站。</w:t>
      </w:r>
    </w:p>
    <w:p w14:paraId="25855A78">
      <w:pPr>
        <w:pStyle w:val="54"/>
        <w:spacing w:before="24" w:after="24"/>
      </w:pPr>
      <w:r>
        <w:rPr>
          <w:rFonts w:ascii="Cambria Math" w:hAnsi="Cambria Math" w:cs="Cambria Math"/>
        </w:rPr>
        <w:t>④</w:t>
      </w:r>
      <w:r>
        <w:t>排水泵站供电应按二级负荷设计。特别重要地区的泵站应按一级负荷设计。</w:t>
      </w:r>
    </w:p>
    <w:p w14:paraId="07EC8018">
      <w:pPr>
        <w:pStyle w:val="54"/>
        <w:spacing w:before="24" w:after="24"/>
      </w:pPr>
      <w:r>
        <w:rPr>
          <w:rFonts w:ascii="Cambria Math" w:hAnsi="Cambria Math" w:cs="Cambria Math"/>
        </w:rPr>
        <w:t>⑤</w:t>
      </w:r>
      <w:r>
        <w:t>位于居民区和重要地段的污水泵站、合流污水泵站和地下式泵站，应设置除臭装置，除臭效果应符合国家现行标准的有关规定。</w:t>
      </w:r>
    </w:p>
    <w:p w14:paraId="16FACBAC">
      <w:pPr>
        <w:pStyle w:val="54"/>
        <w:spacing w:before="24" w:after="24"/>
      </w:pPr>
      <w:r>
        <w:rPr>
          <w:rFonts w:ascii="Cambria Math" w:hAnsi="Cambria Math" w:cs="Cambria Math"/>
        </w:rPr>
        <w:t>⑥</w:t>
      </w:r>
      <w:r>
        <w:t>自然通风条件差的地下式水泵间应设置机械送排风系统。</w:t>
      </w:r>
    </w:p>
    <w:p w14:paraId="2E644CBE">
      <w:pPr>
        <w:pStyle w:val="54"/>
        <w:spacing w:before="24" w:after="24"/>
      </w:pPr>
      <w:r>
        <w:rPr>
          <w:rFonts w:ascii="Cambria Math" w:hAnsi="Cambria Math" w:cs="Cambria Math"/>
        </w:rPr>
        <w:t>⑦</w:t>
      </w:r>
      <w:r>
        <w:t>有人值守的泵站内，应设隔声值班室并设有通信设施。远离居民点的泵站，应根据需要适当设置工作人员的生活设施。</w:t>
      </w:r>
    </w:p>
    <w:p w14:paraId="58E0E4E5">
      <w:pPr>
        <w:pStyle w:val="54"/>
        <w:spacing w:before="24" w:after="24"/>
      </w:pPr>
      <w:r>
        <w:rPr>
          <w:rFonts w:ascii="Cambria Math" w:hAnsi="Cambria Math" w:cs="Cambria Math"/>
        </w:rPr>
        <w:t>⑧</w:t>
      </w:r>
      <w:r>
        <w:t>排水泵站内部和四围道路应满足设备装卸、垃圾清运、操作人员进出方便和消防通道的要求。</w:t>
      </w:r>
    </w:p>
    <w:p w14:paraId="46BA1728">
      <w:pPr>
        <w:pStyle w:val="54"/>
        <w:spacing w:before="24" w:after="24"/>
      </w:pPr>
      <w:r>
        <w:rPr>
          <w:rFonts w:ascii="Cambria Math" w:hAnsi="Cambria Math" w:cs="Cambria Math"/>
        </w:rPr>
        <w:t>⑨</w:t>
      </w:r>
      <w:r>
        <w:t>集水池的容积应根据设计流量、水泵能力和水泵工作情况等因素确定，并应符合下列规定：</w:t>
      </w:r>
    </w:p>
    <w:p w14:paraId="6C173DEF">
      <w:pPr>
        <w:pStyle w:val="54"/>
        <w:spacing w:before="24" w:after="24"/>
      </w:pPr>
      <w:r>
        <w:t>a.污水泵站集水池的容积不应小于最大一台水泵5min的出水量，水泵机组为自动控制时，每小时开动水泵不宜超过6次。</w:t>
      </w:r>
    </w:p>
    <w:p w14:paraId="52AFE2F3">
      <w:pPr>
        <w:pStyle w:val="54"/>
        <w:spacing w:before="24" w:after="24"/>
      </w:pPr>
      <w:r>
        <w:t>b.雨水泵站集水池的容积不应小于最大一台水泵30s的出水量，地道雨水泵站集水池容积不应小于最大一台泵60s的出水量。</w:t>
      </w:r>
    </w:p>
    <w:p w14:paraId="40A2581F">
      <w:pPr>
        <w:pStyle w:val="54"/>
        <w:spacing w:before="24" w:after="24"/>
      </w:pPr>
      <w:r>
        <w:t>c.污泥泵房集水池的容积应按一次排入的污泥量和污泥泵抽送能力计算确定。活性污泥泵房集水池的容积，应按排入的回流污泥量、剩余污泥量和污泥泵抽送能力计算确定。</w:t>
      </w:r>
    </w:p>
    <w:p w14:paraId="2F1B80EB">
      <w:pPr>
        <w:pStyle w:val="54"/>
        <w:spacing w:before="24" w:after="24"/>
      </w:pPr>
      <w:r>
        <w:t>4）一体化预制泵站的集水池容积应按最大一台水泵的设计流量和每小时最大启停次数确定。</w:t>
      </w:r>
    </w:p>
    <w:p w14:paraId="4D2D812D">
      <w:pPr>
        <w:pStyle w:val="54"/>
        <w:spacing w:before="24" w:after="24"/>
      </w:pPr>
      <w:r>
        <w:rPr>
          <w:rFonts w:ascii="Cambria Math" w:hAnsi="Cambria Math" w:cs="Cambria Math"/>
        </w:rPr>
        <w:t>⑩</w:t>
      </w:r>
      <w:r>
        <w:t>流入集水池的污水和雨水均应通过格栅。</w:t>
      </w:r>
    </w:p>
    <w:p w14:paraId="65C171F6">
      <w:pPr>
        <w:pStyle w:val="54"/>
        <w:spacing w:before="24" w:after="24"/>
      </w:pPr>
      <w:r>
        <w:rPr>
          <w:rFonts w:ascii="Cambria Math" w:hAnsi="Cambria Math" w:cs="Cambria Math"/>
        </w:rPr>
        <w:t>⑪</w:t>
      </w:r>
      <w:r>
        <w:t>泵站集水池前，应设置闸门或闸槽；泵站宜设置事故排出口，污水泵站设置事故排出口应报有关部门批准。</w:t>
      </w:r>
    </w:p>
    <w:p w14:paraId="493DE9AC">
      <w:pPr>
        <w:pStyle w:val="54"/>
        <w:spacing w:before="24" w:after="24"/>
      </w:pPr>
      <w:r>
        <w:rPr>
          <w:rFonts w:ascii="Cambria Math" w:hAnsi="Cambria Math" w:cs="Cambria Math"/>
        </w:rPr>
        <w:t>⑫</w:t>
      </w:r>
      <w:r>
        <w:t>集水池池底应设置集水坑，坑深宜为500mm～700mm。</w:t>
      </w:r>
    </w:p>
    <w:p w14:paraId="673A3643">
      <w:pPr>
        <w:pStyle w:val="54"/>
        <w:spacing w:before="24" w:after="24"/>
      </w:pPr>
      <w:r>
        <w:rPr>
          <w:rFonts w:ascii="Cambria Math" w:hAnsi="Cambria Math" w:cs="Cambria Math"/>
        </w:rPr>
        <w:t>⑬</w:t>
      </w:r>
      <w:r>
        <w:t>主要机组的布置和通道宽度，应满足机电设备安装、运行和操作的要求，并应符合下列规定：</w:t>
      </w:r>
    </w:p>
    <w:p w14:paraId="3F408CD2">
      <w:pPr>
        <w:pStyle w:val="54"/>
        <w:spacing w:before="24" w:after="24"/>
      </w:pPr>
      <w:r>
        <w:t>a.水泵机组基础间的净距不宜小于1.0m。</w:t>
      </w:r>
    </w:p>
    <w:p w14:paraId="2A671E05">
      <w:pPr>
        <w:pStyle w:val="54"/>
        <w:spacing w:before="24" w:after="24"/>
      </w:pPr>
      <w:r>
        <w:t>b.机组突出部分和墙壁的净距不宜小于1.2m。</w:t>
      </w:r>
    </w:p>
    <w:p w14:paraId="50F77577">
      <w:pPr>
        <w:pStyle w:val="54"/>
        <w:spacing w:before="24" w:after="24"/>
      </w:pPr>
      <w:r>
        <w:t>c.主要通道宽度丕宜小于1.5m。</w:t>
      </w:r>
    </w:p>
    <w:p w14:paraId="4062334B">
      <w:pPr>
        <w:pStyle w:val="54"/>
        <w:spacing w:before="24" w:after="24"/>
      </w:pPr>
      <w:r>
        <w:t>d.配电箱前面通道宽度，低压配电时不宜小于1.5m，高压配电时不宜小于2.0m。当采用在配电箱后面检修时，后面距墙的净距不宜小于1.0m。</w:t>
      </w:r>
    </w:p>
    <w:p w14:paraId="12568EA7">
      <w:pPr>
        <w:pStyle w:val="54"/>
        <w:spacing w:before="24" w:after="24"/>
      </w:pPr>
      <w:r>
        <w:t>e.有电动起重机的泵房内，应有吊运设备的通道。</w:t>
      </w:r>
    </w:p>
    <w:p w14:paraId="1DAB5E4F">
      <w:pPr>
        <w:pStyle w:val="54"/>
        <w:spacing w:before="24" w:after="24"/>
      </w:pPr>
      <w:r>
        <w:rPr>
          <w:rFonts w:ascii="Cambria Math" w:hAnsi="Cambria Math" w:cs="Cambria Math"/>
        </w:rPr>
        <w:t>⑭</w:t>
      </w:r>
      <w:r>
        <w:t>泵房起重设备应根据需吊运的最重部件确定。起重量不大于3t时宜选用手动或电动葫芦；起重量大于3t时应选用电动单梁或双梁起重机。</w:t>
      </w:r>
    </w:p>
    <w:p w14:paraId="524DB4AB">
      <w:pPr>
        <w:pStyle w:val="66"/>
        <w:rPr>
          <w:rFonts w:cs="Times New Roman"/>
        </w:rPr>
      </w:pPr>
      <w:r>
        <w:rPr>
          <w:rFonts w:cs="Times New Roman"/>
        </w:rPr>
        <w:t>10.10燃气工程</w:t>
      </w:r>
    </w:p>
    <w:p w14:paraId="0A18F84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10.10.1设计原则</w:t>
      </w:r>
    </w:p>
    <w:p w14:paraId="7AF8EAA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（1）安全性原则：在规划和设计地下管线工程时，首要考虑的是管线的安全性。要根据管线的用途和环境条件确定管线的材质、直径、敷设深度等参数，确保管线可以安全运行并经受住各种外力。</w:t>
      </w:r>
    </w:p>
    <w:p w14:paraId="3A4EA0A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（2）合理性原则：地下管线的布局应当符合城市规划和地形地貌，合理安排管线走向、排布纵横，避免混乱或重复布线，提高管线的整体运行效率。</w:t>
      </w:r>
    </w:p>
    <w:p w14:paraId="7575B89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（3）综合性原则：管线布局应当充分综合考虑给水、排水、供气、供热、通信等管线的规划，避免各管线之间的干扰和冲突。</w:t>
      </w:r>
    </w:p>
    <w:p w14:paraId="4036C90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（4）环保性原则：地下管线工程应当符合大气、水、土壤和噪声等环境保护要求，尽量减少地下施工对周围环境的影响。</w:t>
      </w:r>
    </w:p>
    <w:p w14:paraId="10CBD61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本项目基于《德钦新县城（叶枝镇镇区）国土空间详细规划（2021—2035年）》和《德钦新县城道路交通详细规划与场地竖向设计》结合规划路网格局、道路走向、坡向实施本次管网项目。近期地下管网与近期路网同步实施，各管线均结合近期路网布设。</w:t>
      </w:r>
    </w:p>
    <w:p w14:paraId="76DFCB3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10.10.2燃气工程规模</w:t>
      </w:r>
    </w:p>
    <w:p w14:paraId="0284386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（1）新建NZ1号路市政中压燃气干管dn160 SDR11-2321m，D159×5-70m，中压支管dn110 SDR11-258m。</w:t>
      </w:r>
    </w:p>
    <w:p w14:paraId="25739FA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（2）NZ1号路-Z4号路连接线中压燃气干管dn160 SDR11-1977m，中压支管dn110 SDR11-35m。</w:t>
      </w:r>
    </w:p>
    <w:p w14:paraId="5FC0AF4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（3）气源来自规划待建的LNG气化站，天然气类别为12T，接气点为规划待建的Z4号路dn200市政燃气中压干管。</w:t>
      </w:r>
    </w:p>
    <w:p w14:paraId="7E10E69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10.10.3燃气供应现状及规划</w:t>
      </w:r>
    </w:p>
    <w:p w14:paraId="696B511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目前德钦新县城无天然气及石油气供应。《德钦新县城（叶枝镇镇区）国土空间详细规划》方案设计镇区现状主要通过罐装液化气进行供给，罐装液化气主要来源于维西县城，通过车载方式运输。根据《云南省储气设施建设规划（2018—2025年）》，迪庆州天然气支线管道建设进度较为缓慢，预计短期内管道天然气输送的可能性较小，将使用LNG点供方式进行供气。中远期城区气源为迪庆州天然气支线。</w:t>
      </w:r>
    </w:p>
    <w:p w14:paraId="5512297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（2）燃气工程新建设液化石油气充装站，主要用于近期新县城城市燃气供给，储气量200立方米，占地面积0.54公顷，位于06-06-01地块。</w:t>
      </w:r>
    </w:p>
    <w:p w14:paraId="34CE3CE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（3）规划新建叶枝天然气储配站，主要负责承接迪庆州天然气支线管道天然气，日供气量达1.68万立方米，占地面积0.57公顷，位于06-06-03地块。</w:t>
      </w:r>
    </w:p>
    <w:p w14:paraId="670284D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4）本项目为城市天然气输配系统市政中压燃气管道的下游干管，主要覆盖林根组团、岩瓦组团用气。岩瓦组团发挥区位优势以及邻近规划维叶高速公路下道、邻近滇藏铁路规划站点等交通优势，布局农产品加工等特色产业、冷链物流等产业功能，是叶枝镇的工业园区，岩瓦社区规划居住人口0.5万—0.7万人；林根组团发挥田园风光优势，主要布局田园综合体、高品级酒店等功能，林根社区规划居住人口0.09万—0.1万人。</w:t>
      </w:r>
    </w:p>
    <w:p w14:paraId="66AF04A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10.10.4输配系统</w:t>
      </w:r>
    </w:p>
    <w:p w14:paraId="635308C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德钦新县城天然气输配系统由LNG储配站（远期为天然气门站）、市政中压燃气管道、庭院中压燃气管道、调压装置、低压配气管道及户内管道组成。压力级制为中-低压两级制，中压设计压力0.4MPa，低压设计压力5000Pa。本工程为城市天然气输配系统中的市政中压燃气管道。</w:t>
      </w:r>
    </w:p>
    <w:p w14:paraId="0384D9B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天然气自LNG储配站出站后，经市政中压管道输送至庭院中压燃气管道，经落地式调压柜或悬挂式调压箱调压至2800Pa后进入低压燃气管道，然后进入居民用户或商业用户；中压用户采用专用调压装置及管道系统。</w:t>
      </w:r>
    </w:p>
    <w:p w14:paraId="1AA215E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德钦县近期天然气气源来源于LNG气化站，中远期为迪庆支线输送的缅甸天然气，天然气类别均为12T。LNG气化站不但是全县的LNG供应站，也是天然气储气设施，可有效解决德钦县全县天然气日常供应需求和调峰需求。</w:t>
      </w:r>
    </w:p>
    <w:p w14:paraId="572E39F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10.10.5中压管网布置</w:t>
      </w:r>
    </w:p>
    <w:p w14:paraId="2373BCA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（1）为充分利用压力资源，减小供气管网管径，节省工程投资，城镇中压燃气管网设计压力为0.4MPa，属燃气管道中压A级。</w:t>
      </w:r>
    </w:p>
    <w:p w14:paraId="2A187A4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（2）管网布置原则</w:t>
      </w:r>
    </w:p>
    <w:p w14:paraId="0816DC9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1）严格遵守《城镇燃气设计规范》GB50028-2006，安全间距按规范要求设置；</w:t>
      </w:r>
    </w:p>
    <w:p w14:paraId="70186F0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2）管网布置应符合城镇的建设和总体规划。贯彻近、远期相结合，以近期为主的方针，管网总体布置、分期建设；</w:t>
      </w:r>
    </w:p>
    <w:p w14:paraId="746957C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3）主干管尽量靠近负荷中心，以减少干管长度。中压干管靠近居民区，减少支管长度，节约投资；</w:t>
      </w:r>
    </w:p>
    <w:p w14:paraId="0858881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4）为了提高管网系统的安全可靠性，中压干管尽量成环布置；</w:t>
      </w:r>
    </w:p>
    <w:p w14:paraId="4768BEE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5）中压管道敷设位置应遵循先人行道、后慢车道、再快车道的原则；</w:t>
      </w:r>
    </w:p>
    <w:p w14:paraId="186F9B4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6）管网布置尽量避免对河流、主要街道的多次穿（跨）越。</w:t>
      </w:r>
    </w:p>
    <w:p w14:paraId="0CA3B41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10.10.6用户调压、计量</w:t>
      </w:r>
    </w:p>
    <w:p w14:paraId="7F4118B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（1）用户系统由独立用户中低压调压系统或居民楼栋燃气调压系统、户室燃气管道、户室计量表、用气设备等组成。</w:t>
      </w:r>
    </w:p>
    <w:p w14:paraId="7F5E2B6C">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（2）调压形式</w:t>
      </w:r>
    </w:p>
    <w:p w14:paraId="5AB4D3A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区域调压：需要设置独立的安装区域，与相邻设施有一定的安全距离要求，低压管道和中压管道重复敷设情况较多，低压管道长，造成用户用气压力波动大。特点是供气量大，一般可供1000～2000户，可充分利用中压管网的压力降。</w:t>
      </w:r>
    </w:p>
    <w:p w14:paraId="6629A76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楼栋调压：该方式目前在已用天然气的城市广泛使用，其设备体积较小，不需要单独的安装区域，将其固定在建筑物的山墙上即可，一台可供40～120户。其设置灵活，低压庭院管道较短，可保证用户的用气压力较为稳定。</w:t>
      </w:r>
    </w:p>
    <w:p w14:paraId="6707270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3）用户调压器：该设备在各独立用户处单独设置，具有压力稳定，使用工况好，可省去低压庭院管道，但费用高，中压管道进入庭院，对边远独立用户可考虑选用。</w:t>
      </w:r>
    </w:p>
    <w:p w14:paraId="18711BE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4）综合技术经济比较，同时考虑用气安全性、可靠性，城区内居民用气主要选用楼栋调压，工业用户采用区域调压，其他形式只在特殊情况下选用。</w:t>
      </w:r>
    </w:p>
    <w:p w14:paraId="46471C2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（3）调压设施</w:t>
      </w:r>
    </w:p>
    <w:p w14:paraId="3110758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1）调压柜（箱）是连接中、低压管道的枢纽，来自中压管道的燃气，经此调压后进入用户低压管道，再经燃气表计量后供各类用户燃具使用。</w:t>
      </w:r>
    </w:p>
    <w:p w14:paraId="5F78FEE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2）本工程居民供气采用箱式调压器或柜式调压器，小型商业和独立小用户采用独立用户调压箱供用户，对于工业用户及较大的商业用户采用专用橇装调压柜或调压站供气。</w:t>
      </w:r>
    </w:p>
    <w:p w14:paraId="3FD7B55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调压箱、柜、站的设置位置应符合《城镇燃气设计规范》（50028-2006）要求。调压箱选用流通能力大，调节稳定可靠，能满足民用气高峰流量的、带自动切断的调压器，调压箱内主要设备有进、出口阀门、调压器、紧急切断阀和压力表，具有自动调压、超压自动切断、超压安全放散、人工复位功能。</w:t>
      </w:r>
    </w:p>
    <w:p w14:paraId="51559BA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（4）根据具体情况，户室燃气管道一般采用镀锌管、特殊情况下采用无缝钢管。</w:t>
      </w:r>
    </w:p>
    <w:p w14:paraId="5C40707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（5）计量仪表</w:t>
      </w:r>
    </w:p>
    <w:p w14:paraId="2F2669A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1）各独立用户设用户计量仪表。</w:t>
      </w:r>
    </w:p>
    <w:p w14:paraId="6FB10EC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2）在较集中的住宅小区除每户计量外另设小区集中计量，以便于小区物业管理。</w:t>
      </w:r>
    </w:p>
    <w:p w14:paraId="768FD41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根据具体情况，采用一管分户计量（计量表分户安装在用户室内）方式或一户一管一表计量（每个用户的用气管均分别从楼栋调压箱后引入室内，计量表集中安装在用户室外，抄表不需进户）方式。一户一表一管供气方式在一些中等城市普遍采用，较为先进。</w:t>
      </w:r>
    </w:p>
    <w:p w14:paraId="06C81F0C">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10.10.7设备管材要求</w:t>
      </w:r>
    </w:p>
    <w:p w14:paraId="465BB4C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（1）城镇燃气中、低压输配及室内工程的设备、管材、管道附件应符合国家、地方、行业及当地燃气运营企业的相关要求。</w:t>
      </w:r>
    </w:p>
    <w:p w14:paraId="4731F5B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（2）所有设备、管材、管道附件均应有出厂合格证书。运行压力≥0.1MPa、管径≥DN50的压力管道元件，生产商应具有压力管道元件生产许可证。</w:t>
      </w:r>
    </w:p>
    <w:p w14:paraId="62ACC17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（3）管材</w:t>
      </w:r>
    </w:p>
    <w:p w14:paraId="188653A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1）用于输送燃气的管材，不但要求具有足够的机械强度与优良的抗腐蚀性，抗震性以及气密封性等各项性能，而且管材连接与管件种类也必须满足带压天然气输送要求。</w:t>
      </w:r>
    </w:p>
    <w:p w14:paraId="74445009">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2）埋地管优先选用聚乙烯燃气用PE管，在埋深不足和无法埋地敷设的地段使用3PE防腐20#无缝钢管埋地和抗UV 20#无缝钢管架空。聚乙烯管材应符合《燃气埋地聚乙烯（PE）管道系统 第2部分：管材》GB/T15558.2的技术要求。</w:t>
      </w:r>
    </w:p>
    <w:p w14:paraId="7BBF5AB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3）聚乙烯管材存放时间超过4年、密封包装的管件存放时间超过6年，应对其抽样检验，性能符合要求方可使用。</w:t>
      </w:r>
    </w:p>
    <w:p w14:paraId="7707D24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4）露天架设的出地管道采用无缝钢管，应符合现行国家标准《输送流体用无缝钢管》GB/T8163的有关要求。</w:t>
      </w:r>
    </w:p>
    <w:p w14:paraId="0219F53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（4）阀门</w:t>
      </w:r>
    </w:p>
    <w:p w14:paraId="38E1CEB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1）埋地阀门的选择：考虑到安装、操作及维修方便，埋地管道上设置的阀门宜采用全通径且适用于燃气介质的直埋双放散球阀。其中，PE球阀采用燃气直埋双放散PE球阀，满足《燃气用埋地聚乙烯（PE）管道系统 第4部分：阀门》GB/T15558.4-2023的相关要求。</w:t>
      </w:r>
    </w:p>
    <w:p w14:paraId="49C547F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2）架空管道阀门的选择：为便于操作，公称直径小于DN150的架空钢质管道阀门原则均采用Q41F-16C系列法兰球阀，满足《石油、石化及相关工业用的钢制球阀》GB/T12237-2021的相关要求。</w:t>
      </w:r>
    </w:p>
    <w:p w14:paraId="3066794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3）放散井阀门：埋地管道放散井内阀门应采用Q41F-16C系列法兰球阀，规格为DN25，满足《石油、石化及相关工业用的钢制球阀》GB/T12237-2021的相关要求。</w:t>
      </w:r>
    </w:p>
    <w:p w14:paraId="6647EC5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（5）管件</w:t>
      </w:r>
    </w:p>
    <w:p w14:paraId="7041B07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1）管件原则上应采用标准件，材质应与管道材质相同或相近。</w:t>
      </w:r>
    </w:p>
    <w:p w14:paraId="231CE68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2）钢制焊接管件应符合《钢制对焊管件 类型与参数》GB/T12459的技术要求。</w:t>
      </w:r>
    </w:p>
    <w:p w14:paraId="26C3D22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3）聚乙烯管管件采用PE100 SDR11系列，应符合《燃气用埋地聚乙烯（PE）管道系统 第3部分：管件》GB/T15558.3的技术要求。</w:t>
      </w:r>
    </w:p>
    <w:p w14:paraId="4161321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（6）密封材料</w:t>
      </w:r>
    </w:p>
    <w:p w14:paraId="48CAE6E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1）法兰密封件应采用聚四氟乙烯垫片或金属缠绕垫片，不得采用石棉垫片。</w:t>
      </w:r>
    </w:p>
    <w:p w14:paraId="2B0A251C">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2）局部螺纹接头，螺纹填料应采用聚四氟乙烯胶带（油性），严禁混用麻丝密封材料。</w:t>
      </w:r>
    </w:p>
    <w:p w14:paraId="3F3E652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10.10.8管道敷设</w:t>
      </w:r>
    </w:p>
    <w:p w14:paraId="57BC96E3">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市政中压燃气管道应结合燃气专项规划总体思路、现状市政道路敷设条件、下游用户分布和负荷需求进行敷设。</w:t>
      </w:r>
    </w:p>
    <w:p w14:paraId="78F561F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市政道路通常管位较为紧张，新敷设的中压市政接驳管道应尽可能安排在绿化带、人行道内。如绿化带、人行道无空间位置条件，可安排在非机动车道或机动车道外侧边缘，尽可能避免在车行道中间布管，不利于检修或带气接管作业。市政燃气管道敷设遵循以下原则：</w:t>
      </w:r>
    </w:p>
    <w:p w14:paraId="78BD642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（1）地下燃气管道不得从建筑物和大型构筑物（不包括架空的建筑物和大型构筑物）的下面穿越，并满足《城镇燃气设计规范》GB50028表6.3.3-1和表6.3.3-2规定的安全净距要求。</w:t>
      </w:r>
    </w:p>
    <w:p w14:paraId="14B90BF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地下燃气管道从排水管（沟）、热力管沟、隧道及其他各种用途的沟槽内穿过时，应将燃气管道敷设于套管内。套管伸出构筑物外壁不应小于GB50028规范6.3.3条中燃气管道与该构筑物的水平净距。套管两端应采用柔性的防腐、防水材料密封。</w:t>
      </w:r>
    </w:p>
    <w:p w14:paraId="1A0C885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（3）地下燃气管道不得在堆积易燃、易爆材料和具有腐蚀性液体的场地下面穿越，不宜与其他管道或电缆同沟敷设，当需要同沟敷设时，必须采取有效的安全防护措施。</w:t>
      </w:r>
    </w:p>
    <w:p w14:paraId="6DD7B01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（4）靠近河流岸边敷设管道时，应考虑埋设地段的地质和水文条件，一般应选用强度高且韧性好的材质。</w:t>
      </w:r>
    </w:p>
    <w:p w14:paraId="068A986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（5）在人行道上敷设燃气管道时，应避开行道树的种植位置。当燃气管道埋设在绿化带下时，不应种植根系发达的树种。</w:t>
      </w:r>
    </w:p>
    <w:p w14:paraId="0E05769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燃气管道的覆土厚度，既要考虑工程所在地的地质条件和道路等级，又要兼顾投资和运行管理的费用。车行道下输配管道的最小直埋深度不应小于0.9m，人行道及田地下输配管道的最小直埋深度不应小于0.6m，所有管道埋深应在冻土线以下。</w:t>
      </w:r>
    </w:p>
    <w:p w14:paraId="02A4650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10.10.9线路防护工程</w:t>
      </w:r>
    </w:p>
    <w:p w14:paraId="77C4073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（1）为保证管道安全，防止水土流失、垮塌造成管道裸露以致破坏，应先清除堆积危土并视具体情况设置护坡、堡坎和排水沟，以防回填土被冲刷。</w:t>
      </w:r>
    </w:p>
    <w:p w14:paraId="3655D51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（2）管道穿越河流，根据岸坡、河床、穿越方式的具体情况采取有效的护岸、护坡措施，管线施工完毕后，立即恢复原地貌。</w:t>
      </w:r>
    </w:p>
    <w:p w14:paraId="15DD044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10.10.10线路标志桩警示牌</w:t>
      </w:r>
    </w:p>
    <w:p w14:paraId="5AF9528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（1）为便于日后管理、巡线和管道抢修时迅速找到管道的埋设位置，在管道的所有水平转角处均设置管道线路标志桩。</w:t>
      </w:r>
    </w:p>
    <w:p w14:paraId="29E1181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线路标志桩有里程桩、转角桩、交叉标志和警示牌等。里程桩、水平转角桩可与线路阴极保护测试桩结合使用，三桩合一。里程桩应沿气流前进方向左侧设置，当平面转角桩距离超过500m时，加设里程桩。埋地管道与公路、河流交叉处设置标志桩，对易遭到破坏的管段设置警告牌，并采取保护措施。</w:t>
      </w:r>
    </w:p>
    <w:p w14:paraId="3B65B93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10.10.11管理统一</w:t>
      </w:r>
    </w:p>
    <w:p w14:paraId="487E654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为确保天然气输配气系统和相关配套工程安全，可靠运行，提高输配系统的整体管理水平，便于统一调度，充分体现智慧城市的规划方针，本规划区域的调度系统由城市统一规划，对整个城市供气系统的工艺参数和设备运行状况进行监视和控制，实现遥讯、遥测，实现全系统的生产运行统一调度和管理。</w:t>
      </w:r>
    </w:p>
    <w:p w14:paraId="3400B594">
      <w:pPr>
        <w:pStyle w:val="54"/>
        <w:spacing w:before="24" w:after="24"/>
      </w:pPr>
      <w:r>
        <w:t>10.11管线综合</w:t>
      </w:r>
    </w:p>
    <w:p w14:paraId="1A42C59C">
      <w:pPr>
        <w:pStyle w:val="54"/>
        <w:spacing w:before="24" w:after="24"/>
      </w:pPr>
      <w:r>
        <w:t>（1）管线之间应当尽量减少交叉，如交叉时，管线之间的避让原则如下：临时管线让永久性管线，压力管线让自流管线，易弯曲管线让不易弯曲管线，小管径管线让大管径管线，拟建管线让已建管线。</w:t>
      </w:r>
    </w:p>
    <w:p w14:paraId="0EA3B928">
      <w:pPr>
        <w:pStyle w:val="54"/>
        <w:spacing w:before="24" w:after="24"/>
      </w:pPr>
      <w:r>
        <w:t>（2）当工程管线交叉敷设时，管线自地表面向下的排列顺序宜为：通信、电力、燃气、热力、给水、再生水、雨水、污水。</w:t>
      </w:r>
    </w:p>
    <w:p w14:paraId="3A02F1F2">
      <w:pPr>
        <w:pStyle w:val="54"/>
        <w:spacing w:before="24" w:after="24"/>
      </w:pPr>
      <w:r>
        <w:t>（3）工程管线从道路红线向道路中心线方向平行布置的次序宜为：电力、通信、给水（配水)、燃气（配气)、热力、燃气（输气)、给水（输水)、再生水、污水、雨水。</w:t>
      </w:r>
    </w:p>
    <w:p w14:paraId="1E08B685">
      <w:pPr>
        <w:pStyle w:val="54"/>
        <w:spacing w:before="24" w:after="24"/>
      </w:pPr>
      <w:r>
        <w:t>（4）各类管线之间、各种管线与建筑物和构筑物之间的最小水平和垂直净距离，应当满足《城市工程管线综合规划规范》（GB50289）的要求。</w:t>
      </w:r>
    </w:p>
    <w:p w14:paraId="4F4ECB7B">
      <w:pPr>
        <w:pStyle w:val="62"/>
      </w:pPr>
      <w:bookmarkStart w:id="108" w:name="_Toc221894139"/>
      <w:r>
        <w:t>（四）质量标准</w:t>
      </w:r>
      <w:bookmarkEnd w:id="108"/>
    </w:p>
    <w:p w14:paraId="1CE10C3F">
      <w:pPr>
        <w:pStyle w:val="54"/>
        <w:spacing w:before="24" w:after="24"/>
      </w:pPr>
      <w:r>
        <w:t>1、一般要求的设计质量标准：符合现行国家有关工程设计规范和标准的要求，并不得超出设计概算投资。</w:t>
      </w:r>
    </w:p>
    <w:p w14:paraId="009F8935">
      <w:pPr>
        <w:pStyle w:val="54"/>
        <w:spacing w:before="24" w:after="24"/>
      </w:pPr>
      <w:r>
        <w:t>2、特殊要求的设计质量标准：符合现行行业和地方有关工程设计标准的要求，并不得超出设计概算投资。</w:t>
      </w:r>
    </w:p>
    <w:p w14:paraId="035F7233">
      <w:pPr>
        <w:pStyle w:val="54"/>
        <w:spacing w:before="24" w:after="24"/>
      </w:pPr>
      <w:r>
        <w:t>3、一般要求的设备采购质量标准（如有）：符合现行国家有关工程施工质量验收规范和标准的要求，并满足使用功能需求。</w:t>
      </w:r>
    </w:p>
    <w:p w14:paraId="7FACCDFD">
      <w:pPr>
        <w:pStyle w:val="54"/>
        <w:spacing w:before="24" w:after="24"/>
      </w:pPr>
      <w:r>
        <w:t>4、一般要求的施工质量标准：</w:t>
      </w:r>
    </w:p>
    <w:p w14:paraId="236768D8">
      <w:pPr>
        <w:pStyle w:val="54"/>
        <w:spacing w:before="24" w:after="24"/>
      </w:pPr>
      <w:r>
        <w:t>4.1工程质量标准必须符合现行国家有关工程施工质量验收规范和标准的要求。有关工程质量的特殊标准或要求由合同当事人在专用合同条款中约定。</w:t>
      </w:r>
    </w:p>
    <w:p w14:paraId="512DD958">
      <w:pPr>
        <w:pStyle w:val="54"/>
        <w:spacing w:before="24" w:after="24"/>
      </w:pPr>
      <w:r>
        <w:t>4.2工程质量标准及规范要求</w:t>
      </w:r>
    </w:p>
    <w:p w14:paraId="66F7EB9E">
      <w:pPr>
        <w:pStyle w:val="54"/>
        <w:spacing w:before="24" w:after="24"/>
      </w:pPr>
      <w:r>
        <w:t>4.2.1质量验收主要标准</w:t>
      </w:r>
    </w:p>
    <w:p w14:paraId="501706C1">
      <w:pPr>
        <w:pStyle w:val="54"/>
        <w:spacing w:before="24" w:after="24"/>
      </w:pPr>
      <w:r>
        <w:t>《建筑工程施工质量验收统一标准》（GB50300-2013）</w:t>
      </w:r>
    </w:p>
    <w:p w14:paraId="1E6B0BB5">
      <w:pPr>
        <w:pStyle w:val="54"/>
        <w:spacing w:before="24" w:after="24"/>
      </w:pPr>
      <w:r>
        <w:t>《工业安装工程施工质量验收统一标准》（GBT50252-2018）</w:t>
      </w:r>
    </w:p>
    <w:p w14:paraId="0BACE052">
      <w:pPr>
        <w:pStyle w:val="54"/>
        <w:spacing w:before="24" w:after="24"/>
      </w:pPr>
      <w:r>
        <w:t>《云南省建筑工程施工质量验收统一规程》（DBJ 53/T-23-2013）</w:t>
      </w:r>
    </w:p>
    <w:p w14:paraId="02265ACC">
      <w:pPr>
        <w:pStyle w:val="54"/>
        <w:spacing w:before="24" w:after="24"/>
      </w:pPr>
      <w:r>
        <w:t>《混凝土结构工程施工质量验收规范》（GB 50204-2015）</w:t>
      </w:r>
    </w:p>
    <w:p w14:paraId="1475EFA5">
      <w:pPr>
        <w:pStyle w:val="54"/>
        <w:spacing w:before="24" w:after="24"/>
      </w:pPr>
      <w:r>
        <w:t>《建筑地基基础工程施工质量验收规范》（GB 50202-2018）</w:t>
      </w:r>
    </w:p>
    <w:p w14:paraId="0B7754E1">
      <w:pPr>
        <w:pStyle w:val="54"/>
        <w:spacing w:before="24" w:after="24"/>
      </w:pPr>
      <w:r>
        <w:t>《钢结构工程施工质量验收规范》（GB 50205-2020）</w:t>
      </w:r>
    </w:p>
    <w:p w14:paraId="7BFFEE3D">
      <w:pPr>
        <w:pStyle w:val="54"/>
        <w:spacing w:before="24" w:after="24"/>
      </w:pPr>
      <w:r>
        <w:t>《建筑装饰装修工程质量验收规范》（GB 50210-2018）</w:t>
      </w:r>
    </w:p>
    <w:p w14:paraId="24638456">
      <w:pPr>
        <w:pStyle w:val="54"/>
        <w:spacing w:before="24" w:after="24"/>
      </w:pPr>
      <w:r>
        <w:t>《建筑给水排水及采暖工程施工质量验收规范》（GB 50242-2002）</w:t>
      </w:r>
    </w:p>
    <w:p w14:paraId="18D8998E">
      <w:pPr>
        <w:pStyle w:val="54"/>
        <w:spacing w:before="24" w:after="24"/>
      </w:pPr>
      <w:r>
        <w:t>《建筑电气工程施工质量验收规范》（GB 50303-2015）</w:t>
      </w:r>
    </w:p>
    <w:p w14:paraId="4887ACE9">
      <w:pPr>
        <w:pStyle w:val="54"/>
        <w:spacing w:before="24" w:after="24"/>
      </w:pPr>
      <w:r>
        <w:t>《通风与空调工程施工质量验收规范》（GB 50243-2002）</w:t>
      </w:r>
    </w:p>
    <w:p w14:paraId="180135B2">
      <w:pPr>
        <w:pStyle w:val="54"/>
        <w:spacing w:before="24" w:after="24"/>
      </w:pPr>
      <w:r>
        <w:t>《电梯工程施工质量验收规范》（GB 50310-2002）</w:t>
      </w:r>
    </w:p>
    <w:p w14:paraId="0175B959">
      <w:pPr>
        <w:pStyle w:val="54"/>
        <w:spacing w:before="24" w:after="24"/>
      </w:pPr>
      <w:r>
        <w:t>《建筑节能工程施工质量验收标准》（GB 50411-2019）</w:t>
      </w:r>
    </w:p>
    <w:p w14:paraId="1C5429FB">
      <w:pPr>
        <w:pStyle w:val="54"/>
        <w:spacing w:before="24" w:after="24"/>
      </w:pPr>
      <w:r>
        <w:t>《建筑地面工程施工质量验收规范》（GB 50209-2010）</w:t>
      </w:r>
    </w:p>
    <w:p w14:paraId="63DB40D3">
      <w:pPr>
        <w:pStyle w:val="54"/>
        <w:spacing w:before="24" w:after="24"/>
      </w:pPr>
      <w:r>
        <w:t>《屋面工程质量验收规范》（GB 50207-2012）</w:t>
      </w:r>
    </w:p>
    <w:p w14:paraId="6D52BE4C">
      <w:pPr>
        <w:pStyle w:val="54"/>
        <w:spacing w:before="24" w:after="24"/>
      </w:pPr>
      <w:r>
        <w:t>《园林绿化工程施工及验收规范》（CJJ82-2012）</w:t>
      </w:r>
    </w:p>
    <w:p w14:paraId="1A5B5176">
      <w:pPr>
        <w:pStyle w:val="54"/>
        <w:spacing w:before="24" w:after="24"/>
      </w:pPr>
      <w:r>
        <w:t>《智能建筑工程质量验收规范》（GB50339-2013）</w:t>
      </w:r>
    </w:p>
    <w:p w14:paraId="3C50EC6A">
      <w:pPr>
        <w:pStyle w:val="54"/>
        <w:spacing w:before="24" w:after="24"/>
      </w:pPr>
      <w:r>
        <w:t>《综合布线系统工程验收规范》（GB50312-2016）</w:t>
      </w:r>
    </w:p>
    <w:p w14:paraId="078A8277">
      <w:pPr>
        <w:pStyle w:val="54"/>
        <w:spacing w:before="24" w:after="24"/>
      </w:pPr>
      <w:r>
        <w:t>《城镇道路工程施工与质量验收规范》（CJJ1-2008）</w:t>
      </w:r>
    </w:p>
    <w:p w14:paraId="67BBCE8B">
      <w:pPr>
        <w:pStyle w:val="54"/>
        <w:spacing w:before="24" w:after="24"/>
      </w:pPr>
      <w:r>
        <w:t>《给水管道工程施工及验收规范》（GB 50268-2008）</w:t>
      </w:r>
    </w:p>
    <w:p w14:paraId="2AEF96FE">
      <w:pPr>
        <w:pStyle w:val="54"/>
        <w:spacing w:before="24" w:after="24"/>
      </w:pPr>
      <w:r>
        <w:t>建设项目质量验收其它相关规范与标准</w:t>
      </w:r>
    </w:p>
    <w:p w14:paraId="448068B6">
      <w:pPr>
        <w:pStyle w:val="54"/>
        <w:spacing w:before="24" w:after="24"/>
      </w:pPr>
      <w:r>
        <w:t>4.2.2质量要求</w:t>
      </w:r>
    </w:p>
    <w:p w14:paraId="0D3DF12D">
      <w:pPr>
        <w:pStyle w:val="54"/>
        <w:spacing w:before="24" w:after="24"/>
      </w:pPr>
      <w:r>
        <w:t>符合工程建设强制性标准、相关质量验收标准及规范的要求，同时执行发包方质量监督管理各项规章制度，并确保一次性验收合格。</w:t>
      </w:r>
    </w:p>
    <w:p w14:paraId="1C5A03C5">
      <w:pPr>
        <w:pStyle w:val="54"/>
        <w:spacing w:before="24" w:after="24"/>
      </w:pPr>
      <w:r>
        <w:t>4.3承包人应建立质量保证体系，设置专门的质量检查机构，配备专职质量检查人员，建立完善的质量管理制度。承包人应在合同条款专用部分约定的期限内，提交工程质量保证措施文件，包括质量检查机构的组织和岗位责任、质检人员的组成、质量检查程序和实施细则等，报送监理人审批。监理人应在合同条款专用部分约定的期限内完成审批。</w:t>
      </w:r>
    </w:p>
    <w:p w14:paraId="444F6DCA">
      <w:pPr>
        <w:pStyle w:val="54"/>
        <w:spacing w:before="24" w:after="24"/>
      </w:pPr>
      <w:r>
        <w:t>4.4承包人应对其人员进行质量教育和技术培训，定期考核人员的劳动技能，严格执行相关规范和操作规程。</w:t>
      </w:r>
    </w:p>
    <w:p w14:paraId="3633B454">
      <w:pPr>
        <w:pStyle w:val="54"/>
        <w:spacing w:before="24" w:after="24"/>
      </w:pPr>
      <w:r>
        <w:t>4.5承包人应按合同条款专用部分的约定对材料、工程设备以及工程的所有部位及其施工工艺进行全过程的质量检查和检验，并作详细记录，编制工程质量报表，报送监理人审查。监理人应在合同条款专用部分约定的期限内完成审查。</w:t>
      </w:r>
    </w:p>
    <w:p w14:paraId="7899BB1A">
      <w:pPr>
        <w:pStyle w:val="54"/>
        <w:spacing w:before="24" w:after="24"/>
      </w:pPr>
      <w:r>
        <w:t>4.6发包人及其授权的监理人，在不妨碍承包人正常作业的情况下，具有对任何施工区域进行质量监督、检查、检验、检测和试验的权利。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14:paraId="3CABC450">
      <w:pPr>
        <w:pStyle w:val="54"/>
        <w:spacing w:before="24" w:after="24"/>
      </w:pPr>
      <w:r>
        <w:t>4.7因承包人原因造成工程质量未达到合同约定标准的，发包人有权向承包人下达修复、暂停、拆除、返工、重新施工、更换等指令，直至工程质量达到合同约定的标准为止，并由承包人承担由此增加的费用和（或）延误的工期。</w:t>
      </w:r>
    </w:p>
    <w:p w14:paraId="2497123F">
      <w:pPr>
        <w:pStyle w:val="54"/>
        <w:spacing w:before="24" w:after="24"/>
      </w:pPr>
      <w:r>
        <w:t>4.8隐蔽验收</w:t>
      </w:r>
    </w:p>
    <w:p w14:paraId="52A3C4EA">
      <w:pPr>
        <w:pStyle w:val="54"/>
        <w:spacing w:before="24" w:after="24"/>
      </w:pPr>
      <w:r>
        <w:t>没有监理人的批准，任何工程均不得隐蔽。当本工程任何部分具备隐蔽条件时，承包人应提前48小时书面通知监理人，告知检测的时间、内容和地点，保证监理人有充分的时间对隐蔽工程进行检测，并为监理人提供一切必要的资料和协助。监理人应按时参加隐蔽工程的检测，不得无故拖延。监理人在组织隐蔽工程验收时，应通知发包人及政府有关部门派人参加。监理人不能按时进行检查时，应提前24小时提交书面延期要求。关于延期最长不得超过：48小时。</w:t>
      </w:r>
    </w:p>
    <w:p w14:paraId="6FC63087">
      <w:pPr>
        <w:pStyle w:val="54"/>
        <w:spacing w:before="24" w:after="24"/>
      </w:pPr>
      <w:r>
        <w:t>4.9质量争议</w:t>
      </w:r>
    </w:p>
    <w:p w14:paraId="21409DFC">
      <w:pPr>
        <w:pStyle w:val="54"/>
        <w:spacing w:before="24" w:after="24"/>
      </w:pPr>
      <w:r>
        <w:t>（1）发包人和承包人对工程质量有争议的，应首先协商解决。经协商未达成一致意见的，委托双方一致同意的具有相应资格的工程质量检测机构进行检测。</w:t>
      </w:r>
    </w:p>
    <w:p w14:paraId="46F99899">
      <w:pPr>
        <w:pStyle w:val="54"/>
        <w:spacing w:before="24" w:after="24"/>
      </w:pPr>
      <w:r>
        <w:t>（2）根据检测机构的鉴定结果，责任方为承包人时，因此造成的费用增加或竣工日期延误，由承包人负责；责任方为发包人时，因此造成的费用增加由发包人承担，工程关键路径因争议受到延误的，竣工日期相应顺延。</w:t>
      </w:r>
    </w:p>
    <w:p w14:paraId="70600D6E">
      <w:pPr>
        <w:pStyle w:val="54"/>
        <w:spacing w:before="24" w:after="24"/>
      </w:pPr>
      <w:r>
        <w:t>（3）根据检测机构的鉴定结果，合同双方均有责任时，根据各方的责任大小，协商分担发生的费用；因此造成工程关键路径延误时，商定对竣工日期的延长时间。</w:t>
      </w:r>
    </w:p>
    <w:p w14:paraId="2FF02BB9">
      <w:pPr>
        <w:pStyle w:val="62"/>
      </w:pPr>
      <w:bookmarkStart w:id="109" w:name="_Toc221894140"/>
      <w:r>
        <w:t>（五）样品</w:t>
      </w:r>
      <w:bookmarkEnd w:id="109"/>
    </w:p>
    <w:p w14:paraId="2BCA2E4D">
      <w:pPr>
        <w:pStyle w:val="66"/>
        <w:rPr>
          <w:rFonts w:cs="Times New Roman"/>
        </w:rPr>
      </w:pPr>
      <w:r>
        <w:rPr>
          <w:rFonts w:cs="Times New Roman"/>
        </w:rPr>
        <w:t>1、基本要求</w:t>
      </w:r>
    </w:p>
    <w:p w14:paraId="065F0E80">
      <w:pPr>
        <w:pStyle w:val="54"/>
        <w:spacing w:before="24" w:after="24"/>
      </w:pPr>
      <w:r>
        <w:t>需报送样品的材料或设备的种类、名称、规格、数量、性能指标：报送的样品或设备须与合同约定的品牌、种类、尤其是质量标准一致。</w:t>
      </w:r>
    </w:p>
    <w:p w14:paraId="07BC05C4">
      <w:pPr>
        <w:pStyle w:val="66"/>
        <w:rPr>
          <w:rFonts w:cs="Times New Roman"/>
        </w:rPr>
      </w:pPr>
      <w:r>
        <w:rPr>
          <w:rFonts w:cs="Times New Roman"/>
        </w:rPr>
        <w:t>2、样品的报送与封存</w:t>
      </w:r>
    </w:p>
    <w:p w14:paraId="5335EBB2">
      <w:pPr>
        <w:pStyle w:val="54"/>
        <w:spacing w:before="24" w:after="24"/>
      </w:pPr>
      <w:r>
        <w:t>2.1需要承包人报送样品的主要材料包括但不限于：装修装饰材料、机电安装材料、景观饰面材料等，样品的种类、名称、规格、数量等要求均应在专用合同条款中约定。样品的报送程序如下：</w:t>
      </w:r>
    </w:p>
    <w:p w14:paraId="569FEE0B">
      <w:pPr>
        <w:pStyle w:val="54"/>
        <w:spacing w:before="24" w:after="24"/>
      </w:pPr>
      <w: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507C08CB">
      <w:pPr>
        <w:pStyle w:val="54"/>
        <w:spacing w:before="24" w:after="24"/>
      </w:pPr>
      <w:r>
        <w:t>（2）承包人每次报送样品时应随附申报单，申报单应载明报送样品的相关数据和资料，并标明每件样品对应的图纸号，预留监理人批复意见栏。监理人应在收到承包人报送的样品后7天内向承包人回复经发包人签认的样品审批意见。</w:t>
      </w:r>
    </w:p>
    <w:p w14:paraId="416A23B2">
      <w:pPr>
        <w:pStyle w:val="54"/>
        <w:spacing w:before="24" w:after="24"/>
      </w:pPr>
      <w:r>
        <w:t>（3）经发包人和监理人审批确认的样品应按约定的方法封样，封存的样品作为检验工程相关部分的标准之一。承包人在施工过程中不得使用与样品不符的材料或工程设备。</w:t>
      </w:r>
    </w:p>
    <w:p w14:paraId="1FE8363D">
      <w:pPr>
        <w:pStyle w:val="54"/>
        <w:spacing w:before="24" w:after="24"/>
      </w:pPr>
      <w: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2A757C15">
      <w:pPr>
        <w:pStyle w:val="66"/>
        <w:rPr>
          <w:rFonts w:cs="Times New Roman"/>
        </w:rPr>
      </w:pPr>
      <w:r>
        <w:rPr>
          <w:rFonts w:cs="Times New Roman"/>
        </w:rPr>
        <w:t>3、样品的保管</w:t>
      </w:r>
    </w:p>
    <w:p w14:paraId="7825F4C3">
      <w:pPr>
        <w:pStyle w:val="54"/>
        <w:spacing w:before="24" w:after="24"/>
      </w:pPr>
      <w:r>
        <w:t>经批准的样品应由监理人负责封存于现场，承包人应在现场为保存样品提供适当和固定的场所并保持适当和良好的存储环境条件。</w:t>
      </w:r>
    </w:p>
    <w:p w14:paraId="632BD373">
      <w:pPr>
        <w:pStyle w:val="53"/>
        <w:spacing w:before="24" w:after="24"/>
        <w:rPr>
          <w:rFonts w:cs="Times New Roman"/>
        </w:rPr>
      </w:pPr>
      <w:bookmarkStart w:id="110" w:name="_Toc221894141"/>
      <w:bookmarkStart w:id="111" w:name="_Hlk214025610"/>
      <w:r>
        <w:rPr>
          <w:rFonts w:cs="Times New Roman"/>
        </w:rPr>
        <w:t>六、竣工（前）试验</w:t>
      </w:r>
      <w:bookmarkEnd w:id="110"/>
    </w:p>
    <w:p w14:paraId="235BD14C">
      <w:pPr>
        <w:pStyle w:val="54"/>
        <w:spacing w:before="24" w:after="24"/>
      </w:pPr>
      <w:r>
        <w:t>本期项目涉及的生活垃圾焚烧项目需要进行竣工（前）试验的需要按照发包人要求进行各个阶段的试验，并满足规范要求。</w:t>
      </w:r>
    </w:p>
    <w:bookmarkEnd w:id="111"/>
    <w:p w14:paraId="14792761">
      <w:pPr>
        <w:pStyle w:val="53"/>
        <w:spacing w:before="24" w:after="24"/>
        <w:rPr>
          <w:rFonts w:cs="Times New Roman"/>
        </w:rPr>
      </w:pPr>
      <w:bookmarkStart w:id="112" w:name="_Toc221894142"/>
      <w:r>
        <w:rPr>
          <w:rFonts w:cs="Times New Roman"/>
        </w:rPr>
        <w:t>七、竣工验收</w:t>
      </w:r>
      <w:bookmarkEnd w:id="112"/>
    </w:p>
    <w:p w14:paraId="06E874C1">
      <w:pPr>
        <w:pStyle w:val="54"/>
        <w:spacing w:before="24" w:after="24"/>
      </w:pPr>
      <w:r>
        <w:t>（一）本项目中的所有子项目应根据建设基本程序的要求进行分项验收、分部验收、单位工程验收、单项竣工验收工作。</w:t>
      </w:r>
    </w:p>
    <w:p w14:paraId="1ED3D2A7">
      <w:pPr>
        <w:pStyle w:val="54"/>
        <w:spacing w:before="24" w:after="24"/>
      </w:pPr>
      <w:r>
        <w:t>（二）验收通过后按建设主管部门要求及时备案，并移交发包人或指定使用人。</w:t>
      </w:r>
    </w:p>
    <w:p w14:paraId="3F450F88">
      <w:pPr>
        <w:pStyle w:val="53"/>
        <w:spacing w:before="24" w:after="24"/>
        <w:rPr>
          <w:rFonts w:cs="Times New Roman"/>
        </w:rPr>
      </w:pPr>
      <w:bookmarkStart w:id="113" w:name="_Toc221894143"/>
      <w:bookmarkStart w:id="114" w:name="_Hlk214025635"/>
      <w:r>
        <w:rPr>
          <w:rFonts w:cs="Times New Roman"/>
        </w:rPr>
        <w:t>八、文件要求</w:t>
      </w:r>
      <w:bookmarkEnd w:id="113"/>
    </w:p>
    <w:bookmarkEnd w:id="114"/>
    <w:p w14:paraId="5771BD74">
      <w:pPr>
        <w:pStyle w:val="54"/>
        <w:spacing w:before="24" w:after="24"/>
        <w:rPr>
          <w:color w:val="0D0D0D" w:themeColor="text1" w:themeTint="F2"/>
          <w14:textFill>
            <w14:solidFill>
              <w14:schemeClr w14:val="tx1">
                <w14:lumMod w14:val="95000"/>
                <w14:lumOff w14:val="5000"/>
              </w14:schemeClr>
            </w14:solidFill>
          </w14:textFill>
        </w:rPr>
      </w:pPr>
      <w:r>
        <w:t>承包人须按发包人和档案管理规范的要求，做好文件收集、整理、归档、移交、备案等工作，文件内容包括不限于：审批、勘察、设计、会议沟通、项目施工管理文件以及</w:t>
      </w:r>
      <w:r>
        <w:rPr>
          <w:color w:val="0D0D0D" w:themeColor="text1" w:themeTint="F2"/>
          <w14:textFill>
            <w14:solidFill>
              <w14:schemeClr w14:val="tx1">
                <w14:lumMod w14:val="95000"/>
                <w14:lumOff w14:val="5000"/>
              </w14:schemeClr>
            </w14:solidFill>
          </w14:textFill>
        </w:rPr>
        <w:t>各子项目的使用、维护手册。</w:t>
      </w:r>
    </w:p>
    <w:p w14:paraId="417DFE4E">
      <w:pPr>
        <w:spacing w:before="24" w:after="24"/>
        <w:rPr>
          <w:rFonts w:ascii="Times New Roman" w:hAnsi="Times New Roman" w:cs="Times New Roman"/>
        </w:rPr>
      </w:pPr>
      <w:r>
        <w:rPr>
          <w:rFonts w:ascii="Times New Roman" w:hAnsi="Times New Roman" w:cs="Times New Roman"/>
        </w:rPr>
        <w:br w:type="page"/>
      </w:r>
    </w:p>
    <w:p w14:paraId="1991D725">
      <w:pPr>
        <w:spacing w:before="24" w:after="24"/>
        <w:outlineLvl w:val="0"/>
        <w:rPr>
          <w:rFonts w:ascii="Times New Roman" w:hAnsi="Times New Roman" w:eastAsia="黑体" w:cs="Times New Roman"/>
          <w:b/>
          <w:color w:val="00B0F0"/>
          <w:sz w:val="32"/>
          <w:szCs w:val="24"/>
          <w14:ligatures w14:val="standardContextual"/>
        </w:rPr>
      </w:pPr>
      <w:bookmarkStart w:id="115" w:name="_Toc221894144"/>
      <w:r>
        <w:rPr>
          <w:rFonts w:ascii="Times New Roman" w:hAnsi="Times New Roman" w:eastAsia="黑体" w:cs="Times New Roman"/>
          <w:b/>
          <w:color w:val="00B0F0"/>
          <w:sz w:val="32"/>
          <w:szCs w:val="24"/>
          <w14:ligatures w14:val="standardContextual"/>
        </w:rPr>
        <w:t>九、工程项目管理规定</w:t>
      </w:r>
      <w:bookmarkEnd w:id="115"/>
    </w:p>
    <w:p w14:paraId="0AF773FF">
      <w:pPr>
        <w:spacing w:before="24" w:after="24"/>
        <w:ind w:firstLine="562" w:firstLineChars="200"/>
        <w:outlineLvl w:val="1"/>
        <w:rPr>
          <w:rFonts w:ascii="Times New Roman" w:hAnsi="Times New Roman" w:cs="Times New Roman"/>
          <w:b/>
          <w:color w:val="0D0D0D" w:themeColor="text1" w:themeTint="F2"/>
          <w14:textFill>
            <w14:solidFill>
              <w14:schemeClr w14:val="tx1">
                <w14:lumMod w14:val="95000"/>
                <w14:lumOff w14:val="5000"/>
              </w14:schemeClr>
            </w14:solidFill>
          </w14:textFill>
        </w:rPr>
      </w:pPr>
      <w:bookmarkStart w:id="116" w:name="_Toc221894145"/>
      <w:r>
        <w:rPr>
          <w:rFonts w:ascii="Times New Roman" w:hAnsi="Times New Roman" w:cs="Times New Roman"/>
          <w:b/>
          <w:color w:val="0D0D0D" w:themeColor="text1" w:themeTint="F2"/>
          <w14:textFill>
            <w14:solidFill>
              <w14:schemeClr w14:val="tx1">
                <w14:lumMod w14:val="95000"/>
                <w14:lumOff w14:val="5000"/>
              </w14:schemeClr>
            </w14:solidFill>
          </w14:textFill>
        </w:rPr>
        <w:t>（一）项目管理模式及各单位主要职责</w:t>
      </w:r>
      <w:bookmarkEnd w:id="116"/>
    </w:p>
    <w:p w14:paraId="5229B109">
      <w:pPr>
        <w:pStyle w:val="54"/>
        <w:spacing w:before="24" w:after="24"/>
      </w:pPr>
      <w:r>
        <w:t>为加快项目推进进度，本项目采取“含工程造价的全过程工程咨询（PM+专项咨询）+工程监理+工程勘察+第三方检测+工程总承包（EPC）”管理模式，管理架构如下：</w:t>
      </w:r>
    </w:p>
    <w:p w14:paraId="24799757">
      <w:pPr>
        <w:pStyle w:val="85"/>
      </w:pPr>
      <w:r>
        <w:rPr>
          <w:rFonts w:hint="eastAsia"/>
        </w:rPr>
        <w:drawing>
          <wp:inline distT="0" distB="0" distL="0" distR="0">
            <wp:extent cx="5759450" cy="4077970"/>
            <wp:effectExtent l="19050" t="19050" r="12700" b="17780"/>
            <wp:docPr id="2373974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39744" name="图片 2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5759450" cy="4077970"/>
                    </a:xfrm>
                    <a:prstGeom prst="rect">
                      <a:avLst/>
                    </a:prstGeom>
                    <a:noFill/>
                    <a:ln>
                      <a:solidFill>
                        <a:schemeClr val="tx1">
                          <a:lumMod val="95000"/>
                          <a:lumOff val="5000"/>
                        </a:schemeClr>
                      </a:solidFill>
                    </a:ln>
                  </pic:spPr>
                </pic:pic>
              </a:graphicData>
            </a:graphic>
          </wp:inline>
        </w:drawing>
      </w:r>
    </w:p>
    <w:p w14:paraId="67AF9BC0">
      <w:pPr>
        <w:pStyle w:val="85"/>
      </w:pPr>
    </w:p>
    <w:p w14:paraId="56F708F6">
      <w:pPr>
        <w:pStyle w:val="64"/>
        <w:spacing w:before="24" w:after="24"/>
      </w:pPr>
      <w:bookmarkStart w:id="117" w:name="_Toc221894146"/>
      <w:r>
        <w:rPr>
          <w:rFonts w:hint="eastAsia"/>
        </w:rPr>
        <w:t>1、发包人主要职责</w:t>
      </w:r>
      <w:bookmarkEnd w:id="117"/>
    </w:p>
    <w:p w14:paraId="5E1FBB01">
      <w:pPr>
        <w:pStyle w:val="54"/>
        <w:spacing w:before="24" w:after="24"/>
      </w:pPr>
      <w:r>
        <w:rPr>
          <w:rFonts w:hint="eastAsia"/>
        </w:rPr>
        <w:t>（1）向勘察、设计、施工、监理、施工图审查机构和检测等单位提供真实、准确、完整的与建设项目相关的原始材料。</w:t>
      </w:r>
    </w:p>
    <w:p w14:paraId="0255F5F3">
      <w:pPr>
        <w:pStyle w:val="54"/>
        <w:spacing w:before="24" w:after="24"/>
      </w:pPr>
      <w:r>
        <w:rPr>
          <w:rFonts w:hint="eastAsia"/>
        </w:rPr>
        <w:t>（2）负责项目资金筹措与足额拨付，明确项目总投资、建设目标及功能需求。</w:t>
      </w:r>
    </w:p>
    <w:p w14:paraId="36C923ED">
      <w:pPr>
        <w:pStyle w:val="54"/>
        <w:spacing w:before="24" w:after="24"/>
      </w:pPr>
      <w:r>
        <w:rPr>
          <w:rFonts w:hint="eastAsia"/>
        </w:rPr>
        <w:t>（3）审批项目重大事项，包括可行性研究报告、初步设计概算、重大设计变更、EPC 合同签订及费用调整。</w:t>
      </w:r>
    </w:p>
    <w:p w14:paraId="5D73FADD">
      <w:pPr>
        <w:pStyle w:val="54"/>
        <w:spacing w:before="24" w:after="24"/>
      </w:pPr>
      <w:r>
        <w:rPr>
          <w:rFonts w:hint="eastAsia"/>
        </w:rPr>
        <w:t>（4）权管理单位行使约定管理职权，签订全过程工程咨询服务合同、监理合同、第三方检测、地质勘察合同、EPC 总承包合同，明确各方责任边界。</w:t>
      </w:r>
    </w:p>
    <w:p w14:paraId="456BD0DE">
      <w:pPr>
        <w:pStyle w:val="54"/>
        <w:spacing w:before="24" w:after="24"/>
      </w:pPr>
      <w:r>
        <w:rPr>
          <w:rFonts w:hint="eastAsia"/>
        </w:rPr>
        <w:t>（5）协调项目外部行政关系（如规划、环保、住建部门），并负责办理项目建设前期的相关许可及行政审批。</w:t>
      </w:r>
    </w:p>
    <w:p w14:paraId="5438B3A8">
      <w:pPr>
        <w:pStyle w:val="54"/>
        <w:spacing w:before="24" w:after="24"/>
      </w:pPr>
      <w:r>
        <w:rPr>
          <w:rFonts w:hint="eastAsia"/>
        </w:rPr>
        <w:t>（6）参与关键节点验收（如竣工预验收），确认项目交付成果符合合同约定，办理资产移交手续。</w:t>
      </w:r>
    </w:p>
    <w:p w14:paraId="1E511A29">
      <w:pPr>
        <w:pStyle w:val="54"/>
        <w:spacing w:before="24" w:after="24"/>
      </w:pPr>
      <w:r>
        <w:rPr>
          <w:rFonts w:hint="eastAsia"/>
        </w:rPr>
        <w:t>（7）严格遵守基本建设程序，在开工前办理质量监督手续，领取施工许可证。</w:t>
      </w:r>
    </w:p>
    <w:p w14:paraId="2865607A">
      <w:pPr>
        <w:pStyle w:val="54"/>
        <w:spacing w:before="24" w:after="24"/>
      </w:pPr>
      <w:r>
        <w:rPr>
          <w:rFonts w:hint="eastAsia"/>
        </w:rPr>
        <w:t>（8）工程竣工后，按规定组织勘察、设计、施工、监理等有关单位进行验收，并接受工程质量监督机构的程序监督。</w:t>
      </w:r>
    </w:p>
    <w:p w14:paraId="5432EA08">
      <w:pPr>
        <w:pStyle w:val="54"/>
        <w:spacing w:before="24" w:after="24"/>
      </w:pPr>
      <w:r>
        <w:rPr>
          <w:rFonts w:hint="eastAsia"/>
        </w:rPr>
        <w:t>（9）及时整理文件资料，建立健全工程项目档案，并自竣工验收后三个月内向城建档案管理部门移交建设项目档案。</w:t>
      </w:r>
    </w:p>
    <w:p w14:paraId="40491A36">
      <w:pPr>
        <w:pStyle w:val="54"/>
        <w:spacing w:before="24" w:after="24"/>
      </w:pPr>
      <w:r>
        <w:rPr>
          <w:rFonts w:hint="eastAsia"/>
        </w:rPr>
        <w:t>（10）督促勘察、设计、施工、监理等有关单位落实质量责任。</w:t>
      </w:r>
    </w:p>
    <w:p w14:paraId="4F7F5345">
      <w:pPr>
        <w:pStyle w:val="64"/>
        <w:spacing w:before="24" w:after="24"/>
      </w:pPr>
      <w:bookmarkStart w:id="118" w:name="_Toc221894147"/>
      <w:r>
        <w:rPr>
          <w:rFonts w:hint="eastAsia"/>
        </w:rPr>
        <w:t>2、管理单位主要职责</w:t>
      </w:r>
      <w:bookmarkEnd w:id="118"/>
    </w:p>
    <w:p w14:paraId="62AA6D1C">
      <w:pPr>
        <w:pStyle w:val="66"/>
      </w:pPr>
      <w:r>
        <w:rPr>
          <w:rFonts w:hint="eastAsia"/>
        </w:rPr>
        <w:t>2.1项目前期管理与咨询</w:t>
      </w:r>
    </w:p>
    <w:p w14:paraId="3F28AC5B">
      <w:pPr>
        <w:pStyle w:val="54"/>
        <w:spacing w:before="24" w:after="24"/>
      </w:pPr>
      <w:r>
        <w:rPr>
          <w:rFonts w:hint="eastAsia"/>
        </w:rPr>
        <w:t>（1）审核编制单位提交的项目可行性研究报告，针对项目的建设需求、建设方案、投融资与财务方案、影响效果分析、风险管控方案等提出咨询意见。</w:t>
      </w:r>
    </w:p>
    <w:p w14:paraId="1668E917">
      <w:pPr>
        <w:pStyle w:val="54"/>
        <w:spacing w:before="24" w:after="24"/>
      </w:pPr>
      <w:r>
        <w:rPr>
          <w:rFonts w:hint="eastAsia"/>
        </w:rPr>
        <w:t>（2）协助发包人完成规划许可证、施工许可证等前期报批手续，协调勘察等工作。</w:t>
      </w:r>
    </w:p>
    <w:p w14:paraId="51C2DC83">
      <w:pPr>
        <w:pStyle w:val="54"/>
        <w:spacing w:before="24" w:after="24"/>
      </w:pPr>
      <w:r>
        <w:rPr>
          <w:rFonts w:hint="eastAsia"/>
        </w:rPr>
        <w:t>（3）制定项目整体管理计划，搭建组织架构、协同流程及信息化化管理平台。</w:t>
      </w:r>
    </w:p>
    <w:p w14:paraId="3B928088">
      <w:pPr>
        <w:pStyle w:val="66"/>
      </w:pPr>
      <w:r>
        <w:rPr>
          <w:rFonts w:hint="eastAsia"/>
        </w:rPr>
        <w:t>2.2设计管理（对EPC 设计单位）</w:t>
      </w:r>
    </w:p>
    <w:p w14:paraId="7E59AD4E">
      <w:pPr>
        <w:pStyle w:val="54"/>
        <w:spacing w:before="24" w:after="24"/>
      </w:pPr>
      <w:r>
        <w:rPr>
          <w:rFonts w:hint="eastAsia"/>
        </w:rPr>
        <w:t>（1）审核 EPC 设计单位的施工图设计，验证合规性、经济性与可施工性。</w:t>
      </w:r>
    </w:p>
    <w:p w14:paraId="515A899D">
      <w:pPr>
        <w:pStyle w:val="54"/>
        <w:spacing w:before="24" w:after="24"/>
      </w:pPr>
      <w:r>
        <w:rPr>
          <w:rFonts w:hint="eastAsia"/>
        </w:rPr>
        <w:t>（2）统筹设计变更管理，评估变更对成本、进度的影响，提出优化建议并报发包人审批。</w:t>
      </w:r>
    </w:p>
    <w:p w14:paraId="195E24AE">
      <w:pPr>
        <w:pStyle w:val="54"/>
        <w:spacing w:before="24" w:after="24"/>
      </w:pPr>
      <w:r>
        <w:rPr>
          <w:rFonts w:hint="eastAsia"/>
        </w:rPr>
        <w:t>（3）组织图纸会审与设计交底，协调设计与施工、勘察的技术衔接问题。</w:t>
      </w:r>
    </w:p>
    <w:p w14:paraId="4BB1D61E">
      <w:pPr>
        <w:pStyle w:val="66"/>
      </w:pPr>
      <w:r>
        <w:rPr>
          <w:rFonts w:hint="eastAsia"/>
        </w:rPr>
        <w:t>2.3 EPC 合同与采购管理</w:t>
      </w:r>
    </w:p>
    <w:p w14:paraId="00700B81">
      <w:pPr>
        <w:pStyle w:val="54"/>
        <w:spacing w:before="24" w:after="24"/>
      </w:pPr>
      <w:r>
        <w:rPr>
          <w:rFonts w:hint="eastAsia"/>
        </w:rPr>
        <w:t>（1）协助发包人编制 EPC 招标文件、评标标准，参与 EPC 总承包商的招标与合同谈判。</w:t>
      </w:r>
    </w:p>
    <w:p w14:paraId="6575F5BB">
      <w:pPr>
        <w:pStyle w:val="54"/>
        <w:spacing w:before="24" w:after="24"/>
      </w:pPr>
      <w:r>
        <w:rPr>
          <w:rFonts w:hint="eastAsia"/>
        </w:rPr>
        <w:t>（2）监督 EPC 总承包商的设备材料采购流程，审核供应商资质与采购合同关键条款（质量标准、交付周期）。</w:t>
      </w:r>
    </w:p>
    <w:p w14:paraId="7960E4AB">
      <w:pPr>
        <w:pStyle w:val="54"/>
        <w:spacing w:before="24" w:after="24"/>
      </w:pPr>
      <w:r>
        <w:rPr>
          <w:rFonts w:hint="eastAsia"/>
        </w:rPr>
        <w:t>（3）跟踪设备材料生产、运输及到场验收，协调解决采购质量异议与交付延误。</w:t>
      </w:r>
    </w:p>
    <w:p w14:paraId="15316258">
      <w:pPr>
        <w:pStyle w:val="66"/>
      </w:pPr>
      <w:r>
        <w:rPr>
          <w:rFonts w:hint="eastAsia"/>
        </w:rPr>
        <w:t>2.4施工阶段统筹管理</w:t>
      </w:r>
    </w:p>
    <w:p w14:paraId="229684F0">
      <w:pPr>
        <w:pStyle w:val="54"/>
        <w:spacing w:before="24" w:after="24"/>
      </w:pPr>
      <w:r>
        <w:rPr>
          <w:rFonts w:hint="eastAsia"/>
        </w:rPr>
        <w:t>（1）负责工程量清单及工程量清单计价文件编制或审核；施工阶段全过程造价控制；竣工结算审核。</w:t>
      </w:r>
    </w:p>
    <w:p w14:paraId="0376C328">
      <w:pPr>
        <w:pStyle w:val="54"/>
        <w:spacing w:before="24" w:after="24"/>
      </w:pPr>
      <w:r>
        <w:rPr>
          <w:rFonts w:hint="eastAsia"/>
        </w:rPr>
        <w:t>（2）审核EPC 总承包商的施工组织设计、专项施工方案（如深基坑、高支模），监督方案落实。</w:t>
      </w:r>
    </w:p>
    <w:p w14:paraId="7E299272">
      <w:pPr>
        <w:pStyle w:val="54"/>
        <w:spacing w:before="24" w:after="24"/>
      </w:pPr>
      <w:r>
        <w:rPr>
          <w:rFonts w:hint="eastAsia"/>
        </w:rPr>
        <w:t>（3）制定三级进度计划，跟踪 EPC 施工进度，协调解决交叉作业、资源冲突等问题，动态调整偏差。</w:t>
      </w:r>
    </w:p>
    <w:p w14:paraId="1BE4131B">
      <w:pPr>
        <w:pStyle w:val="54"/>
        <w:spacing w:before="24" w:after="24"/>
      </w:pPr>
      <w:r>
        <w:rPr>
          <w:rFonts w:hint="eastAsia"/>
        </w:rPr>
        <w:t>（4）统筹质量安全管控，组织联合巡查，督促 EPC 与监理单位落实安全文明施工措施。</w:t>
      </w:r>
    </w:p>
    <w:p w14:paraId="17BDB7AC">
      <w:pPr>
        <w:pStyle w:val="54"/>
        <w:spacing w:before="24" w:after="24"/>
      </w:pPr>
      <w:r>
        <w:rPr>
          <w:rFonts w:hint="eastAsia"/>
        </w:rPr>
        <w:t>（5）审核 EPC 总承包商的进度款支付申请，结合进度与质量验收结果提出支付建议。</w:t>
      </w:r>
    </w:p>
    <w:p w14:paraId="643BF230">
      <w:pPr>
        <w:pStyle w:val="54"/>
        <w:spacing w:before="24" w:after="24"/>
      </w:pPr>
      <w:r>
        <w:rPr>
          <w:rFonts w:hint="eastAsia"/>
        </w:rPr>
        <w:t>（6）协助发包人调查处理工程质量、安全事故。</w:t>
      </w:r>
    </w:p>
    <w:p w14:paraId="6AC6F7D2">
      <w:pPr>
        <w:pStyle w:val="54"/>
        <w:spacing w:before="24" w:after="24"/>
      </w:pPr>
      <w:r>
        <w:rPr>
          <w:rFonts w:hint="eastAsia"/>
        </w:rPr>
        <w:t>（7）搭建集成报批报建模块、计划管理模块、各类成果文件模块、固</w:t>
      </w:r>
    </w:p>
    <w:p w14:paraId="6E1E3211">
      <w:pPr>
        <w:pStyle w:val="54"/>
        <w:spacing w:before="24" w:after="24"/>
      </w:pPr>
      <w:r>
        <w:rPr>
          <w:rFonts w:hint="eastAsia"/>
        </w:rPr>
        <w:t xml:space="preserve"> </w:t>
      </w:r>
    </w:p>
    <w:p w14:paraId="17739CE8">
      <w:pPr>
        <w:pStyle w:val="54"/>
        <w:spacing w:before="24" w:after="24"/>
      </w:pPr>
      <w:r>
        <w:rPr>
          <w:rFonts w:hint="eastAsia"/>
        </w:rPr>
        <w:t>化工作流程、多端（电脑、PAD、手机）数据共享以及协同工作方式的项目协同管理平台。充分利用信息平台形成的管理、指标、参数及供应商等数据库系统，实现实时预警投资风险，有效节约项目投资；实现建设项目的资金、工期、质量、安全、隐蔽工程及管理资料等管控全程可溯，防范管理风险和审计风险。</w:t>
      </w:r>
    </w:p>
    <w:p w14:paraId="495724F5">
      <w:pPr>
        <w:pStyle w:val="66"/>
      </w:pPr>
      <w:r>
        <w:rPr>
          <w:rFonts w:hint="eastAsia"/>
        </w:rPr>
        <w:t>2.5成本与风险管理</w:t>
      </w:r>
    </w:p>
    <w:p w14:paraId="2F319915">
      <w:pPr>
        <w:pStyle w:val="54"/>
        <w:spacing w:before="24" w:after="24"/>
      </w:pPr>
      <w:r>
        <w:rPr>
          <w:rFonts w:hint="eastAsia"/>
        </w:rPr>
        <w:t>（1）开展全流程成本控制，编制概算、预算，动态跟踪成本偏差，提出设计优化、采购议价等降本措施。</w:t>
      </w:r>
    </w:p>
    <w:p w14:paraId="1CCA7872">
      <w:pPr>
        <w:pStyle w:val="54"/>
        <w:spacing w:before="24" w:after="24"/>
      </w:pPr>
      <w:r>
        <w:rPr>
          <w:rFonts w:hint="eastAsia"/>
        </w:rPr>
        <w:t>（2）识别政策、地质、施工等风险点，制定应对预案，处理 EPC 合同索赔与反索赔事宜。</w:t>
      </w:r>
    </w:p>
    <w:p w14:paraId="1E7B81A3">
      <w:pPr>
        <w:pStyle w:val="54"/>
        <w:spacing w:before="24" w:after="24"/>
      </w:pPr>
      <w:r>
        <w:rPr>
          <w:rFonts w:hint="eastAsia"/>
        </w:rPr>
        <w:t>（3）定期向发包人提交进度、质量、成本动态报告，同步项目管理数据至数字化平台。</w:t>
      </w:r>
    </w:p>
    <w:p w14:paraId="032903FD">
      <w:pPr>
        <w:pStyle w:val="66"/>
      </w:pPr>
      <w:r>
        <w:rPr>
          <w:rFonts w:hint="eastAsia"/>
        </w:rPr>
        <w:t>2.6竣工与移交管理</w:t>
      </w:r>
    </w:p>
    <w:p w14:paraId="578AB61C">
      <w:pPr>
        <w:pStyle w:val="54"/>
        <w:spacing w:before="24" w:after="24"/>
      </w:pPr>
      <w:r>
        <w:rPr>
          <w:rFonts w:hint="eastAsia"/>
        </w:rPr>
        <w:t>（1）协助发包人组织 EPC 总承包商、监理单位开展竣工预验收，督促整改闭环，协调正式竣工验收。</w:t>
      </w:r>
    </w:p>
    <w:p w14:paraId="7F7928A9">
      <w:pPr>
        <w:pStyle w:val="54"/>
        <w:spacing w:before="24" w:after="24"/>
      </w:pPr>
      <w:r>
        <w:rPr>
          <w:rFonts w:hint="eastAsia"/>
        </w:rPr>
        <w:t>（2）统筹竣工资料的收集、整理与归档，编制竣工总结报告。</w:t>
      </w:r>
    </w:p>
    <w:p w14:paraId="6619E017">
      <w:pPr>
        <w:pStyle w:val="54"/>
        <w:spacing w:before="24" w:after="24"/>
      </w:pPr>
      <w:r>
        <w:rPr>
          <w:rFonts w:hint="eastAsia"/>
        </w:rPr>
        <w:t>（3）协助发包人办理竣工备案、产权登记，推动项目资产移交与运维资料交接。</w:t>
      </w:r>
    </w:p>
    <w:p w14:paraId="09B6C693">
      <w:pPr>
        <w:pStyle w:val="66"/>
      </w:pPr>
      <w:r>
        <w:rPr>
          <w:rFonts w:hint="eastAsia"/>
        </w:rPr>
        <w:t>2.7协同与监督管理</w:t>
      </w:r>
    </w:p>
    <w:p w14:paraId="43EC9E50">
      <w:pPr>
        <w:pStyle w:val="54"/>
        <w:spacing w:before="24" w:after="24"/>
      </w:pPr>
      <w:r>
        <w:rPr>
          <w:rFonts w:hint="eastAsia"/>
        </w:rPr>
        <w:t>（1）协调监理、勘察、第三方检测等单位与 EPC 总承包商的工作界面，解决技术争议。</w:t>
      </w:r>
    </w:p>
    <w:p w14:paraId="678243A5">
      <w:pPr>
        <w:pStyle w:val="54"/>
        <w:spacing w:before="24" w:after="24"/>
      </w:pPr>
      <w:r>
        <w:rPr>
          <w:rFonts w:hint="eastAsia"/>
        </w:rPr>
        <w:t>（2）监督检查（如日常巡检、专项检查）监理单位、第三方检测单位、勘察单位、EPC 总承包商履职情况，提出改进要求，编制监督、检查报告报发包人，并在发包人授权范围内，对各单位进行考核。</w:t>
      </w:r>
    </w:p>
    <w:p w14:paraId="0B69EFF4">
      <w:pPr>
        <w:pStyle w:val="54"/>
        <w:spacing w:before="24" w:after="24"/>
      </w:pPr>
      <w:r>
        <w:rPr>
          <w:rFonts w:hint="eastAsia"/>
        </w:rPr>
        <w:t>（3）组织项目专项例会、专项论证会，形成会议纪要并跟踪落实。</w:t>
      </w:r>
    </w:p>
    <w:p w14:paraId="7A272367">
      <w:pPr>
        <w:pStyle w:val="64"/>
        <w:spacing w:before="24" w:after="24"/>
      </w:pPr>
      <w:bookmarkStart w:id="119" w:name="_Toc221894148"/>
      <w:r>
        <w:rPr>
          <w:rFonts w:hint="eastAsia"/>
        </w:rPr>
        <w:t>3、监理单位主要职责</w:t>
      </w:r>
      <w:bookmarkEnd w:id="119"/>
    </w:p>
    <w:p w14:paraId="4A86165C">
      <w:pPr>
        <w:pStyle w:val="54"/>
        <w:spacing w:before="24" w:after="24"/>
      </w:pPr>
      <w:r>
        <w:rPr>
          <w:rFonts w:hint="eastAsia"/>
        </w:rPr>
        <w:t>（1）严格遵守相关法律法规和规范标准，认真履行建设工程合同所规定的责任和义务。</w:t>
      </w:r>
    </w:p>
    <w:p w14:paraId="1514AFA6">
      <w:pPr>
        <w:pStyle w:val="54"/>
        <w:spacing w:before="24" w:after="24"/>
      </w:pPr>
      <w:r>
        <w:rPr>
          <w:rFonts w:hint="eastAsia"/>
        </w:rPr>
        <w:t>（2）严格按合同要求配备现场监理部人员，并确保所有人员到岗履职。根据工程进展及监理工作情况调配监理人员，检查监理人员履行职责情况。</w:t>
      </w:r>
    </w:p>
    <w:p w14:paraId="55A3402E">
      <w:pPr>
        <w:pStyle w:val="54"/>
        <w:spacing w:before="24" w:after="24"/>
      </w:pPr>
      <w:r>
        <w:rPr>
          <w:rFonts w:hint="eastAsia"/>
        </w:rPr>
        <w:t>（3）编制监理规划、监理实施细则，监理规划及实施细则报全过程咨询单位及发包人审核后执行。</w:t>
      </w:r>
    </w:p>
    <w:p w14:paraId="72E20C7C">
      <w:pPr>
        <w:pStyle w:val="54"/>
        <w:spacing w:before="24" w:after="24"/>
      </w:pPr>
      <w:r>
        <w:rPr>
          <w:rFonts w:hint="eastAsia"/>
        </w:rPr>
        <w:t>（４）审查EPC 总承包商的安全文明、质量、进度保证措施，在施工的全过程对施工安全文明、质量、进度进行严格监督检查，发现违规行为及时下发整改通知，必要时进行经济考核。</w:t>
      </w:r>
    </w:p>
    <w:p w14:paraId="6505E0D7">
      <w:pPr>
        <w:pStyle w:val="54"/>
        <w:spacing w:before="24" w:after="24"/>
      </w:pPr>
      <w:r>
        <w:rPr>
          <w:rFonts w:hint="eastAsia"/>
        </w:rPr>
        <w:t>（５）独立开展质量监督，审核EPC 施工方案与材料设备质量证明文件，实施旁站监理与隐蔽工程验收。</w:t>
      </w:r>
    </w:p>
    <w:p w14:paraId="2D8F723F">
      <w:pPr>
        <w:pStyle w:val="54"/>
        <w:spacing w:before="24" w:after="24"/>
      </w:pPr>
      <w:r>
        <w:rPr>
          <w:rFonts w:hint="eastAsia"/>
        </w:rPr>
        <w:t>（6）审核 EPC 总承包商的工程量计量与进度款支付申请，签署监理意见，报管理单位复核。</w:t>
      </w:r>
    </w:p>
    <w:p w14:paraId="731EA211">
      <w:pPr>
        <w:pStyle w:val="54"/>
        <w:spacing w:before="24" w:after="24"/>
      </w:pPr>
      <w:r>
        <w:rPr>
          <w:rFonts w:hint="eastAsia"/>
        </w:rPr>
        <w:t>（7）参与图纸会审、设计交底与专项方案论证，提出监理技术建议。</w:t>
      </w:r>
    </w:p>
    <w:p w14:paraId="793C5571">
      <w:pPr>
        <w:pStyle w:val="54"/>
        <w:spacing w:before="24" w:after="24"/>
      </w:pPr>
      <w:r>
        <w:rPr>
          <w:rFonts w:hint="eastAsia"/>
        </w:rPr>
        <w:t>（8）记录施工过程监理日志，编制监理月报、专题报告，向发包人和管理单位反馈项目情况。</w:t>
      </w:r>
    </w:p>
    <w:p w14:paraId="1AA6C637">
      <w:pPr>
        <w:pStyle w:val="54"/>
        <w:spacing w:before="24" w:after="24"/>
      </w:pPr>
      <w:r>
        <w:rPr>
          <w:rFonts w:hint="eastAsia"/>
        </w:rPr>
        <w:t>（9）对管理单位巡检查出的施工现场的施工质量、安全、文明施工问题，督促EPC 总承包商进行整改，并向管理单位反馈整改情况。</w:t>
      </w:r>
    </w:p>
    <w:p w14:paraId="0B0EF0B1">
      <w:pPr>
        <w:pStyle w:val="54"/>
        <w:spacing w:before="24" w:after="24"/>
      </w:pPr>
      <w:r>
        <w:rPr>
          <w:rFonts w:hint="eastAsia"/>
        </w:rPr>
        <w:t>（10）参与竣工预验收，监督竣工验收前问题整改，参与正式验收，签署工程质量评估报告。</w:t>
      </w:r>
    </w:p>
    <w:p w14:paraId="57347F6E">
      <w:pPr>
        <w:pStyle w:val="64"/>
        <w:spacing w:before="24" w:after="24"/>
      </w:pPr>
      <w:bookmarkStart w:id="120" w:name="_Toc221894149"/>
      <w:r>
        <w:rPr>
          <w:rFonts w:hint="eastAsia"/>
        </w:rPr>
        <w:t>4、勘察单位主要职责</w:t>
      </w:r>
      <w:bookmarkEnd w:id="120"/>
    </w:p>
    <w:p w14:paraId="14098398">
      <w:pPr>
        <w:pStyle w:val="54"/>
        <w:spacing w:before="24" w:after="24"/>
      </w:pPr>
      <w:r>
        <w:rPr>
          <w:rFonts w:hint="eastAsia"/>
        </w:rPr>
        <w:t>（1）开展地质勘察工作，提交准确的地质勘察报告（含地层分布、水文数据、岩土参数）。</w:t>
      </w:r>
    </w:p>
    <w:p w14:paraId="4C0A0F85">
      <w:pPr>
        <w:pStyle w:val="54"/>
        <w:spacing w:before="24" w:after="24"/>
      </w:pPr>
      <w:r>
        <w:rPr>
          <w:rFonts w:hint="eastAsia"/>
        </w:rPr>
        <w:t>（2）参与项目前期地质风险评估，提供基础设计选型的技术支持（如桩基、地基处理方案建议）。</w:t>
      </w:r>
    </w:p>
    <w:p w14:paraId="39024F16">
      <w:pPr>
        <w:pStyle w:val="54"/>
        <w:spacing w:before="24" w:after="24"/>
      </w:pPr>
      <w:r>
        <w:rPr>
          <w:rFonts w:hint="eastAsia"/>
        </w:rPr>
        <w:t>（3）参与图纸会审与设计交底，解答 EPC 设计单位、施工单位提出地质条件相关问题。</w:t>
      </w:r>
    </w:p>
    <w:p w14:paraId="28A0DCCE">
      <w:pPr>
        <w:pStyle w:val="54"/>
        <w:spacing w:before="24" w:after="24"/>
      </w:pPr>
      <w:r>
        <w:rPr>
          <w:rFonts w:hint="eastAsia"/>
        </w:rPr>
        <w:t>（4）配合施工过程中的地质验证，参与基坑开挖、桩基施工等关键环节的地质情况复核。</w:t>
      </w:r>
    </w:p>
    <w:p w14:paraId="3E438E32">
      <w:pPr>
        <w:pStyle w:val="54"/>
        <w:spacing w:before="24" w:after="24"/>
      </w:pPr>
      <w:r>
        <w:rPr>
          <w:rFonts w:hint="eastAsia"/>
        </w:rPr>
        <w:t>（5）针对施工中发现的地质异常（如软弱地层），及时出具补充勘察报告与处理建议。</w:t>
      </w:r>
    </w:p>
    <w:p w14:paraId="40B2F951">
      <w:pPr>
        <w:pStyle w:val="54"/>
        <w:spacing w:before="24" w:after="24"/>
      </w:pPr>
      <w:r>
        <w:rPr>
          <w:rFonts w:hint="eastAsia"/>
        </w:rPr>
        <w:t>（6）参与项目竣工验收，提供勘察相关资料，配合完成勘察部分的验收备案。</w:t>
      </w:r>
    </w:p>
    <w:p w14:paraId="2D137A82">
      <w:pPr>
        <w:pStyle w:val="64"/>
        <w:spacing w:before="24" w:after="24"/>
      </w:pPr>
      <w:bookmarkStart w:id="121" w:name="_Toc221894150"/>
      <w:r>
        <w:rPr>
          <w:rFonts w:hint="eastAsia"/>
        </w:rPr>
        <w:t>5、EPC 总承包单位（设计）主要职责</w:t>
      </w:r>
      <w:bookmarkEnd w:id="121"/>
    </w:p>
    <w:p w14:paraId="5F4F9E26">
      <w:pPr>
        <w:pStyle w:val="54"/>
        <w:spacing w:before="24" w:after="24"/>
      </w:pPr>
      <w:r>
        <w:rPr>
          <w:rFonts w:hint="eastAsia"/>
        </w:rPr>
        <w:t>（1）严格遵守相关法律法规和规范标准，认真履行建设工程设计合同规定的各项责任和义务，不转包设计业务。</w:t>
      </w:r>
    </w:p>
    <w:p w14:paraId="0C72F83E">
      <w:pPr>
        <w:pStyle w:val="54"/>
        <w:spacing w:before="24" w:after="24"/>
      </w:pPr>
      <w:r>
        <w:rPr>
          <w:rFonts w:hint="eastAsia"/>
        </w:rPr>
        <w:t>（2）在 EPC 总承包商统筹下，完成施工图设计及 BIM 模型创建，以及二次深化设计工作，确保设计深度。</w:t>
      </w:r>
    </w:p>
    <w:p w14:paraId="31AA0D3C">
      <w:pPr>
        <w:pStyle w:val="54"/>
        <w:spacing w:before="24" w:after="24"/>
      </w:pPr>
      <w:r>
        <w:rPr>
          <w:rFonts w:hint="eastAsia"/>
        </w:rPr>
        <w:t>（3）优化设计方案的经济性与可施工性，配合管理单位的设计审核，及时修改完善设计缺陷；完成施工图审查公司提出问题的修改，取得施工图审查合格证。</w:t>
      </w:r>
    </w:p>
    <w:p w14:paraId="63CA7ECD">
      <w:pPr>
        <w:pStyle w:val="54"/>
        <w:spacing w:before="24" w:after="24"/>
      </w:pPr>
      <w:r>
        <w:rPr>
          <w:rFonts w:hint="eastAsia"/>
        </w:rPr>
        <w:t>（4）参与图纸会审与设计交底，向 EPC 施工单位、监理单位、管理单位答疑技术问题。</w:t>
      </w:r>
    </w:p>
    <w:p w14:paraId="6A6F6DAA">
      <w:pPr>
        <w:pStyle w:val="54"/>
        <w:spacing w:before="24" w:after="24"/>
      </w:pPr>
      <w:r>
        <w:rPr>
          <w:rFonts w:hint="eastAsia"/>
        </w:rPr>
        <w:t>（5）处理施工过程中的设计变更，出具变更图纸与技术核定单，配合成本核算与工期调整。</w:t>
      </w:r>
    </w:p>
    <w:p w14:paraId="4FCF01E0">
      <w:pPr>
        <w:pStyle w:val="54"/>
        <w:spacing w:before="24" w:after="24"/>
      </w:pPr>
      <w:r>
        <w:rPr>
          <w:rFonts w:hint="eastAsia"/>
        </w:rPr>
        <w:t>（6）配合 EPC 总承包商完成设备材料采购的技术参数确认，参与关键设备选型论证。</w:t>
      </w:r>
    </w:p>
    <w:p w14:paraId="5387D686">
      <w:pPr>
        <w:pStyle w:val="54"/>
        <w:spacing w:before="24" w:after="24"/>
      </w:pPr>
      <w:r>
        <w:rPr>
          <w:rFonts w:hint="eastAsia"/>
        </w:rPr>
        <w:t>（7）参与地基验槽、重要分部分项工程和单位工程竣工验收，真实客观地签署验收结论；参与项目整体竣工验收，提供设计相关竣工资料，协助完成设计部分的验收备案。</w:t>
      </w:r>
    </w:p>
    <w:p w14:paraId="1D3DBEF4">
      <w:pPr>
        <w:pStyle w:val="64"/>
        <w:spacing w:before="24" w:after="24"/>
      </w:pPr>
      <w:bookmarkStart w:id="122" w:name="_Toc221894151"/>
      <w:r>
        <w:rPr>
          <w:rFonts w:hint="eastAsia"/>
        </w:rPr>
        <w:t>6、EPC 总承包单位（施工）主要职责</w:t>
      </w:r>
      <w:bookmarkEnd w:id="122"/>
    </w:p>
    <w:p w14:paraId="64D35C2C">
      <w:pPr>
        <w:pStyle w:val="54"/>
        <w:spacing w:before="24" w:after="24"/>
      </w:pPr>
      <w:r>
        <w:rPr>
          <w:rFonts w:hint="eastAsia"/>
        </w:rPr>
        <w:t>（1）严格遵守相关法律法规和规范标准，认真履行建设工程合同所规定的责任和义务。</w:t>
      </w:r>
    </w:p>
    <w:p w14:paraId="1B83F368">
      <w:pPr>
        <w:pStyle w:val="54"/>
        <w:spacing w:before="24" w:after="24"/>
      </w:pPr>
      <w:r>
        <w:rPr>
          <w:rFonts w:hint="eastAsia"/>
        </w:rPr>
        <w:t>（2）按照EPC 合同与施工图纸，编制施工组织设计、专项施工方案，报监理、管理单位及发包人审核后实施。</w:t>
      </w:r>
    </w:p>
    <w:p w14:paraId="301D9414">
      <w:pPr>
        <w:pStyle w:val="54"/>
        <w:spacing w:before="24" w:after="24"/>
      </w:pPr>
      <w:r>
        <w:rPr>
          <w:rFonts w:hint="eastAsia"/>
        </w:rPr>
        <w:t>（3）负责施工队伍组织、施工设备调配与现场管理，落实质量安全责任制，确保施工符合规范。</w:t>
      </w:r>
    </w:p>
    <w:p w14:paraId="79C69F0D">
      <w:pPr>
        <w:pStyle w:val="54"/>
        <w:spacing w:before="24" w:after="24"/>
      </w:pPr>
      <w:r>
        <w:rPr>
          <w:rFonts w:hint="eastAsia"/>
        </w:rPr>
        <w:t>（4）严格按照进度计划施工，及时向 EPC 总承包商、监理、发包人和管理单位上报进度数据，配合进度调整。</w:t>
      </w:r>
    </w:p>
    <w:p w14:paraId="53D0A31E">
      <w:pPr>
        <w:pStyle w:val="54"/>
        <w:spacing w:before="24" w:after="24"/>
      </w:pPr>
      <w:r>
        <w:rPr>
          <w:rFonts w:hint="eastAsia"/>
        </w:rPr>
        <w:t>（5）负责施工材料、设备的进场验收与现场存储管理，提供质量证明文件，接受监理与第三方检测。</w:t>
      </w:r>
    </w:p>
    <w:p w14:paraId="060E973C">
      <w:pPr>
        <w:pStyle w:val="54"/>
        <w:spacing w:before="24" w:after="24"/>
      </w:pPr>
      <w:r>
        <w:rPr>
          <w:rFonts w:hint="eastAsia"/>
        </w:rPr>
        <w:t>（6）配合监理单位的旁站监督与质量检测，记录施工过程资料，对监理单位、发包人和管理单位及行业主管部门提出的问题，及时整改。</w:t>
      </w:r>
    </w:p>
    <w:p w14:paraId="78CC8A65">
      <w:pPr>
        <w:pStyle w:val="54"/>
        <w:spacing w:before="24" w:after="24"/>
      </w:pPr>
      <w:r>
        <w:rPr>
          <w:rFonts w:hint="eastAsia"/>
        </w:rPr>
        <w:t>（7）参与交叉作业协调，处理现场技术难题，向 EPC 总承包人提出设计优化或变更建议。</w:t>
      </w:r>
    </w:p>
    <w:p w14:paraId="59E64E55">
      <w:pPr>
        <w:pStyle w:val="54"/>
        <w:spacing w:before="24" w:after="24"/>
      </w:pPr>
      <w:r>
        <w:rPr>
          <w:rFonts w:hint="eastAsia"/>
        </w:rPr>
        <w:t>（8）对发包范围外相关工作，积极按发包人要求配合完成。</w:t>
      </w:r>
    </w:p>
    <w:p w14:paraId="735806A4">
      <w:pPr>
        <w:pStyle w:val="54"/>
        <w:spacing w:before="24" w:after="24"/>
      </w:pPr>
      <w:r>
        <w:rPr>
          <w:rFonts w:hint="eastAsia"/>
        </w:rPr>
        <w:t>（9）负责施工场地的安全文明施工与环境保护，落实扬尘、噪音控制、三废排放等措施。</w:t>
      </w:r>
    </w:p>
    <w:p w14:paraId="1303B3C6">
      <w:pPr>
        <w:pStyle w:val="54"/>
        <w:spacing w:before="24" w:after="24"/>
      </w:pPr>
      <w:r>
        <w:rPr>
          <w:rFonts w:hint="eastAsia"/>
        </w:rPr>
        <w:t>（10）整理施工竣工资料，参与竣工预验收与正式验收，完成竣工整改与场地清理。</w:t>
      </w:r>
    </w:p>
    <w:p w14:paraId="10145F84">
      <w:pPr>
        <w:pStyle w:val="54"/>
        <w:spacing w:before="24" w:after="24"/>
      </w:pPr>
      <w:r>
        <w:rPr>
          <w:rFonts w:hint="eastAsia"/>
        </w:rPr>
        <w:t>（11）按规定报告质量、安全事故，及时启动应急预案，保护事故现场，并开展应急救援。</w:t>
      </w:r>
    </w:p>
    <w:p w14:paraId="78A10159">
      <w:pPr>
        <w:pStyle w:val="64"/>
        <w:spacing w:before="24" w:after="24"/>
      </w:pPr>
      <w:bookmarkStart w:id="123" w:name="_Toc221894152"/>
      <w:r>
        <w:rPr>
          <w:rFonts w:hint="eastAsia"/>
        </w:rPr>
        <w:t>7、第三方检测单位主要职责</w:t>
      </w:r>
      <w:bookmarkEnd w:id="123"/>
    </w:p>
    <w:p w14:paraId="53BDAE97">
      <w:pPr>
        <w:pStyle w:val="54"/>
        <w:spacing w:before="24" w:after="24"/>
        <w:rPr>
          <w:color w:val="0D0D0D" w:themeColor="text1" w:themeTint="F2"/>
          <w14:textFill>
            <w14:solidFill>
              <w14:schemeClr w14:val="tx1">
                <w14:lumMod w14:val="95000"/>
                <w14:lumOff w14:val="5000"/>
              </w14:schemeClr>
            </w14:solidFill>
          </w14:textFill>
        </w:rPr>
      </w:pPr>
      <w:r>
        <w:rPr>
          <w:rFonts w:hint="eastAsia"/>
          <w:color w:val="0D0D0D" w:themeColor="text1" w:themeTint="F2"/>
          <w14:textFill>
            <w14:solidFill>
              <w14:schemeClr w14:val="tx1">
                <w14:lumMod w14:val="95000"/>
                <w14:lumOff w14:val="5000"/>
              </w14:schemeClr>
            </w14:solidFill>
          </w14:textFill>
        </w:rPr>
        <w:t>（1）遵守行业规范与检测机构资质要求，确保检测行为合规、数据准确无误。</w:t>
      </w:r>
    </w:p>
    <w:p w14:paraId="2EDFA90E">
      <w:pPr>
        <w:pStyle w:val="54"/>
        <w:spacing w:before="24" w:after="24"/>
        <w:rPr>
          <w:color w:val="0D0D0D" w:themeColor="text1" w:themeTint="F2"/>
          <w14:textFill>
            <w14:solidFill>
              <w14:schemeClr w14:val="tx1">
                <w14:lumMod w14:val="95000"/>
                <w14:lumOff w14:val="5000"/>
              </w14:schemeClr>
            </w14:solidFill>
          </w14:textFill>
        </w:rPr>
      </w:pPr>
      <w:r>
        <w:rPr>
          <w:rFonts w:hint="eastAsia"/>
          <w:color w:val="0D0D0D" w:themeColor="text1" w:themeTint="F2"/>
          <w14:textFill>
            <w14:solidFill>
              <w14:schemeClr w14:val="tx1">
                <w14:lumMod w14:val="95000"/>
                <w14:lumOff w14:val="5000"/>
              </w14:schemeClr>
            </w14:solidFill>
          </w14:textFill>
        </w:rPr>
        <w:t>（2）编制专项检测方案，明确检测范围、依据标准、方法流程及频次，报发包人和管理单位审批后执行。</w:t>
      </w:r>
    </w:p>
    <w:p w14:paraId="55653B87">
      <w:pPr>
        <w:pStyle w:val="54"/>
        <w:spacing w:before="24" w:after="24"/>
        <w:rPr>
          <w:color w:val="0D0D0D" w:themeColor="text1" w:themeTint="F2"/>
          <w14:textFill>
            <w14:solidFill>
              <w14:schemeClr w14:val="tx1">
                <w14:lumMod w14:val="95000"/>
                <w14:lumOff w14:val="5000"/>
              </w14:schemeClr>
            </w14:solidFill>
          </w14:textFill>
        </w:rPr>
      </w:pPr>
      <w:r>
        <w:rPr>
          <w:rFonts w:hint="eastAsia"/>
          <w:color w:val="0D0D0D" w:themeColor="text1" w:themeTint="F2"/>
          <w14:textFill>
            <w14:solidFill>
              <w14:schemeClr w14:val="tx1">
                <w14:lumMod w14:val="95000"/>
                <w14:lumOff w14:val="5000"/>
              </w14:schemeClr>
            </w14:solidFill>
          </w14:textFill>
        </w:rPr>
        <w:t>（3）建立检测数据台账与样品管理体系，保障样品真实性、检测过程可追溯性。</w:t>
      </w:r>
    </w:p>
    <w:p w14:paraId="27A981C9">
      <w:pPr>
        <w:pStyle w:val="54"/>
        <w:spacing w:before="24" w:after="24"/>
        <w:rPr>
          <w:color w:val="0D0D0D" w:themeColor="text1" w:themeTint="F2"/>
          <w14:textFill>
            <w14:solidFill>
              <w14:schemeClr w14:val="tx1">
                <w14:lumMod w14:val="95000"/>
                <w14:lumOff w14:val="5000"/>
              </w14:schemeClr>
            </w14:solidFill>
          </w14:textFill>
        </w:rPr>
      </w:pPr>
      <w:r>
        <w:rPr>
          <w:rFonts w:hint="eastAsia"/>
          <w:color w:val="0D0D0D" w:themeColor="text1" w:themeTint="F2"/>
          <w14:textFill>
            <w14:solidFill>
              <w14:schemeClr w14:val="tx1">
                <w14:lumMod w14:val="95000"/>
                <w14:lumOff w14:val="5000"/>
              </w14:schemeClr>
            </w14:solidFill>
          </w14:textFill>
        </w:rPr>
        <w:t>（4）按发包人委托范围开展见证取样或现场检测，涵盖材料设备、施工过程、实体质量等检测，不超资质、超范围检测。独立进行检测，完成检测试验，如实记录数据，出具具备法律效力的检测报告，在规定时间向发包人、监理单位、管理单位提交检测试验报告或检测试验结果。</w:t>
      </w:r>
    </w:p>
    <w:p w14:paraId="2CE4CA65">
      <w:pPr>
        <w:pStyle w:val="54"/>
        <w:spacing w:before="24" w:after="24"/>
        <w:rPr>
          <w:color w:val="0D0D0D" w:themeColor="text1" w:themeTint="F2"/>
          <w14:textFill>
            <w14:solidFill>
              <w14:schemeClr w14:val="tx1">
                <w14:lumMod w14:val="95000"/>
                <w14:lumOff w14:val="5000"/>
              </w14:schemeClr>
            </w14:solidFill>
          </w14:textFill>
        </w:rPr>
      </w:pPr>
      <w:r>
        <w:rPr>
          <w:rFonts w:hint="eastAsia"/>
          <w:color w:val="0D0D0D" w:themeColor="text1" w:themeTint="F2"/>
          <w14:textFill>
            <w14:solidFill>
              <w14:schemeClr w14:val="tx1">
                <w14:lumMod w14:val="95000"/>
                <w14:lumOff w14:val="5000"/>
              </w14:schemeClr>
            </w14:solidFill>
          </w14:textFill>
        </w:rPr>
        <w:t>（5）对可能影响工程质量的检测结果，第一时间向发包人、监理单位及管理单位反馈，同步提供整改建议。</w:t>
      </w:r>
    </w:p>
    <w:p w14:paraId="60355E61">
      <w:pPr>
        <w:pStyle w:val="54"/>
        <w:spacing w:before="24" w:after="24"/>
        <w:rPr>
          <w:color w:val="0D0D0D" w:themeColor="text1" w:themeTint="F2"/>
          <w14:textFill>
            <w14:solidFill>
              <w14:schemeClr w14:val="tx1">
                <w14:lumMod w14:val="95000"/>
                <w14:lumOff w14:val="5000"/>
              </w14:schemeClr>
            </w14:solidFill>
          </w14:textFill>
        </w:rPr>
      </w:pPr>
      <w:r>
        <w:rPr>
          <w:rFonts w:hint="eastAsia"/>
          <w:color w:val="0D0D0D" w:themeColor="text1" w:themeTint="F2"/>
          <w14:textFill>
            <w14:solidFill>
              <w14:schemeClr w14:val="tx1">
                <w14:lumMod w14:val="95000"/>
                <w14:lumOff w14:val="5000"/>
              </w14:schemeClr>
            </w14:solidFill>
          </w14:textFill>
        </w:rPr>
        <w:t>（6）对于提交的工作成果，如发包人、管理单位、监理单位对有任何疑问，需要进行解答。按发包人、管理单位、监理单位参加有关会议，对涉及第三方检测数据进行解释。</w:t>
      </w:r>
    </w:p>
    <w:p w14:paraId="7A729955">
      <w:pPr>
        <w:pStyle w:val="54"/>
        <w:spacing w:before="24" w:after="24"/>
        <w:rPr>
          <w:color w:val="0D0D0D" w:themeColor="text1" w:themeTint="F2"/>
          <w14:textFill>
            <w14:solidFill>
              <w14:schemeClr w14:val="tx1">
                <w14:lumMod w14:val="95000"/>
                <w14:lumOff w14:val="5000"/>
              </w14:schemeClr>
            </w14:solidFill>
          </w14:textFill>
        </w:rPr>
      </w:pPr>
      <w:r>
        <w:rPr>
          <w:rFonts w:hint="eastAsia"/>
          <w:color w:val="0D0D0D" w:themeColor="text1" w:themeTint="F2"/>
          <w14:textFill>
            <w14:solidFill>
              <w14:schemeClr w14:val="tx1">
                <w14:lumMod w14:val="95000"/>
                <w14:lumOff w14:val="5000"/>
              </w14:schemeClr>
            </w14:solidFill>
          </w14:textFill>
        </w:rPr>
        <w:t>（7）参与地基验槽、重要分部分项工程，真实客观地签署验收结论，参与项目整体竣工验收，提供第三方检测相关资料，协助完成项目验收备案。</w:t>
      </w:r>
    </w:p>
    <w:p w14:paraId="197159E0">
      <w:pPr>
        <w:spacing w:before="24" w:after="24"/>
        <w:ind w:firstLine="562" w:firstLineChars="200"/>
        <w:outlineLvl w:val="1"/>
        <w:rPr>
          <w:rFonts w:ascii="Times New Roman" w:hAnsi="Times New Roman" w:cs="Times New Roman"/>
          <w:b/>
          <w:color w:val="0D0D0D" w:themeColor="text1" w:themeTint="F2"/>
          <w14:textFill>
            <w14:solidFill>
              <w14:schemeClr w14:val="tx1">
                <w14:lumMod w14:val="95000"/>
                <w14:lumOff w14:val="5000"/>
              </w14:schemeClr>
            </w14:solidFill>
          </w14:textFill>
        </w:rPr>
      </w:pPr>
      <w:bookmarkStart w:id="124" w:name="_Toc221894153"/>
      <w:r>
        <w:rPr>
          <w:rFonts w:ascii="Times New Roman" w:hAnsi="Times New Roman" w:cs="Times New Roman"/>
          <w:b/>
          <w:color w:val="0D0D0D" w:themeColor="text1" w:themeTint="F2"/>
          <w14:textFill>
            <w14:solidFill>
              <w14:schemeClr w14:val="tx1">
                <w14:lumMod w14:val="95000"/>
                <w14:lumOff w14:val="5000"/>
              </w14:schemeClr>
            </w14:solidFill>
          </w14:textFill>
        </w:rPr>
        <w:t>（二）质量管理</w:t>
      </w:r>
      <w:bookmarkEnd w:id="124"/>
    </w:p>
    <w:p w14:paraId="2C91B3ED">
      <w:pPr>
        <w:spacing w:before="24" w:after="24"/>
        <w:ind w:firstLine="562" w:firstLineChars="200"/>
        <w:outlineLvl w:val="2"/>
        <w:rPr>
          <w:rFonts w:ascii="Times New Roman" w:hAnsi="Times New Roman" w:cs="Times New Roman"/>
          <w:b/>
          <w:color w:val="0D0D0D" w:themeColor="text1" w:themeTint="F2"/>
          <w14:textFill>
            <w14:solidFill>
              <w14:schemeClr w14:val="tx1">
                <w14:lumMod w14:val="95000"/>
                <w14:lumOff w14:val="5000"/>
              </w14:schemeClr>
            </w14:solidFill>
          </w14:textFill>
        </w:rPr>
      </w:pPr>
      <w:bookmarkStart w:id="125" w:name="_Toc221894154"/>
      <w:r>
        <w:rPr>
          <w:rFonts w:ascii="Times New Roman" w:hAnsi="Times New Roman" w:cs="Times New Roman"/>
          <w:b/>
          <w:color w:val="0D0D0D" w:themeColor="text1" w:themeTint="F2"/>
          <w14:textFill>
            <w14:solidFill>
              <w14:schemeClr w14:val="tx1">
                <w14:lumMod w14:val="95000"/>
                <w14:lumOff w14:val="5000"/>
              </w14:schemeClr>
            </w14:solidFill>
          </w14:textFill>
        </w:rPr>
        <w:t>1、质量管理的目标</w:t>
      </w:r>
      <w:bookmarkEnd w:id="125"/>
    </w:p>
    <w:p w14:paraId="6CB064DC">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认真贯彻执行质量体系文件和质量计划，严格按照设计要求和国家有关规范施工。</w:t>
      </w:r>
    </w:p>
    <w:p w14:paraId="461A3CFD">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居住建筑、行政办公及业务用房、公共基础设施工程质量目标：按照验收原则规定，各检验批、分项、分部工程施工质量检查合格率达到100%；单位工程一次验收合格率达到100%；建设工程质量事故发生率为0%。</w:t>
      </w:r>
    </w:p>
    <w:p w14:paraId="77A2937E">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生产性工程质量目标：按照验收原则规定，各检验批、分项、分部工程施工质量检查合格率达到100%，单位工程一次验收合格率达到100%。对于生产性装置单机试车一次达标，72小时联动负责负荷试运转达到设计产能，试运行期间内生产达到设计产能。建设工程质量事故发生率为0%。</w:t>
      </w:r>
    </w:p>
    <w:p w14:paraId="330143F5">
      <w:pPr>
        <w:pStyle w:val="64"/>
        <w:spacing w:before="24" w:after="24"/>
      </w:pPr>
      <w:bookmarkStart w:id="126" w:name="_Toc221894155"/>
      <w:r>
        <w:t>2、质量保证体系</w:t>
      </w:r>
      <w:bookmarkEnd w:id="126"/>
    </w:p>
    <w:p w14:paraId="5298D92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承包人应成立质量管理组织机构和建立质量岗位责任制度，明确质量管理责任，编制质量管理计划和质量管理内部程序文件，落实质量管理的各项措施。建立工程质量奖罚制度，对设计、采购、施工各阶段各环节影响工程质量实行严格奖罚。</w:t>
      </w:r>
    </w:p>
    <w:p w14:paraId="4CCFB47D">
      <w:pPr>
        <w:pStyle w:val="64"/>
        <w:spacing w:before="24" w:after="24"/>
      </w:pPr>
      <w:bookmarkStart w:id="127" w:name="_Toc221894156"/>
      <w:r>
        <w:t>3、设计阶段的质量管理</w:t>
      </w:r>
      <w:bookmarkEnd w:id="127"/>
    </w:p>
    <w:p w14:paraId="574BFAE6">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按“技术要求”部分执行。</w:t>
      </w:r>
    </w:p>
    <w:p w14:paraId="18E51B14">
      <w:pPr>
        <w:spacing w:before="24" w:after="24"/>
        <w:ind w:firstLine="562" w:firstLineChars="200"/>
        <w:outlineLvl w:val="2"/>
        <w:rPr>
          <w:rFonts w:ascii="Times New Roman" w:hAnsi="Times New Roman" w:cs="Times New Roman"/>
          <w:b/>
          <w:color w:val="0D0D0D" w:themeColor="text1" w:themeTint="F2"/>
          <w14:textFill>
            <w14:solidFill>
              <w14:schemeClr w14:val="tx1">
                <w14:lumMod w14:val="95000"/>
                <w14:lumOff w14:val="5000"/>
              </w14:schemeClr>
            </w14:solidFill>
          </w14:textFill>
        </w:rPr>
      </w:pPr>
      <w:bookmarkStart w:id="128" w:name="_Toc221894157"/>
      <w:r>
        <w:rPr>
          <w:rFonts w:ascii="Times New Roman" w:hAnsi="Times New Roman" w:cs="Times New Roman"/>
          <w:b/>
          <w:color w:val="0D0D0D" w:themeColor="text1" w:themeTint="F2"/>
          <w14:textFill>
            <w14:solidFill>
              <w14:schemeClr w14:val="tx1">
                <w14:lumMod w14:val="95000"/>
                <w14:lumOff w14:val="5000"/>
              </w14:schemeClr>
            </w14:solidFill>
          </w14:textFill>
        </w:rPr>
        <w:t>4、采购阶段的质量管理</w:t>
      </w:r>
      <w:bookmarkEnd w:id="128"/>
    </w:p>
    <w:p w14:paraId="284C99B8">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4.1承包人应按照专用合同条件的约定，将各项材料和工程设备的供货人及品种、技术要求、规格、数量和供货时间等报送监理单位、管理单位和发包人批准。</w:t>
      </w:r>
    </w:p>
    <w:p w14:paraId="1DB1FE5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4.2承包人提供的材料和工程设备应报监理单位和发包人进行检验和交货验收，查验材料合格证明和产品合格证书，并按合同约定和监理单位和发包人指示，进行材料的抽样检验和工程设备的检验测试，检验和测试结果应提交监理单位和发包人，所需费用由承包人承担。</w:t>
      </w:r>
    </w:p>
    <w:p w14:paraId="50760E11">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4.3设备、材料采购招标文件或合同的技术附件，应满足：</w:t>
      </w:r>
    </w:p>
    <w:p w14:paraId="5C06753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（1）设备、材料的型号、规格符合设计要求。</w:t>
      </w:r>
    </w:p>
    <w:p w14:paraId="7ECAE2E4">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（2）设备的能力、操作条件、材质等关键参数满足工程要求。</w:t>
      </w:r>
    </w:p>
    <w:p w14:paraId="486F3BF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（3）设备的性能指标和考核要求符合相关规定。</w:t>
      </w:r>
    </w:p>
    <w:p w14:paraId="6E5C456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（4）设备附属部件配备齐全。</w:t>
      </w:r>
    </w:p>
    <w:p w14:paraId="64DE5B20">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（5）设备厂家的技术服务时间、内容和条件具备且满足使用。；</w:t>
      </w:r>
    </w:p>
    <w:p w14:paraId="415AC027">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（6）随机备品备件的数量和参数、指标要求明确。</w:t>
      </w:r>
    </w:p>
    <w:p w14:paraId="518A76BA">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（7）设备的设计使用年限符合规定。</w:t>
      </w:r>
    </w:p>
    <w:p w14:paraId="47F9A040">
      <w:pPr>
        <w:spacing w:before="24" w:after="24"/>
        <w:ind w:firstLine="562" w:firstLineChars="200"/>
        <w:outlineLvl w:val="2"/>
        <w:rPr>
          <w:rFonts w:ascii="Times New Roman" w:hAnsi="Times New Roman" w:cs="Times New Roman"/>
          <w:b/>
          <w:color w:val="0D0D0D" w:themeColor="text1" w:themeTint="F2"/>
          <w14:textFill>
            <w14:solidFill>
              <w14:schemeClr w14:val="tx1">
                <w14:lumMod w14:val="95000"/>
                <w14:lumOff w14:val="5000"/>
              </w14:schemeClr>
            </w14:solidFill>
          </w14:textFill>
        </w:rPr>
      </w:pPr>
      <w:bookmarkStart w:id="129" w:name="_Toc221894158"/>
      <w:r>
        <w:rPr>
          <w:rFonts w:ascii="Times New Roman" w:hAnsi="Times New Roman" w:cs="Times New Roman"/>
          <w:b/>
          <w:color w:val="0D0D0D" w:themeColor="text1" w:themeTint="F2"/>
          <w14:textFill>
            <w14:solidFill>
              <w14:schemeClr w14:val="tx1">
                <w14:lumMod w14:val="95000"/>
                <w14:lumOff w14:val="5000"/>
              </w14:schemeClr>
            </w14:solidFill>
          </w14:textFill>
        </w:rPr>
        <w:t>5、施工阶段的质量管理</w:t>
      </w:r>
      <w:bookmarkEnd w:id="129"/>
    </w:p>
    <w:p w14:paraId="4E85998E">
      <w:pPr>
        <w:pStyle w:val="54"/>
        <w:spacing w:before="24" w:after="24"/>
      </w:pPr>
      <w:r>
        <w:rPr>
          <w:rFonts w:hint="eastAsia"/>
        </w:rPr>
        <w:t>5.1编制施工组织设计和施工质量计划及质量保证措施，保证施工质量符合项目及合同要求。</w:t>
      </w:r>
    </w:p>
    <w:p w14:paraId="7660C269">
      <w:pPr>
        <w:pStyle w:val="54"/>
        <w:spacing w:before="24" w:after="24"/>
      </w:pPr>
      <w:r>
        <w:rPr>
          <w:rFonts w:hint="eastAsia"/>
        </w:rPr>
        <w:t>5.2配合组织设计技术交底和施工图会审，完善施工图设计。</w:t>
      </w:r>
    </w:p>
    <w:p w14:paraId="790F3093">
      <w:pPr>
        <w:pStyle w:val="54"/>
        <w:spacing w:before="24" w:after="24"/>
      </w:pPr>
      <w:r>
        <w:rPr>
          <w:rFonts w:hint="eastAsia"/>
        </w:rPr>
        <w:t>5.3施工分包人资质及其主要人员从业资格报审。</w:t>
      </w:r>
    </w:p>
    <w:p w14:paraId="56C7701C">
      <w:pPr>
        <w:pStyle w:val="54"/>
        <w:spacing w:before="24" w:after="24"/>
      </w:pPr>
      <w:r>
        <w:rPr>
          <w:rFonts w:hint="eastAsia"/>
        </w:rPr>
        <w:t>5.4建立施工交底和技术复核制度，明确质量要求。</w:t>
      </w:r>
    </w:p>
    <w:p w14:paraId="3C24D3FD">
      <w:pPr>
        <w:pStyle w:val="54"/>
        <w:spacing w:before="24" w:after="24"/>
      </w:pPr>
      <w:r>
        <w:rPr>
          <w:rFonts w:hint="eastAsia"/>
        </w:rPr>
        <w:t>5.5建立材料、半成品、设备进场验收制度，严把材料和设备质量关。</w:t>
      </w:r>
    </w:p>
    <w:p w14:paraId="6BE56760">
      <w:pPr>
        <w:pStyle w:val="54"/>
        <w:spacing w:before="24" w:after="24"/>
      </w:pPr>
      <w:r>
        <w:rPr>
          <w:rFonts w:hint="eastAsia"/>
        </w:rPr>
        <w:t>5.6建立工程质量检查制度，按照规范、标准和设计图对施工质量进行检查，实施质量改进措施。</w:t>
      </w:r>
    </w:p>
    <w:p w14:paraId="5ABBBF3D">
      <w:pPr>
        <w:pStyle w:val="54"/>
        <w:spacing w:before="24" w:after="24"/>
      </w:pPr>
      <w:r>
        <w:rPr>
          <w:rFonts w:hint="eastAsia"/>
        </w:rPr>
        <w:t>5.7建立现场质量管理制度，落实“三检制”管理制度，按规定程序申报隐蔽工程、分项工程、分部工程、单位工程的质量验收；实行严格的成品保护制度。</w:t>
      </w:r>
    </w:p>
    <w:p w14:paraId="6FA4809E">
      <w:pPr>
        <w:pStyle w:val="54"/>
        <w:spacing w:before="24" w:after="24"/>
      </w:pPr>
      <w:r>
        <w:rPr>
          <w:rFonts w:hint="eastAsia"/>
        </w:rPr>
        <w:t>5.8严格设计变更程序，从严控制设计变更，保证不因变更降低工程质量。</w:t>
      </w:r>
    </w:p>
    <w:p w14:paraId="14E71819">
      <w:pPr>
        <w:pStyle w:val="54"/>
        <w:spacing w:before="24" w:after="24"/>
      </w:pPr>
      <w:r>
        <w:rPr>
          <w:rFonts w:hint="eastAsia"/>
        </w:rPr>
        <w:t>5.9未经质量验收通过的工程不予计量。</w:t>
      </w:r>
    </w:p>
    <w:p w14:paraId="009443BD">
      <w:pPr>
        <w:pStyle w:val="54"/>
        <w:spacing w:before="24" w:after="24"/>
      </w:pPr>
      <w:r>
        <w:rPr>
          <w:rFonts w:hint="eastAsia"/>
        </w:rPr>
        <w:t>5.10按计划有序组织施工，控制赶工，不因赶工而降低对施工质量的要求。</w:t>
      </w:r>
    </w:p>
    <w:p w14:paraId="52F7562B">
      <w:pPr>
        <w:pStyle w:val="54"/>
        <w:spacing w:before="24" w:after="24"/>
      </w:pPr>
      <w:r>
        <w:rPr>
          <w:rFonts w:hint="eastAsia"/>
        </w:rPr>
        <w:t>5.11按“三查四定（查设计漏项、查施工质量、查未完工项目、定流程、定方案措施、定操作人员、定时间）”整改清单落实整改。</w:t>
      </w:r>
    </w:p>
    <w:p w14:paraId="75B1856A">
      <w:pPr>
        <w:pStyle w:val="54"/>
        <w:spacing w:before="24" w:after="24"/>
      </w:pPr>
      <w:r>
        <w:rPr>
          <w:rFonts w:hint="eastAsia"/>
        </w:rPr>
        <w:t>5.12发包人有权通过监理工程师或自行对全部工程内容及其施工工艺、材料和工程设备进行检查和检验。承包人应为监理工程师或发包人的检查和检验提供方便，包括到施工现场，或制造、加工地点，或其他地方进行查看和查阅施工原始记录。承包人还应按监理工程师或发包人指示，进行施工现场的取样试验，工程复核测量和设备性能检测，提供试验样品、提交试验报告和测量成果以及监理工程师或发包人指示进行的其他工作。监理工程师或发包人的检查和检验，不免除承包人按合同约定应负的责任。</w:t>
      </w:r>
    </w:p>
    <w:p w14:paraId="365817FD">
      <w:pPr>
        <w:pStyle w:val="54"/>
        <w:spacing w:before="24" w:after="24"/>
      </w:pPr>
      <w:r>
        <w:rPr>
          <w:rFonts w:hint="eastAsia"/>
        </w:rPr>
        <w:t>5.13工序样板</w:t>
      </w:r>
    </w:p>
    <w:p w14:paraId="6C9D0EB6">
      <w:pPr>
        <w:pStyle w:val="54"/>
        <w:spacing w:before="24" w:after="24"/>
      </w:pPr>
      <w:r>
        <w:rPr>
          <w:rFonts w:hint="eastAsia"/>
        </w:rPr>
        <w:t>5.13.1承包人应建立样板引路管理制度，提前编制《工法样板专项方案》。工法样板专项方案编制要点：工程概况及特点、编制依据、管理架构及责 任人、工法样板进度计划分解、各分项工程展示细节图、管理要求及措施。</w:t>
      </w:r>
    </w:p>
    <w:p w14:paraId="604A5919">
      <w:pPr>
        <w:pStyle w:val="54"/>
        <w:spacing w:before="24" w:after="24"/>
      </w:pPr>
      <w:r>
        <w:rPr>
          <w:rFonts w:hint="eastAsia"/>
        </w:rPr>
        <w:t>5.13.2工序样板展示要点</w:t>
      </w:r>
    </w:p>
    <w:p w14:paraId="1F48ED06">
      <w:pPr>
        <w:pStyle w:val="54"/>
        <w:spacing w:before="24" w:after="24"/>
      </w:pPr>
      <w:r>
        <w:rPr>
          <w:rFonts w:hint="eastAsia"/>
        </w:rPr>
        <w:t>（1）混凝土工程展示要点：梁、柱、板及楼梯钢筋的制作安装、柱筋的连接方式、梁柱相交核心区的箍筋、柱筋偏位措施、柱脚模板清扫口及漏浆措施、楼梯施工缝的留设、楼板混凝土收光处理以及保养等。</w:t>
      </w:r>
    </w:p>
    <w:p w14:paraId="4BB9C9F5">
      <w:pPr>
        <w:pStyle w:val="54"/>
        <w:spacing w:before="24" w:after="24"/>
      </w:pPr>
      <w:r>
        <w:rPr>
          <w:rFonts w:hint="eastAsia"/>
        </w:rPr>
        <w:t>（2）砌体工程展示要点：翻边、引砖、拉结筋、留槎、组砌、灰缝、构造柱、顶砖、门垛、门洞、空调板、空调排水孔、过梁、预留洞口等。</w:t>
      </w:r>
    </w:p>
    <w:p w14:paraId="3185A07C">
      <w:pPr>
        <w:pStyle w:val="54"/>
        <w:spacing w:before="24" w:after="24"/>
      </w:pPr>
      <w:r>
        <w:rPr>
          <w:rFonts w:hint="eastAsia"/>
        </w:rPr>
        <w:t>（3）门窗工程展示要点：窗台压顶、铝窗安装固定、窗边塞缝、门洞尺寸误差控制等。</w:t>
      </w:r>
    </w:p>
    <w:p w14:paraId="6E6A7EC6">
      <w:pPr>
        <w:pStyle w:val="54"/>
        <w:spacing w:before="24" w:after="24"/>
      </w:pPr>
      <w:r>
        <w:rPr>
          <w:rFonts w:hint="eastAsia"/>
        </w:rPr>
        <w:t>（4）水电安装工程展示要点：水电线管线盒开槽、水电线管安装固定、线盒电箱及消防箱安装、线槽及箱盒周边修补等。</w:t>
      </w:r>
    </w:p>
    <w:p w14:paraId="068E67F2">
      <w:pPr>
        <w:pStyle w:val="54"/>
        <w:spacing w:before="24" w:after="24"/>
      </w:pPr>
      <w:r>
        <w:rPr>
          <w:rFonts w:hint="eastAsia"/>
        </w:rPr>
        <w:t>（5）防水工程展示要点：结构面找平层、防水层、保护层等。</w:t>
      </w:r>
    </w:p>
    <w:p w14:paraId="203665B0">
      <w:pPr>
        <w:pStyle w:val="54"/>
        <w:spacing w:before="24" w:after="24"/>
      </w:pPr>
      <w:r>
        <w:rPr>
          <w:rFonts w:hint="eastAsia"/>
        </w:rPr>
        <w:t>（6）外墙抹灰工程展示要点：基层处理、挂网、灰饼、冲筋、防水砂浆、分隔缝等。</w:t>
      </w:r>
    </w:p>
    <w:p w14:paraId="61E7E24F">
      <w:pPr>
        <w:pStyle w:val="54"/>
        <w:spacing w:before="24" w:after="24"/>
      </w:pPr>
      <w:r>
        <w:rPr>
          <w:rFonts w:hint="eastAsia"/>
        </w:rPr>
        <w:t>（7）内墙抹灰工程展示要点：基层处理、挂网、灰饼、冲筋、护角、成品等。</w:t>
      </w:r>
    </w:p>
    <w:p w14:paraId="17E1D495">
      <w:pPr>
        <w:pStyle w:val="54"/>
        <w:spacing w:before="24" w:after="24"/>
      </w:pPr>
      <w:r>
        <w:rPr>
          <w:rFonts w:hint="eastAsia"/>
        </w:rPr>
        <w:t>（8）室内地坪工程展示要点：基层处理、灰饼、冲筋、标高控制线、找平层等。</w:t>
      </w:r>
    </w:p>
    <w:p w14:paraId="4DA51079">
      <w:pPr>
        <w:pStyle w:val="54"/>
        <w:spacing w:before="24" w:after="24"/>
      </w:pPr>
      <w:r>
        <w:rPr>
          <w:rFonts w:hint="eastAsia"/>
        </w:rPr>
        <w:t>（9）屋面工程展示要点：结构面找平层、防水层、保温层、保护层、坐浆挂瓦等。</w:t>
      </w:r>
    </w:p>
    <w:p w14:paraId="5075E293">
      <w:pPr>
        <w:pStyle w:val="54"/>
        <w:spacing w:before="24" w:after="24"/>
      </w:pPr>
      <w:r>
        <w:rPr>
          <w:rFonts w:hint="eastAsia"/>
        </w:rPr>
        <w:t>5.13.3工法样板布置应在工地大门出入口附近。</w:t>
      </w:r>
    </w:p>
    <w:p w14:paraId="5581FB77">
      <w:pPr>
        <w:pStyle w:val="54"/>
        <w:spacing w:before="24" w:after="24"/>
      </w:pPr>
      <w:r>
        <w:rPr>
          <w:rFonts w:hint="eastAsia"/>
        </w:rPr>
        <w:t>5.13.4工法样板专项方案完成时间为 10 天,工法样板实体制作的完成时间为 20 天。</w:t>
      </w:r>
    </w:p>
    <w:p w14:paraId="7698EACE">
      <w:pPr>
        <w:pStyle w:val="54"/>
        <w:spacing w:before="24" w:after="24"/>
      </w:pPr>
      <w:r>
        <w:rPr>
          <w:rFonts w:hint="eastAsia"/>
        </w:rPr>
        <w:t>5.13.5工法样板完成后，对样板上表述的展示点需要用数据或图文精简标注，明确具体要求，不同分项工程的标注使用不同的颜色字体，方便现场管理人员和班组学习。</w:t>
      </w:r>
    </w:p>
    <w:p w14:paraId="6374D439">
      <w:pPr>
        <w:pStyle w:val="54"/>
        <w:spacing w:before="24" w:after="24"/>
      </w:pPr>
      <w:r>
        <w:rPr>
          <w:rFonts w:hint="eastAsia"/>
        </w:rPr>
        <w:t>5.13.6工法样板施工完成后承包人应进行自检，且自检合格方可向监理</w:t>
      </w:r>
    </w:p>
    <w:p w14:paraId="13FE846C">
      <w:pPr>
        <w:pStyle w:val="54"/>
        <w:spacing w:before="24" w:after="24"/>
      </w:pPr>
      <w:r>
        <w:rPr>
          <w:rFonts w:hint="eastAsia"/>
        </w:rPr>
        <w:t>单位、管理单位提出验收申请，监理单位、管理单位应在 24 小时内与施工单位共同参与验收工作。验收合格后各方负责人在验收记录表上签字确认，并将验收记录表张挂在工法样板附近。</w:t>
      </w:r>
    </w:p>
    <w:p w14:paraId="262AE46D">
      <w:pPr>
        <w:pStyle w:val="54"/>
        <w:spacing w:before="24" w:after="24"/>
      </w:pPr>
      <w:r>
        <w:rPr>
          <w:rFonts w:hint="eastAsia"/>
        </w:rPr>
        <w:t>5.13.7承包人在各工种班组进场大面施工之前，应要求班组在作业区展示手工要求，对符合样板标准的班组可允许大面积施工，对不符合样板标准的班组进行退场更换，监理单位、管理单位应严格做好把关。</w:t>
      </w:r>
    </w:p>
    <w:p w14:paraId="5689DE1F">
      <w:pPr>
        <w:pStyle w:val="54"/>
        <w:spacing w:before="24" w:after="24"/>
      </w:pPr>
      <w:r>
        <w:rPr>
          <w:rFonts w:hint="eastAsia"/>
        </w:rPr>
        <w:t>5.13.8管理单位、监理单位要严格要求承包人按照工法样板施工，加强过程中抽查，对不合格项及时要求施工单位整改，达到工法样板标准后方可进行下道工序施工。</w:t>
      </w:r>
    </w:p>
    <w:p w14:paraId="021B31C5">
      <w:pPr>
        <w:pStyle w:val="54"/>
        <w:spacing w:before="24" w:after="24"/>
      </w:pPr>
      <w:r>
        <w:rPr>
          <w:rFonts w:hint="eastAsia"/>
        </w:rPr>
        <w:t>5.14隐蔽工程检查</w:t>
      </w:r>
    </w:p>
    <w:p w14:paraId="6850F242">
      <w:pPr>
        <w:pStyle w:val="54"/>
        <w:spacing w:before="24" w:after="24"/>
      </w:pPr>
      <w:r>
        <w:rPr>
          <w:rFonts w:hint="eastAsia"/>
        </w:rPr>
        <w:t>5.14.1工程隐蔽部位经承包人自检确认具备覆盖条件的，承包人应书面通知监理工程师在约定的期限内检查，通知中应载明隐蔽检查的内容、时间和地点，并应附有自检记录和必要的检查资料。监理工程师应按时到场并对隐蔽工程及其施工工艺、材料和工程设备进行检查。经监理工程师检查确认质量符合隐蔽要求，并在验收记录上签字后，承包人才能进行覆盖。</w:t>
      </w:r>
    </w:p>
    <w:p w14:paraId="046AC7D1">
      <w:pPr>
        <w:pStyle w:val="54"/>
        <w:spacing w:before="24" w:after="24"/>
      </w:pPr>
      <w:r>
        <w:rPr>
          <w:rFonts w:hint="eastAsia"/>
        </w:rPr>
        <w:t>5.14.2经监理工程师检查质量不合格的，承包人应在监理工程师指示的时间内完成修复，并由监理工程师重新检查，由此增加的费用和（或）延误的工期由承包人承担。监理工程师不能按时进行检查的，应提前向承包人提交书面延期要求，顺延时间不得超过 48 小时，由此导致工期延误的，工期应予以顺延，顺延超过 48 小时的，由此导致的工期延误及费用增加由发包人承担。监理工程师未按时进行检查，也未提出延期要求的，视为隐蔽工程检查合格，承包人可自行完成覆盖工作，并作相应记录报送监理工程师，监理工程师应签字确认。监理工程师事后对检查记录有疑问的，可按下列约定重新检查。</w:t>
      </w:r>
    </w:p>
    <w:p w14:paraId="0F804E62">
      <w:pPr>
        <w:pStyle w:val="54"/>
        <w:spacing w:before="24" w:after="24"/>
      </w:pPr>
      <w:r>
        <w:rPr>
          <w:rFonts w:hint="eastAsia"/>
        </w:rPr>
        <w:t>5.14.3承包人覆盖工程隐蔽部位后，监理工程师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承包人未通知监理工程师到场检查，私自将工程隐蔽部位覆盖的，监理工程师有权指示承包人钻孔探测或揭开检查，无论工程隐蔽部位质量是否合格，由此增加的费用和（或）延误的工期均由承包人承担。</w:t>
      </w:r>
    </w:p>
    <w:p w14:paraId="484BB495">
      <w:pPr>
        <w:pStyle w:val="64"/>
        <w:spacing w:before="24" w:after="24"/>
      </w:pPr>
      <w:bookmarkStart w:id="130" w:name="_Toc221894159"/>
      <w:r>
        <w:rPr>
          <w:rFonts w:hint="eastAsia"/>
        </w:rPr>
        <w:t>6、质量控制的具体依据及措施</w:t>
      </w:r>
      <w:bookmarkEnd w:id="130"/>
    </w:p>
    <w:p w14:paraId="1B5B8DB3">
      <w:pPr>
        <w:pStyle w:val="66"/>
      </w:pPr>
      <w:r>
        <w:rPr>
          <w:rFonts w:hint="eastAsia"/>
        </w:rPr>
        <w:t>6.1实施质量控制的依据</w:t>
      </w:r>
    </w:p>
    <w:p w14:paraId="2257D024">
      <w:pPr>
        <w:pStyle w:val="54"/>
        <w:spacing w:before="24" w:after="24"/>
      </w:pPr>
      <w:r>
        <w:rPr>
          <w:rFonts w:hint="eastAsia"/>
        </w:rPr>
        <w:t>（1）共同性依据：适用于施工质量管理有关的、通用的、具有普遍指导意义和必须遵守的建设工程法律法规。主要包括：国家和政府有关部门颁布的与工程质量管理有关的法律法规性文件，如《中华人民共和国建筑法》和《建设工程质量管理条例》等；</w:t>
      </w:r>
    </w:p>
    <w:p w14:paraId="1DD8ACD4">
      <w:pPr>
        <w:pStyle w:val="54"/>
        <w:spacing w:before="24" w:after="24"/>
      </w:pPr>
      <w:r>
        <w:rPr>
          <w:rFonts w:hint="eastAsia"/>
        </w:rPr>
        <w:t>（2）专业技术性依据。包括规范、规程、标准、规定等，如：工程建设项目质量检验评定标准，有关建筑材料、半成品和构配件质量方面的专门技术法规性文件，有关材料验收、包装和标志等方面的技术标准和规定，施工工艺质量等方面的技术法规性文件，有关新工艺、新技术、新材料、新设备的质量规定和鉴定意见等；</w:t>
      </w:r>
    </w:p>
    <w:p w14:paraId="1C6AF9E4">
      <w:pPr>
        <w:pStyle w:val="54"/>
        <w:spacing w:before="24" w:after="24"/>
      </w:pPr>
      <w:r>
        <w:rPr>
          <w:rFonts w:hint="eastAsia"/>
        </w:rPr>
        <w:t>（3）项目专用性依据。二期项目的工程建设合同、勘察设计文件、设计交底及图纸会审记录、设计修改和技术变更通知，以及相关会议记录和工程联系单等。</w:t>
      </w:r>
    </w:p>
    <w:p w14:paraId="4F014E22">
      <w:pPr>
        <w:pStyle w:val="66"/>
      </w:pPr>
      <w:r>
        <w:rPr>
          <w:rFonts w:hint="eastAsia"/>
        </w:rPr>
        <w:t>6.2施工质量控制的内容</w:t>
      </w:r>
    </w:p>
    <w:p w14:paraId="001F51EF">
      <w:pPr>
        <w:pStyle w:val="82"/>
        <w:spacing w:before="24" w:after="24"/>
        <w:ind w:firstLine="562"/>
      </w:pPr>
      <w:r>
        <w:rPr>
          <w:rFonts w:hint="eastAsia"/>
        </w:rPr>
        <w:t>6.2.1事前质量控制</w:t>
      </w:r>
    </w:p>
    <w:p w14:paraId="4C9700A9">
      <w:pPr>
        <w:pStyle w:val="54"/>
        <w:spacing w:before="24" w:after="24"/>
      </w:pPr>
      <w:r>
        <w:rPr>
          <w:rFonts w:hint="eastAsia"/>
        </w:rPr>
        <w:t>实施事前质量控制主要围绕“人、机、料、法、环”五要素进行，控制的主要工作内容如下：</w:t>
      </w:r>
    </w:p>
    <w:p w14:paraId="58012E22">
      <w:pPr>
        <w:pStyle w:val="54"/>
        <w:spacing w:before="24" w:after="24"/>
      </w:pPr>
      <w:r>
        <w:rPr>
          <w:rFonts w:hint="eastAsia"/>
        </w:rPr>
        <w:t>（1）审核施工单位的现场管理人员的执业资格、配置、过往项目经验等是否满足项目实际需求，施工单位管理人员确定以后,由全过程咨询单位协助发包人主持召开的第一次工地会议。会议需发包人、工程监理单位和施工单位对各自人员及分工、开工准备、监理例会的要求等情况进行沟通和协调。总监理工程师应介绍监理工作的目标、范围和内容、项目监理机构及人员职责分工、监理工作程序 、方法和措施等。</w:t>
      </w:r>
    </w:p>
    <w:p w14:paraId="4053B54E">
      <w:pPr>
        <w:pStyle w:val="54"/>
        <w:spacing w:before="24" w:after="24"/>
      </w:pPr>
      <w:r>
        <w:rPr>
          <w:rFonts w:hint="eastAsia"/>
        </w:rPr>
        <w:t>（2）对施工所用的机械设备，根据工程需要从设备选型、主要性能参数及使用操作要求等方面加以控制，主要审核报审资料的真实性和平面布置方案的合理性，使其符合安全、适用、经济、可靠和节能、环保等方面的要求。</w:t>
      </w:r>
    </w:p>
    <w:p w14:paraId="665F3AD7">
      <w:pPr>
        <w:pStyle w:val="54"/>
        <w:spacing w:before="24" w:after="24"/>
      </w:pPr>
      <w:r>
        <w:rPr>
          <w:rFonts w:hint="eastAsia"/>
        </w:rPr>
        <w:t>（3）对施工中使用的模具、脚手架等施工设备，除可按适用的标准定型选用之外，还需要求施工单位按设计及施工要求进行专项设计，对其设计方案及制作质量的控制及验收应进行重点审核、控制。</w:t>
      </w:r>
    </w:p>
    <w:p w14:paraId="6E612B36">
      <w:pPr>
        <w:pStyle w:val="54"/>
        <w:spacing w:before="24" w:after="24"/>
      </w:pPr>
      <w:r>
        <w:rPr>
          <w:rFonts w:hint="eastAsia"/>
        </w:rPr>
        <w:t>（4）按现行施工管理制度要求，工程所用的施工机械、模板、脚手架，特别是危险性较大的现场安装的起重机械设备（如塔吊），在安装前要求施工单位编制专项安装方案并经过审批后方可实施，安装完毕必须经过自检和专业检测机构检测，并且要经过相关管理部门验收合格后方可使用。同时，在使用过程中还需督促落实相应的管理制度，以确保其安全正常使用。</w:t>
      </w:r>
    </w:p>
    <w:p w14:paraId="20C3A00B">
      <w:pPr>
        <w:pStyle w:val="54"/>
        <w:spacing w:before="24" w:after="24"/>
      </w:pPr>
      <w:r>
        <w:rPr>
          <w:rFonts w:hint="eastAsia"/>
        </w:rPr>
        <w:t>（5）对各参建单位的原材料、半成品及工程设备进行质量控制的主要内容有：</w:t>
      </w:r>
    </w:p>
    <w:p w14:paraId="0BDF8F5B">
      <w:pPr>
        <w:pStyle w:val="54"/>
        <w:spacing w:before="24" w:after="24"/>
      </w:pPr>
      <w:r>
        <w:rPr/>
        <w:sym w:font="Wingdings" w:char="F0D8"/>
      </w:r>
      <w:r>
        <w:t>检查材料设备的性能、标准、技术参数与设计文件及的相符性；</w:t>
      </w:r>
    </w:p>
    <w:p w14:paraId="1A8B42DE">
      <w:pPr>
        <w:pStyle w:val="54"/>
        <w:spacing w:before="24" w:after="24"/>
      </w:pPr>
      <w:r>
        <w:rPr/>
        <w:sym w:font="Wingdings" w:char="F0D8"/>
      </w:r>
      <w:r>
        <w:t>检查材料、设备各项技术性能指标、检验测试指标与标准规范要求的相符性；</w:t>
      </w:r>
    </w:p>
    <w:p w14:paraId="6B9109F3">
      <w:pPr>
        <w:pStyle w:val="54"/>
        <w:spacing w:before="24" w:after="24"/>
      </w:pPr>
      <w:r>
        <w:rPr/>
        <w:sym w:font="Wingdings" w:char="F0D8"/>
      </w:r>
      <w:r>
        <w:t>检查材料、设备进场验收程序的正确性及质量文件资料的完备性；</w:t>
      </w:r>
    </w:p>
    <w:p w14:paraId="36379E2C">
      <w:pPr>
        <w:pStyle w:val="54"/>
        <w:spacing w:before="24" w:after="24"/>
      </w:pPr>
      <w:r>
        <w:rPr/>
        <w:sym w:font="Wingdings" w:char="F0D8"/>
      </w:r>
      <w:r>
        <w:t>要求承包人优先采用节能低碳的新型建筑材料和设备，禁止施工单位使用国家明令禁用或淘汰的建筑材料和设备等；</w:t>
      </w:r>
    </w:p>
    <w:p w14:paraId="0EBBD13C">
      <w:pPr>
        <w:pStyle w:val="54"/>
        <w:spacing w:before="24" w:after="24"/>
      </w:pPr>
      <w:r>
        <w:rPr/>
        <w:sym w:font="Wingdings" w:char="F0D8"/>
      </w:r>
      <w:r>
        <w:t>要求承包人按照现行的《建筑工程检测试验技术管理规范》JGJ90，在施工过程中贯彻执行企业质量程序文件中关于材料和设备封样、采购、进场检验、抽样检测及质保资料提交等方面明确规定的一系列控制程序和标准。</w:t>
      </w:r>
    </w:p>
    <w:p w14:paraId="565696B4">
      <w:pPr>
        <w:pStyle w:val="54"/>
        <w:spacing w:before="24" w:after="24"/>
      </w:pPr>
      <w:r>
        <w:rPr>
          <w:rFonts w:hint="eastAsia"/>
        </w:rPr>
        <w:t>（6）对承包人的施工工艺、技术方案进行质量控制，要审核工程开工条件、项目质量计划方案、施工组织设计及专项施工方案等。在项目施工过程中，发生以下情况之一时，全过程咨询单位应及时督促施工单位及时对施工组织设计进行修改或补充。</w:t>
      </w:r>
    </w:p>
    <w:p w14:paraId="52E0622A">
      <w:pPr>
        <w:pStyle w:val="54"/>
        <w:spacing w:before="24" w:after="24"/>
      </w:pPr>
      <w:r>
        <w:rPr/>
        <w:sym w:font="Wingdings" w:char="F0D8"/>
      </w:r>
      <w:r>
        <w:t>工程设计有重大修改。说明:当工程设计图纸发生重大修改时，如地基基础或主体结构的形式发生变化、装修材料或做法发生重大变化、机电设备系统发生大的调整等，需要对施工组织设计进行修改;对工程设计图纸的一般性修改，视变化情况对施工组织设计进行补充;对工程设计图纸的细微修改或更正，施工组织设计则不需调整。</w:t>
      </w:r>
    </w:p>
    <w:p w14:paraId="0522B8E2">
      <w:pPr>
        <w:pStyle w:val="54"/>
        <w:spacing w:before="24" w:after="24"/>
      </w:pPr>
      <w:r>
        <w:rPr/>
        <w:sym w:font="Wingdings" w:char="F0D8"/>
      </w:r>
      <w:r>
        <w:t>有关法律、法规、规范和标准实施、修订和废止。说明:当有关法律、法规、规范和标准开始实施或发生变更，并涉及工程的实施、检查或验收</w:t>
      </w:r>
      <w:r>
        <w:rPr>
          <w:rFonts w:hint="eastAsia"/>
        </w:rPr>
        <w:t>时，施工组织设计需要进行修改或补充。</w:t>
      </w:r>
    </w:p>
    <w:p w14:paraId="201B5E7D">
      <w:pPr>
        <w:pStyle w:val="54"/>
        <w:spacing w:before="24" w:after="24"/>
      </w:pPr>
      <w:r>
        <w:rPr/>
        <w:sym w:font="Wingdings" w:char="F0D8"/>
      </w:r>
      <w:r>
        <w:t>主要施工方法有重大调整。说明:由于主客观条件的变化，施工方法有重大变更，原来的施工组织设计已不能正确地指导施工，需要对施工组织设计进行修改或补充。</w:t>
      </w:r>
    </w:p>
    <w:p w14:paraId="5504B794">
      <w:pPr>
        <w:pStyle w:val="54"/>
        <w:spacing w:before="24" w:after="24"/>
      </w:pPr>
      <w:r>
        <w:rPr/>
        <w:sym w:font="Wingdings" w:char="F0D8"/>
      </w:r>
      <w:r>
        <w:t>主要施工资源配置有重大调整。说明:当施工资源的配置有重大变更，并且影响到施工方法的变化或对施工进度、质量、安全、环境、造价等造成潜在的重大影响，需对施工组织设计进行修改或补充。</w:t>
      </w:r>
    </w:p>
    <w:p w14:paraId="31037E43">
      <w:pPr>
        <w:pStyle w:val="54"/>
        <w:spacing w:before="24" w:after="24"/>
      </w:pPr>
      <w:r>
        <w:rPr/>
        <w:sym w:font="Wingdings" w:char="F0D8"/>
      </w:r>
      <w:r>
        <w:t>施工环境有重大改变。说明:当施工环境发生重大改变，如施工延期造成季节性施工方法变化，施工场地变化造成现场布置和施工方式改变等，致使原来的施工组织设计已不能正确地指导施工。需对施工组织设计进行修改或补充。</w:t>
      </w:r>
    </w:p>
    <w:p w14:paraId="6E0F8D7B">
      <w:pPr>
        <w:pStyle w:val="54"/>
        <w:spacing w:before="24" w:after="24"/>
      </w:pPr>
      <w:r>
        <w:rPr>
          <w:rFonts w:hint="eastAsia"/>
        </w:rPr>
        <w:t>特别说明：经修改或补充的施工组织设计应重新经过监理单位、全过程咨询单位、发包人审批后方可实施，且在项目施工前全过程咨询单位应督促施工单位对施工组织设计进行逐级交底，项目施工过程中，咨询单位项目专业工程师应对施工组织设计的执行情况进行检查、分析，督促施工单位进行适时调整。</w:t>
      </w:r>
    </w:p>
    <w:p w14:paraId="65B389EA">
      <w:pPr>
        <w:pStyle w:val="54"/>
        <w:spacing w:before="24" w:after="24"/>
      </w:pPr>
      <w:r>
        <w:rPr>
          <w:rFonts w:hint="eastAsia"/>
        </w:rPr>
        <w:t>（7）对施工现场自然环境因素的控制，根据设计要求，由全过程咨询单位负责组织专业工程师分析工程岩土地质资料，预测不利因素，并会同设计等方面制定相应的措施，采取如基坑降水、排水、加固围护等技术控制方案。控制方案在招标文件中明确，施工单位进场后由全过程咨询单位进行培训、交底。</w:t>
      </w:r>
    </w:p>
    <w:p w14:paraId="33BEB4F1">
      <w:pPr>
        <w:pStyle w:val="82"/>
        <w:spacing w:before="24" w:after="24"/>
        <w:ind w:firstLine="562"/>
      </w:pPr>
      <w:r>
        <w:rPr>
          <w:rFonts w:hint="eastAsia"/>
        </w:rPr>
        <w:t>6.2.2事中质量控制</w:t>
      </w:r>
    </w:p>
    <w:p w14:paraId="363060B6">
      <w:pPr>
        <w:pStyle w:val="54"/>
        <w:spacing w:before="24" w:after="24"/>
      </w:pPr>
      <w:r>
        <w:rPr>
          <w:rFonts w:hint="eastAsia"/>
        </w:rPr>
        <w:t>6.2.2.1组织开展工程样板交底、施工及评审工作</w:t>
      </w:r>
    </w:p>
    <w:p w14:paraId="78FAF3D1">
      <w:pPr>
        <w:pStyle w:val="54"/>
        <w:spacing w:before="24" w:after="24"/>
      </w:pPr>
      <w:r>
        <w:rPr>
          <w:rFonts w:hint="eastAsia"/>
        </w:rPr>
        <w:t>咨询单位项目管理部在事中质量控制过程中始终坚持“方案先行、样板先行”的原则，对重点工序和关键环节要进行样板施工。样板施工前由施工单位项目技术负责人编制重点工序和关键环节的样板实施方案，经监理单位审核后，由咨询单位项目负责人组织项目专业工程师审核后，经发包人审批后再进行样板施工，样板施工完成后由咨询单位项目负责人组织发包人、监理单位进行样板评审，评审通过经施工单位项目技术负责人组织班组交底后方可大面开展施工。</w:t>
      </w:r>
    </w:p>
    <w:p w14:paraId="4E6880A0">
      <w:pPr>
        <w:pStyle w:val="54"/>
        <w:spacing w:before="24" w:after="24"/>
      </w:pPr>
      <w:r>
        <w:rPr>
          <w:rFonts w:hint="eastAsia"/>
        </w:rPr>
        <w:t>6.2.2.2施工质量控制点的设置与管理</w:t>
      </w:r>
    </w:p>
    <w:p w14:paraId="1A1B62F4">
      <w:pPr>
        <w:pStyle w:val="54"/>
        <w:spacing w:before="24" w:after="24"/>
      </w:pPr>
      <w:r>
        <w:rPr>
          <w:rFonts w:hint="eastAsia"/>
        </w:rPr>
        <w:t>由全过程咨询单位组织项目各专业工程师对重点部位或环节作为质量控制点进行设置和管理：</w:t>
      </w:r>
    </w:p>
    <w:p w14:paraId="27AFE28A">
      <w:pPr>
        <w:pStyle w:val="54"/>
        <w:spacing w:before="24" w:after="24"/>
      </w:pPr>
      <w:r>
        <w:rPr>
          <w:rFonts w:hint="eastAsia"/>
        </w:rPr>
        <w:t>（1）对工程质量形成过程产生直接影响的关键部位、工序、环节及隐蔽工程。</w:t>
      </w:r>
    </w:p>
    <w:p w14:paraId="21928EF1">
      <w:pPr>
        <w:pStyle w:val="54"/>
        <w:spacing w:before="24" w:after="24"/>
      </w:pPr>
      <w:r>
        <w:rPr>
          <w:rFonts w:hint="eastAsia"/>
        </w:rPr>
        <w:t>（2）施工过程中的薄弱环节，或者质量不稳定的工序、部位或对象。</w:t>
      </w:r>
    </w:p>
    <w:p w14:paraId="0E827FFB">
      <w:pPr>
        <w:pStyle w:val="54"/>
        <w:spacing w:before="24" w:after="24"/>
      </w:pPr>
      <w:r>
        <w:rPr>
          <w:rFonts w:hint="eastAsia"/>
        </w:rPr>
        <w:t>（3）对下道工序有较大影响的上道工序。</w:t>
      </w:r>
    </w:p>
    <w:p w14:paraId="3F747E26">
      <w:pPr>
        <w:pStyle w:val="54"/>
        <w:spacing w:before="24" w:after="24"/>
      </w:pPr>
      <w:r>
        <w:rPr>
          <w:rFonts w:hint="eastAsia"/>
        </w:rPr>
        <w:t>（4）采用新技术、新工艺、新材料的部位或环节。</w:t>
      </w:r>
    </w:p>
    <w:p w14:paraId="731859F5">
      <w:pPr>
        <w:pStyle w:val="54"/>
        <w:spacing w:before="24" w:after="24"/>
      </w:pPr>
      <w:r>
        <w:rPr>
          <w:rFonts w:hint="eastAsia"/>
        </w:rPr>
        <w:t>（5）对施工质量无把握的、施工条件困难的或技术难度大的工序或环节。</w:t>
      </w:r>
    </w:p>
    <w:p w14:paraId="08400A43">
      <w:pPr>
        <w:pStyle w:val="54"/>
        <w:spacing w:before="24" w:after="24"/>
      </w:pPr>
      <w:r>
        <w:rPr>
          <w:rFonts w:hint="eastAsia"/>
        </w:rPr>
        <w:t>（6）发包人或用户反馈指出的和过去有过返工的不良工序。</w:t>
      </w:r>
    </w:p>
    <w:p w14:paraId="1BD6625E">
      <w:pPr>
        <w:pStyle w:val="54"/>
        <w:spacing w:before="24" w:after="24"/>
      </w:pPr>
      <w:r>
        <w:rPr>
          <w:rFonts w:hint="eastAsia"/>
        </w:rPr>
        <w:t>二期工程的事中质量控制工作，每月由全过程咨询单位组织监理单位、施工单位相关负责人进行检查，检查要点主要为施工单位事前、事中质量管理的程序的合规性、质量组织机构人员工作履职情况、质量目标达成情况、质量保证体系运行情况、施工组织设计及各项施工方案报审、审批及执行情况、工程实体质量情况等，检查后由监理单位编制《工程质量月度检查报告》，经发包人审批后发送施工单位实施。</w:t>
      </w:r>
    </w:p>
    <w:p w14:paraId="0A886234">
      <w:pPr>
        <w:pStyle w:val="54"/>
        <w:spacing w:before="24" w:after="24"/>
      </w:pPr>
      <w:r>
        <w:rPr>
          <w:rFonts w:hint="eastAsia"/>
        </w:rPr>
        <w:t>6.2.3事后质量控制</w:t>
      </w:r>
    </w:p>
    <w:p w14:paraId="2D2C2541">
      <w:pPr>
        <w:pStyle w:val="54"/>
        <w:spacing w:before="24" w:after="24"/>
      </w:pPr>
      <w:r>
        <w:rPr>
          <w:rFonts w:hint="eastAsia"/>
        </w:rPr>
        <w:t>事后质量控制的主要工作是进行质量管理工作的总结及改进，即总结项目质量管理工作成果和不足，提出持续改进要求等。全过程咨询单位在事后质量控制工作中，需要定期或者不定期组织各参建单位对项目质量状况进行检查，对检查结果组织分析，向发包人提出质量报告，阐述质量状况。</w:t>
      </w:r>
    </w:p>
    <w:p w14:paraId="119E0994">
      <w:pPr>
        <w:spacing w:before="24" w:after="24"/>
        <w:ind w:firstLine="562" w:firstLineChars="200"/>
        <w:outlineLvl w:val="1"/>
        <w:rPr>
          <w:rFonts w:ascii="Times New Roman" w:hAnsi="Times New Roman" w:cs="Times New Roman"/>
          <w:b/>
          <w:color w:val="0D0D0D" w:themeColor="text1" w:themeTint="F2"/>
          <w14:textFill>
            <w14:solidFill>
              <w14:schemeClr w14:val="tx1">
                <w14:lumMod w14:val="95000"/>
                <w14:lumOff w14:val="5000"/>
              </w14:schemeClr>
            </w14:solidFill>
          </w14:textFill>
        </w:rPr>
      </w:pPr>
      <w:bookmarkStart w:id="131" w:name="_Toc221894160"/>
      <w:r>
        <w:rPr>
          <w:rFonts w:ascii="Times New Roman" w:hAnsi="Times New Roman" w:cs="Times New Roman"/>
          <w:b/>
          <w:color w:val="0D0D0D" w:themeColor="text1" w:themeTint="F2"/>
          <w14:textFill>
            <w14:solidFill>
              <w14:schemeClr w14:val="tx1">
                <w14:lumMod w14:val="95000"/>
                <w14:lumOff w14:val="5000"/>
              </w14:schemeClr>
            </w14:solidFill>
          </w14:textFill>
        </w:rPr>
        <w:t>（三）进度管理</w:t>
      </w:r>
      <w:bookmarkEnd w:id="131"/>
    </w:p>
    <w:p w14:paraId="76E239DF">
      <w:pPr>
        <w:pStyle w:val="54"/>
        <w:spacing w:before="24" w:after="24"/>
      </w:pPr>
      <w:r>
        <w:rPr>
          <w:rFonts w:hint="eastAsia"/>
        </w:rPr>
        <w:t>承包人应负责设计、采购、施工全过程进度管理，应做好设计、采购、施工的协调工作，严格控制关键节点，确保项目的目标进度满足发包人总体进度的要求。</w:t>
      </w:r>
    </w:p>
    <w:p w14:paraId="5FD3084F">
      <w:pPr>
        <w:pStyle w:val="64"/>
        <w:spacing w:before="24" w:after="24"/>
      </w:pPr>
      <w:bookmarkStart w:id="132" w:name="_Toc221894161"/>
      <w:r>
        <w:rPr>
          <w:rFonts w:hint="eastAsia"/>
        </w:rPr>
        <w:t>1、进度计划管理</w:t>
      </w:r>
      <w:bookmarkEnd w:id="132"/>
    </w:p>
    <w:p w14:paraId="3DF2B8E8">
      <w:pPr>
        <w:pStyle w:val="54"/>
        <w:spacing w:before="24" w:after="24"/>
      </w:pPr>
      <w:r>
        <w:rPr>
          <w:rFonts w:hint="eastAsia"/>
        </w:rPr>
        <w:t>（1）承包人应依据合同工期要求编制项目总体进度计划，明确各关键节点完成时间，并在合同签订 2 周内报发包人审批。</w:t>
      </w:r>
    </w:p>
    <w:p w14:paraId="23AC7FF0">
      <w:pPr>
        <w:pStyle w:val="54"/>
        <w:spacing w:before="24" w:after="24"/>
      </w:pPr>
      <w:r>
        <w:rPr>
          <w:rFonts w:hint="eastAsia"/>
        </w:rPr>
        <w:t>（2）在批准的项目总体进度计划基础上编制勘察、设计进度计划、采购进度计划、施工进度计划报发包人。</w:t>
      </w:r>
    </w:p>
    <w:p w14:paraId="2BB4E3FE">
      <w:pPr>
        <w:pStyle w:val="54"/>
        <w:spacing w:before="24" w:after="24"/>
      </w:pPr>
      <w:r>
        <w:rPr>
          <w:rFonts w:hint="eastAsia"/>
        </w:rPr>
        <w:t>（3）项目进度计划以施工为主线，设计、采购进度应满足施工进度要求。设计进度计划根据施工进度要求编制详细的出图计划；采购进度计划根据设计、施工的需要制定设备采购进度和设备交付进度；施工进度计划根据总体进度的需要分阶段、分系统编制施工计划，包括施工进场计划、土建工程计划、安装工程计划、调试计划、竣工联合验收计划、移交计划等。</w:t>
      </w:r>
    </w:p>
    <w:p w14:paraId="559B5DE4">
      <w:pPr>
        <w:pStyle w:val="54"/>
        <w:spacing w:before="24" w:after="24"/>
      </w:pPr>
      <w:r>
        <w:rPr>
          <w:rFonts w:hint="eastAsia"/>
        </w:rPr>
        <w:t>（4）承包人提交项目进度计划的份数和时间：</w:t>
      </w:r>
    </w:p>
    <w:p w14:paraId="446DCCC5">
      <w:pPr>
        <w:pStyle w:val="54"/>
        <w:spacing w:before="24" w:after="24"/>
      </w:pPr>
      <w:r>
        <w:rPr>
          <w:rFonts w:hint="eastAsia"/>
        </w:rPr>
        <w:t>承包人在合同签订后 2 周内向发包人提交 6 份包括设计、采购、施工、总进度计划和分进度计划的实施性项目施工组织设计。承包人在开工 2 周前，向发包人提交 6 份工程施工组织方案。对于关键部位和节点工程，施工一周前应向发包人提交 6 份专项施工方案，以备审查批准；每周例会前一天应向监理单位提供上周滚动计划和周报各 6 份；对涉及危险性较大的分部分项工程严格按照《危险性较大的分部分项工程安全管理规定》（住房城乡建设部令第 37 号）、《住房城乡建设部办公厅关于实施《危险性较大的分部分项工程安全管理规定》有关问题的通知》（建办质〔2018〕31 号）、《危险性较大的分部分项工程专项施工方案编制指南》（建办质〔2021〕48号）、《云南省危险性较大的分部分项工程安全管理实施细则》（云建规〔2018〕3 号）执行，专项施工方案应包括方案设计及评审论证。</w:t>
      </w:r>
    </w:p>
    <w:p w14:paraId="43556C58">
      <w:pPr>
        <w:pStyle w:val="54"/>
        <w:spacing w:before="24" w:after="24"/>
      </w:pPr>
      <w:r>
        <w:rPr>
          <w:rFonts w:hint="eastAsia"/>
        </w:rPr>
        <w:t>项目进度计划经发包人批准后实施，但发包人的批准不能减轻或免除承包人的责任。</w:t>
      </w:r>
    </w:p>
    <w:p w14:paraId="3F2A5073">
      <w:pPr>
        <w:pStyle w:val="64"/>
        <w:spacing w:before="24" w:after="24"/>
      </w:pPr>
      <w:bookmarkStart w:id="133" w:name="_Toc221894162"/>
      <w:r>
        <w:rPr>
          <w:rFonts w:hint="eastAsia"/>
        </w:rPr>
        <w:t>2、过程进度控制</w:t>
      </w:r>
      <w:bookmarkEnd w:id="133"/>
    </w:p>
    <w:p w14:paraId="555D1581">
      <w:pPr>
        <w:pStyle w:val="54"/>
        <w:spacing w:before="24" w:after="24"/>
      </w:pPr>
      <w:r>
        <w:rPr>
          <w:rFonts w:hint="eastAsia"/>
        </w:rPr>
        <w:t>实行进度报告制度，承包人每周通报进度情况，每月向管理单位及发包人书面报告进度，进度报告需包含实际进度与计划进度的对比、滞后原因分析、纠偏措施；同时规定进度计划的调整流程（如因不可抗力需调整时，需提前申请并经发包人审批）。</w:t>
      </w:r>
    </w:p>
    <w:p w14:paraId="6F0EEBDF">
      <w:pPr>
        <w:pStyle w:val="66"/>
      </w:pPr>
      <w:r>
        <w:rPr>
          <w:rFonts w:hint="eastAsia"/>
        </w:rPr>
        <w:t>2.1设计进度控制</w:t>
      </w:r>
    </w:p>
    <w:p w14:paraId="2A7BCD70">
      <w:pPr>
        <w:pStyle w:val="54"/>
        <w:spacing w:before="24" w:after="24"/>
      </w:pPr>
      <w:r>
        <w:rPr>
          <w:rFonts w:hint="eastAsia"/>
        </w:rPr>
        <w:t>设计管理负责人负责监督落实设计进度计划，按时提交设计各阶段成果资料和文件。及时组织相关单位和人员对设计文件进行审查，限期完成审查问题的整改。</w:t>
      </w:r>
    </w:p>
    <w:p w14:paraId="6A850C3D">
      <w:pPr>
        <w:pStyle w:val="66"/>
      </w:pPr>
      <w:r>
        <w:rPr>
          <w:rFonts w:hint="eastAsia"/>
        </w:rPr>
        <w:t>2.2采购进度控制</w:t>
      </w:r>
    </w:p>
    <w:p w14:paraId="0D33761A">
      <w:pPr>
        <w:pStyle w:val="54"/>
        <w:spacing w:before="24" w:after="24"/>
      </w:pPr>
      <w:r>
        <w:rPr>
          <w:rFonts w:hint="eastAsia"/>
        </w:rPr>
        <w:t>组织开展采购周期和设备材料制造时间的调研。根据总进度计划安排，提前完成采购招标技术文件审查，按时组织采购招标，明确设备的各部件到场时间。及时掌握设备、材料制造和监造情况，通报相关信息。特别要注意重要设备、交货周期长的设备材料采购情况，承包人要采取措施加强采购管理。</w:t>
      </w:r>
    </w:p>
    <w:p w14:paraId="0A46732E">
      <w:pPr>
        <w:pStyle w:val="66"/>
      </w:pPr>
      <w:r>
        <w:rPr>
          <w:rFonts w:hint="eastAsia"/>
        </w:rPr>
        <w:t>2.3施工进度控制</w:t>
      </w:r>
    </w:p>
    <w:p w14:paraId="4BBD53DF">
      <w:pPr>
        <w:pStyle w:val="54"/>
        <w:spacing w:before="24" w:after="24"/>
      </w:pPr>
      <w:r>
        <w:rPr>
          <w:rFonts w:hint="eastAsia"/>
        </w:rPr>
        <w:t>承包人提供详细的施工组织设计和单位工程施工计划，包括人员、设备材料、机具进场计划等，以供发包人审查。施工进度实行动态控制，发生偏差时承包人采用措施予以调整。承包人提供上周滚动进度计划、月进度计划和周进度报表、月进度报表，分析判断进度状况及产生原因，及时发出预警，并采取各种有效措施，确保工程施工总工期。承包人对施工分包人的进度款按实际完成工程量及时支付。</w:t>
      </w:r>
    </w:p>
    <w:p w14:paraId="394779A3">
      <w:pPr>
        <w:pStyle w:val="64"/>
        <w:spacing w:before="24" w:after="24"/>
      </w:pPr>
      <w:bookmarkStart w:id="134" w:name="_Toc221894163"/>
      <w:r>
        <w:rPr>
          <w:rFonts w:hint="eastAsia"/>
        </w:rPr>
        <w:t>3、市政公用设施工程进度控制</w:t>
      </w:r>
      <w:bookmarkEnd w:id="134"/>
    </w:p>
    <w:p w14:paraId="06124413">
      <w:pPr>
        <w:pStyle w:val="66"/>
      </w:pPr>
      <w:r>
        <w:rPr>
          <w:rFonts w:hint="eastAsia"/>
        </w:rPr>
        <w:t>3.1进度计划编制要求</w:t>
      </w:r>
    </w:p>
    <w:p w14:paraId="05CA48EC">
      <w:pPr>
        <w:pStyle w:val="54"/>
        <w:spacing w:before="24" w:after="24"/>
      </w:pPr>
      <w:r>
        <w:rPr>
          <w:rFonts w:hint="eastAsia"/>
        </w:rPr>
        <w:t>（1）贴合项目总工期：设备相关进度需严格匹配项目整体工期目标，明确设备采购、到货、安装、调试、移交各阶段时间节点，且预留 10% 左右缓冲工期。</w:t>
      </w:r>
    </w:p>
    <w:p w14:paraId="3C5C4C2B">
      <w:pPr>
        <w:pStyle w:val="54"/>
        <w:spacing w:before="24" w:after="24"/>
      </w:pPr>
      <w:r>
        <w:rPr>
          <w:rFonts w:hint="eastAsia"/>
        </w:rPr>
        <w:t>（2）遵循工艺逻辑与规范：按“设备选型及订货→土建基础验收→主体设备安装→辅助系统配套→单机调试→联动调试→验收移交”的顺序编制，符合《给水排水管道工程施工及验收规范》等要求。</w:t>
      </w:r>
    </w:p>
    <w:p w14:paraId="3BE2DD92">
      <w:pPr>
        <w:pStyle w:val="54"/>
        <w:spacing w:before="24" w:after="24"/>
      </w:pPr>
      <w:r>
        <w:rPr>
          <w:rFonts w:hint="eastAsia"/>
        </w:rPr>
        <w:t>（3）内容详细可落地：需包含设备清单、各工序持续时间、资源配置</w:t>
      </w:r>
    </w:p>
    <w:p w14:paraId="095AFC9D">
      <w:pPr>
        <w:pStyle w:val="54"/>
        <w:spacing w:before="24" w:after="24"/>
      </w:pPr>
      <w:r>
        <w:rPr>
          <w:rFonts w:hint="eastAsia"/>
        </w:rPr>
        <w:t>（人员、机具）、交叉作业协调方案，明确关键路径（如核心设备安装、调试达标节点）。</w:t>
      </w:r>
    </w:p>
    <w:p w14:paraId="0299CCF5">
      <w:pPr>
        <w:pStyle w:val="54"/>
        <w:spacing w:before="24" w:after="24"/>
      </w:pPr>
      <w:r>
        <w:rPr>
          <w:rFonts w:hint="eastAsia"/>
        </w:rPr>
        <w:t>（4）衔接多专业协同：同步对接土建收尾、电气安装、自控系统调试等专业进度，避免出现 “设备到场但基础未完工”“安装完成但电气未配套” 等冲突。</w:t>
      </w:r>
    </w:p>
    <w:p w14:paraId="61589623">
      <w:pPr>
        <w:pStyle w:val="66"/>
      </w:pPr>
      <w:r>
        <w:rPr>
          <w:rFonts w:hint="eastAsia"/>
        </w:rPr>
        <w:t>3.2进度计划执行要求</w:t>
      </w:r>
    </w:p>
    <w:p w14:paraId="1E84B355">
      <w:pPr>
        <w:pStyle w:val="54"/>
        <w:spacing w:before="24" w:after="24"/>
      </w:pPr>
      <w:r>
        <w:rPr>
          <w:rFonts w:hint="eastAsia"/>
        </w:rPr>
        <w:t>（1）节点刚性约束：关键节点（如设备到货验收、主体设备安装完成、联动调试启动、环保验收通过）需明确截止时间，无特殊情况不得延误，延误需提前提交书面说明。</w:t>
      </w:r>
    </w:p>
    <w:p w14:paraId="63E07C99">
      <w:pPr>
        <w:pStyle w:val="54"/>
        <w:spacing w:before="24" w:after="24"/>
      </w:pPr>
      <w:r>
        <w:rPr>
          <w:rFonts w:hint="eastAsia"/>
        </w:rPr>
        <w:t>（2）资源保障到位：施工单位需配齐持证操作人员（焊工、钳工等）、检测机具（全站仪、试压泵）及辅材（密封胶、焊条），按计划到位且满足施工需求。</w:t>
      </w:r>
    </w:p>
    <w:p w14:paraId="3618E6AE">
      <w:pPr>
        <w:pStyle w:val="54"/>
        <w:spacing w:before="24" w:after="24"/>
      </w:pPr>
      <w:r>
        <w:rPr>
          <w:rFonts w:hint="eastAsia"/>
        </w:rPr>
        <w:t>（3）合规有序施工：设备安装需严格遵循工艺标准（如压滤机水平度≤2mm/m、管道试压压力为设计压力 1.5 倍），调试需按“单机→联动→带负荷”分步推进，每阶段留存记录。</w:t>
      </w:r>
    </w:p>
    <w:p w14:paraId="745666AB">
      <w:pPr>
        <w:pStyle w:val="66"/>
      </w:pPr>
      <w:r>
        <w:rPr>
          <w:rFonts w:hint="eastAsia"/>
        </w:rPr>
        <w:t>3.3进度监控与报告要求</w:t>
      </w:r>
    </w:p>
    <w:p w14:paraId="31AD9693">
      <w:pPr>
        <w:pStyle w:val="54"/>
        <w:spacing w:before="24" w:after="24"/>
      </w:pPr>
      <w:r>
        <w:rPr>
          <w:rFonts w:hint="eastAsia"/>
        </w:rPr>
        <w:t>（1）动态跟踪机制：施工单位需执行“日跟踪、周复盘”，每日通报工序完成情况，每周提交《设备进度周报》，列明计划完成率、滞后工序及原因。</w:t>
      </w:r>
    </w:p>
    <w:p w14:paraId="6B7640F8">
      <w:pPr>
        <w:pStyle w:val="54"/>
        <w:spacing w:before="24" w:after="24"/>
      </w:pPr>
      <w:r>
        <w:rPr>
          <w:rFonts w:hint="eastAsia"/>
        </w:rPr>
        <w:t>（2）信息及时报送：周报需包含设备到场情况、安装进度、调试数据、资源使用状态，重大问题（如设备质量不合格、技术难题）需 24 小时内专项上报。</w:t>
      </w:r>
    </w:p>
    <w:p w14:paraId="32A75372">
      <w:pPr>
        <w:pStyle w:val="54"/>
        <w:spacing w:before="24" w:after="24"/>
      </w:pPr>
      <w:r>
        <w:rPr>
          <w:rFonts w:hint="eastAsia"/>
        </w:rPr>
        <w:t>（3）监理协同监督：监理单位需对进度执行情况全程核查，核实进度数据真实性，对偏离计划的工序提出整改意见并跟踪落实。</w:t>
      </w:r>
    </w:p>
    <w:p w14:paraId="5838FEE0">
      <w:pPr>
        <w:pStyle w:val="66"/>
      </w:pPr>
      <w:r>
        <w:rPr>
          <w:rFonts w:hint="eastAsia"/>
        </w:rPr>
        <w:t>3.4偏差纠偏与风险管控要求</w:t>
      </w:r>
    </w:p>
    <w:p w14:paraId="1D96B5A3">
      <w:pPr>
        <w:pStyle w:val="54"/>
        <w:spacing w:before="24" w:after="24"/>
      </w:pPr>
      <w:r>
        <w:rPr>
          <w:rFonts w:hint="eastAsia"/>
        </w:rPr>
        <w:t>（1）偏差快速处理：当进度滞后超 5% 或关键节点延误时，需 48 小时内提交纠偏方案，明确调整措施（如增加作业班组、优化施工顺序、协调厂家加急处理）。</w:t>
      </w:r>
    </w:p>
    <w:p w14:paraId="39C2F506">
      <w:pPr>
        <w:pStyle w:val="54"/>
        <w:spacing w:before="24" w:after="24"/>
      </w:pPr>
      <w:r>
        <w:rPr>
          <w:rFonts w:hint="eastAsia"/>
        </w:rPr>
        <w:t>（2）风险提前预控：需识别设备延期到货、极端天气、技术难题等风险，制定应对预案（如签订设备逾期赔付条款、储备备用供应商、提前对接厂家技术支持）。</w:t>
      </w:r>
    </w:p>
    <w:p w14:paraId="073EB39C">
      <w:pPr>
        <w:pStyle w:val="54"/>
        <w:spacing w:before="24" w:after="24"/>
      </w:pPr>
      <w:r>
        <w:rPr>
          <w:rFonts w:hint="eastAsia"/>
        </w:rPr>
        <w:t>（3）变更规范管理：因设计变更、现场条件变化导致进度调整的，需履行书面审批流程，重新明确调整后的节点计划，同步更新资源配置。</w:t>
      </w:r>
    </w:p>
    <w:p w14:paraId="0B7D25A4">
      <w:pPr>
        <w:pStyle w:val="66"/>
      </w:pPr>
      <w:r>
        <w:rPr>
          <w:rFonts w:hint="eastAsia"/>
        </w:rPr>
        <w:t>3.5验收与移交进度要求</w:t>
      </w:r>
    </w:p>
    <w:p w14:paraId="5B19C05F">
      <w:pPr>
        <w:pStyle w:val="54"/>
        <w:spacing w:before="24" w:after="24"/>
      </w:pPr>
      <w:r>
        <w:rPr>
          <w:rFonts w:hint="eastAsia"/>
        </w:rPr>
        <w:t>（1）验收节点闭环：调试完成后需及时组织环保验收，确保出水水质、设备运行效率达标，验收资料（安装记录、调试报告、检测数据）需同步整理完成。</w:t>
      </w:r>
    </w:p>
    <w:p w14:paraId="05F5D468">
      <w:pPr>
        <w:pStyle w:val="54"/>
        <w:spacing w:before="24" w:after="24"/>
      </w:pPr>
      <w:r>
        <w:rPr>
          <w:rFonts w:hint="eastAsia"/>
        </w:rPr>
        <w:t>（2）移交进度匹配：验收合格后按计划完成设备标识张贴、操作人员培训、资料移交（含设备说明书、保修卡、竣工图），签署《移交确认单》，完成责任转移。</w:t>
      </w:r>
    </w:p>
    <w:p w14:paraId="42E24FBB">
      <w:pPr>
        <w:pStyle w:val="62"/>
      </w:pPr>
      <w:bookmarkStart w:id="135" w:name="_Toc221894164"/>
      <w:r>
        <w:rPr>
          <w:rFonts w:hint="eastAsia"/>
        </w:rPr>
        <w:t>（四）支付</w:t>
      </w:r>
      <w:bookmarkEnd w:id="135"/>
    </w:p>
    <w:p w14:paraId="7F198A61">
      <w:pPr>
        <w:pStyle w:val="54"/>
        <w:spacing w:before="24" w:after="24"/>
      </w:pPr>
      <w:r>
        <w:rPr>
          <w:rFonts w:hint="eastAsia"/>
        </w:rPr>
        <w:t>见本期项目招标文件的合同条款及格式内容。</w:t>
      </w:r>
    </w:p>
    <w:p w14:paraId="11DE9617">
      <w:pPr>
        <w:pStyle w:val="62"/>
      </w:pPr>
      <w:bookmarkStart w:id="136" w:name="_Toc221894165"/>
      <w:r>
        <w:rPr>
          <w:rFonts w:hint="eastAsia"/>
        </w:rPr>
        <w:t>（五）项目 HSE 管理（健康、安全与环境管理体系）</w:t>
      </w:r>
      <w:bookmarkEnd w:id="136"/>
    </w:p>
    <w:p w14:paraId="2330A4BC">
      <w:pPr>
        <w:pStyle w:val="54"/>
        <w:spacing w:before="24" w:after="24"/>
      </w:pPr>
      <w:r>
        <w:rPr>
          <w:rFonts w:hint="eastAsia"/>
        </w:rPr>
        <w:t>承包人是项目建设的健康、安全和环境管理责任主体，负责项目建设过程中的健康、安全和环境管理工作，包括设计、采购、施工各阶段工程和各分包人的健康、安全和环境管理。项目 HSE 管理以“安全第一、预防为主；环境优先、综合治理；保护健康，以人为本”为方针，通过 HSE 管理体系的有效实施，努力实现零事故、零污染、零伤害。</w:t>
      </w:r>
    </w:p>
    <w:p w14:paraId="1C2C7280">
      <w:pPr>
        <w:pStyle w:val="54"/>
        <w:spacing w:before="24" w:after="24"/>
      </w:pPr>
      <w:r>
        <w:rPr>
          <w:rFonts w:hint="eastAsia"/>
        </w:rPr>
        <w:t>项目建设管理应达到云南省住房和城乡建设厅下发的《云南省工程质量安全手册实施细则》（试行）中《云南省工程安全管理行为分册》《云南省工程安全生产现场控制分册（上、下册）》的规定要求，并满足国家或行业的其他有关健康、安全、环境保护的各项法律规定及技术标准，同时执行发包方安全监督管理各项规章制度。</w:t>
      </w:r>
    </w:p>
    <w:p w14:paraId="703166CC">
      <w:pPr>
        <w:pStyle w:val="64"/>
        <w:spacing w:before="24" w:after="24"/>
      </w:pPr>
      <w:bookmarkStart w:id="137" w:name="_Toc221894166"/>
      <w:r>
        <w:rPr>
          <w:rFonts w:hint="eastAsia"/>
        </w:rPr>
        <w:t>1、建立项目 HSE 管理体系</w:t>
      </w:r>
      <w:bookmarkEnd w:id="137"/>
    </w:p>
    <w:p w14:paraId="32419932">
      <w:pPr>
        <w:pStyle w:val="54"/>
        <w:spacing w:before="24" w:after="24"/>
      </w:pPr>
      <w:r>
        <w:rPr>
          <w:rFonts w:hint="eastAsia"/>
        </w:rPr>
        <w:t>1.1承包人项目部成立HSE 管理委员会，分包人成立HSE 管理小组，明确各自成员的职责，以及承包人项目部各职能部门的HSE 管理职责。</w:t>
      </w:r>
    </w:p>
    <w:p w14:paraId="199EDB06">
      <w:pPr>
        <w:pStyle w:val="54"/>
        <w:spacing w:before="24" w:after="24"/>
      </w:pPr>
      <w:r>
        <w:rPr>
          <w:rFonts w:hint="eastAsia"/>
        </w:rPr>
        <w:t>1.2承包人项目部设置HSE 管理机构，配备专业 HSE 管理人员，负责项目安全管理制度的拟定和实施。该机构接受发包人及政府有关监管部门的监督检查指导。</w:t>
      </w:r>
    </w:p>
    <w:p w14:paraId="7E453012">
      <w:pPr>
        <w:pStyle w:val="54"/>
        <w:spacing w:before="24" w:after="24"/>
      </w:pPr>
      <w:r>
        <w:rPr>
          <w:rFonts w:hint="eastAsia"/>
        </w:rPr>
        <w:t>1.3承包人及分包人须持有相应的安全资质，其 HSE 管理机构必须按规定数量配齐持有相应管理资格证的专职管理人员，负责项目建设中的HSE管理。</w:t>
      </w:r>
    </w:p>
    <w:p w14:paraId="3F5219E6">
      <w:pPr>
        <w:pStyle w:val="64"/>
        <w:spacing w:before="24" w:after="24"/>
      </w:pPr>
      <w:bookmarkStart w:id="138" w:name="_Toc221894167"/>
      <w:r>
        <w:rPr>
          <w:rFonts w:hint="eastAsia"/>
        </w:rPr>
        <w:t>2、编制项目 HSE 管理方案</w:t>
      </w:r>
      <w:bookmarkEnd w:id="138"/>
    </w:p>
    <w:p w14:paraId="4BB87408">
      <w:pPr>
        <w:pStyle w:val="54"/>
        <w:spacing w:before="24" w:after="24"/>
      </w:pPr>
      <w:r>
        <w:rPr>
          <w:rFonts w:hint="eastAsia"/>
        </w:rPr>
        <w:t>承包人要根据自己公司的HSE 管理方针和管理目标，针对项目的各方面特点，编制本项目的HSE 管理方案，并报监理单位和发包人批准。</w:t>
      </w:r>
    </w:p>
    <w:p w14:paraId="7E482AD3">
      <w:pPr>
        <w:pStyle w:val="64"/>
        <w:spacing w:before="24" w:after="24"/>
      </w:pPr>
      <w:bookmarkStart w:id="139" w:name="_Toc221894168"/>
      <w:r>
        <w:rPr>
          <w:rFonts w:hint="eastAsia"/>
        </w:rPr>
        <w:t>3、HSE 费用管理</w:t>
      </w:r>
      <w:bookmarkEnd w:id="139"/>
    </w:p>
    <w:p w14:paraId="319FCB47">
      <w:pPr>
        <w:pStyle w:val="54"/>
        <w:spacing w:before="24" w:after="24"/>
      </w:pPr>
      <w:r>
        <w:rPr>
          <w:rFonts w:hint="eastAsia"/>
        </w:rPr>
        <w:t>承包人对列入建设工程概（预）算的安全作业环境及安全施工措施所需费用，应当用于安全防护用具及设施的采购和更新、安全措施的落实、安全生产条件的改善，不得挪作他用。</w:t>
      </w:r>
    </w:p>
    <w:p w14:paraId="5A46288D">
      <w:pPr>
        <w:pStyle w:val="64"/>
        <w:spacing w:before="24" w:after="24"/>
      </w:pPr>
      <w:bookmarkStart w:id="140" w:name="_Toc221894169"/>
      <w:r>
        <w:rPr>
          <w:rFonts w:hint="eastAsia"/>
        </w:rPr>
        <w:t>4、应急救援预案</w:t>
      </w:r>
      <w:bookmarkEnd w:id="140"/>
    </w:p>
    <w:p w14:paraId="508E872F">
      <w:pPr>
        <w:pStyle w:val="54"/>
        <w:spacing w:before="24" w:after="24"/>
      </w:pPr>
      <w:r>
        <w:rPr>
          <w:rFonts w:hint="eastAsia"/>
        </w:rPr>
        <w:t>编制本级HSE 事故应急救援预案，配备应急救援人员、器材，并定期组织演练；及时向有关单位报告 HSE 事故，组织一般性 HSE 事故的调查处理，配合相关部门对重大及以上HSE 事故的调查处理。</w:t>
      </w:r>
    </w:p>
    <w:p w14:paraId="06E4E760">
      <w:pPr>
        <w:pStyle w:val="64"/>
        <w:spacing w:before="24" w:after="24"/>
      </w:pPr>
      <w:bookmarkStart w:id="141" w:name="_Toc221894170"/>
      <w:r>
        <w:rPr>
          <w:rFonts w:hint="eastAsia"/>
        </w:rPr>
        <w:t>5、项目 HSE 工作月报</w:t>
      </w:r>
      <w:bookmarkEnd w:id="141"/>
    </w:p>
    <w:p w14:paraId="168D046D">
      <w:pPr>
        <w:pStyle w:val="54"/>
        <w:spacing w:before="24" w:after="24"/>
      </w:pPr>
      <w:r>
        <w:rPr>
          <w:rFonts w:hint="eastAsia"/>
        </w:rPr>
        <w:t>每月 25 日前编制《项目 HSE 工作月报》向发包人及主管部门报告 HSE月度工作情况。</w:t>
      </w:r>
    </w:p>
    <w:p w14:paraId="3AEF8611">
      <w:pPr>
        <w:pStyle w:val="64"/>
        <w:spacing w:before="24" w:after="24"/>
      </w:pPr>
      <w:bookmarkStart w:id="142" w:name="_Toc221894171"/>
      <w:r>
        <w:rPr>
          <w:rFonts w:hint="eastAsia"/>
        </w:rPr>
        <w:t>6、设计安全管理</w:t>
      </w:r>
      <w:bookmarkEnd w:id="142"/>
    </w:p>
    <w:p w14:paraId="11F7040F">
      <w:pPr>
        <w:pStyle w:val="54"/>
        <w:spacing w:before="24" w:after="24"/>
      </w:pPr>
      <w:r>
        <w:rPr>
          <w:rFonts w:hint="eastAsia"/>
        </w:rPr>
        <w:t>按照国家法律法规、HSE 标准规范、有关HSE 评价报告或基础工程设计及行政许可审查意见等进行设计，防止因设计不合理导致HSE 事故的发生；对涉及施工HSE 的重点部位和环节在设计文件中注明，并对防范HSE事故提出指导意见；对采用新结构、新材料、新工艺的建设工程和特殊结构的建设工程，应当在设计中提出保障施工作业人员安全和预防HSE 事故的措施建议。</w:t>
      </w:r>
    </w:p>
    <w:p w14:paraId="4C636AAC">
      <w:pPr>
        <w:pStyle w:val="64"/>
        <w:spacing w:before="24" w:after="24"/>
      </w:pPr>
      <w:bookmarkStart w:id="143" w:name="_Toc221894172"/>
      <w:r>
        <w:rPr>
          <w:rFonts w:hint="eastAsia"/>
        </w:rPr>
        <w:t>7、分包人 HSE 管理</w:t>
      </w:r>
      <w:bookmarkEnd w:id="143"/>
    </w:p>
    <w:p w14:paraId="1D001D4E">
      <w:pPr>
        <w:pStyle w:val="54"/>
        <w:spacing w:before="24" w:after="24"/>
      </w:pPr>
      <w:r>
        <w:rPr>
          <w:rFonts w:hint="eastAsia"/>
        </w:rPr>
        <w:t>分包人成立HSE 管理小组，具体负责施工过程中的 HSE 管理工作，并接受承包人和监理单位、管理单位、发包人的监督、检查。对本单位施工人员进行经常性的安全教育和技术培训，实施先培训后上岗和特殊工种持证上岗的制度；负责将与HSE 有关人员的上岗证在上岗前交监理单位审核备案，确保证件的合法有效。本单位驻施工现场人员配备安全、合格、合规的劳保用品，办理意外伤害保险，支付保险费用。实行HSE 交底制度、 HSE 检查制度、HSE 考核制度。</w:t>
      </w:r>
    </w:p>
    <w:p w14:paraId="2871047E">
      <w:pPr>
        <w:pStyle w:val="64"/>
        <w:spacing w:before="24" w:after="24"/>
      </w:pPr>
      <w:bookmarkStart w:id="144" w:name="_Toc221894173"/>
      <w:r>
        <w:rPr>
          <w:rFonts w:hint="eastAsia"/>
        </w:rPr>
        <w:t>8、施工管理</w:t>
      </w:r>
      <w:bookmarkEnd w:id="144"/>
    </w:p>
    <w:p w14:paraId="12C6105F">
      <w:pPr>
        <w:pStyle w:val="54"/>
        <w:spacing w:before="24" w:after="24"/>
      </w:pPr>
      <w:r>
        <w:rPr>
          <w:rFonts w:hint="eastAsia"/>
        </w:rPr>
        <w:t>8.1承包人对施工现场文明施工负总责，建立和完善相应的管理体系和制度，包括但不限于安全生产教育培训，安全费用管理，施工设施、设备及劳动防护用品的安全管理，安全生产技术管理，分包（供）方安全生产管理，施工现场安全管理，应急救援管理，生产安全事故管理，安全检查和改进，安全考核和奖惩等制度。各分包人服从承包人和监理单位、管理单位的管理，负责各自区域的文明施工管理和实施、保持工作。承包人指定部门负责现场文明施工的管理，承担相应的管理责任。现场文明施工的管理包括施工总平面管理、施工场地管理、施工道路管理、场容卫生管理、施工区域内环境管理、施工区域外环境管理、场地封闭维护管理、现场材料管理、防火措施管理。</w:t>
      </w:r>
    </w:p>
    <w:p w14:paraId="536EC1A3">
      <w:pPr>
        <w:pStyle w:val="54"/>
        <w:spacing w:before="24" w:after="24"/>
      </w:pPr>
      <w:r>
        <w:rPr>
          <w:rFonts w:hint="eastAsia"/>
        </w:rPr>
        <w:t>8.2承包人对现场文明施工管理作出总体部署，并要求分包人根据所负责区域的特点编制文明施工管理细则。</w:t>
      </w:r>
    </w:p>
    <w:p w14:paraId="5B075BBC">
      <w:pPr>
        <w:pStyle w:val="54"/>
        <w:spacing w:before="24" w:after="24"/>
      </w:pPr>
      <w:r>
        <w:rPr>
          <w:rFonts w:hint="eastAsia"/>
        </w:rPr>
        <w:t>8.3承包人每周组织一次文明施工检查，根据检查情况出具文明施工检查和考核结果，并督促各分包人进行整改。</w:t>
      </w:r>
    </w:p>
    <w:p w14:paraId="44572D1D">
      <w:pPr>
        <w:pStyle w:val="54"/>
        <w:spacing w:before="24" w:after="24"/>
      </w:pPr>
      <w:r>
        <w:rPr>
          <w:rFonts w:hint="eastAsia"/>
        </w:rPr>
        <w:t>8.4承包人除每周组织一次文明施工检查外，有关安全管理人员还应自行或组织有关单位进行日常巡查、专项检查、定期安全检查、经常性安全检查、季节性安全检查、节假日安全检查、开工、复工安全检查专业性安全检查和设备设施安全验收检查等，根据检查情况出具文明施工检查和考核结果，并督促各承包单位进行整改。</w:t>
      </w:r>
    </w:p>
    <w:p w14:paraId="5F6A8800">
      <w:pPr>
        <w:pStyle w:val="54"/>
        <w:spacing w:before="24" w:after="24"/>
      </w:pPr>
      <w:r>
        <w:rPr>
          <w:rFonts w:hint="eastAsia"/>
        </w:rPr>
        <w:t>8.5承包人除每周组织一次文明施工检查外，有关安全管理人员还应自行或组织有关单位定期（每月）或不定期对安全思想、安全责任、安全制度、安全措施、安全防护、设备设施、教育培训、操作行为、劳动防护用品使用和伤亡事故处理等进行检查，相关检查内容如下：</w:t>
      </w:r>
    </w:p>
    <w:p w14:paraId="14F0595F">
      <w:pPr>
        <w:pStyle w:val="54"/>
        <w:spacing w:before="24" w:after="24"/>
      </w:pPr>
      <w:r>
        <w:rPr>
          <w:rFonts w:hint="eastAsia"/>
        </w:rPr>
        <w:t>（1）安全思想：检查项目全体人员（包括分包人员）安全生产意识；</w:t>
      </w:r>
    </w:p>
    <w:p w14:paraId="63A13E2B">
      <w:pPr>
        <w:pStyle w:val="54"/>
        <w:spacing w:before="24" w:after="24"/>
      </w:pPr>
      <w:r>
        <w:rPr>
          <w:rFonts w:hint="eastAsia"/>
        </w:rPr>
        <w:t>（2）安全责任:检查现场安全生产责任目标的分解与考核;</w:t>
      </w:r>
    </w:p>
    <w:p w14:paraId="3BDADB5A">
      <w:pPr>
        <w:pStyle w:val="54"/>
        <w:spacing w:before="24" w:after="24"/>
      </w:pPr>
      <w:r>
        <w:rPr>
          <w:rFonts w:hint="eastAsia"/>
        </w:rPr>
        <w:t>（3）安全制度:检查现场各项安全生产规章制度和安全技术操作规程的建立和执行;</w:t>
      </w:r>
    </w:p>
    <w:p w14:paraId="561DDC78">
      <w:pPr>
        <w:pStyle w:val="54"/>
        <w:spacing w:before="24" w:after="24"/>
      </w:pPr>
      <w:r>
        <w:rPr>
          <w:rFonts w:hint="eastAsia"/>
        </w:rPr>
        <w:t>（4）安全措施:检查现场安全措施计划及各项安全专项施工方案的编制、审核、审批及实施:</w:t>
      </w:r>
    </w:p>
    <w:p w14:paraId="529FBA17">
      <w:pPr>
        <w:pStyle w:val="54"/>
        <w:spacing w:before="24" w:after="24"/>
      </w:pPr>
      <w:r>
        <w:rPr>
          <w:rFonts w:hint="eastAsia"/>
        </w:rPr>
        <w:t>（5）安全防护:检查现场临边、洞口等各项安全防护设施:</w:t>
      </w:r>
    </w:p>
    <w:p w14:paraId="54B2DDAB">
      <w:pPr>
        <w:pStyle w:val="54"/>
        <w:spacing w:before="24" w:after="24"/>
      </w:pPr>
      <w:r>
        <w:rPr>
          <w:rFonts w:hint="eastAsia"/>
        </w:rPr>
        <w:t>（6）设备设施:检查现场投入使用的设备设施的购置、租赁、安装、验收、使用、过程维护保养等;</w:t>
      </w:r>
    </w:p>
    <w:p w14:paraId="6CEED6BD">
      <w:pPr>
        <w:pStyle w:val="54"/>
        <w:spacing w:before="24" w:after="24"/>
      </w:pPr>
      <w:r>
        <w:rPr>
          <w:rFonts w:hint="eastAsia"/>
        </w:rPr>
        <w:t>（7）教育培训:检查现场教育培训岗位、人员、内容等;</w:t>
      </w:r>
    </w:p>
    <w:p w14:paraId="21B106E6">
      <w:pPr>
        <w:pStyle w:val="54"/>
        <w:spacing w:before="24" w:after="24"/>
      </w:pPr>
      <w:r>
        <w:rPr>
          <w:rFonts w:hint="eastAsia"/>
        </w:rPr>
        <w:t>（8）操作行为:检查现场有无违章指挥、违章作业、违反劳动纪律的行为等;</w:t>
      </w:r>
    </w:p>
    <w:p w14:paraId="1F62714F">
      <w:pPr>
        <w:pStyle w:val="54"/>
        <w:spacing w:before="24" w:after="24"/>
      </w:pPr>
      <w:r>
        <w:rPr>
          <w:rFonts w:hint="eastAsia"/>
        </w:rPr>
        <w:t>（9）劳动防护用品使用:检查现场劳动防护用品、用具的购置、产品质量、配备数量和使用等;</w:t>
      </w:r>
    </w:p>
    <w:p w14:paraId="1EA1AFAE">
      <w:pPr>
        <w:pStyle w:val="54"/>
        <w:spacing w:before="24" w:after="24"/>
      </w:pPr>
      <w:r>
        <w:rPr>
          <w:rFonts w:hint="eastAsia"/>
        </w:rPr>
        <w:t>（10）伤亡事故处理:检查现场是否发生安全事故及事故的处理等。 根据检查情况出具安全文明施工检查和考核结果，并督促各承包单位进行整改。</w:t>
      </w:r>
    </w:p>
    <w:p w14:paraId="3BDD60BB">
      <w:pPr>
        <w:pStyle w:val="64"/>
        <w:spacing w:before="24" w:after="24"/>
      </w:pPr>
      <w:bookmarkStart w:id="145" w:name="_Toc221894174"/>
      <w:r>
        <w:rPr>
          <w:rFonts w:hint="eastAsia"/>
        </w:rPr>
        <w:t>9、现场劳动用工</w:t>
      </w:r>
      <w:bookmarkEnd w:id="145"/>
    </w:p>
    <w:p w14:paraId="36D4BA74">
      <w:pPr>
        <w:pStyle w:val="54"/>
        <w:spacing w:before="24" w:after="24"/>
      </w:pPr>
      <w:r>
        <w:rPr>
          <w:rFonts w:hint="eastAsia"/>
        </w:rPr>
        <w:t>9.1承包人须严格执行《云南省工程建设领域农民工实名制管理办法》</w:t>
      </w:r>
    </w:p>
    <w:p w14:paraId="1A01C9C9">
      <w:pPr>
        <w:pStyle w:val="54"/>
        <w:spacing w:before="24" w:after="24"/>
      </w:pPr>
      <w:r>
        <w:rPr>
          <w:rFonts w:hint="eastAsia"/>
        </w:rPr>
        <w:t>《云南省建筑工人实名制管理实施细则（试行）》《云南省工程建设领域农民工工资保证金规定实施细则》《工程建设领域农民工工资专用账户管理暂行办法》。与发包人签订《建设工程实名制管理责任书》，按要求接入并使用云南省建筑工人实名制管理及工资代发平台，依法与所招用的建筑工人订立劳动合同，实行建筑工人劳动用工实名制管理，制定农民工工资保证措施。承包人应当按照有关规定开设建筑工人工资专用账户、存储工资保证金，专项用于支付和保障该工程建设项目建筑工人工资。</w:t>
      </w:r>
    </w:p>
    <w:p w14:paraId="51A6EF19">
      <w:pPr>
        <w:pStyle w:val="54"/>
        <w:spacing w:before="24" w:after="24"/>
      </w:pPr>
      <w:r>
        <w:rPr>
          <w:rFonts w:hint="eastAsia"/>
        </w:rPr>
        <w:t>9.2承包人应当在工程项目部配备劳资专管员，对分包单位劳动用工及工资发放实施监督管理。承包人拖欠建筑工人工资的,应当依法予以清偿。分包人拖欠建筑工人工资的,由承包人先行清偿,再依法进行追偿。</w:t>
      </w:r>
    </w:p>
    <w:p w14:paraId="0C2F6C13">
      <w:pPr>
        <w:pStyle w:val="54"/>
        <w:spacing w:before="24" w:after="24"/>
      </w:pPr>
      <w:r>
        <w:rPr>
          <w:rFonts w:hint="eastAsia"/>
        </w:rPr>
        <w:t>9.3承包人应当按照相关法律法规的要求，进行劳动用工管理和建筑工人工资支付。</w:t>
      </w:r>
    </w:p>
    <w:p w14:paraId="1251CE27">
      <w:pPr>
        <w:pStyle w:val="64"/>
        <w:spacing w:before="24" w:after="24"/>
      </w:pPr>
      <w:bookmarkStart w:id="146" w:name="_Toc221894175"/>
      <w:r>
        <w:rPr>
          <w:rFonts w:hint="eastAsia"/>
        </w:rPr>
        <w:t>10、文明施工管理要求</w:t>
      </w:r>
      <w:bookmarkEnd w:id="146"/>
    </w:p>
    <w:p w14:paraId="675E58F3">
      <w:pPr>
        <w:pStyle w:val="66"/>
      </w:pPr>
      <w:r>
        <w:rPr>
          <w:rFonts w:hint="eastAsia"/>
        </w:rPr>
        <w:t>10.1</w:t>
      </w:r>
      <w:r>
        <w:rPr>
          <w:rFonts w:hint="eastAsia"/>
        </w:rPr>
        <w:tab/>
      </w:r>
      <w:r>
        <w:rPr>
          <w:rFonts w:hint="eastAsia"/>
        </w:rPr>
        <w:t>施工围墙</w:t>
      </w:r>
    </w:p>
    <w:p w14:paraId="2987579E">
      <w:pPr>
        <w:pStyle w:val="54"/>
        <w:spacing w:before="24" w:after="24"/>
      </w:pPr>
      <w:r>
        <w:rPr>
          <w:rFonts w:hint="eastAsia"/>
        </w:rPr>
        <w:t>（1）围墙（围挡）必须坚固、严密，高度不得低于 1.8m。</w:t>
      </w:r>
    </w:p>
    <w:p w14:paraId="48390D1C">
      <w:pPr>
        <w:pStyle w:val="54"/>
        <w:spacing w:before="24" w:after="24"/>
      </w:pPr>
      <w:r>
        <w:rPr>
          <w:rFonts w:hint="eastAsia"/>
        </w:rPr>
        <w:t>（2）现场功能区围挡可使用彩钢板围挡、或定型化防护分隔，应保证围挡牢固、严密。</w:t>
      </w:r>
    </w:p>
    <w:p w14:paraId="4FB8B44D">
      <w:pPr>
        <w:pStyle w:val="54"/>
        <w:spacing w:before="24" w:after="24"/>
      </w:pPr>
      <w:r>
        <w:rPr>
          <w:rFonts w:hint="eastAsia"/>
        </w:rPr>
        <w:t>（3）各类围挡使用过程中应定期进行维修保养，确保结构坚固。</w:t>
      </w:r>
    </w:p>
    <w:p w14:paraId="7BE9D299">
      <w:pPr>
        <w:pStyle w:val="54"/>
        <w:spacing w:before="24" w:after="24"/>
      </w:pPr>
      <w:r>
        <w:rPr>
          <w:rFonts w:hint="eastAsia"/>
        </w:rPr>
        <w:t>（4）现场出入口应设置大门。出入口大门实行人车分流，工人走专用通道进入现场。</w:t>
      </w:r>
    </w:p>
    <w:p w14:paraId="5441359C">
      <w:pPr>
        <w:pStyle w:val="66"/>
      </w:pPr>
      <w:r>
        <w:rPr>
          <w:rFonts w:hint="eastAsia"/>
        </w:rPr>
        <w:t>10.2门禁系统</w:t>
      </w:r>
    </w:p>
    <w:p w14:paraId="64B28F97">
      <w:pPr>
        <w:pStyle w:val="54"/>
        <w:spacing w:before="24" w:after="24"/>
      </w:pPr>
      <w:r>
        <w:rPr>
          <w:rFonts w:hint="eastAsia"/>
        </w:rPr>
        <w:t>（1）人员出入口必须设置门禁系统，该系统应包括闸机、LED 显示屏、挂失办理设备等组成，并设置无卡应急通道、门卫室。</w:t>
      </w:r>
    </w:p>
    <w:p w14:paraId="313B7F9B">
      <w:pPr>
        <w:pStyle w:val="54"/>
        <w:spacing w:before="24" w:after="24"/>
      </w:pPr>
      <w:r>
        <w:rPr>
          <w:rFonts w:hint="eastAsia"/>
        </w:rPr>
        <w:t>（2）闸机一侧悬挂安全警示镜子及施工人员着装规范、另一侧悬挂温馨提示语及班前 教育警句。</w:t>
      </w:r>
    </w:p>
    <w:p w14:paraId="529B186D">
      <w:pPr>
        <w:pStyle w:val="54"/>
        <w:spacing w:before="24" w:after="24"/>
      </w:pPr>
      <w:r>
        <w:rPr>
          <w:rFonts w:hint="eastAsia"/>
        </w:rPr>
        <w:t>（3）人员凭门禁卡或生物识别方式出入现场，门禁卡采用一卡通模式，由专业公司根 据需求进行设计；生物识别方式由承包人位指派专人负责信息录入及核对。</w:t>
      </w:r>
    </w:p>
    <w:p w14:paraId="2304F381">
      <w:pPr>
        <w:pStyle w:val="66"/>
      </w:pPr>
      <w:r>
        <w:rPr>
          <w:rFonts w:hint="eastAsia"/>
        </w:rPr>
        <w:t>10.3视频监控系统</w:t>
      </w:r>
    </w:p>
    <w:p w14:paraId="0FFE508B">
      <w:pPr>
        <w:pStyle w:val="54"/>
        <w:spacing w:before="24" w:after="24"/>
      </w:pPr>
      <w:r>
        <w:rPr>
          <w:rFonts w:hint="eastAsia"/>
        </w:rPr>
        <w:t>（1）施工现场、办公区、生活区必须设置视频监控系统。</w:t>
      </w:r>
    </w:p>
    <w:p w14:paraId="2A648C36">
      <w:pPr>
        <w:pStyle w:val="54"/>
        <w:spacing w:before="24" w:after="24"/>
      </w:pPr>
      <w:r>
        <w:rPr>
          <w:rFonts w:hint="eastAsia"/>
        </w:rPr>
        <w:t>（2）监控系统设置要求：办公区、会议室、工地大门（人行出入口、车型出入口）、工地安全教育宣讲台、工地现场塔吊顶端；</w:t>
      </w:r>
    </w:p>
    <w:p w14:paraId="6E63B16E">
      <w:pPr>
        <w:pStyle w:val="54"/>
        <w:spacing w:before="24" w:after="24"/>
      </w:pPr>
      <w:r>
        <w:rPr>
          <w:rFonts w:hint="eastAsia"/>
        </w:rPr>
        <w:t>（3）工地摄像机位置要求可最大化覆盖加工场地、高边坡、高挡墙等存在重大危险源的 分部分项工程等部位，以及外场、景观主要工作面等。具体安装点位需符合智慧工地管理办法要求。</w:t>
      </w:r>
    </w:p>
    <w:p w14:paraId="019AC38C">
      <w:pPr>
        <w:pStyle w:val="54"/>
        <w:spacing w:before="24" w:after="24"/>
      </w:pPr>
      <w:r>
        <w:rPr>
          <w:rFonts w:hint="eastAsia"/>
        </w:rPr>
        <w:t>（4）摄像头分辨率、监控屏幕尺寸、远程接收图像帧率、存储硬盘容量及保存天数等指标，应符合智慧工地云监控系统要求。</w:t>
      </w:r>
    </w:p>
    <w:p w14:paraId="294C8BA1">
      <w:pPr>
        <w:spacing w:before="24" w:after="24"/>
        <w:ind w:firstLine="562" w:firstLineChars="200"/>
        <w:outlineLvl w:val="1"/>
        <w:rPr>
          <w:rFonts w:ascii="Times New Roman" w:hAnsi="Times New Roman" w:cs="Times New Roman"/>
          <w:b/>
          <w:color w:val="0D0D0D" w:themeColor="text1" w:themeTint="F2"/>
          <w14:textFill>
            <w14:solidFill>
              <w14:schemeClr w14:val="tx1">
                <w14:lumMod w14:val="95000"/>
                <w14:lumOff w14:val="5000"/>
              </w14:schemeClr>
            </w14:solidFill>
          </w14:textFill>
        </w:rPr>
      </w:pPr>
      <w:bookmarkStart w:id="147" w:name="_Toc221894176"/>
      <w:r>
        <w:rPr>
          <w:rFonts w:ascii="Times New Roman" w:hAnsi="Times New Roman" w:cs="Times New Roman"/>
          <w:b/>
          <w:color w:val="0D0D0D" w:themeColor="text1" w:themeTint="F2"/>
          <w14:textFill>
            <w14:solidFill>
              <w14:schemeClr w14:val="tx1">
                <w14:lumMod w14:val="95000"/>
                <w14:lumOff w14:val="5000"/>
              </w14:schemeClr>
            </w14:solidFill>
          </w14:textFill>
        </w:rPr>
        <w:t>（六）沟通管理</w:t>
      </w:r>
      <w:bookmarkEnd w:id="147"/>
    </w:p>
    <w:p w14:paraId="78957B0C">
      <w:pPr>
        <w:pStyle w:val="64"/>
        <w:spacing w:before="24" w:after="24"/>
      </w:pPr>
      <w:bookmarkStart w:id="148" w:name="_Toc221894177"/>
      <w:r>
        <w:t>1、沟通协调渠道</w:t>
      </w:r>
      <w:bookmarkEnd w:id="148"/>
    </w:p>
    <w:p w14:paraId="199E85B8">
      <w:pPr>
        <w:pStyle w:val="54"/>
        <w:spacing w:before="24" w:after="24"/>
      </w:pPr>
      <w:r>
        <w:t>本项目建设工程是一个由多个单位、多个部门组成的复杂系统，本工程的参建单位要能够实现随时沟通的基本要求，各方需要收集数据和信息时，能够通过有效的沟通渠道，从相关的部门、相关的人员处及时得到，本项目的沟通渠道包括正式及非正式沟通渠道。</w:t>
      </w:r>
    </w:p>
    <w:p w14:paraId="717C9392">
      <w:pPr>
        <w:pStyle w:val="66"/>
      </w:pPr>
      <w:r>
        <w:t>1.1正式渠道</w:t>
      </w:r>
    </w:p>
    <w:p w14:paraId="53363CED">
      <w:pPr>
        <w:pStyle w:val="54"/>
        <w:spacing w:before="24" w:after="24"/>
      </w:pPr>
      <w:r>
        <w:t>正式渠道包括往来文件、提交文件、项目会议、信息化项目管控平台等。通过正式渠道所沟通的信息均具有约束性，凡通过正式渠道所传递的信息，各单位包括发包人及合同单位均应作出适当的回应并具有约束力。</w:t>
      </w:r>
    </w:p>
    <w:p w14:paraId="62CC37B9">
      <w:pPr>
        <w:pStyle w:val="66"/>
      </w:pPr>
      <w:r>
        <w:t>1.2往来文件</w:t>
      </w:r>
    </w:p>
    <w:p w14:paraId="4F829610">
      <w:pPr>
        <w:pStyle w:val="54"/>
        <w:spacing w:before="24" w:after="24"/>
      </w:pPr>
      <w:r>
        <w:t>往来文件包括工作联系单、通知单、信函，但不包括电子邮件、即时通讯或电话通话记录等。</w:t>
      </w:r>
    </w:p>
    <w:p w14:paraId="5FC3C631">
      <w:pPr>
        <w:pStyle w:val="66"/>
      </w:pPr>
      <w:r>
        <w:t>1.3提交文件</w:t>
      </w:r>
    </w:p>
    <w:p w14:paraId="74973298">
      <w:pPr>
        <w:pStyle w:val="54"/>
        <w:spacing w:before="24" w:after="24"/>
      </w:pPr>
      <w:r>
        <w:t>指除往来书信外的其他文件，文件包括图纸、表单、报告、方案、程序/指标、合同文件、进度计划、议程、技术提交文件及资料要求、会议纪要等。</w:t>
      </w:r>
    </w:p>
    <w:p w14:paraId="677CE787">
      <w:pPr>
        <w:pStyle w:val="66"/>
      </w:pPr>
      <w:r>
        <w:t>1.4项目会议</w:t>
      </w:r>
    </w:p>
    <w:p w14:paraId="3DCB1F0D">
      <w:pPr>
        <w:pStyle w:val="54"/>
        <w:spacing w:before="24" w:after="24"/>
      </w:pPr>
      <w:r>
        <w:t>项目会议包括向政府汇报的会议、项目建设联席会议、项目协调会、监理例会、第一次工地会议、图纸交底会、质量管理专题会议、安全管理专题会议、评审专题会议、发包人专题会议、其他专题会议等。所有项目会议上讨论的事项都被正式记录并整理成会议记录，并通过信息化项目管控平台传递给各参建单位。</w:t>
      </w:r>
    </w:p>
    <w:p w14:paraId="34731CFA">
      <w:pPr>
        <w:pStyle w:val="66"/>
      </w:pPr>
      <w:r>
        <w:t>1.5信息化项目管控平台</w:t>
      </w:r>
    </w:p>
    <w:p w14:paraId="3F2B61D6">
      <w:pPr>
        <w:pStyle w:val="54"/>
        <w:spacing w:before="24" w:after="24"/>
      </w:pPr>
      <w:r>
        <w:t>工作联系单、各类报告、各类会议纪要、付款申请等必须通过信息化项目管控平台审批流转。凡通过信息化项目管控平台流转、审批、上报的资料文件均为正式沟通文件，与线下签字审批文件具有同等效力。</w:t>
      </w:r>
    </w:p>
    <w:p w14:paraId="7E551F5D">
      <w:pPr>
        <w:pStyle w:val="66"/>
      </w:pPr>
      <w:r>
        <w:t>1.6非正式渠道</w:t>
      </w:r>
    </w:p>
    <w:p w14:paraId="22A11DB6">
      <w:pPr>
        <w:pStyle w:val="54"/>
        <w:spacing w:before="24" w:after="24"/>
      </w:pPr>
      <w:r>
        <w:t>非正式渠道包括电子邮件、即时通讯、电话等。通过非正式渠道的沟通可以加强单位与单位之间的协调，提高项目整体工作效率，各单位可以将非正式渠道沟通所获得的信息，通过正式渠道的形式发出使之正式化并具有约束性。</w:t>
      </w:r>
    </w:p>
    <w:p w14:paraId="19FD8A63">
      <w:pPr>
        <w:pStyle w:val="66"/>
      </w:pPr>
      <w:r>
        <w:t>1.7电子邮件</w:t>
      </w:r>
    </w:p>
    <w:p w14:paraId="2EB2C571">
      <w:pPr>
        <w:pStyle w:val="54"/>
        <w:spacing w:before="24" w:after="24"/>
      </w:pPr>
      <w:r>
        <w:t>所有通过电子邮件传递的文件都被视为非正式沟通渠道，如有需要，各参建单位可以将电邮列印，通过信息化项目管控平台发出使之正式化并具有约束性。</w:t>
      </w:r>
    </w:p>
    <w:p w14:paraId="1B4D52D9">
      <w:pPr>
        <w:spacing w:before="24" w:after="24"/>
        <w:ind w:firstLine="562" w:firstLineChars="200"/>
        <w:outlineLvl w:val="3"/>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t>1.8即时通讯信息</w:t>
      </w:r>
    </w:p>
    <w:p w14:paraId="00701DA9">
      <w:pPr>
        <w:pStyle w:val="54"/>
        <w:spacing w:before="24" w:after="24"/>
      </w:pPr>
      <w:r>
        <w:t>所有通过手机终端或网络即时通讯服务软件（QQ/微信）传递的信息和文件都被视为非正式沟通渠道。</w:t>
      </w:r>
    </w:p>
    <w:p w14:paraId="682E932A">
      <w:pPr>
        <w:spacing w:before="24" w:after="24"/>
        <w:ind w:firstLine="562" w:firstLineChars="200"/>
        <w:outlineLvl w:val="2"/>
        <w:rPr>
          <w:rFonts w:ascii="Times New Roman" w:hAnsi="Times New Roman" w:cs="Times New Roman"/>
          <w:b/>
          <w:color w:val="0D0D0D" w:themeColor="text1" w:themeTint="F2"/>
          <w14:textFill>
            <w14:solidFill>
              <w14:schemeClr w14:val="tx1">
                <w14:lumMod w14:val="95000"/>
                <w14:lumOff w14:val="5000"/>
              </w14:schemeClr>
            </w14:solidFill>
          </w14:textFill>
        </w:rPr>
      </w:pPr>
      <w:bookmarkStart w:id="149" w:name="_Toc221894178"/>
      <w:r>
        <w:rPr>
          <w:rFonts w:ascii="Times New Roman" w:hAnsi="Times New Roman" w:cs="Times New Roman"/>
          <w:b/>
          <w:color w:val="0D0D0D" w:themeColor="text1" w:themeTint="F2"/>
          <w14:textFill>
            <w14:solidFill>
              <w14:schemeClr w14:val="tx1">
                <w14:lumMod w14:val="95000"/>
                <w14:lumOff w14:val="5000"/>
              </w14:schemeClr>
            </w14:solidFill>
          </w14:textFill>
        </w:rPr>
        <w:t>2、沟通协调管理办法</w:t>
      </w:r>
      <w:bookmarkEnd w:id="149"/>
    </w:p>
    <w:p w14:paraId="5DD0A9FE">
      <w:pPr>
        <w:spacing w:before="24" w:after="24"/>
        <w:ind w:firstLine="562" w:firstLineChars="200"/>
        <w:outlineLvl w:val="3"/>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t>2.1沟通协调的原则</w:t>
      </w:r>
    </w:p>
    <w:p w14:paraId="2916649E">
      <w:pPr>
        <w:pStyle w:val="54"/>
        <w:spacing w:before="24" w:after="24"/>
      </w:pPr>
      <w:r>
        <w:t>2.1.1目标性原则</w:t>
      </w:r>
    </w:p>
    <w:p w14:paraId="5B1ED817">
      <w:pPr>
        <w:pStyle w:val="54"/>
        <w:spacing w:before="24" w:after="24"/>
      </w:pPr>
      <w:r>
        <w:t>实现工程建设目标是工程建设各方的愿望，更是项目管理工作的工作准则，是综合协调管理的总则，为增强参建各方凝聚力，协调工作要以有利于目标的实现为原则。</w:t>
      </w:r>
    </w:p>
    <w:p w14:paraId="4954CA43">
      <w:pPr>
        <w:pStyle w:val="54"/>
        <w:spacing w:before="24" w:after="24"/>
      </w:pPr>
      <w:r>
        <w:t>2.1.2依法原则</w:t>
      </w:r>
    </w:p>
    <w:p w14:paraId="54E0595C">
      <w:pPr>
        <w:pStyle w:val="54"/>
        <w:spacing w:before="24" w:after="24"/>
      </w:pPr>
      <w:r>
        <w:t>协调要依据合同条件和法律文件，在发包人授权范围内开展工作，在解决冲突的过程中，依法办事，依合同处理问题。</w:t>
      </w:r>
    </w:p>
    <w:p w14:paraId="3DD10347">
      <w:pPr>
        <w:pStyle w:val="54"/>
        <w:spacing w:before="24" w:after="24"/>
      </w:pPr>
      <w:r>
        <w:t>2.1.3公平合理原则</w:t>
      </w:r>
    </w:p>
    <w:p w14:paraId="16778101">
      <w:pPr>
        <w:pStyle w:val="54"/>
        <w:spacing w:before="24" w:after="24"/>
      </w:pPr>
      <w:r>
        <w:t>坚持“公正、独立、自主”的原则开展协调工作，积极维护发包人利益，不损害各参建单位的合法权利。</w:t>
      </w:r>
    </w:p>
    <w:p w14:paraId="019CBE69">
      <w:pPr>
        <w:pStyle w:val="54"/>
        <w:spacing w:before="24" w:after="24"/>
      </w:pPr>
      <w:r>
        <w:t>2.1.4主动服务原则</w:t>
      </w:r>
    </w:p>
    <w:p w14:paraId="75417AB6">
      <w:pPr>
        <w:pStyle w:val="54"/>
        <w:spacing w:before="24" w:after="24"/>
      </w:pPr>
      <w:r>
        <w:t>利用自己的技术、管理优势，协助发包人协调各种关系。</w:t>
      </w:r>
    </w:p>
    <w:p w14:paraId="6C0D9DA3">
      <w:pPr>
        <w:pStyle w:val="54"/>
        <w:spacing w:before="24" w:after="24"/>
      </w:pPr>
      <w:r>
        <w:t>2.1.5协商原则</w:t>
      </w:r>
    </w:p>
    <w:p w14:paraId="616575D1">
      <w:pPr>
        <w:pStyle w:val="54"/>
        <w:spacing w:before="24" w:after="24"/>
      </w:pPr>
      <w:r>
        <w:t>协调管理要充分协商，力求使工程建设各方通力合作，互利互谅，达成统一意见，实现多方共赢；同时，协调过程中要以说服为主，耐心细致地处理矛盾，避免使自身卷入矛盾或产生新的矛盾。</w:t>
      </w:r>
    </w:p>
    <w:p w14:paraId="0C65B9A8">
      <w:pPr>
        <w:pStyle w:val="66"/>
      </w:pPr>
      <w:r>
        <w:t>2.2沟通原则</w:t>
      </w:r>
    </w:p>
    <w:p w14:paraId="359016A2">
      <w:pPr>
        <w:pStyle w:val="54"/>
        <w:spacing w:before="24" w:after="24"/>
      </w:pPr>
      <w:r>
        <w:t>协调的基础是沟通，在协调中，要虚心听取各方意见，并把自己的想法、打算等经常主动与发包人和管理单位及其他相关单位沟通。</w:t>
      </w:r>
    </w:p>
    <w:p w14:paraId="73C10BF5">
      <w:pPr>
        <w:pStyle w:val="82"/>
        <w:spacing w:before="24" w:after="24"/>
        <w:ind w:firstLine="562"/>
      </w:pPr>
      <w:r>
        <w:t>2.2.1尽早原则</w:t>
      </w:r>
    </w:p>
    <w:p w14:paraId="4FF49E4E">
      <w:pPr>
        <w:pStyle w:val="54"/>
        <w:spacing w:before="24" w:after="24"/>
      </w:pPr>
      <w:r>
        <w:t>协调管理要在矛盾冲突未发生或发生的前期及时解决，能在事前协调就不在事中协调，能在事中协调就不在事后协调，避免矛盾冲突扩大化，避免发包人利益受损失，避免工程受损失。例如合同问题最好在合同洽谈、签订阶段便协调解决好，尽可能不在执行中引起纠纷。</w:t>
      </w:r>
    </w:p>
    <w:p w14:paraId="7669EA2D">
      <w:pPr>
        <w:pStyle w:val="82"/>
        <w:spacing w:before="24" w:after="24"/>
        <w:ind w:firstLine="562"/>
      </w:pPr>
      <w:r>
        <w:t>2.2.2连续性原则</w:t>
      </w:r>
    </w:p>
    <w:p w14:paraId="5849CA5D">
      <w:pPr>
        <w:pStyle w:val="54"/>
        <w:spacing w:before="24" w:after="24"/>
      </w:pPr>
      <w:r>
        <w:t>协调要有连续性和一致性，下一次协调要在上一次协调的基础上进一步协调，绝不推翻上一次的约定重新协调。</w:t>
      </w:r>
    </w:p>
    <w:p w14:paraId="21E5421B">
      <w:pPr>
        <w:pStyle w:val="82"/>
        <w:spacing w:before="24" w:after="24"/>
        <w:ind w:firstLine="562"/>
      </w:pPr>
      <w:r>
        <w:t>2.2.3共赢原则</w:t>
      </w:r>
    </w:p>
    <w:p w14:paraId="7325C3FF">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要使参建各方的利益和目标统一在实现项目目标上。</w:t>
      </w:r>
    </w:p>
    <w:p w14:paraId="0ADD04B4">
      <w:pPr>
        <w:pStyle w:val="82"/>
        <w:spacing w:before="24" w:after="24"/>
        <w:ind w:firstLine="562"/>
      </w:pPr>
      <w:r>
        <w:t>2.2.4合同原则</w:t>
      </w:r>
    </w:p>
    <w:p w14:paraId="5C0A12A1">
      <w:pPr>
        <w:pStyle w:val="54"/>
        <w:spacing w:before="24" w:after="24"/>
      </w:pPr>
      <w:r>
        <w:t>参建各方之间是地位平等的合同关系，协调工作必须以合同为基本依据。</w:t>
      </w:r>
    </w:p>
    <w:p w14:paraId="09798EE5">
      <w:pPr>
        <w:pStyle w:val="82"/>
        <w:spacing w:before="24" w:after="24"/>
        <w:ind w:firstLine="562"/>
      </w:pPr>
      <w:r>
        <w:t>2.2.5准确性原则</w:t>
      </w:r>
    </w:p>
    <w:p w14:paraId="176BA9F5">
      <w:pPr>
        <w:pStyle w:val="54"/>
        <w:spacing w:before="24" w:after="24"/>
      </w:pPr>
      <w:r>
        <w:t>信息内容必需真实、准确、完整，避免歧义。</w:t>
      </w:r>
    </w:p>
    <w:p w14:paraId="1863C96A">
      <w:pPr>
        <w:pStyle w:val="82"/>
        <w:spacing w:before="24" w:after="24"/>
        <w:ind w:firstLine="562"/>
      </w:pPr>
      <w:r>
        <w:t>2.2.6可追溯性原则</w:t>
      </w:r>
    </w:p>
    <w:p w14:paraId="47329DD5">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所有正式沟通均需留有书面记录。</w:t>
      </w:r>
    </w:p>
    <w:p w14:paraId="7BDDC24D">
      <w:pPr>
        <w:pStyle w:val="64"/>
        <w:spacing w:before="24" w:after="24"/>
      </w:pPr>
      <w:bookmarkStart w:id="150" w:name="_Toc221894179"/>
      <w:r>
        <w:t>3、沟通协调的方法与措施</w:t>
      </w:r>
      <w:bookmarkEnd w:id="150"/>
    </w:p>
    <w:p w14:paraId="05740095">
      <w:pPr>
        <w:pStyle w:val="66"/>
      </w:pPr>
      <w:r>
        <w:t>3.1沟通协调的组织措施</w:t>
      </w:r>
    </w:p>
    <w:p w14:paraId="4E470A4D">
      <w:pPr>
        <w:pStyle w:val="54"/>
        <w:spacing w:before="24" w:after="24"/>
      </w:pPr>
      <w:r>
        <w:t>（1）建立健全项目管理组织机构；完善WBS工作分解，完善职责分工及有关制度；落实组织协调工作的责任。</w:t>
      </w:r>
    </w:p>
    <w:p w14:paraId="16631254">
      <w:pPr>
        <w:pStyle w:val="54"/>
        <w:spacing w:before="24" w:after="24"/>
      </w:pPr>
      <w:r>
        <w:t>（2）制定协调工作目标；将目标分解，落实到人。</w:t>
      </w:r>
    </w:p>
    <w:p w14:paraId="71C2D8A2">
      <w:pPr>
        <w:pStyle w:val="54"/>
        <w:spacing w:before="24" w:after="24"/>
      </w:pPr>
      <w:r>
        <w:t>（3）建立和完善各种规章制度，并严格执行。</w:t>
      </w:r>
    </w:p>
    <w:p w14:paraId="5AFDC0ED">
      <w:pPr>
        <w:pStyle w:val="66"/>
      </w:pPr>
      <w:r>
        <w:t>3.2沟通协调的技术措施</w:t>
      </w:r>
    </w:p>
    <w:p w14:paraId="53DF2A86">
      <w:pPr>
        <w:pStyle w:val="54"/>
        <w:spacing w:before="24" w:after="24"/>
      </w:pPr>
      <w:r>
        <w:t>（1）做好设计见面会、设计交底会、第一次工地例会等，通过这些会把项目管理的管理程序、规定、表格要求、各方的职责、权限等交代清楚，避免实施中推诿。同时明确今后各种例会召开的时间、地点、参加人员、解决问题等。</w:t>
      </w:r>
    </w:p>
    <w:p w14:paraId="336F3C22">
      <w:pPr>
        <w:pStyle w:val="54"/>
        <w:spacing w:before="24" w:after="24"/>
      </w:pPr>
      <w:r>
        <w:t>（2）定期召开例会或定期不定期的召开有关协调工作的会议，利用召开会议与参加人员及时通报有关协调问题情况，协调各方关系，分析研究解决问题的方法与措施。</w:t>
      </w:r>
    </w:p>
    <w:p w14:paraId="4D62BBF1">
      <w:pPr>
        <w:pStyle w:val="54"/>
        <w:spacing w:before="24" w:after="24"/>
      </w:pPr>
      <w:r>
        <w:t>（3）抓计划的执行、计划的调整，包括报建计划、设计出图计划、施工计划、材料设备计划、竣工验收计划等均应按计划执行。如有偏差，及时调整。</w:t>
      </w:r>
    </w:p>
    <w:p w14:paraId="5FD0F35A">
      <w:pPr>
        <w:pStyle w:val="54"/>
        <w:spacing w:before="24" w:after="24"/>
      </w:pPr>
      <w:r>
        <w:t>（4）对重大问题及时组织有关专家召开专题研究会，确定解决方案，如协调难度大且难以解决的问题，应及时向发包人及主管部门报告，以避免造成更大的损失。</w:t>
      </w:r>
    </w:p>
    <w:p w14:paraId="6E14A5A0">
      <w:pPr>
        <w:pStyle w:val="66"/>
      </w:pPr>
      <w:r>
        <w:t>3.3沟通协调的经济措施</w:t>
      </w:r>
    </w:p>
    <w:p w14:paraId="2922D47A">
      <w:pPr>
        <w:pStyle w:val="54"/>
        <w:spacing w:before="24" w:after="24"/>
      </w:pPr>
      <w:r>
        <w:t>（1）在编制招标文件和合同签订时明确奖惩条款，对于不能按合同要求履行自己责任和义务的给予经济上的惩罚。</w:t>
      </w:r>
    </w:p>
    <w:p w14:paraId="383E0EC8">
      <w:pPr>
        <w:pStyle w:val="54"/>
        <w:spacing w:before="24" w:after="24"/>
      </w:pPr>
      <w:r>
        <w:t>（2）在合同执行中，严格把关，凡是不严格执行合同、无视发包人权利的严格按合同条款给予经济上的惩罚。</w:t>
      </w:r>
    </w:p>
    <w:p w14:paraId="3FC9ECEB">
      <w:pPr>
        <w:pStyle w:val="54"/>
        <w:spacing w:before="24" w:after="24"/>
      </w:pPr>
      <w:r>
        <w:t>（3）利用行政手段给予奖励和处罚。</w:t>
      </w:r>
    </w:p>
    <w:p w14:paraId="4092BA2E">
      <w:pPr>
        <w:pStyle w:val="64"/>
        <w:spacing w:before="24" w:after="24"/>
      </w:pPr>
      <w:bookmarkStart w:id="151" w:name="_Toc221894180"/>
      <w:r>
        <w:t>4、沟通协调过程控制要点</w:t>
      </w:r>
      <w:bookmarkEnd w:id="151"/>
    </w:p>
    <w:p w14:paraId="57FD4323">
      <w:pPr>
        <w:pStyle w:val="66"/>
      </w:pPr>
      <w:r>
        <w:t>4.1与发包人的沟通协调</w:t>
      </w:r>
    </w:p>
    <w:p w14:paraId="2A057A0C">
      <w:pPr>
        <w:pStyle w:val="54"/>
        <w:spacing w:before="24" w:after="24"/>
      </w:pPr>
      <w:r>
        <w:t>（1）提交发包人的请示、报告一般应通过管理单位进行，以保证传递信息的完整、统一。</w:t>
      </w:r>
    </w:p>
    <w:p w14:paraId="2F27DA27">
      <w:pPr>
        <w:pStyle w:val="54"/>
        <w:spacing w:before="24" w:after="24"/>
      </w:pPr>
      <w:r>
        <w:t>（2）管理单位项目经理直接向发包人重要领导请示、汇报工作。</w:t>
      </w:r>
    </w:p>
    <w:p w14:paraId="26E8E210">
      <w:pPr>
        <w:pStyle w:val="54"/>
        <w:spacing w:before="24" w:after="24"/>
      </w:pPr>
      <w:r>
        <w:t>（3）向发包人提交的报告、发文等均应经管理单位项目经理审核批准并加盖项目部公章后才能发出，发文应有专门立档的签收记录表和有关人员签字。</w:t>
      </w:r>
    </w:p>
    <w:p w14:paraId="4F3535C3">
      <w:pPr>
        <w:pStyle w:val="54"/>
        <w:spacing w:before="24" w:after="24"/>
      </w:pPr>
      <w:r>
        <w:t>（4）发包人给管理单位或其项目部的批示、发文等应单独立档保存。</w:t>
      </w:r>
    </w:p>
    <w:p w14:paraId="475C4B49">
      <w:pPr>
        <w:pStyle w:val="54"/>
        <w:spacing w:before="24" w:after="24"/>
      </w:pPr>
      <w:r>
        <w:t>（5）指导日常工作的月工作计划，管理月报由专人准时报送发包人。</w:t>
      </w:r>
    </w:p>
    <w:p w14:paraId="3AC11A5E">
      <w:pPr>
        <w:pStyle w:val="54"/>
        <w:spacing w:before="24" w:after="24"/>
      </w:pPr>
      <w:r>
        <w:t>（6）管理单位项目部负责及时收集发包人的反馈意见，并做出相应处理。</w:t>
      </w:r>
    </w:p>
    <w:p w14:paraId="1D1D62BD">
      <w:pPr>
        <w:pStyle w:val="66"/>
      </w:pPr>
      <w:r>
        <w:t>4.2与施工承包人的沟通协调</w:t>
      </w:r>
    </w:p>
    <w:p w14:paraId="0B61B74B">
      <w:pPr>
        <w:pStyle w:val="54"/>
        <w:spacing w:before="24" w:after="24"/>
      </w:pPr>
      <w:r>
        <w:t>（1）与施工承包人的正式沟通一般通过会议、发文、发函、联系单等方式，按专业对口的原则进行。</w:t>
      </w:r>
    </w:p>
    <w:p w14:paraId="3EC1686D">
      <w:pPr>
        <w:pStyle w:val="54"/>
        <w:spacing w:before="24" w:after="24"/>
      </w:pPr>
      <w:r>
        <w:t>（2）对施工承包人现场质量、安全、进度的问题，一般应通过工程监理处理，必要时可组织有发包人、施工承包人参加的专题会。</w:t>
      </w:r>
    </w:p>
    <w:p w14:paraId="1CCFEF92">
      <w:pPr>
        <w:pStyle w:val="54"/>
        <w:spacing w:before="24" w:after="24"/>
      </w:pPr>
      <w:r>
        <w:t>（3）对施工承包人的指示和安排，一般应由工程监理发布和安排。</w:t>
      </w:r>
    </w:p>
    <w:p w14:paraId="702682F0">
      <w:pPr>
        <w:pStyle w:val="54"/>
        <w:spacing w:before="24" w:after="24"/>
      </w:pPr>
      <w:r>
        <w:t>（4）对分包单位现场质量与进度的管理，应通过施工承包人进行。</w:t>
      </w:r>
    </w:p>
    <w:p w14:paraId="107A154C">
      <w:pPr>
        <w:pStyle w:val="54"/>
        <w:spacing w:before="24" w:after="24"/>
      </w:pPr>
      <w:r>
        <w:t>（5）与各方的收、发文件均应单独立档保存。</w:t>
      </w:r>
    </w:p>
    <w:p w14:paraId="368FAB80">
      <w:pPr>
        <w:pStyle w:val="66"/>
      </w:pPr>
      <w:r>
        <w:t>4.3与第三方服务单位的沟通协调</w:t>
      </w:r>
    </w:p>
    <w:p w14:paraId="40B30B64">
      <w:pPr>
        <w:pStyle w:val="54"/>
        <w:spacing w:before="24" w:after="24"/>
      </w:pPr>
      <w:r>
        <w:t>（1）对设计图纸、咨询服务报告等文件的管理信息应由专人统一登记、保存，使用时办理领用手续。</w:t>
      </w:r>
    </w:p>
    <w:p w14:paraId="2FC8D684">
      <w:pPr>
        <w:pStyle w:val="54"/>
        <w:spacing w:before="24" w:after="24"/>
      </w:pPr>
      <w:r>
        <w:t>（2）管理单位应及时组织第三方服务单位参加设计交底会、工程例会及其他专题会。</w:t>
      </w:r>
    </w:p>
    <w:p w14:paraId="46DA61F7">
      <w:pPr>
        <w:pStyle w:val="54"/>
        <w:spacing w:before="24" w:after="24"/>
      </w:pPr>
      <w:r>
        <w:t>（3）凡涉及第三方服务单位的工作计划应抄送第三方服务单位。</w:t>
      </w:r>
    </w:p>
    <w:p w14:paraId="42ED1CAB">
      <w:pPr>
        <w:pStyle w:val="54"/>
        <w:spacing w:before="24" w:after="24"/>
      </w:pPr>
      <w:r>
        <w:t>（4）与各第三方服务单位的收、发文件应单独立档保存。</w:t>
      </w:r>
    </w:p>
    <w:p w14:paraId="1D71A118">
      <w:pPr>
        <w:pStyle w:val="64"/>
        <w:spacing w:before="24" w:after="24"/>
      </w:pPr>
      <w:bookmarkStart w:id="152" w:name="_Toc221894181"/>
      <w:r>
        <w:t>5、沟通协调文件要求</w:t>
      </w:r>
      <w:bookmarkEnd w:id="152"/>
    </w:p>
    <w:p w14:paraId="2B3DC872">
      <w:pPr>
        <w:pStyle w:val="54"/>
        <w:spacing w:before="24" w:after="24"/>
      </w:pPr>
      <w:r>
        <w:t>（1）所有正式沟通文件，接收方需要在接收之日后的3个工作日内回复意见，如果在此期间没有回复，即视同接收方自动确认和同意。</w:t>
      </w:r>
    </w:p>
    <w:p w14:paraId="7C3F9620">
      <w:pPr>
        <w:pStyle w:val="54"/>
        <w:spacing w:before="24" w:after="24"/>
      </w:pPr>
      <w:r>
        <w:t>（2）会议纪要由发起会议的一方起草，由其他参会方确认，并由各参会方项目负责人或者其指定代表在会议后三个工作日内签署后生效，会议纪要需要连续编号。</w:t>
      </w:r>
    </w:p>
    <w:p w14:paraId="2E6F4C3A">
      <w:pPr>
        <w:pStyle w:val="54"/>
        <w:spacing w:before="24" w:after="24"/>
      </w:pPr>
      <w:r>
        <w:t>（3）所有沟通文件编写的相关规定按照“文件编写统一规定”执行。</w:t>
      </w:r>
    </w:p>
    <w:p w14:paraId="7ECC179F">
      <w:pPr>
        <w:pStyle w:val="62"/>
      </w:pPr>
      <w:bookmarkStart w:id="153" w:name="_Toc221894182"/>
      <w:r>
        <w:t>（七）变更管理</w:t>
      </w:r>
      <w:bookmarkEnd w:id="153"/>
    </w:p>
    <w:p w14:paraId="76B324B2">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见本期项目招标文件的合同条款及格式内容。</w:t>
      </w:r>
    </w:p>
    <w:p w14:paraId="5193BD45">
      <w:pPr>
        <w:pStyle w:val="62"/>
      </w:pPr>
      <w:bookmarkStart w:id="154" w:name="_Toc221894183"/>
      <w:r>
        <w:t>（八）项目考核管理办法</w:t>
      </w:r>
      <w:bookmarkEnd w:id="154"/>
    </w:p>
    <w:p w14:paraId="2BD0DC9B">
      <w:pPr>
        <w:spacing w:before="24" w:after="24"/>
        <w:ind w:firstLine="560" w:firstLineChars="200"/>
        <w:rPr>
          <w:rFonts w:ascii="Times New Roman" w:hAnsi="Times New Roman" w:cs="Times New Roman"/>
          <w:color w:val="181717" w:themeColor="background2" w:themeShade="1A"/>
        </w:rPr>
      </w:pPr>
      <w:r>
        <w:rPr>
          <w:rFonts w:ascii="Times New Roman" w:hAnsi="Times New Roman" w:cs="Times New Roman"/>
          <w:color w:val="181717" w:themeColor="background2" w:themeShade="1A"/>
        </w:rPr>
        <w:t>项目实施过程中，除非发生不可抗力或经发包人认可的事件外，发生但不限于下列情况，发包人和管理单位将依据合同及本考核办法，行使管理权力对承包人进行考核，以促进承包人改进并提升管理水平。</w:t>
      </w:r>
    </w:p>
    <w:p w14:paraId="06ABE64D">
      <w:pPr>
        <w:pStyle w:val="64"/>
        <w:spacing w:before="24" w:after="24"/>
      </w:pPr>
      <w:bookmarkStart w:id="155" w:name="_Toc221894184"/>
      <w:r>
        <w:t>1、总包单位考核管理办法</w:t>
      </w:r>
      <w:bookmarkEnd w:id="155"/>
    </w:p>
    <w:p w14:paraId="0BAED019">
      <w:pPr>
        <w:pStyle w:val="54"/>
        <w:spacing w:before="24" w:after="24"/>
        <w:rPr>
          <w:b/>
        </w:rPr>
      </w:pPr>
      <w:r>
        <w:t>考核见招标文件的合同条款及格式内容</w:t>
      </w:r>
      <w:r>
        <w:rPr>
          <w:b/>
        </w:rPr>
        <w:t>。</w:t>
      </w:r>
    </w:p>
    <w:p w14:paraId="4C72046E">
      <w:pPr>
        <w:pStyle w:val="64"/>
        <w:spacing w:before="24" w:after="24"/>
      </w:pPr>
      <w:bookmarkStart w:id="156" w:name="_Toc221894185"/>
      <w:r>
        <w:t>2、设计单位考核管理办法</w:t>
      </w:r>
      <w:bookmarkEnd w:id="156"/>
    </w:p>
    <w:tbl>
      <w:tblPr>
        <w:tblStyle w:val="31"/>
        <w:tblW w:w="93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3256"/>
        <w:gridCol w:w="1572"/>
        <w:gridCol w:w="3673"/>
      </w:tblGrid>
      <w:tr w14:paraId="7AFAB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40" w:type="dxa"/>
            <w:noWrap/>
            <w:vAlign w:val="center"/>
          </w:tcPr>
          <w:p w14:paraId="4D20D663">
            <w:pPr>
              <w:pStyle w:val="71"/>
              <w:spacing w:before="24" w:after="24"/>
            </w:pPr>
            <w:r>
              <w:t>序号</w:t>
            </w:r>
          </w:p>
        </w:tc>
        <w:tc>
          <w:tcPr>
            <w:tcW w:w="3256" w:type="dxa"/>
            <w:noWrap/>
            <w:vAlign w:val="center"/>
          </w:tcPr>
          <w:p w14:paraId="7FCD796A">
            <w:pPr>
              <w:pStyle w:val="71"/>
              <w:spacing w:before="24" w:after="24"/>
            </w:pPr>
            <w:r>
              <w:t>项目</w:t>
            </w:r>
          </w:p>
        </w:tc>
        <w:tc>
          <w:tcPr>
            <w:tcW w:w="1572" w:type="dxa"/>
            <w:noWrap/>
            <w:vAlign w:val="center"/>
          </w:tcPr>
          <w:p w14:paraId="08B7D577">
            <w:pPr>
              <w:pStyle w:val="71"/>
              <w:spacing w:before="24" w:after="24"/>
            </w:pPr>
            <w:r>
              <w:t>责任单位</w:t>
            </w:r>
          </w:p>
        </w:tc>
        <w:tc>
          <w:tcPr>
            <w:tcW w:w="3673" w:type="dxa"/>
            <w:noWrap/>
            <w:vAlign w:val="center"/>
          </w:tcPr>
          <w:p w14:paraId="0F84F6BF">
            <w:pPr>
              <w:pStyle w:val="71"/>
              <w:spacing w:before="24" w:after="24"/>
            </w:pPr>
            <w:r>
              <w:t>考核办法</w:t>
            </w:r>
          </w:p>
        </w:tc>
      </w:tr>
      <w:tr w14:paraId="5468B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341" w:type="dxa"/>
            <w:gridSpan w:val="4"/>
            <w:noWrap/>
            <w:vAlign w:val="center"/>
          </w:tcPr>
          <w:p w14:paraId="00A1A5F7">
            <w:pPr>
              <w:pStyle w:val="71"/>
              <w:spacing w:before="24" w:after="24"/>
              <w:rPr>
                <w:b/>
                <w:bCs/>
              </w:rPr>
            </w:pPr>
            <w:r>
              <w:rPr>
                <w:b/>
                <w:bCs/>
              </w:rPr>
              <w:t>一、设计进度管理</w:t>
            </w:r>
          </w:p>
        </w:tc>
      </w:tr>
      <w:tr w14:paraId="50E5D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vAlign w:val="center"/>
          </w:tcPr>
          <w:p w14:paraId="5054308B">
            <w:pPr>
              <w:pStyle w:val="71"/>
              <w:spacing w:before="24" w:after="24"/>
            </w:pPr>
            <w:r>
              <w:t>1</w:t>
            </w:r>
          </w:p>
        </w:tc>
        <w:tc>
          <w:tcPr>
            <w:tcW w:w="3256" w:type="dxa"/>
            <w:noWrap/>
            <w:vAlign w:val="center"/>
          </w:tcPr>
          <w:p w14:paraId="48D72CA5">
            <w:pPr>
              <w:pStyle w:val="71"/>
              <w:spacing w:before="24" w:after="24"/>
              <w:jc w:val="both"/>
            </w:pPr>
            <w:r>
              <w:t>未按合同约定时间和方式将通过审图机构审查通过的设计成果文件交付发包人，对工期进度造成影响</w:t>
            </w:r>
          </w:p>
        </w:tc>
        <w:tc>
          <w:tcPr>
            <w:tcW w:w="1572" w:type="dxa"/>
            <w:noWrap/>
            <w:vAlign w:val="center"/>
          </w:tcPr>
          <w:p w14:paraId="01D8A238">
            <w:pPr>
              <w:pStyle w:val="71"/>
              <w:spacing w:before="24" w:after="24"/>
            </w:pPr>
            <w:r>
              <w:t>设计单位</w:t>
            </w:r>
          </w:p>
        </w:tc>
        <w:tc>
          <w:tcPr>
            <w:tcW w:w="3673" w:type="dxa"/>
            <w:noWrap/>
            <w:vAlign w:val="center"/>
          </w:tcPr>
          <w:p w14:paraId="6ED3DD83">
            <w:pPr>
              <w:pStyle w:val="71"/>
              <w:spacing w:before="24" w:after="24"/>
              <w:jc w:val="both"/>
            </w:pPr>
            <w:r>
              <w:t>延误里程碑及重要计划节点的每次扣除设计合同总费用的3‰，一般计划节点的每次扣除计合同总费用的1‰</w:t>
            </w:r>
          </w:p>
        </w:tc>
      </w:tr>
      <w:tr w14:paraId="55052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vAlign w:val="center"/>
          </w:tcPr>
          <w:p w14:paraId="1CE97364">
            <w:pPr>
              <w:pStyle w:val="71"/>
              <w:spacing w:before="24" w:after="24"/>
            </w:pPr>
            <w:r>
              <w:t>2</w:t>
            </w:r>
          </w:p>
        </w:tc>
        <w:tc>
          <w:tcPr>
            <w:tcW w:w="3256" w:type="dxa"/>
            <w:noWrap/>
            <w:vAlign w:val="center"/>
          </w:tcPr>
          <w:p w14:paraId="42FC960D">
            <w:pPr>
              <w:pStyle w:val="71"/>
              <w:spacing w:before="24" w:after="24"/>
              <w:jc w:val="both"/>
            </w:pPr>
            <w:r>
              <w:t>设计质量原因对工期造成影响</w:t>
            </w:r>
          </w:p>
        </w:tc>
        <w:tc>
          <w:tcPr>
            <w:tcW w:w="1572" w:type="dxa"/>
            <w:noWrap/>
            <w:vAlign w:val="center"/>
          </w:tcPr>
          <w:p w14:paraId="6F153894">
            <w:pPr>
              <w:pStyle w:val="71"/>
              <w:spacing w:before="24" w:after="24"/>
            </w:pPr>
            <w:r>
              <w:t>设计单位</w:t>
            </w:r>
          </w:p>
        </w:tc>
        <w:tc>
          <w:tcPr>
            <w:tcW w:w="3673" w:type="dxa"/>
            <w:noWrap/>
            <w:vAlign w:val="center"/>
          </w:tcPr>
          <w:p w14:paraId="1C286706">
            <w:pPr>
              <w:pStyle w:val="71"/>
              <w:spacing w:before="24" w:after="24"/>
              <w:jc w:val="both"/>
            </w:pPr>
            <w:r>
              <w:t>承担承包人误工损失，并按2000元/天处罚</w:t>
            </w:r>
          </w:p>
        </w:tc>
      </w:tr>
      <w:tr w14:paraId="21790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41" w:type="dxa"/>
            <w:gridSpan w:val="4"/>
            <w:noWrap/>
            <w:vAlign w:val="center"/>
          </w:tcPr>
          <w:p w14:paraId="4102BF7E">
            <w:pPr>
              <w:pStyle w:val="71"/>
              <w:spacing w:before="24" w:after="24"/>
              <w:rPr>
                <w:b/>
                <w:bCs/>
              </w:rPr>
            </w:pPr>
            <w:r>
              <w:rPr>
                <w:b/>
                <w:bCs/>
              </w:rPr>
              <w:t>二、设计质量管理</w:t>
            </w:r>
          </w:p>
        </w:tc>
      </w:tr>
      <w:tr w14:paraId="380EA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vAlign w:val="center"/>
          </w:tcPr>
          <w:p w14:paraId="3B6DA32D">
            <w:pPr>
              <w:pStyle w:val="71"/>
              <w:spacing w:before="24" w:after="24"/>
            </w:pPr>
            <w:r>
              <w:t>1</w:t>
            </w:r>
          </w:p>
        </w:tc>
        <w:tc>
          <w:tcPr>
            <w:tcW w:w="3256" w:type="dxa"/>
            <w:noWrap/>
            <w:vAlign w:val="center"/>
          </w:tcPr>
          <w:p w14:paraId="7819D9F9">
            <w:pPr>
              <w:pStyle w:val="71"/>
              <w:spacing w:before="24" w:after="24"/>
              <w:jc w:val="both"/>
            </w:pPr>
            <w:r>
              <w:t>一般设计原因造成的工程质量问题</w:t>
            </w:r>
          </w:p>
        </w:tc>
        <w:tc>
          <w:tcPr>
            <w:tcW w:w="1572" w:type="dxa"/>
            <w:noWrap/>
            <w:vAlign w:val="center"/>
          </w:tcPr>
          <w:p w14:paraId="12CC237D">
            <w:pPr>
              <w:pStyle w:val="71"/>
              <w:spacing w:before="24" w:after="24"/>
            </w:pPr>
            <w:r>
              <w:t>设计单位</w:t>
            </w:r>
          </w:p>
        </w:tc>
        <w:tc>
          <w:tcPr>
            <w:tcW w:w="3673" w:type="dxa"/>
            <w:noWrap/>
            <w:vAlign w:val="center"/>
          </w:tcPr>
          <w:p w14:paraId="3C7A39F8">
            <w:pPr>
              <w:pStyle w:val="71"/>
              <w:spacing w:before="24" w:after="24"/>
              <w:jc w:val="both"/>
            </w:pPr>
            <w:r>
              <w:t>质量问题直接经济损失的100％</w:t>
            </w:r>
          </w:p>
        </w:tc>
      </w:tr>
      <w:tr w14:paraId="3F315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vAlign w:val="center"/>
          </w:tcPr>
          <w:p w14:paraId="24C8BDCE">
            <w:pPr>
              <w:pStyle w:val="71"/>
              <w:spacing w:before="24" w:after="24"/>
            </w:pPr>
            <w:r>
              <w:t>2</w:t>
            </w:r>
          </w:p>
        </w:tc>
        <w:tc>
          <w:tcPr>
            <w:tcW w:w="3256" w:type="dxa"/>
            <w:noWrap/>
            <w:vAlign w:val="center"/>
          </w:tcPr>
          <w:p w14:paraId="44264760">
            <w:pPr>
              <w:pStyle w:val="71"/>
              <w:spacing w:before="24" w:after="24"/>
              <w:jc w:val="both"/>
            </w:pPr>
            <w:r>
              <w:t>未按照国家及地方强制性标准、规范进行设计，造成验收不合格和经济损失的</w:t>
            </w:r>
          </w:p>
        </w:tc>
        <w:tc>
          <w:tcPr>
            <w:tcW w:w="1572" w:type="dxa"/>
            <w:noWrap/>
            <w:vAlign w:val="center"/>
          </w:tcPr>
          <w:p w14:paraId="0B8D08EB">
            <w:pPr>
              <w:pStyle w:val="71"/>
              <w:spacing w:before="24" w:after="24"/>
            </w:pPr>
            <w:r>
              <w:t>设计单位</w:t>
            </w:r>
          </w:p>
        </w:tc>
        <w:tc>
          <w:tcPr>
            <w:tcW w:w="3673" w:type="dxa"/>
            <w:noWrap/>
            <w:vAlign w:val="center"/>
          </w:tcPr>
          <w:p w14:paraId="3C9BC715">
            <w:pPr>
              <w:pStyle w:val="71"/>
              <w:spacing w:before="24" w:after="24"/>
              <w:jc w:val="both"/>
            </w:pPr>
            <w:r>
              <w:t>直接经济损失的100％，扣除勘察、设计合同总费用的3‰，并进行约谈</w:t>
            </w:r>
          </w:p>
        </w:tc>
      </w:tr>
      <w:tr w14:paraId="2D5E1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vAlign w:val="center"/>
          </w:tcPr>
          <w:p w14:paraId="628F5D6B">
            <w:pPr>
              <w:pStyle w:val="71"/>
              <w:spacing w:before="24" w:after="24"/>
            </w:pPr>
            <w:r>
              <w:t>3</w:t>
            </w:r>
          </w:p>
        </w:tc>
        <w:tc>
          <w:tcPr>
            <w:tcW w:w="3256" w:type="dxa"/>
            <w:noWrap/>
            <w:vAlign w:val="center"/>
          </w:tcPr>
          <w:p w14:paraId="30FFB201">
            <w:pPr>
              <w:pStyle w:val="71"/>
              <w:spacing w:before="24" w:after="24"/>
              <w:jc w:val="both"/>
            </w:pPr>
            <w:r>
              <w:t>设计单位自身原因导致的单个设计变更带来经济损失的</w:t>
            </w:r>
          </w:p>
        </w:tc>
        <w:tc>
          <w:tcPr>
            <w:tcW w:w="1572" w:type="dxa"/>
            <w:noWrap/>
            <w:vAlign w:val="center"/>
          </w:tcPr>
          <w:p w14:paraId="5C5CABED">
            <w:pPr>
              <w:pStyle w:val="71"/>
              <w:spacing w:before="24" w:after="24"/>
            </w:pPr>
            <w:r>
              <w:t>设计单位</w:t>
            </w:r>
          </w:p>
        </w:tc>
        <w:tc>
          <w:tcPr>
            <w:tcW w:w="3673" w:type="dxa"/>
            <w:noWrap/>
            <w:vAlign w:val="center"/>
          </w:tcPr>
          <w:p w14:paraId="6A3C7B96">
            <w:pPr>
              <w:pStyle w:val="71"/>
              <w:spacing w:before="24" w:after="24"/>
              <w:jc w:val="both"/>
            </w:pPr>
            <w:r>
              <w:t>直接经济损失的100％，扣除设计合同总费用的3‰</w:t>
            </w:r>
          </w:p>
        </w:tc>
      </w:tr>
      <w:tr w14:paraId="3278B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vAlign w:val="center"/>
          </w:tcPr>
          <w:p w14:paraId="0DAC6348">
            <w:pPr>
              <w:pStyle w:val="71"/>
              <w:spacing w:before="24" w:after="24"/>
            </w:pPr>
            <w:r>
              <w:t>4</w:t>
            </w:r>
          </w:p>
        </w:tc>
        <w:tc>
          <w:tcPr>
            <w:tcW w:w="3256" w:type="dxa"/>
            <w:noWrap/>
            <w:vAlign w:val="center"/>
          </w:tcPr>
          <w:p w14:paraId="296988A4">
            <w:pPr>
              <w:pStyle w:val="71"/>
              <w:spacing w:before="24" w:after="24"/>
              <w:jc w:val="both"/>
            </w:pPr>
            <w:r>
              <w:t>设计单位未对各设计阶段审图机构审查提出的问题和意见进行修改和完善</w:t>
            </w:r>
          </w:p>
        </w:tc>
        <w:tc>
          <w:tcPr>
            <w:tcW w:w="1572" w:type="dxa"/>
            <w:noWrap/>
            <w:vAlign w:val="center"/>
          </w:tcPr>
          <w:p w14:paraId="50ABB9FE">
            <w:pPr>
              <w:pStyle w:val="71"/>
              <w:spacing w:before="24" w:after="24"/>
            </w:pPr>
            <w:r>
              <w:t>设计单位</w:t>
            </w:r>
          </w:p>
        </w:tc>
        <w:tc>
          <w:tcPr>
            <w:tcW w:w="3673" w:type="dxa"/>
            <w:noWrap/>
            <w:vAlign w:val="center"/>
          </w:tcPr>
          <w:p w14:paraId="670B2AE0">
            <w:pPr>
              <w:pStyle w:val="71"/>
              <w:spacing w:before="24" w:after="24"/>
              <w:jc w:val="both"/>
            </w:pPr>
            <w:r>
              <w:t>5000元/条</w:t>
            </w:r>
          </w:p>
        </w:tc>
      </w:tr>
      <w:tr w14:paraId="06FB7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vAlign w:val="center"/>
          </w:tcPr>
          <w:p w14:paraId="5C5A547A">
            <w:pPr>
              <w:pStyle w:val="71"/>
              <w:spacing w:before="24" w:after="24"/>
            </w:pPr>
            <w:r>
              <w:t>5</w:t>
            </w:r>
          </w:p>
        </w:tc>
        <w:tc>
          <w:tcPr>
            <w:tcW w:w="3256" w:type="dxa"/>
            <w:noWrap/>
            <w:vAlign w:val="center"/>
          </w:tcPr>
          <w:p w14:paraId="1067AF01">
            <w:pPr>
              <w:pStyle w:val="71"/>
              <w:spacing w:before="24" w:after="24"/>
              <w:jc w:val="both"/>
            </w:pPr>
            <w:r>
              <w:t>设计单位未对图纸会审中提出的问题和意见进行修改和完善</w:t>
            </w:r>
          </w:p>
        </w:tc>
        <w:tc>
          <w:tcPr>
            <w:tcW w:w="1572" w:type="dxa"/>
            <w:noWrap/>
            <w:vAlign w:val="center"/>
          </w:tcPr>
          <w:p w14:paraId="74B1754E">
            <w:pPr>
              <w:pStyle w:val="71"/>
              <w:spacing w:before="24" w:after="24"/>
            </w:pPr>
            <w:r>
              <w:t>设计单位</w:t>
            </w:r>
          </w:p>
        </w:tc>
        <w:tc>
          <w:tcPr>
            <w:tcW w:w="3673" w:type="dxa"/>
            <w:noWrap/>
            <w:vAlign w:val="center"/>
          </w:tcPr>
          <w:p w14:paraId="56EE172A">
            <w:pPr>
              <w:pStyle w:val="71"/>
              <w:spacing w:before="24" w:after="24"/>
              <w:jc w:val="both"/>
            </w:pPr>
            <w:r>
              <w:t>1000元/条</w:t>
            </w:r>
          </w:p>
        </w:tc>
      </w:tr>
      <w:tr w14:paraId="602C7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vAlign w:val="center"/>
          </w:tcPr>
          <w:p w14:paraId="78939A94">
            <w:pPr>
              <w:pStyle w:val="71"/>
              <w:spacing w:before="24" w:after="24"/>
            </w:pPr>
            <w:r>
              <w:t>6</w:t>
            </w:r>
          </w:p>
        </w:tc>
        <w:tc>
          <w:tcPr>
            <w:tcW w:w="3256" w:type="dxa"/>
            <w:noWrap/>
            <w:vAlign w:val="center"/>
          </w:tcPr>
          <w:p w14:paraId="519E25D0">
            <w:pPr>
              <w:pStyle w:val="71"/>
              <w:spacing w:before="24" w:after="24"/>
              <w:jc w:val="both"/>
            </w:pPr>
            <w:r>
              <w:t>未按要求审核使用方负责提供的提资图纸（包括但不限于施工工艺深化图、机电管线综合图纸、专业厂家深化施工图纸）或未审查出图纸中存在的问题等原因设计从而造成发包人损失或项目设计存在质量隐患或验收风险的</w:t>
            </w:r>
          </w:p>
        </w:tc>
        <w:tc>
          <w:tcPr>
            <w:tcW w:w="1572" w:type="dxa"/>
            <w:noWrap/>
            <w:vAlign w:val="center"/>
          </w:tcPr>
          <w:p w14:paraId="3B1D74C1">
            <w:pPr>
              <w:pStyle w:val="71"/>
              <w:spacing w:before="24" w:after="24"/>
            </w:pPr>
            <w:r>
              <w:t>设计单位</w:t>
            </w:r>
          </w:p>
        </w:tc>
        <w:tc>
          <w:tcPr>
            <w:tcW w:w="3673" w:type="dxa"/>
            <w:noWrap/>
            <w:vAlign w:val="center"/>
          </w:tcPr>
          <w:p w14:paraId="7414E1EF">
            <w:pPr>
              <w:pStyle w:val="71"/>
              <w:spacing w:before="24" w:after="24"/>
              <w:jc w:val="both"/>
            </w:pPr>
            <w:r>
              <w:t>扣除勘察、设计合同总费用的3‰，并进行约谈</w:t>
            </w:r>
          </w:p>
        </w:tc>
      </w:tr>
      <w:tr w14:paraId="10ACA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vAlign w:val="center"/>
          </w:tcPr>
          <w:p w14:paraId="24971F3A">
            <w:pPr>
              <w:pStyle w:val="71"/>
              <w:spacing w:before="24" w:after="24"/>
            </w:pPr>
            <w:r>
              <w:t>7</w:t>
            </w:r>
          </w:p>
        </w:tc>
        <w:tc>
          <w:tcPr>
            <w:tcW w:w="3256" w:type="dxa"/>
            <w:noWrap/>
            <w:vAlign w:val="center"/>
          </w:tcPr>
          <w:p w14:paraId="5495C78A">
            <w:pPr>
              <w:pStyle w:val="71"/>
              <w:spacing w:before="24" w:after="24"/>
              <w:jc w:val="both"/>
            </w:pPr>
            <w:r>
              <w:t>在满足国家地方规范标准、项目定位和使用功能的前提下，主要设计做法及材料设备选型与同地区、同类型典型项目的经济性对比</w:t>
            </w:r>
          </w:p>
        </w:tc>
        <w:tc>
          <w:tcPr>
            <w:tcW w:w="1572" w:type="dxa"/>
            <w:noWrap/>
            <w:vAlign w:val="center"/>
          </w:tcPr>
          <w:p w14:paraId="1114E050">
            <w:pPr>
              <w:pStyle w:val="71"/>
              <w:spacing w:before="24" w:after="24"/>
            </w:pPr>
            <w:r>
              <w:t>设计单位</w:t>
            </w:r>
          </w:p>
        </w:tc>
        <w:tc>
          <w:tcPr>
            <w:tcW w:w="3673" w:type="dxa"/>
            <w:noWrap/>
            <w:vAlign w:val="center"/>
          </w:tcPr>
          <w:p w14:paraId="68EE151B">
            <w:pPr>
              <w:pStyle w:val="71"/>
              <w:spacing w:before="24" w:after="24"/>
              <w:jc w:val="both"/>
            </w:pPr>
            <w:r>
              <w:t>超出10%的部分建安费用由设计单位承担</w:t>
            </w:r>
          </w:p>
        </w:tc>
      </w:tr>
      <w:tr w14:paraId="3C268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vAlign w:val="center"/>
          </w:tcPr>
          <w:p w14:paraId="4AB2A68E">
            <w:pPr>
              <w:pStyle w:val="71"/>
              <w:spacing w:before="24" w:after="24"/>
            </w:pPr>
            <w:r>
              <w:t>8</w:t>
            </w:r>
          </w:p>
        </w:tc>
        <w:tc>
          <w:tcPr>
            <w:tcW w:w="3256" w:type="dxa"/>
            <w:noWrap/>
            <w:vAlign w:val="center"/>
          </w:tcPr>
          <w:p w14:paraId="42AC7AAA">
            <w:pPr>
              <w:pStyle w:val="71"/>
              <w:spacing w:before="24" w:after="24"/>
              <w:jc w:val="both"/>
            </w:pPr>
            <w:r>
              <w:t>施工图设计预算若超出初步设计概算，设计单位应积极提出优化方案以控制项目总投资</w:t>
            </w:r>
          </w:p>
        </w:tc>
        <w:tc>
          <w:tcPr>
            <w:tcW w:w="1572" w:type="dxa"/>
            <w:noWrap/>
            <w:vAlign w:val="center"/>
          </w:tcPr>
          <w:p w14:paraId="6DEAA6DE">
            <w:pPr>
              <w:pStyle w:val="71"/>
              <w:spacing w:before="24" w:after="24"/>
            </w:pPr>
            <w:r>
              <w:t>设计单位</w:t>
            </w:r>
          </w:p>
        </w:tc>
        <w:tc>
          <w:tcPr>
            <w:tcW w:w="3673" w:type="dxa"/>
            <w:noWrap/>
            <w:vAlign w:val="center"/>
          </w:tcPr>
          <w:p w14:paraId="5E108E0E">
            <w:pPr>
              <w:pStyle w:val="71"/>
              <w:spacing w:before="24" w:after="24"/>
              <w:jc w:val="both"/>
            </w:pPr>
            <w:r>
              <w:t>超概部分由设计单位和总包单位共同承担</w:t>
            </w:r>
          </w:p>
        </w:tc>
      </w:tr>
      <w:tr w14:paraId="7C1AC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41" w:type="dxa"/>
            <w:gridSpan w:val="4"/>
            <w:noWrap/>
            <w:vAlign w:val="center"/>
          </w:tcPr>
          <w:p w14:paraId="2E5132E8">
            <w:pPr>
              <w:pStyle w:val="71"/>
              <w:spacing w:before="24" w:after="24"/>
              <w:rPr>
                <w:b/>
                <w:bCs/>
              </w:rPr>
            </w:pPr>
            <w:r>
              <w:rPr>
                <w:b/>
                <w:bCs/>
              </w:rPr>
              <w:t>三、设计安全管理</w:t>
            </w:r>
          </w:p>
        </w:tc>
      </w:tr>
      <w:tr w14:paraId="39FF4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vMerge w:val="restart"/>
            <w:noWrap/>
            <w:vAlign w:val="center"/>
          </w:tcPr>
          <w:p w14:paraId="2A486143">
            <w:pPr>
              <w:pStyle w:val="71"/>
              <w:spacing w:before="24" w:after="24"/>
            </w:pPr>
            <w:r>
              <w:t>1</w:t>
            </w:r>
          </w:p>
        </w:tc>
        <w:tc>
          <w:tcPr>
            <w:tcW w:w="3256" w:type="dxa"/>
            <w:vMerge w:val="restart"/>
            <w:noWrap/>
            <w:vAlign w:val="center"/>
          </w:tcPr>
          <w:p w14:paraId="35C81E2F">
            <w:pPr>
              <w:pStyle w:val="71"/>
              <w:spacing w:before="24" w:after="24"/>
              <w:jc w:val="both"/>
            </w:pPr>
            <w:r>
              <w:t>设计原因造成的安全事故或安全隐患</w:t>
            </w:r>
          </w:p>
        </w:tc>
        <w:tc>
          <w:tcPr>
            <w:tcW w:w="1572" w:type="dxa"/>
            <w:vMerge w:val="restart"/>
            <w:noWrap/>
            <w:vAlign w:val="center"/>
          </w:tcPr>
          <w:p w14:paraId="593AB88E">
            <w:pPr>
              <w:pStyle w:val="71"/>
              <w:spacing w:before="24" w:after="24"/>
            </w:pPr>
            <w:r>
              <w:t>设计单位</w:t>
            </w:r>
          </w:p>
        </w:tc>
        <w:tc>
          <w:tcPr>
            <w:tcW w:w="3673" w:type="dxa"/>
            <w:noWrap/>
            <w:vAlign w:val="center"/>
          </w:tcPr>
          <w:p w14:paraId="3CC7045D">
            <w:pPr>
              <w:pStyle w:val="71"/>
              <w:spacing w:before="24" w:after="24"/>
              <w:jc w:val="both"/>
            </w:pPr>
            <w:r>
              <w:t>属于一般安全事故或隐患的扣除勘察、设计合同总费用的3‰，并进行约谈</w:t>
            </w:r>
          </w:p>
        </w:tc>
      </w:tr>
      <w:tr w14:paraId="69608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840" w:type="dxa"/>
            <w:vMerge w:val="continue"/>
            <w:noWrap/>
            <w:vAlign w:val="center"/>
          </w:tcPr>
          <w:p w14:paraId="11AF407F">
            <w:pPr>
              <w:pStyle w:val="71"/>
              <w:spacing w:before="24" w:after="24"/>
            </w:pPr>
          </w:p>
        </w:tc>
        <w:tc>
          <w:tcPr>
            <w:tcW w:w="3256" w:type="dxa"/>
            <w:vMerge w:val="continue"/>
            <w:noWrap/>
            <w:vAlign w:val="center"/>
          </w:tcPr>
          <w:p w14:paraId="0B4A0056">
            <w:pPr>
              <w:pStyle w:val="71"/>
              <w:spacing w:before="24" w:after="24"/>
            </w:pPr>
          </w:p>
        </w:tc>
        <w:tc>
          <w:tcPr>
            <w:tcW w:w="1572" w:type="dxa"/>
            <w:vMerge w:val="continue"/>
            <w:noWrap/>
            <w:vAlign w:val="center"/>
          </w:tcPr>
          <w:p w14:paraId="30FB9F90">
            <w:pPr>
              <w:pStyle w:val="71"/>
              <w:spacing w:before="24" w:after="24"/>
            </w:pPr>
          </w:p>
        </w:tc>
        <w:tc>
          <w:tcPr>
            <w:tcW w:w="3673" w:type="dxa"/>
            <w:noWrap/>
            <w:vAlign w:val="center"/>
          </w:tcPr>
          <w:p w14:paraId="40251341">
            <w:pPr>
              <w:pStyle w:val="71"/>
              <w:spacing w:before="24" w:after="24"/>
              <w:jc w:val="both"/>
            </w:pPr>
            <w:r>
              <w:t>属于重大安全隐患扣除勘察、设计合同总费用的5‰，并取消后续项目的供方资格</w:t>
            </w:r>
          </w:p>
        </w:tc>
      </w:tr>
      <w:tr w14:paraId="5881A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41" w:type="dxa"/>
            <w:gridSpan w:val="4"/>
            <w:noWrap/>
            <w:vAlign w:val="center"/>
          </w:tcPr>
          <w:p w14:paraId="37ABE51F">
            <w:pPr>
              <w:pStyle w:val="71"/>
              <w:spacing w:before="24" w:after="24"/>
              <w:rPr>
                <w:b/>
                <w:bCs/>
              </w:rPr>
            </w:pPr>
            <w:r>
              <w:rPr>
                <w:b/>
                <w:bCs/>
              </w:rPr>
              <w:t>四、现场服务及协调</w:t>
            </w:r>
          </w:p>
        </w:tc>
      </w:tr>
      <w:tr w14:paraId="7F65A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0" w:type="dxa"/>
            <w:noWrap/>
            <w:vAlign w:val="center"/>
          </w:tcPr>
          <w:p w14:paraId="01287450">
            <w:pPr>
              <w:pStyle w:val="71"/>
              <w:spacing w:before="24" w:after="24"/>
            </w:pPr>
            <w:r>
              <w:t>1</w:t>
            </w:r>
          </w:p>
        </w:tc>
        <w:tc>
          <w:tcPr>
            <w:tcW w:w="3256" w:type="dxa"/>
            <w:noWrap/>
            <w:vAlign w:val="center"/>
          </w:tcPr>
          <w:p w14:paraId="0802D272">
            <w:pPr>
              <w:pStyle w:val="71"/>
              <w:spacing w:before="24" w:after="24"/>
              <w:jc w:val="both"/>
            </w:pPr>
            <w:r>
              <w:t>未经发包人许可擅自更换设计团队人员</w:t>
            </w:r>
          </w:p>
        </w:tc>
        <w:tc>
          <w:tcPr>
            <w:tcW w:w="1572" w:type="dxa"/>
            <w:noWrap/>
            <w:vAlign w:val="center"/>
          </w:tcPr>
          <w:p w14:paraId="6F50076D">
            <w:pPr>
              <w:pStyle w:val="71"/>
              <w:spacing w:before="24" w:after="24"/>
            </w:pPr>
            <w:r>
              <w:t>设计单位</w:t>
            </w:r>
          </w:p>
        </w:tc>
        <w:tc>
          <w:tcPr>
            <w:tcW w:w="3673" w:type="dxa"/>
            <w:noWrap/>
            <w:vAlign w:val="center"/>
          </w:tcPr>
          <w:p w14:paraId="6C39C5C9">
            <w:pPr>
              <w:pStyle w:val="71"/>
              <w:spacing w:before="24" w:after="24"/>
            </w:pPr>
            <w:r>
              <w:t>2000元/人/次</w:t>
            </w:r>
          </w:p>
        </w:tc>
      </w:tr>
      <w:tr w14:paraId="7CB5E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vAlign w:val="center"/>
          </w:tcPr>
          <w:p w14:paraId="7A0C9920">
            <w:pPr>
              <w:pStyle w:val="71"/>
              <w:spacing w:before="24" w:after="24"/>
            </w:pPr>
            <w:r>
              <w:t>2</w:t>
            </w:r>
          </w:p>
        </w:tc>
        <w:tc>
          <w:tcPr>
            <w:tcW w:w="3256" w:type="dxa"/>
            <w:noWrap/>
            <w:vAlign w:val="center"/>
          </w:tcPr>
          <w:p w14:paraId="505B554A">
            <w:pPr>
              <w:pStyle w:val="71"/>
              <w:spacing w:before="24" w:after="24"/>
              <w:jc w:val="both"/>
            </w:pPr>
            <w:r>
              <w:t>未按发包人要求派驻现场人员，完成现场服务、现场技术协调</w:t>
            </w:r>
          </w:p>
        </w:tc>
        <w:tc>
          <w:tcPr>
            <w:tcW w:w="1572" w:type="dxa"/>
            <w:noWrap/>
            <w:vAlign w:val="center"/>
          </w:tcPr>
          <w:p w14:paraId="5AE3CAAD">
            <w:pPr>
              <w:pStyle w:val="71"/>
              <w:spacing w:before="24" w:after="24"/>
            </w:pPr>
            <w:r>
              <w:t>设计单位</w:t>
            </w:r>
          </w:p>
        </w:tc>
        <w:tc>
          <w:tcPr>
            <w:tcW w:w="3673" w:type="dxa"/>
            <w:noWrap/>
            <w:vAlign w:val="center"/>
          </w:tcPr>
          <w:p w14:paraId="6FE34408">
            <w:pPr>
              <w:pStyle w:val="71"/>
              <w:spacing w:before="24" w:after="24"/>
            </w:pPr>
            <w:r>
              <w:t>2000元/人/天</w:t>
            </w:r>
          </w:p>
        </w:tc>
      </w:tr>
      <w:tr w14:paraId="1409E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vAlign w:val="center"/>
          </w:tcPr>
          <w:p w14:paraId="69EE693A">
            <w:pPr>
              <w:pStyle w:val="71"/>
              <w:spacing w:before="24" w:after="24"/>
            </w:pPr>
            <w:r>
              <w:t>3</w:t>
            </w:r>
          </w:p>
        </w:tc>
        <w:tc>
          <w:tcPr>
            <w:tcW w:w="3256" w:type="dxa"/>
            <w:noWrap/>
            <w:vAlign w:val="center"/>
          </w:tcPr>
          <w:p w14:paraId="7A47C0FD">
            <w:pPr>
              <w:pStyle w:val="71"/>
              <w:spacing w:before="24" w:after="24"/>
              <w:jc w:val="both"/>
            </w:pPr>
            <w:r>
              <w:t>未按国家标准、规范要求按时到场参加验收</w:t>
            </w:r>
          </w:p>
        </w:tc>
        <w:tc>
          <w:tcPr>
            <w:tcW w:w="1572" w:type="dxa"/>
            <w:noWrap/>
            <w:vAlign w:val="center"/>
          </w:tcPr>
          <w:p w14:paraId="2DC3B1D5">
            <w:pPr>
              <w:pStyle w:val="71"/>
              <w:spacing w:before="24" w:after="24"/>
            </w:pPr>
            <w:r>
              <w:t>设计单位</w:t>
            </w:r>
          </w:p>
        </w:tc>
        <w:tc>
          <w:tcPr>
            <w:tcW w:w="3673" w:type="dxa"/>
            <w:noWrap/>
            <w:vAlign w:val="center"/>
          </w:tcPr>
          <w:p w14:paraId="4789FF09">
            <w:pPr>
              <w:pStyle w:val="71"/>
              <w:spacing w:before="24" w:after="24"/>
            </w:pPr>
            <w:r>
              <w:t>2000元/人/次</w:t>
            </w:r>
          </w:p>
        </w:tc>
      </w:tr>
      <w:tr w14:paraId="59770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8" w:hRule="atLeast"/>
        </w:trPr>
        <w:tc>
          <w:tcPr>
            <w:tcW w:w="840" w:type="dxa"/>
            <w:noWrap/>
            <w:vAlign w:val="center"/>
          </w:tcPr>
          <w:p w14:paraId="5A0E4ED5">
            <w:pPr>
              <w:pStyle w:val="71"/>
              <w:spacing w:before="24" w:after="24"/>
            </w:pPr>
            <w:r>
              <w:t>4</w:t>
            </w:r>
          </w:p>
        </w:tc>
        <w:tc>
          <w:tcPr>
            <w:tcW w:w="3256" w:type="dxa"/>
            <w:noWrap/>
            <w:vAlign w:val="center"/>
          </w:tcPr>
          <w:p w14:paraId="71F322C8">
            <w:pPr>
              <w:pStyle w:val="71"/>
              <w:spacing w:before="24" w:after="24"/>
              <w:jc w:val="both"/>
            </w:pPr>
            <w:r>
              <w:t>设计单位由于自身原因，未能按发包人合理要求时间及时答复施工变更、施工联系单回复及施工现场服务</w:t>
            </w:r>
          </w:p>
        </w:tc>
        <w:tc>
          <w:tcPr>
            <w:tcW w:w="1572" w:type="dxa"/>
            <w:noWrap/>
            <w:vAlign w:val="center"/>
          </w:tcPr>
          <w:p w14:paraId="178A57F5">
            <w:pPr>
              <w:pStyle w:val="71"/>
              <w:spacing w:before="24" w:after="24"/>
            </w:pPr>
            <w:r>
              <w:t>设计单位</w:t>
            </w:r>
          </w:p>
        </w:tc>
        <w:tc>
          <w:tcPr>
            <w:tcW w:w="3673" w:type="dxa"/>
            <w:noWrap/>
            <w:vAlign w:val="center"/>
          </w:tcPr>
          <w:p w14:paraId="315D0AE0">
            <w:pPr>
              <w:pStyle w:val="71"/>
              <w:spacing w:before="24" w:after="24"/>
            </w:pPr>
            <w:r>
              <w:t>1000元/次</w:t>
            </w:r>
          </w:p>
        </w:tc>
      </w:tr>
    </w:tbl>
    <w:p w14:paraId="467C7193">
      <w:pPr>
        <w:spacing w:before="24" w:after="24"/>
        <w:rPr>
          <w:rFonts w:ascii="Times New Roman" w:hAnsi="Times New Roman" w:cs="Times New Roman"/>
        </w:rPr>
      </w:pPr>
      <w:r>
        <w:rPr>
          <w:rFonts w:ascii="Times New Roman" w:hAnsi="Times New Roman" w:cs="Times New Roman"/>
        </w:rPr>
        <w:br w:type="page"/>
      </w:r>
    </w:p>
    <w:p w14:paraId="2F1DFD9A">
      <w:pPr>
        <w:pStyle w:val="53"/>
        <w:spacing w:before="24" w:after="24"/>
        <w:rPr>
          <w:rFonts w:cs="Times New Roman"/>
        </w:rPr>
      </w:pPr>
      <w:bookmarkStart w:id="157" w:name="_Toc221894186"/>
      <w:r>
        <w:rPr>
          <w:rFonts w:cs="Times New Roman"/>
        </w:rPr>
        <w:t>十、其他要求</w:t>
      </w:r>
      <w:bookmarkEnd w:id="157"/>
    </w:p>
    <w:p w14:paraId="2C96D7AF">
      <w:pPr>
        <w:pStyle w:val="62"/>
      </w:pPr>
      <w:bookmarkStart w:id="158" w:name="_Toc221894187"/>
      <w:r>
        <w:t>（一）分包</w:t>
      </w:r>
      <w:bookmarkEnd w:id="158"/>
    </w:p>
    <w:p w14:paraId="31DD2D24">
      <w:pPr>
        <w:pStyle w:val="64"/>
        <w:spacing w:before="24" w:after="24"/>
        <w:rPr>
          <w:rFonts w:cs="Times New Roman"/>
        </w:rPr>
      </w:pPr>
      <w:bookmarkStart w:id="159" w:name="_Toc221894188"/>
      <w:r>
        <w:rPr>
          <w:rFonts w:cs="Times New Roman"/>
        </w:rPr>
        <w:t>1、分包计划</w:t>
      </w:r>
      <w:bookmarkEnd w:id="159"/>
    </w:p>
    <w:p w14:paraId="0D198C62">
      <w:pPr>
        <w:pStyle w:val="54"/>
        <w:spacing w:before="24" w:after="24"/>
      </w:pPr>
      <w:r>
        <w:t>承包人应在承包合同生效后的30日内向发包人提交分包管理计划，并根据项目施工进度及分包人的变化进行定期（每月25日前）更新，更新后的分包计划应确定所有拟分包工作及其选商和授予的时间表。</w:t>
      </w:r>
    </w:p>
    <w:p w14:paraId="282B37F6">
      <w:pPr>
        <w:pStyle w:val="64"/>
        <w:spacing w:before="24" w:after="24"/>
        <w:rPr>
          <w:rFonts w:cs="Times New Roman"/>
        </w:rPr>
      </w:pPr>
      <w:bookmarkStart w:id="160" w:name="_Toc221894189"/>
      <w:r>
        <w:rPr>
          <w:rFonts w:cs="Times New Roman"/>
        </w:rPr>
        <w:t>2、分包人资格审查</w:t>
      </w:r>
      <w:bookmarkEnd w:id="160"/>
    </w:p>
    <w:p w14:paraId="1D0EA03A">
      <w:pPr>
        <w:pStyle w:val="54"/>
        <w:spacing w:before="24" w:after="24"/>
      </w:pPr>
      <w:r>
        <w:t>承包人应通过资格预审或者资格后审程序对潜在分包人进行资格审查，并将资格审查结果报送发包人，经发包人审查通过后承包人方可对分包人进行授标。承包人对分包人进行资格审查时,应审查的项目包括但不限于:公司注册文件和资质证书、项目经验和能力要求（具体要求包括但不限于可以满足项目执行的组织架构、人力和设备配备、近3年直接相关的项目执行经验、当前能够投入本项目的可用资源数量、质量管理体系文件、HSE管理体系文件、良好的安全生产记录等）、财务稳定性及偿付能力（公司近3年财务报表情况）。</w:t>
      </w:r>
    </w:p>
    <w:p w14:paraId="55258BF7">
      <w:pPr>
        <w:pStyle w:val="64"/>
        <w:spacing w:before="24" w:after="24"/>
        <w:rPr>
          <w:rFonts w:cs="Times New Roman"/>
        </w:rPr>
      </w:pPr>
      <w:bookmarkStart w:id="161" w:name="_Toc221894190"/>
      <w:r>
        <w:rPr>
          <w:rFonts w:cs="Times New Roman"/>
        </w:rPr>
        <w:t>3、分包人确定及授标</w:t>
      </w:r>
      <w:bookmarkEnd w:id="161"/>
    </w:p>
    <w:p w14:paraId="1C7753BB">
      <w:pPr>
        <w:pStyle w:val="54"/>
        <w:spacing w:before="24" w:after="24"/>
      </w:pPr>
      <w:r>
        <w:t>承包人应按照招标或议标程序选取分包人，并应在授标前书面提交发包人审核和批准，但发包人的审核和批准不减轻或免除承包人的任何责任和义务。承包人完成分包定商确定和授标后，应在3日内将用以证明分包人符合选商标准的证明文件（如评标细则）提交发包人审核。分包合同签署后1周内,承包人应将不带价格的分包合同复印件及分包人保单复印件报送监理、项目管理、发包人备案。分包合同不应与总承包合同有任何抵触或矛盾之处；分包人的材料、设备等采购/买卖合同中不得有供应商/卖方对其材料、设备等设置所有权保留；承包人应保证其分包人不得再分包。</w:t>
      </w:r>
    </w:p>
    <w:p w14:paraId="28D3EDF9">
      <w:pPr>
        <w:pStyle w:val="64"/>
        <w:spacing w:before="24" w:after="24"/>
        <w:rPr>
          <w:rFonts w:cs="Times New Roman"/>
        </w:rPr>
      </w:pPr>
      <w:bookmarkStart w:id="162" w:name="_Toc221894191"/>
      <w:r>
        <w:rPr>
          <w:rFonts w:cs="Times New Roman"/>
        </w:rPr>
        <w:t>4、分包合同商务条款</w:t>
      </w:r>
      <w:bookmarkEnd w:id="162"/>
    </w:p>
    <w:p w14:paraId="655D3668">
      <w:pPr>
        <w:pStyle w:val="54"/>
        <w:spacing w:before="24" w:after="24"/>
      </w:pPr>
      <w:r>
        <w:t>承包人与分包人之间的合同商务条款应包括但不限于:保证条款、所有权转移条款、保密条款、知识产权条款等。发包人对承包人与分包人之间的合同纠纷不承担任何责任和义务。承包人在分包工程中应符合以下要求：</w:t>
      </w:r>
    </w:p>
    <w:p w14:paraId="43FD2286">
      <w:pPr>
        <w:pStyle w:val="54"/>
        <w:spacing w:before="24" w:after="24"/>
      </w:pPr>
      <w:r>
        <w:t>4.1分包合同价款由承包人与分包人结算，承包人应及时向分包人支付工程款，不得无故拖欠，否则视为承包人的违约。</w:t>
      </w:r>
    </w:p>
    <w:p w14:paraId="61225A5A">
      <w:pPr>
        <w:pStyle w:val="54"/>
        <w:spacing w:before="24" w:after="24"/>
      </w:pPr>
      <w:r>
        <w:t>4.2生效法律文书要求发包人向分包人支付分包合同价款的，发包人有权从应付承包人工程款中扣除该部分款项，包括发包人所涉及诉讼而产生的诉讼费、保全费、律师费等各项费用，并有权解除与承包人的合同。</w:t>
      </w:r>
    </w:p>
    <w:p w14:paraId="7DF10935">
      <w:pPr>
        <w:pStyle w:val="54"/>
        <w:spacing w:before="24" w:after="24"/>
      </w:pPr>
      <w:r>
        <w:t>4.3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如果还存在分包人承诺的超过该保修期限的保修服务，该种保修权益应无条件转让给发包人。</w:t>
      </w:r>
    </w:p>
    <w:p w14:paraId="22FB2048">
      <w:pPr>
        <w:pStyle w:val="54"/>
        <w:spacing w:before="24" w:after="24"/>
      </w:pPr>
      <w:r>
        <w:t>4.4发包人有权要求承包人设立项目专款银行账户，专款银行账户由发包人、承包人共同管理，确保专款专用。承包人应确保专业分包的及时支付，承包人应严格遵守国家有关解决拖欠工程款的法律法规等文件要求，及时支付人工、材料、机械设备等费用。</w:t>
      </w:r>
    </w:p>
    <w:p w14:paraId="17121E89">
      <w:pPr>
        <w:pStyle w:val="54"/>
        <w:spacing w:before="24" w:after="24"/>
      </w:pPr>
      <w:r>
        <w:t>4.5承包人建立专项分包单位支付表并报发包人备查。</w:t>
      </w:r>
    </w:p>
    <w:p w14:paraId="2D2A1FF9">
      <w:pPr>
        <w:pStyle w:val="54"/>
        <w:spacing w:before="24" w:after="24"/>
      </w:pPr>
      <w:r>
        <w:t>4.6承包人申请付款时，须提供上期分包人付款证明。</w:t>
      </w:r>
    </w:p>
    <w:p w14:paraId="441961C2">
      <w:pPr>
        <w:pStyle w:val="54"/>
        <w:spacing w:before="24" w:after="24"/>
      </w:pPr>
      <w:r>
        <w:t>4.7发包人可以与承包人签订转移支付协议，约定由承包人授权发包人将承包人应支付给分包人的款项直接支付给分包人，但分包人所完成的工程量和应得的款项必须由承包人确认并上报给发包人，并从承包人的进度款中扣除。</w:t>
      </w:r>
    </w:p>
    <w:p w14:paraId="1CC82233">
      <w:pPr>
        <w:pStyle w:val="54"/>
        <w:spacing w:before="24" w:after="24"/>
      </w:pPr>
      <w:r>
        <w:t>4.8承包人及其分包人应保护和保障发包人免于承担由于与工程有关的或供工程使用的任何承包人/分包人的设备、材料、施工机械、工艺、方法等方面侵犯任何设计、专利权、商标或名称或其它受保护的权利而引起的一切索赔和诉讼/仲裁，并应保护和保障发包人免于承担由此导致或与此有关的一切损害赔偿费、诉讼/仲裁费、律师费和其它费用。</w:t>
      </w:r>
    </w:p>
    <w:p w14:paraId="44D4C662">
      <w:pPr>
        <w:pStyle w:val="64"/>
        <w:spacing w:before="24" w:after="24"/>
        <w:rPr>
          <w:rFonts w:cs="Times New Roman"/>
        </w:rPr>
      </w:pPr>
      <w:bookmarkStart w:id="163" w:name="_Toc221894192"/>
      <w:r>
        <w:rPr>
          <w:rFonts w:cs="Times New Roman"/>
        </w:rPr>
        <w:t>5、劳务分包特定要求</w:t>
      </w:r>
      <w:bookmarkEnd w:id="163"/>
    </w:p>
    <w:p w14:paraId="31CB7EDC">
      <w:pPr>
        <w:pStyle w:val="54"/>
        <w:spacing w:before="24" w:after="24"/>
      </w:pPr>
      <w:r>
        <w:t>承包人应在承包合同生效后的30日内向发包人提交劳务分包计划，同时根据项目施工进度变化进行定期（每月25日前）更新。承包人应对项目的农民工进行实名制管理、开具农民工专管账户并将分包款项中农民工工资部分直接支付至专管账户中，同时应配置劳资专管员，对劳务分包单位劳动用工实施监督管理，掌握施工现场用工、考勤、工资支付等情况，审核劳务分包人编制的农民工工资支付表等，严禁发生农民工集体围堵政府主管部门及发包人公司、项目部办公场所进行讨薪问题。</w:t>
      </w:r>
    </w:p>
    <w:p w14:paraId="66CE8EEB">
      <w:pPr>
        <w:pStyle w:val="64"/>
        <w:spacing w:before="24" w:after="24"/>
        <w:rPr>
          <w:rFonts w:cs="Times New Roman"/>
        </w:rPr>
      </w:pPr>
      <w:bookmarkStart w:id="164" w:name="_Toc221894193"/>
      <w:r>
        <w:rPr>
          <w:rFonts w:cs="Times New Roman"/>
        </w:rPr>
        <w:t>6、专业分包</w:t>
      </w:r>
      <w:bookmarkEnd w:id="164"/>
    </w:p>
    <w:p w14:paraId="1D4DB4C6">
      <w:pPr>
        <w:pStyle w:val="54"/>
        <w:spacing w:before="24" w:after="24"/>
      </w:pPr>
      <w:r>
        <w:t>6.1 设计分包</w:t>
      </w:r>
    </w:p>
    <w:p w14:paraId="491CDCE1">
      <w:pPr>
        <w:pStyle w:val="54"/>
        <w:spacing w:before="24" w:after="24"/>
      </w:pPr>
      <w:r>
        <w:t>禁止分包的工程包括:工程设计的主体部分（对工程的总体方案、工艺流程、结构安全、消防安全、环境保护等起决定性作用的设计内容）。</w:t>
      </w:r>
    </w:p>
    <w:p w14:paraId="7352927B">
      <w:pPr>
        <w:pStyle w:val="54"/>
        <w:spacing w:before="24" w:after="24"/>
      </w:pPr>
      <w:r>
        <w:t>允许分包的工程包括:在合法合规的情况下，经发包人同意的非主体且专业性强的专项设计工作。包括但不限于以下内容：</w:t>
      </w:r>
    </w:p>
    <w:p w14:paraId="41CA645B">
      <w:pPr>
        <w:pStyle w:val="54"/>
        <w:spacing w:before="24" w:after="24"/>
      </w:pPr>
      <w:r>
        <w:t>a.幕墙设计工程：玻璃、石材、金属幕墙等。</w:t>
      </w:r>
    </w:p>
    <w:p w14:paraId="0C78D1A6">
      <w:pPr>
        <w:pStyle w:val="54"/>
        <w:spacing w:before="24" w:after="24"/>
      </w:pPr>
      <w:r>
        <w:t>b.园林景观设计：项目范围内的室外环境、绿化、景观小品等。</w:t>
      </w:r>
    </w:p>
    <w:p w14:paraId="120F97F0">
      <w:pPr>
        <w:pStyle w:val="54"/>
        <w:spacing w:before="24" w:after="24"/>
      </w:pPr>
      <w:r>
        <w:t>c.室内精装修设计：公共区域和重要空间的室内设计。</w:t>
      </w:r>
    </w:p>
    <w:p w14:paraId="7B44825D">
      <w:pPr>
        <w:pStyle w:val="54"/>
        <w:spacing w:before="24" w:after="24"/>
      </w:pPr>
      <w:r>
        <w:t>d. 照明设计：专业的建筑泛光照明、室内灯光设计。</w:t>
      </w:r>
    </w:p>
    <w:p w14:paraId="0E4A2220">
      <w:pPr>
        <w:pStyle w:val="54"/>
        <w:spacing w:before="24" w:after="24"/>
      </w:pPr>
      <w:r>
        <w:t>e.厨房工艺设计：用于餐厅的厨房流程和设备布局。</w:t>
      </w:r>
    </w:p>
    <w:p w14:paraId="4D0BCE50">
      <w:pPr>
        <w:pStyle w:val="54"/>
        <w:spacing w:before="24" w:after="24"/>
      </w:pPr>
      <w:r>
        <w:t>f.声学设计：中小学、幼儿园等对声学有特殊要求的场所。</w:t>
      </w:r>
    </w:p>
    <w:p w14:paraId="58F69EBD">
      <w:pPr>
        <w:pStyle w:val="54"/>
        <w:spacing w:before="24" w:after="24"/>
      </w:pPr>
      <w:r>
        <w:t>6.2 施工分包</w:t>
      </w:r>
    </w:p>
    <w:p w14:paraId="0834A409">
      <w:pPr>
        <w:pStyle w:val="54"/>
        <w:spacing w:before="24" w:after="24"/>
      </w:pPr>
      <w:r>
        <w:t>禁止分包的工程包括:地基基础工程、主体工程</w:t>
      </w:r>
    </w:p>
    <w:p w14:paraId="6685ABE8">
      <w:pPr>
        <w:pStyle w:val="54"/>
        <w:spacing w:before="24" w:after="24"/>
      </w:pPr>
      <w:r>
        <w:t>允许分包的工程：在合法合规的情况下，经发包人同意的非主体且专业性强的专项设计工作。包括但不限于以下内容：</w:t>
      </w:r>
    </w:p>
    <w:p w14:paraId="3120DDCA">
      <w:pPr>
        <w:pStyle w:val="54"/>
        <w:spacing w:before="24" w:after="24"/>
      </w:pPr>
      <w:r>
        <w:t>a.门窗工程</w:t>
      </w:r>
    </w:p>
    <w:p w14:paraId="54E9678C">
      <w:pPr>
        <w:pStyle w:val="54"/>
        <w:spacing w:before="24" w:after="24"/>
      </w:pPr>
      <w:r>
        <w:t>b.建筑屋面工程：如防水工程、金属屋面系统等。</w:t>
      </w:r>
    </w:p>
    <w:p w14:paraId="1936458C">
      <w:pPr>
        <w:pStyle w:val="54"/>
        <w:spacing w:before="24" w:after="24"/>
      </w:pPr>
      <w:r>
        <w:t>c.建筑装饰装修工程：精装修工程（室内木作、涂饰、裱糊等）。</w:t>
      </w:r>
    </w:p>
    <w:p w14:paraId="5216BD9C">
      <w:pPr>
        <w:pStyle w:val="54"/>
        <w:spacing w:before="24" w:after="24"/>
      </w:pPr>
      <w:r>
        <w:t>d.外墙保温工程。</w:t>
      </w:r>
    </w:p>
    <w:p w14:paraId="4D74FAE3">
      <w:pPr>
        <w:pStyle w:val="54"/>
        <w:spacing w:before="24" w:after="24"/>
      </w:pPr>
      <w:r>
        <w:t>e.机电安装工程：给排水、采暖、通风与空调工程。</w:t>
      </w:r>
    </w:p>
    <w:p w14:paraId="1BC9C1EA">
      <w:pPr>
        <w:pStyle w:val="54"/>
        <w:spacing w:before="24" w:after="24"/>
      </w:pPr>
      <w:r>
        <w:t>f.建筑电气工程:智能建筑系统（综合布线、安防、楼宇自控等）、消防设施工程（喷淋、报警、防排烟系统）</w:t>
      </w:r>
    </w:p>
    <w:p w14:paraId="2620F39E">
      <w:pPr>
        <w:pStyle w:val="54"/>
        <w:spacing w:before="24" w:after="24"/>
      </w:pPr>
      <w:r>
        <w:t>g.室外及附属工程：园林景观工程、市政管网工程（小区内的给水、排水、燃气、电力管网）</w:t>
      </w:r>
    </w:p>
    <w:p w14:paraId="592EC46C">
      <w:pPr>
        <w:pStyle w:val="62"/>
      </w:pPr>
      <w:bookmarkStart w:id="165" w:name="_Toc221894194"/>
      <w:r>
        <w:t>（二）缺陷责任期的服务要求</w:t>
      </w:r>
      <w:bookmarkEnd w:id="165"/>
    </w:p>
    <w:p w14:paraId="72323CC5">
      <w:pPr>
        <w:pStyle w:val="54"/>
        <w:spacing w:before="24" w:after="24"/>
      </w:pPr>
      <w:r>
        <w:t>1、缺陷责任期内的扫尾工作：完成未了工作并修补缺陷。</w:t>
      </w:r>
    </w:p>
    <w:p w14:paraId="0C525418">
      <w:pPr>
        <w:pStyle w:val="54"/>
        <w:spacing w:before="24" w:after="24"/>
      </w:pPr>
      <w:r>
        <w:t>2、缺陷修复的范围和内容：地基基础工程、主体结构工程，屋面防水工程、有防水要求的卫生间、房间和外墙面的防渗漏，供热与供冷系统，电气管线、给排水管道、设备安装和装修工程，以及双方约定的其他项目。具体质量保修内容双方约定如下:按国务院第279号令及《协议书》约定的工程承包范围内的所有工作内容执行。</w:t>
      </w:r>
    </w:p>
    <w:p w14:paraId="4D70E061">
      <w:pPr>
        <w:pStyle w:val="54"/>
        <w:spacing w:before="24" w:after="24"/>
      </w:pPr>
      <w:r>
        <w:t>3、缺陷修复要求：满足设计及建设相关规范，满足运行和使用功能要求。缺陷修复费用由承包人承担。</w:t>
      </w:r>
    </w:p>
    <w:p w14:paraId="7E5CC3E6">
      <w:pPr>
        <w:pStyle w:val="54"/>
        <w:spacing w:before="24" w:after="24"/>
      </w:pPr>
      <w:r>
        <w:t>4、承包人未能在发包人指定的时间内修复缺陷或损伤，发包人即可委托其他人以适当方式完成上述工作，承包人承担该缺陷修复的风险和费用。如该缺陷或损害使发包人实质上丧失了工程或工程的任何主要部分的整体利益时，发包人将收回对工程或该部分工程的全部支出总额，加上融资费用和拆除工程、清理现场以及将生产设备和材料退还所支付的费用。</w:t>
      </w:r>
    </w:p>
    <w:p w14:paraId="47D44684">
      <w:pPr>
        <w:pStyle w:val="54"/>
        <w:spacing w:before="24" w:after="24"/>
      </w:pPr>
      <w:r>
        <w:t>5、如果在现场无法迅速有效地修复缺陷或损伤，在征得发包人同意后，承包人可组织将本工程中有缺陷或损伤的部分搬出现场进行修复。</w:t>
      </w:r>
    </w:p>
    <w:p w14:paraId="35A20873">
      <w:pPr>
        <w:pStyle w:val="54"/>
        <w:spacing w:before="24" w:after="24"/>
      </w:pPr>
      <w:r>
        <w:t>6、承包人应在得到缺陷修复通知的24小时到达修复现场展开修复工作。</w:t>
      </w:r>
    </w:p>
    <w:p w14:paraId="242AFD18">
      <w:pPr>
        <w:pStyle w:val="54"/>
        <w:spacing w:before="24" w:after="24"/>
      </w:pPr>
      <w:r>
        <w:br w:type="page"/>
      </w:r>
    </w:p>
    <w:p w14:paraId="203C48FA">
      <w:pPr>
        <w:pStyle w:val="53"/>
        <w:spacing w:before="24" w:after="24"/>
        <w:rPr>
          <w:rFonts w:cs="Times New Roman"/>
        </w:rPr>
      </w:pPr>
      <w:bookmarkStart w:id="166" w:name="_Toc27689"/>
      <w:bookmarkStart w:id="167" w:name="_Toc12509"/>
      <w:bookmarkStart w:id="168" w:name="_Toc12536"/>
      <w:bookmarkStart w:id="169" w:name="_Toc11109"/>
      <w:bookmarkStart w:id="170" w:name="_Toc16129"/>
      <w:bookmarkStart w:id="171" w:name="_Toc221894195"/>
      <w:bookmarkStart w:id="172" w:name="_Toc192604622"/>
      <w:bookmarkStart w:id="173" w:name="_Toc7104"/>
      <w:r>
        <w:rPr>
          <w:rFonts w:cs="Times New Roman"/>
        </w:rPr>
        <w:t>十一、信息化管控平台使用要求</w:t>
      </w:r>
      <w:bookmarkEnd w:id="166"/>
      <w:bookmarkEnd w:id="167"/>
      <w:bookmarkEnd w:id="168"/>
      <w:bookmarkEnd w:id="169"/>
      <w:bookmarkEnd w:id="170"/>
      <w:bookmarkEnd w:id="171"/>
      <w:bookmarkEnd w:id="172"/>
      <w:bookmarkEnd w:id="173"/>
    </w:p>
    <w:p w14:paraId="43C86EB2">
      <w:pPr>
        <w:pStyle w:val="62"/>
      </w:pPr>
      <w:bookmarkStart w:id="174" w:name="_Toc221894196"/>
      <w:r>
        <w:t>（一）信息化管控平台概述</w:t>
      </w:r>
      <w:bookmarkEnd w:id="174"/>
    </w:p>
    <w:p w14:paraId="7B4B6E43">
      <w:pPr>
        <w:pStyle w:val="54"/>
        <w:spacing w:before="24" w:after="24"/>
      </w:pPr>
      <w:r>
        <w:t>为高质量推进本项目建设，实现全过程数字化、精细化与智能化管控，本项目全面采用由发包人统一建设运维的“信息化管控平台”（以下简称“本平台”）。</w:t>
      </w:r>
    </w:p>
    <w:p w14:paraId="17D20B1C">
      <w:pPr>
        <w:pStyle w:val="54"/>
        <w:spacing w:before="24" w:after="24"/>
      </w:pPr>
      <w:r>
        <w:t>本平台以BIM模型为数字底座，融合GIS、物联网及人工智能等技术，围绕工程项目统筹管控核心，集成协同管理、进度成本控制、质量安全监管、资料归档与现场实时监控等关键场景，作为项目唯一的官方协同管理平台与信息通道。</w:t>
      </w:r>
    </w:p>
    <w:p w14:paraId="7000F3EE">
      <w:pPr>
        <w:pStyle w:val="54"/>
        <w:spacing w:before="24" w:after="24"/>
      </w:pPr>
      <w:r>
        <w:t>平台提供网页端与移动端，支持多端协同与数据共享，满足多样化办公需求。通过数字化管理，实现数据集成、高效整合与实时分析，全面提升项目管理效率与决策水平。</w:t>
      </w:r>
    </w:p>
    <w:p w14:paraId="6F9AEB97">
      <w:pPr>
        <w:pStyle w:val="62"/>
      </w:pPr>
      <w:bookmarkStart w:id="175" w:name="_Toc221894197"/>
      <w:r>
        <w:t>（二）信息化管控平台使用要求</w:t>
      </w:r>
      <w:bookmarkEnd w:id="175"/>
    </w:p>
    <w:p w14:paraId="254D030F">
      <w:pPr>
        <w:pStyle w:val="64"/>
        <w:spacing w:before="24" w:after="24"/>
        <w:rPr>
          <w:rFonts w:cs="Times New Roman"/>
        </w:rPr>
      </w:pPr>
      <w:bookmarkStart w:id="176" w:name="_Toc221894198"/>
      <w:r>
        <w:rPr>
          <w:rFonts w:cs="Times New Roman"/>
        </w:rPr>
        <w:t>1、适用范围与强制性</w:t>
      </w:r>
      <w:bookmarkEnd w:id="176"/>
    </w:p>
    <w:p w14:paraId="167B0C07">
      <w:pPr>
        <w:pStyle w:val="54"/>
        <w:spacing w:before="24" w:after="24"/>
      </w:pPr>
      <w:r>
        <w:t>中标单位（以下简称“承包人”）须统一接入并使用本平台，完成其合同标段内全部项目管理活动，覆盖日常协同办公至现场实时监控等各环节。</w:t>
      </w:r>
    </w:p>
    <w:p w14:paraId="09891727">
      <w:pPr>
        <w:pStyle w:val="64"/>
        <w:spacing w:before="24" w:after="24"/>
        <w:rPr>
          <w:rFonts w:cs="Times New Roman"/>
        </w:rPr>
      </w:pPr>
      <w:bookmarkStart w:id="177" w:name="_Toc221894199"/>
      <w:r>
        <w:rPr>
          <w:rFonts w:cs="Times New Roman"/>
        </w:rPr>
        <w:t>2、平台核心应用功能要求</w:t>
      </w:r>
      <w:bookmarkEnd w:id="177"/>
    </w:p>
    <w:p w14:paraId="6B49E5E4">
      <w:pPr>
        <w:pStyle w:val="54"/>
        <w:spacing w:before="24" w:after="24"/>
      </w:pPr>
      <w:r>
        <w:t>承包人须通过本平台实现以下核心功能，并确保平台数据与实际业务实时同步、真实一致：</w:t>
      </w:r>
    </w:p>
    <w:p w14:paraId="0D055AE9">
      <w:pPr>
        <w:pStyle w:val="54"/>
        <w:spacing w:before="24" w:after="24"/>
      </w:pPr>
      <w:r>
        <w:t>2.1 协同办公：所有业务流程均须通过本平台发起、审批、处理与归档，保证管理痕迹与实际行为一致。</w:t>
      </w:r>
    </w:p>
    <w:p w14:paraId="217D5285">
      <w:pPr>
        <w:pStyle w:val="54"/>
        <w:spacing w:before="24" w:after="24"/>
      </w:pPr>
      <w:r>
        <w:t>2.2 进度管理：通过本平台上报施工计划与实际进度，确保平台总控计划与实际进度一致。</w:t>
      </w:r>
    </w:p>
    <w:p w14:paraId="5FD382CB">
      <w:pPr>
        <w:pStyle w:val="54"/>
        <w:spacing w:before="24" w:after="24"/>
      </w:pPr>
      <w:r>
        <w:t>2.3 投资管控：使用变更管理、深化设计、索赔等模块，为工程总投资的动态统计与实时预警提供数据支持。</w:t>
      </w:r>
    </w:p>
    <w:p w14:paraId="504D94B7">
      <w:pPr>
        <w:pStyle w:val="54"/>
        <w:spacing w:before="24" w:after="24"/>
      </w:pPr>
      <w:r>
        <w:t>2.4 合同与资金：在本平台进行进度款计量与支付申请，保障资金流程合规。因承包人原因造成的流程延误或付款延迟，由承包人自行承担相应责任。</w:t>
      </w:r>
    </w:p>
    <w:p w14:paraId="4B4F0AB2">
      <w:pPr>
        <w:pStyle w:val="54"/>
        <w:spacing w:before="24" w:after="24"/>
      </w:pPr>
      <w:r>
        <w:t>2.5 质量与安全：通过本平台落实质量安全检查、隐患排查及整改回复的闭环管理，整改回复须附平台水印相机拍摄的实景照片。</w:t>
      </w:r>
    </w:p>
    <w:p w14:paraId="325A1CD1">
      <w:pPr>
        <w:pStyle w:val="54"/>
        <w:spacing w:before="24" w:after="24"/>
      </w:pPr>
      <w:r>
        <w:t>2.6 档案管理：及时上传施工全过程文件，实现项目资料的电子化与结构化归档。</w:t>
      </w:r>
    </w:p>
    <w:p w14:paraId="461042B6">
      <w:pPr>
        <w:pStyle w:val="54"/>
        <w:spacing w:before="24" w:after="24"/>
      </w:pPr>
      <w:r>
        <w:t>2.7 智能监控：负责部署并维护必要硬件设备，保障数据稳定接入平台，支撑施工现场的全面感知与智能管控。</w:t>
      </w:r>
    </w:p>
    <w:p w14:paraId="78DC1036">
      <w:pPr>
        <w:pStyle w:val="64"/>
        <w:spacing w:before="24" w:after="24"/>
        <w:rPr>
          <w:rFonts w:cs="Times New Roman"/>
        </w:rPr>
      </w:pPr>
      <w:bookmarkStart w:id="178" w:name="_Toc221894200"/>
      <w:r>
        <w:rPr>
          <w:rFonts w:cs="Times New Roman"/>
        </w:rPr>
        <w:t>3、数据质量与违约责任</w:t>
      </w:r>
      <w:bookmarkEnd w:id="178"/>
    </w:p>
    <w:p w14:paraId="2D66EE7D">
      <w:pPr>
        <w:pStyle w:val="54"/>
        <w:spacing w:before="24" w:after="24"/>
      </w:pPr>
      <w:r>
        <w:t>3.1 数据责任：承包人须确保其录入及产生所有数据的真实性、及时性、准确性与完整性，并对其合同标段内平台数据的质量负全责。此责任延伸至其下属所有分包单位。</w:t>
      </w:r>
    </w:p>
    <w:p w14:paraId="60D80973">
      <w:pPr>
        <w:pStyle w:val="54"/>
        <w:spacing w:before="24" w:after="24"/>
      </w:pPr>
      <w:r>
        <w:t>3.2 违约处理：出现以下行为，承包人应承担相应违约责任：</w:t>
      </w:r>
    </w:p>
    <w:p w14:paraId="5AEF6B06">
      <w:pPr>
        <w:pStyle w:val="54"/>
        <w:spacing w:before="24" w:after="24"/>
      </w:pPr>
      <w:r>
        <w:t>3.2.1 无正当理由不配合平台使用，或未按规定时效录入、更新信息的，发包人有权处以人民币2000元/次的违约金，并责令限期整改；逾期未改正的，发包人有权按日连续处以违约金。</w:t>
      </w:r>
    </w:p>
    <w:p w14:paraId="2DE9B4C0">
      <w:pPr>
        <w:pStyle w:val="54"/>
        <w:spacing w:before="24" w:after="24"/>
      </w:pPr>
      <w:r>
        <w:t>3.2.2 存在数据造假、恶意篡改、故意瞒报等行为的，一经核实，处以人民币5000元/次的违约金。若因关键数据造假导致项目决策偏差或造成损失的，承包人须承担由此引发的全部责任及直接、间接经济损失。</w:t>
      </w:r>
    </w:p>
    <w:p w14:paraId="79C7EEFB">
      <w:pPr>
        <w:pStyle w:val="62"/>
      </w:pPr>
      <w:bookmarkStart w:id="179" w:name="_Toc221894201"/>
      <w:r>
        <w:t>（三）智慧工地硬件部署与数据接入要求</w:t>
      </w:r>
      <w:bookmarkEnd w:id="179"/>
    </w:p>
    <w:p w14:paraId="06280D19">
      <w:pPr>
        <w:pStyle w:val="64"/>
        <w:spacing w:before="24" w:after="24"/>
        <w:rPr>
          <w:rFonts w:cs="Times New Roman"/>
        </w:rPr>
      </w:pPr>
      <w:bookmarkStart w:id="180" w:name="_Toc221894202"/>
      <w:r>
        <w:rPr>
          <w:rFonts w:cs="Times New Roman"/>
        </w:rPr>
        <w:t>1、硬件配置责任与标准</w:t>
      </w:r>
      <w:bookmarkEnd w:id="180"/>
    </w:p>
    <w:p w14:paraId="498B1993">
      <w:pPr>
        <w:pStyle w:val="54"/>
        <w:spacing w:before="24" w:after="24"/>
      </w:pPr>
      <w:r>
        <w:t>1.1 承包人责任：承包人须独立负责为本平台全面应用采购、安装、调试、运维合同标段内所需的全部硬件设备，并完成数据接入，相关费用由承包人承担。</w:t>
      </w:r>
    </w:p>
    <w:p w14:paraId="7860FDA8">
      <w:pPr>
        <w:pStyle w:val="54"/>
        <w:spacing w:before="24" w:after="24"/>
      </w:pPr>
      <w:r>
        <w:t>1.2 兼容性要求：所有硬件设备须与本平台兼容，支持与平台稳定对接。核心设备须符合以下强制性协议标准：</w:t>
      </w:r>
    </w:p>
    <w:p w14:paraId="3BF00D65">
      <w:pPr>
        <w:pStyle w:val="54"/>
        <w:spacing w:before="24" w:after="24"/>
      </w:pPr>
      <w:r>
        <w:t>1.2.1 网络摄像机：必须支持《GB/T 28181 公共安全视频监控联网系统信息传输、交换控制技术要求》协议。仅支持厂商私有协议（如萤石等）的设备不符合要求。</w:t>
      </w:r>
    </w:p>
    <w:p w14:paraId="033E9CCF">
      <w:pPr>
        <w:pStyle w:val="54"/>
        <w:spacing w:before="24" w:after="24"/>
      </w:pPr>
      <w:r>
        <w:t>1.2.2 物联网传感器及设备：须支持MQTT、TCP/IP等标准通信协议。</w:t>
      </w:r>
    </w:p>
    <w:p w14:paraId="14125EC2">
      <w:pPr>
        <w:pStyle w:val="54"/>
        <w:spacing w:before="24" w:after="24"/>
      </w:pPr>
      <w:r>
        <w:t>1.2.3 人员考勤及门禁设备：须提供标准数据接口（API），确保将人员信息、考勤、通行记录等数据实时、准确推送至平台。</w:t>
      </w:r>
    </w:p>
    <w:p w14:paraId="1FC9FCBE">
      <w:pPr>
        <w:pStyle w:val="64"/>
        <w:spacing w:before="24" w:after="24"/>
        <w:rPr>
          <w:rFonts w:cs="Times New Roman"/>
        </w:rPr>
      </w:pPr>
      <w:bookmarkStart w:id="181" w:name="_Toc221894203"/>
      <w:r>
        <w:rPr>
          <w:rFonts w:cs="Times New Roman"/>
        </w:rPr>
        <w:t>2、核心功能实现要求</w:t>
      </w:r>
      <w:bookmarkEnd w:id="181"/>
    </w:p>
    <w:p w14:paraId="22F1BB59">
      <w:pPr>
        <w:pStyle w:val="54"/>
        <w:spacing w:before="24" w:after="24"/>
      </w:pPr>
      <w:r>
        <w:t>为支撑本平台对施工现场的全面感知与智能管控，承包人必须部署以下必要的智慧工地硬件设备，并确保其数据稳定接入本平台，以实现以下核心功能：</w:t>
      </w:r>
    </w:p>
    <w:p w14:paraId="2EAD1342">
      <w:pPr>
        <w:pStyle w:val="54"/>
        <w:spacing w:before="24" w:after="24"/>
      </w:pPr>
      <w:r>
        <w:t>2.1 人员管理：通过硬件接入，确保本平台能实现实名制信息采集、人脸识别考勤、门禁通行管理、人员在岗状态监测与指定区域人员闯入预警。</w:t>
      </w:r>
    </w:p>
    <w:p w14:paraId="40C8A138">
      <w:pPr>
        <w:pStyle w:val="54"/>
        <w:spacing w:before="24" w:after="24"/>
      </w:pPr>
      <w:r>
        <w:t>2.2 视频监控与管理：确保本平台能对视频画面进行实时调阅、录像回放与云台控制。同时，应积极应用视频智能分析技术，自动识别安全帽佩戴、区域入侵、明火烟雾等安全风险。</w:t>
      </w:r>
    </w:p>
    <w:p w14:paraId="6BDDBDCE">
      <w:pPr>
        <w:pStyle w:val="54"/>
        <w:spacing w:before="24" w:after="24"/>
      </w:pPr>
      <w:r>
        <w:t>2.3 起重机械设备安全监测：通过硬件接入，确保本平台能对塔式起重机、施工升降机等大型设备的起重量、幅度、高度、风速、倾角等关键运行参数实现实时监测、超限报警及操作人员身份认证管理。</w:t>
      </w:r>
    </w:p>
    <w:p w14:paraId="34C76738">
      <w:pPr>
        <w:pStyle w:val="54"/>
        <w:spacing w:before="24" w:after="24"/>
      </w:pPr>
      <w:r>
        <w:t>2.4 环境与绿色施工监测：通过硬件接入，确保本平台能实现对扬尘、噪声等环境指标的实时监测、超标报警，并确保平台能远程启动或自动联动现场喷淋降尘设备。</w:t>
      </w:r>
    </w:p>
    <w:p w14:paraId="60CFB206">
      <w:pPr>
        <w:pStyle w:val="54"/>
        <w:spacing w:before="24" w:after="24"/>
      </w:pPr>
      <w:r>
        <w:t>2.5 安全管理与危大工程监测：须为深基坑、高支模等危大工程部署智能监测传感器，确保本平台能对位移、倾角、应力等关键参数进行自动化监测与超限预警。</w:t>
      </w:r>
    </w:p>
    <w:p w14:paraId="1AED727D">
      <w:pPr>
        <w:pStyle w:val="54"/>
        <w:spacing w:before="24" w:after="24"/>
      </w:pPr>
      <w:r>
        <w:t>2.6 综合数据呈现：承包人须确保其所有硬件系统及数据，能有效支撑本平台的项目级数据统览大屏，实现对各标段关键指标的集中、动态与可视化展示。</w:t>
      </w:r>
    </w:p>
    <w:p w14:paraId="224DE4E0">
      <w:pPr>
        <w:pStyle w:val="64"/>
        <w:spacing w:before="24" w:after="24"/>
        <w:rPr>
          <w:rFonts w:cs="Times New Roman"/>
        </w:rPr>
      </w:pPr>
      <w:bookmarkStart w:id="182" w:name="_Toc221894204"/>
      <w:r>
        <w:rPr>
          <w:rFonts w:cs="Times New Roman"/>
        </w:rPr>
        <w:t>3、实施与运维保障</w:t>
      </w:r>
      <w:bookmarkEnd w:id="182"/>
    </w:p>
    <w:p w14:paraId="21523972">
      <w:pPr>
        <w:pStyle w:val="54"/>
        <w:spacing w:before="24" w:after="24"/>
      </w:pPr>
      <w:r>
        <w:t>3.1 方案审核：中标后，承包人须在规定时间内提交《智慧工地硬件部署与数据接入专项方案》及设备选型清单（需明确品牌、型号及对强制性协议的符合性声明），报请发包人审核批准，并作为后续硬件采购、安装及验收的依据。对于未经批准或不符合审核意见的设备，发包人有权不予认可，承包人须自费更换为合规设备。</w:t>
      </w:r>
    </w:p>
    <w:p w14:paraId="6A729C9C">
      <w:pPr>
        <w:pStyle w:val="54"/>
        <w:spacing w:before="24" w:after="24"/>
      </w:pPr>
      <w:r>
        <w:t>3.2 专职对接：承包人须在收到中标通知书后5个工作日内，以书面形式指定一名专职对接人，全面负责协调其合同标段内平台与硬件系统的部署、调试与运维工作。该对接人应具备相应的技术能力与决策授权，其联系信息须报管理单位备案。如需更换对接人，应提前5个工作日书面通知。</w:t>
      </w:r>
    </w:p>
    <w:p w14:paraId="49EEF07A">
      <w:pPr>
        <w:pStyle w:val="54"/>
        <w:spacing w:before="24" w:after="24"/>
      </w:pPr>
      <w:r>
        <w:t>3.3 运维与数据安全：承包人须负责其合同标段内所有硬件设备7×24小时的日常运维，确保设备稳定运行与数据持续、安全接入本平台。因硬件故障、运维中断或数据无法接入导致的一切后果和损失，由承包人承担。</w:t>
      </w:r>
    </w:p>
    <w:p w14:paraId="6E8C500F">
      <w:pPr>
        <w:pStyle w:val="64"/>
        <w:spacing w:before="24" w:after="24"/>
        <w:rPr>
          <w:rFonts w:cs="Times New Roman"/>
        </w:rPr>
      </w:pPr>
      <w:bookmarkStart w:id="183" w:name="_Toc221894205"/>
      <w:r>
        <w:rPr>
          <w:rFonts w:cs="Times New Roman"/>
        </w:rPr>
        <w:t>4、智慧工地技术要求见附件</w:t>
      </w:r>
      <w:bookmarkEnd w:id="183"/>
    </w:p>
    <w:p w14:paraId="17E84431">
      <w:pPr>
        <w:spacing w:before="24" w:after="24"/>
        <w:rPr>
          <w:rFonts w:ascii="Times New Roman" w:hAnsi="Times New Roman" w:cs="Times New Roman"/>
        </w:rPr>
      </w:pPr>
      <w:r>
        <w:rPr>
          <w:rFonts w:ascii="Times New Roman" w:hAnsi="Times New Roman" w:cs="Times New Roman"/>
        </w:rPr>
        <w:br w:type="page"/>
      </w:r>
    </w:p>
    <w:p w14:paraId="448CBF47">
      <w:pPr>
        <w:pStyle w:val="53"/>
        <w:spacing w:before="24" w:after="24"/>
        <w:rPr>
          <w:rFonts w:cs="Times New Roman"/>
        </w:rPr>
      </w:pPr>
      <w:bookmarkStart w:id="184" w:name="_Toc221894206"/>
      <w:r>
        <w:rPr>
          <w:rFonts w:cs="Times New Roman"/>
        </w:rPr>
        <w:t>十二、BIM技术实施要求</w:t>
      </w:r>
      <w:bookmarkEnd w:id="184"/>
    </w:p>
    <w:p w14:paraId="6692D876">
      <w:pPr>
        <w:pStyle w:val="62"/>
      </w:pPr>
      <w:bookmarkStart w:id="185" w:name="_Toc221894207"/>
      <w:r>
        <w:t>（一）BIM技术实施范围</w:t>
      </w:r>
      <w:bookmarkEnd w:id="185"/>
    </w:p>
    <w:p w14:paraId="2A87269F">
      <w:pPr>
        <w:pStyle w:val="64"/>
        <w:spacing w:before="24" w:after="24"/>
        <w:rPr>
          <w:rFonts w:cs="Times New Roman"/>
        </w:rPr>
      </w:pPr>
      <w:bookmarkStart w:id="186" w:name="_Toc221894208"/>
      <w:r>
        <w:rPr>
          <w:rFonts w:cs="Times New Roman"/>
        </w:rPr>
        <w:t>1、项目实施范围</w:t>
      </w:r>
      <w:bookmarkEnd w:id="186"/>
    </w:p>
    <w:p w14:paraId="1DE16FFD">
      <w:pPr>
        <w:pStyle w:val="54"/>
        <w:spacing w:before="24" w:after="24"/>
      </w:pPr>
      <w:r>
        <w:t>详见 “一、工程概况/3、建设内容及规模”。</w:t>
      </w:r>
    </w:p>
    <w:p w14:paraId="6C9208A9">
      <w:pPr>
        <w:pStyle w:val="64"/>
        <w:spacing w:before="24" w:after="24"/>
        <w:rPr>
          <w:rFonts w:cs="Times New Roman"/>
        </w:rPr>
      </w:pPr>
      <w:bookmarkStart w:id="187" w:name="_Toc221894209"/>
      <w:r>
        <w:rPr>
          <w:rFonts w:cs="Times New Roman"/>
        </w:rPr>
        <w:t>2、BIM工作实施范围</w:t>
      </w:r>
      <w:bookmarkEnd w:id="187"/>
    </w:p>
    <w:p w14:paraId="39632DBC">
      <w:pPr>
        <w:pStyle w:val="54"/>
        <w:spacing w:before="24" w:after="24"/>
      </w:pPr>
      <w:bookmarkStart w:id="188" w:name="_Hlk215086874"/>
      <w:r>
        <w:t>项目实施范围内各项目的设计阶段、施工阶段、竣工交付阶段的所有BIM应用工作。</w:t>
      </w:r>
    </w:p>
    <w:bookmarkEnd w:id="188"/>
    <w:p w14:paraId="2CDE6655">
      <w:pPr>
        <w:pStyle w:val="62"/>
      </w:pPr>
      <w:bookmarkStart w:id="189" w:name="_Toc221894210"/>
      <w:r>
        <w:t>（二）BIM技术实施目标</w:t>
      </w:r>
      <w:bookmarkEnd w:id="189"/>
    </w:p>
    <w:p w14:paraId="6B0886F8">
      <w:pPr>
        <w:pStyle w:val="64"/>
        <w:spacing w:before="24" w:after="24"/>
        <w:rPr>
          <w:rFonts w:cs="Times New Roman"/>
        </w:rPr>
      </w:pPr>
      <w:bookmarkStart w:id="190" w:name="_Toc221894211"/>
      <w:r>
        <w:rPr>
          <w:rFonts w:cs="Times New Roman"/>
        </w:rPr>
        <w:t>1、总体目标</w:t>
      </w:r>
      <w:bookmarkEnd w:id="190"/>
    </w:p>
    <w:p w14:paraId="412ECBDC">
      <w:pPr>
        <w:pStyle w:val="54"/>
        <w:spacing w:before="24" w:after="24"/>
      </w:pPr>
      <w:r>
        <w:t>（1）通过BIM技术实施，提高项目整体的设计质量，解决项目设计中的错、漏、碰、缺等缺陷问题。</w:t>
      </w:r>
    </w:p>
    <w:p w14:paraId="3B4F82D3">
      <w:pPr>
        <w:pStyle w:val="54"/>
        <w:spacing w:before="24" w:after="24"/>
      </w:pPr>
      <w:r>
        <w:t>（2）通过BIM模型进行方案与工艺模拟，实现项目“预建设”，从而减少返工、控制成本、缩短工期、提升运维效率，增强项目管理的科学性与高效性。</w:t>
      </w:r>
    </w:p>
    <w:p w14:paraId="745AB290">
      <w:pPr>
        <w:pStyle w:val="54"/>
        <w:spacing w:before="24" w:after="24"/>
      </w:pPr>
      <w:r>
        <w:t>（3）通过BIM技术实施，利用BIM模型进行信息集成、更新、管理，最终形成项目的数字化资产。</w:t>
      </w:r>
    </w:p>
    <w:p w14:paraId="56813D51">
      <w:pPr>
        <w:pStyle w:val="54"/>
        <w:spacing w:before="24" w:after="24"/>
      </w:pPr>
      <w:r>
        <w:t>（4）通过专项BIM技术构建市政道路、地下管网及建筑楼宇等数字模型，形成城市信息模型（CIM），打造“数字道路”“数字管网”“数字建筑”，最终构建德钦新城“智慧城市”运营系统。</w:t>
      </w:r>
    </w:p>
    <w:p w14:paraId="371A21C5">
      <w:pPr>
        <w:pStyle w:val="64"/>
        <w:spacing w:before="24" w:after="24"/>
        <w:rPr>
          <w:rFonts w:cs="Times New Roman"/>
        </w:rPr>
      </w:pPr>
      <w:bookmarkStart w:id="191" w:name="_Toc221894212"/>
      <w:r>
        <w:rPr>
          <w:rFonts w:cs="Times New Roman"/>
        </w:rPr>
        <w:t>2、质量目标</w:t>
      </w:r>
      <w:bookmarkEnd w:id="191"/>
    </w:p>
    <w:p w14:paraId="008E5824">
      <w:pPr>
        <w:pStyle w:val="54"/>
        <w:spacing w:before="24" w:after="24"/>
      </w:pPr>
      <w:r>
        <w:t>（1）符合《建筑信息模型应用统一标准》GB/T51212-2016、《建筑工程设计信息模型交付标准》《建筑工程设计信息模型分类和编码标准》《建筑信息模型施工应用标准》GB/T51235-2017及国家、地方和行业有关BIM设计咨询相关规范、标准和质量等要求，满足发包人对本项目BIM设计相关要求。</w:t>
      </w:r>
    </w:p>
    <w:p w14:paraId="6FD7FAD2">
      <w:pPr>
        <w:pStyle w:val="54"/>
        <w:spacing w:before="24" w:after="24"/>
      </w:pPr>
      <w:r>
        <w:t>（2）满足发包人规定的BIM实施方案及实施标准，包括模型结构分类、模型文件命名、模型构件、模型搭建规则、模型详细程度以及BIM协同管理平台实施，符合国家或行业相关标准、规范、规定及技术标准要求，同时满足发包人在实施过程中的其他要求。</w:t>
      </w:r>
    </w:p>
    <w:p w14:paraId="4BBE4EC3">
      <w:pPr>
        <w:pStyle w:val="64"/>
        <w:spacing w:before="24" w:after="24"/>
        <w:rPr>
          <w:rFonts w:cs="Times New Roman"/>
        </w:rPr>
      </w:pPr>
      <w:bookmarkStart w:id="192" w:name="_Toc221894213"/>
      <w:r>
        <w:rPr>
          <w:rFonts w:cs="Times New Roman"/>
        </w:rPr>
        <w:t>3、技术目标</w:t>
      </w:r>
      <w:bookmarkEnd w:id="192"/>
    </w:p>
    <w:p w14:paraId="5EE0799C">
      <w:pPr>
        <w:pStyle w:val="54"/>
        <w:spacing w:before="24" w:after="24"/>
      </w:pPr>
      <w:r>
        <w:t>项目各阶段建模深度应满足统一的BIM模型格式，并符合行业相关标准和要求，BIM模型规划方案及系统标准的定制应包括模型结构分类、模型文件组织、模型构件、模型搭建规则以及模型详细程度（LOD100~LOD500），施工及竣工阶段BIM模型深度应达到LOD500。</w:t>
      </w:r>
    </w:p>
    <w:p w14:paraId="64A64FA7">
      <w:pPr>
        <w:pStyle w:val="69"/>
        <w:rPr>
          <w:rFonts w:hint="eastAsia"/>
        </w:rPr>
      </w:pPr>
      <w:r>
        <w:t>BIM参考标准名称</w:t>
      </w:r>
    </w:p>
    <w:tbl>
      <w:tblPr>
        <w:tblStyle w:val="30"/>
        <w:tblW w:w="9254" w:type="dxa"/>
        <w:jc w:val="center"/>
        <w:tblBorders>
          <w:top w:val="thinThickSmallGap" w:color="0D0D0D" w:sz="12" w:space="0"/>
          <w:left w:val="thinThickSmallGap" w:color="0D0D0D" w:sz="12" w:space="0"/>
          <w:bottom w:val="thickThinSmallGap" w:color="0D0D0D" w:sz="12" w:space="0"/>
          <w:right w:val="thickThinSmallGap" w:color="0D0D0D" w:sz="12" w:space="0"/>
          <w:insideH w:val="single" w:color="auto" w:sz="4" w:space="0"/>
          <w:insideV w:val="single" w:color="auto" w:sz="4" w:space="0"/>
        </w:tblBorders>
        <w:tblLayout w:type="fixed"/>
        <w:tblCellMar>
          <w:top w:w="0" w:type="dxa"/>
          <w:left w:w="108" w:type="dxa"/>
          <w:bottom w:w="0" w:type="dxa"/>
          <w:right w:w="108" w:type="dxa"/>
        </w:tblCellMar>
      </w:tblPr>
      <w:tblGrid>
        <w:gridCol w:w="955"/>
        <w:gridCol w:w="8299"/>
      </w:tblGrid>
      <w:tr w14:paraId="7665E824">
        <w:tblPrEx>
          <w:tblBorders>
            <w:top w:val="thinThickSmallGap" w:color="0D0D0D" w:sz="12" w:space="0"/>
            <w:left w:val="thinThickSmallGap" w:color="0D0D0D" w:sz="12" w:space="0"/>
            <w:bottom w:val="thickThinSmallGap" w:color="0D0D0D" w:sz="12" w:space="0"/>
            <w:right w:val="thickThinSmallGap" w:color="0D0D0D" w:sz="12"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95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B4AAEC8">
            <w:pPr>
              <w:pStyle w:val="71"/>
              <w:spacing w:before="24" w:after="24"/>
              <w:rPr>
                <w:rFonts w:cs="Times New Roman"/>
              </w:rPr>
            </w:pPr>
            <w:r>
              <w:rPr>
                <w:rFonts w:cs="Times New Roman"/>
              </w:rPr>
              <w:t>序号</w:t>
            </w:r>
          </w:p>
        </w:tc>
        <w:tc>
          <w:tcPr>
            <w:tcW w:w="829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B2004D3">
            <w:pPr>
              <w:pStyle w:val="71"/>
              <w:spacing w:before="24" w:after="24"/>
              <w:rPr>
                <w:rFonts w:cs="Times New Roman"/>
              </w:rPr>
            </w:pPr>
            <w:r>
              <w:rPr>
                <w:rFonts w:cs="Times New Roman"/>
              </w:rPr>
              <w:t>参考标准名称</w:t>
            </w:r>
          </w:p>
        </w:tc>
      </w:tr>
      <w:tr w14:paraId="5B7D1E4D">
        <w:tblPrEx>
          <w:tblBorders>
            <w:top w:val="thinThickSmallGap" w:color="0D0D0D" w:sz="12" w:space="0"/>
            <w:left w:val="thinThickSmallGap" w:color="0D0D0D" w:sz="12" w:space="0"/>
            <w:bottom w:val="thickThinSmallGap" w:color="0D0D0D" w:sz="12" w:space="0"/>
            <w:right w:val="thickThinSmallGap" w:color="0D0D0D" w:sz="12"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tcBorders>
              <w:top w:val="single" w:color="auto" w:sz="4" w:space="0"/>
              <w:left w:val="single" w:color="auto" w:sz="4" w:space="0"/>
              <w:bottom w:val="single" w:color="auto" w:sz="4" w:space="0"/>
              <w:right w:val="single" w:color="auto" w:sz="4" w:space="0"/>
            </w:tcBorders>
            <w:vAlign w:val="center"/>
          </w:tcPr>
          <w:p w14:paraId="3E87B6F2">
            <w:pPr>
              <w:pStyle w:val="71"/>
              <w:spacing w:before="24" w:after="24"/>
              <w:rPr>
                <w:rFonts w:cs="Times New Roman"/>
              </w:rPr>
            </w:pPr>
            <w:r>
              <w:rPr>
                <w:rFonts w:cs="Times New Roman"/>
              </w:rPr>
              <w:t>1</w:t>
            </w:r>
          </w:p>
        </w:tc>
        <w:tc>
          <w:tcPr>
            <w:tcW w:w="8299" w:type="dxa"/>
            <w:tcBorders>
              <w:top w:val="single" w:color="auto" w:sz="4" w:space="0"/>
              <w:left w:val="single" w:color="auto" w:sz="4" w:space="0"/>
              <w:bottom w:val="single" w:color="auto" w:sz="4" w:space="0"/>
              <w:right w:val="single" w:color="auto" w:sz="4" w:space="0"/>
            </w:tcBorders>
            <w:vAlign w:val="center"/>
          </w:tcPr>
          <w:p w14:paraId="77824424">
            <w:pPr>
              <w:pStyle w:val="71"/>
              <w:spacing w:before="24" w:after="24"/>
              <w:rPr>
                <w:rFonts w:cs="Times New Roman"/>
              </w:rPr>
            </w:pPr>
            <w:r>
              <w:rPr>
                <w:rFonts w:cs="Times New Roman"/>
              </w:rPr>
              <w:t>国家标准《建筑信息模型应用统一标准》GB/T 51212-2016</w:t>
            </w:r>
          </w:p>
        </w:tc>
      </w:tr>
      <w:tr w14:paraId="4B3CCB5F">
        <w:tblPrEx>
          <w:tblBorders>
            <w:top w:val="thinThickSmallGap" w:color="0D0D0D" w:sz="12" w:space="0"/>
            <w:left w:val="thinThickSmallGap" w:color="0D0D0D" w:sz="12" w:space="0"/>
            <w:bottom w:val="thickThinSmallGap" w:color="0D0D0D" w:sz="12" w:space="0"/>
            <w:right w:val="thickThinSmallGap" w:color="0D0D0D" w:sz="12"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tcBorders>
              <w:top w:val="single" w:color="auto" w:sz="4" w:space="0"/>
              <w:left w:val="single" w:color="auto" w:sz="4" w:space="0"/>
              <w:bottom w:val="single" w:color="auto" w:sz="4" w:space="0"/>
              <w:right w:val="single" w:color="auto" w:sz="4" w:space="0"/>
            </w:tcBorders>
            <w:vAlign w:val="center"/>
          </w:tcPr>
          <w:p w14:paraId="6A004850">
            <w:pPr>
              <w:pStyle w:val="71"/>
              <w:spacing w:before="24" w:after="24"/>
              <w:rPr>
                <w:rFonts w:cs="Times New Roman"/>
              </w:rPr>
            </w:pPr>
            <w:r>
              <w:rPr>
                <w:rFonts w:cs="Times New Roman"/>
              </w:rPr>
              <w:t>2</w:t>
            </w:r>
          </w:p>
        </w:tc>
        <w:tc>
          <w:tcPr>
            <w:tcW w:w="8299" w:type="dxa"/>
            <w:tcBorders>
              <w:top w:val="single" w:color="auto" w:sz="4" w:space="0"/>
              <w:left w:val="single" w:color="auto" w:sz="4" w:space="0"/>
              <w:bottom w:val="single" w:color="auto" w:sz="4" w:space="0"/>
              <w:right w:val="single" w:color="auto" w:sz="4" w:space="0"/>
            </w:tcBorders>
            <w:vAlign w:val="center"/>
          </w:tcPr>
          <w:p w14:paraId="27E304D3">
            <w:pPr>
              <w:pStyle w:val="71"/>
              <w:spacing w:before="24" w:after="24"/>
              <w:rPr>
                <w:rFonts w:cs="Times New Roman"/>
              </w:rPr>
            </w:pPr>
            <w:r>
              <w:rPr>
                <w:rFonts w:cs="Times New Roman"/>
              </w:rPr>
              <w:t>国家标准《建筑信息模型施工应用标准》GB/T 51235-2017</w:t>
            </w:r>
          </w:p>
        </w:tc>
      </w:tr>
      <w:tr w14:paraId="0937D084">
        <w:tblPrEx>
          <w:tblBorders>
            <w:top w:val="thinThickSmallGap" w:color="0D0D0D" w:sz="12" w:space="0"/>
            <w:left w:val="thinThickSmallGap" w:color="0D0D0D" w:sz="12" w:space="0"/>
            <w:bottom w:val="thickThinSmallGap" w:color="0D0D0D" w:sz="12" w:space="0"/>
            <w:right w:val="thickThinSmallGap" w:color="0D0D0D" w:sz="12"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tcBorders>
              <w:top w:val="single" w:color="auto" w:sz="4" w:space="0"/>
              <w:left w:val="single" w:color="auto" w:sz="4" w:space="0"/>
              <w:bottom w:val="single" w:color="auto" w:sz="4" w:space="0"/>
              <w:right w:val="single" w:color="auto" w:sz="4" w:space="0"/>
            </w:tcBorders>
            <w:vAlign w:val="center"/>
          </w:tcPr>
          <w:p w14:paraId="7652E89B">
            <w:pPr>
              <w:pStyle w:val="71"/>
              <w:spacing w:before="24" w:after="24"/>
              <w:rPr>
                <w:rFonts w:cs="Times New Roman"/>
              </w:rPr>
            </w:pPr>
            <w:r>
              <w:rPr>
                <w:rFonts w:cs="Times New Roman"/>
              </w:rPr>
              <w:t>3</w:t>
            </w:r>
          </w:p>
        </w:tc>
        <w:tc>
          <w:tcPr>
            <w:tcW w:w="8299" w:type="dxa"/>
            <w:tcBorders>
              <w:top w:val="single" w:color="auto" w:sz="4" w:space="0"/>
              <w:left w:val="single" w:color="auto" w:sz="4" w:space="0"/>
              <w:bottom w:val="single" w:color="auto" w:sz="4" w:space="0"/>
              <w:right w:val="single" w:color="auto" w:sz="4" w:space="0"/>
            </w:tcBorders>
            <w:vAlign w:val="center"/>
          </w:tcPr>
          <w:p w14:paraId="65B26E21">
            <w:pPr>
              <w:pStyle w:val="71"/>
              <w:spacing w:before="24" w:after="24"/>
              <w:rPr>
                <w:rFonts w:cs="Times New Roman"/>
              </w:rPr>
            </w:pPr>
            <w:r>
              <w:rPr>
                <w:rFonts w:cs="Times New Roman"/>
              </w:rPr>
              <w:t>国家标准《建筑信息模型分类和编码标准》GB/T51269-2017</w:t>
            </w:r>
          </w:p>
        </w:tc>
      </w:tr>
      <w:tr w14:paraId="4BDB0C7C">
        <w:tblPrEx>
          <w:tblBorders>
            <w:top w:val="thinThickSmallGap" w:color="0D0D0D" w:sz="12" w:space="0"/>
            <w:left w:val="thinThickSmallGap" w:color="0D0D0D" w:sz="12" w:space="0"/>
            <w:bottom w:val="thickThinSmallGap" w:color="0D0D0D" w:sz="12" w:space="0"/>
            <w:right w:val="thickThinSmallGap" w:color="0D0D0D" w:sz="12"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tcBorders>
              <w:top w:val="single" w:color="auto" w:sz="4" w:space="0"/>
              <w:left w:val="single" w:color="auto" w:sz="4" w:space="0"/>
              <w:bottom w:val="single" w:color="auto" w:sz="4" w:space="0"/>
              <w:right w:val="single" w:color="auto" w:sz="4" w:space="0"/>
            </w:tcBorders>
            <w:vAlign w:val="center"/>
          </w:tcPr>
          <w:p w14:paraId="3D471A57">
            <w:pPr>
              <w:pStyle w:val="71"/>
              <w:spacing w:before="24" w:after="24"/>
              <w:rPr>
                <w:rFonts w:cs="Times New Roman"/>
              </w:rPr>
            </w:pPr>
            <w:r>
              <w:rPr>
                <w:rFonts w:cs="Times New Roman"/>
              </w:rPr>
              <w:t>4</w:t>
            </w:r>
          </w:p>
        </w:tc>
        <w:tc>
          <w:tcPr>
            <w:tcW w:w="8299" w:type="dxa"/>
            <w:tcBorders>
              <w:top w:val="single" w:color="auto" w:sz="4" w:space="0"/>
              <w:left w:val="single" w:color="auto" w:sz="4" w:space="0"/>
              <w:bottom w:val="single" w:color="auto" w:sz="4" w:space="0"/>
              <w:right w:val="single" w:color="auto" w:sz="4" w:space="0"/>
            </w:tcBorders>
            <w:vAlign w:val="center"/>
          </w:tcPr>
          <w:p w14:paraId="6BCA52E5">
            <w:pPr>
              <w:pStyle w:val="71"/>
              <w:spacing w:before="24" w:after="24"/>
              <w:rPr>
                <w:rFonts w:cs="Times New Roman"/>
              </w:rPr>
            </w:pPr>
            <w:r>
              <w:rPr>
                <w:rFonts w:cs="Times New Roman"/>
              </w:rPr>
              <w:t>国家标准《建筑信息模型设计交付标准》（GB/T51301-2018）</w:t>
            </w:r>
          </w:p>
        </w:tc>
      </w:tr>
      <w:tr w14:paraId="3EC85439">
        <w:tblPrEx>
          <w:tblBorders>
            <w:top w:val="thinThickSmallGap" w:color="0D0D0D" w:sz="12" w:space="0"/>
            <w:left w:val="thinThickSmallGap" w:color="0D0D0D" w:sz="12" w:space="0"/>
            <w:bottom w:val="thickThinSmallGap" w:color="0D0D0D" w:sz="12" w:space="0"/>
            <w:right w:val="thickThinSmallGap" w:color="0D0D0D" w:sz="12"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tcBorders>
              <w:top w:val="single" w:color="auto" w:sz="4" w:space="0"/>
              <w:left w:val="single" w:color="auto" w:sz="4" w:space="0"/>
              <w:bottom w:val="single" w:color="auto" w:sz="4" w:space="0"/>
              <w:right w:val="single" w:color="auto" w:sz="4" w:space="0"/>
            </w:tcBorders>
            <w:vAlign w:val="center"/>
          </w:tcPr>
          <w:p w14:paraId="2D7ABD1A">
            <w:pPr>
              <w:pStyle w:val="71"/>
              <w:spacing w:before="24" w:after="24"/>
              <w:rPr>
                <w:rFonts w:cs="Times New Roman"/>
              </w:rPr>
            </w:pPr>
            <w:r>
              <w:rPr>
                <w:rFonts w:cs="Times New Roman"/>
              </w:rPr>
              <w:t>5</w:t>
            </w:r>
          </w:p>
        </w:tc>
        <w:tc>
          <w:tcPr>
            <w:tcW w:w="8299" w:type="dxa"/>
            <w:tcBorders>
              <w:top w:val="single" w:color="auto" w:sz="4" w:space="0"/>
              <w:left w:val="single" w:color="auto" w:sz="4" w:space="0"/>
              <w:bottom w:val="single" w:color="auto" w:sz="4" w:space="0"/>
              <w:right w:val="single" w:color="auto" w:sz="4" w:space="0"/>
            </w:tcBorders>
            <w:vAlign w:val="center"/>
          </w:tcPr>
          <w:p w14:paraId="58B54FEE">
            <w:pPr>
              <w:pStyle w:val="71"/>
              <w:spacing w:before="24" w:after="24"/>
              <w:rPr>
                <w:rFonts w:cs="Times New Roman"/>
              </w:rPr>
            </w:pPr>
            <w:r>
              <w:rPr>
                <w:rFonts w:cs="Times New Roman"/>
              </w:rPr>
              <w:t>国家标准《建筑工程信息模型存储标准》</w:t>
            </w:r>
          </w:p>
        </w:tc>
      </w:tr>
      <w:tr w14:paraId="24D26660">
        <w:tblPrEx>
          <w:tblBorders>
            <w:top w:val="thinThickSmallGap" w:color="0D0D0D" w:sz="12" w:space="0"/>
            <w:left w:val="thinThickSmallGap" w:color="0D0D0D" w:sz="12" w:space="0"/>
            <w:bottom w:val="thickThinSmallGap" w:color="0D0D0D" w:sz="12" w:space="0"/>
            <w:right w:val="thickThinSmallGap" w:color="0D0D0D" w:sz="12"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tcBorders>
              <w:top w:val="single" w:color="auto" w:sz="4" w:space="0"/>
              <w:left w:val="single" w:color="auto" w:sz="4" w:space="0"/>
              <w:bottom w:val="single" w:color="auto" w:sz="4" w:space="0"/>
              <w:right w:val="single" w:color="auto" w:sz="4" w:space="0"/>
            </w:tcBorders>
            <w:vAlign w:val="center"/>
          </w:tcPr>
          <w:p w14:paraId="2653E4BA">
            <w:pPr>
              <w:pStyle w:val="71"/>
              <w:spacing w:before="24" w:after="24"/>
              <w:rPr>
                <w:rFonts w:cs="Times New Roman"/>
              </w:rPr>
            </w:pPr>
            <w:r>
              <w:rPr>
                <w:rFonts w:cs="Times New Roman"/>
              </w:rPr>
              <w:t>6</w:t>
            </w:r>
          </w:p>
        </w:tc>
        <w:tc>
          <w:tcPr>
            <w:tcW w:w="8299" w:type="dxa"/>
            <w:tcBorders>
              <w:top w:val="single" w:color="auto" w:sz="4" w:space="0"/>
              <w:left w:val="single" w:color="auto" w:sz="4" w:space="0"/>
              <w:bottom w:val="single" w:color="auto" w:sz="4" w:space="0"/>
              <w:right w:val="single" w:color="auto" w:sz="4" w:space="0"/>
            </w:tcBorders>
            <w:vAlign w:val="center"/>
          </w:tcPr>
          <w:p w14:paraId="7B7A7B20">
            <w:pPr>
              <w:pStyle w:val="71"/>
              <w:spacing w:before="24" w:after="24"/>
              <w:rPr>
                <w:rFonts w:cs="Times New Roman"/>
              </w:rPr>
            </w:pPr>
            <w:r>
              <w:rPr>
                <w:rFonts w:cs="Times New Roman"/>
              </w:rPr>
              <w:t>行业标准《建筑工程设计信息模型制图标准》（JGJ/T448-2018）</w:t>
            </w:r>
          </w:p>
        </w:tc>
      </w:tr>
    </w:tbl>
    <w:p w14:paraId="36AE2C25">
      <w:pPr>
        <w:pStyle w:val="64"/>
        <w:spacing w:before="24" w:after="24"/>
        <w:rPr>
          <w:rFonts w:cs="Times New Roman"/>
        </w:rPr>
      </w:pPr>
      <w:bookmarkStart w:id="193" w:name="_Toc221894214"/>
      <w:r>
        <w:rPr>
          <w:rFonts w:cs="Times New Roman"/>
        </w:rPr>
        <w:t>4、成效目标</w:t>
      </w:r>
      <w:bookmarkEnd w:id="193"/>
    </w:p>
    <w:p w14:paraId="52E054EB">
      <w:pPr>
        <w:pStyle w:val="54"/>
        <w:spacing w:before="24" w:after="24"/>
      </w:pPr>
      <w:r>
        <w:t>（1）缩短工期：通过项目全周期的流程与方式优化，实施精细化管理，减少返工与工期损失，加快整体进度。</w:t>
      </w:r>
    </w:p>
    <w:p w14:paraId="03268E2C">
      <w:pPr>
        <w:pStyle w:val="54"/>
        <w:spacing w:before="24" w:after="24"/>
      </w:pPr>
      <w:r>
        <w:t>（2）提升质量安全管理：借助BIM进行施工模拟、三维出图、数据库构建及可视化交底、远程查看与方案预演，显著提高质量与安全管理水平。</w:t>
      </w:r>
    </w:p>
    <w:p w14:paraId="7928D671">
      <w:pPr>
        <w:pStyle w:val="54"/>
        <w:spacing w:before="24" w:after="24"/>
      </w:pPr>
      <w:r>
        <w:t>（3）增强协同效率：各参建方通过BIM协同平台共享资料数据、完成在线审批，提升沟通效率，缩短文件传阅与审批时间。</w:t>
      </w:r>
    </w:p>
    <w:p w14:paraId="2EB7B08E">
      <w:pPr>
        <w:pStyle w:val="54"/>
        <w:spacing w:before="24" w:after="24"/>
      </w:pPr>
      <w:r>
        <w:t>（4）优化设计并控制造价：基于BIM模型发现并优化设计问题，减少实施阶段的变更与返工，并通过变更对比与数据分析支持科学决策，有效控制成本。</w:t>
      </w:r>
    </w:p>
    <w:p w14:paraId="57FCF999">
      <w:pPr>
        <w:pStyle w:val="54"/>
        <w:spacing w:before="24" w:after="24"/>
      </w:pPr>
      <w:r>
        <w:t>（5）形成数字资产：以BIM模型为核心载体，通过标准化数据流转，实现从几何模型到结构化数据资产的转化，支持项目精益建造、智慧运维与资产增值。</w:t>
      </w:r>
    </w:p>
    <w:p w14:paraId="1F003D66">
      <w:pPr>
        <w:pStyle w:val="54"/>
        <w:spacing w:before="24" w:after="24"/>
        <w:rPr>
          <w:b/>
        </w:rPr>
      </w:pPr>
      <w:r>
        <w:t>（6）提高运维效率与降低运维成本：利用竣工BIM模型数据库，提升城市运维管理效能，降低长期运营维护成本。</w:t>
      </w:r>
    </w:p>
    <w:p w14:paraId="67402B39">
      <w:pPr>
        <w:pStyle w:val="62"/>
      </w:pPr>
      <w:bookmarkStart w:id="194" w:name="_Toc221894215"/>
      <w:r>
        <w:t>（三）承包人承诺遵循以下BIM技术实施要求</w:t>
      </w:r>
      <w:bookmarkEnd w:id="194"/>
    </w:p>
    <w:p w14:paraId="23C71A40">
      <w:pPr>
        <w:pStyle w:val="64"/>
        <w:spacing w:before="24" w:after="24"/>
        <w:rPr>
          <w:rFonts w:cs="Times New Roman"/>
        </w:rPr>
      </w:pPr>
      <w:bookmarkStart w:id="195" w:name="_Toc221894216"/>
      <w:r>
        <w:rPr>
          <w:rFonts w:cs="Times New Roman"/>
        </w:rPr>
        <w:t>1、总体要求</w:t>
      </w:r>
      <w:bookmarkEnd w:id="195"/>
    </w:p>
    <w:p w14:paraId="2846DC59">
      <w:pPr>
        <w:pStyle w:val="54"/>
        <w:spacing w:before="24" w:after="24"/>
      </w:pPr>
      <w:r>
        <w:t>（1）本项目BIM技术的实施须遵循发包人制定的《BIM技术实施方案》《BIM技术建模标准》《BIM技术成果交付标准》等项目管理标准要求。</w:t>
      </w:r>
    </w:p>
    <w:p w14:paraId="418006AB">
      <w:pPr>
        <w:pStyle w:val="54"/>
        <w:spacing w:before="24" w:after="24"/>
      </w:pPr>
      <w:r>
        <w:t>（2）承包人遵循</w:t>
      </w:r>
      <w:r>
        <w:rPr>
          <w:rFonts w:hint="eastAsia"/>
        </w:rPr>
        <w:t>发包人</w:t>
      </w:r>
      <w:r>
        <w:t>BIM管理要求，配合</w:t>
      </w:r>
      <w:r>
        <w:rPr>
          <w:rFonts w:hint="eastAsia"/>
        </w:rPr>
        <w:t>发包人</w:t>
      </w:r>
      <w:r>
        <w:t>进行项目BIM技术实施，编制《项目BIM专项实施方案》并提交</w:t>
      </w:r>
      <w:r>
        <w:rPr>
          <w:rFonts w:hint="eastAsia"/>
        </w:rPr>
        <w:t>发包人</w:t>
      </w:r>
      <w:r>
        <w:t>审核，相关成果须通过</w:t>
      </w:r>
      <w:r>
        <w:rPr>
          <w:rFonts w:hint="eastAsia"/>
        </w:rPr>
        <w:t>发包人</w:t>
      </w:r>
      <w:r>
        <w:t>审核。</w:t>
      </w:r>
    </w:p>
    <w:p w14:paraId="678C9AC5">
      <w:pPr>
        <w:pStyle w:val="64"/>
        <w:spacing w:before="24" w:after="24"/>
        <w:rPr>
          <w:rFonts w:cs="Times New Roman"/>
        </w:rPr>
      </w:pPr>
      <w:bookmarkStart w:id="196" w:name="_Toc221894217"/>
      <w:r>
        <w:rPr>
          <w:rFonts w:cs="Times New Roman"/>
        </w:rPr>
        <w:t>2、组织要求</w:t>
      </w:r>
      <w:bookmarkEnd w:id="196"/>
    </w:p>
    <w:p w14:paraId="181A70CE">
      <w:pPr>
        <w:pStyle w:val="54"/>
        <w:spacing w:before="24" w:after="24"/>
      </w:pPr>
      <w:r>
        <w:t>承包人须设立配备满足本项目要求的BIM实施技术团队，建立组织架构及岗位责任制度，指定专职BIM实施负责人，负责执行及协调BIM工作，并定期向发包人汇报成果及实施进度。</w:t>
      </w:r>
    </w:p>
    <w:p w14:paraId="49663E44">
      <w:pPr>
        <w:pStyle w:val="64"/>
        <w:spacing w:before="24" w:after="24"/>
        <w:rPr>
          <w:rFonts w:cs="Times New Roman"/>
        </w:rPr>
      </w:pPr>
      <w:bookmarkStart w:id="197" w:name="_Toc221894218"/>
      <w:r>
        <w:rPr>
          <w:rFonts w:cs="Times New Roman"/>
        </w:rPr>
        <w:t>3、BIM技术要求</w:t>
      </w:r>
      <w:bookmarkEnd w:id="197"/>
    </w:p>
    <w:p w14:paraId="726F8FB7">
      <w:pPr>
        <w:pStyle w:val="54"/>
        <w:spacing w:before="24" w:after="24"/>
      </w:pPr>
      <w:r>
        <w:t>BlM模型是工程生命周期中各相关方共享的工程信息资源，也是各相关方在不同阶段制定决策的重要依据。承包人交付BIM模型满足如下几方面要求：</w:t>
      </w:r>
    </w:p>
    <w:p w14:paraId="3CE95797">
      <w:pPr>
        <w:pStyle w:val="54"/>
        <w:spacing w:before="24" w:after="24"/>
      </w:pPr>
      <w:r>
        <w:t>（1）基本要求</w:t>
      </w:r>
    </w:p>
    <w:p w14:paraId="5ED21C49">
      <w:pPr>
        <w:pStyle w:val="54"/>
        <w:spacing w:before="24" w:after="24"/>
      </w:pPr>
      <w:r>
        <w:t>a、模型完整性</w:t>
      </w:r>
    </w:p>
    <w:p w14:paraId="3D9413F5">
      <w:pPr>
        <w:pStyle w:val="54"/>
        <w:spacing w:before="24" w:after="24"/>
      </w:pPr>
      <w:r>
        <w:t>所提交的BIM模型，应包含的各专业模型、构件内容完整。包括以下内容：</w:t>
      </w:r>
    </w:p>
    <w:p w14:paraId="74CE6602">
      <w:pPr>
        <w:pStyle w:val="54"/>
        <w:spacing w:before="24" w:after="24"/>
      </w:pPr>
      <w:r>
        <w:rPr>
          <w:u w:val="single"/>
        </w:rPr>
        <w:t>专业内容完整。</w:t>
      </w:r>
      <w:r>
        <w:t>各专业内模型合并后各专业子模型内容须完整，各专业子模型空间位置关系正确，无错位、错层、缺失的现象。</w:t>
      </w:r>
    </w:p>
    <w:p w14:paraId="2D2C49EC">
      <w:pPr>
        <w:pStyle w:val="54"/>
        <w:spacing w:before="24" w:after="24"/>
      </w:pPr>
      <w:r>
        <w:rPr>
          <w:u w:val="single"/>
        </w:rPr>
        <w:t>构建信息完整。</w:t>
      </w:r>
      <w:r>
        <w:t>模型中的每一个构建属性中，须包含“构件身份”信息（名称、类型、部位）、几何信息（尺寸、面积、体积、质量等）、技术信息（材质、系数、等级等）、空间信息（坐标、高程）、生产信息（型号、制造商、供应商、保质期、采购日期等）、施工安装信息（施工日期、承包商、状态等）、运维信息（维护要求、维护周期、备件信息、序列号等）。</w:t>
      </w:r>
    </w:p>
    <w:p w14:paraId="171CAB7E">
      <w:pPr>
        <w:pStyle w:val="54"/>
        <w:spacing w:before="24" w:after="24"/>
      </w:pPr>
      <w:r>
        <w:t>b、模型规范性</w:t>
      </w:r>
    </w:p>
    <w:p w14:paraId="41EBC290">
      <w:pPr>
        <w:pStyle w:val="54"/>
        <w:spacing w:before="24" w:after="24"/>
      </w:pPr>
      <w:r>
        <w:t>所提交的BIM模型符合国家标准、行业规范、项目《BIM实施建模标准》等要求，包括建模软件、建模方法、参数数据、构件属性、构件编码、模型格式及版本规范。如以下要求：</w:t>
      </w:r>
    </w:p>
    <w:p w14:paraId="0C93D439">
      <w:pPr>
        <w:pStyle w:val="54"/>
        <w:spacing w:before="24" w:after="24"/>
      </w:pPr>
      <w:r>
        <w:t>c、模型构件拆分要求：</w:t>
      </w:r>
    </w:p>
    <w:p w14:paraId="1E41543E">
      <w:pPr>
        <w:pStyle w:val="54"/>
        <w:spacing w:before="24" w:after="24"/>
      </w:pPr>
      <w:r>
        <w:t>为保障BIM技术应用的有效性，满足多专业协同、施工模拟及后期运营维护的需求，建模时应采用“总体控制、分块建模、链接整合”的模型组织方式。最终提交的总项目模型应由多个拆分模型文件通过链接方式组合而成，以确保模型轻量化，便于各方协同工作、查阅与管理。</w:t>
      </w:r>
    </w:p>
    <w:p w14:paraId="4B499794">
      <w:pPr>
        <w:pStyle w:val="54"/>
        <w:spacing w:before="24" w:after="24"/>
      </w:pPr>
      <w:r>
        <w:t>模型拆分应具备清晰的逻辑层次，建议但不限于以下架构：</w:t>
      </w:r>
    </w:p>
    <w:p w14:paraId="6148E66D">
      <w:pPr>
        <w:pStyle w:val="54"/>
        <w:spacing w:before="24" w:after="24"/>
      </w:pPr>
      <w:r>
        <w:rPr>
          <w:rFonts w:eastAsia="微软雅黑"/>
        </w:rPr>
        <w:t>•</w:t>
      </w:r>
      <w:r>
        <w:t xml:space="preserve"> 区域划分</w:t>
      </w:r>
    </w:p>
    <w:p w14:paraId="44BCBF63">
      <w:pPr>
        <w:pStyle w:val="54"/>
        <w:spacing w:before="24" w:after="24"/>
      </w:pPr>
      <w:r>
        <w:t>房建类项目按项目功能区或物理分区进行拆分；市政类项目按整体性或功能性的起止桩号进行拆分。</w:t>
      </w:r>
    </w:p>
    <w:p w14:paraId="18070000">
      <w:pPr>
        <w:pStyle w:val="54"/>
        <w:spacing w:before="24" w:after="24"/>
      </w:pPr>
      <w:r>
        <w:rPr>
          <w:rFonts w:eastAsia="微软雅黑"/>
        </w:rPr>
        <w:t>•</w:t>
      </w:r>
      <w:r>
        <w:t xml:space="preserve"> 专业划分</w:t>
      </w:r>
    </w:p>
    <w:p w14:paraId="5F97BAF8">
      <w:pPr>
        <w:pStyle w:val="54"/>
        <w:spacing w:before="24" w:after="24"/>
      </w:pPr>
      <w:r>
        <w:t>在每个区域内，房建类项目按建筑、结构、机电等主要专业进行拆分；市政类项目按道路、桥隧、交通、电气、绿化、照明等主要专业进行拆分。</w:t>
      </w:r>
    </w:p>
    <w:p w14:paraId="5AEC940F">
      <w:pPr>
        <w:pStyle w:val="54"/>
        <w:spacing w:before="24" w:after="24"/>
      </w:pPr>
      <w:r>
        <w:rPr>
          <w:rFonts w:eastAsia="微软雅黑"/>
        </w:rPr>
        <w:t>•</w:t>
      </w:r>
      <w:r>
        <w:t xml:space="preserve"> 子系统拆分</w:t>
      </w:r>
    </w:p>
    <w:p w14:paraId="40F8E6BB">
      <w:pPr>
        <w:pStyle w:val="54"/>
        <w:spacing w:before="24" w:after="24"/>
      </w:pPr>
      <w:r>
        <w:t>房建类项目机电专业按照给排水、电气、暖通等子系统进行进一步拆分；市政类项目道路工程按照挖填方、桩基、路基路面、桥涵、交通、绿化、照明、附属等子系统进行进一步拆分。</w:t>
      </w:r>
    </w:p>
    <w:p w14:paraId="27B86143">
      <w:pPr>
        <w:pStyle w:val="54"/>
        <w:spacing w:before="24" w:after="24"/>
      </w:pPr>
      <w:r>
        <w:t>模型的拆分必须与项目的建筑形态和结构形式相匹配，原则上应按区域划分，拆分方式应体现建造逻辑，确保各区域模型相对独立，便于进行局部审查和施工模拟。</w:t>
      </w:r>
    </w:p>
    <w:p w14:paraId="67780C32">
      <w:pPr>
        <w:pStyle w:val="54"/>
        <w:spacing w:before="24" w:after="24"/>
      </w:pPr>
      <w:r>
        <w:t>应在操作手册中明确阐述其模型拆分与链接整合的具体技术路径，并承诺在项目实施及最终交付时，提供一个完整、协调且符合上述架构的总项目整合模型。</w:t>
      </w:r>
    </w:p>
    <w:p w14:paraId="0378D799">
      <w:pPr>
        <w:pStyle w:val="54"/>
        <w:spacing w:before="24" w:after="24"/>
      </w:pPr>
      <w:r>
        <w:t>模型构件编码要求：</w:t>
      </w:r>
    </w:p>
    <w:p w14:paraId="4DF3BE9B">
      <w:pPr>
        <w:pStyle w:val="54"/>
        <w:spacing w:before="24" w:after="24"/>
      </w:pPr>
      <w:r>
        <w:t>所有模型构件的编码必须规范、统一，确保信息在不同模型和不同阶段间传递的准确性。投标人须提交详细的构件命名手册，并至少满足以下要求：</w:t>
      </w:r>
    </w:p>
    <w:p w14:paraId="1AE418BA">
      <w:pPr>
        <w:pStyle w:val="54"/>
        <w:spacing w:before="24" w:after="24"/>
      </w:pPr>
      <w:r>
        <w:t>房建类项目</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9"/>
        <w:gridCol w:w="1520"/>
        <w:gridCol w:w="4345"/>
        <w:gridCol w:w="1681"/>
      </w:tblGrid>
      <w:tr w14:paraId="51FBF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519" w:type="dxa"/>
            <w:tcBorders>
              <w:top w:val="single" w:color="auto" w:sz="4" w:space="0"/>
              <w:left w:val="single" w:color="auto" w:sz="4" w:space="0"/>
              <w:bottom w:val="single" w:color="auto" w:sz="4" w:space="0"/>
              <w:right w:val="single" w:color="auto" w:sz="4" w:space="0"/>
            </w:tcBorders>
            <w:vAlign w:val="center"/>
          </w:tcPr>
          <w:p w14:paraId="3B9557EF">
            <w:pPr>
              <w:pStyle w:val="71"/>
              <w:spacing w:before="24" w:after="24"/>
              <w:rPr>
                <w:rFonts w:cs="Times New Roman"/>
              </w:rPr>
            </w:pPr>
            <w:r>
              <w:rPr>
                <w:rFonts w:cs="Times New Roman"/>
              </w:rPr>
              <w:t>专业类别</w:t>
            </w:r>
          </w:p>
        </w:tc>
        <w:tc>
          <w:tcPr>
            <w:tcW w:w="1520" w:type="dxa"/>
            <w:tcBorders>
              <w:top w:val="single" w:color="auto" w:sz="4" w:space="0"/>
              <w:left w:val="single" w:color="auto" w:sz="4" w:space="0"/>
              <w:bottom w:val="single" w:color="auto" w:sz="4" w:space="0"/>
              <w:right w:val="single" w:color="auto" w:sz="4" w:space="0"/>
            </w:tcBorders>
            <w:vAlign w:val="center"/>
          </w:tcPr>
          <w:p w14:paraId="6B5B46C9">
            <w:pPr>
              <w:pStyle w:val="71"/>
              <w:spacing w:before="24" w:after="24"/>
              <w:rPr>
                <w:rFonts w:cs="Times New Roman"/>
              </w:rPr>
            </w:pPr>
            <w:r>
              <w:rPr>
                <w:rFonts w:cs="Times New Roman"/>
              </w:rPr>
              <w:t>分项名称</w:t>
            </w:r>
          </w:p>
        </w:tc>
        <w:tc>
          <w:tcPr>
            <w:tcW w:w="4345" w:type="dxa"/>
            <w:tcBorders>
              <w:top w:val="single" w:color="auto" w:sz="4" w:space="0"/>
              <w:left w:val="single" w:color="auto" w:sz="4" w:space="0"/>
              <w:bottom w:val="single" w:color="auto" w:sz="4" w:space="0"/>
              <w:right w:val="single" w:color="auto" w:sz="4" w:space="0"/>
            </w:tcBorders>
            <w:vAlign w:val="center"/>
          </w:tcPr>
          <w:p w14:paraId="27B77A7E">
            <w:pPr>
              <w:pStyle w:val="71"/>
              <w:spacing w:before="24" w:after="24"/>
              <w:rPr>
                <w:rFonts w:cs="Times New Roman"/>
              </w:rPr>
            </w:pPr>
            <w:r>
              <w:rPr>
                <w:rFonts w:cs="Times New Roman"/>
              </w:rPr>
              <w:t>标准要求</w:t>
            </w:r>
          </w:p>
        </w:tc>
        <w:tc>
          <w:tcPr>
            <w:tcW w:w="1681" w:type="dxa"/>
            <w:tcBorders>
              <w:top w:val="single" w:color="auto" w:sz="4" w:space="0"/>
              <w:left w:val="single" w:color="auto" w:sz="4" w:space="0"/>
              <w:bottom w:val="single" w:color="auto" w:sz="4" w:space="0"/>
              <w:right w:val="single" w:color="auto" w:sz="4" w:space="0"/>
            </w:tcBorders>
            <w:vAlign w:val="center"/>
          </w:tcPr>
          <w:p w14:paraId="44E2F5C9">
            <w:pPr>
              <w:pStyle w:val="71"/>
              <w:spacing w:before="24" w:after="24"/>
              <w:rPr>
                <w:rFonts w:cs="Times New Roman"/>
              </w:rPr>
            </w:pPr>
            <w:r>
              <w:rPr>
                <w:rFonts w:cs="Times New Roman"/>
              </w:rPr>
              <w:t>备注</w:t>
            </w:r>
          </w:p>
        </w:tc>
      </w:tr>
      <w:tr w14:paraId="2BD93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vAlign w:val="center"/>
          </w:tcPr>
          <w:p w14:paraId="4AD29CEA">
            <w:pPr>
              <w:pStyle w:val="71"/>
              <w:spacing w:before="24" w:after="24"/>
              <w:rPr>
                <w:rFonts w:cs="Times New Roman"/>
              </w:rPr>
            </w:pPr>
            <w:r>
              <w:rPr>
                <w:rFonts w:cs="Times New Roman"/>
              </w:rPr>
              <w:t>建筑</w:t>
            </w:r>
          </w:p>
        </w:tc>
        <w:tc>
          <w:tcPr>
            <w:tcW w:w="1520" w:type="dxa"/>
            <w:tcBorders>
              <w:top w:val="single" w:color="auto" w:sz="4" w:space="0"/>
              <w:left w:val="single" w:color="auto" w:sz="4" w:space="0"/>
              <w:bottom w:val="single" w:color="auto" w:sz="4" w:space="0"/>
              <w:right w:val="single" w:color="auto" w:sz="4" w:space="0"/>
            </w:tcBorders>
            <w:vAlign w:val="center"/>
          </w:tcPr>
          <w:p w14:paraId="0CDA8731">
            <w:pPr>
              <w:pStyle w:val="71"/>
              <w:spacing w:before="24" w:after="24"/>
              <w:rPr>
                <w:rFonts w:cs="Times New Roman"/>
              </w:rPr>
            </w:pPr>
            <w:r>
              <w:rPr>
                <w:rFonts w:cs="Times New Roman"/>
              </w:rPr>
              <w:t>墙体</w:t>
            </w:r>
          </w:p>
        </w:tc>
        <w:tc>
          <w:tcPr>
            <w:tcW w:w="4345" w:type="dxa"/>
            <w:tcBorders>
              <w:top w:val="single" w:color="auto" w:sz="4" w:space="0"/>
              <w:left w:val="single" w:color="auto" w:sz="4" w:space="0"/>
              <w:bottom w:val="single" w:color="auto" w:sz="4" w:space="0"/>
              <w:right w:val="single" w:color="auto" w:sz="4" w:space="0"/>
            </w:tcBorders>
            <w:vAlign w:val="center"/>
          </w:tcPr>
          <w:p w14:paraId="36810F89">
            <w:pPr>
              <w:pStyle w:val="71"/>
              <w:spacing w:before="24" w:after="24"/>
              <w:rPr>
                <w:rFonts w:cs="Times New Roman"/>
              </w:rPr>
            </w:pPr>
            <w:r>
              <w:rPr>
                <w:rFonts w:cs="Times New Roman"/>
              </w:rPr>
              <w:t>材料-规格尺寸</w:t>
            </w:r>
          </w:p>
        </w:tc>
        <w:tc>
          <w:tcPr>
            <w:tcW w:w="1681" w:type="dxa"/>
            <w:tcBorders>
              <w:top w:val="single" w:color="auto" w:sz="4" w:space="0"/>
              <w:left w:val="single" w:color="auto" w:sz="4" w:space="0"/>
              <w:bottom w:val="single" w:color="auto" w:sz="4" w:space="0"/>
              <w:right w:val="single" w:color="auto" w:sz="4" w:space="0"/>
            </w:tcBorders>
            <w:vAlign w:val="center"/>
          </w:tcPr>
          <w:p w14:paraId="103DBF1B">
            <w:pPr>
              <w:pStyle w:val="71"/>
              <w:spacing w:before="24" w:after="24"/>
              <w:rPr>
                <w:rFonts w:cs="Times New Roman"/>
              </w:rPr>
            </w:pPr>
          </w:p>
        </w:tc>
      </w:tr>
      <w:tr w14:paraId="47641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vAlign w:val="center"/>
          </w:tcPr>
          <w:p w14:paraId="47CAF0BD">
            <w:pPr>
              <w:pStyle w:val="71"/>
              <w:spacing w:before="24" w:after="24"/>
              <w:rPr>
                <w:rFonts w:cs="Times New Roman"/>
              </w:rPr>
            </w:pPr>
            <w:r>
              <w:rPr>
                <w:rFonts w:cs="Times New Roman"/>
              </w:rPr>
              <w:t>建筑</w:t>
            </w:r>
          </w:p>
        </w:tc>
        <w:tc>
          <w:tcPr>
            <w:tcW w:w="1520" w:type="dxa"/>
            <w:tcBorders>
              <w:top w:val="single" w:color="auto" w:sz="4" w:space="0"/>
              <w:left w:val="single" w:color="auto" w:sz="4" w:space="0"/>
              <w:bottom w:val="single" w:color="auto" w:sz="4" w:space="0"/>
              <w:right w:val="single" w:color="auto" w:sz="4" w:space="0"/>
            </w:tcBorders>
            <w:vAlign w:val="center"/>
          </w:tcPr>
          <w:p w14:paraId="4F825874">
            <w:pPr>
              <w:pStyle w:val="71"/>
              <w:spacing w:before="24" w:after="24"/>
              <w:rPr>
                <w:rFonts w:cs="Times New Roman"/>
              </w:rPr>
            </w:pPr>
            <w:r>
              <w:rPr>
                <w:rFonts w:cs="Times New Roman"/>
              </w:rPr>
              <w:t>楼板</w:t>
            </w:r>
          </w:p>
        </w:tc>
        <w:tc>
          <w:tcPr>
            <w:tcW w:w="4345" w:type="dxa"/>
            <w:tcBorders>
              <w:top w:val="single" w:color="auto" w:sz="4" w:space="0"/>
              <w:left w:val="single" w:color="auto" w:sz="4" w:space="0"/>
              <w:bottom w:val="single" w:color="auto" w:sz="4" w:space="0"/>
              <w:right w:val="single" w:color="auto" w:sz="4" w:space="0"/>
            </w:tcBorders>
            <w:vAlign w:val="center"/>
          </w:tcPr>
          <w:p w14:paraId="56883328">
            <w:pPr>
              <w:pStyle w:val="71"/>
              <w:spacing w:before="24" w:after="24"/>
              <w:rPr>
                <w:rFonts w:cs="Times New Roman"/>
              </w:rPr>
            </w:pPr>
            <w:r>
              <w:rPr>
                <w:rFonts w:cs="Times New Roman"/>
              </w:rPr>
              <w:t>材料-规格尺寸</w:t>
            </w:r>
          </w:p>
        </w:tc>
        <w:tc>
          <w:tcPr>
            <w:tcW w:w="1681" w:type="dxa"/>
            <w:tcBorders>
              <w:top w:val="single" w:color="auto" w:sz="4" w:space="0"/>
              <w:left w:val="single" w:color="auto" w:sz="4" w:space="0"/>
              <w:bottom w:val="single" w:color="auto" w:sz="4" w:space="0"/>
              <w:right w:val="single" w:color="auto" w:sz="4" w:space="0"/>
            </w:tcBorders>
            <w:vAlign w:val="center"/>
          </w:tcPr>
          <w:p w14:paraId="421F5747">
            <w:pPr>
              <w:pStyle w:val="71"/>
              <w:spacing w:before="24" w:after="24"/>
              <w:rPr>
                <w:rFonts w:cs="Times New Roman"/>
              </w:rPr>
            </w:pPr>
          </w:p>
        </w:tc>
      </w:tr>
      <w:tr w14:paraId="71FA7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vAlign w:val="center"/>
          </w:tcPr>
          <w:p w14:paraId="670BE545">
            <w:pPr>
              <w:pStyle w:val="71"/>
              <w:spacing w:before="24" w:after="24"/>
              <w:rPr>
                <w:rFonts w:cs="Times New Roman"/>
              </w:rPr>
            </w:pPr>
            <w:r>
              <w:rPr>
                <w:rFonts w:cs="Times New Roman"/>
              </w:rPr>
              <w:t>建筑</w:t>
            </w:r>
          </w:p>
        </w:tc>
        <w:tc>
          <w:tcPr>
            <w:tcW w:w="1520" w:type="dxa"/>
            <w:tcBorders>
              <w:top w:val="single" w:color="auto" w:sz="4" w:space="0"/>
              <w:left w:val="single" w:color="auto" w:sz="4" w:space="0"/>
              <w:bottom w:val="single" w:color="auto" w:sz="4" w:space="0"/>
              <w:right w:val="single" w:color="auto" w:sz="4" w:space="0"/>
            </w:tcBorders>
            <w:vAlign w:val="center"/>
          </w:tcPr>
          <w:p w14:paraId="4E677A8E">
            <w:pPr>
              <w:pStyle w:val="71"/>
              <w:spacing w:before="24" w:after="24"/>
              <w:rPr>
                <w:rFonts w:cs="Times New Roman"/>
              </w:rPr>
            </w:pPr>
            <w:r>
              <w:rPr>
                <w:rFonts w:cs="Times New Roman"/>
              </w:rPr>
              <w:t>门窗</w:t>
            </w:r>
          </w:p>
        </w:tc>
        <w:tc>
          <w:tcPr>
            <w:tcW w:w="4345" w:type="dxa"/>
            <w:tcBorders>
              <w:top w:val="single" w:color="auto" w:sz="4" w:space="0"/>
              <w:left w:val="single" w:color="auto" w:sz="4" w:space="0"/>
              <w:bottom w:val="single" w:color="auto" w:sz="4" w:space="0"/>
              <w:right w:val="single" w:color="auto" w:sz="4" w:space="0"/>
            </w:tcBorders>
            <w:vAlign w:val="center"/>
          </w:tcPr>
          <w:p w14:paraId="72D58867">
            <w:pPr>
              <w:pStyle w:val="71"/>
              <w:spacing w:before="24" w:after="24"/>
              <w:rPr>
                <w:rFonts w:cs="Times New Roman"/>
              </w:rPr>
            </w:pPr>
            <w:r>
              <w:rPr>
                <w:rFonts w:cs="Times New Roman"/>
              </w:rPr>
              <w:t>材质-门窗类型-防火等级</w:t>
            </w:r>
          </w:p>
        </w:tc>
        <w:tc>
          <w:tcPr>
            <w:tcW w:w="1681" w:type="dxa"/>
            <w:tcBorders>
              <w:top w:val="single" w:color="auto" w:sz="4" w:space="0"/>
              <w:left w:val="single" w:color="auto" w:sz="4" w:space="0"/>
              <w:bottom w:val="single" w:color="auto" w:sz="4" w:space="0"/>
              <w:right w:val="single" w:color="auto" w:sz="4" w:space="0"/>
            </w:tcBorders>
            <w:vAlign w:val="center"/>
          </w:tcPr>
          <w:p w14:paraId="04DECA10">
            <w:pPr>
              <w:pStyle w:val="71"/>
              <w:spacing w:before="24" w:after="24"/>
              <w:rPr>
                <w:rFonts w:cs="Times New Roman"/>
              </w:rPr>
            </w:pPr>
            <w:r>
              <w:rPr>
                <w:rFonts w:cs="Times New Roman"/>
              </w:rPr>
              <w:t>区分单双扇</w:t>
            </w:r>
          </w:p>
        </w:tc>
      </w:tr>
      <w:tr w14:paraId="001B9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vAlign w:val="center"/>
          </w:tcPr>
          <w:p w14:paraId="30DA1D3F">
            <w:pPr>
              <w:pStyle w:val="71"/>
              <w:spacing w:before="24" w:after="24"/>
              <w:rPr>
                <w:rFonts w:cs="Times New Roman"/>
              </w:rPr>
            </w:pPr>
            <w:r>
              <w:rPr>
                <w:rFonts w:cs="Times New Roman"/>
              </w:rPr>
              <w:t>建筑</w:t>
            </w:r>
          </w:p>
        </w:tc>
        <w:tc>
          <w:tcPr>
            <w:tcW w:w="1520" w:type="dxa"/>
            <w:tcBorders>
              <w:top w:val="single" w:color="auto" w:sz="4" w:space="0"/>
              <w:left w:val="single" w:color="auto" w:sz="4" w:space="0"/>
              <w:bottom w:val="single" w:color="auto" w:sz="4" w:space="0"/>
              <w:right w:val="single" w:color="auto" w:sz="4" w:space="0"/>
            </w:tcBorders>
            <w:vAlign w:val="center"/>
          </w:tcPr>
          <w:p w14:paraId="3AA0C8F0">
            <w:pPr>
              <w:pStyle w:val="71"/>
              <w:spacing w:before="24" w:after="24"/>
              <w:rPr>
                <w:rFonts w:cs="Times New Roman"/>
              </w:rPr>
            </w:pPr>
            <w:r>
              <w:rPr>
                <w:rFonts w:cs="Times New Roman"/>
              </w:rPr>
              <w:t>其他构件</w:t>
            </w:r>
          </w:p>
        </w:tc>
        <w:tc>
          <w:tcPr>
            <w:tcW w:w="4345" w:type="dxa"/>
            <w:tcBorders>
              <w:top w:val="single" w:color="auto" w:sz="4" w:space="0"/>
              <w:left w:val="single" w:color="auto" w:sz="4" w:space="0"/>
              <w:bottom w:val="single" w:color="auto" w:sz="4" w:space="0"/>
              <w:right w:val="single" w:color="auto" w:sz="4" w:space="0"/>
            </w:tcBorders>
            <w:vAlign w:val="center"/>
          </w:tcPr>
          <w:p w14:paraId="45496ADD">
            <w:pPr>
              <w:pStyle w:val="71"/>
              <w:spacing w:before="24" w:after="24"/>
              <w:rPr>
                <w:rFonts w:cs="Times New Roman"/>
              </w:rPr>
            </w:pPr>
            <w:r>
              <w:rPr>
                <w:rFonts w:cs="Times New Roman"/>
              </w:rPr>
              <w:t>与设计文件保持一致</w:t>
            </w:r>
          </w:p>
        </w:tc>
        <w:tc>
          <w:tcPr>
            <w:tcW w:w="1681" w:type="dxa"/>
            <w:tcBorders>
              <w:top w:val="single" w:color="auto" w:sz="4" w:space="0"/>
              <w:left w:val="single" w:color="auto" w:sz="4" w:space="0"/>
              <w:bottom w:val="single" w:color="auto" w:sz="4" w:space="0"/>
              <w:right w:val="single" w:color="auto" w:sz="4" w:space="0"/>
            </w:tcBorders>
            <w:vAlign w:val="center"/>
          </w:tcPr>
          <w:p w14:paraId="2C958BA9">
            <w:pPr>
              <w:pStyle w:val="71"/>
              <w:spacing w:before="24" w:after="24"/>
              <w:rPr>
                <w:rFonts w:cs="Times New Roman"/>
              </w:rPr>
            </w:pPr>
          </w:p>
        </w:tc>
      </w:tr>
      <w:tr w14:paraId="220D0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vAlign w:val="center"/>
          </w:tcPr>
          <w:p w14:paraId="3C97DA6A">
            <w:pPr>
              <w:pStyle w:val="71"/>
              <w:spacing w:before="24" w:after="24"/>
              <w:rPr>
                <w:rFonts w:cs="Times New Roman"/>
              </w:rPr>
            </w:pPr>
            <w:r>
              <w:rPr>
                <w:rFonts w:cs="Times New Roman"/>
              </w:rPr>
              <w:t>结构</w:t>
            </w:r>
          </w:p>
        </w:tc>
        <w:tc>
          <w:tcPr>
            <w:tcW w:w="1520" w:type="dxa"/>
            <w:tcBorders>
              <w:top w:val="single" w:color="auto" w:sz="4" w:space="0"/>
              <w:left w:val="single" w:color="auto" w:sz="4" w:space="0"/>
              <w:bottom w:val="single" w:color="auto" w:sz="4" w:space="0"/>
              <w:right w:val="single" w:color="auto" w:sz="4" w:space="0"/>
            </w:tcBorders>
            <w:vAlign w:val="center"/>
          </w:tcPr>
          <w:p w14:paraId="28A2EDAD">
            <w:pPr>
              <w:pStyle w:val="71"/>
              <w:spacing w:before="24" w:after="24"/>
              <w:rPr>
                <w:rFonts w:cs="Times New Roman"/>
              </w:rPr>
            </w:pPr>
            <w:r>
              <w:rPr>
                <w:rFonts w:cs="Times New Roman"/>
              </w:rPr>
              <w:t>墙体</w:t>
            </w:r>
          </w:p>
        </w:tc>
        <w:tc>
          <w:tcPr>
            <w:tcW w:w="4345" w:type="dxa"/>
            <w:tcBorders>
              <w:top w:val="single" w:color="auto" w:sz="4" w:space="0"/>
              <w:left w:val="single" w:color="auto" w:sz="4" w:space="0"/>
              <w:bottom w:val="single" w:color="auto" w:sz="4" w:space="0"/>
              <w:right w:val="single" w:color="auto" w:sz="4" w:space="0"/>
            </w:tcBorders>
            <w:vAlign w:val="center"/>
          </w:tcPr>
          <w:p w14:paraId="0D84CD8F">
            <w:pPr>
              <w:pStyle w:val="71"/>
              <w:spacing w:before="24" w:after="24"/>
              <w:rPr>
                <w:rFonts w:cs="Times New Roman"/>
              </w:rPr>
            </w:pPr>
            <w:r>
              <w:rPr>
                <w:rFonts w:cs="Times New Roman"/>
              </w:rPr>
              <w:t>材料-用途-规格尺寸</w:t>
            </w:r>
          </w:p>
        </w:tc>
        <w:tc>
          <w:tcPr>
            <w:tcW w:w="1681" w:type="dxa"/>
            <w:tcBorders>
              <w:top w:val="single" w:color="auto" w:sz="4" w:space="0"/>
              <w:left w:val="single" w:color="auto" w:sz="4" w:space="0"/>
              <w:bottom w:val="single" w:color="auto" w:sz="4" w:space="0"/>
              <w:right w:val="single" w:color="auto" w:sz="4" w:space="0"/>
            </w:tcBorders>
            <w:vAlign w:val="center"/>
          </w:tcPr>
          <w:p w14:paraId="3ACE93E8">
            <w:pPr>
              <w:pStyle w:val="71"/>
              <w:spacing w:before="24" w:after="24"/>
              <w:rPr>
                <w:rFonts w:cs="Times New Roman"/>
              </w:rPr>
            </w:pPr>
          </w:p>
        </w:tc>
      </w:tr>
      <w:tr w14:paraId="0A0C5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vAlign w:val="center"/>
          </w:tcPr>
          <w:p w14:paraId="687348F7">
            <w:pPr>
              <w:pStyle w:val="71"/>
              <w:spacing w:before="24" w:after="24"/>
              <w:rPr>
                <w:rFonts w:cs="Times New Roman"/>
              </w:rPr>
            </w:pPr>
            <w:r>
              <w:rPr>
                <w:rFonts w:cs="Times New Roman"/>
              </w:rPr>
              <w:t>结构</w:t>
            </w:r>
          </w:p>
        </w:tc>
        <w:tc>
          <w:tcPr>
            <w:tcW w:w="1520" w:type="dxa"/>
            <w:tcBorders>
              <w:top w:val="single" w:color="auto" w:sz="4" w:space="0"/>
              <w:left w:val="single" w:color="auto" w:sz="4" w:space="0"/>
              <w:bottom w:val="single" w:color="auto" w:sz="4" w:space="0"/>
              <w:right w:val="single" w:color="auto" w:sz="4" w:space="0"/>
            </w:tcBorders>
            <w:vAlign w:val="center"/>
          </w:tcPr>
          <w:p w14:paraId="29C32617">
            <w:pPr>
              <w:pStyle w:val="71"/>
              <w:spacing w:before="24" w:after="24"/>
              <w:rPr>
                <w:rFonts w:cs="Times New Roman"/>
              </w:rPr>
            </w:pPr>
            <w:r>
              <w:rPr>
                <w:rFonts w:cs="Times New Roman"/>
              </w:rPr>
              <w:t>楼板</w:t>
            </w:r>
          </w:p>
        </w:tc>
        <w:tc>
          <w:tcPr>
            <w:tcW w:w="4345" w:type="dxa"/>
            <w:tcBorders>
              <w:top w:val="single" w:color="auto" w:sz="4" w:space="0"/>
              <w:left w:val="single" w:color="auto" w:sz="4" w:space="0"/>
              <w:bottom w:val="single" w:color="auto" w:sz="4" w:space="0"/>
              <w:right w:val="single" w:color="auto" w:sz="4" w:space="0"/>
            </w:tcBorders>
            <w:vAlign w:val="center"/>
          </w:tcPr>
          <w:p w14:paraId="3E990B95">
            <w:pPr>
              <w:pStyle w:val="71"/>
              <w:spacing w:before="24" w:after="24"/>
              <w:rPr>
                <w:rFonts w:cs="Times New Roman"/>
              </w:rPr>
            </w:pPr>
            <w:r>
              <w:rPr>
                <w:rFonts w:cs="Times New Roman"/>
              </w:rPr>
              <w:t>材料-规格尺寸</w:t>
            </w:r>
          </w:p>
        </w:tc>
        <w:tc>
          <w:tcPr>
            <w:tcW w:w="1681" w:type="dxa"/>
            <w:tcBorders>
              <w:top w:val="single" w:color="auto" w:sz="4" w:space="0"/>
              <w:left w:val="single" w:color="auto" w:sz="4" w:space="0"/>
              <w:bottom w:val="single" w:color="auto" w:sz="4" w:space="0"/>
              <w:right w:val="single" w:color="auto" w:sz="4" w:space="0"/>
            </w:tcBorders>
            <w:vAlign w:val="center"/>
          </w:tcPr>
          <w:p w14:paraId="105E3B0F">
            <w:pPr>
              <w:pStyle w:val="71"/>
              <w:spacing w:before="24" w:after="24"/>
              <w:rPr>
                <w:rFonts w:cs="Times New Roman"/>
              </w:rPr>
            </w:pPr>
          </w:p>
        </w:tc>
      </w:tr>
      <w:tr w14:paraId="29A40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vAlign w:val="center"/>
          </w:tcPr>
          <w:p w14:paraId="17B6B70A">
            <w:pPr>
              <w:pStyle w:val="71"/>
              <w:spacing w:before="24" w:after="24"/>
              <w:rPr>
                <w:rFonts w:cs="Times New Roman"/>
              </w:rPr>
            </w:pPr>
            <w:r>
              <w:rPr>
                <w:rFonts w:cs="Times New Roman"/>
              </w:rPr>
              <w:t>结构</w:t>
            </w:r>
          </w:p>
        </w:tc>
        <w:tc>
          <w:tcPr>
            <w:tcW w:w="1520" w:type="dxa"/>
            <w:tcBorders>
              <w:top w:val="single" w:color="auto" w:sz="4" w:space="0"/>
              <w:left w:val="single" w:color="auto" w:sz="4" w:space="0"/>
              <w:bottom w:val="single" w:color="auto" w:sz="4" w:space="0"/>
              <w:right w:val="single" w:color="auto" w:sz="4" w:space="0"/>
            </w:tcBorders>
            <w:vAlign w:val="center"/>
          </w:tcPr>
          <w:p w14:paraId="5798C290">
            <w:pPr>
              <w:pStyle w:val="71"/>
              <w:spacing w:before="24" w:after="24"/>
              <w:rPr>
                <w:rFonts w:cs="Times New Roman"/>
              </w:rPr>
            </w:pPr>
            <w:r>
              <w:rPr>
                <w:rFonts w:cs="Times New Roman"/>
              </w:rPr>
              <w:t>柱</w:t>
            </w:r>
          </w:p>
        </w:tc>
        <w:tc>
          <w:tcPr>
            <w:tcW w:w="4345" w:type="dxa"/>
            <w:tcBorders>
              <w:top w:val="single" w:color="auto" w:sz="4" w:space="0"/>
              <w:left w:val="single" w:color="auto" w:sz="4" w:space="0"/>
              <w:bottom w:val="single" w:color="auto" w:sz="4" w:space="0"/>
              <w:right w:val="single" w:color="auto" w:sz="4" w:space="0"/>
            </w:tcBorders>
            <w:vAlign w:val="center"/>
          </w:tcPr>
          <w:p w14:paraId="1A6CF68A">
            <w:pPr>
              <w:pStyle w:val="71"/>
              <w:spacing w:before="24" w:after="24"/>
              <w:rPr>
                <w:rFonts w:cs="Times New Roman"/>
              </w:rPr>
            </w:pPr>
            <w:r>
              <w:rPr>
                <w:rFonts w:cs="Times New Roman"/>
              </w:rPr>
              <w:t>材质-截面类型-编号-规格尺寸</w:t>
            </w:r>
          </w:p>
        </w:tc>
        <w:tc>
          <w:tcPr>
            <w:tcW w:w="1681" w:type="dxa"/>
            <w:tcBorders>
              <w:top w:val="single" w:color="auto" w:sz="4" w:space="0"/>
              <w:left w:val="single" w:color="auto" w:sz="4" w:space="0"/>
              <w:bottom w:val="single" w:color="auto" w:sz="4" w:space="0"/>
              <w:right w:val="single" w:color="auto" w:sz="4" w:space="0"/>
            </w:tcBorders>
            <w:vAlign w:val="center"/>
          </w:tcPr>
          <w:p w14:paraId="613AD902">
            <w:pPr>
              <w:pStyle w:val="71"/>
              <w:spacing w:before="24" w:after="24"/>
              <w:rPr>
                <w:rFonts w:cs="Times New Roman"/>
              </w:rPr>
            </w:pPr>
          </w:p>
        </w:tc>
      </w:tr>
      <w:tr w14:paraId="3EC4F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vAlign w:val="center"/>
          </w:tcPr>
          <w:p w14:paraId="150D634C">
            <w:pPr>
              <w:pStyle w:val="71"/>
              <w:spacing w:before="24" w:after="24"/>
              <w:rPr>
                <w:rFonts w:cs="Times New Roman"/>
              </w:rPr>
            </w:pPr>
            <w:r>
              <w:rPr>
                <w:rFonts w:cs="Times New Roman"/>
              </w:rPr>
              <w:t>结构</w:t>
            </w:r>
          </w:p>
        </w:tc>
        <w:tc>
          <w:tcPr>
            <w:tcW w:w="1520" w:type="dxa"/>
            <w:tcBorders>
              <w:top w:val="single" w:color="auto" w:sz="4" w:space="0"/>
              <w:left w:val="single" w:color="auto" w:sz="4" w:space="0"/>
              <w:bottom w:val="single" w:color="auto" w:sz="4" w:space="0"/>
              <w:right w:val="single" w:color="auto" w:sz="4" w:space="0"/>
            </w:tcBorders>
            <w:vAlign w:val="center"/>
          </w:tcPr>
          <w:p w14:paraId="3DA70E63">
            <w:pPr>
              <w:pStyle w:val="71"/>
              <w:spacing w:before="24" w:after="24"/>
              <w:rPr>
                <w:rFonts w:cs="Times New Roman"/>
              </w:rPr>
            </w:pPr>
            <w:r>
              <w:rPr>
                <w:rFonts w:cs="Times New Roman"/>
              </w:rPr>
              <w:t>梁</w:t>
            </w:r>
          </w:p>
        </w:tc>
        <w:tc>
          <w:tcPr>
            <w:tcW w:w="4345" w:type="dxa"/>
            <w:tcBorders>
              <w:top w:val="single" w:color="auto" w:sz="4" w:space="0"/>
              <w:left w:val="single" w:color="auto" w:sz="4" w:space="0"/>
              <w:bottom w:val="single" w:color="auto" w:sz="4" w:space="0"/>
              <w:right w:val="single" w:color="auto" w:sz="4" w:space="0"/>
            </w:tcBorders>
          </w:tcPr>
          <w:p w14:paraId="4CDFB325">
            <w:pPr>
              <w:pStyle w:val="71"/>
              <w:spacing w:before="24" w:after="24"/>
              <w:rPr>
                <w:rFonts w:cs="Times New Roman"/>
              </w:rPr>
            </w:pPr>
            <w:r>
              <w:rPr>
                <w:rFonts w:cs="Times New Roman"/>
              </w:rPr>
              <w:t>材质-截面类型-编号-规格尺寸</w:t>
            </w:r>
          </w:p>
        </w:tc>
        <w:tc>
          <w:tcPr>
            <w:tcW w:w="1681" w:type="dxa"/>
            <w:tcBorders>
              <w:top w:val="single" w:color="auto" w:sz="4" w:space="0"/>
              <w:left w:val="single" w:color="auto" w:sz="4" w:space="0"/>
              <w:bottom w:val="single" w:color="auto" w:sz="4" w:space="0"/>
              <w:right w:val="single" w:color="auto" w:sz="4" w:space="0"/>
            </w:tcBorders>
            <w:vAlign w:val="center"/>
          </w:tcPr>
          <w:p w14:paraId="3CE881B6">
            <w:pPr>
              <w:pStyle w:val="71"/>
              <w:spacing w:before="24" w:after="24"/>
              <w:rPr>
                <w:rFonts w:cs="Times New Roman"/>
              </w:rPr>
            </w:pPr>
          </w:p>
        </w:tc>
      </w:tr>
      <w:tr w14:paraId="1916C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vAlign w:val="center"/>
          </w:tcPr>
          <w:p w14:paraId="24A50623">
            <w:pPr>
              <w:pStyle w:val="71"/>
              <w:spacing w:before="24" w:after="24"/>
              <w:rPr>
                <w:rFonts w:cs="Times New Roman"/>
              </w:rPr>
            </w:pPr>
            <w:r>
              <w:rPr>
                <w:rFonts w:cs="Times New Roman"/>
              </w:rPr>
              <w:t>结构</w:t>
            </w:r>
          </w:p>
        </w:tc>
        <w:tc>
          <w:tcPr>
            <w:tcW w:w="1520" w:type="dxa"/>
            <w:tcBorders>
              <w:top w:val="single" w:color="auto" w:sz="4" w:space="0"/>
              <w:left w:val="single" w:color="auto" w:sz="4" w:space="0"/>
              <w:bottom w:val="single" w:color="auto" w:sz="4" w:space="0"/>
              <w:right w:val="single" w:color="auto" w:sz="4" w:space="0"/>
            </w:tcBorders>
            <w:vAlign w:val="center"/>
          </w:tcPr>
          <w:p w14:paraId="69E932FF">
            <w:pPr>
              <w:pStyle w:val="71"/>
              <w:spacing w:before="24" w:after="24"/>
              <w:rPr>
                <w:rFonts w:cs="Times New Roman"/>
              </w:rPr>
            </w:pPr>
            <w:r>
              <w:rPr>
                <w:rFonts w:cs="Times New Roman"/>
              </w:rPr>
              <w:t>基础</w:t>
            </w:r>
          </w:p>
        </w:tc>
        <w:tc>
          <w:tcPr>
            <w:tcW w:w="4345" w:type="dxa"/>
            <w:tcBorders>
              <w:top w:val="single" w:color="auto" w:sz="4" w:space="0"/>
              <w:left w:val="single" w:color="auto" w:sz="4" w:space="0"/>
              <w:bottom w:val="single" w:color="auto" w:sz="4" w:space="0"/>
              <w:right w:val="single" w:color="auto" w:sz="4" w:space="0"/>
            </w:tcBorders>
          </w:tcPr>
          <w:p w14:paraId="32564903">
            <w:pPr>
              <w:pStyle w:val="71"/>
              <w:spacing w:before="24" w:after="24"/>
              <w:rPr>
                <w:rFonts w:cs="Times New Roman"/>
              </w:rPr>
            </w:pPr>
            <w:r>
              <w:rPr>
                <w:rFonts w:cs="Times New Roman"/>
              </w:rPr>
              <w:t>材质-基础类型-编号-规格尺寸</w:t>
            </w:r>
          </w:p>
        </w:tc>
        <w:tc>
          <w:tcPr>
            <w:tcW w:w="1681" w:type="dxa"/>
            <w:tcBorders>
              <w:top w:val="single" w:color="auto" w:sz="4" w:space="0"/>
              <w:left w:val="single" w:color="auto" w:sz="4" w:space="0"/>
              <w:bottom w:val="single" w:color="auto" w:sz="4" w:space="0"/>
              <w:right w:val="single" w:color="auto" w:sz="4" w:space="0"/>
            </w:tcBorders>
            <w:vAlign w:val="center"/>
          </w:tcPr>
          <w:p w14:paraId="333BD2E7">
            <w:pPr>
              <w:pStyle w:val="71"/>
              <w:spacing w:before="24" w:after="24"/>
              <w:rPr>
                <w:rFonts w:cs="Times New Roman"/>
              </w:rPr>
            </w:pPr>
          </w:p>
        </w:tc>
      </w:tr>
      <w:tr w14:paraId="3FEFA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vAlign w:val="center"/>
          </w:tcPr>
          <w:p w14:paraId="19EE7753">
            <w:pPr>
              <w:pStyle w:val="71"/>
              <w:spacing w:before="24" w:after="24"/>
              <w:rPr>
                <w:rFonts w:cs="Times New Roman"/>
              </w:rPr>
            </w:pPr>
            <w:r>
              <w:rPr>
                <w:rFonts w:cs="Times New Roman"/>
              </w:rPr>
              <w:t>结构</w:t>
            </w:r>
          </w:p>
        </w:tc>
        <w:tc>
          <w:tcPr>
            <w:tcW w:w="1520" w:type="dxa"/>
            <w:tcBorders>
              <w:top w:val="single" w:color="auto" w:sz="4" w:space="0"/>
              <w:left w:val="single" w:color="auto" w:sz="4" w:space="0"/>
              <w:bottom w:val="single" w:color="auto" w:sz="4" w:space="0"/>
              <w:right w:val="single" w:color="auto" w:sz="4" w:space="0"/>
            </w:tcBorders>
            <w:vAlign w:val="center"/>
          </w:tcPr>
          <w:p w14:paraId="6C6457E2">
            <w:pPr>
              <w:pStyle w:val="71"/>
              <w:spacing w:before="24" w:after="24"/>
              <w:rPr>
                <w:rFonts w:cs="Times New Roman"/>
              </w:rPr>
            </w:pPr>
            <w:r>
              <w:rPr>
                <w:rFonts w:cs="Times New Roman"/>
              </w:rPr>
              <w:t>异型构件</w:t>
            </w:r>
          </w:p>
        </w:tc>
        <w:tc>
          <w:tcPr>
            <w:tcW w:w="4345" w:type="dxa"/>
            <w:tcBorders>
              <w:top w:val="single" w:color="auto" w:sz="4" w:space="0"/>
              <w:left w:val="single" w:color="auto" w:sz="4" w:space="0"/>
              <w:bottom w:val="single" w:color="auto" w:sz="4" w:space="0"/>
              <w:right w:val="single" w:color="auto" w:sz="4" w:space="0"/>
            </w:tcBorders>
          </w:tcPr>
          <w:p w14:paraId="608C63CC">
            <w:pPr>
              <w:pStyle w:val="71"/>
              <w:spacing w:before="24" w:after="24"/>
              <w:rPr>
                <w:rFonts w:cs="Times New Roman"/>
              </w:rPr>
            </w:pPr>
            <w:r>
              <w:rPr>
                <w:rFonts w:cs="Times New Roman"/>
              </w:rPr>
              <w:t>构件名-材质-编号-规格尺寸</w:t>
            </w:r>
          </w:p>
        </w:tc>
        <w:tc>
          <w:tcPr>
            <w:tcW w:w="1681" w:type="dxa"/>
            <w:tcBorders>
              <w:top w:val="single" w:color="auto" w:sz="4" w:space="0"/>
              <w:left w:val="single" w:color="auto" w:sz="4" w:space="0"/>
              <w:bottom w:val="single" w:color="auto" w:sz="4" w:space="0"/>
              <w:right w:val="single" w:color="auto" w:sz="4" w:space="0"/>
            </w:tcBorders>
            <w:vAlign w:val="center"/>
          </w:tcPr>
          <w:p w14:paraId="04DD7C21">
            <w:pPr>
              <w:pStyle w:val="71"/>
              <w:spacing w:before="24" w:after="24"/>
              <w:rPr>
                <w:rFonts w:cs="Times New Roman"/>
              </w:rPr>
            </w:pPr>
          </w:p>
        </w:tc>
      </w:tr>
    </w:tbl>
    <w:p w14:paraId="686C9FED">
      <w:pPr>
        <w:pStyle w:val="54"/>
        <w:spacing w:before="24" w:after="24"/>
      </w:pPr>
      <w:r>
        <w:t>市政类项目</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9"/>
        <w:gridCol w:w="1302"/>
        <w:gridCol w:w="3198"/>
        <w:gridCol w:w="3046"/>
      </w:tblGrid>
      <w:tr w14:paraId="7ABAF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519" w:type="dxa"/>
            <w:tcBorders>
              <w:top w:val="single" w:color="auto" w:sz="4" w:space="0"/>
              <w:left w:val="single" w:color="auto" w:sz="4" w:space="0"/>
              <w:bottom w:val="single" w:color="auto" w:sz="4" w:space="0"/>
              <w:right w:val="single" w:color="auto" w:sz="4" w:space="0"/>
            </w:tcBorders>
            <w:vAlign w:val="center"/>
          </w:tcPr>
          <w:p w14:paraId="2A40467A">
            <w:pPr>
              <w:pStyle w:val="71"/>
              <w:spacing w:before="24" w:after="24"/>
              <w:rPr>
                <w:rFonts w:cs="Times New Roman"/>
              </w:rPr>
            </w:pPr>
            <w:r>
              <w:rPr>
                <w:rFonts w:cs="Times New Roman"/>
              </w:rPr>
              <w:t>专业类别</w:t>
            </w:r>
          </w:p>
        </w:tc>
        <w:tc>
          <w:tcPr>
            <w:tcW w:w="1302" w:type="dxa"/>
            <w:tcBorders>
              <w:top w:val="single" w:color="auto" w:sz="4" w:space="0"/>
              <w:left w:val="single" w:color="auto" w:sz="4" w:space="0"/>
              <w:bottom w:val="single" w:color="auto" w:sz="4" w:space="0"/>
              <w:right w:val="single" w:color="auto" w:sz="4" w:space="0"/>
            </w:tcBorders>
            <w:vAlign w:val="center"/>
          </w:tcPr>
          <w:p w14:paraId="7EDC8810">
            <w:pPr>
              <w:pStyle w:val="71"/>
              <w:spacing w:before="24" w:after="24"/>
              <w:rPr>
                <w:rFonts w:cs="Times New Roman"/>
              </w:rPr>
            </w:pPr>
            <w:r>
              <w:rPr>
                <w:rFonts w:cs="Times New Roman"/>
              </w:rPr>
              <w:t>分项名称</w:t>
            </w:r>
          </w:p>
        </w:tc>
        <w:tc>
          <w:tcPr>
            <w:tcW w:w="3198" w:type="dxa"/>
            <w:tcBorders>
              <w:top w:val="single" w:color="auto" w:sz="4" w:space="0"/>
              <w:left w:val="single" w:color="auto" w:sz="4" w:space="0"/>
              <w:bottom w:val="single" w:color="auto" w:sz="4" w:space="0"/>
              <w:right w:val="single" w:color="auto" w:sz="4" w:space="0"/>
            </w:tcBorders>
            <w:vAlign w:val="center"/>
          </w:tcPr>
          <w:p w14:paraId="6D5CD488">
            <w:pPr>
              <w:pStyle w:val="71"/>
              <w:spacing w:before="24" w:after="24"/>
              <w:rPr>
                <w:rFonts w:cs="Times New Roman"/>
              </w:rPr>
            </w:pPr>
            <w:r>
              <w:rPr>
                <w:rFonts w:cs="Times New Roman"/>
              </w:rPr>
              <w:t>标准要求</w:t>
            </w:r>
          </w:p>
        </w:tc>
        <w:tc>
          <w:tcPr>
            <w:tcW w:w="3046" w:type="dxa"/>
            <w:tcBorders>
              <w:top w:val="single" w:color="auto" w:sz="4" w:space="0"/>
              <w:left w:val="single" w:color="auto" w:sz="4" w:space="0"/>
              <w:bottom w:val="single" w:color="auto" w:sz="4" w:space="0"/>
              <w:right w:val="single" w:color="auto" w:sz="4" w:space="0"/>
            </w:tcBorders>
            <w:vAlign w:val="center"/>
          </w:tcPr>
          <w:p w14:paraId="1D525607">
            <w:pPr>
              <w:pStyle w:val="71"/>
              <w:spacing w:before="24" w:after="24"/>
              <w:rPr>
                <w:rFonts w:cs="Times New Roman"/>
              </w:rPr>
            </w:pPr>
            <w:r>
              <w:rPr>
                <w:rFonts w:cs="Times New Roman"/>
              </w:rPr>
              <w:t>备注</w:t>
            </w:r>
          </w:p>
        </w:tc>
      </w:tr>
      <w:tr w14:paraId="51E2E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vAlign w:val="center"/>
          </w:tcPr>
          <w:p w14:paraId="72BB56F8">
            <w:pPr>
              <w:pStyle w:val="71"/>
              <w:spacing w:before="24" w:after="24"/>
              <w:rPr>
                <w:rFonts w:cs="Times New Roman"/>
              </w:rPr>
            </w:pPr>
            <w:r>
              <w:rPr>
                <w:rFonts w:cs="Times New Roman"/>
              </w:rPr>
              <w:t>道路</w:t>
            </w:r>
          </w:p>
        </w:tc>
        <w:tc>
          <w:tcPr>
            <w:tcW w:w="1302" w:type="dxa"/>
            <w:tcBorders>
              <w:top w:val="single" w:color="auto" w:sz="4" w:space="0"/>
              <w:left w:val="single" w:color="auto" w:sz="4" w:space="0"/>
              <w:bottom w:val="single" w:color="auto" w:sz="4" w:space="0"/>
              <w:right w:val="single" w:color="auto" w:sz="4" w:space="0"/>
            </w:tcBorders>
            <w:vAlign w:val="center"/>
          </w:tcPr>
          <w:p w14:paraId="18045784">
            <w:pPr>
              <w:pStyle w:val="71"/>
              <w:spacing w:before="24" w:after="24"/>
              <w:rPr>
                <w:rFonts w:cs="Times New Roman"/>
              </w:rPr>
            </w:pPr>
            <w:r>
              <w:rPr>
                <w:rFonts w:cs="Times New Roman"/>
              </w:rPr>
              <w:t>面层</w:t>
            </w:r>
          </w:p>
        </w:tc>
        <w:tc>
          <w:tcPr>
            <w:tcW w:w="3198" w:type="dxa"/>
            <w:tcBorders>
              <w:top w:val="single" w:color="auto" w:sz="4" w:space="0"/>
              <w:left w:val="single" w:color="auto" w:sz="4" w:space="0"/>
              <w:bottom w:val="single" w:color="auto" w:sz="4" w:space="0"/>
              <w:right w:val="single" w:color="auto" w:sz="4" w:space="0"/>
            </w:tcBorders>
            <w:vAlign w:val="center"/>
          </w:tcPr>
          <w:p w14:paraId="799E1A52">
            <w:pPr>
              <w:pStyle w:val="71"/>
              <w:spacing w:before="24" w:after="24"/>
              <w:rPr>
                <w:rFonts w:cs="Times New Roman"/>
              </w:rPr>
            </w:pPr>
            <w:r>
              <w:rPr>
                <w:rFonts w:cs="Times New Roman"/>
              </w:rPr>
              <w:t>路面功能-材料-厚度</w:t>
            </w:r>
          </w:p>
        </w:tc>
        <w:tc>
          <w:tcPr>
            <w:tcW w:w="3046" w:type="dxa"/>
            <w:tcBorders>
              <w:top w:val="single" w:color="auto" w:sz="4" w:space="0"/>
              <w:left w:val="single" w:color="auto" w:sz="4" w:space="0"/>
              <w:bottom w:val="single" w:color="auto" w:sz="4" w:space="0"/>
              <w:right w:val="single" w:color="auto" w:sz="4" w:space="0"/>
            </w:tcBorders>
            <w:vAlign w:val="center"/>
          </w:tcPr>
          <w:p w14:paraId="4164C4E8">
            <w:pPr>
              <w:pStyle w:val="71"/>
              <w:spacing w:before="24" w:after="24"/>
              <w:rPr>
                <w:rFonts w:cs="Times New Roman"/>
              </w:rPr>
            </w:pPr>
          </w:p>
        </w:tc>
      </w:tr>
      <w:tr w14:paraId="41CF9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vAlign w:val="center"/>
          </w:tcPr>
          <w:p w14:paraId="07F9A60A">
            <w:pPr>
              <w:pStyle w:val="71"/>
              <w:spacing w:before="24" w:after="24"/>
              <w:rPr>
                <w:rFonts w:cs="Times New Roman"/>
              </w:rPr>
            </w:pPr>
            <w:r>
              <w:rPr>
                <w:rFonts w:cs="Times New Roman"/>
              </w:rPr>
              <w:t>道路</w:t>
            </w:r>
          </w:p>
        </w:tc>
        <w:tc>
          <w:tcPr>
            <w:tcW w:w="1302" w:type="dxa"/>
            <w:tcBorders>
              <w:top w:val="single" w:color="auto" w:sz="4" w:space="0"/>
              <w:left w:val="single" w:color="auto" w:sz="4" w:space="0"/>
              <w:bottom w:val="single" w:color="auto" w:sz="4" w:space="0"/>
              <w:right w:val="single" w:color="auto" w:sz="4" w:space="0"/>
            </w:tcBorders>
            <w:vAlign w:val="center"/>
          </w:tcPr>
          <w:p w14:paraId="0F63737A">
            <w:pPr>
              <w:pStyle w:val="71"/>
              <w:spacing w:before="24" w:after="24"/>
              <w:rPr>
                <w:rFonts w:cs="Times New Roman"/>
              </w:rPr>
            </w:pPr>
            <w:r>
              <w:rPr>
                <w:rFonts w:cs="Times New Roman"/>
              </w:rPr>
              <w:t>基层</w:t>
            </w:r>
          </w:p>
        </w:tc>
        <w:tc>
          <w:tcPr>
            <w:tcW w:w="3198" w:type="dxa"/>
            <w:tcBorders>
              <w:top w:val="single" w:color="auto" w:sz="4" w:space="0"/>
              <w:left w:val="single" w:color="auto" w:sz="4" w:space="0"/>
              <w:bottom w:val="single" w:color="auto" w:sz="4" w:space="0"/>
              <w:right w:val="single" w:color="auto" w:sz="4" w:space="0"/>
            </w:tcBorders>
            <w:vAlign w:val="center"/>
          </w:tcPr>
          <w:p w14:paraId="7551B861">
            <w:pPr>
              <w:pStyle w:val="71"/>
              <w:spacing w:before="24" w:after="24"/>
              <w:rPr>
                <w:rFonts w:cs="Times New Roman"/>
              </w:rPr>
            </w:pPr>
            <w:r>
              <w:rPr>
                <w:rFonts w:cs="Times New Roman"/>
              </w:rPr>
              <w:t>路面功能-材料-厚度</w:t>
            </w:r>
          </w:p>
        </w:tc>
        <w:tc>
          <w:tcPr>
            <w:tcW w:w="3046" w:type="dxa"/>
            <w:tcBorders>
              <w:top w:val="single" w:color="auto" w:sz="4" w:space="0"/>
              <w:left w:val="single" w:color="auto" w:sz="4" w:space="0"/>
              <w:bottom w:val="single" w:color="auto" w:sz="4" w:space="0"/>
              <w:right w:val="single" w:color="auto" w:sz="4" w:space="0"/>
            </w:tcBorders>
            <w:vAlign w:val="center"/>
          </w:tcPr>
          <w:p w14:paraId="5B1B4FC2">
            <w:pPr>
              <w:pStyle w:val="71"/>
              <w:spacing w:before="24" w:after="24"/>
              <w:rPr>
                <w:rFonts w:cs="Times New Roman"/>
              </w:rPr>
            </w:pPr>
          </w:p>
        </w:tc>
      </w:tr>
      <w:tr w14:paraId="4DA59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vAlign w:val="center"/>
          </w:tcPr>
          <w:p w14:paraId="54ACBD45">
            <w:pPr>
              <w:pStyle w:val="71"/>
              <w:spacing w:before="24" w:after="24"/>
              <w:rPr>
                <w:rFonts w:cs="Times New Roman"/>
              </w:rPr>
            </w:pPr>
            <w:r>
              <w:rPr>
                <w:rFonts w:cs="Times New Roman"/>
              </w:rPr>
              <w:t>道路</w:t>
            </w:r>
          </w:p>
        </w:tc>
        <w:tc>
          <w:tcPr>
            <w:tcW w:w="1302" w:type="dxa"/>
            <w:tcBorders>
              <w:top w:val="single" w:color="auto" w:sz="4" w:space="0"/>
              <w:left w:val="single" w:color="auto" w:sz="4" w:space="0"/>
              <w:bottom w:val="single" w:color="auto" w:sz="4" w:space="0"/>
              <w:right w:val="single" w:color="auto" w:sz="4" w:space="0"/>
            </w:tcBorders>
            <w:vAlign w:val="center"/>
          </w:tcPr>
          <w:p w14:paraId="01E5E4D9">
            <w:pPr>
              <w:pStyle w:val="71"/>
              <w:spacing w:before="24" w:after="24"/>
              <w:rPr>
                <w:rFonts w:cs="Times New Roman"/>
              </w:rPr>
            </w:pPr>
            <w:r>
              <w:rPr>
                <w:rFonts w:cs="Times New Roman"/>
              </w:rPr>
              <w:t>垫层</w:t>
            </w:r>
          </w:p>
        </w:tc>
        <w:tc>
          <w:tcPr>
            <w:tcW w:w="3198" w:type="dxa"/>
            <w:tcBorders>
              <w:top w:val="single" w:color="auto" w:sz="4" w:space="0"/>
              <w:left w:val="single" w:color="auto" w:sz="4" w:space="0"/>
              <w:bottom w:val="single" w:color="auto" w:sz="4" w:space="0"/>
              <w:right w:val="single" w:color="auto" w:sz="4" w:space="0"/>
            </w:tcBorders>
            <w:vAlign w:val="center"/>
          </w:tcPr>
          <w:p w14:paraId="6B891812">
            <w:pPr>
              <w:pStyle w:val="71"/>
              <w:spacing w:before="24" w:after="24"/>
              <w:rPr>
                <w:rFonts w:cs="Times New Roman"/>
              </w:rPr>
            </w:pPr>
            <w:r>
              <w:rPr>
                <w:rFonts w:cs="Times New Roman"/>
              </w:rPr>
              <w:t>路面功能-材料-厚度</w:t>
            </w:r>
          </w:p>
        </w:tc>
        <w:tc>
          <w:tcPr>
            <w:tcW w:w="3046" w:type="dxa"/>
            <w:tcBorders>
              <w:top w:val="single" w:color="auto" w:sz="4" w:space="0"/>
              <w:left w:val="single" w:color="auto" w:sz="4" w:space="0"/>
              <w:bottom w:val="single" w:color="auto" w:sz="4" w:space="0"/>
              <w:right w:val="single" w:color="auto" w:sz="4" w:space="0"/>
            </w:tcBorders>
            <w:vAlign w:val="center"/>
          </w:tcPr>
          <w:p w14:paraId="056D5013">
            <w:pPr>
              <w:pStyle w:val="71"/>
              <w:spacing w:before="24" w:after="24"/>
              <w:rPr>
                <w:rFonts w:cs="Times New Roman"/>
              </w:rPr>
            </w:pPr>
          </w:p>
        </w:tc>
      </w:tr>
      <w:tr w14:paraId="20BF9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vAlign w:val="center"/>
          </w:tcPr>
          <w:p w14:paraId="63D4D946">
            <w:pPr>
              <w:pStyle w:val="71"/>
              <w:spacing w:before="24" w:after="24"/>
              <w:rPr>
                <w:rFonts w:cs="Times New Roman"/>
              </w:rPr>
            </w:pPr>
            <w:r>
              <w:rPr>
                <w:rFonts w:cs="Times New Roman"/>
              </w:rPr>
              <w:t>道路</w:t>
            </w:r>
          </w:p>
        </w:tc>
        <w:tc>
          <w:tcPr>
            <w:tcW w:w="1302" w:type="dxa"/>
            <w:tcBorders>
              <w:top w:val="single" w:color="auto" w:sz="4" w:space="0"/>
              <w:left w:val="single" w:color="auto" w:sz="4" w:space="0"/>
              <w:bottom w:val="single" w:color="auto" w:sz="4" w:space="0"/>
              <w:right w:val="single" w:color="auto" w:sz="4" w:space="0"/>
            </w:tcBorders>
            <w:vAlign w:val="center"/>
          </w:tcPr>
          <w:p w14:paraId="77A0358F">
            <w:pPr>
              <w:pStyle w:val="71"/>
              <w:spacing w:before="24" w:after="24"/>
              <w:rPr>
                <w:rFonts w:cs="Times New Roman"/>
              </w:rPr>
            </w:pPr>
            <w:r>
              <w:rPr>
                <w:rFonts w:cs="Times New Roman"/>
              </w:rPr>
              <w:t>路缘石</w:t>
            </w:r>
          </w:p>
        </w:tc>
        <w:tc>
          <w:tcPr>
            <w:tcW w:w="3198" w:type="dxa"/>
            <w:tcBorders>
              <w:top w:val="single" w:color="auto" w:sz="4" w:space="0"/>
              <w:left w:val="single" w:color="auto" w:sz="4" w:space="0"/>
              <w:bottom w:val="single" w:color="auto" w:sz="4" w:space="0"/>
              <w:right w:val="single" w:color="auto" w:sz="4" w:space="0"/>
            </w:tcBorders>
            <w:vAlign w:val="center"/>
          </w:tcPr>
          <w:p w14:paraId="583394B3">
            <w:pPr>
              <w:pStyle w:val="71"/>
              <w:spacing w:before="24" w:after="24"/>
              <w:rPr>
                <w:rFonts w:cs="Times New Roman"/>
              </w:rPr>
            </w:pPr>
            <w:r>
              <w:rPr>
                <w:rFonts w:cs="Times New Roman"/>
              </w:rPr>
              <w:t>尺寸-材料</w:t>
            </w:r>
          </w:p>
        </w:tc>
        <w:tc>
          <w:tcPr>
            <w:tcW w:w="3046" w:type="dxa"/>
            <w:tcBorders>
              <w:top w:val="single" w:color="auto" w:sz="4" w:space="0"/>
              <w:left w:val="single" w:color="auto" w:sz="4" w:space="0"/>
              <w:bottom w:val="single" w:color="auto" w:sz="4" w:space="0"/>
              <w:right w:val="single" w:color="auto" w:sz="4" w:space="0"/>
            </w:tcBorders>
            <w:vAlign w:val="center"/>
          </w:tcPr>
          <w:p w14:paraId="4DDC8AA4">
            <w:pPr>
              <w:pStyle w:val="71"/>
              <w:spacing w:before="24" w:after="24"/>
              <w:rPr>
                <w:rFonts w:cs="Times New Roman"/>
              </w:rPr>
            </w:pPr>
          </w:p>
        </w:tc>
      </w:tr>
      <w:tr w14:paraId="51498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vAlign w:val="center"/>
          </w:tcPr>
          <w:p w14:paraId="717D5B90">
            <w:pPr>
              <w:pStyle w:val="71"/>
              <w:spacing w:before="24" w:after="24"/>
              <w:rPr>
                <w:rFonts w:cs="Times New Roman"/>
              </w:rPr>
            </w:pPr>
            <w:r>
              <w:rPr>
                <w:rFonts w:cs="Times New Roman"/>
              </w:rPr>
              <w:t>道路</w:t>
            </w:r>
          </w:p>
        </w:tc>
        <w:tc>
          <w:tcPr>
            <w:tcW w:w="1302" w:type="dxa"/>
            <w:tcBorders>
              <w:top w:val="single" w:color="auto" w:sz="4" w:space="0"/>
              <w:left w:val="single" w:color="auto" w:sz="4" w:space="0"/>
              <w:bottom w:val="single" w:color="auto" w:sz="4" w:space="0"/>
              <w:right w:val="single" w:color="auto" w:sz="4" w:space="0"/>
            </w:tcBorders>
            <w:vAlign w:val="center"/>
          </w:tcPr>
          <w:p w14:paraId="712EA5AF">
            <w:pPr>
              <w:pStyle w:val="71"/>
              <w:spacing w:before="24" w:after="24"/>
              <w:rPr>
                <w:rFonts w:cs="Times New Roman"/>
              </w:rPr>
            </w:pPr>
            <w:r>
              <w:rPr>
                <w:rFonts w:cs="Times New Roman"/>
              </w:rPr>
              <w:t>缘石基础</w:t>
            </w:r>
          </w:p>
        </w:tc>
        <w:tc>
          <w:tcPr>
            <w:tcW w:w="3198" w:type="dxa"/>
            <w:tcBorders>
              <w:top w:val="single" w:color="auto" w:sz="4" w:space="0"/>
              <w:left w:val="single" w:color="auto" w:sz="4" w:space="0"/>
              <w:bottom w:val="single" w:color="auto" w:sz="4" w:space="0"/>
              <w:right w:val="single" w:color="auto" w:sz="4" w:space="0"/>
            </w:tcBorders>
          </w:tcPr>
          <w:p w14:paraId="25972CE0">
            <w:pPr>
              <w:pStyle w:val="71"/>
              <w:spacing w:before="24" w:after="24"/>
              <w:rPr>
                <w:rFonts w:cs="Times New Roman"/>
              </w:rPr>
            </w:pPr>
            <w:r>
              <w:rPr>
                <w:rFonts w:cs="Times New Roman"/>
              </w:rPr>
              <w:t>尺寸-材料-强度</w:t>
            </w:r>
          </w:p>
        </w:tc>
        <w:tc>
          <w:tcPr>
            <w:tcW w:w="3046" w:type="dxa"/>
            <w:tcBorders>
              <w:top w:val="single" w:color="auto" w:sz="4" w:space="0"/>
              <w:left w:val="single" w:color="auto" w:sz="4" w:space="0"/>
              <w:bottom w:val="single" w:color="auto" w:sz="4" w:space="0"/>
              <w:right w:val="single" w:color="auto" w:sz="4" w:space="0"/>
            </w:tcBorders>
            <w:vAlign w:val="center"/>
          </w:tcPr>
          <w:p w14:paraId="33A1626B">
            <w:pPr>
              <w:pStyle w:val="71"/>
              <w:spacing w:before="24" w:after="24"/>
              <w:rPr>
                <w:rFonts w:cs="Times New Roman"/>
              </w:rPr>
            </w:pPr>
          </w:p>
        </w:tc>
      </w:tr>
      <w:tr w14:paraId="08D5C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vAlign w:val="center"/>
          </w:tcPr>
          <w:p w14:paraId="0C30B90F">
            <w:pPr>
              <w:pStyle w:val="71"/>
              <w:spacing w:before="24" w:after="24"/>
              <w:rPr>
                <w:rFonts w:cs="Times New Roman"/>
              </w:rPr>
            </w:pPr>
            <w:r>
              <w:rPr>
                <w:rFonts w:cs="Times New Roman"/>
              </w:rPr>
              <w:t>道路</w:t>
            </w:r>
          </w:p>
        </w:tc>
        <w:tc>
          <w:tcPr>
            <w:tcW w:w="1302" w:type="dxa"/>
            <w:tcBorders>
              <w:top w:val="single" w:color="auto" w:sz="4" w:space="0"/>
              <w:left w:val="single" w:color="auto" w:sz="4" w:space="0"/>
              <w:bottom w:val="single" w:color="auto" w:sz="4" w:space="0"/>
              <w:right w:val="single" w:color="auto" w:sz="4" w:space="0"/>
            </w:tcBorders>
            <w:vAlign w:val="center"/>
          </w:tcPr>
          <w:p w14:paraId="44382AB3">
            <w:pPr>
              <w:pStyle w:val="71"/>
              <w:spacing w:before="24" w:after="24"/>
              <w:rPr>
                <w:rFonts w:cs="Times New Roman"/>
              </w:rPr>
            </w:pPr>
            <w:r>
              <w:rPr>
                <w:rFonts w:cs="Times New Roman"/>
              </w:rPr>
              <w:t>平石</w:t>
            </w:r>
          </w:p>
        </w:tc>
        <w:tc>
          <w:tcPr>
            <w:tcW w:w="3198" w:type="dxa"/>
            <w:tcBorders>
              <w:top w:val="single" w:color="auto" w:sz="4" w:space="0"/>
              <w:left w:val="single" w:color="auto" w:sz="4" w:space="0"/>
              <w:bottom w:val="single" w:color="auto" w:sz="4" w:space="0"/>
              <w:right w:val="single" w:color="auto" w:sz="4" w:space="0"/>
            </w:tcBorders>
          </w:tcPr>
          <w:p w14:paraId="39CADBFC">
            <w:pPr>
              <w:pStyle w:val="71"/>
              <w:spacing w:before="24" w:after="24"/>
              <w:rPr>
                <w:rFonts w:cs="Times New Roman"/>
              </w:rPr>
            </w:pPr>
            <w:r>
              <w:rPr>
                <w:rFonts w:cs="Times New Roman"/>
              </w:rPr>
              <w:t>尺寸-材料</w:t>
            </w:r>
          </w:p>
        </w:tc>
        <w:tc>
          <w:tcPr>
            <w:tcW w:w="3046" w:type="dxa"/>
            <w:tcBorders>
              <w:top w:val="single" w:color="auto" w:sz="4" w:space="0"/>
              <w:left w:val="single" w:color="auto" w:sz="4" w:space="0"/>
              <w:bottom w:val="single" w:color="auto" w:sz="4" w:space="0"/>
              <w:right w:val="single" w:color="auto" w:sz="4" w:space="0"/>
            </w:tcBorders>
            <w:vAlign w:val="center"/>
          </w:tcPr>
          <w:p w14:paraId="36662CE9">
            <w:pPr>
              <w:pStyle w:val="71"/>
              <w:spacing w:before="24" w:after="24"/>
              <w:rPr>
                <w:rFonts w:cs="Times New Roman"/>
              </w:rPr>
            </w:pPr>
          </w:p>
        </w:tc>
      </w:tr>
      <w:tr w14:paraId="50DE0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vAlign w:val="center"/>
          </w:tcPr>
          <w:p w14:paraId="0B9C62D8">
            <w:pPr>
              <w:pStyle w:val="71"/>
              <w:spacing w:before="24" w:after="24"/>
              <w:rPr>
                <w:rFonts w:cs="Times New Roman"/>
              </w:rPr>
            </w:pPr>
            <w:r>
              <w:rPr>
                <w:rFonts w:cs="Times New Roman"/>
              </w:rPr>
              <w:t>桥梁</w:t>
            </w:r>
          </w:p>
        </w:tc>
        <w:tc>
          <w:tcPr>
            <w:tcW w:w="1302" w:type="dxa"/>
            <w:tcBorders>
              <w:top w:val="single" w:color="auto" w:sz="4" w:space="0"/>
              <w:left w:val="single" w:color="auto" w:sz="4" w:space="0"/>
              <w:bottom w:val="single" w:color="auto" w:sz="4" w:space="0"/>
              <w:right w:val="single" w:color="auto" w:sz="4" w:space="0"/>
            </w:tcBorders>
            <w:vAlign w:val="center"/>
          </w:tcPr>
          <w:p w14:paraId="0988A2F5">
            <w:pPr>
              <w:pStyle w:val="71"/>
              <w:spacing w:before="24" w:after="24"/>
              <w:rPr>
                <w:rFonts w:cs="Times New Roman"/>
              </w:rPr>
            </w:pPr>
            <w:r>
              <w:rPr>
                <w:rFonts w:cs="Times New Roman"/>
              </w:rPr>
              <w:t>箱梁</w:t>
            </w:r>
          </w:p>
        </w:tc>
        <w:tc>
          <w:tcPr>
            <w:tcW w:w="3198" w:type="dxa"/>
            <w:tcBorders>
              <w:top w:val="single" w:color="auto" w:sz="4" w:space="0"/>
              <w:left w:val="single" w:color="auto" w:sz="4" w:space="0"/>
              <w:bottom w:val="single" w:color="auto" w:sz="4" w:space="0"/>
              <w:right w:val="single" w:color="auto" w:sz="4" w:space="0"/>
            </w:tcBorders>
          </w:tcPr>
          <w:p w14:paraId="59E0441B">
            <w:pPr>
              <w:pStyle w:val="71"/>
              <w:spacing w:before="24" w:after="24"/>
              <w:rPr>
                <w:rFonts w:cs="Times New Roman"/>
              </w:rPr>
            </w:pPr>
            <w:r>
              <w:rPr>
                <w:rFonts w:cs="Times New Roman"/>
              </w:rPr>
              <w:t>桥型-材料-尺寸-构造参数</w:t>
            </w:r>
          </w:p>
        </w:tc>
        <w:tc>
          <w:tcPr>
            <w:tcW w:w="3046" w:type="dxa"/>
            <w:tcBorders>
              <w:top w:val="single" w:color="auto" w:sz="4" w:space="0"/>
              <w:left w:val="single" w:color="auto" w:sz="4" w:space="0"/>
              <w:bottom w:val="single" w:color="auto" w:sz="4" w:space="0"/>
              <w:right w:val="single" w:color="auto" w:sz="4" w:space="0"/>
            </w:tcBorders>
            <w:vAlign w:val="center"/>
          </w:tcPr>
          <w:p w14:paraId="0BA19501">
            <w:pPr>
              <w:pStyle w:val="71"/>
              <w:spacing w:before="24" w:after="24"/>
              <w:rPr>
                <w:rFonts w:cs="Times New Roman"/>
              </w:rPr>
            </w:pPr>
          </w:p>
        </w:tc>
      </w:tr>
      <w:tr w14:paraId="44391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vAlign w:val="center"/>
          </w:tcPr>
          <w:p w14:paraId="71F218FC">
            <w:pPr>
              <w:pStyle w:val="71"/>
              <w:spacing w:before="24" w:after="24"/>
              <w:rPr>
                <w:rFonts w:cs="Times New Roman"/>
              </w:rPr>
            </w:pPr>
            <w:r>
              <w:rPr>
                <w:rFonts w:cs="Times New Roman"/>
              </w:rPr>
              <w:t>桥梁</w:t>
            </w:r>
          </w:p>
        </w:tc>
        <w:tc>
          <w:tcPr>
            <w:tcW w:w="1302" w:type="dxa"/>
            <w:tcBorders>
              <w:top w:val="single" w:color="auto" w:sz="4" w:space="0"/>
              <w:left w:val="single" w:color="auto" w:sz="4" w:space="0"/>
              <w:bottom w:val="single" w:color="auto" w:sz="4" w:space="0"/>
              <w:right w:val="single" w:color="auto" w:sz="4" w:space="0"/>
            </w:tcBorders>
            <w:vAlign w:val="center"/>
          </w:tcPr>
          <w:p w14:paraId="6FB57F45">
            <w:pPr>
              <w:pStyle w:val="71"/>
              <w:spacing w:before="24" w:after="24"/>
              <w:rPr>
                <w:rFonts w:cs="Times New Roman"/>
              </w:rPr>
            </w:pPr>
            <w:r>
              <w:rPr>
                <w:rFonts w:cs="Times New Roman"/>
              </w:rPr>
              <w:t>护栏</w:t>
            </w:r>
          </w:p>
        </w:tc>
        <w:tc>
          <w:tcPr>
            <w:tcW w:w="3198" w:type="dxa"/>
            <w:tcBorders>
              <w:top w:val="single" w:color="auto" w:sz="4" w:space="0"/>
              <w:left w:val="single" w:color="auto" w:sz="4" w:space="0"/>
              <w:bottom w:val="single" w:color="auto" w:sz="4" w:space="0"/>
              <w:right w:val="single" w:color="auto" w:sz="4" w:space="0"/>
            </w:tcBorders>
          </w:tcPr>
          <w:p w14:paraId="20E0607F">
            <w:pPr>
              <w:pStyle w:val="71"/>
              <w:spacing w:before="24" w:after="24"/>
              <w:rPr>
                <w:rFonts w:cs="Times New Roman"/>
              </w:rPr>
            </w:pPr>
            <w:r>
              <w:rPr>
                <w:rFonts w:cs="Times New Roman"/>
              </w:rPr>
              <w:t>类型-材料-构造参数</w:t>
            </w:r>
          </w:p>
        </w:tc>
        <w:tc>
          <w:tcPr>
            <w:tcW w:w="3046" w:type="dxa"/>
            <w:tcBorders>
              <w:top w:val="single" w:color="auto" w:sz="4" w:space="0"/>
              <w:left w:val="single" w:color="auto" w:sz="4" w:space="0"/>
              <w:bottom w:val="single" w:color="auto" w:sz="4" w:space="0"/>
              <w:right w:val="single" w:color="auto" w:sz="4" w:space="0"/>
            </w:tcBorders>
            <w:vAlign w:val="center"/>
          </w:tcPr>
          <w:p w14:paraId="5AE2A74D">
            <w:pPr>
              <w:pStyle w:val="71"/>
              <w:spacing w:before="24" w:after="24"/>
              <w:rPr>
                <w:rFonts w:cs="Times New Roman"/>
              </w:rPr>
            </w:pPr>
          </w:p>
        </w:tc>
      </w:tr>
      <w:tr w14:paraId="1F99E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vAlign w:val="center"/>
          </w:tcPr>
          <w:p w14:paraId="5CAF2B16">
            <w:pPr>
              <w:pStyle w:val="71"/>
              <w:spacing w:before="24" w:after="24"/>
              <w:rPr>
                <w:rFonts w:cs="Times New Roman"/>
              </w:rPr>
            </w:pPr>
            <w:r>
              <w:rPr>
                <w:rFonts w:cs="Times New Roman"/>
              </w:rPr>
              <w:t>桥梁</w:t>
            </w:r>
          </w:p>
        </w:tc>
        <w:tc>
          <w:tcPr>
            <w:tcW w:w="1302" w:type="dxa"/>
            <w:tcBorders>
              <w:top w:val="single" w:color="auto" w:sz="4" w:space="0"/>
              <w:left w:val="single" w:color="auto" w:sz="4" w:space="0"/>
              <w:bottom w:val="single" w:color="auto" w:sz="4" w:space="0"/>
              <w:right w:val="single" w:color="auto" w:sz="4" w:space="0"/>
            </w:tcBorders>
            <w:vAlign w:val="center"/>
          </w:tcPr>
          <w:p w14:paraId="4714CD4C">
            <w:pPr>
              <w:pStyle w:val="71"/>
              <w:spacing w:before="24" w:after="24"/>
              <w:rPr>
                <w:rFonts w:cs="Times New Roman"/>
              </w:rPr>
            </w:pPr>
            <w:r>
              <w:rPr>
                <w:rFonts w:cs="Times New Roman"/>
              </w:rPr>
              <w:t>桥台</w:t>
            </w:r>
          </w:p>
        </w:tc>
        <w:tc>
          <w:tcPr>
            <w:tcW w:w="3198" w:type="dxa"/>
            <w:tcBorders>
              <w:top w:val="single" w:color="auto" w:sz="4" w:space="0"/>
              <w:left w:val="single" w:color="auto" w:sz="4" w:space="0"/>
              <w:bottom w:val="single" w:color="auto" w:sz="4" w:space="0"/>
              <w:right w:val="single" w:color="auto" w:sz="4" w:space="0"/>
            </w:tcBorders>
          </w:tcPr>
          <w:p w14:paraId="0414C271">
            <w:pPr>
              <w:pStyle w:val="71"/>
              <w:spacing w:before="24" w:after="24"/>
              <w:rPr>
                <w:rFonts w:cs="Times New Roman"/>
              </w:rPr>
            </w:pPr>
            <w:r>
              <w:rPr>
                <w:rFonts w:cs="Times New Roman"/>
              </w:rPr>
              <w:t>材料-尺寸-配筋</w:t>
            </w:r>
          </w:p>
        </w:tc>
        <w:tc>
          <w:tcPr>
            <w:tcW w:w="3046" w:type="dxa"/>
            <w:tcBorders>
              <w:top w:val="single" w:color="auto" w:sz="4" w:space="0"/>
              <w:left w:val="single" w:color="auto" w:sz="4" w:space="0"/>
              <w:bottom w:val="single" w:color="auto" w:sz="4" w:space="0"/>
              <w:right w:val="single" w:color="auto" w:sz="4" w:space="0"/>
            </w:tcBorders>
            <w:vAlign w:val="center"/>
          </w:tcPr>
          <w:p w14:paraId="2B7416C2">
            <w:pPr>
              <w:pStyle w:val="71"/>
              <w:spacing w:before="24" w:after="24"/>
              <w:rPr>
                <w:rFonts w:cs="Times New Roman"/>
              </w:rPr>
            </w:pPr>
          </w:p>
        </w:tc>
      </w:tr>
      <w:tr w14:paraId="10831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vAlign w:val="center"/>
          </w:tcPr>
          <w:p w14:paraId="6D99C449">
            <w:pPr>
              <w:pStyle w:val="71"/>
              <w:spacing w:before="24" w:after="24"/>
              <w:rPr>
                <w:rFonts w:cs="Times New Roman"/>
              </w:rPr>
            </w:pPr>
            <w:r>
              <w:rPr>
                <w:rFonts w:cs="Times New Roman"/>
              </w:rPr>
              <w:t>桥梁</w:t>
            </w:r>
          </w:p>
        </w:tc>
        <w:tc>
          <w:tcPr>
            <w:tcW w:w="1302" w:type="dxa"/>
            <w:tcBorders>
              <w:top w:val="single" w:color="auto" w:sz="4" w:space="0"/>
              <w:left w:val="single" w:color="auto" w:sz="4" w:space="0"/>
              <w:bottom w:val="single" w:color="auto" w:sz="4" w:space="0"/>
              <w:right w:val="single" w:color="auto" w:sz="4" w:space="0"/>
            </w:tcBorders>
            <w:vAlign w:val="center"/>
          </w:tcPr>
          <w:p w14:paraId="3F0C22A0">
            <w:pPr>
              <w:pStyle w:val="71"/>
              <w:spacing w:before="24" w:after="24"/>
              <w:rPr>
                <w:rFonts w:cs="Times New Roman"/>
              </w:rPr>
            </w:pPr>
            <w:r>
              <w:rPr>
                <w:rFonts w:cs="Times New Roman"/>
              </w:rPr>
              <w:t>桥墩</w:t>
            </w:r>
          </w:p>
        </w:tc>
        <w:tc>
          <w:tcPr>
            <w:tcW w:w="3198" w:type="dxa"/>
            <w:tcBorders>
              <w:top w:val="single" w:color="auto" w:sz="4" w:space="0"/>
              <w:left w:val="single" w:color="auto" w:sz="4" w:space="0"/>
              <w:bottom w:val="single" w:color="auto" w:sz="4" w:space="0"/>
              <w:right w:val="single" w:color="auto" w:sz="4" w:space="0"/>
            </w:tcBorders>
          </w:tcPr>
          <w:p w14:paraId="4F992293">
            <w:pPr>
              <w:pStyle w:val="71"/>
              <w:spacing w:before="24" w:after="24"/>
              <w:rPr>
                <w:rFonts w:cs="Times New Roman"/>
              </w:rPr>
            </w:pPr>
            <w:r>
              <w:rPr>
                <w:rFonts w:cs="Times New Roman"/>
              </w:rPr>
              <w:t>材料-尺寸-配筋</w:t>
            </w:r>
          </w:p>
        </w:tc>
        <w:tc>
          <w:tcPr>
            <w:tcW w:w="3046" w:type="dxa"/>
            <w:tcBorders>
              <w:top w:val="single" w:color="auto" w:sz="4" w:space="0"/>
              <w:left w:val="single" w:color="auto" w:sz="4" w:space="0"/>
              <w:bottom w:val="single" w:color="auto" w:sz="4" w:space="0"/>
              <w:right w:val="single" w:color="auto" w:sz="4" w:space="0"/>
            </w:tcBorders>
            <w:vAlign w:val="center"/>
          </w:tcPr>
          <w:p w14:paraId="40D0420F">
            <w:pPr>
              <w:pStyle w:val="71"/>
              <w:spacing w:before="24" w:after="24"/>
              <w:rPr>
                <w:rFonts w:cs="Times New Roman"/>
              </w:rPr>
            </w:pPr>
          </w:p>
        </w:tc>
      </w:tr>
      <w:tr w14:paraId="1FE17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tcPr>
          <w:p w14:paraId="11597A9B">
            <w:pPr>
              <w:pStyle w:val="71"/>
              <w:spacing w:before="24" w:after="24"/>
              <w:rPr>
                <w:rFonts w:cs="Times New Roman"/>
              </w:rPr>
            </w:pPr>
            <w:r>
              <w:rPr>
                <w:rFonts w:cs="Times New Roman"/>
              </w:rPr>
              <w:t>桥梁</w:t>
            </w:r>
          </w:p>
        </w:tc>
        <w:tc>
          <w:tcPr>
            <w:tcW w:w="1302" w:type="dxa"/>
            <w:tcBorders>
              <w:top w:val="single" w:color="auto" w:sz="4" w:space="0"/>
              <w:left w:val="single" w:color="auto" w:sz="4" w:space="0"/>
              <w:bottom w:val="single" w:color="auto" w:sz="4" w:space="0"/>
              <w:right w:val="single" w:color="auto" w:sz="4" w:space="0"/>
            </w:tcBorders>
          </w:tcPr>
          <w:p w14:paraId="30C15644">
            <w:pPr>
              <w:pStyle w:val="71"/>
              <w:spacing w:before="24" w:after="24"/>
              <w:rPr>
                <w:rFonts w:cs="Times New Roman"/>
              </w:rPr>
            </w:pPr>
            <w:r>
              <w:rPr>
                <w:rFonts w:cs="Times New Roman"/>
              </w:rPr>
              <w:t>桩基础</w:t>
            </w:r>
          </w:p>
        </w:tc>
        <w:tc>
          <w:tcPr>
            <w:tcW w:w="3198" w:type="dxa"/>
            <w:tcBorders>
              <w:top w:val="single" w:color="auto" w:sz="4" w:space="0"/>
              <w:left w:val="single" w:color="auto" w:sz="4" w:space="0"/>
              <w:bottom w:val="single" w:color="auto" w:sz="4" w:space="0"/>
              <w:right w:val="single" w:color="auto" w:sz="4" w:space="0"/>
            </w:tcBorders>
          </w:tcPr>
          <w:p w14:paraId="04172CE6">
            <w:pPr>
              <w:pStyle w:val="71"/>
              <w:spacing w:before="24" w:after="24"/>
              <w:rPr>
                <w:rFonts w:cs="Times New Roman"/>
              </w:rPr>
            </w:pPr>
            <w:r>
              <w:rPr>
                <w:rFonts w:cs="Times New Roman"/>
              </w:rPr>
              <w:t>材料-直径-桩长-配筋</w:t>
            </w:r>
          </w:p>
        </w:tc>
        <w:tc>
          <w:tcPr>
            <w:tcW w:w="3046" w:type="dxa"/>
            <w:tcBorders>
              <w:top w:val="single" w:color="auto" w:sz="4" w:space="0"/>
              <w:left w:val="single" w:color="auto" w:sz="4" w:space="0"/>
              <w:bottom w:val="single" w:color="auto" w:sz="4" w:space="0"/>
              <w:right w:val="single" w:color="auto" w:sz="4" w:space="0"/>
            </w:tcBorders>
            <w:vAlign w:val="center"/>
          </w:tcPr>
          <w:p w14:paraId="08221DE5">
            <w:pPr>
              <w:pStyle w:val="71"/>
              <w:spacing w:before="24" w:after="24"/>
              <w:rPr>
                <w:rFonts w:cs="Times New Roman"/>
              </w:rPr>
            </w:pPr>
          </w:p>
        </w:tc>
      </w:tr>
      <w:tr w14:paraId="3623C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vAlign w:val="center"/>
          </w:tcPr>
          <w:p w14:paraId="28DFA37F">
            <w:pPr>
              <w:pStyle w:val="71"/>
              <w:spacing w:before="24" w:after="24"/>
              <w:rPr>
                <w:rFonts w:cs="Times New Roman"/>
              </w:rPr>
            </w:pPr>
            <w:r>
              <w:rPr>
                <w:rFonts w:cs="Times New Roman"/>
              </w:rPr>
              <w:t>桥梁</w:t>
            </w:r>
          </w:p>
        </w:tc>
        <w:tc>
          <w:tcPr>
            <w:tcW w:w="1302" w:type="dxa"/>
            <w:tcBorders>
              <w:top w:val="single" w:color="auto" w:sz="4" w:space="0"/>
              <w:left w:val="single" w:color="auto" w:sz="4" w:space="0"/>
              <w:bottom w:val="single" w:color="auto" w:sz="4" w:space="0"/>
              <w:right w:val="single" w:color="auto" w:sz="4" w:space="0"/>
            </w:tcBorders>
            <w:vAlign w:val="center"/>
          </w:tcPr>
          <w:p w14:paraId="26900605">
            <w:pPr>
              <w:pStyle w:val="71"/>
              <w:spacing w:before="24" w:after="24"/>
              <w:rPr>
                <w:rFonts w:cs="Times New Roman"/>
              </w:rPr>
            </w:pPr>
            <w:r>
              <w:rPr>
                <w:rFonts w:cs="Times New Roman"/>
              </w:rPr>
              <w:t>支座</w:t>
            </w:r>
          </w:p>
        </w:tc>
        <w:tc>
          <w:tcPr>
            <w:tcW w:w="3198" w:type="dxa"/>
            <w:tcBorders>
              <w:top w:val="single" w:color="auto" w:sz="4" w:space="0"/>
              <w:left w:val="single" w:color="auto" w:sz="4" w:space="0"/>
              <w:bottom w:val="single" w:color="auto" w:sz="4" w:space="0"/>
              <w:right w:val="single" w:color="auto" w:sz="4" w:space="0"/>
            </w:tcBorders>
          </w:tcPr>
          <w:p w14:paraId="7E43C135">
            <w:pPr>
              <w:pStyle w:val="71"/>
              <w:spacing w:before="24" w:after="24"/>
              <w:rPr>
                <w:rFonts w:cs="Times New Roman"/>
              </w:rPr>
            </w:pPr>
            <w:r>
              <w:rPr>
                <w:rFonts w:cs="Times New Roman"/>
              </w:rPr>
              <w:t>类型-材料-构造</w:t>
            </w:r>
          </w:p>
        </w:tc>
        <w:tc>
          <w:tcPr>
            <w:tcW w:w="3046" w:type="dxa"/>
            <w:tcBorders>
              <w:top w:val="single" w:color="auto" w:sz="4" w:space="0"/>
              <w:left w:val="single" w:color="auto" w:sz="4" w:space="0"/>
              <w:bottom w:val="single" w:color="auto" w:sz="4" w:space="0"/>
              <w:right w:val="single" w:color="auto" w:sz="4" w:space="0"/>
            </w:tcBorders>
            <w:vAlign w:val="center"/>
          </w:tcPr>
          <w:p w14:paraId="085814D4">
            <w:pPr>
              <w:pStyle w:val="71"/>
              <w:spacing w:before="24" w:after="24"/>
              <w:rPr>
                <w:rFonts w:cs="Times New Roman"/>
              </w:rPr>
            </w:pPr>
          </w:p>
        </w:tc>
      </w:tr>
      <w:tr w14:paraId="24D84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vAlign w:val="center"/>
          </w:tcPr>
          <w:p w14:paraId="15507072">
            <w:pPr>
              <w:pStyle w:val="71"/>
              <w:spacing w:before="24" w:after="24"/>
              <w:rPr>
                <w:rFonts w:cs="Times New Roman"/>
              </w:rPr>
            </w:pPr>
            <w:r>
              <w:rPr>
                <w:rFonts w:cs="Times New Roman"/>
              </w:rPr>
              <w:t>桥梁</w:t>
            </w:r>
          </w:p>
        </w:tc>
        <w:tc>
          <w:tcPr>
            <w:tcW w:w="1302" w:type="dxa"/>
            <w:tcBorders>
              <w:top w:val="single" w:color="auto" w:sz="4" w:space="0"/>
              <w:left w:val="single" w:color="auto" w:sz="4" w:space="0"/>
              <w:bottom w:val="single" w:color="auto" w:sz="4" w:space="0"/>
              <w:right w:val="single" w:color="auto" w:sz="4" w:space="0"/>
            </w:tcBorders>
            <w:vAlign w:val="center"/>
          </w:tcPr>
          <w:p w14:paraId="49F68D1F">
            <w:pPr>
              <w:pStyle w:val="71"/>
              <w:spacing w:before="24" w:after="24"/>
              <w:rPr>
                <w:rFonts w:cs="Times New Roman"/>
              </w:rPr>
            </w:pPr>
            <w:r>
              <w:rPr>
                <w:rFonts w:cs="Times New Roman"/>
              </w:rPr>
              <w:t>附属构造</w:t>
            </w:r>
          </w:p>
        </w:tc>
        <w:tc>
          <w:tcPr>
            <w:tcW w:w="3198" w:type="dxa"/>
            <w:tcBorders>
              <w:top w:val="single" w:color="auto" w:sz="4" w:space="0"/>
              <w:left w:val="single" w:color="auto" w:sz="4" w:space="0"/>
              <w:bottom w:val="single" w:color="auto" w:sz="4" w:space="0"/>
              <w:right w:val="single" w:color="auto" w:sz="4" w:space="0"/>
            </w:tcBorders>
          </w:tcPr>
          <w:p w14:paraId="1290B196">
            <w:pPr>
              <w:pStyle w:val="71"/>
              <w:spacing w:before="24" w:after="24"/>
              <w:rPr>
                <w:rFonts w:cs="Times New Roman"/>
              </w:rPr>
            </w:pPr>
            <w:r>
              <w:rPr>
                <w:rFonts w:cs="Times New Roman"/>
              </w:rPr>
              <w:t>类型-材料</w:t>
            </w:r>
          </w:p>
        </w:tc>
        <w:tc>
          <w:tcPr>
            <w:tcW w:w="3046" w:type="dxa"/>
            <w:tcBorders>
              <w:top w:val="single" w:color="auto" w:sz="4" w:space="0"/>
              <w:left w:val="single" w:color="auto" w:sz="4" w:space="0"/>
              <w:bottom w:val="single" w:color="auto" w:sz="4" w:space="0"/>
              <w:right w:val="single" w:color="auto" w:sz="4" w:space="0"/>
            </w:tcBorders>
            <w:vAlign w:val="center"/>
          </w:tcPr>
          <w:p w14:paraId="53F97A5E">
            <w:pPr>
              <w:pStyle w:val="71"/>
              <w:spacing w:before="24" w:after="24"/>
              <w:rPr>
                <w:rFonts w:cs="Times New Roman"/>
              </w:rPr>
            </w:pPr>
          </w:p>
        </w:tc>
      </w:tr>
      <w:tr w14:paraId="3D4B8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vAlign w:val="center"/>
          </w:tcPr>
          <w:p w14:paraId="1953E278">
            <w:pPr>
              <w:pStyle w:val="71"/>
              <w:spacing w:before="24" w:after="24"/>
              <w:rPr>
                <w:rFonts w:cs="Times New Roman"/>
              </w:rPr>
            </w:pPr>
            <w:r>
              <w:rPr>
                <w:rFonts w:cs="Times New Roman"/>
              </w:rPr>
              <w:t>交通</w:t>
            </w:r>
          </w:p>
        </w:tc>
        <w:tc>
          <w:tcPr>
            <w:tcW w:w="1302" w:type="dxa"/>
            <w:tcBorders>
              <w:top w:val="single" w:color="auto" w:sz="4" w:space="0"/>
              <w:left w:val="single" w:color="auto" w:sz="4" w:space="0"/>
              <w:bottom w:val="single" w:color="auto" w:sz="4" w:space="0"/>
              <w:right w:val="single" w:color="auto" w:sz="4" w:space="0"/>
            </w:tcBorders>
            <w:vAlign w:val="center"/>
          </w:tcPr>
          <w:p w14:paraId="4223E0D2">
            <w:pPr>
              <w:pStyle w:val="71"/>
              <w:spacing w:before="24" w:after="24"/>
              <w:rPr>
                <w:rFonts w:cs="Times New Roman"/>
              </w:rPr>
            </w:pPr>
            <w:r>
              <w:rPr>
                <w:rFonts w:cs="Times New Roman"/>
              </w:rPr>
              <w:t>交通标线</w:t>
            </w:r>
          </w:p>
        </w:tc>
        <w:tc>
          <w:tcPr>
            <w:tcW w:w="3198" w:type="dxa"/>
            <w:tcBorders>
              <w:top w:val="single" w:color="auto" w:sz="4" w:space="0"/>
              <w:left w:val="single" w:color="auto" w:sz="4" w:space="0"/>
              <w:bottom w:val="single" w:color="auto" w:sz="4" w:space="0"/>
              <w:right w:val="single" w:color="auto" w:sz="4" w:space="0"/>
            </w:tcBorders>
          </w:tcPr>
          <w:p w14:paraId="7574C036">
            <w:pPr>
              <w:pStyle w:val="71"/>
              <w:spacing w:before="24" w:after="24"/>
              <w:rPr>
                <w:rFonts w:cs="Times New Roman"/>
              </w:rPr>
            </w:pPr>
            <w:r>
              <w:rPr>
                <w:rFonts w:cs="Times New Roman"/>
              </w:rPr>
              <w:t>形式-颜色-材料</w:t>
            </w:r>
          </w:p>
        </w:tc>
        <w:tc>
          <w:tcPr>
            <w:tcW w:w="3046" w:type="dxa"/>
            <w:tcBorders>
              <w:top w:val="single" w:color="auto" w:sz="4" w:space="0"/>
              <w:left w:val="single" w:color="auto" w:sz="4" w:space="0"/>
              <w:bottom w:val="single" w:color="auto" w:sz="4" w:space="0"/>
              <w:right w:val="single" w:color="auto" w:sz="4" w:space="0"/>
            </w:tcBorders>
            <w:vAlign w:val="center"/>
          </w:tcPr>
          <w:p w14:paraId="1AFED559">
            <w:pPr>
              <w:pStyle w:val="71"/>
              <w:spacing w:before="24" w:after="24"/>
              <w:rPr>
                <w:rFonts w:cs="Times New Roman"/>
              </w:rPr>
            </w:pPr>
          </w:p>
        </w:tc>
      </w:tr>
      <w:tr w14:paraId="094A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vAlign w:val="center"/>
          </w:tcPr>
          <w:p w14:paraId="15E2241C">
            <w:pPr>
              <w:pStyle w:val="71"/>
              <w:spacing w:before="24" w:after="24"/>
              <w:rPr>
                <w:rFonts w:cs="Times New Roman"/>
              </w:rPr>
            </w:pPr>
            <w:r>
              <w:rPr>
                <w:rFonts w:cs="Times New Roman"/>
              </w:rPr>
              <w:t>交通</w:t>
            </w:r>
          </w:p>
        </w:tc>
        <w:tc>
          <w:tcPr>
            <w:tcW w:w="1302" w:type="dxa"/>
            <w:tcBorders>
              <w:top w:val="single" w:color="auto" w:sz="4" w:space="0"/>
              <w:left w:val="single" w:color="auto" w:sz="4" w:space="0"/>
              <w:bottom w:val="single" w:color="auto" w:sz="4" w:space="0"/>
              <w:right w:val="single" w:color="auto" w:sz="4" w:space="0"/>
            </w:tcBorders>
            <w:vAlign w:val="center"/>
          </w:tcPr>
          <w:p w14:paraId="1F8FFFCB">
            <w:pPr>
              <w:pStyle w:val="71"/>
              <w:spacing w:before="24" w:after="24"/>
              <w:rPr>
                <w:rFonts w:cs="Times New Roman"/>
              </w:rPr>
            </w:pPr>
            <w:r>
              <w:rPr>
                <w:rFonts w:cs="Times New Roman"/>
              </w:rPr>
              <w:t>信号装置</w:t>
            </w:r>
          </w:p>
        </w:tc>
        <w:tc>
          <w:tcPr>
            <w:tcW w:w="3198" w:type="dxa"/>
            <w:tcBorders>
              <w:top w:val="single" w:color="auto" w:sz="4" w:space="0"/>
              <w:left w:val="single" w:color="auto" w:sz="4" w:space="0"/>
              <w:bottom w:val="single" w:color="auto" w:sz="4" w:space="0"/>
              <w:right w:val="single" w:color="auto" w:sz="4" w:space="0"/>
            </w:tcBorders>
          </w:tcPr>
          <w:p w14:paraId="7254DC5E">
            <w:pPr>
              <w:pStyle w:val="71"/>
              <w:spacing w:before="24" w:after="24"/>
              <w:rPr>
                <w:rFonts w:cs="Times New Roman"/>
              </w:rPr>
            </w:pPr>
            <w:r>
              <w:rPr>
                <w:rFonts w:cs="Times New Roman"/>
              </w:rPr>
              <w:t>类型-颜色-尺寸-材料</w:t>
            </w:r>
          </w:p>
        </w:tc>
        <w:tc>
          <w:tcPr>
            <w:tcW w:w="3046" w:type="dxa"/>
            <w:tcBorders>
              <w:top w:val="single" w:color="auto" w:sz="4" w:space="0"/>
              <w:left w:val="single" w:color="auto" w:sz="4" w:space="0"/>
              <w:bottom w:val="single" w:color="auto" w:sz="4" w:space="0"/>
              <w:right w:val="single" w:color="auto" w:sz="4" w:space="0"/>
            </w:tcBorders>
            <w:vAlign w:val="center"/>
          </w:tcPr>
          <w:p w14:paraId="3C97093F">
            <w:pPr>
              <w:pStyle w:val="71"/>
              <w:spacing w:before="24" w:after="24"/>
              <w:rPr>
                <w:rFonts w:cs="Times New Roman"/>
              </w:rPr>
            </w:pPr>
          </w:p>
        </w:tc>
      </w:tr>
      <w:tr w14:paraId="3D18B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vAlign w:val="center"/>
          </w:tcPr>
          <w:p w14:paraId="0998C55A">
            <w:pPr>
              <w:pStyle w:val="71"/>
              <w:spacing w:before="24" w:after="24"/>
              <w:rPr>
                <w:rFonts w:cs="Times New Roman"/>
              </w:rPr>
            </w:pPr>
            <w:r>
              <w:rPr>
                <w:rFonts w:cs="Times New Roman"/>
              </w:rPr>
              <w:t>照明</w:t>
            </w:r>
          </w:p>
        </w:tc>
        <w:tc>
          <w:tcPr>
            <w:tcW w:w="1302" w:type="dxa"/>
            <w:tcBorders>
              <w:top w:val="single" w:color="auto" w:sz="4" w:space="0"/>
              <w:left w:val="single" w:color="auto" w:sz="4" w:space="0"/>
              <w:bottom w:val="single" w:color="auto" w:sz="4" w:space="0"/>
              <w:right w:val="single" w:color="auto" w:sz="4" w:space="0"/>
            </w:tcBorders>
            <w:vAlign w:val="center"/>
          </w:tcPr>
          <w:p w14:paraId="44D7D3E7">
            <w:pPr>
              <w:pStyle w:val="71"/>
              <w:spacing w:before="24" w:after="24"/>
              <w:rPr>
                <w:rFonts w:cs="Times New Roman"/>
              </w:rPr>
            </w:pPr>
            <w:r>
              <w:rPr>
                <w:rFonts w:cs="Times New Roman"/>
              </w:rPr>
              <w:t>路灯</w:t>
            </w:r>
          </w:p>
        </w:tc>
        <w:tc>
          <w:tcPr>
            <w:tcW w:w="3198" w:type="dxa"/>
            <w:tcBorders>
              <w:top w:val="single" w:color="auto" w:sz="4" w:space="0"/>
              <w:left w:val="single" w:color="auto" w:sz="4" w:space="0"/>
              <w:bottom w:val="single" w:color="auto" w:sz="4" w:space="0"/>
              <w:right w:val="single" w:color="auto" w:sz="4" w:space="0"/>
            </w:tcBorders>
          </w:tcPr>
          <w:p w14:paraId="26E92654">
            <w:pPr>
              <w:pStyle w:val="71"/>
              <w:spacing w:before="24" w:after="24"/>
              <w:rPr>
                <w:rFonts w:cs="Times New Roman"/>
              </w:rPr>
            </w:pPr>
            <w:r>
              <w:rPr>
                <w:rFonts w:cs="Times New Roman"/>
              </w:rPr>
              <w:t>型号-构造-照明参数</w:t>
            </w:r>
          </w:p>
        </w:tc>
        <w:tc>
          <w:tcPr>
            <w:tcW w:w="3046" w:type="dxa"/>
            <w:tcBorders>
              <w:top w:val="single" w:color="auto" w:sz="4" w:space="0"/>
              <w:left w:val="single" w:color="auto" w:sz="4" w:space="0"/>
              <w:bottom w:val="single" w:color="auto" w:sz="4" w:space="0"/>
              <w:right w:val="single" w:color="auto" w:sz="4" w:space="0"/>
            </w:tcBorders>
            <w:vAlign w:val="center"/>
          </w:tcPr>
          <w:p w14:paraId="59701D16">
            <w:pPr>
              <w:pStyle w:val="71"/>
              <w:spacing w:before="24" w:after="24"/>
              <w:rPr>
                <w:rFonts w:cs="Times New Roman"/>
              </w:rPr>
            </w:pPr>
          </w:p>
        </w:tc>
      </w:tr>
      <w:tr w14:paraId="0BBCC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tcPr>
          <w:p w14:paraId="77C409DE">
            <w:pPr>
              <w:pStyle w:val="71"/>
              <w:spacing w:before="24" w:after="24"/>
              <w:rPr>
                <w:rFonts w:cs="Times New Roman"/>
              </w:rPr>
            </w:pPr>
            <w:r>
              <w:rPr>
                <w:rFonts w:cs="Times New Roman"/>
              </w:rPr>
              <w:t>绿化</w:t>
            </w:r>
          </w:p>
        </w:tc>
        <w:tc>
          <w:tcPr>
            <w:tcW w:w="1302" w:type="dxa"/>
            <w:tcBorders>
              <w:top w:val="single" w:color="auto" w:sz="4" w:space="0"/>
              <w:left w:val="single" w:color="auto" w:sz="4" w:space="0"/>
              <w:bottom w:val="single" w:color="auto" w:sz="4" w:space="0"/>
              <w:right w:val="single" w:color="auto" w:sz="4" w:space="0"/>
            </w:tcBorders>
          </w:tcPr>
          <w:p w14:paraId="36BB715A">
            <w:pPr>
              <w:pStyle w:val="71"/>
              <w:spacing w:before="24" w:after="24"/>
              <w:rPr>
                <w:rFonts w:cs="Times New Roman"/>
              </w:rPr>
            </w:pPr>
            <w:r>
              <w:rPr>
                <w:rFonts w:cs="Times New Roman"/>
              </w:rPr>
              <w:t>绿化带</w:t>
            </w:r>
          </w:p>
        </w:tc>
        <w:tc>
          <w:tcPr>
            <w:tcW w:w="3198" w:type="dxa"/>
            <w:tcBorders>
              <w:top w:val="single" w:color="auto" w:sz="4" w:space="0"/>
              <w:left w:val="single" w:color="auto" w:sz="4" w:space="0"/>
              <w:bottom w:val="single" w:color="auto" w:sz="4" w:space="0"/>
              <w:right w:val="single" w:color="auto" w:sz="4" w:space="0"/>
            </w:tcBorders>
          </w:tcPr>
          <w:p w14:paraId="4FF84C28">
            <w:pPr>
              <w:pStyle w:val="71"/>
              <w:spacing w:before="24" w:after="24"/>
              <w:rPr>
                <w:rFonts w:cs="Times New Roman"/>
              </w:rPr>
            </w:pPr>
            <w:r>
              <w:rPr>
                <w:rFonts w:cs="Times New Roman"/>
              </w:rPr>
              <w:t>尺寸</w:t>
            </w:r>
          </w:p>
        </w:tc>
        <w:tc>
          <w:tcPr>
            <w:tcW w:w="3046" w:type="dxa"/>
            <w:tcBorders>
              <w:top w:val="single" w:color="auto" w:sz="4" w:space="0"/>
              <w:left w:val="single" w:color="auto" w:sz="4" w:space="0"/>
              <w:bottom w:val="single" w:color="auto" w:sz="4" w:space="0"/>
              <w:right w:val="single" w:color="auto" w:sz="4" w:space="0"/>
            </w:tcBorders>
            <w:vAlign w:val="center"/>
          </w:tcPr>
          <w:p w14:paraId="038E78CC">
            <w:pPr>
              <w:pStyle w:val="71"/>
              <w:spacing w:before="24" w:after="24"/>
              <w:rPr>
                <w:rFonts w:cs="Times New Roman"/>
              </w:rPr>
            </w:pPr>
          </w:p>
        </w:tc>
      </w:tr>
      <w:tr w14:paraId="4A6CD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tcPr>
          <w:p w14:paraId="64B37603">
            <w:pPr>
              <w:pStyle w:val="71"/>
              <w:spacing w:before="24" w:after="24"/>
              <w:rPr>
                <w:rFonts w:cs="Times New Roman"/>
              </w:rPr>
            </w:pPr>
            <w:r>
              <w:rPr>
                <w:rFonts w:cs="Times New Roman"/>
              </w:rPr>
              <w:t>绿化</w:t>
            </w:r>
          </w:p>
        </w:tc>
        <w:tc>
          <w:tcPr>
            <w:tcW w:w="1302" w:type="dxa"/>
            <w:tcBorders>
              <w:top w:val="single" w:color="auto" w:sz="4" w:space="0"/>
              <w:left w:val="single" w:color="auto" w:sz="4" w:space="0"/>
              <w:bottom w:val="single" w:color="auto" w:sz="4" w:space="0"/>
              <w:right w:val="single" w:color="auto" w:sz="4" w:space="0"/>
            </w:tcBorders>
          </w:tcPr>
          <w:p w14:paraId="53C3356B">
            <w:pPr>
              <w:pStyle w:val="71"/>
              <w:spacing w:before="24" w:after="24"/>
              <w:rPr>
                <w:rFonts w:cs="Times New Roman"/>
              </w:rPr>
            </w:pPr>
            <w:r>
              <w:rPr>
                <w:rFonts w:cs="Times New Roman"/>
              </w:rPr>
              <w:t>分隔带</w:t>
            </w:r>
          </w:p>
        </w:tc>
        <w:tc>
          <w:tcPr>
            <w:tcW w:w="3198" w:type="dxa"/>
            <w:tcBorders>
              <w:top w:val="single" w:color="auto" w:sz="4" w:space="0"/>
              <w:left w:val="single" w:color="auto" w:sz="4" w:space="0"/>
              <w:bottom w:val="single" w:color="auto" w:sz="4" w:space="0"/>
              <w:right w:val="single" w:color="auto" w:sz="4" w:space="0"/>
            </w:tcBorders>
          </w:tcPr>
          <w:p w14:paraId="02E52C08">
            <w:pPr>
              <w:pStyle w:val="71"/>
              <w:spacing w:before="24" w:after="24"/>
              <w:rPr>
                <w:rFonts w:cs="Times New Roman"/>
              </w:rPr>
            </w:pPr>
            <w:r>
              <w:rPr>
                <w:rFonts w:cs="Times New Roman"/>
              </w:rPr>
              <w:t>尺寸</w:t>
            </w:r>
          </w:p>
        </w:tc>
        <w:tc>
          <w:tcPr>
            <w:tcW w:w="3046" w:type="dxa"/>
            <w:tcBorders>
              <w:top w:val="single" w:color="auto" w:sz="4" w:space="0"/>
              <w:left w:val="single" w:color="auto" w:sz="4" w:space="0"/>
              <w:bottom w:val="single" w:color="auto" w:sz="4" w:space="0"/>
              <w:right w:val="single" w:color="auto" w:sz="4" w:space="0"/>
            </w:tcBorders>
            <w:vAlign w:val="center"/>
          </w:tcPr>
          <w:p w14:paraId="2CD6E06F">
            <w:pPr>
              <w:pStyle w:val="71"/>
              <w:spacing w:before="24" w:after="24"/>
              <w:rPr>
                <w:rFonts w:cs="Times New Roman"/>
              </w:rPr>
            </w:pPr>
          </w:p>
        </w:tc>
      </w:tr>
      <w:tr w14:paraId="4C6F8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tcPr>
          <w:p w14:paraId="4DA5FBAA">
            <w:pPr>
              <w:pStyle w:val="71"/>
              <w:spacing w:before="24" w:after="24"/>
              <w:rPr>
                <w:rFonts w:cs="Times New Roman"/>
              </w:rPr>
            </w:pPr>
            <w:r>
              <w:rPr>
                <w:rFonts w:cs="Times New Roman"/>
              </w:rPr>
              <w:t>绿化</w:t>
            </w:r>
          </w:p>
        </w:tc>
        <w:tc>
          <w:tcPr>
            <w:tcW w:w="1302" w:type="dxa"/>
            <w:tcBorders>
              <w:top w:val="single" w:color="auto" w:sz="4" w:space="0"/>
              <w:left w:val="single" w:color="auto" w:sz="4" w:space="0"/>
              <w:bottom w:val="single" w:color="auto" w:sz="4" w:space="0"/>
              <w:right w:val="single" w:color="auto" w:sz="4" w:space="0"/>
            </w:tcBorders>
          </w:tcPr>
          <w:p w14:paraId="73B48A89">
            <w:pPr>
              <w:pStyle w:val="71"/>
              <w:spacing w:before="24" w:after="24"/>
              <w:rPr>
                <w:rFonts w:cs="Times New Roman"/>
              </w:rPr>
            </w:pPr>
            <w:r>
              <w:rPr>
                <w:rFonts w:cs="Times New Roman"/>
              </w:rPr>
              <w:t>拦水带</w:t>
            </w:r>
          </w:p>
        </w:tc>
        <w:tc>
          <w:tcPr>
            <w:tcW w:w="3198" w:type="dxa"/>
            <w:tcBorders>
              <w:top w:val="single" w:color="auto" w:sz="4" w:space="0"/>
              <w:left w:val="single" w:color="auto" w:sz="4" w:space="0"/>
              <w:bottom w:val="single" w:color="auto" w:sz="4" w:space="0"/>
              <w:right w:val="single" w:color="auto" w:sz="4" w:space="0"/>
            </w:tcBorders>
          </w:tcPr>
          <w:p w14:paraId="7033AB8B">
            <w:pPr>
              <w:pStyle w:val="71"/>
              <w:spacing w:before="24" w:after="24"/>
              <w:rPr>
                <w:rFonts w:cs="Times New Roman"/>
              </w:rPr>
            </w:pPr>
            <w:r>
              <w:rPr>
                <w:rFonts w:cs="Times New Roman"/>
              </w:rPr>
              <w:t>尺寸-材料-参数</w:t>
            </w:r>
          </w:p>
        </w:tc>
        <w:tc>
          <w:tcPr>
            <w:tcW w:w="3046" w:type="dxa"/>
            <w:tcBorders>
              <w:top w:val="single" w:color="auto" w:sz="4" w:space="0"/>
              <w:left w:val="single" w:color="auto" w:sz="4" w:space="0"/>
              <w:bottom w:val="single" w:color="auto" w:sz="4" w:space="0"/>
              <w:right w:val="single" w:color="auto" w:sz="4" w:space="0"/>
            </w:tcBorders>
            <w:vAlign w:val="center"/>
          </w:tcPr>
          <w:p w14:paraId="0948E46B">
            <w:pPr>
              <w:pStyle w:val="71"/>
              <w:spacing w:before="24" w:after="24"/>
              <w:rPr>
                <w:rFonts w:cs="Times New Roman"/>
              </w:rPr>
            </w:pPr>
          </w:p>
        </w:tc>
      </w:tr>
      <w:tr w14:paraId="3C16D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vAlign w:val="center"/>
          </w:tcPr>
          <w:p w14:paraId="6D7A8997">
            <w:pPr>
              <w:pStyle w:val="71"/>
              <w:spacing w:before="24" w:after="24"/>
              <w:rPr>
                <w:rFonts w:cs="Times New Roman"/>
              </w:rPr>
            </w:pPr>
            <w:r>
              <w:rPr>
                <w:rFonts w:cs="Times New Roman"/>
              </w:rPr>
              <w:t>综合管网</w:t>
            </w:r>
          </w:p>
        </w:tc>
        <w:tc>
          <w:tcPr>
            <w:tcW w:w="1302" w:type="dxa"/>
            <w:tcBorders>
              <w:top w:val="single" w:color="auto" w:sz="4" w:space="0"/>
              <w:left w:val="single" w:color="auto" w:sz="4" w:space="0"/>
              <w:bottom w:val="single" w:color="auto" w:sz="4" w:space="0"/>
              <w:right w:val="single" w:color="auto" w:sz="4" w:space="0"/>
            </w:tcBorders>
            <w:vAlign w:val="center"/>
          </w:tcPr>
          <w:p w14:paraId="10FD56A0">
            <w:pPr>
              <w:pStyle w:val="71"/>
              <w:spacing w:before="24" w:after="24"/>
              <w:rPr>
                <w:rFonts w:cs="Times New Roman"/>
              </w:rPr>
            </w:pPr>
            <w:r>
              <w:rPr>
                <w:rFonts w:cs="Times New Roman"/>
              </w:rPr>
              <w:t>管道</w:t>
            </w:r>
          </w:p>
        </w:tc>
        <w:tc>
          <w:tcPr>
            <w:tcW w:w="3198" w:type="dxa"/>
            <w:tcBorders>
              <w:top w:val="single" w:color="auto" w:sz="4" w:space="0"/>
              <w:left w:val="single" w:color="auto" w:sz="4" w:space="0"/>
              <w:bottom w:val="single" w:color="auto" w:sz="4" w:space="0"/>
              <w:right w:val="single" w:color="auto" w:sz="4" w:space="0"/>
            </w:tcBorders>
            <w:vAlign w:val="center"/>
          </w:tcPr>
          <w:p w14:paraId="61F0F9D6">
            <w:pPr>
              <w:pStyle w:val="71"/>
              <w:spacing w:before="24" w:after="24"/>
              <w:rPr>
                <w:rFonts w:cs="Times New Roman"/>
              </w:rPr>
            </w:pPr>
            <w:r>
              <w:rPr>
                <w:rFonts w:cs="Times New Roman"/>
              </w:rPr>
              <w:t>规格型号-材料</w:t>
            </w:r>
          </w:p>
        </w:tc>
        <w:tc>
          <w:tcPr>
            <w:tcW w:w="3046" w:type="dxa"/>
            <w:tcBorders>
              <w:top w:val="single" w:color="auto" w:sz="4" w:space="0"/>
              <w:left w:val="single" w:color="auto" w:sz="4" w:space="0"/>
              <w:bottom w:val="single" w:color="auto" w:sz="4" w:space="0"/>
              <w:right w:val="single" w:color="auto" w:sz="4" w:space="0"/>
            </w:tcBorders>
            <w:vAlign w:val="center"/>
          </w:tcPr>
          <w:p w14:paraId="74AD6C0B">
            <w:pPr>
              <w:pStyle w:val="71"/>
              <w:spacing w:before="24" w:after="24"/>
              <w:rPr>
                <w:rFonts w:cs="Times New Roman"/>
              </w:rPr>
            </w:pPr>
            <w:r>
              <w:rPr>
                <w:rFonts w:cs="Times New Roman"/>
              </w:rPr>
              <w:t>包含给水、雨水、污水、燃气、消防、电力、通信等</w:t>
            </w:r>
          </w:p>
        </w:tc>
      </w:tr>
      <w:tr w14:paraId="6EAB3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tcPr>
          <w:p w14:paraId="5283AC35">
            <w:pPr>
              <w:pStyle w:val="71"/>
              <w:spacing w:before="24" w:after="24"/>
              <w:rPr>
                <w:rFonts w:cs="Times New Roman"/>
              </w:rPr>
            </w:pPr>
            <w:r>
              <w:rPr>
                <w:rFonts w:cs="Times New Roman"/>
              </w:rPr>
              <w:t>综合管网</w:t>
            </w:r>
          </w:p>
        </w:tc>
        <w:tc>
          <w:tcPr>
            <w:tcW w:w="1302" w:type="dxa"/>
            <w:tcBorders>
              <w:top w:val="single" w:color="auto" w:sz="4" w:space="0"/>
              <w:left w:val="single" w:color="auto" w:sz="4" w:space="0"/>
              <w:bottom w:val="single" w:color="auto" w:sz="4" w:space="0"/>
              <w:right w:val="single" w:color="auto" w:sz="4" w:space="0"/>
            </w:tcBorders>
          </w:tcPr>
          <w:p w14:paraId="20725568">
            <w:pPr>
              <w:pStyle w:val="71"/>
              <w:spacing w:before="24" w:after="24"/>
              <w:rPr>
                <w:rFonts w:cs="Times New Roman"/>
              </w:rPr>
            </w:pPr>
            <w:r>
              <w:rPr>
                <w:rFonts w:cs="Times New Roman"/>
              </w:rPr>
              <w:t>雨污水井</w:t>
            </w:r>
          </w:p>
        </w:tc>
        <w:tc>
          <w:tcPr>
            <w:tcW w:w="3198" w:type="dxa"/>
            <w:tcBorders>
              <w:top w:val="single" w:color="auto" w:sz="4" w:space="0"/>
              <w:left w:val="single" w:color="auto" w:sz="4" w:space="0"/>
              <w:bottom w:val="single" w:color="auto" w:sz="4" w:space="0"/>
              <w:right w:val="single" w:color="auto" w:sz="4" w:space="0"/>
            </w:tcBorders>
          </w:tcPr>
          <w:p w14:paraId="5D433CB0">
            <w:pPr>
              <w:pStyle w:val="71"/>
              <w:spacing w:before="24" w:after="24"/>
              <w:rPr>
                <w:rFonts w:cs="Times New Roman"/>
              </w:rPr>
            </w:pPr>
            <w:r>
              <w:rPr>
                <w:rFonts w:cs="Times New Roman"/>
              </w:rPr>
              <w:t>深度-材料-规格-连接管管径</w:t>
            </w:r>
          </w:p>
        </w:tc>
        <w:tc>
          <w:tcPr>
            <w:tcW w:w="3046" w:type="dxa"/>
            <w:tcBorders>
              <w:top w:val="single" w:color="auto" w:sz="4" w:space="0"/>
              <w:left w:val="single" w:color="auto" w:sz="4" w:space="0"/>
              <w:bottom w:val="single" w:color="auto" w:sz="4" w:space="0"/>
              <w:right w:val="single" w:color="auto" w:sz="4" w:space="0"/>
            </w:tcBorders>
            <w:vAlign w:val="center"/>
          </w:tcPr>
          <w:p w14:paraId="777C17D5">
            <w:pPr>
              <w:pStyle w:val="71"/>
              <w:spacing w:before="24" w:after="24"/>
              <w:rPr>
                <w:rFonts w:cs="Times New Roman"/>
              </w:rPr>
            </w:pPr>
          </w:p>
        </w:tc>
      </w:tr>
      <w:tr w14:paraId="187A5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tcPr>
          <w:p w14:paraId="393BB0D8">
            <w:pPr>
              <w:pStyle w:val="71"/>
              <w:spacing w:before="24" w:after="24"/>
              <w:rPr>
                <w:rFonts w:cs="Times New Roman"/>
              </w:rPr>
            </w:pPr>
            <w:r>
              <w:rPr>
                <w:rFonts w:cs="Times New Roman"/>
              </w:rPr>
              <w:t>综合管网</w:t>
            </w:r>
          </w:p>
        </w:tc>
        <w:tc>
          <w:tcPr>
            <w:tcW w:w="1302" w:type="dxa"/>
            <w:tcBorders>
              <w:top w:val="single" w:color="auto" w:sz="4" w:space="0"/>
              <w:left w:val="single" w:color="auto" w:sz="4" w:space="0"/>
              <w:bottom w:val="single" w:color="auto" w:sz="4" w:space="0"/>
              <w:right w:val="single" w:color="auto" w:sz="4" w:space="0"/>
            </w:tcBorders>
          </w:tcPr>
          <w:p w14:paraId="41FC314D">
            <w:pPr>
              <w:pStyle w:val="71"/>
              <w:spacing w:before="24" w:after="24"/>
              <w:rPr>
                <w:rFonts w:cs="Times New Roman"/>
              </w:rPr>
            </w:pPr>
            <w:r>
              <w:rPr>
                <w:rFonts w:cs="Times New Roman"/>
              </w:rPr>
              <w:t>电缆井</w:t>
            </w:r>
          </w:p>
        </w:tc>
        <w:tc>
          <w:tcPr>
            <w:tcW w:w="3198" w:type="dxa"/>
            <w:tcBorders>
              <w:top w:val="single" w:color="auto" w:sz="4" w:space="0"/>
              <w:left w:val="single" w:color="auto" w:sz="4" w:space="0"/>
              <w:bottom w:val="single" w:color="auto" w:sz="4" w:space="0"/>
              <w:right w:val="single" w:color="auto" w:sz="4" w:space="0"/>
            </w:tcBorders>
          </w:tcPr>
          <w:p w14:paraId="02FC20DB">
            <w:pPr>
              <w:pStyle w:val="71"/>
              <w:spacing w:before="24" w:after="24"/>
              <w:rPr>
                <w:rFonts w:cs="Times New Roman"/>
              </w:rPr>
            </w:pPr>
            <w:r>
              <w:rPr>
                <w:rFonts w:cs="Times New Roman"/>
              </w:rPr>
              <w:t>深度-材料-规格</w:t>
            </w:r>
          </w:p>
        </w:tc>
        <w:tc>
          <w:tcPr>
            <w:tcW w:w="3046" w:type="dxa"/>
            <w:tcBorders>
              <w:top w:val="single" w:color="auto" w:sz="4" w:space="0"/>
              <w:left w:val="single" w:color="auto" w:sz="4" w:space="0"/>
              <w:bottom w:val="single" w:color="auto" w:sz="4" w:space="0"/>
              <w:right w:val="single" w:color="auto" w:sz="4" w:space="0"/>
            </w:tcBorders>
            <w:vAlign w:val="center"/>
          </w:tcPr>
          <w:p w14:paraId="1D8528C8">
            <w:pPr>
              <w:pStyle w:val="71"/>
              <w:spacing w:before="24" w:after="24"/>
              <w:rPr>
                <w:rFonts w:cs="Times New Roman"/>
              </w:rPr>
            </w:pPr>
          </w:p>
        </w:tc>
      </w:tr>
      <w:tr w14:paraId="2287C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tcPr>
          <w:p w14:paraId="282E0B7A">
            <w:pPr>
              <w:pStyle w:val="71"/>
              <w:spacing w:before="24" w:after="24"/>
              <w:rPr>
                <w:rFonts w:cs="Times New Roman"/>
              </w:rPr>
            </w:pPr>
            <w:r>
              <w:rPr>
                <w:rFonts w:cs="Times New Roman"/>
              </w:rPr>
              <w:t>综合管网</w:t>
            </w:r>
          </w:p>
        </w:tc>
        <w:tc>
          <w:tcPr>
            <w:tcW w:w="1302" w:type="dxa"/>
            <w:tcBorders>
              <w:top w:val="single" w:color="auto" w:sz="4" w:space="0"/>
              <w:left w:val="single" w:color="auto" w:sz="4" w:space="0"/>
              <w:bottom w:val="single" w:color="auto" w:sz="4" w:space="0"/>
              <w:right w:val="single" w:color="auto" w:sz="4" w:space="0"/>
            </w:tcBorders>
          </w:tcPr>
          <w:p w14:paraId="097B1F37">
            <w:pPr>
              <w:pStyle w:val="71"/>
              <w:spacing w:before="24" w:after="24"/>
              <w:rPr>
                <w:rFonts w:cs="Times New Roman"/>
              </w:rPr>
            </w:pPr>
            <w:r>
              <w:rPr>
                <w:rFonts w:cs="Times New Roman"/>
              </w:rPr>
              <w:t>通信井</w:t>
            </w:r>
          </w:p>
        </w:tc>
        <w:tc>
          <w:tcPr>
            <w:tcW w:w="3198" w:type="dxa"/>
            <w:tcBorders>
              <w:top w:val="single" w:color="auto" w:sz="4" w:space="0"/>
              <w:left w:val="single" w:color="auto" w:sz="4" w:space="0"/>
              <w:bottom w:val="single" w:color="auto" w:sz="4" w:space="0"/>
              <w:right w:val="single" w:color="auto" w:sz="4" w:space="0"/>
            </w:tcBorders>
          </w:tcPr>
          <w:p w14:paraId="536936EE">
            <w:pPr>
              <w:pStyle w:val="71"/>
              <w:spacing w:before="24" w:after="24"/>
              <w:rPr>
                <w:rFonts w:cs="Times New Roman"/>
              </w:rPr>
            </w:pPr>
            <w:r>
              <w:rPr>
                <w:rFonts w:cs="Times New Roman"/>
              </w:rPr>
              <w:t>深度-材料-规格</w:t>
            </w:r>
          </w:p>
        </w:tc>
        <w:tc>
          <w:tcPr>
            <w:tcW w:w="3046" w:type="dxa"/>
            <w:tcBorders>
              <w:top w:val="single" w:color="auto" w:sz="4" w:space="0"/>
              <w:left w:val="single" w:color="auto" w:sz="4" w:space="0"/>
              <w:bottom w:val="single" w:color="auto" w:sz="4" w:space="0"/>
              <w:right w:val="single" w:color="auto" w:sz="4" w:space="0"/>
            </w:tcBorders>
            <w:vAlign w:val="center"/>
          </w:tcPr>
          <w:p w14:paraId="066D19E9">
            <w:pPr>
              <w:pStyle w:val="71"/>
              <w:spacing w:before="24" w:after="24"/>
              <w:rPr>
                <w:rFonts w:cs="Times New Roman"/>
              </w:rPr>
            </w:pPr>
          </w:p>
        </w:tc>
      </w:tr>
      <w:tr w14:paraId="4D46E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tcPr>
          <w:p w14:paraId="4D7C0093">
            <w:pPr>
              <w:pStyle w:val="71"/>
              <w:spacing w:before="24" w:after="24"/>
              <w:rPr>
                <w:rFonts w:cs="Times New Roman"/>
              </w:rPr>
            </w:pPr>
            <w:r>
              <w:rPr>
                <w:rFonts w:cs="Times New Roman"/>
              </w:rPr>
              <w:t>综合管网</w:t>
            </w:r>
          </w:p>
        </w:tc>
        <w:tc>
          <w:tcPr>
            <w:tcW w:w="1302" w:type="dxa"/>
            <w:tcBorders>
              <w:top w:val="single" w:color="auto" w:sz="4" w:space="0"/>
              <w:left w:val="single" w:color="auto" w:sz="4" w:space="0"/>
              <w:bottom w:val="single" w:color="auto" w:sz="4" w:space="0"/>
              <w:right w:val="single" w:color="auto" w:sz="4" w:space="0"/>
            </w:tcBorders>
          </w:tcPr>
          <w:p w14:paraId="292EF865">
            <w:pPr>
              <w:pStyle w:val="71"/>
              <w:spacing w:before="24" w:after="24"/>
              <w:rPr>
                <w:rFonts w:cs="Times New Roman"/>
              </w:rPr>
            </w:pPr>
            <w:r>
              <w:rPr>
                <w:rFonts w:cs="Times New Roman"/>
              </w:rPr>
              <w:t>雨水口</w:t>
            </w:r>
          </w:p>
        </w:tc>
        <w:tc>
          <w:tcPr>
            <w:tcW w:w="3198" w:type="dxa"/>
            <w:tcBorders>
              <w:top w:val="single" w:color="auto" w:sz="4" w:space="0"/>
              <w:left w:val="single" w:color="auto" w:sz="4" w:space="0"/>
              <w:bottom w:val="single" w:color="auto" w:sz="4" w:space="0"/>
              <w:right w:val="single" w:color="auto" w:sz="4" w:space="0"/>
            </w:tcBorders>
          </w:tcPr>
          <w:p w14:paraId="09FC113D">
            <w:pPr>
              <w:pStyle w:val="71"/>
              <w:spacing w:before="24" w:after="24"/>
              <w:rPr>
                <w:rFonts w:cs="Times New Roman"/>
              </w:rPr>
            </w:pPr>
            <w:r>
              <w:rPr>
                <w:rFonts w:cs="Times New Roman"/>
              </w:rPr>
              <w:t>深度-材料-规格</w:t>
            </w:r>
          </w:p>
        </w:tc>
        <w:tc>
          <w:tcPr>
            <w:tcW w:w="3046" w:type="dxa"/>
            <w:tcBorders>
              <w:top w:val="single" w:color="auto" w:sz="4" w:space="0"/>
              <w:left w:val="single" w:color="auto" w:sz="4" w:space="0"/>
              <w:bottom w:val="single" w:color="auto" w:sz="4" w:space="0"/>
              <w:right w:val="single" w:color="auto" w:sz="4" w:space="0"/>
            </w:tcBorders>
            <w:vAlign w:val="center"/>
          </w:tcPr>
          <w:p w14:paraId="262DFCC5">
            <w:pPr>
              <w:pStyle w:val="71"/>
              <w:spacing w:before="24" w:after="24"/>
              <w:rPr>
                <w:rFonts w:cs="Times New Roman"/>
              </w:rPr>
            </w:pPr>
          </w:p>
        </w:tc>
      </w:tr>
      <w:tr w14:paraId="1B421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9" w:type="dxa"/>
            <w:tcBorders>
              <w:top w:val="single" w:color="auto" w:sz="4" w:space="0"/>
              <w:left w:val="single" w:color="auto" w:sz="4" w:space="0"/>
              <w:bottom w:val="single" w:color="auto" w:sz="4" w:space="0"/>
              <w:right w:val="single" w:color="auto" w:sz="4" w:space="0"/>
            </w:tcBorders>
          </w:tcPr>
          <w:p w14:paraId="331E1956">
            <w:pPr>
              <w:pStyle w:val="71"/>
              <w:spacing w:before="24" w:after="24"/>
              <w:rPr>
                <w:rFonts w:cs="Times New Roman"/>
              </w:rPr>
            </w:pPr>
            <w:r>
              <w:rPr>
                <w:rFonts w:cs="Times New Roman"/>
              </w:rPr>
              <w:t>综合管网</w:t>
            </w:r>
          </w:p>
        </w:tc>
        <w:tc>
          <w:tcPr>
            <w:tcW w:w="1302" w:type="dxa"/>
            <w:tcBorders>
              <w:top w:val="single" w:color="auto" w:sz="4" w:space="0"/>
              <w:left w:val="single" w:color="auto" w:sz="4" w:space="0"/>
              <w:bottom w:val="single" w:color="auto" w:sz="4" w:space="0"/>
              <w:right w:val="single" w:color="auto" w:sz="4" w:space="0"/>
            </w:tcBorders>
          </w:tcPr>
          <w:p w14:paraId="24BEC57F">
            <w:pPr>
              <w:pStyle w:val="71"/>
              <w:spacing w:before="24" w:after="24"/>
              <w:rPr>
                <w:rFonts w:cs="Times New Roman"/>
              </w:rPr>
            </w:pPr>
            <w:r>
              <w:rPr>
                <w:rFonts w:cs="Times New Roman"/>
              </w:rPr>
              <w:t>线缆</w:t>
            </w:r>
          </w:p>
        </w:tc>
        <w:tc>
          <w:tcPr>
            <w:tcW w:w="3198" w:type="dxa"/>
            <w:tcBorders>
              <w:top w:val="single" w:color="auto" w:sz="4" w:space="0"/>
              <w:left w:val="single" w:color="auto" w:sz="4" w:space="0"/>
              <w:bottom w:val="single" w:color="auto" w:sz="4" w:space="0"/>
              <w:right w:val="single" w:color="auto" w:sz="4" w:space="0"/>
            </w:tcBorders>
          </w:tcPr>
          <w:p w14:paraId="45AB5707">
            <w:pPr>
              <w:pStyle w:val="71"/>
              <w:spacing w:before="24" w:after="24"/>
              <w:rPr>
                <w:rFonts w:cs="Times New Roman"/>
              </w:rPr>
            </w:pPr>
            <w:r>
              <w:rPr>
                <w:rFonts w:cs="Times New Roman"/>
              </w:rPr>
              <w:t>规格型号</w:t>
            </w:r>
          </w:p>
        </w:tc>
        <w:tc>
          <w:tcPr>
            <w:tcW w:w="3046" w:type="dxa"/>
            <w:tcBorders>
              <w:top w:val="single" w:color="auto" w:sz="4" w:space="0"/>
              <w:left w:val="single" w:color="auto" w:sz="4" w:space="0"/>
              <w:bottom w:val="single" w:color="auto" w:sz="4" w:space="0"/>
              <w:right w:val="single" w:color="auto" w:sz="4" w:space="0"/>
            </w:tcBorders>
            <w:vAlign w:val="center"/>
          </w:tcPr>
          <w:p w14:paraId="593682BB">
            <w:pPr>
              <w:pStyle w:val="71"/>
              <w:spacing w:before="24" w:after="24"/>
              <w:rPr>
                <w:rFonts w:cs="Times New Roman"/>
              </w:rPr>
            </w:pPr>
          </w:p>
        </w:tc>
      </w:tr>
    </w:tbl>
    <w:p w14:paraId="5236EEDA">
      <w:pPr>
        <w:pStyle w:val="54"/>
        <w:spacing w:before="24" w:after="24"/>
      </w:pPr>
      <w:r>
        <w:t>构件名称应遵循统一的命名约定，涵盖关键属性信息，确保每个构件具有唯一性和可追溯性。命名规则必须支持跨模型整合时的自动识别、冲突检测和版本控制，避免歧义或重复。操作手册中需明确定义命名结构的分级逻辑，并附有典型构件的命名示例和应用场景说明，以指导实际建模工作。</w:t>
      </w:r>
    </w:p>
    <w:p w14:paraId="2075F62B">
      <w:pPr>
        <w:pStyle w:val="54"/>
        <w:spacing w:before="24" w:after="24"/>
      </w:pPr>
      <w:r>
        <w:t>模型参数设置要求：</w:t>
      </w:r>
    </w:p>
    <w:p w14:paraId="68718258">
      <w:pPr>
        <w:pStyle w:val="54"/>
        <w:spacing w:before="24" w:after="24"/>
      </w:pPr>
      <w:r>
        <w:t>为实现项目实施过程中各类技术分析以及管理需求，切实提升效率、增强协作沟通、节约成本，真正实现建筑模型的信息化，模型参数应包括构件的几何尺寸、材料属性、功能指标及关联属性，并与构件命名规则保持一致，确保参数信息在跨模型整合、冲突检测和版本控制中实现自动识别与追溯。具体参数设置需依据项目类型和LOD要求细化，以支持全生命周期的分析与管理。具体要求如下：</w:t>
      </w:r>
    </w:p>
    <w:p w14:paraId="65A2690C">
      <w:pPr>
        <w:pStyle w:val="54"/>
        <w:spacing w:before="24" w:after="24"/>
      </w:pPr>
      <w:r>
        <w:t>房建类项目</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9"/>
        <w:gridCol w:w="1760"/>
        <w:gridCol w:w="4880"/>
        <w:gridCol w:w="1146"/>
      </w:tblGrid>
      <w:tr w14:paraId="529AA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279" w:type="dxa"/>
            <w:tcBorders>
              <w:top w:val="single" w:color="auto" w:sz="4" w:space="0"/>
              <w:left w:val="single" w:color="auto" w:sz="4" w:space="0"/>
              <w:bottom w:val="single" w:color="auto" w:sz="4" w:space="0"/>
              <w:right w:val="single" w:color="auto" w:sz="4" w:space="0"/>
            </w:tcBorders>
            <w:vAlign w:val="center"/>
          </w:tcPr>
          <w:p w14:paraId="22A4CD99">
            <w:pPr>
              <w:pStyle w:val="71"/>
              <w:spacing w:before="24" w:after="24"/>
              <w:rPr>
                <w:rFonts w:cs="Times New Roman"/>
              </w:rPr>
            </w:pPr>
            <w:r>
              <w:rPr>
                <w:rFonts w:cs="Times New Roman"/>
              </w:rPr>
              <w:t>专业类别</w:t>
            </w:r>
          </w:p>
        </w:tc>
        <w:tc>
          <w:tcPr>
            <w:tcW w:w="1760" w:type="dxa"/>
            <w:tcBorders>
              <w:top w:val="single" w:color="auto" w:sz="4" w:space="0"/>
              <w:left w:val="single" w:color="auto" w:sz="4" w:space="0"/>
              <w:bottom w:val="single" w:color="auto" w:sz="4" w:space="0"/>
              <w:right w:val="single" w:color="auto" w:sz="4" w:space="0"/>
            </w:tcBorders>
            <w:vAlign w:val="center"/>
          </w:tcPr>
          <w:p w14:paraId="27703110">
            <w:pPr>
              <w:pStyle w:val="71"/>
              <w:spacing w:before="24" w:after="24"/>
              <w:rPr>
                <w:rFonts w:cs="Times New Roman"/>
              </w:rPr>
            </w:pPr>
            <w:r>
              <w:rPr>
                <w:rFonts w:cs="Times New Roman"/>
              </w:rPr>
              <w:t>分项名称</w:t>
            </w:r>
          </w:p>
        </w:tc>
        <w:tc>
          <w:tcPr>
            <w:tcW w:w="4880" w:type="dxa"/>
            <w:tcBorders>
              <w:top w:val="single" w:color="auto" w:sz="4" w:space="0"/>
              <w:left w:val="single" w:color="auto" w:sz="4" w:space="0"/>
              <w:bottom w:val="single" w:color="auto" w:sz="4" w:space="0"/>
              <w:right w:val="single" w:color="auto" w:sz="4" w:space="0"/>
            </w:tcBorders>
            <w:vAlign w:val="center"/>
          </w:tcPr>
          <w:p w14:paraId="1616FB6C">
            <w:pPr>
              <w:pStyle w:val="71"/>
              <w:spacing w:before="24" w:after="24"/>
              <w:rPr>
                <w:rFonts w:cs="Times New Roman"/>
              </w:rPr>
            </w:pPr>
            <w:r>
              <w:rPr>
                <w:rFonts w:cs="Times New Roman"/>
              </w:rPr>
              <w:t>参数设置要求</w:t>
            </w:r>
          </w:p>
        </w:tc>
        <w:tc>
          <w:tcPr>
            <w:tcW w:w="1146" w:type="dxa"/>
            <w:tcBorders>
              <w:top w:val="single" w:color="auto" w:sz="4" w:space="0"/>
              <w:left w:val="single" w:color="auto" w:sz="4" w:space="0"/>
              <w:bottom w:val="single" w:color="auto" w:sz="4" w:space="0"/>
              <w:right w:val="single" w:color="auto" w:sz="4" w:space="0"/>
            </w:tcBorders>
            <w:vAlign w:val="center"/>
          </w:tcPr>
          <w:p w14:paraId="0AB81217">
            <w:pPr>
              <w:pStyle w:val="71"/>
              <w:spacing w:before="24" w:after="24"/>
              <w:rPr>
                <w:rFonts w:cs="Times New Roman"/>
              </w:rPr>
            </w:pPr>
            <w:r>
              <w:rPr>
                <w:rFonts w:cs="Times New Roman"/>
              </w:rPr>
              <w:t>备注</w:t>
            </w:r>
          </w:p>
        </w:tc>
      </w:tr>
      <w:tr w14:paraId="69266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9" w:type="dxa"/>
            <w:tcBorders>
              <w:top w:val="single" w:color="auto" w:sz="4" w:space="0"/>
              <w:left w:val="single" w:color="auto" w:sz="4" w:space="0"/>
              <w:bottom w:val="single" w:color="auto" w:sz="4" w:space="0"/>
              <w:right w:val="single" w:color="auto" w:sz="4" w:space="0"/>
            </w:tcBorders>
            <w:vAlign w:val="center"/>
          </w:tcPr>
          <w:p w14:paraId="1197E43B">
            <w:pPr>
              <w:pStyle w:val="71"/>
              <w:spacing w:before="24" w:after="24"/>
              <w:rPr>
                <w:rFonts w:cs="Times New Roman"/>
              </w:rPr>
            </w:pPr>
            <w:r>
              <w:rPr>
                <w:rFonts w:cs="Times New Roman"/>
              </w:rPr>
              <w:t>建筑</w:t>
            </w:r>
          </w:p>
        </w:tc>
        <w:tc>
          <w:tcPr>
            <w:tcW w:w="1760" w:type="dxa"/>
            <w:tcBorders>
              <w:top w:val="single" w:color="auto" w:sz="4" w:space="0"/>
              <w:left w:val="single" w:color="auto" w:sz="4" w:space="0"/>
              <w:bottom w:val="single" w:color="auto" w:sz="4" w:space="0"/>
              <w:right w:val="single" w:color="auto" w:sz="4" w:space="0"/>
            </w:tcBorders>
            <w:vAlign w:val="center"/>
          </w:tcPr>
          <w:p w14:paraId="0B1B552C">
            <w:pPr>
              <w:pStyle w:val="71"/>
              <w:spacing w:before="24" w:after="24"/>
              <w:rPr>
                <w:rFonts w:cs="Times New Roman"/>
              </w:rPr>
            </w:pPr>
            <w:r>
              <w:rPr>
                <w:rFonts w:cs="Times New Roman"/>
              </w:rPr>
              <w:t>墙体</w:t>
            </w:r>
          </w:p>
        </w:tc>
        <w:tc>
          <w:tcPr>
            <w:tcW w:w="4880" w:type="dxa"/>
            <w:tcBorders>
              <w:top w:val="single" w:color="auto" w:sz="4" w:space="0"/>
              <w:left w:val="single" w:color="auto" w:sz="4" w:space="0"/>
              <w:bottom w:val="single" w:color="auto" w:sz="4" w:space="0"/>
              <w:right w:val="single" w:color="auto" w:sz="4" w:space="0"/>
            </w:tcBorders>
            <w:vAlign w:val="center"/>
          </w:tcPr>
          <w:p w14:paraId="329F3321">
            <w:pPr>
              <w:pStyle w:val="71"/>
              <w:spacing w:before="24" w:after="24"/>
              <w:rPr>
                <w:rFonts w:cs="Times New Roman"/>
              </w:rPr>
            </w:pPr>
            <w:r>
              <w:rPr>
                <w:rFonts w:cs="Times New Roman"/>
              </w:rPr>
              <w:t>构造层次-厚度-防火要求-材质</w:t>
            </w:r>
          </w:p>
        </w:tc>
        <w:tc>
          <w:tcPr>
            <w:tcW w:w="1146" w:type="dxa"/>
            <w:tcBorders>
              <w:top w:val="single" w:color="auto" w:sz="4" w:space="0"/>
              <w:left w:val="single" w:color="auto" w:sz="4" w:space="0"/>
              <w:bottom w:val="single" w:color="auto" w:sz="4" w:space="0"/>
              <w:right w:val="single" w:color="auto" w:sz="4" w:space="0"/>
            </w:tcBorders>
            <w:vAlign w:val="center"/>
          </w:tcPr>
          <w:p w14:paraId="20795108">
            <w:pPr>
              <w:pStyle w:val="71"/>
              <w:spacing w:before="24" w:after="24"/>
              <w:rPr>
                <w:rFonts w:cs="Times New Roman"/>
              </w:rPr>
            </w:pPr>
          </w:p>
        </w:tc>
      </w:tr>
      <w:tr w14:paraId="5AE39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9" w:type="dxa"/>
            <w:tcBorders>
              <w:top w:val="single" w:color="auto" w:sz="4" w:space="0"/>
              <w:left w:val="single" w:color="auto" w:sz="4" w:space="0"/>
              <w:bottom w:val="single" w:color="auto" w:sz="4" w:space="0"/>
              <w:right w:val="single" w:color="auto" w:sz="4" w:space="0"/>
            </w:tcBorders>
            <w:vAlign w:val="center"/>
          </w:tcPr>
          <w:p w14:paraId="00CF2BF5">
            <w:pPr>
              <w:pStyle w:val="71"/>
              <w:spacing w:before="24" w:after="24"/>
              <w:rPr>
                <w:rFonts w:cs="Times New Roman"/>
              </w:rPr>
            </w:pPr>
            <w:r>
              <w:rPr>
                <w:rFonts w:cs="Times New Roman"/>
              </w:rPr>
              <w:t>建筑</w:t>
            </w:r>
          </w:p>
        </w:tc>
        <w:tc>
          <w:tcPr>
            <w:tcW w:w="1760" w:type="dxa"/>
            <w:tcBorders>
              <w:top w:val="single" w:color="auto" w:sz="4" w:space="0"/>
              <w:left w:val="single" w:color="auto" w:sz="4" w:space="0"/>
              <w:bottom w:val="single" w:color="auto" w:sz="4" w:space="0"/>
              <w:right w:val="single" w:color="auto" w:sz="4" w:space="0"/>
            </w:tcBorders>
            <w:vAlign w:val="center"/>
          </w:tcPr>
          <w:p w14:paraId="26D5F4E0">
            <w:pPr>
              <w:pStyle w:val="71"/>
              <w:spacing w:before="24" w:after="24"/>
              <w:rPr>
                <w:rFonts w:cs="Times New Roman"/>
              </w:rPr>
            </w:pPr>
            <w:r>
              <w:rPr>
                <w:rFonts w:cs="Times New Roman"/>
              </w:rPr>
              <w:t>楼板</w:t>
            </w:r>
          </w:p>
        </w:tc>
        <w:tc>
          <w:tcPr>
            <w:tcW w:w="4880" w:type="dxa"/>
            <w:tcBorders>
              <w:top w:val="single" w:color="auto" w:sz="4" w:space="0"/>
              <w:left w:val="single" w:color="auto" w:sz="4" w:space="0"/>
              <w:bottom w:val="single" w:color="auto" w:sz="4" w:space="0"/>
              <w:right w:val="single" w:color="auto" w:sz="4" w:space="0"/>
            </w:tcBorders>
            <w:vAlign w:val="center"/>
          </w:tcPr>
          <w:p w14:paraId="792008EB">
            <w:pPr>
              <w:pStyle w:val="71"/>
              <w:spacing w:before="24" w:after="24"/>
              <w:rPr>
                <w:rFonts w:cs="Times New Roman"/>
              </w:rPr>
            </w:pPr>
            <w:r>
              <w:rPr>
                <w:rFonts w:cs="Times New Roman"/>
              </w:rPr>
              <w:t>构造层次-厚度-标高-材质-坡度</w:t>
            </w:r>
          </w:p>
        </w:tc>
        <w:tc>
          <w:tcPr>
            <w:tcW w:w="1146" w:type="dxa"/>
            <w:tcBorders>
              <w:top w:val="single" w:color="auto" w:sz="4" w:space="0"/>
              <w:left w:val="single" w:color="auto" w:sz="4" w:space="0"/>
              <w:bottom w:val="single" w:color="auto" w:sz="4" w:space="0"/>
              <w:right w:val="single" w:color="auto" w:sz="4" w:space="0"/>
            </w:tcBorders>
            <w:vAlign w:val="center"/>
          </w:tcPr>
          <w:p w14:paraId="5D031904">
            <w:pPr>
              <w:pStyle w:val="71"/>
              <w:spacing w:before="24" w:after="24"/>
              <w:rPr>
                <w:rFonts w:cs="Times New Roman"/>
              </w:rPr>
            </w:pPr>
          </w:p>
        </w:tc>
      </w:tr>
      <w:tr w14:paraId="68C30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9" w:type="dxa"/>
            <w:tcBorders>
              <w:top w:val="single" w:color="auto" w:sz="4" w:space="0"/>
              <w:left w:val="single" w:color="auto" w:sz="4" w:space="0"/>
              <w:bottom w:val="single" w:color="auto" w:sz="4" w:space="0"/>
              <w:right w:val="single" w:color="auto" w:sz="4" w:space="0"/>
            </w:tcBorders>
            <w:vAlign w:val="center"/>
          </w:tcPr>
          <w:p w14:paraId="68351CCB">
            <w:pPr>
              <w:pStyle w:val="71"/>
              <w:spacing w:before="24" w:after="24"/>
              <w:rPr>
                <w:rFonts w:cs="Times New Roman"/>
              </w:rPr>
            </w:pPr>
            <w:r>
              <w:rPr>
                <w:rFonts w:cs="Times New Roman"/>
              </w:rPr>
              <w:t>建筑</w:t>
            </w:r>
          </w:p>
        </w:tc>
        <w:tc>
          <w:tcPr>
            <w:tcW w:w="1760" w:type="dxa"/>
            <w:tcBorders>
              <w:top w:val="single" w:color="auto" w:sz="4" w:space="0"/>
              <w:left w:val="single" w:color="auto" w:sz="4" w:space="0"/>
              <w:bottom w:val="single" w:color="auto" w:sz="4" w:space="0"/>
              <w:right w:val="single" w:color="auto" w:sz="4" w:space="0"/>
            </w:tcBorders>
            <w:vAlign w:val="center"/>
          </w:tcPr>
          <w:p w14:paraId="589E7CAC">
            <w:pPr>
              <w:pStyle w:val="71"/>
              <w:spacing w:before="24" w:after="24"/>
              <w:rPr>
                <w:rFonts w:cs="Times New Roman"/>
              </w:rPr>
            </w:pPr>
            <w:r>
              <w:rPr>
                <w:rFonts w:cs="Times New Roman"/>
              </w:rPr>
              <w:t>门窗</w:t>
            </w:r>
          </w:p>
        </w:tc>
        <w:tc>
          <w:tcPr>
            <w:tcW w:w="4880" w:type="dxa"/>
            <w:tcBorders>
              <w:top w:val="single" w:color="auto" w:sz="4" w:space="0"/>
              <w:left w:val="single" w:color="auto" w:sz="4" w:space="0"/>
              <w:bottom w:val="single" w:color="auto" w:sz="4" w:space="0"/>
              <w:right w:val="single" w:color="auto" w:sz="4" w:space="0"/>
            </w:tcBorders>
            <w:vAlign w:val="center"/>
          </w:tcPr>
          <w:p w14:paraId="5321C606">
            <w:pPr>
              <w:pStyle w:val="71"/>
              <w:spacing w:before="24" w:after="24"/>
              <w:rPr>
                <w:rFonts w:cs="Times New Roman"/>
              </w:rPr>
            </w:pPr>
            <w:r>
              <w:rPr>
                <w:rFonts w:cs="Times New Roman"/>
              </w:rPr>
              <w:t>型号-尺寸-材质-防火等级-五金配置</w:t>
            </w:r>
          </w:p>
        </w:tc>
        <w:tc>
          <w:tcPr>
            <w:tcW w:w="1146" w:type="dxa"/>
            <w:tcBorders>
              <w:top w:val="single" w:color="auto" w:sz="4" w:space="0"/>
              <w:left w:val="single" w:color="auto" w:sz="4" w:space="0"/>
              <w:bottom w:val="single" w:color="auto" w:sz="4" w:space="0"/>
              <w:right w:val="single" w:color="auto" w:sz="4" w:space="0"/>
            </w:tcBorders>
            <w:vAlign w:val="center"/>
          </w:tcPr>
          <w:p w14:paraId="51B6B177">
            <w:pPr>
              <w:pStyle w:val="71"/>
              <w:spacing w:before="24" w:after="24"/>
              <w:rPr>
                <w:rFonts w:cs="Times New Roman"/>
              </w:rPr>
            </w:pPr>
          </w:p>
        </w:tc>
      </w:tr>
      <w:tr w14:paraId="16619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9" w:type="dxa"/>
            <w:tcBorders>
              <w:top w:val="single" w:color="auto" w:sz="4" w:space="0"/>
              <w:left w:val="single" w:color="auto" w:sz="4" w:space="0"/>
              <w:bottom w:val="single" w:color="auto" w:sz="4" w:space="0"/>
              <w:right w:val="single" w:color="auto" w:sz="4" w:space="0"/>
            </w:tcBorders>
            <w:vAlign w:val="center"/>
          </w:tcPr>
          <w:p w14:paraId="1C1EE6C6">
            <w:pPr>
              <w:pStyle w:val="71"/>
              <w:spacing w:before="24" w:after="24"/>
              <w:rPr>
                <w:rFonts w:cs="Times New Roman"/>
              </w:rPr>
            </w:pPr>
            <w:r>
              <w:rPr>
                <w:rFonts w:cs="Times New Roman"/>
              </w:rPr>
              <w:t>建筑</w:t>
            </w:r>
          </w:p>
        </w:tc>
        <w:tc>
          <w:tcPr>
            <w:tcW w:w="1760" w:type="dxa"/>
            <w:tcBorders>
              <w:top w:val="single" w:color="auto" w:sz="4" w:space="0"/>
              <w:left w:val="single" w:color="auto" w:sz="4" w:space="0"/>
              <w:bottom w:val="single" w:color="auto" w:sz="4" w:space="0"/>
              <w:right w:val="single" w:color="auto" w:sz="4" w:space="0"/>
            </w:tcBorders>
            <w:vAlign w:val="center"/>
          </w:tcPr>
          <w:p w14:paraId="6887F306">
            <w:pPr>
              <w:pStyle w:val="71"/>
              <w:spacing w:before="24" w:after="24"/>
              <w:rPr>
                <w:rFonts w:cs="Times New Roman"/>
              </w:rPr>
            </w:pPr>
            <w:r>
              <w:rPr>
                <w:rFonts w:cs="Times New Roman"/>
              </w:rPr>
              <w:t>幕墙</w:t>
            </w:r>
          </w:p>
        </w:tc>
        <w:tc>
          <w:tcPr>
            <w:tcW w:w="4880" w:type="dxa"/>
            <w:tcBorders>
              <w:top w:val="single" w:color="auto" w:sz="4" w:space="0"/>
              <w:left w:val="single" w:color="auto" w:sz="4" w:space="0"/>
              <w:bottom w:val="single" w:color="auto" w:sz="4" w:space="0"/>
              <w:right w:val="single" w:color="auto" w:sz="4" w:space="0"/>
            </w:tcBorders>
            <w:vAlign w:val="center"/>
          </w:tcPr>
          <w:p w14:paraId="428316C1">
            <w:pPr>
              <w:pStyle w:val="71"/>
              <w:spacing w:before="24" w:after="24"/>
              <w:rPr>
                <w:rFonts w:cs="Times New Roman"/>
              </w:rPr>
            </w:pPr>
            <w:r>
              <w:rPr>
                <w:rFonts w:cs="Times New Roman"/>
              </w:rPr>
              <w:t>型材规格-玻璃类型-连接件信息</w:t>
            </w:r>
          </w:p>
        </w:tc>
        <w:tc>
          <w:tcPr>
            <w:tcW w:w="1146" w:type="dxa"/>
            <w:tcBorders>
              <w:top w:val="single" w:color="auto" w:sz="4" w:space="0"/>
              <w:left w:val="single" w:color="auto" w:sz="4" w:space="0"/>
              <w:bottom w:val="single" w:color="auto" w:sz="4" w:space="0"/>
              <w:right w:val="single" w:color="auto" w:sz="4" w:space="0"/>
            </w:tcBorders>
            <w:vAlign w:val="center"/>
          </w:tcPr>
          <w:p w14:paraId="3A0CC155">
            <w:pPr>
              <w:pStyle w:val="71"/>
              <w:spacing w:before="24" w:after="24"/>
              <w:rPr>
                <w:rFonts w:cs="Times New Roman"/>
              </w:rPr>
            </w:pPr>
          </w:p>
        </w:tc>
      </w:tr>
      <w:tr w14:paraId="20362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9" w:type="dxa"/>
            <w:tcBorders>
              <w:top w:val="single" w:color="auto" w:sz="4" w:space="0"/>
              <w:left w:val="single" w:color="auto" w:sz="4" w:space="0"/>
              <w:bottom w:val="single" w:color="auto" w:sz="4" w:space="0"/>
              <w:right w:val="single" w:color="auto" w:sz="4" w:space="0"/>
            </w:tcBorders>
            <w:vAlign w:val="center"/>
          </w:tcPr>
          <w:p w14:paraId="39F11148">
            <w:pPr>
              <w:pStyle w:val="71"/>
              <w:spacing w:before="24" w:after="24"/>
              <w:rPr>
                <w:rFonts w:cs="Times New Roman"/>
              </w:rPr>
            </w:pPr>
            <w:r>
              <w:rPr>
                <w:rFonts w:cs="Times New Roman"/>
              </w:rPr>
              <w:t>结构</w:t>
            </w:r>
          </w:p>
        </w:tc>
        <w:tc>
          <w:tcPr>
            <w:tcW w:w="1760" w:type="dxa"/>
            <w:tcBorders>
              <w:top w:val="single" w:color="auto" w:sz="4" w:space="0"/>
              <w:left w:val="single" w:color="auto" w:sz="4" w:space="0"/>
              <w:bottom w:val="single" w:color="auto" w:sz="4" w:space="0"/>
              <w:right w:val="single" w:color="auto" w:sz="4" w:space="0"/>
            </w:tcBorders>
            <w:vAlign w:val="center"/>
          </w:tcPr>
          <w:p w14:paraId="7030B844">
            <w:pPr>
              <w:pStyle w:val="71"/>
              <w:spacing w:before="24" w:after="24"/>
              <w:rPr>
                <w:rFonts w:cs="Times New Roman"/>
              </w:rPr>
            </w:pPr>
            <w:r>
              <w:rPr>
                <w:rFonts w:cs="Times New Roman"/>
              </w:rPr>
              <w:t>墙梁板柱</w:t>
            </w:r>
          </w:p>
        </w:tc>
        <w:tc>
          <w:tcPr>
            <w:tcW w:w="4880" w:type="dxa"/>
            <w:tcBorders>
              <w:top w:val="single" w:color="auto" w:sz="4" w:space="0"/>
              <w:left w:val="single" w:color="auto" w:sz="4" w:space="0"/>
              <w:bottom w:val="single" w:color="auto" w:sz="4" w:space="0"/>
              <w:right w:val="single" w:color="auto" w:sz="4" w:space="0"/>
            </w:tcBorders>
            <w:vAlign w:val="center"/>
          </w:tcPr>
          <w:p w14:paraId="181A02FD">
            <w:pPr>
              <w:pStyle w:val="71"/>
              <w:spacing w:before="24" w:after="24"/>
              <w:rPr>
                <w:rFonts w:cs="Times New Roman"/>
              </w:rPr>
            </w:pPr>
            <w:r>
              <w:rPr>
                <w:rFonts w:cs="Times New Roman"/>
              </w:rPr>
              <w:t>截面尺寸-砼标号-强度等级-保护层厚度</w:t>
            </w:r>
          </w:p>
        </w:tc>
        <w:tc>
          <w:tcPr>
            <w:tcW w:w="1146" w:type="dxa"/>
            <w:tcBorders>
              <w:top w:val="single" w:color="auto" w:sz="4" w:space="0"/>
              <w:left w:val="single" w:color="auto" w:sz="4" w:space="0"/>
              <w:bottom w:val="single" w:color="auto" w:sz="4" w:space="0"/>
              <w:right w:val="single" w:color="auto" w:sz="4" w:space="0"/>
            </w:tcBorders>
            <w:vAlign w:val="center"/>
          </w:tcPr>
          <w:p w14:paraId="38F1682C">
            <w:pPr>
              <w:pStyle w:val="71"/>
              <w:spacing w:before="24" w:after="24"/>
              <w:rPr>
                <w:rFonts w:cs="Times New Roman"/>
              </w:rPr>
            </w:pPr>
          </w:p>
        </w:tc>
      </w:tr>
      <w:tr w14:paraId="4EFC2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9" w:type="dxa"/>
            <w:tcBorders>
              <w:top w:val="single" w:color="auto" w:sz="4" w:space="0"/>
              <w:left w:val="single" w:color="auto" w:sz="4" w:space="0"/>
              <w:bottom w:val="single" w:color="auto" w:sz="4" w:space="0"/>
              <w:right w:val="single" w:color="auto" w:sz="4" w:space="0"/>
            </w:tcBorders>
            <w:vAlign w:val="center"/>
          </w:tcPr>
          <w:p w14:paraId="584FE81D">
            <w:pPr>
              <w:pStyle w:val="71"/>
              <w:spacing w:before="24" w:after="24"/>
              <w:rPr>
                <w:rFonts w:cs="Times New Roman"/>
              </w:rPr>
            </w:pPr>
            <w:r>
              <w:rPr>
                <w:rFonts w:cs="Times New Roman"/>
              </w:rPr>
              <w:t>结构</w:t>
            </w:r>
          </w:p>
        </w:tc>
        <w:tc>
          <w:tcPr>
            <w:tcW w:w="1760" w:type="dxa"/>
            <w:tcBorders>
              <w:top w:val="single" w:color="auto" w:sz="4" w:space="0"/>
              <w:left w:val="single" w:color="auto" w:sz="4" w:space="0"/>
              <w:bottom w:val="single" w:color="auto" w:sz="4" w:space="0"/>
              <w:right w:val="single" w:color="auto" w:sz="4" w:space="0"/>
            </w:tcBorders>
            <w:vAlign w:val="center"/>
          </w:tcPr>
          <w:p w14:paraId="0C8875F5">
            <w:pPr>
              <w:pStyle w:val="71"/>
              <w:spacing w:before="24" w:after="24"/>
              <w:rPr>
                <w:rFonts w:cs="Times New Roman"/>
              </w:rPr>
            </w:pPr>
            <w:r>
              <w:rPr>
                <w:rFonts w:cs="Times New Roman"/>
              </w:rPr>
              <w:t>钢结构</w:t>
            </w:r>
          </w:p>
        </w:tc>
        <w:tc>
          <w:tcPr>
            <w:tcW w:w="4880" w:type="dxa"/>
            <w:tcBorders>
              <w:top w:val="single" w:color="auto" w:sz="4" w:space="0"/>
              <w:left w:val="single" w:color="auto" w:sz="4" w:space="0"/>
              <w:bottom w:val="single" w:color="auto" w:sz="4" w:space="0"/>
              <w:right w:val="single" w:color="auto" w:sz="4" w:space="0"/>
            </w:tcBorders>
            <w:vAlign w:val="center"/>
          </w:tcPr>
          <w:p w14:paraId="6A21EE2D">
            <w:pPr>
              <w:pStyle w:val="71"/>
              <w:spacing w:before="24" w:after="24"/>
              <w:rPr>
                <w:rFonts w:cs="Times New Roman"/>
              </w:rPr>
            </w:pPr>
            <w:r>
              <w:rPr>
                <w:rFonts w:cs="Times New Roman"/>
              </w:rPr>
              <w:t>钢材型号-规格-焊缝等级-防火涂料</w:t>
            </w:r>
          </w:p>
        </w:tc>
        <w:tc>
          <w:tcPr>
            <w:tcW w:w="1146" w:type="dxa"/>
            <w:tcBorders>
              <w:top w:val="single" w:color="auto" w:sz="4" w:space="0"/>
              <w:left w:val="single" w:color="auto" w:sz="4" w:space="0"/>
              <w:bottom w:val="single" w:color="auto" w:sz="4" w:space="0"/>
              <w:right w:val="single" w:color="auto" w:sz="4" w:space="0"/>
            </w:tcBorders>
            <w:vAlign w:val="center"/>
          </w:tcPr>
          <w:p w14:paraId="32BB1AB3">
            <w:pPr>
              <w:pStyle w:val="71"/>
              <w:spacing w:before="24" w:after="24"/>
              <w:rPr>
                <w:rFonts w:cs="Times New Roman"/>
              </w:rPr>
            </w:pPr>
          </w:p>
        </w:tc>
      </w:tr>
      <w:tr w14:paraId="0517C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9" w:type="dxa"/>
            <w:tcBorders>
              <w:top w:val="single" w:color="auto" w:sz="4" w:space="0"/>
              <w:left w:val="single" w:color="auto" w:sz="4" w:space="0"/>
              <w:bottom w:val="single" w:color="auto" w:sz="4" w:space="0"/>
              <w:right w:val="single" w:color="auto" w:sz="4" w:space="0"/>
            </w:tcBorders>
            <w:vAlign w:val="center"/>
          </w:tcPr>
          <w:p w14:paraId="39EB344E">
            <w:pPr>
              <w:pStyle w:val="71"/>
              <w:spacing w:before="24" w:after="24"/>
              <w:rPr>
                <w:rFonts w:cs="Times New Roman"/>
              </w:rPr>
            </w:pPr>
            <w:r>
              <w:rPr>
                <w:rFonts w:cs="Times New Roman"/>
              </w:rPr>
              <w:t>结构</w:t>
            </w:r>
          </w:p>
        </w:tc>
        <w:tc>
          <w:tcPr>
            <w:tcW w:w="1760" w:type="dxa"/>
            <w:tcBorders>
              <w:top w:val="single" w:color="auto" w:sz="4" w:space="0"/>
              <w:left w:val="single" w:color="auto" w:sz="4" w:space="0"/>
              <w:bottom w:val="single" w:color="auto" w:sz="4" w:space="0"/>
              <w:right w:val="single" w:color="auto" w:sz="4" w:space="0"/>
            </w:tcBorders>
            <w:vAlign w:val="center"/>
          </w:tcPr>
          <w:p w14:paraId="0F425467">
            <w:pPr>
              <w:pStyle w:val="71"/>
              <w:spacing w:before="24" w:after="24"/>
              <w:rPr>
                <w:rFonts w:cs="Times New Roman"/>
              </w:rPr>
            </w:pPr>
            <w:r>
              <w:rPr>
                <w:rFonts w:cs="Times New Roman"/>
              </w:rPr>
              <w:t>钢筋</w:t>
            </w:r>
          </w:p>
        </w:tc>
        <w:tc>
          <w:tcPr>
            <w:tcW w:w="4880" w:type="dxa"/>
            <w:tcBorders>
              <w:top w:val="single" w:color="auto" w:sz="4" w:space="0"/>
              <w:left w:val="single" w:color="auto" w:sz="4" w:space="0"/>
              <w:bottom w:val="single" w:color="auto" w:sz="4" w:space="0"/>
              <w:right w:val="single" w:color="auto" w:sz="4" w:space="0"/>
            </w:tcBorders>
            <w:vAlign w:val="center"/>
          </w:tcPr>
          <w:p w14:paraId="7EACB281">
            <w:pPr>
              <w:pStyle w:val="71"/>
              <w:spacing w:before="24" w:after="24"/>
              <w:rPr>
                <w:rFonts w:cs="Times New Roman"/>
              </w:rPr>
            </w:pPr>
            <w:r>
              <w:rPr>
                <w:rFonts w:cs="Times New Roman"/>
              </w:rPr>
              <w:t>原则上不做要求，复杂节点处局部建模</w:t>
            </w:r>
          </w:p>
        </w:tc>
        <w:tc>
          <w:tcPr>
            <w:tcW w:w="1146" w:type="dxa"/>
            <w:tcBorders>
              <w:top w:val="single" w:color="auto" w:sz="4" w:space="0"/>
              <w:left w:val="single" w:color="auto" w:sz="4" w:space="0"/>
              <w:bottom w:val="single" w:color="auto" w:sz="4" w:space="0"/>
              <w:right w:val="single" w:color="auto" w:sz="4" w:space="0"/>
            </w:tcBorders>
            <w:vAlign w:val="center"/>
          </w:tcPr>
          <w:p w14:paraId="4248FCD1">
            <w:pPr>
              <w:pStyle w:val="71"/>
              <w:spacing w:before="24" w:after="24"/>
              <w:rPr>
                <w:rFonts w:cs="Times New Roman"/>
              </w:rPr>
            </w:pPr>
          </w:p>
        </w:tc>
      </w:tr>
      <w:tr w14:paraId="4E44E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9" w:type="dxa"/>
            <w:tcBorders>
              <w:top w:val="single" w:color="auto" w:sz="4" w:space="0"/>
              <w:left w:val="single" w:color="auto" w:sz="4" w:space="0"/>
              <w:bottom w:val="single" w:color="auto" w:sz="4" w:space="0"/>
              <w:right w:val="single" w:color="auto" w:sz="4" w:space="0"/>
            </w:tcBorders>
            <w:vAlign w:val="center"/>
          </w:tcPr>
          <w:p w14:paraId="7BE5D55E">
            <w:pPr>
              <w:pStyle w:val="71"/>
              <w:spacing w:before="24" w:after="24"/>
              <w:rPr>
                <w:rFonts w:cs="Times New Roman"/>
              </w:rPr>
            </w:pPr>
            <w:r>
              <w:rPr>
                <w:rFonts w:cs="Times New Roman"/>
              </w:rPr>
              <w:t>机电</w:t>
            </w:r>
          </w:p>
        </w:tc>
        <w:tc>
          <w:tcPr>
            <w:tcW w:w="1760" w:type="dxa"/>
            <w:tcBorders>
              <w:top w:val="single" w:color="auto" w:sz="4" w:space="0"/>
              <w:left w:val="single" w:color="auto" w:sz="4" w:space="0"/>
              <w:bottom w:val="single" w:color="auto" w:sz="4" w:space="0"/>
              <w:right w:val="single" w:color="auto" w:sz="4" w:space="0"/>
            </w:tcBorders>
            <w:vAlign w:val="center"/>
          </w:tcPr>
          <w:p w14:paraId="3B3782BE">
            <w:pPr>
              <w:pStyle w:val="71"/>
              <w:spacing w:before="24" w:after="24"/>
              <w:rPr>
                <w:rFonts w:cs="Times New Roman"/>
              </w:rPr>
            </w:pPr>
            <w:r>
              <w:rPr>
                <w:rFonts w:cs="Times New Roman"/>
              </w:rPr>
              <w:t>给排水管道</w:t>
            </w:r>
          </w:p>
        </w:tc>
        <w:tc>
          <w:tcPr>
            <w:tcW w:w="4880" w:type="dxa"/>
            <w:tcBorders>
              <w:top w:val="single" w:color="auto" w:sz="4" w:space="0"/>
              <w:left w:val="single" w:color="auto" w:sz="4" w:space="0"/>
              <w:bottom w:val="single" w:color="auto" w:sz="4" w:space="0"/>
              <w:right w:val="single" w:color="auto" w:sz="4" w:space="0"/>
            </w:tcBorders>
          </w:tcPr>
          <w:p w14:paraId="5B9F75C8">
            <w:pPr>
              <w:pStyle w:val="71"/>
              <w:spacing w:before="24" w:after="24"/>
              <w:rPr>
                <w:rFonts w:cs="Times New Roman"/>
              </w:rPr>
            </w:pPr>
            <w:r>
              <w:rPr>
                <w:rFonts w:cs="Times New Roman"/>
              </w:rPr>
              <w:t>管径-壁厚-材质-保温厚度-工作温度/压力</w:t>
            </w:r>
          </w:p>
        </w:tc>
        <w:tc>
          <w:tcPr>
            <w:tcW w:w="1146" w:type="dxa"/>
            <w:tcBorders>
              <w:top w:val="single" w:color="auto" w:sz="4" w:space="0"/>
              <w:left w:val="single" w:color="auto" w:sz="4" w:space="0"/>
              <w:bottom w:val="single" w:color="auto" w:sz="4" w:space="0"/>
              <w:right w:val="single" w:color="auto" w:sz="4" w:space="0"/>
            </w:tcBorders>
            <w:vAlign w:val="center"/>
          </w:tcPr>
          <w:p w14:paraId="0F7673CB">
            <w:pPr>
              <w:pStyle w:val="71"/>
              <w:spacing w:before="24" w:after="24"/>
              <w:rPr>
                <w:rFonts w:cs="Times New Roman"/>
              </w:rPr>
            </w:pPr>
          </w:p>
        </w:tc>
      </w:tr>
      <w:tr w14:paraId="1F22E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9" w:type="dxa"/>
            <w:tcBorders>
              <w:top w:val="single" w:color="auto" w:sz="4" w:space="0"/>
              <w:left w:val="single" w:color="auto" w:sz="4" w:space="0"/>
              <w:bottom w:val="single" w:color="auto" w:sz="4" w:space="0"/>
              <w:right w:val="single" w:color="auto" w:sz="4" w:space="0"/>
            </w:tcBorders>
            <w:vAlign w:val="center"/>
          </w:tcPr>
          <w:p w14:paraId="44AE2577">
            <w:pPr>
              <w:pStyle w:val="71"/>
              <w:spacing w:before="24" w:after="24"/>
              <w:rPr>
                <w:rFonts w:cs="Times New Roman"/>
              </w:rPr>
            </w:pPr>
            <w:r>
              <w:rPr>
                <w:rFonts w:cs="Times New Roman"/>
              </w:rPr>
              <w:t>机电</w:t>
            </w:r>
          </w:p>
        </w:tc>
        <w:tc>
          <w:tcPr>
            <w:tcW w:w="1760" w:type="dxa"/>
            <w:tcBorders>
              <w:top w:val="single" w:color="auto" w:sz="4" w:space="0"/>
              <w:left w:val="single" w:color="auto" w:sz="4" w:space="0"/>
              <w:bottom w:val="single" w:color="auto" w:sz="4" w:space="0"/>
              <w:right w:val="single" w:color="auto" w:sz="4" w:space="0"/>
            </w:tcBorders>
            <w:vAlign w:val="center"/>
          </w:tcPr>
          <w:p w14:paraId="67E01C79">
            <w:pPr>
              <w:pStyle w:val="71"/>
              <w:spacing w:before="24" w:after="24"/>
              <w:rPr>
                <w:rFonts w:cs="Times New Roman"/>
              </w:rPr>
            </w:pPr>
            <w:r>
              <w:rPr>
                <w:rFonts w:cs="Times New Roman"/>
              </w:rPr>
              <w:t>风管</w:t>
            </w:r>
          </w:p>
        </w:tc>
        <w:tc>
          <w:tcPr>
            <w:tcW w:w="4880" w:type="dxa"/>
            <w:tcBorders>
              <w:top w:val="single" w:color="auto" w:sz="4" w:space="0"/>
              <w:left w:val="single" w:color="auto" w:sz="4" w:space="0"/>
              <w:bottom w:val="single" w:color="auto" w:sz="4" w:space="0"/>
              <w:right w:val="single" w:color="auto" w:sz="4" w:space="0"/>
            </w:tcBorders>
          </w:tcPr>
          <w:p w14:paraId="1BB12A6C">
            <w:pPr>
              <w:pStyle w:val="71"/>
              <w:spacing w:before="24" w:after="24"/>
              <w:rPr>
                <w:rFonts w:cs="Times New Roman"/>
              </w:rPr>
            </w:pPr>
            <w:r>
              <w:rPr>
                <w:rFonts w:cs="Times New Roman"/>
              </w:rPr>
              <w:t>尺寸-壁厚-材质-保温厚度-风速-风量</w:t>
            </w:r>
          </w:p>
        </w:tc>
        <w:tc>
          <w:tcPr>
            <w:tcW w:w="1146" w:type="dxa"/>
            <w:tcBorders>
              <w:top w:val="single" w:color="auto" w:sz="4" w:space="0"/>
              <w:left w:val="single" w:color="auto" w:sz="4" w:space="0"/>
              <w:bottom w:val="single" w:color="auto" w:sz="4" w:space="0"/>
              <w:right w:val="single" w:color="auto" w:sz="4" w:space="0"/>
            </w:tcBorders>
            <w:vAlign w:val="center"/>
          </w:tcPr>
          <w:p w14:paraId="76B52A40">
            <w:pPr>
              <w:pStyle w:val="71"/>
              <w:spacing w:before="24" w:after="24"/>
              <w:rPr>
                <w:rFonts w:cs="Times New Roman"/>
              </w:rPr>
            </w:pPr>
          </w:p>
        </w:tc>
      </w:tr>
      <w:tr w14:paraId="1FE50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9" w:type="dxa"/>
            <w:tcBorders>
              <w:top w:val="single" w:color="auto" w:sz="4" w:space="0"/>
              <w:left w:val="single" w:color="auto" w:sz="4" w:space="0"/>
              <w:bottom w:val="single" w:color="auto" w:sz="4" w:space="0"/>
              <w:right w:val="single" w:color="auto" w:sz="4" w:space="0"/>
            </w:tcBorders>
            <w:vAlign w:val="center"/>
          </w:tcPr>
          <w:p w14:paraId="184D59AF">
            <w:pPr>
              <w:pStyle w:val="71"/>
              <w:spacing w:before="24" w:after="24"/>
              <w:rPr>
                <w:rFonts w:cs="Times New Roman"/>
              </w:rPr>
            </w:pPr>
            <w:r>
              <w:rPr>
                <w:rFonts w:cs="Times New Roman"/>
              </w:rPr>
              <w:t>机电</w:t>
            </w:r>
          </w:p>
        </w:tc>
        <w:tc>
          <w:tcPr>
            <w:tcW w:w="1760" w:type="dxa"/>
            <w:tcBorders>
              <w:top w:val="single" w:color="auto" w:sz="4" w:space="0"/>
              <w:left w:val="single" w:color="auto" w:sz="4" w:space="0"/>
              <w:bottom w:val="single" w:color="auto" w:sz="4" w:space="0"/>
              <w:right w:val="single" w:color="auto" w:sz="4" w:space="0"/>
            </w:tcBorders>
            <w:vAlign w:val="center"/>
          </w:tcPr>
          <w:p w14:paraId="6A765228">
            <w:pPr>
              <w:pStyle w:val="71"/>
              <w:spacing w:before="24" w:after="24"/>
              <w:rPr>
                <w:rFonts w:cs="Times New Roman"/>
              </w:rPr>
            </w:pPr>
            <w:r>
              <w:rPr>
                <w:rFonts w:cs="Times New Roman"/>
              </w:rPr>
              <w:t>电缆桥架</w:t>
            </w:r>
          </w:p>
        </w:tc>
        <w:tc>
          <w:tcPr>
            <w:tcW w:w="4880" w:type="dxa"/>
            <w:tcBorders>
              <w:top w:val="single" w:color="auto" w:sz="4" w:space="0"/>
              <w:left w:val="single" w:color="auto" w:sz="4" w:space="0"/>
              <w:bottom w:val="single" w:color="auto" w:sz="4" w:space="0"/>
              <w:right w:val="single" w:color="auto" w:sz="4" w:space="0"/>
            </w:tcBorders>
          </w:tcPr>
          <w:p w14:paraId="583AC297">
            <w:pPr>
              <w:pStyle w:val="71"/>
              <w:spacing w:before="24" w:after="24"/>
              <w:rPr>
                <w:rFonts w:cs="Times New Roman"/>
              </w:rPr>
            </w:pPr>
            <w:r>
              <w:rPr>
                <w:rFonts w:cs="Times New Roman"/>
              </w:rPr>
              <w:t>尺寸-类型-材质</w:t>
            </w:r>
          </w:p>
        </w:tc>
        <w:tc>
          <w:tcPr>
            <w:tcW w:w="1146" w:type="dxa"/>
            <w:tcBorders>
              <w:top w:val="single" w:color="auto" w:sz="4" w:space="0"/>
              <w:left w:val="single" w:color="auto" w:sz="4" w:space="0"/>
              <w:bottom w:val="single" w:color="auto" w:sz="4" w:space="0"/>
              <w:right w:val="single" w:color="auto" w:sz="4" w:space="0"/>
            </w:tcBorders>
            <w:vAlign w:val="center"/>
          </w:tcPr>
          <w:p w14:paraId="6147F092">
            <w:pPr>
              <w:pStyle w:val="71"/>
              <w:spacing w:before="24" w:after="24"/>
              <w:rPr>
                <w:rFonts w:cs="Times New Roman"/>
              </w:rPr>
            </w:pPr>
          </w:p>
        </w:tc>
      </w:tr>
      <w:tr w14:paraId="29AF4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9" w:type="dxa"/>
            <w:tcBorders>
              <w:top w:val="single" w:color="auto" w:sz="4" w:space="0"/>
              <w:left w:val="single" w:color="auto" w:sz="4" w:space="0"/>
              <w:bottom w:val="single" w:color="auto" w:sz="4" w:space="0"/>
              <w:right w:val="single" w:color="auto" w:sz="4" w:space="0"/>
            </w:tcBorders>
            <w:vAlign w:val="center"/>
          </w:tcPr>
          <w:p w14:paraId="30A856A5">
            <w:pPr>
              <w:pStyle w:val="71"/>
              <w:spacing w:before="24" w:after="24"/>
              <w:rPr>
                <w:rFonts w:cs="Times New Roman"/>
              </w:rPr>
            </w:pPr>
            <w:r>
              <w:rPr>
                <w:rFonts w:cs="Times New Roman"/>
              </w:rPr>
              <w:t>机电</w:t>
            </w:r>
          </w:p>
        </w:tc>
        <w:tc>
          <w:tcPr>
            <w:tcW w:w="1760" w:type="dxa"/>
            <w:tcBorders>
              <w:top w:val="single" w:color="auto" w:sz="4" w:space="0"/>
              <w:left w:val="single" w:color="auto" w:sz="4" w:space="0"/>
              <w:bottom w:val="single" w:color="auto" w:sz="4" w:space="0"/>
              <w:right w:val="single" w:color="auto" w:sz="4" w:space="0"/>
            </w:tcBorders>
            <w:vAlign w:val="center"/>
          </w:tcPr>
          <w:p w14:paraId="4510D7ED">
            <w:pPr>
              <w:pStyle w:val="71"/>
              <w:spacing w:before="24" w:after="24"/>
              <w:rPr>
                <w:rFonts w:cs="Times New Roman"/>
              </w:rPr>
            </w:pPr>
            <w:r>
              <w:rPr>
                <w:rFonts w:cs="Times New Roman"/>
              </w:rPr>
              <w:t>设备</w:t>
            </w:r>
          </w:p>
        </w:tc>
        <w:tc>
          <w:tcPr>
            <w:tcW w:w="4880" w:type="dxa"/>
            <w:tcBorders>
              <w:top w:val="single" w:color="auto" w:sz="4" w:space="0"/>
              <w:left w:val="single" w:color="auto" w:sz="4" w:space="0"/>
              <w:bottom w:val="single" w:color="auto" w:sz="4" w:space="0"/>
              <w:right w:val="single" w:color="auto" w:sz="4" w:space="0"/>
            </w:tcBorders>
          </w:tcPr>
          <w:p w14:paraId="32386CB9">
            <w:pPr>
              <w:pStyle w:val="71"/>
              <w:spacing w:before="24" w:after="24"/>
              <w:rPr>
                <w:rFonts w:cs="Times New Roman"/>
              </w:rPr>
            </w:pPr>
            <w:r>
              <w:rPr>
                <w:rFonts w:cs="Times New Roman"/>
              </w:rPr>
              <w:t>型号-尺寸-功率-其他设备参数</w:t>
            </w:r>
          </w:p>
        </w:tc>
        <w:tc>
          <w:tcPr>
            <w:tcW w:w="1146" w:type="dxa"/>
            <w:tcBorders>
              <w:top w:val="single" w:color="auto" w:sz="4" w:space="0"/>
              <w:left w:val="single" w:color="auto" w:sz="4" w:space="0"/>
              <w:bottom w:val="single" w:color="auto" w:sz="4" w:space="0"/>
              <w:right w:val="single" w:color="auto" w:sz="4" w:space="0"/>
            </w:tcBorders>
            <w:vAlign w:val="center"/>
          </w:tcPr>
          <w:p w14:paraId="39AFD5F1">
            <w:pPr>
              <w:pStyle w:val="71"/>
              <w:spacing w:before="24" w:after="24"/>
              <w:rPr>
                <w:rFonts w:cs="Times New Roman"/>
              </w:rPr>
            </w:pPr>
            <w:r>
              <w:rPr>
                <w:rFonts w:cs="Times New Roman"/>
              </w:rPr>
              <w:t>匹配族</w:t>
            </w:r>
          </w:p>
        </w:tc>
      </w:tr>
    </w:tbl>
    <w:p w14:paraId="43FC073D">
      <w:pPr>
        <w:pStyle w:val="54"/>
        <w:spacing w:before="24" w:after="24"/>
      </w:pPr>
      <w:r>
        <w:t>市政类项目</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4"/>
        <w:gridCol w:w="1695"/>
        <w:gridCol w:w="4880"/>
        <w:gridCol w:w="1146"/>
      </w:tblGrid>
      <w:tr w14:paraId="41E30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4" w:type="dxa"/>
            <w:tcBorders>
              <w:top w:val="single" w:color="auto" w:sz="4" w:space="0"/>
              <w:left w:val="single" w:color="auto" w:sz="4" w:space="0"/>
              <w:bottom w:val="single" w:color="auto" w:sz="4" w:space="0"/>
              <w:right w:val="single" w:color="auto" w:sz="4" w:space="0"/>
            </w:tcBorders>
            <w:vAlign w:val="center"/>
          </w:tcPr>
          <w:p w14:paraId="36AE797D">
            <w:pPr>
              <w:pStyle w:val="71"/>
              <w:spacing w:before="24" w:after="24"/>
              <w:rPr>
                <w:rFonts w:cs="Times New Roman"/>
              </w:rPr>
            </w:pPr>
            <w:r>
              <w:rPr>
                <w:rFonts w:cs="Times New Roman"/>
              </w:rPr>
              <w:t>专业类别</w:t>
            </w:r>
          </w:p>
        </w:tc>
        <w:tc>
          <w:tcPr>
            <w:tcW w:w="1695" w:type="dxa"/>
            <w:tcBorders>
              <w:top w:val="single" w:color="auto" w:sz="4" w:space="0"/>
              <w:left w:val="single" w:color="auto" w:sz="4" w:space="0"/>
              <w:bottom w:val="single" w:color="auto" w:sz="4" w:space="0"/>
              <w:right w:val="single" w:color="auto" w:sz="4" w:space="0"/>
            </w:tcBorders>
            <w:vAlign w:val="center"/>
          </w:tcPr>
          <w:p w14:paraId="5E779171">
            <w:pPr>
              <w:pStyle w:val="71"/>
              <w:spacing w:before="24" w:after="24"/>
              <w:rPr>
                <w:rFonts w:cs="Times New Roman"/>
              </w:rPr>
            </w:pPr>
            <w:r>
              <w:rPr>
                <w:rFonts w:cs="Times New Roman"/>
              </w:rPr>
              <w:t>分项名称</w:t>
            </w:r>
          </w:p>
        </w:tc>
        <w:tc>
          <w:tcPr>
            <w:tcW w:w="4880" w:type="dxa"/>
            <w:tcBorders>
              <w:top w:val="single" w:color="auto" w:sz="4" w:space="0"/>
              <w:left w:val="single" w:color="auto" w:sz="4" w:space="0"/>
              <w:bottom w:val="single" w:color="auto" w:sz="4" w:space="0"/>
              <w:right w:val="single" w:color="auto" w:sz="4" w:space="0"/>
            </w:tcBorders>
            <w:vAlign w:val="center"/>
          </w:tcPr>
          <w:p w14:paraId="2C137E82">
            <w:pPr>
              <w:pStyle w:val="71"/>
              <w:spacing w:before="24" w:after="24"/>
              <w:rPr>
                <w:rFonts w:cs="Times New Roman"/>
              </w:rPr>
            </w:pPr>
            <w:r>
              <w:rPr>
                <w:rFonts w:cs="Times New Roman"/>
              </w:rPr>
              <w:t>参数设置要求</w:t>
            </w:r>
          </w:p>
        </w:tc>
        <w:tc>
          <w:tcPr>
            <w:tcW w:w="1146" w:type="dxa"/>
            <w:tcBorders>
              <w:top w:val="single" w:color="auto" w:sz="4" w:space="0"/>
              <w:left w:val="single" w:color="auto" w:sz="4" w:space="0"/>
              <w:bottom w:val="single" w:color="auto" w:sz="4" w:space="0"/>
              <w:right w:val="single" w:color="auto" w:sz="4" w:space="0"/>
            </w:tcBorders>
            <w:vAlign w:val="center"/>
          </w:tcPr>
          <w:p w14:paraId="02E90EA2">
            <w:pPr>
              <w:pStyle w:val="71"/>
              <w:spacing w:before="24" w:after="24"/>
              <w:rPr>
                <w:rFonts w:cs="Times New Roman"/>
              </w:rPr>
            </w:pPr>
            <w:r>
              <w:rPr>
                <w:rFonts w:cs="Times New Roman"/>
              </w:rPr>
              <w:t>备注</w:t>
            </w:r>
          </w:p>
        </w:tc>
      </w:tr>
      <w:tr w14:paraId="1B791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344" w:type="dxa"/>
            <w:tcBorders>
              <w:top w:val="single" w:color="auto" w:sz="4" w:space="0"/>
              <w:left w:val="single" w:color="auto" w:sz="4" w:space="0"/>
              <w:bottom w:val="single" w:color="auto" w:sz="4" w:space="0"/>
              <w:right w:val="single" w:color="auto" w:sz="4" w:space="0"/>
            </w:tcBorders>
            <w:vAlign w:val="center"/>
          </w:tcPr>
          <w:p w14:paraId="3CDCB060">
            <w:pPr>
              <w:pStyle w:val="71"/>
              <w:spacing w:before="24" w:after="24"/>
              <w:rPr>
                <w:rFonts w:cs="Times New Roman"/>
              </w:rPr>
            </w:pPr>
            <w:r>
              <w:rPr>
                <w:rFonts w:cs="Times New Roman"/>
              </w:rPr>
              <w:t>道路</w:t>
            </w:r>
          </w:p>
        </w:tc>
        <w:tc>
          <w:tcPr>
            <w:tcW w:w="1695" w:type="dxa"/>
            <w:tcBorders>
              <w:top w:val="single" w:color="auto" w:sz="4" w:space="0"/>
              <w:left w:val="single" w:color="auto" w:sz="4" w:space="0"/>
              <w:bottom w:val="single" w:color="auto" w:sz="4" w:space="0"/>
              <w:right w:val="single" w:color="auto" w:sz="4" w:space="0"/>
            </w:tcBorders>
            <w:vAlign w:val="center"/>
          </w:tcPr>
          <w:p w14:paraId="79672046">
            <w:pPr>
              <w:pStyle w:val="71"/>
              <w:spacing w:before="24" w:after="24"/>
              <w:rPr>
                <w:rFonts w:cs="Times New Roman"/>
              </w:rPr>
            </w:pPr>
            <w:r>
              <w:rPr>
                <w:rFonts w:cs="Times New Roman"/>
              </w:rPr>
              <w:t>道路中心线</w:t>
            </w:r>
          </w:p>
        </w:tc>
        <w:tc>
          <w:tcPr>
            <w:tcW w:w="4880" w:type="dxa"/>
            <w:tcBorders>
              <w:top w:val="single" w:color="auto" w:sz="4" w:space="0"/>
              <w:left w:val="single" w:color="auto" w:sz="4" w:space="0"/>
              <w:bottom w:val="single" w:color="auto" w:sz="4" w:space="0"/>
              <w:right w:val="single" w:color="auto" w:sz="4" w:space="0"/>
            </w:tcBorders>
            <w:vAlign w:val="center"/>
          </w:tcPr>
          <w:p w14:paraId="044E0FA0">
            <w:pPr>
              <w:pStyle w:val="71"/>
              <w:spacing w:before="24" w:after="24"/>
              <w:rPr>
                <w:rFonts w:cs="Times New Roman"/>
              </w:rPr>
            </w:pPr>
            <w:r>
              <w:rPr>
                <w:rFonts w:cs="Times New Roman"/>
              </w:rPr>
              <w:t>交点桩号-坐标-曲线要素</w:t>
            </w:r>
          </w:p>
        </w:tc>
        <w:tc>
          <w:tcPr>
            <w:tcW w:w="1146" w:type="dxa"/>
            <w:tcBorders>
              <w:top w:val="single" w:color="auto" w:sz="4" w:space="0"/>
              <w:left w:val="single" w:color="auto" w:sz="4" w:space="0"/>
              <w:bottom w:val="single" w:color="auto" w:sz="4" w:space="0"/>
              <w:right w:val="single" w:color="auto" w:sz="4" w:space="0"/>
            </w:tcBorders>
            <w:vAlign w:val="center"/>
          </w:tcPr>
          <w:p w14:paraId="41BA19B5">
            <w:pPr>
              <w:pStyle w:val="71"/>
              <w:spacing w:before="24" w:after="24"/>
              <w:rPr>
                <w:rFonts w:cs="Times New Roman"/>
              </w:rPr>
            </w:pPr>
          </w:p>
        </w:tc>
      </w:tr>
      <w:tr w14:paraId="3E0D2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4" w:type="dxa"/>
            <w:tcBorders>
              <w:top w:val="single" w:color="auto" w:sz="4" w:space="0"/>
              <w:left w:val="single" w:color="auto" w:sz="4" w:space="0"/>
              <w:bottom w:val="single" w:color="auto" w:sz="4" w:space="0"/>
              <w:right w:val="single" w:color="auto" w:sz="4" w:space="0"/>
            </w:tcBorders>
            <w:vAlign w:val="center"/>
          </w:tcPr>
          <w:p w14:paraId="0EA1C9DA">
            <w:pPr>
              <w:pStyle w:val="71"/>
              <w:spacing w:before="24" w:after="24"/>
              <w:rPr>
                <w:rFonts w:cs="Times New Roman"/>
              </w:rPr>
            </w:pPr>
            <w:r>
              <w:rPr>
                <w:rFonts w:cs="Times New Roman"/>
              </w:rPr>
              <w:t>道路</w:t>
            </w:r>
          </w:p>
        </w:tc>
        <w:tc>
          <w:tcPr>
            <w:tcW w:w="1695" w:type="dxa"/>
            <w:tcBorders>
              <w:top w:val="single" w:color="auto" w:sz="4" w:space="0"/>
              <w:left w:val="single" w:color="auto" w:sz="4" w:space="0"/>
              <w:bottom w:val="single" w:color="auto" w:sz="4" w:space="0"/>
              <w:right w:val="single" w:color="auto" w:sz="4" w:space="0"/>
            </w:tcBorders>
            <w:vAlign w:val="center"/>
          </w:tcPr>
          <w:p w14:paraId="6FC95BF3">
            <w:pPr>
              <w:pStyle w:val="71"/>
              <w:spacing w:before="24" w:after="24"/>
              <w:rPr>
                <w:rFonts w:cs="Times New Roman"/>
              </w:rPr>
            </w:pPr>
            <w:r>
              <w:rPr>
                <w:rFonts w:cs="Times New Roman"/>
              </w:rPr>
              <w:t>纵断面</w:t>
            </w:r>
          </w:p>
        </w:tc>
        <w:tc>
          <w:tcPr>
            <w:tcW w:w="4880" w:type="dxa"/>
            <w:tcBorders>
              <w:top w:val="single" w:color="auto" w:sz="4" w:space="0"/>
              <w:left w:val="single" w:color="auto" w:sz="4" w:space="0"/>
              <w:bottom w:val="single" w:color="auto" w:sz="4" w:space="0"/>
              <w:right w:val="single" w:color="auto" w:sz="4" w:space="0"/>
            </w:tcBorders>
            <w:vAlign w:val="center"/>
          </w:tcPr>
          <w:p w14:paraId="1AD97C7B">
            <w:pPr>
              <w:pStyle w:val="71"/>
              <w:spacing w:before="24" w:after="24"/>
              <w:rPr>
                <w:rFonts w:cs="Times New Roman"/>
              </w:rPr>
            </w:pPr>
            <w:r>
              <w:rPr>
                <w:rFonts w:cs="Times New Roman"/>
              </w:rPr>
              <w:t>变坡点桩号-高程-竖曲线半径-坡度</w:t>
            </w:r>
          </w:p>
        </w:tc>
        <w:tc>
          <w:tcPr>
            <w:tcW w:w="1146" w:type="dxa"/>
            <w:tcBorders>
              <w:top w:val="single" w:color="auto" w:sz="4" w:space="0"/>
              <w:left w:val="single" w:color="auto" w:sz="4" w:space="0"/>
              <w:bottom w:val="single" w:color="auto" w:sz="4" w:space="0"/>
              <w:right w:val="single" w:color="auto" w:sz="4" w:space="0"/>
            </w:tcBorders>
            <w:vAlign w:val="center"/>
          </w:tcPr>
          <w:p w14:paraId="24893042">
            <w:pPr>
              <w:pStyle w:val="71"/>
              <w:spacing w:before="24" w:after="24"/>
              <w:rPr>
                <w:rFonts w:cs="Times New Roman"/>
              </w:rPr>
            </w:pPr>
          </w:p>
        </w:tc>
      </w:tr>
      <w:tr w14:paraId="504BD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4" w:type="dxa"/>
            <w:tcBorders>
              <w:top w:val="single" w:color="auto" w:sz="4" w:space="0"/>
              <w:left w:val="single" w:color="auto" w:sz="4" w:space="0"/>
              <w:bottom w:val="single" w:color="auto" w:sz="4" w:space="0"/>
              <w:right w:val="single" w:color="auto" w:sz="4" w:space="0"/>
            </w:tcBorders>
            <w:vAlign w:val="center"/>
          </w:tcPr>
          <w:p w14:paraId="19E8A502">
            <w:pPr>
              <w:pStyle w:val="71"/>
              <w:spacing w:before="24" w:after="24"/>
              <w:rPr>
                <w:rFonts w:cs="Times New Roman"/>
              </w:rPr>
            </w:pPr>
            <w:r>
              <w:rPr>
                <w:rFonts w:cs="Times New Roman"/>
              </w:rPr>
              <w:t>道路</w:t>
            </w:r>
          </w:p>
        </w:tc>
        <w:tc>
          <w:tcPr>
            <w:tcW w:w="1695" w:type="dxa"/>
            <w:tcBorders>
              <w:top w:val="single" w:color="auto" w:sz="4" w:space="0"/>
              <w:left w:val="single" w:color="auto" w:sz="4" w:space="0"/>
              <w:bottom w:val="single" w:color="auto" w:sz="4" w:space="0"/>
              <w:right w:val="single" w:color="auto" w:sz="4" w:space="0"/>
            </w:tcBorders>
            <w:vAlign w:val="center"/>
          </w:tcPr>
          <w:p w14:paraId="0D0EF015">
            <w:pPr>
              <w:pStyle w:val="71"/>
              <w:spacing w:before="24" w:after="24"/>
              <w:rPr>
                <w:rFonts w:cs="Times New Roman"/>
              </w:rPr>
            </w:pPr>
            <w:r>
              <w:rPr>
                <w:rFonts w:cs="Times New Roman"/>
              </w:rPr>
              <w:t>路基</w:t>
            </w:r>
          </w:p>
        </w:tc>
        <w:tc>
          <w:tcPr>
            <w:tcW w:w="4880" w:type="dxa"/>
            <w:tcBorders>
              <w:top w:val="single" w:color="auto" w:sz="4" w:space="0"/>
              <w:left w:val="single" w:color="auto" w:sz="4" w:space="0"/>
              <w:bottom w:val="single" w:color="auto" w:sz="4" w:space="0"/>
              <w:right w:val="single" w:color="auto" w:sz="4" w:space="0"/>
            </w:tcBorders>
            <w:vAlign w:val="center"/>
          </w:tcPr>
          <w:p w14:paraId="111D0B81">
            <w:pPr>
              <w:pStyle w:val="71"/>
              <w:spacing w:before="24" w:after="24"/>
              <w:rPr>
                <w:rFonts w:cs="Times New Roman"/>
              </w:rPr>
            </w:pPr>
            <w:r>
              <w:rPr>
                <w:rFonts w:cs="Times New Roman"/>
              </w:rPr>
              <w:t>路基边界-边坡坡度-压实度</w:t>
            </w:r>
          </w:p>
        </w:tc>
        <w:tc>
          <w:tcPr>
            <w:tcW w:w="1146" w:type="dxa"/>
            <w:tcBorders>
              <w:top w:val="single" w:color="auto" w:sz="4" w:space="0"/>
              <w:left w:val="single" w:color="auto" w:sz="4" w:space="0"/>
              <w:bottom w:val="single" w:color="auto" w:sz="4" w:space="0"/>
              <w:right w:val="single" w:color="auto" w:sz="4" w:space="0"/>
            </w:tcBorders>
            <w:vAlign w:val="center"/>
          </w:tcPr>
          <w:p w14:paraId="224F1E58">
            <w:pPr>
              <w:pStyle w:val="71"/>
              <w:spacing w:before="24" w:after="24"/>
              <w:rPr>
                <w:rFonts w:cs="Times New Roman"/>
              </w:rPr>
            </w:pPr>
          </w:p>
        </w:tc>
      </w:tr>
      <w:tr w14:paraId="7996D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4" w:type="dxa"/>
            <w:tcBorders>
              <w:top w:val="single" w:color="auto" w:sz="4" w:space="0"/>
              <w:left w:val="single" w:color="auto" w:sz="4" w:space="0"/>
              <w:bottom w:val="single" w:color="auto" w:sz="4" w:space="0"/>
              <w:right w:val="single" w:color="auto" w:sz="4" w:space="0"/>
            </w:tcBorders>
            <w:vAlign w:val="center"/>
          </w:tcPr>
          <w:p w14:paraId="09A6879F">
            <w:pPr>
              <w:pStyle w:val="71"/>
              <w:spacing w:before="24" w:after="24"/>
              <w:rPr>
                <w:rFonts w:cs="Times New Roman"/>
              </w:rPr>
            </w:pPr>
            <w:r>
              <w:rPr>
                <w:rFonts w:cs="Times New Roman"/>
              </w:rPr>
              <w:t>道路</w:t>
            </w:r>
          </w:p>
        </w:tc>
        <w:tc>
          <w:tcPr>
            <w:tcW w:w="1695" w:type="dxa"/>
            <w:tcBorders>
              <w:top w:val="single" w:color="auto" w:sz="4" w:space="0"/>
              <w:left w:val="single" w:color="auto" w:sz="4" w:space="0"/>
              <w:bottom w:val="single" w:color="auto" w:sz="4" w:space="0"/>
              <w:right w:val="single" w:color="auto" w:sz="4" w:space="0"/>
            </w:tcBorders>
            <w:vAlign w:val="center"/>
          </w:tcPr>
          <w:p w14:paraId="54AD868C">
            <w:pPr>
              <w:pStyle w:val="71"/>
              <w:spacing w:before="24" w:after="24"/>
              <w:rPr>
                <w:rFonts w:cs="Times New Roman"/>
              </w:rPr>
            </w:pPr>
            <w:r>
              <w:rPr>
                <w:rFonts w:cs="Times New Roman"/>
              </w:rPr>
              <w:t>路面</w:t>
            </w:r>
          </w:p>
        </w:tc>
        <w:tc>
          <w:tcPr>
            <w:tcW w:w="4880" w:type="dxa"/>
            <w:tcBorders>
              <w:top w:val="single" w:color="auto" w:sz="4" w:space="0"/>
              <w:left w:val="single" w:color="auto" w:sz="4" w:space="0"/>
              <w:bottom w:val="single" w:color="auto" w:sz="4" w:space="0"/>
              <w:right w:val="single" w:color="auto" w:sz="4" w:space="0"/>
            </w:tcBorders>
            <w:vAlign w:val="center"/>
          </w:tcPr>
          <w:p w14:paraId="200F9402">
            <w:pPr>
              <w:pStyle w:val="71"/>
              <w:spacing w:before="24" w:after="24"/>
              <w:rPr>
                <w:rFonts w:cs="Times New Roman"/>
              </w:rPr>
            </w:pPr>
            <w:r>
              <w:rPr>
                <w:rFonts w:cs="Times New Roman"/>
              </w:rPr>
              <w:t>材料类型-厚度-压实度-范围-标高-坡度</w:t>
            </w:r>
          </w:p>
        </w:tc>
        <w:tc>
          <w:tcPr>
            <w:tcW w:w="1146" w:type="dxa"/>
            <w:tcBorders>
              <w:top w:val="single" w:color="auto" w:sz="4" w:space="0"/>
              <w:left w:val="single" w:color="auto" w:sz="4" w:space="0"/>
              <w:bottom w:val="single" w:color="auto" w:sz="4" w:space="0"/>
              <w:right w:val="single" w:color="auto" w:sz="4" w:space="0"/>
            </w:tcBorders>
            <w:vAlign w:val="center"/>
          </w:tcPr>
          <w:p w14:paraId="10ADE0D4">
            <w:pPr>
              <w:pStyle w:val="71"/>
              <w:spacing w:before="24" w:after="24"/>
              <w:rPr>
                <w:rFonts w:cs="Times New Roman"/>
              </w:rPr>
            </w:pPr>
          </w:p>
        </w:tc>
      </w:tr>
      <w:tr w14:paraId="07823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4" w:type="dxa"/>
            <w:tcBorders>
              <w:top w:val="single" w:color="auto" w:sz="4" w:space="0"/>
              <w:left w:val="single" w:color="auto" w:sz="4" w:space="0"/>
              <w:bottom w:val="single" w:color="auto" w:sz="4" w:space="0"/>
              <w:right w:val="single" w:color="auto" w:sz="4" w:space="0"/>
            </w:tcBorders>
            <w:vAlign w:val="center"/>
          </w:tcPr>
          <w:p w14:paraId="2BFBFFF0">
            <w:pPr>
              <w:pStyle w:val="71"/>
              <w:spacing w:before="24" w:after="24"/>
              <w:rPr>
                <w:rFonts w:cs="Times New Roman"/>
              </w:rPr>
            </w:pPr>
            <w:r>
              <w:rPr>
                <w:rFonts w:cs="Times New Roman"/>
              </w:rPr>
              <w:t>附属设施</w:t>
            </w:r>
          </w:p>
        </w:tc>
        <w:tc>
          <w:tcPr>
            <w:tcW w:w="1695" w:type="dxa"/>
            <w:tcBorders>
              <w:top w:val="single" w:color="auto" w:sz="4" w:space="0"/>
              <w:left w:val="single" w:color="auto" w:sz="4" w:space="0"/>
              <w:bottom w:val="single" w:color="auto" w:sz="4" w:space="0"/>
              <w:right w:val="single" w:color="auto" w:sz="4" w:space="0"/>
            </w:tcBorders>
            <w:vAlign w:val="center"/>
          </w:tcPr>
          <w:p w14:paraId="7D965E25">
            <w:pPr>
              <w:pStyle w:val="71"/>
              <w:spacing w:before="24" w:after="24"/>
              <w:rPr>
                <w:rFonts w:cs="Times New Roman"/>
              </w:rPr>
            </w:pPr>
            <w:r>
              <w:rPr>
                <w:rFonts w:cs="Times New Roman"/>
              </w:rPr>
              <w:t>路缘石、边沟</w:t>
            </w:r>
          </w:p>
        </w:tc>
        <w:tc>
          <w:tcPr>
            <w:tcW w:w="4880" w:type="dxa"/>
            <w:tcBorders>
              <w:top w:val="single" w:color="auto" w:sz="4" w:space="0"/>
              <w:left w:val="single" w:color="auto" w:sz="4" w:space="0"/>
              <w:bottom w:val="single" w:color="auto" w:sz="4" w:space="0"/>
              <w:right w:val="single" w:color="auto" w:sz="4" w:space="0"/>
            </w:tcBorders>
            <w:vAlign w:val="center"/>
          </w:tcPr>
          <w:p w14:paraId="0CA6A7FB">
            <w:pPr>
              <w:pStyle w:val="71"/>
              <w:spacing w:before="24" w:after="24"/>
              <w:rPr>
                <w:rFonts w:cs="Times New Roman"/>
              </w:rPr>
            </w:pPr>
            <w:r>
              <w:rPr>
                <w:rFonts w:cs="Times New Roman"/>
              </w:rPr>
              <w:t>类型-材质-尺寸-安装位置-坡度</w:t>
            </w:r>
          </w:p>
        </w:tc>
        <w:tc>
          <w:tcPr>
            <w:tcW w:w="1146" w:type="dxa"/>
            <w:tcBorders>
              <w:top w:val="single" w:color="auto" w:sz="4" w:space="0"/>
              <w:left w:val="single" w:color="auto" w:sz="4" w:space="0"/>
              <w:bottom w:val="single" w:color="auto" w:sz="4" w:space="0"/>
              <w:right w:val="single" w:color="auto" w:sz="4" w:space="0"/>
            </w:tcBorders>
            <w:vAlign w:val="center"/>
          </w:tcPr>
          <w:p w14:paraId="70870972">
            <w:pPr>
              <w:pStyle w:val="71"/>
              <w:spacing w:before="24" w:after="24"/>
              <w:rPr>
                <w:rFonts w:cs="Times New Roman"/>
              </w:rPr>
            </w:pPr>
          </w:p>
        </w:tc>
      </w:tr>
      <w:tr w14:paraId="4473B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344" w:type="dxa"/>
            <w:tcBorders>
              <w:top w:val="single" w:color="auto" w:sz="4" w:space="0"/>
              <w:left w:val="single" w:color="auto" w:sz="4" w:space="0"/>
              <w:bottom w:val="single" w:color="auto" w:sz="4" w:space="0"/>
              <w:right w:val="single" w:color="auto" w:sz="4" w:space="0"/>
            </w:tcBorders>
            <w:vAlign w:val="center"/>
          </w:tcPr>
          <w:p w14:paraId="2A4F0599">
            <w:pPr>
              <w:pStyle w:val="71"/>
              <w:spacing w:before="24" w:after="24"/>
              <w:rPr>
                <w:rFonts w:cs="Times New Roman"/>
              </w:rPr>
            </w:pPr>
            <w:r>
              <w:rPr>
                <w:rFonts w:cs="Times New Roman"/>
              </w:rPr>
              <w:t>附属设施</w:t>
            </w:r>
          </w:p>
        </w:tc>
        <w:tc>
          <w:tcPr>
            <w:tcW w:w="1695" w:type="dxa"/>
            <w:tcBorders>
              <w:top w:val="single" w:color="auto" w:sz="4" w:space="0"/>
              <w:left w:val="single" w:color="auto" w:sz="4" w:space="0"/>
              <w:bottom w:val="single" w:color="auto" w:sz="4" w:space="0"/>
              <w:right w:val="single" w:color="auto" w:sz="4" w:space="0"/>
            </w:tcBorders>
            <w:vAlign w:val="center"/>
          </w:tcPr>
          <w:p w14:paraId="349692F4">
            <w:pPr>
              <w:pStyle w:val="71"/>
              <w:spacing w:before="24" w:after="24"/>
              <w:rPr>
                <w:rFonts w:cs="Times New Roman"/>
              </w:rPr>
            </w:pPr>
            <w:r>
              <w:rPr>
                <w:rFonts w:cs="Times New Roman"/>
              </w:rPr>
              <w:t>人行道及铺装</w:t>
            </w:r>
          </w:p>
        </w:tc>
        <w:tc>
          <w:tcPr>
            <w:tcW w:w="4880" w:type="dxa"/>
            <w:tcBorders>
              <w:top w:val="single" w:color="auto" w:sz="4" w:space="0"/>
              <w:left w:val="single" w:color="auto" w:sz="4" w:space="0"/>
              <w:bottom w:val="single" w:color="auto" w:sz="4" w:space="0"/>
              <w:right w:val="single" w:color="auto" w:sz="4" w:space="0"/>
            </w:tcBorders>
            <w:vAlign w:val="center"/>
          </w:tcPr>
          <w:p w14:paraId="0F90625A">
            <w:pPr>
              <w:pStyle w:val="71"/>
              <w:spacing w:before="24" w:after="24"/>
              <w:rPr>
                <w:rFonts w:cs="Times New Roman"/>
              </w:rPr>
            </w:pPr>
            <w:r>
              <w:rPr>
                <w:rFonts w:cs="Times New Roman"/>
              </w:rPr>
              <w:t>材质-颜色-范围-坡度</w:t>
            </w:r>
          </w:p>
        </w:tc>
        <w:tc>
          <w:tcPr>
            <w:tcW w:w="1146" w:type="dxa"/>
            <w:tcBorders>
              <w:top w:val="single" w:color="auto" w:sz="4" w:space="0"/>
              <w:left w:val="single" w:color="auto" w:sz="4" w:space="0"/>
              <w:bottom w:val="single" w:color="auto" w:sz="4" w:space="0"/>
              <w:right w:val="single" w:color="auto" w:sz="4" w:space="0"/>
            </w:tcBorders>
            <w:vAlign w:val="center"/>
          </w:tcPr>
          <w:p w14:paraId="3119C3A7">
            <w:pPr>
              <w:pStyle w:val="71"/>
              <w:spacing w:before="24" w:after="24"/>
              <w:rPr>
                <w:rFonts w:cs="Times New Roman"/>
              </w:rPr>
            </w:pPr>
          </w:p>
        </w:tc>
      </w:tr>
      <w:tr w14:paraId="306A3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4" w:type="dxa"/>
            <w:tcBorders>
              <w:top w:val="single" w:color="auto" w:sz="4" w:space="0"/>
              <w:left w:val="single" w:color="auto" w:sz="4" w:space="0"/>
              <w:bottom w:val="single" w:color="auto" w:sz="4" w:space="0"/>
              <w:right w:val="single" w:color="auto" w:sz="4" w:space="0"/>
            </w:tcBorders>
            <w:vAlign w:val="center"/>
          </w:tcPr>
          <w:p w14:paraId="263CC8EF">
            <w:pPr>
              <w:pStyle w:val="71"/>
              <w:spacing w:before="24" w:after="24"/>
              <w:rPr>
                <w:rFonts w:cs="Times New Roman"/>
              </w:rPr>
            </w:pPr>
            <w:r>
              <w:rPr>
                <w:rFonts w:cs="Times New Roman"/>
              </w:rPr>
              <w:t>附属设施</w:t>
            </w:r>
          </w:p>
        </w:tc>
        <w:tc>
          <w:tcPr>
            <w:tcW w:w="1695" w:type="dxa"/>
            <w:tcBorders>
              <w:top w:val="single" w:color="auto" w:sz="4" w:space="0"/>
              <w:left w:val="single" w:color="auto" w:sz="4" w:space="0"/>
              <w:bottom w:val="single" w:color="auto" w:sz="4" w:space="0"/>
              <w:right w:val="single" w:color="auto" w:sz="4" w:space="0"/>
            </w:tcBorders>
            <w:vAlign w:val="center"/>
          </w:tcPr>
          <w:p w14:paraId="04F54CD3">
            <w:pPr>
              <w:pStyle w:val="71"/>
              <w:spacing w:before="24" w:after="24"/>
              <w:rPr>
                <w:rFonts w:cs="Times New Roman"/>
              </w:rPr>
            </w:pPr>
            <w:r>
              <w:rPr>
                <w:rFonts w:cs="Times New Roman"/>
              </w:rPr>
              <w:t>交通标识标牌</w:t>
            </w:r>
          </w:p>
        </w:tc>
        <w:tc>
          <w:tcPr>
            <w:tcW w:w="4880" w:type="dxa"/>
            <w:tcBorders>
              <w:top w:val="single" w:color="auto" w:sz="4" w:space="0"/>
              <w:left w:val="single" w:color="auto" w:sz="4" w:space="0"/>
              <w:bottom w:val="single" w:color="auto" w:sz="4" w:space="0"/>
              <w:right w:val="single" w:color="auto" w:sz="4" w:space="0"/>
            </w:tcBorders>
            <w:vAlign w:val="center"/>
          </w:tcPr>
          <w:p w14:paraId="5190DF84">
            <w:pPr>
              <w:pStyle w:val="71"/>
              <w:spacing w:before="24" w:after="24"/>
              <w:rPr>
                <w:rFonts w:cs="Times New Roman"/>
              </w:rPr>
            </w:pPr>
            <w:r>
              <w:rPr>
                <w:rFonts w:cs="Times New Roman"/>
              </w:rPr>
              <w:t>类型-内容-支撑结构尺寸-安装位置（桩号）</w:t>
            </w:r>
          </w:p>
        </w:tc>
        <w:tc>
          <w:tcPr>
            <w:tcW w:w="1146" w:type="dxa"/>
            <w:tcBorders>
              <w:top w:val="single" w:color="auto" w:sz="4" w:space="0"/>
              <w:left w:val="single" w:color="auto" w:sz="4" w:space="0"/>
              <w:bottom w:val="single" w:color="auto" w:sz="4" w:space="0"/>
              <w:right w:val="single" w:color="auto" w:sz="4" w:space="0"/>
            </w:tcBorders>
            <w:vAlign w:val="center"/>
          </w:tcPr>
          <w:p w14:paraId="3DDBB2E1">
            <w:pPr>
              <w:pStyle w:val="71"/>
              <w:spacing w:before="24" w:after="24"/>
              <w:rPr>
                <w:rFonts w:cs="Times New Roman"/>
              </w:rPr>
            </w:pPr>
          </w:p>
        </w:tc>
      </w:tr>
      <w:tr w14:paraId="70DF2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4" w:type="dxa"/>
            <w:tcBorders>
              <w:top w:val="single" w:color="auto" w:sz="4" w:space="0"/>
              <w:left w:val="single" w:color="auto" w:sz="4" w:space="0"/>
              <w:bottom w:val="single" w:color="auto" w:sz="4" w:space="0"/>
              <w:right w:val="single" w:color="auto" w:sz="4" w:space="0"/>
            </w:tcBorders>
            <w:vAlign w:val="center"/>
          </w:tcPr>
          <w:p w14:paraId="761D92B4">
            <w:pPr>
              <w:pStyle w:val="71"/>
              <w:spacing w:before="24" w:after="24"/>
              <w:rPr>
                <w:rFonts w:cs="Times New Roman"/>
              </w:rPr>
            </w:pPr>
            <w:r>
              <w:rPr>
                <w:rFonts w:cs="Times New Roman"/>
              </w:rPr>
              <w:t>附属设施</w:t>
            </w:r>
          </w:p>
        </w:tc>
        <w:tc>
          <w:tcPr>
            <w:tcW w:w="1695" w:type="dxa"/>
            <w:tcBorders>
              <w:top w:val="single" w:color="auto" w:sz="4" w:space="0"/>
              <w:left w:val="single" w:color="auto" w:sz="4" w:space="0"/>
              <w:bottom w:val="single" w:color="auto" w:sz="4" w:space="0"/>
              <w:right w:val="single" w:color="auto" w:sz="4" w:space="0"/>
            </w:tcBorders>
            <w:vAlign w:val="center"/>
          </w:tcPr>
          <w:p w14:paraId="6791F1AF">
            <w:pPr>
              <w:pStyle w:val="71"/>
              <w:spacing w:before="24" w:after="24"/>
              <w:rPr>
                <w:rFonts w:cs="Times New Roman"/>
              </w:rPr>
            </w:pPr>
            <w:r>
              <w:rPr>
                <w:rFonts w:cs="Times New Roman"/>
              </w:rPr>
              <w:t>信号灯与路灯</w:t>
            </w:r>
          </w:p>
        </w:tc>
        <w:tc>
          <w:tcPr>
            <w:tcW w:w="4880" w:type="dxa"/>
            <w:tcBorders>
              <w:top w:val="single" w:color="auto" w:sz="4" w:space="0"/>
              <w:left w:val="single" w:color="auto" w:sz="4" w:space="0"/>
              <w:bottom w:val="single" w:color="auto" w:sz="4" w:space="0"/>
              <w:right w:val="single" w:color="auto" w:sz="4" w:space="0"/>
            </w:tcBorders>
          </w:tcPr>
          <w:p w14:paraId="64F1AECC">
            <w:pPr>
              <w:pStyle w:val="71"/>
              <w:spacing w:before="24" w:after="24"/>
              <w:rPr>
                <w:rFonts w:cs="Times New Roman"/>
              </w:rPr>
            </w:pPr>
            <w:r>
              <w:rPr>
                <w:rFonts w:cs="Times New Roman"/>
              </w:rPr>
              <w:t>类型-型号-基础尺寸-灯杆高度-安装位置</w:t>
            </w:r>
          </w:p>
        </w:tc>
        <w:tc>
          <w:tcPr>
            <w:tcW w:w="1146" w:type="dxa"/>
            <w:tcBorders>
              <w:top w:val="single" w:color="auto" w:sz="4" w:space="0"/>
              <w:left w:val="single" w:color="auto" w:sz="4" w:space="0"/>
              <w:bottom w:val="single" w:color="auto" w:sz="4" w:space="0"/>
              <w:right w:val="single" w:color="auto" w:sz="4" w:space="0"/>
            </w:tcBorders>
            <w:vAlign w:val="center"/>
          </w:tcPr>
          <w:p w14:paraId="26CBBB5A">
            <w:pPr>
              <w:pStyle w:val="71"/>
              <w:spacing w:before="24" w:after="24"/>
              <w:rPr>
                <w:rFonts w:cs="Times New Roman"/>
              </w:rPr>
            </w:pPr>
          </w:p>
        </w:tc>
      </w:tr>
      <w:tr w14:paraId="2D0A7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4" w:type="dxa"/>
            <w:tcBorders>
              <w:top w:val="single" w:color="auto" w:sz="4" w:space="0"/>
              <w:left w:val="single" w:color="auto" w:sz="4" w:space="0"/>
              <w:bottom w:val="single" w:color="auto" w:sz="4" w:space="0"/>
              <w:right w:val="single" w:color="auto" w:sz="4" w:space="0"/>
            </w:tcBorders>
            <w:vAlign w:val="center"/>
          </w:tcPr>
          <w:p w14:paraId="3CD2549A">
            <w:pPr>
              <w:pStyle w:val="71"/>
              <w:spacing w:before="24" w:after="24"/>
              <w:rPr>
                <w:rFonts w:cs="Times New Roman"/>
              </w:rPr>
            </w:pPr>
            <w:r>
              <w:rPr>
                <w:rFonts w:cs="Times New Roman"/>
              </w:rPr>
              <w:t>附属设施</w:t>
            </w:r>
          </w:p>
        </w:tc>
        <w:tc>
          <w:tcPr>
            <w:tcW w:w="1695" w:type="dxa"/>
            <w:tcBorders>
              <w:top w:val="single" w:color="auto" w:sz="4" w:space="0"/>
              <w:left w:val="single" w:color="auto" w:sz="4" w:space="0"/>
              <w:bottom w:val="single" w:color="auto" w:sz="4" w:space="0"/>
              <w:right w:val="single" w:color="auto" w:sz="4" w:space="0"/>
            </w:tcBorders>
            <w:vAlign w:val="center"/>
          </w:tcPr>
          <w:p w14:paraId="6C047215">
            <w:pPr>
              <w:pStyle w:val="71"/>
              <w:spacing w:before="24" w:after="24"/>
              <w:rPr>
                <w:rFonts w:cs="Times New Roman"/>
              </w:rPr>
            </w:pPr>
            <w:r>
              <w:rPr>
                <w:rFonts w:cs="Times New Roman"/>
              </w:rPr>
              <w:t>护栏</w:t>
            </w:r>
          </w:p>
        </w:tc>
        <w:tc>
          <w:tcPr>
            <w:tcW w:w="4880" w:type="dxa"/>
            <w:tcBorders>
              <w:top w:val="single" w:color="auto" w:sz="4" w:space="0"/>
              <w:left w:val="single" w:color="auto" w:sz="4" w:space="0"/>
              <w:bottom w:val="single" w:color="auto" w:sz="4" w:space="0"/>
              <w:right w:val="single" w:color="auto" w:sz="4" w:space="0"/>
            </w:tcBorders>
          </w:tcPr>
          <w:p w14:paraId="01997D2E">
            <w:pPr>
              <w:pStyle w:val="71"/>
              <w:spacing w:before="24" w:after="24"/>
              <w:rPr>
                <w:rFonts w:cs="Times New Roman"/>
              </w:rPr>
            </w:pPr>
            <w:r>
              <w:rPr>
                <w:rFonts w:cs="Times New Roman"/>
              </w:rPr>
              <w:t>类型-长度-起始桩号-基础信息</w:t>
            </w:r>
          </w:p>
        </w:tc>
        <w:tc>
          <w:tcPr>
            <w:tcW w:w="1146" w:type="dxa"/>
            <w:tcBorders>
              <w:top w:val="single" w:color="auto" w:sz="4" w:space="0"/>
              <w:left w:val="single" w:color="auto" w:sz="4" w:space="0"/>
              <w:bottom w:val="single" w:color="auto" w:sz="4" w:space="0"/>
              <w:right w:val="single" w:color="auto" w:sz="4" w:space="0"/>
            </w:tcBorders>
            <w:vAlign w:val="center"/>
          </w:tcPr>
          <w:p w14:paraId="7863F066">
            <w:pPr>
              <w:pStyle w:val="71"/>
              <w:spacing w:before="24" w:after="24"/>
              <w:rPr>
                <w:rFonts w:cs="Times New Roman"/>
              </w:rPr>
            </w:pPr>
          </w:p>
        </w:tc>
      </w:tr>
      <w:tr w14:paraId="57179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344" w:type="dxa"/>
            <w:tcBorders>
              <w:top w:val="single" w:color="auto" w:sz="4" w:space="0"/>
              <w:left w:val="single" w:color="auto" w:sz="4" w:space="0"/>
              <w:bottom w:val="single" w:color="auto" w:sz="4" w:space="0"/>
              <w:right w:val="single" w:color="auto" w:sz="4" w:space="0"/>
            </w:tcBorders>
            <w:vAlign w:val="center"/>
          </w:tcPr>
          <w:p w14:paraId="066D4F98">
            <w:pPr>
              <w:pStyle w:val="71"/>
              <w:spacing w:before="24" w:after="24"/>
              <w:rPr>
                <w:rFonts w:cs="Times New Roman"/>
              </w:rPr>
            </w:pPr>
            <w:r>
              <w:rPr>
                <w:rFonts w:cs="Times New Roman"/>
              </w:rPr>
              <w:t>综合管网</w:t>
            </w:r>
          </w:p>
        </w:tc>
        <w:tc>
          <w:tcPr>
            <w:tcW w:w="1695" w:type="dxa"/>
            <w:tcBorders>
              <w:top w:val="single" w:color="auto" w:sz="4" w:space="0"/>
              <w:left w:val="single" w:color="auto" w:sz="4" w:space="0"/>
              <w:bottom w:val="single" w:color="auto" w:sz="4" w:space="0"/>
              <w:right w:val="single" w:color="auto" w:sz="4" w:space="0"/>
            </w:tcBorders>
            <w:vAlign w:val="center"/>
          </w:tcPr>
          <w:p w14:paraId="2A934034">
            <w:pPr>
              <w:pStyle w:val="71"/>
              <w:spacing w:before="24" w:after="24"/>
              <w:rPr>
                <w:rFonts w:cs="Times New Roman"/>
              </w:rPr>
            </w:pPr>
            <w:r>
              <w:rPr>
                <w:rFonts w:cs="Times New Roman"/>
              </w:rPr>
              <w:t>雨污水管道</w:t>
            </w:r>
          </w:p>
        </w:tc>
        <w:tc>
          <w:tcPr>
            <w:tcW w:w="4880" w:type="dxa"/>
            <w:tcBorders>
              <w:top w:val="single" w:color="auto" w:sz="4" w:space="0"/>
              <w:left w:val="single" w:color="auto" w:sz="4" w:space="0"/>
              <w:bottom w:val="single" w:color="auto" w:sz="4" w:space="0"/>
              <w:right w:val="single" w:color="auto" w:sz="4" w:space="0"/>
            </w:tcBorders>
          </w:tcPr>
          <w:p w14:paraId="6E12D764">
            <w:pPr>
              <w:pStyle w:val="71"/>
              <w:spacing w:before="24" w:after="24"/>
              <w:rPr>
                <w:rFonts w:cs="Times New Roman"/>
              </w:rPr>
            </w:pPr>
            <w:r>
              <w:rPr>
                <w:rFonts w:cs="Times New Roman"/>
              </w:rPr>
              <w:t>管径-材质-接口形式-坡度-流向</w:t>
            </w:r>
          </w:p>
        </w:tc>
        <w:tc>
          <w:tcPr>
            <w:tcW w:w="1146" w:type="dxa"/>
            <w:tcBorders>
              <w:top w:val="single" w:color="auto" w:sz="4" w:space="0"/>
              <w:left w:val="single" w:color="auto" w:sz="4" w:space="0"/>
              <w:bottom w:val="single" w:color="auto" w:sz="4" w:space="0"/>
              <w:right w:val="single" w:color="auto" w:sz="4" w:space="0"/>
            </w:tcBorders>
            <w:vAlign w:val="center"/>
          </w:tcPr>
          <w:p w14:paraId="63DE02A0">
            <w:pPr>
              <w:pStyle w:val="71"/>
              <w:spacing w:before="24" w:after="24"/>
              <w:rPr>
                <w:rFonts w:cs="Times New Roman"/>
              </w:rPr>
            </w:pPr>
          </w:p>
        </w:tc>
      </w:tr>
      <w:tr w14:paraId="55AC6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4" w:type="dxa"/>
            <w:tcBorders>
              <w:top w:val="single" w:color="auto" w:sz="4" w:space="0"/>
              <w:left w:val="single" w:color="auto" w:sz="4" w:space="0"/>
              <w:bottom w:val="single" w:color="auto" w:sz="4" w:space="0"/>
              <w:right w:val="single" w:color="auto" w:sz="4" w:space="0"/>
            </w:tcBorders>
            <w:vAlign w:val="center"/>
          </w:tcPr>
          <w:p w14:paraId="3E4F0729">
            <w:pPr>
              <w:pStyle w:val="71"/>
              <w:spacing w:before="24" w:after="24"/>
              <w:rPr>
                <w:rFonts w:cs="Times New Roman"/>
              </w:rPr>
            </w:pPr>
            <w:r>
              <w:rPr>
                <w:rFonts w:cs="Times New Roman"/>
              </w:rPr>
              <w:t>综合管网</w:t>
            </w:r>
          </w:p>
        </w:tc>
        <w:tc>
          <w:tcPr>
            <w:tcW w:w="1695" w:type="dxa"/>
            <w:tcBorders>
              <w:top w:val="single" w:color="auto" w:sz="4" w:space="0"/>
              <w:left w:val="single" w:color="auto" w:sz="4" w:space="0"/>
              <w:bottom w:val="single" w:color="auto" w:sz="4" w:space="0"/>
              <w:right w:val="single" w:color="auto" w:sz="4" w:space="0"/>
            </w:tcBorders>
            <w:vAlign w:val="center"/>
          </w:tcPr>
          <w:p w14:paraId="78D288AE">
            <w:pPr>
              <w:pStyle w:val="71"/>
              <w:spacing w:before="24" w:after="24"/>
              <w:rPr>
                <w:rFonts w:cs="Times New Roman"/>
              </w:rPr>
            </w:pPr>
            <w:r>
              <w:rPr>
                <w:rFonts w:cs="Times New Roman"/>
              </w:rPr>
              <w:t>检查井</w:t>
            </w:r>
          </w:p>
        </w:tc>
        <w:tc>
          <w:tcPr>
            <w:tcW w:w="4880" w:type="dxa"/>
            <w:tcBorders>
              <w:top w:val="single" w:color="auto" w:sz="4" w:space="0"/>
              <w:left w:val="single" w:color="auto" w:sz="4" w:space="0"/>
              <w:bottom w:val="single" w:color="auto" w:sz="4" w:space="0"/>
              <w:right w:val="single" w:color="auto" w:sz="4" w:space="0"/>
            </w:tcBorders>
          </w:tcPr>
          <w:p w14:paraId="3FD284C8">
            <w:pPr>
              <w:pStyle w:val="71"/>
              <w:spacing w:before="24" w:after="24"/>
              <w:rPr>
                <w:rFonts w:cs="Times New Roman"/>
              </w:rPr>
            </w:pPr>
            <w:r>
              <w:rPr>
                <w:rFonts w:cs="Times New Roman"/>
              </w:rPr>
              <w:t>类型-型号-尺寸-顶底标高-流向</w:t>
            </w:r>
          </w:p>
        </w:tc>
        <w:tc>
          <w:tcPr>
            <w:tcW w:w="1146" w:type="dxa"/>
            <w:tcBorders>
              <w:top w:val="single" w:color="auto" w:sz="4" w:space="0"/>
              <w:left w:val="single" w:color="auto" w:sz="4" w:space="0"/>
              <w:bottom w:val="single" w:color="auto" w:sz="4" w:space="0"/>
              <w:right w:val="single" w:color="auto" w:sz="4" w:space="0"/>
            </w:tcBorders>
            <w:vAlign w:val="center"/>
          </w:tcPr>
          <w:p w14:paraId="0A3CB304">
            <w:pPr>
              <w:pStyle w:val="71"/>
              <w:spacing w:before="24" w:after="24"/>
              <w:rPr>
                <w:rFonts w:cs="Times New Roman"/>
              </w:rPr>
            </w:pPr>
            <w:r>
              <w:rPr>
                <w:rFonts w:cs="Times New Roman"/>
              </w:rPr>
              <w:t>匹配族</w:t>
            </w:r>
          </w:p>
        </w:tc>
      </w:tr>
      <w:tr w14:paraId="5FF17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344" w:type="dxa"/>
            <w:tcBorders>
              <w:top w:val="single" w:color="auto" w:sz="4" w:space="0"/>
              <w:left w:val="single" w:color="auto" w:sz="4" w:space="0"/>
              <w:bottom w:val="single" w:color="auto" w:sz="4" w:space="0"/>
              <w:right w:val="single" w:color="auto" w:sz="4" w:space="0"/>
            </w:tcBorders>
            <w:vAlign w:val="center"/>
          </w:tcPr>
          <w:p w14:paraId="52559E04">
            <w:pPr>
              <w:pStyle w:val="71"/>
              <w:spacing w:before="24" w:after="24"/>
              <w:rPr>
                <w:rFonts w:cs="Times New Roman"/>
              </w:rPr>
            </w:pPr>
            <w:r>
              <w:rPr>
                <w:rFonts w:cs="Times New Roman"/>
              </w:rPr>
              <w:t>综合管网</w:t>
            </w:r>
          </w:p>
        </w:tc>
        <w:tc>
          <w:tcPr>
            <w:tcW w:w="1695" w:type="dxa"/>
            <w:tcBorders>
              <w:top w:val="single" w:color="auto" w:sz="4" w:space="0"/>
              <w:left w:val="single" w:color="auto" w:sz="4" w:space="0"/>
              <w:bottom w:val="single" w:color="auto" w:sz="4" w:space="0"/>
              <w:right w:val="single" w:color="auto" w:sz="4" w:space="0"/>
            </w:tcBorders>
            <w:vAlign w:val="center"/>
          </w:tcPr>
          <w:p w14:paraId="399BDF5D">
            <w:pPr>
              <w:pStyle w:val="71"/>
              <w:spacing w:before="24" w:after="24"/>
              <w:rPr>
                <w:rFonts w:cs="Times New Roman"/>
              </w:rPr>
            </w:pPr>
            <w:r>
              <w:rPr>
                <w:rFonts w:cs="Times New Roman"/>
              </w:rPr>
              <w:t>给水管道</w:t>
            </w:r>
          </w:p>
        </w:tc>
        <w:tc>
          <w:tcPr>
            <w:tcW w:w="4880" w:type="dxa"/>
            <w:tcBorders>
              <w:top w:val="single" w:color="auto" w:sz="4" w:space="0"/>
              <w:left w:val="single" w:color="auto" w:sz="4" w:space="0"/>
              <w:bottom w:val="single" w:color="auto" w:sz="4" w:space="0"/>
              <w:right w:val="single" w:color="auto" w:sz="4" w:space="0"/>
            </w:tcBorders>
          </w:tcPr>
          <w:p w14:paraId="2BD4B972">
            <w:pPr>
              <w:pStyle w:val="71"/>
              <w:spacing w:before="24" w:after="24"/>
              <w:rPr>
                <w:rFonts w:cs="Times New Roman"/>
              </w:rPr>
            </w:pPr>
            <w:r>
              <w:rPr>
                <w:rFonts w:cs="Times New Roman"/>
              </w:rPr>
              <w:t>管径-材质-工作压力-接口形式-防腐等级</w:t>
            </w:r>
          </w:p>
        </w:tc>
        <w:tc>
          <w:tcPr>
            <w:tcW w:w="1146" w:type="dxa"/>
            <w:tcBorders>
              <w:top w:val="single" w:color="auto" w:sz="4" w:space="0"/>
              <w:left w:val="single" w:color="auto" w:sz="4" w:space="0"/>
              <w:bottom w:val="single" w:color="auto" w:sz="4" w:space="0"/>
              <w:right w:val="single" w:color="auto" w:sz="4" w:space="0"/>
            </w:tcBorders>
            <w:vAlign w:val="center"/>
          </w:tcPr>
          <w:p w14:paraId="1ADB08E8">
            <w:pPr>
              <w:pStyle w:val="71"/>
              <w:spacing w:before="24" w:after="24"/>
              <w:rPr>
                <w:rFonts w:cs="Times New Roman"/>
              </w:rPr>
            </w:pPr>
          </w:p>
        </w:tc>
      </w:tr>
      <w:tr w14:paraId="7DDD6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4" w:type="dxa"/>
            <w:tcBorders>
              <w:top w:val="single" w:color="auto" w:sz="4" w:space="0"/>
              <w:left w:val="single" w:color="auto" w:sz="4" w:space="0"/>
              <w:bottom w:val="single" w:color="auto" w:sz="4" w:space="0"/>
              <w:right w:val="single" w:color="auto" w:sz="4" w:space="0"/>
            </w:tcBorders>
            <w:vAlign w:val="center"/>
          </w:tcPr>
          <w:p w14:paraId="4CC206D1">
            <w:pPr>
              <w:pStyle w:val="71"/>
              <w:spacing w:before="24" w:after="24"/>
              <w:rPr>
                <w:rFonts w:cs="Times New Roman"/>
              </w:rPr>
            </w:pPr>
            <w:r>
              <w:rPr>
                <w:rFonts w:cs="Times New Roman"/>
              </w:rPr>
              <w:t>综合管网</w:t>
            </w:r>
          </w:p>
        </w:tc>
        <w:tc>
          <w:tcPr>
            <w:tcW w:w="1695" w:type="dxa"/>
            <w:tcBorders>
              <w:top w:val="single" w:color="auto" w:sz="4" w:space="0"/>
              <w:left w:val="single" w:color="auto" w:sz="4" w:space="0"/>
              <w:bottom w:val="single" w:color="auto" w:sz="4" w:space="0"/>
              <w:right w:val="single" w:color="auto" w:sz="4" w:space="0"/>
            </w:tcBorders>
            <w:vAlign w:val="center"/>
          </w:tcPr>
          <w:p w14:paraId="4A8C5EDC">
            <w:pPr>
              <w:pStyle w:val="71"/>
              <w:spacing w:before="24" w:after="24"/>
              <w:rPr>
                <w:rFonts w:cs="Times New Roman"/>
              </w:rPr>
            </w:pPr>
            <w:r>
              <w:rPr>
                <w:rFonts w:cs="Times New Roman"/>
              </w:rPr>
              <w:t>给水管件阀门</w:t>
            </w:r>
          </w:p>
        </w:tc>
        <w:tc>
          <w:tcPr>
            <w:tcW w:w="4880" w:type="dxa"/>
            <w:tcBorders>
              <w:top w:val="single" w:color="auto" w:sz="4" w:space="0"/>
              <w:left w:val="single" w:color="auto" w:sz="4" w:space="0"/>
              <w:bottom w:val="single" w:color="auto" w:sz="4" w:space="0"/>
              <w:right w:val="single" w:color="auto" w:sz="4" w:space="0"/>
            </w:tcBorders>
          </w:tcPr>
          <w:p w14:paraId="061FFD16">
            <w:pPr>
              <w:pStyle w:val="71"/>
              <w:spacing w:before="24" w:after="24"/>
              <w:rPr>
                <w:rFonts w:cs="Times New Roman"/>
              </w:rPr>
            </w:pPr>
            <w:r>
              <w:rPr>
                <w:rFonts w:cs="Times New Roman"/>
              </w:rPr>
              <w:t>类型-型号-连接尺寸-安装位置</w:t>
            </w:r>
          </w:p>
        </w:tc>
        <w:tc>
          <w:tcPr>
            <w:tcW w:w="1146" w:type="dxa"/>
            <w:tcBorders>
              <w:top w:val="single" w:color="auto" w:sz="4" w:space="0"/>
              <w:left w:val="single" w:color="auto" w:sz="4" w:space="0"/>
              <w:bottom w:val="single" w:color="auto" w:sz="4" w:space="0"/>
              <w:right w:val="single" w:color="auto" w:sz="4" w:space="0"/>
            </w:tcBorders>
            <w:vAlign w:val="center"/>
          </w:tcPr>
          <w:p w14:paraId="143CDC55">
            <w:pPr>
              <w:pStyle w:val="71"/>
              <w:spacing w:before="24" w:after="24"/>
              <w:rPr>
                <w:rFonts w:cs="Times New Roman"/>
              </w:rPr>
            </w:pPr>
            <w:r>
              <w:rPr>
                <w:rFonts w:cs="Times New Roman"/>
              </w:rPr>
              <w:t>匹配族</w:t>
            </w:r>
          </w:p>
        </w:tc>
      </w:tr>
      <w:tr w14:paraId="292FB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4" w:type="dxa"/>
            <w:tcBorders>
              <w:top w:val="single" w:color="auto" w:sz="4" w:space="0"/>
              <w:left w:val="single" w:color="auto" w:sz="4" w:space="0"/>
              <w:bottom w:val="single" w:color="auto" w:sz="4" w:space="0"/>
              <w:right w:val="single" w:color="auto" w:sz="4" w:space="0"/>
            </w:tcBorders>
            <w:vAlign w:val="center"/>
          </w:tcPr>
          <w:p w14:paraId="3240A8CE">
            <w:pPr>
              <w:pStyle w:val="71"/>
              <w:spacing w:before="24" w:after="24"/>
              <w:rPr>
                <w:rFonts w:cs="Times New Roman"/>
              </w:rPr>
            </w:pPr>
            <w:r>
              <w:rPr>
                <w:rFonts w:cs="Times New Roman"/>
              </w:rPr>
              <w:t>综合管网</w:t>
            </w:r>
          </w:p>
        </w:tc>
        <w:tc>
          <w:tcPr>
            <w:tcW w:w="1695" w:type="dxa"/>
            <w:tcBorders>
              <w:top w:val="single" w:color="auto" w:sz="4" w:space="0"/>
              <w:left w:val="single" w:color="auto" w:sz="4" w:space="0"/>
              <w:bottom w:val="single" w:color="auto" w:sz="4" w:space="0"/>
              <w:right w:val="single" w:color="auto" w:sz="4" w:space="0"/>
            </w:tcBorders>
            <w:vAlign w:val="center"/>
          </w:tcPr>
          <w:p w14:paraId="7598C52B">
            <w:pPr>
              <w:pStyle w:val="71"/>
              <w:spacing w:before="24" w:after="24"/>
              <w:rPr>
                <w:rFonts w:cs="Times New Roman"/>
              </w:rPr>
            </w:pPr>
            <w:r>
              <w:rPr>
                <w:rFonts w:cs="Times New Roman"/>
              </w:rPr>
              <w:t>燃气管道</w:t>
            </w:r>
          </w:p>
        </w:tc>
        <w:tc>
          <w:tcPr>
            <w:tcW w:w="4880" w:type="dxa"/>
            <w:tcBorders>
              <w:top w:val="single" w:color="auto" w:sz="4" w:space="0"/>
              <w:left w:val="single" w:color="auto" w:sz="4" w:space="0"/>
              <w:bottom w:val="single" w:color="auto" w:sz="4" w:space="0"/>
              <w:right w:val="single" w:color="auto" w:sz="4" w:space="0"/>
            </w:tcBorders>
          </w:tcPr>
          <w:p w14:paraId="00D0F6C4">
            <w:pPr>
              <w:pStyle w:val="71"/>
              <w:spacing w:before="24" w:after="24"/>
              <w:rPr>
                <w:rFonts w:cs="Times New Roman"/>
              </w:rPr>
            </w:pPr>
            <w:r>
              <w:rPr>
                <w:rFonts w:cs="Times New Roman"/>
              </w:rPr>
              <w:t>管径-材质-设计压力-防腐等级</w:t>
            </w:r>
          </w:p>
        </w:tc>
        <w:tc>
          <w:tcPr>
            <w:tcW w:w="1146" w:type="dxa"/>
            <w:tcBorders>
              <w:top w:val="single" w:color="auto" w:sz="4" w:space="0"/>
              <w:left w:val="single" w:color="auto" w:sz="4" w:space="0"/>
              <w:bottom w:val="single" w:color="auto" w:sz="4" w:space="0"/>
              <w:right w:val="single" w:color="auto" w:sz="4" w:space="0"/>
            </w:tcBorders>
            <w:vAlign w:val="center"/>
          </w:tcPr>
          <w:p w14:paraId="6B975F4B">
            <w:pPr>
              <w:pStyle w:val="71"/>
              <w:spacing w:before="24" w:after="24"/>
              <w:rPr>
                <w:rFonts w:cs="Times New Roman"/>
              </w:rPr>
            </w:pPr>
          </w:p>
        </w:tc>
      </w:tr>
      <w:tr w14:paraId="5D83D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4" w:type="dxa"/>
            <w:tcBorders>
              <w:top w:val="single" w:color="auto" w:sz="4" w:space="0"/>
              <w:left w:val="single" w:color="auto" w:sz="4" w:space="0"/>
              <w:bottom w:val="single" w:color="auto" w:sz="4" w:space="0"/>
              <w:right w:val="single" w:color="auto" w:sz="4" w:space="0"/>
            </w:tcBorders>
            <w:vAlign w:val="center"/>
          </w:tcPr>
          <w:p w14:paraId="25EE9066">
            <w:pPr>
              <w:pStyle w:val="71"/>
              <w:spacing w:before="24" w:after="24"/>
              <w:rPr>
                <w:rFonts w:cs="Times New Roman"/>
              </w:rPr>
            </w:pPr>
            <w:r>
              <w:rPr>
                <w:rFonts w:cs="Times New Roman"/>
              </w:rPr>
              <w:t>综合管网</w:t>
            </w:r>
          </w:p>
        </w:tc>
        <w:tc>
          <w:tcPr>
            <w:tcW w:w="1695" w:type="dxa"/>
            <w:tcBorders>
              <w:top w:val="single" w:color="auto" w:sz="4" w:space="0"/>
              <w:left w:val="single" w:color="auto" w:sz="4" w:space="0"/>
              <w:bottom w:val="single" w:color="auto" w:sz="4" w:space="0"/>
              <w:right w:val="single" w:color="auto" w:sz="4" w:space="0"/>
            </w:tcBorders>
            <w:vAlign w:val="center"/>
          </w:tcPr>
          <w:p w14:paraId="4C265C0A">
            <w:pPr>
              <w:pStyle w:val="71"/>
              <w:spacing w:before="24" w:after="24"/>
              <w:rPr>
                <w:rFonts w:cs="Times New Roman"/>
              </w:rPr>
            </w:pPr>
            <w:r>
              <w:rPr>
                <w:rFonts w:cs="Times New Roman"/>
              </w:rPr>
              <w:t>燃气管件阀门</w:t>
            </w:r>
          </w:p>
        </w:tc>
        <w:tc>
          <w:tcPr>
            <w:tcW w:w="4880" w:type="dxa"/>
            <w:tcBorders>
              <w:top w:val="single" w:color="auto" w:sz="4" w:space="0"/>
              <w:left w:val="single" w:color="auto" w:sz="4" w:space="0"/>
              <w:bottom w:val="single" w:color="auto" w:sz="4" w:space="0"/>
              <w:right w:val="single" w:color="auto" w:sz="4" w:space="0"/>
            </w:tcBorders>
          </w:tcPr>
          <w:p w14:paraId="76A5D44E">
            <w:pPr>
              <w:pStyle w:val="71"/>
              <w:spacing w:before="24" w:after="24"/>
              <w:rPr>
                <w:rFonts w:cs="Times New Roman"/>
              </w:rPr>
            </w:pPr>
            <w:r>
              <w:rPr>
                <w:rFonts w:cs="Times New Roman"/>
              </w:rPr>
              <w:t>类型-型号-保护范围-安全间距</w:t>
            </w:r>
          </w:p>
        </w:tc>
        <w:tc>
          <w:tcPr>
            <w:tcW w:w="1146" w:type="dxa"/>
            <w:tcBorders>
              <w:top w:val="single" w:color="auto" w:sz="4" w:space="0"/>
              <w:left w:val="single" w:color="auto" w:sz="4" w:space="0"/>
              <w:bottom w:val="single" w:color="auto" w:sz="4" w:space="0"/>
              <w:right w:val="single" w:color="auto" w:sz="4" w:space="0"/>
            </w:tcBorders>
            <w:vAlign w:val="center"/>
          </w:tcPr>
          <w:p w14:paraId="52CEAB06">
            <w:pPr>
              <w:pStyle w:val="71"/>
              <w:spacing w:before="24" w:after="24"/>
              <w:rPr>
                <w:rFonts w:cs="Times New Roman"/>
              </w:rPr>
            </w:pPr>
            <w:r>
              <w:rPr>
                <w:rFonts w:cs="Times New Roman"/>
              </w:rPr>
              <w:t>匹配族</w:t>
            </w:r>
          </w:p>
        </w:tc>
      </w:tr>
      <w:tr w14:paraId="69197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4" w:type="dxa"/>
            <w:tcBorders>
              <w:top w:val="single" w:color="auto" w:sz="4" w:space="0"/>
              <w:left w:val="single" w:color="auto" w:sz="4" w:space="0"/>
              <w:bottom w:val="single" w:color="auto" w:sz="4" w:space="0"/>
              <w:right w:val="single" w:color="auto" w:sz="4" w:space="0"/>
            </w:tcBorders>
            <w:vAlign w:val="center"/>
          </w:tcPr>
          <w:p w14:paraId="2571A71D">
            <w:pPr>
              <w:pStyle w:val="71"/>
              <w:spacing w:before="24" w:after="24"/>
              <w:rPr>
                <w:rFonts w:cs="Times New Roman"/>
              </w:rPr>
            </w:pPr>
            <w:r>
              <w:rPr>
                <w:rFonts w:cs="Times New Roman"/>
              </w:rPr>
              <w:t>综合管网</w:t>
            </w:r>
          </w:p>
        </w:tc>
        <w:tc>
          <w:tcPr>
            <w:tcW w:w="1695" w:type="dxa"/>
            <w:tcBorders>
              <w:top w:val="single" w:color="auto" w:sz="4" w:space="0"/>
              <w:left w:val="single" w:color="auto" w:sz="4" w:space="0"/>
              <w:bottom w:val="single" w:color="auto" w:sz="4" w:space="0"/>
              <w:right w:val="single" w:color="auto" w:sz="4" w:space="0"/>
            </w:tcBorders>
            <w:vAlign w:val="center"/>
          </w:tcPr>
          <w:p w14:paraId="1424C88C">
            <w:pPr>
              <w:pStyle w:val="71"/>
              <w:spacing w:before="24" w:after="24"/>
              <w:rPr>
                <w:rFonts w:cs="Times New Roman"/>
              </w:rPr>
            </w:pPr>
            <w:r>
              <w:rPr>
                <w:rFonts w:cs="Times New Roman"/>
              </w:rPr>
              <w:t>电力排管套管</w:t>
            </w:r>
          </w:p>
        </w:tc>
        <w:tc>
          <w:tcPr>
            <w:tcW w:w="4880" w:type="dxa"/>
            <w:tcBorders>
              <w:top w:val="single" w:color="auto" w:sz="4" w:space="0"/>
              <w:left w:val="single" w:color="auto" w:sz="4" w:space="0"/>
              <w:bottom w:val="single" w:color="auto" w:sz="4" w:space="0"/>
              <w:right w:val="single" w:color="auto" w:sz="4" w:space="0"/>
            </w:tcBorders>
          </w:tcPr>
          <w:p w14:paraId="622E617F">
            <w:pPr>
              <w:pStyle w:val="71"/>
              <w:spacing w:before="24" w:after="24"/>
              <w:rPr>
                <w:rFonts w:cs="Times New Roman"/>
              </w:rPr>
            </w:pPr>
            <w:r>
              <w:rPr>
                <w:rFonts w:cs="Times New Roman"/>
              </w:rPr>
              <w:t>孔数-单孔直径-材质-敷设方式</w:t>
            </w:r>
          </w:p>
        </w:tc>
        <w:tc>
          <w:tcPr>
            <w:tcW w:w="1146" w:type="dxa"/>
            <w:tcBorders>
              <w:top w:val="single" w:color="auto" w:sz="4" w:space="0"/>
              <w:left w:val="single" w:color="auto" w:sz="4" w:space="0"/>
              <w:bottom w:val="single" w:color="auto" w:sz="4" w:space="0"/>
              <w:right w:val="single" w:color="auto" w:sz="4" w:space="0"/>
            </w:tcBorders>
            <w:vAlign w:val="center"/>
          </w:tcPr>
          <w:p w14:paraId="285F3FA5">
            <w:pPr>
              <w:pStyle w:val="71"/>
              <w:spacing w:before="24" w:after="24"/>
              <w:rPr>
                <w:rFonts w:cs="Times New Roman"/>
              </w:rPr>
            </w:pPr>
          </w:p>
        </w:tc>
      </w:tr>
      <w:tr w14:paraId="55817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4" w:type="dxa"/>
            <w:tcBorders>
              <w:top w:val="single" w:color="auto" w:sz="4" w:space="0"/>
              <w:left w:val="single" w:color="auto" w:sz="4" w:space="0"/>
              <w:bottom w:val="single" w:color="auto" w:sz="4" w:space="0"/>
              <w:right w:val="single" w:color="auto" w:sz="4" w:space="0"/>
            </w:tcBorders>
            <w:vAlign w:val="center"/>
          </w:tcPr>
          <w:p w14:paraId="10D4C97F">
            <w:pPr>
              <w:pStyle w:val="71"/>
              <w:spacing w:before="24" w:after="24"/>
              <w:rPr>
                <w:rFonts w:cs="Times New Roman"/>
              </w:rPr>
            </w:pPr>
            <w:r>
              <w:rPr>
                <w:rFonts w:cs="Times New Roman"/>
              </w:rPr>
              <w:t>综合管网</w:t>
            </w:r>
          </w:p>
        </w:tc>
        <w:tc>
          <w:tcPr>
            <w:tcW w:w="1695" w:type="dxa"/>
            <w:tcBorders>
              <w:top w:val="single" w:color="auto" w:sz="4" w:space="0"/>
              <w:left w:val="single" w:color="auto" w:sz="4" w:space="0"/>
              <w:bottom w:val="single" w:color="auto" w:sz="4" w:space="0"/>
              <w:right w:val="single" w:color="auto" w:sz="4" w:space="0"/>
            </w:tcBorders>
            <w:vAlign w:val="center"/>
          </w:tcPr>
          <w:p w14:paraId="4E42BEE3">
            <w:pPr>
              <w:pStyle w:val="71"/>
              <w:spacing w:before="24" w:after="24"/>
              <w:rPr>
                <w:rFonts w:cs="Times New Roman"/>
              </w:rPr>
            </w:pPr>
            <w:r>
              <w:rPr>
                <w:rFonts w:cs="Times New Roman"/>
              </w:rPr>
              <w:t>电缆沟/井</w:t>
            </w:r>
          </w:p>
        </w:tc>
        <w:tc>
          <w:tcPr>
            <w:tcW w:w="4880" w:type="dxa"/>
            <w:tcBorders>
              <w:top w:val="single" w:color="auto" w:sz="4" w:space="0"/>
              <w:left w:val="single" w:color="auto" w:sz="4" w:space="0"/>
              <w:bottom w:val="single" w:color="auto" w:sz="4" w:space="0"/>
              <w:right w:val="single" w:color="auto" w:sz="4" w:space="0"/>
            </w:tcBorders>
          </w:tcPr>
          <w:p w14:paraId="71A1FBAE">
            <w:pPr>
              <w:pStyle w:val="71"/>
              <w:spacing w:before="24" w:after="24"/>
              <w:rPr>
                <w:rFonts w:cs="Times New Roman"/>
              </w:rPr>
            </w:pPr>
            <w:r>
              <w:rPr>
                <w:rFonts w:cs="Times New Roman"/>
              </w:rPr>
              <w:t>断面尺寸-长度-埋深-支架规格</w:t>
            </w:r>
          </w:p>
        </w:tc>
        <w:tc>
          <w:tcPr>
            <w:tcW w:w="1146" w:type="dxa"/>
            <w:tcBorders>
              <w:top w:val="single" w:color="auto" w:sz="4" w:space="0"/>
              <w:left w:val="single" w:color="auto" w:sz="4" w:space="0"/>
              <w:bottom w:val="single" w:color="auto" w:sz="4" w:space="0"/>
              <w:right w:val="single" w:color="auto" w:sz="4" w:space="0"/>
            </w:tcBorders>
            <w:vAlign w:val="center"/>
          </w:tcPr>
          <w:p w14:paraId="6E412DA8">
            <w:pPr>
              <w:pStyle w:val="71"/>
              <w:spacing w:before="24" w:after="24"/>
              <w:rPr>
                <w:rFonts w:cs="Times New Roman"/>
              </w:rPr>
            </w:pPr>
          </w:p>
        </w:tc>
      </w:tr>
      <w:tr w14:paraId="5936F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4" w:type="dxa"/>
            <w:tcBorders>
              <w:top w:val="single" w:color="auto" w:sz="4" w:space="0"/>
              <w:left w:val="single" w:color="auto" w:sz="4" w:space="0"/>
              <w:bottom w:val="single" w:color="auto" w:sz="4" w:space="0"/>
              <w:right w:val="single" w:color="auto" w:sz="4" w:space="0"/>
            </w:tcBorders>
            <w:vAlign w:val="center"/>
          </w:tcPr>
          <w:p w14:paraId="62052034">
            <w:pPr>
              <w:pStyle w:val="71"/>
              <w:spacing w:before="24" w:after="24"/>
              <w:rPr>
                <w:rFonts w:cs="Times New Roman"/>
              </w:rPr>
            </w:pPr>
            <w:r>
              <w:rPr>
                <w:rFonts w:cs="Times New Roman"/>
              </w:rPr>
              <w:t>综合管网</w:t>
            </w:r>
          </w:p>
        </w:tc>
        <w:tc>
          <w:tcPr>
            <w:tcW w:w="1695" w:type="dxa"/>
            <w:tcBorders>
              <w:top w:val="single" w:color="auto" w:sz="4" w:space="0"/>
              <w:left w:val="single" w:color="auto" w:sz="4" w:space="0"/>
              <w:bottom w:val="single" w:color="auto" w:sz="4" w:space="0"/>
              <w:right w:val="single" w:color="auto" w:sz="4" w:space="0"/>
            </w:tcBorders>
            <w:vAlign w:val="center"/>
          </w:tcPr>
          <w:p w14:paraId="79B14327">
            <w:pPr>
              <w:pStyle w:val="71"/>
              <w:spacing w:before="24" w:after="24"/>
              <w:rPr>
                <w:rFonts w:cs="Times New Roman"/>
              </w:rPr>
            </w:pPr>
            <w:r>
              <w:rPr>
                <w:rFonts w:cs="Times New Roman"/>
              </w:rPr>
              <w:t>人孔井</w:t>
            </w:r>
          </w:p>
        </w:tc>
        <w:tc>
          <w:tcPr>
            <w:tcW w:w="4880" w:type="dxa"/>
            <w:tcBorders>
              <w:top w:val="single" w:color="auto" w:sz="4" w:space="0"/>
              <w:left w:val="single" w:color="auto" w:sz="4" w:space="0"/>
              <w:bottom w:val="single" w:color="auto" w:sz="4" w:space="0"/>
              <w:right w:val="single" w:color="auto" w:sz="4" w:space="0"/>
            </w:tcBorders>
          </w:tcPr>
          <w:p w14:paraId="206A2E53">
            <w:pPr>
              <w:pStyle w:val="71"/>
              <w:spacing w:before="24" w:after="24"/>
              <w:rPr>
                <w:rFonts w:cs="Times New Roman"/>
              </w:rPr>
            </w:pPr>
            <w:r>
              <w:rPr>
                <w:rFonts w:cs="Times New Roman"/>
              </w:rPr>
              <w:t>类型-尺寸-井盖标高</w:t>
            </w:r>
          </w:p>
        </w:tc>
        <w:tc>
          <w:tcPr>
            <w:tcW w:w="1146" w:type="dxa"/>
            <w:tcBorders>
              <w:top w:val="single" w:color="auto" w:sz="4" w:space="0"/>
              <w:left w:val="single" w:color="auto" w:sz="4" w:space="0"/>
              <w:bottom w:val="single" w:color="auto" w:sz="4" w:space="0"/>
              <w:right w:val="single" w:color="auto" w:sz="4" w:space="0"/>
            </w:tcBorders>
            <w:vAlign w:val="center"/>
          </w:tcPr>
          <w:p w14:paraId="247FE312">
            <w:pPr>
              <w:pStyle w:val="71"/>
              <w:spacing w:before="24" w:after="24"/>
              <w:rPr>
                <w:rFonts w:cs="Times New Roman"/>
              </w:rPr>
            </w:pPr>
          </w:p>
        </w:tc>
      </w:tr>
    </w:tbl>
    <w:p w14:paraId="2CA96782">
      <w:pPr>
        <w:pStyle w:val="54"/>
        <w:spacing w:before="24" w:after="24"/>
      </w:pPr>
      <w:r>
        <w:t>模型软件使用要求：</w:t>
      </w:r>
    </w:p>
    <w:p w14:paraId="79F4BD4A">
      <w:pPr>
        <w:pStyle w:val="54"/>
        <w:spacing w:before="24" w:after="24"/>
      </w:pPr>
      <w:r>
        <w:t>所有软件应保持版本兼容性。原则上，要求使用相同大版本的软件。应明确列出使用的具体软件名称及版本号。所有专业的模型必须能够在指定的通用平台上进行整合、审阅和协调，以确保多专业协作顺畅进行。</w:t>
      </w:r>
    </w:p>
    <w:p w14:paraId="3D0EC2A2">
      <w:pPr>
        <w:pStyle w:val="54"/>
        <w:spacing w:before="24" w:after="24"/>
      </w:pPr>
      <w:r>
        <w:t>模型格式转换要求：</w:t>
      </w:r>
    </w:p>
    <w:p w14:paraId="7A4D9957">
      <w:pPr>
        <w:pStyle w:val="54"/>
        <w:spacing w:before="24" w:after="24"/>
      </w:pPr>
      <w:r>
        <w:t>在交付最终BIM成果时，除原始建模软件格式文件外，必须同步提交指定格式的转换模型，以确保模型数据能在不同的平台（如项目管理平台、轻量化引擎、运维系统）中被流畅、无误地读取和使用；所有格式转换过程应保证模型几何信息、属性信息、构件ID、坐标系、单位等核心数据的完整性、准确性和一致性。不得因格式转换导致模型信息丢失或错误，具体要求如下：</w:t>
      </w:r>
    </w:p>
    <w:p w14:paraId="0E008C4E">
      <w:pPr>
        <w:pStyle w:val="54"/>
        <w:spacing w:before="24" w:after="24"/>
      </w:pPr>
      <w:r>
        <w:rPr>
          <w:rFonts w:eastAsia="微软雅黑"/>
        </w:rPr>
        <w:t>•</w:t>
      </w:r>
      <w:r>
        <w:t xml:space="preserve"> 转换后的模型必须包含原始模型中的所有几何形体、构件以及招标要求的所有深度等级的属性信息；</w:t>
      </w:r>
    </w:p>
    <w:p w14:paraId="46133CD1">
      <w:pPr>
        <w:pStyle w:val="54"/>
        <w:spacing w:before="24" w:after="24"/>
      </w:pPr>
      <w:r>
        <w:rPr>
          <w:rFonts w:eastAsia="微软雅黑"/>
        </w:rPr>
        <w:t>•</w:t>
      </w:r>
      <w:r>
        <w:t xml:space="preserve"> 构件ID（GUID）在转换前后应保持一致，或在交付时提供ID映射表；</w:t>
      </w:r>
    </w:p>
    <w:p w14:paraId="6B10E568">
      <w:pPr>
        <w:pStyle w:val="54"/>
        <w:spacing w:before="24" w:after="24"/>
      </w:pPr>
      <w:r>
        <w:rPr>
          <w:rFonts w:eastAsia="微软雅黑"/>
        </w:rPr>
        <w:t>•</w:t>
      </w:r>
      <w:r>
        <w:t xml:space="preserve"> 转换过程不得引入多余的三角面或导致模型几何严重失真；</w:t>
      </w:r>
    </w:p>
    <w:p w14:paraId="023DAB90">
      <w:pPr>
        <w:pStyle w:val="54"/>
        <w:spacing w:before="24" w:after="24"/>
      </w:pPr>
      <w:r>
        <w:rPr>
          <w:rFonts w:eastAsia="微软雅黑"/>
        </w:rPr>
        <w:t>•</w:t>
      </w:r>
      <w:r>
        <w:t xml:space="preserve"> 曲面的转换应保持合理的精度，LOD等级不应因格式转换而降低；</w:t>
      </w:r>
    </w:p>
    <w:p w14:paraId="12EB72A1">
      <w:pPr>
        <w:pStyle w:val="54"/>
        <w:spacing w:before="24" w:after="24"/>
      </w:pPr>
      <w:r>
        <w:rPr>
          <w:rFonts w:eastAsia="微软雅黑"/>
        </w:rPr>
        <w:t>•</w:t>
      </w:r>
      <w:r>
        <w:t xml:space="preserve"> 所有在原始模型中定义的参数（如类型、材质、规格型号、生产厂家、性能参数等）必须完整地导出；</w:t>
      </w:r>
    </w:p>
    <w:p w14:paraId="6D99509F">
      <w:pPr>
        <w:pStyle w:val="54"/>
        <w:spacing w:before="24" w:after="24"/>
      </w:pPr>
      <w:r>
        <w:rPr>
          <w:rFonts w:eastAsia="微软雅黑"/>
        </w:rPr>
        <w:t>•</w:t>
      </w:r>
      <w:r>
        <w:t xml:space="preserve"> 转换后的模型应正确对位，不得出现错位、偏移或旋转错误；</w:t>
      </w:r>
    </w:p>
    <w:p w14:paraId="2DB6D534">
      <w:pPr>
        <w:pStyle w:val="54"/>
        <w:spacing w:before="24" w:after="24"/>
      </w:pPr>
      <w:r>
        <w:t>c、模型准确性</w:t>
      </w:r>
    </w:p>
    <w:p w14:paraId="5A1E0607">
      <w:pPr>
        <w:pStyle w:val="54"/>
        <w:spacing w:before="24" w:after="24"/>
      </w:pPr>
      <w:r>
        <w:t>所提交的BIM模型须满足设计要求，准确将二维信息三维化表达，包括以下要求：</w:t>
      </w:r>
    </w:p>
    <w:p w14:paraId="4CDA2816">
      <w:pPr>
        <w:pStyle w:val="54"/>
        <w:spacing w:before="24" w:after="24"/>
      </w:pPr>
      <w:r>
        <w:rPr>
          <w:rFonts w:ascii="Cambria Math" w:hAnsi="Cambria Math" w:cs="Cambria Math"/>
        </w:rPr>
        <w:t>①</w:t>
      </w:r>
      <w:r>
        <w:t>模型构建信息符合设计、表达、成本算量要求，</w:t>
      </w:r>
    </w:p>
    <w:p w14:paraId="6840C342">
      <w:pPr>
        <w:pStyle w:val="54"/>
        <w:spacing w:before="24" w:after="24"/>
      </w:pPr>
      <w:r>
        <w:rPr>
          <w:rFonts w:ascii="Cambria Math" w:hAnsi="Cambria Math" w:cs="Cambria Math"/>
        </w:rPr>
        <w:t>②</w:t>
      </w:r>
      <w:r>
        <w:t>模型满足图模一致管理要求，</w:t>
      </w:r>
    </w:p>
    <w:p w14:paraId="178FB111">
      <w:pPr>
        <w:pStyle w:val="54"/>
        <w:spacing w:before="24" w:after="24"/>
      </w:pPr>
      <w:r>
        <w:rPr>
          <w:rFonts w:ascii="Cambria Math" w:hAnsi="Cambria Math" w:cs="Cambria Math"/>
        </w:rPr>
        <w:t>③</w:t>
      </w:r>
      <w:r>
        <w:t>模型无冲突碰撞。</w:t>
      </w:r>
    </w:p>
    <w:p w14:paraId="7E8896D7">
      <w:pPr>
        <w:pStyle w:val="54"/>
        <w:spacing w:before="24" w:after="24"/>
      </w:pPr>
      <w:r>
        <w:t>（2）坐标系及度量单位</w:t>
      </w:r>
    </w:p>
    <w:p w14:paraId="590FA2C0">
      <w:pPr>
        <w:pStyle w:val="54"/>
        <w:spacing w:before="24" w:after="24"/>
      </w:pPr>
      <w:r>
        <w:t>采用项目坐标系，并与城市坐标系进行关联，明确指定控制点，所有专业统一使用黄海高程系，房建类项目以“±0.000”为相对标高基准，市政类项目以绝对标高为基准。</w:t>
      </w:r>
    </w:p>
    <w:p w14:paraId="47E38846">
      <w:pPr>
        <w:pStyle w:val="54"/>
        <w:spacing w:before="24" w:after="24"/>
      </w:pPr>
      <w:r>
        <w:t>长度单位按照图纸比例1:1或1:100采用m或mm表示；</w:t>
      </w:r>
    </w:p>
    <w:p w14:paraId="7EEFCE2D">
      <w:pPr>
        <w:pStyle w:val="54"/>
        <w:spacing w:before="24" w:after="24"/>
      </w:pPr>
      <w:r>
        <w:t>面积体积采用㎡、m³表示；</w:t>
      </w:r>
    </w:p>
    <w:p w14:paraId="50C59200">
      <w:pPr>
        <w:pStyle w:val="54"/>
        <w:spacing w:before="24" w:after="24"/>
      </w:pPr>
      <w:r>
        <w:t>坡度采用角度°或坡比1/1000表示；</w:t>
      </w:r>
    </w:p>
    <w:p w14:paraId="467EFB5E">
      <w:pPr>
        <w:pStyle w:val="54"/>
        <w:spacing w:before="24" w:after="24"/>
      </w:pPr>
      <w:r>
        <w:t>（3）专业划分及模型命名</w:t>
      </w:r>
    </w:p>
    <w:p w14:paraId="107E182C">
      <w:pPr>
        <w:pStyle w:val="54"/>
        <w:spacing w:before="24" w:after="24"/>
      </w:pPr>
      <w:r>
        <w:t>房建类项目分为土建、机电专业，土建专业细分为建筑、结构专业，机电专业细分为暖通、给排水、电气专业。</w:t>
      </w:r>
    </w:p>
    <w:p w14:paraId="50720D5A">
      <w:pPr>
        <w:pStyle w:val="54"/>
        <w:spacing w:before="24" w:after="24"/>
      </w:pPr>
      <w:r>
        <w:t>市政类项目分为道路、桥隧、交通、电气、给排水、绿化、照明、附属工程。</w:t>
      </w:r>
    </w:p>
    <w:p w14:paraId="42770678">
      <w:pPr>
        <w:pStyle w:val="54"/>
        <w:spacing w:before="24" w:after="24"/>
      </w:pPr>
      <w:r>
        <w:t>模型命名应逻辑清晰，便于信息的存储、检索、传递与版本管理。应明确区分工作模型、发布模型、归档模型等不同状态的文件夹结构。</w:t>
      </w:r>
    </w:p>
    <w:p w14:paraId="6B3FFC16">
      <w:pPr>
        <w:pStyle w:val="54"/>
        <w:spacing w:before="24" w:after="24"/>
      </w:pPr>
      <w:r>
        <w:t>文件命名规则必须遵循唯一性原则，确保在任何文件交换和整合场景下都能清晰识别文件内容。命名规则应至少涵盖以下要素，并可根据项目实际情况扩展：</w:t>
      </w:r>
    </w:p>
    <w:p w14:paraId="10B6D7AC">
      <w:pPr>
        <w:pStyle w:val="54"/>
        <w:spacing w:before="24" w:after="24"/>
      </w:pPr>
      <w:r>
        <w:rPr>
          <w:rFonts w:eastAsia="微软雅黑"/>
        </w:rPr>
        <w:t>•</w:t>
      </w:r>
      <w:r>
        <w:t xml:space="preserve"> 项目代码</w:t>
      </w:r>
    </w:p>
    <w:p w14:paraId="517CA8BE">
      <w:pPr>
        <w:pStyle w:val="54"/>
        <w:spacing w:before="24" w:after="24"/>
      </w:pPr>
      <w:r>
        <w:rPr>
          <w:rFonts w:eastAsia="微软雅黑"/>
        </w:rPr>
        <w:t>•</w:t>
      </w:r>
      <w:r>
        <w:t xml:space="preserve"> 单体/区域代码</w:t>
      </w:r>
    </w:p>
    <w:p w14:paraId="366250E6">
      <w:pPr>
        <w:pStyle w:val="54"/>
        <w:spacing w:before="24" w:after="24"/>
      </w:pPr>
      <w:r>
        <w:rPr>
          <w:rFonts w:eastAsia="微软雅黑"/>
        </w:rPr>
        <w:t>•</w:t>
      </w:r>
      <w:r>
        <w:t xml:space="preserve"> 专业代码</w:t>
      </w:r>
    </w:p>
    <w:p w14:paraId="74C65328">
      <w:pPr>
        <w:pStyle w:val="54"/>
        <w:spacing w:before="24" w:after="24"/>
      </w:pPr>
      <w:r>
        <w:rPr>
          <w:rFonts w:eastAsia="微软雅黑"/>
        </w:rPr>
        <w:t>•</w:t>
      </w:r>
      <w:r>
        <w:t xml:space="preserve"> 模型类型（房建类：建筑、结构、暖通、电气等；市政类：道路、桥隧、交通、电气、绿化、照明等）</w:t>
      </w:r>
    </w:p>
    <w:p w14:paraId="777109EF">
      <w:pPr>
        <w:pStyle w:val="54"/>
        <w:spacing w:before="24" w:after="24"/>
      </w:pPr>
      <w:r>
        <w:rPr>
          <w:rFonts w:eastAsia="微软雅黑"/>
        </w:rPr>
        <w:t>•</w:t>
      </w:r>
      <w:r>
        <w:t xml:space="preserve"> 版本号</w:t>
      </w:r>
    </w:p>
    <w:p w14:paraId="4696FEF3">
      <w:pPr>
        <w:pStyle w:val="54"/>
        <w:spacing w:before="24" w:after="24"/>
      </w:pPr>
      <w:r>
        <w:rPr>
          <w:rFonts w:eastAsia="微软雅黑"/>
        </w:rPr>
        <w:t>•</w:t>
      </w:r>
      <w:r>
        <w:t xml:space="preserve"> 日期</w:t>
      </w:r>
    </w:p>
    <w:p w14:paraId="29BF8420">
      <w:pPr>
        <w:pStyle w:val="54"/>
        <w:spacing w:before="24" w:after="24"/>
      </w:pPr>
      <w:r>
        <w:t>模型命名示例：</w:t>
      </w:r>
    </w:p>
    <w:p w14:paraId="333C7CEB">
      <w:pPr>
        <w:pStyle w:val="54"/>
        <w:spacing w:before="24" w:after="24"/>
      </w:pPr>
      <w:r>
        <w:drawing>
          <wp:inline distT="0" distB="0" distL="114300" distR="114300">
            <wp:extent cx="5759450" cy="1418590"/>
            <wp:effectExtent l="0" t="0" r="6350" b="381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icPr>
                  <pic:blipFill>
                    <a:blip r:embed="rId25"/>
                    <a:stretch>
                      <a:fillRect/>
                    </a:stretch>
                  </pic:blipFill>
                  <pic:spPr>
                    <a:xfrm>
                      <a:off x="0" y="0"/>
                      <a:ext cx="5759450" cy="1418590"/>
                    </a:xfrm>
                    <a:prstGeom prst="rect">
                      <a:avLst/>
                    </a:prstGeom>
                    <a:noFill/>
                    <a:ln>
                      <a:noFill/>
                    </a:ln>
                  </pic:spPr>
                </pic:pic>
              </a:graphicData>
            </a:graphic>
          </wp:inline>
        </w:drawing>
      </w:r>
    </w:p>
    <w:p w14:paraId="32910D2D">
      <w:pPr>
        <w:pStyle w:val="54"/>
        <w:spacing w:before="24" w:after="24"/>
      </w:pPr>
      <w:r>
        <w:t>当项目模型不需要区分专业时，“专业名称”可不填写；当模型中不需要区分类型时，“模型类型”可不填写。如，当独自搭建给排水中的重力管线和非重力管线，设备可以共同放在同一文件中时，可不填写此项；当模型中需要区分专业，模型类型，且需建立中心文件时，需要填写所有代码。</w:t>
      </w:r>
    </w:p>
    <w:p w14:paraId="01B34DF8">
      <w:pPr>
        <w:pStyle w:val="69"/>
        <w:rPr>
          <w:rFonts w:hint="eastAsia"/>
        </w:rPr>
      </w:pPr>
      <w:r>
        <w:t>表 BIM专业代码</w:t>
      </w:r>
    </w:p>
    <w:tbl>
      <w:tblPr>
        <w:tblStyle w:val="97"/>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68"/>
        <w:gridCol w:w="2014"/>
        <w:gridCol w:w="4135"/>
      </w:tblGrid>
      <w:tr w14:paraId="12D9E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blHeader/>
          <w:jc w:val="center"/>
        </w:trPr>
        <w:tc>
          <w:tcPr>
            <w:tcW w:w="2068" w:type="dxa"/>
            <w:shd w:val="clear" w:color="auto" w:fill="D8D8D8"/>
            <w:vAlign w:val="center"/>
          </w:tcPr>
          <w:p w14:paraId="56C2D5AB">
            <w:pPr>
              <w:pStyle w:val="71"/>
              <w:spacing w:before="24" w:after="24"/>
              <w:rPr>
                <w:rFonts w:cs="Times New Roman"/>
              </w:rPr>
            </w:pPr>
            <w:r>
              <w:rPr>
                <w:rFonts w:cs="Times New Roman"/>
              </w:rPr>
              <w:t>专业代码</w:t>
            </w:r>
          </w:p>
        </w:tc>
        <w:tc>
          <w:tcPr>
            <w:tcW w:w="6149" w:type="dxa"/>
            <w:gridSpan w:val="2"/>
            <w:shd w:val="clear" w:color="auto" w:fill="D8D8D8"/>
            <w:vAlign w:val="center"/>
          </w:tcPr>
          <w:p w14:paraId="0B8BF245">
            <w:pPr>
              <w:pStyle w:val="71"/>
              <w:spacing w:before="24" w:after="24"/>
              <w:rPr>
                <w:rFonts w:cs="Times New Roman"/>
              </w:rPr>
            </w:pPr>
            <w:r>
              <w:rPr>
                <w:rFonts w:cs="Times New Roman"/>
              </w:rPr>
              <w:t>含义</w:t>
            </w:r>
          </w:p>
        </w:tc>
      </w:tr>
      <w:tr w14:paraId="72F3E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068" w:type="dxa"/>
            <w:vAlign w:val="center"/>
          </w:tcPr>
          <w:p w14:paraId="4DD23251">
            <w:pPr>
              <w:pStyle w:val="71"/>
              <w:spacing w:before="24" w:after="24"/>
              <w:rPr>
                <w:rFonts w:cs="Times New Roman"/>
              </w:rPr>
            </w:pPr>
            <w:r>
              <w:rPr>
                <w:rFonts w:cs="Times New Roman"/>
              </w:rPr>
              <w:t>A</w:t>
            </w:r>
          </w:p>
        </w:tc>
        <w:tc>
          <w:tcPr>
            <w:tcW w:w="2014" w:type="dxa"/>
            <w:vAlign w:val="center"/>
          </w:tcPr>
          <w:p w14:paraId="13E11DE7">
            <w:pPr>
              <w:pStyle w:val="71"/>
              <w:spacing w:before="24" w:after="24"/>
              <w:rPr>
                <w:rFonts w:cs="Times New Roman"/>
              </w:rPr>
            </w:pPr>
            <w:r>
              <w:rPr>
                <w:rFonts w:cs="Times New Roman"/>
              </w:rPr>
              <w:t>建筑</w:t>
            </w:r>
          </w:p>
        </w:tc>
        <w:tc>
          <w:tcPr>
            <w:tcW w:w="4135" w:type="dxa"/>
            <w:vAlign w:val="center"/>
          </w:tcPr>
          <w:p w14:paraId="3E44DD8B">
            <w:pPr>
              <w:pStyle w:val="71"/>
              <w:spacing w:before="24" w:after="24"/>
              <w:rPr>
                <w:rFonts w:cs="Times New Roman"/>
              </w:rPr>
            </w:pPr>
            <w:r>
              <w:rPr>
                <w:rFonts w:cs="Times New Roman"/>
              </w:rPr>
              <w:t>Architectural</w:t>
            </w:r>
          </w:p>
        </w:tc>
      </w:tr>
      <w:tr w14:paraId="782FB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068" w:type="dxa"/>
            <w:vAlign w:val="center"/>
          </w:tcPr>
          <w:p w14:paraId="1108F696">
            <w:pPr>
              <w:pStyle w:val="71"/>
              <w:spacing w:before="24" w:after="24"/>
              <w:rPr>
                <w:rFonts w:cs="Times New Roman"/>
              </w:rPr>
            </w:pPr>
            <w:r>
              <w:rPr>
                <w:rFonts w:cs="Times New Roman"/>
              </w:rPr>
              <w:t>C</w:t>
            </w:r>
          </w:p>
        </w:tc>
        <w:tc>
          <w:tcPr>
            <w:tcW w:w="2014" w:type="dxa"/>
            <w:vAlign w:val="center"/>
          </w:tcPr>
          <w:p w14:paraId="1FE8902B">
            <w:pPr>
              <w:pStyle w:val="71"/>
              <w:spacing w:before="24" w:after="24"/>
              <w:rPr>
                <w:rFonts w:cs="Times New Roman"/>
              </w:rPr>
            </w:pPr>
            <w:r>
              <w:rPr>
                <w:rFonts w:cs="Times New Roman"/>
              </w:rPr>
              <w:t>场地</w:t>
            </w:r>
          </w:p>
        </w:tc>
        <w:tc>
          <w:tcPr>
            <w:tcW w:w="4135" w:type="dxa"/>
            <w:vAlign w:val="center"/>
          </w:tcPr>
          <w:p w14:paraId="37EF7386">
            <w:pPr>
              <w:pStyle w:val="71"/>
              <w:spacing w:before="24" w:after="24"/>
              <w:rPr>
                <w:rFonts w:cs="Times New Roman"/>
              </w:rPr>
            </w:pPr>
            <w:r>
              <w:rPr>
                <w:rFonts w:cs="Times New Roman"/>
              </w:rPr>
              <w:t>Construction site</w:t>
            </w:r>
          </w:p>
        </w:tc>
      </w:tr>
      <w:tr w14:paraId="7FA43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068" w:type="dxa"/>
            <w:vAlign w:val="center"/>
          </w:tcPr>
          <w:p w14:paraId="592B42CC">
            <w:pPr>
              <w:pStyle w:val="71"/>
              <w:spacing w:before="24" w:after="24"/>
              <w:rPr>
                <w:rFonts w:cs="Times New Roman"/>
              </w:rPr>
            </w:pPr>
            <w:r>
              <w:rPr>
                <w:rFonts w:cs="Times New Roman"/>
              </w:rPr>
              <w:t>S</w:t>
            </w:r>
          </w:p>
        </w:tc>
        <w:tc>
          <w:tcPr>
            <w:tcW w:w="2014" w:type="dxa"/>
            <w:vAlign w:val="center"/>
          </w:tcPr>
          <w:p w14:paraId="6BAE78D4">
            <w:pPr>
              <w:pStyle w:val="71"/>
              <w:spacing w:before="24" w:after="24"/>
              <w:rPr>
                <w:rFonts w:cs="Times New Roman"/>
              </w:rPr>
            </w:pPr>
            <w:r>
              <w:rPr>
                <w:rFonts w:cs="Times New Roman"/>
              </w:rPr>
              <w:t>结构</w:t>
            </w:r>
          </w:p>
        </w:tc>
        <w:tc>
          <w:tcPr>
            <w:tcW w:w="4135" w:type="dxa"/>
            <w:vAlign w:val="center"/>
          </w:tcPr>
          <w:p w14:paraId="1F5E4C5D">
            <w:pPr>
              <w:pStyle w:val="71"/>
              <w:spacing w:before="24" w:after="24"/>
              <w:rPr>
                <w:rFonts w:cs="Times New Roman"/>
              </w:rPr>
            </w:pPr>
            <w:r>
              <w:rPr>
                <w:rFonts w:cs="Times New Roman"/>
              </w:rPr>
              <w:t>Structural</w:t>
            </w:r>
          </w:p>
        </w:tc>
      </w:tr>
      <w:tr w14:paraId="102B1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068" w:type="dxa"/>
            <w:vAlign w:val="center"/>
          </w:tcPr>
          <w:p w14:paraId="5AA8C42F">
            <w:pPr>
              <w:pStyle w:val="71"/>
              <w:spacing w:before="24" w:after="24"/>
              <w:rPr>
                <w:rFonts w:cs="Times New Roman"/>
              </w:rPr>
            </w:pPr>
            <w:r>
              <w:rPr>
                <w:rFonts w:cs="Times New Roman"/>
              </w:rPr>
              <w:t>P</w:t>
            </w:r>
          </w:p>
        </w:tc>
        <w:tc>
          <w:tcPr>
            <w:tcW w:w="2014" w:type="dxa"/>
            <w:vAlign w:val="center"/>
          </w:tcPr>
          <w:p w14:paraId="177B2401">
            <w:pPr>
              <w:pStyle w:val="71"/>
              <w:spacing w:before="24" w:after="24"/>
              <w:rPr>
                <w:rFonts w:cs="Times New Roman"/>
              </w:rPr>
            </w:pPr>
            <w:r>
              <w:rPr>
                <w:rFonts w:cs="Times New Roman"/>
              </w:rPr>
              <w:t>给排水</w:t>
            </w:r>
          </w:p>
        </w:tc>
        <w:tc>
          <w:tcPr>
            <w:tcW w:w="4135" w:type="dxa"/>
            <w:vAlign w:val="center"/>
          </w:tcPr>
          <w:p w14:paraId="6A21078A">
            <w:pPr>
              <w:pStyle w:val="71"/>
              <w:spacing w:before="24" w:after="24"/>
              <w:rPr>
                <w:rFonts w:cs="Times New Roman"/>
              </w:rPr>
            </w:pPr>
            <w:r>
              <w:rPr>
                <w:rFonts w:cs="Times New Roman"/>
              </w:rPr>
              <w:t>Plumbing</w:t>
            </w:r>
          </w:p>
        </w:tc>
      </w:tr>
      <w:tr w14:paraId="0CA7A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068" w:type="dxa"/>
            <w:vAlign w:val="center"/>
          </w:tcPr>
          <w:p w14:paraId="6007E62E">
            <w:pPr>
              <w:pStyle w:val="71"/>
              <w:spacing w:before="24" w:after="24"/>
              <w:rPr>
                <w:rFonts w:cs="Times New Roman"/>
              </w:rPr>
            </w:pPr>
            <w:r>
              <w:rPr>
                <w:rFonts w:cs="Times New Roman"/>
              </w:rPr>
              <w:t>F</w:t>
            </w:r>
          </w:p>
        </w:tc>
        <w:tc>
          <w:tcPr>
            <w:tcW w:w="2014" w:type="dxa"/>
            <w:vAlign w:val="center"/>
          </w:tcPr>
          <w:p w14:paraId="2A164E5A">
            <w:pPr>
              <w:pStyle w:val="71"/>
              <w:spacing w:before="24" w:after="24"/>
              <w:rPr>
                <w:rFonts w:cs="Times New Roman"/>
              </w:rPr>
            </w:pPr>
            <w:r>
              <w:rPr>
                <w:rFonts w:cs="Times New Roman"/>
              </w:rPr>
              <w:t>消防</w:t>
            </w:r>
          </w:p>
        </w:tc>
        <w:tc>
          <w:tcPr>
            <w:tcW w:w="4135" w:type="dxa"/>
            <w:vAlign w:val="center"/>
          </w:tcPr>
          <w:p w14:paraId="34C88BCB">
            <w:pPr>
              <w:pStyle w:val="71"/>
              <w:spacing w:before="24" w:after="24"/>
              <w:rPr>
                <w:rFonts w:cs="Times New Roman"/>
              </w:rPr>
            </w:pPr>
            <w:r>
              <w:rPr>
                <w:rFonts w:cs="Times New Roman"/>
              </w:rPr>
              <w:t>Firefighting</w:t>
            </w:r>
          </w:p>
        </w:tc>
      </w:tr>
      <w:tr w14:paraId="11661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068" w:type="dxa"/>
            <w:vAlign w:val="center"/>
          </w:tcPr>
          <w:p w14:paraId="17C96739">
            <w:pPr>
              <w:pStyle w:val="71"/>
              <w:spacing w:before="24" w:after="24"/>
              <w:rPr>
                <w:rFonts w:cs="Times New Roman"/>
              </w:rPr>
            </w:pPr>
            <w:r>
              <w:rPr>
                <w:rFonts w:cs="Times New Roman"/>
              </w:rPr>
              <w:t>M</w:t>
            </w:r>
          </w:p>
        </w:tc>
        <w:tc>
          <w:tcPr>
            <w:tcW w:w="2014" w:type="dxa"/>
            <w:vAlign w:val="center"/>
          </w:tcPr>
          <w:p w14:paraId="2489B9AB">
            <w:pPr>
              <w:pStyle w:val="71"/>
              <w:spacing w:before="24" w:after="24"/>
              <w:rPr>
                <w:rFonts w:cs="Times New Roman"/>
              </w:rPr>
            </w:pPr>
            <w:r>
              <w:rPr>
                <w:rFonts w:cs="Times New Roman"/>
              </w:rPr>
              <w:t>暖通</w:t>
            </w:r>
          </w:p>
        </w:tc>
        <w:tc>
          <w:tcPr>
            <w:tcW w:w="4135" w:type="dxa"/>
            <w:vAlign w:val="center"/>
          </w:tcPr>
          <w:p w14:paraId="52A4A54B">
            <w:pPr>
              <w:pStyle w:val="71"/>
              <w:spacing w:before="24" w:after="24"/>
              <w:rPr>
                <w:rFonts w:cs="Times New Roman"/>
              </w:rPr>
            </w:pPr>
            <w:r>
              <w:rPr>
                <w:rFonts w:cs="Times New Roman"/>
              </w:rPr>
              <w:t>HVAC（heating ventilation and air-conditioning）</w:t>
            </w:r>
          </w:p>
        </w:tc>
      </w:tr>
      <w:tr w14:paraId="35FAD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068" w:type="dxa"/>
            <w:vAlign w:val="center"/>
          </w:tcPr>
          <w:p w14:paraId="145C2E21">
            <w:pPr>
              <w:pStyle w:val="71"/>
              <w:spacing w:before="24" w:after="24"/>
              <w:rPr>
                <w:rFonts w:cs="Times New Roman"/>
              </w:rPr>
            </w:pPr>
            <w:r>
              <w:rPr>
                <w:rFonts w:cs="Times New Roman"/>
              </w:rPr>
              <w:t>E</w:t>
            </w:r>
          </w:p>
        </w:tc>
        <w:tc>
          <w:tcPr>
            <w:tcW w:w="2014" w:type="dxa"/>
            <w:vAlign w:val="center"/>
          </w:tcPr>
          <w:p w14:paraId="2F626C40">
            <w:pPr>
              <w:pStyle w:val="71"/>
              <w:spacing w:before="24" w:after="24"/>
              <w:rPr>
                <w:rFonts w:cs="Times New Roman"/>
              </w:rPr>
            </w:pPr>
            <w:r>
              <w:rPr>
                <w:rFonts w:cs="Times New Roman"/>
              </w:rPr>
              <w:t>电气</w:t>
            </w:r>
          </w:p>
        </w:tc>
        <w:tc>
          <w:tcPr>
            <w:tcW w:w="4135" w:type="dxa"/>
            <w:vAlign w:val="center"/>
          </w:tcPr>
          <w:p w14:paraId="6DDF98EE">
            <w:pPr>
              <w:pStyle w:val="71"/>
              <w:spacing w:before="24" w:after="24"/>
              <w:rPr>
                <w:rFonts w:cs="Times New Roman"/>
              </w:rPr>
            </w:pPr>
            <w:r>
              <w:rPr>
                <w:rFonts w:cs="Times New Roman"/>
              </w:rPr>
              <w:t>Electric</w:t>
            </w:r>
          </w:p>
        </w:tc>
      </w:tr>
      <w:tr w14:paraId="45061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068" w:type="dxa"/>
            <w:vAlign w:val="center"/>
          </w:tcPr>
          <w:p w14:paraId="74692A6B">
            <w:pPr>
              <w:pStyle w:val="71"/>
              <w:spacing w:before="24" w:after="24"/>
              <w:rPr>
                <w:rFonts w:cs="Times New Roman"/>
              </w:rPr>
            </w:pPr>
            <w:r>
              <w:rPr>
                <w:rFonts w:cs="Times New Roman"/>
              </w:rPr>
              <w:t>T</w:t>
            </w:r>
          </w:p>
        </w:tc>
        <w:tc>
          <w:tcPr>
            <w:tcW w:w="2014" w:type="dxa"/>
            <w:vAlign w:val="center"/>
          </w:tcPr>
          <w:p w14:paraId="018D2E61">
            <w:pPr>
              <w:pStyle w:val="71"/>
              <w:spacing w:before="24" w:after="24"/>
              <w:rPr>
                <w:rFonts w:cs="Times New Roman"/>
              </w:rPr>
            </w:pPr>
            <w:r>
              <w:rPr>
                <w:rFonts w:cs="Times New Roman"/>
              </w:rPr>
              <w:t>通讯</w:t>
            </w:r>
          </w:p>
        </w:tc>
        <w:tc>
          <w:tcPr>
            <w:tcW w:w="4135" w:type="dxa"/>
            <w:vAlign w:val="center"/>
          </w:tcPr>
          <w:p w14:paraId="2038FB1C">
            <w:pPr>
              <w:pStyle w:val="71"/>
              <w:spacing w:before="24" w:after="24"/>
              <w:rPr>
                <w:rFonts w:cs="Times New Roman"/>
              </w:rPr>
            </w:pPr>
            <w:r>
              <w:rPr>
                <w:rFonts w:cs="Times New Roman"/>
              </w:rPr>
              <w:t>Telecommunications</w:t>
            </w:r>
          </w:p>
        </w:tc>
      </w:tr>
      <w:tr w14:paraId="11D79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068" w:type="dxa"/>
            <w:vAlign w:val="center"/>
          </w:tcPr>
          <w:p w14:paraId="161398D1">
            <w:pPr>
              <w:pStyle w:val="71"/>
              <w:spacing w:before="24" w:after="24"/>
              <w:rPr>
                <w:rFonts w:cs="Times New Roman"/>
              </w:rPr>
            </w:pPr>
            <w:r>
              <w:rPr>
                <w:rFonts w:cs="Times New Roman"/>
              </w:rPr>
              <w:t>L</w:t>
            </w:r>
          </w:p>
        </w:tc>
        <w:tc>
          <w:tcPr>
            <w:tcW w:w="2014" w:type="dxa"/>
            <w:vAlign w:val="center"/>
          </w:tcPr>
          <w:p w14:paraId="08DA4413">
            <w:pPr>
              <w:pStyle w:val="71"/>
              <w:spacing w:before="24" w:after="24"/>
              <w:rPr>
                <w:rFonts w:cs="Times New Roman"/>
              </w:rPr>
            </w:pPr>
            <w:r>
              <w:rPr>
                <w:rFonts w:cs="Times New Roman"/>
              </w:rPr>
              <w:t>景观</w:t>
            </w:r>
          </w:p>
        </w:tc>
        <w:tc>
          <w:tcPr>
            <w:tcW w:w="4135" w:type="dxa"/>
            <w:vAlign w:val="center"/>
          </w:tcPr>
          <w:p w14:paraId="38723E95">
            <w:pPr>
              <w:pStyle w:val="71"/>
              <w:spacing w:before="24" w:after="24"/>
              <w:rPr>
                <w:rFonts w:cs="Times New Roman"/>
              </w:rPr>
            </w:pPr>
            <w:r>
              <w:rPr>
                <w:rFonts w:cs="Times New Roman"/>
              </w:rPr>
              <w:t>Landscape</w:t>
            </w:r>
          </w:p>
        </w:tc>
      </w:tr>
      <w:tr w14:paraId="1FC08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068" w:type="dxa"/>
            <w:vAlign w:val="center"/>
          </w:tcPr>
          <w:p w14:paraId="17D5C8A9">
            <w:pPr>
              <w:pStyle w:val="71"/>
              <w:spacing w:before="24" w:after="24"/>
              <w:rPr>
                <w:rFonts w:cs="Times New Roman"/>
              </w:rPr>
            </w:pPr>
            <w:r>
              <w:rPr>
                <w:rFonts w:cs="Times New Roman"/>
              </w:rPr>
              <w:t>I</w:t>
            </w:r>
          </w:p>
        </w:tc>
        <w:tc>
          <w:tcPr>
            <w:tcW w:w="2014" w:type="dxa"/>
            <w:vAlign w:val="center"/>
          </w:tcPr>
          <w:p w14:paraId="7F7FC0A0">
            <w:pPr>
              <w:pStyle w:val="71"/>
              <w:spacing w:before="24" w:after="24"/>
              <w:rPr>
                <w:rFonts w:cs="Times New Roman"/>
              </w:rPr>
            </w:pPr>
            <w:r>
              <w:rPr>
                <w:rFonts w:cs="Times New Roman"/>
              </w:rPr>
              <w:t>室内</w:t>
            </w:r>
          </w:p>
        </w:tc>
        <w:tc>
          <w:tcPr>
            <w:tcW w:w="4135" w:type="dxa"/>
            <w:vAlign w:val="center"/>
          </w:tcPr>
          <w:p w14:paraId="630DB408">
            <w:pPr>
              <w:pStyle w:val="71"/>
              <w:spacing w:before="24" w:after="24"/>
              <w:rPr>
                <w:rFonts w:cs="Times New Roman"/>
              </w:rPr>
            </w:pPr>
            <w:r>
              <w:rPr>
                <w:rFonts w:cs="Times New Roman"/>
              </w:rPr>
              <w:t>Interiors</w:t>
            </w:r>
          </w:p>
        </w:tc>
      </w:tr>
      <w:tr w14:paraId="64120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068" w:type="dxa"/>
            <w:vAlign w:val="center"/>
          </w:tcPr>
          <w:p w14:paraId="37BFFDE2">
            <w:pPr>
              <w:pStyle w:val="71"/>
              <w:spacing w:before="24" w:after="24"/>
              <w:rPr>
                <w:rFonts w:cs="Times New Roman"/>
              </w:rPr>
            </w:pPr>
            <w:r>
              <w:rPr>
                <w:rFonts w:cs="Times New Roman"/>
              </w:rPr>
              <w:t>G</w:t>
            </w:r>
          </w:p>
        </w:tc>
        <w:tc>
          <w:tcPr>
            <w:tcW w:w="2014" w:type="dxa"/>
            <w:vAlign w:val="center"/>
          </w:tcPr>
          <w:p w14:paraId="5B7B9819">
            <w:pPr>
              <w:pStyle w:val="71"/>
              <w:spacing w:before="24" w:after="24"/>
              <w:rPr>
                <w:rFonts w:cs="Times New Roman"/>
              </w:rPr>
            </w:pPr>
            <w:r>
              <w:rPr>
                <w:rFonts w:cs="Times New Roman"/>
              </w:rPr>
              <w:t>标志</w:t>
            </w:r>
          </w:p>
        </w:tc>
        <w:tc>
          <w:tcPr>
            <w:tcW w:w="4135" w:type="dxa"/>
            <w:vAlign w:val="center"/>
          </w:tcPr>
          <w:p w14:paraId="2F86DE7C">
            <w:pPr>
              <w:pStyle w:val="71"/>
              <w:spacing w:before="24" w:after="24"/>
              <w:rPr>
                <w:rFonts w:cs="Times New Roman"/>
              </w:rPr>
            </w:pPr>
            <w:r>
              <w:rPr>
                <w:rFonts w:cs="Times New Roman"/>
              </w:rPr>
              <w:t>Sign</w:t>
            </w:r>
          </w:p>
        </w:tc>
      </w:tr>
    </w:tbl>
    <w:p w14:paraId="22C9B062">
      <w:pPr>
        <w:pStyle w:val="54"/>
        <w:spacing w:before="24" w:after="24"/>
      </w:pPr>
      <w:r>
        <w:t>（4）模型色彩规则</w:t>
      </w:r>
    </w:p>
    <w:p w14:paraId="2E8064E9">
      <w:pPr>
        <w:pStyle w:val="54"/>
        <w:spacing w:before="24" w:after="24"/>
      </w:pPr>
      <w:r>
        <w:t>为保障应用过程中的模型一致性、信息传递准确性和视觉管理高效性，模型色彩应根据系统分类进行统一。所有项目参与方在创建、使用、交付BIM模型时，必须严格遵守，包括但不限于房建类项目建筑、结构、机电（暖通、给排水、电气）、消防等以及市政类项目地下综合管网。</w:t>
      </w:r>
    </w:p>
    <w:p w14:paraId="0EAC1929">
      <w:pPr>
        <w:pStyle w:val="54"/>
        <w:spacing w:before="24" w:after="24"/>
      </w:pPr>
      <w:r>
        <w:t>同一颜色在同一规则下仅代表一种特定含义。所有专业模型需按统一规则应用颜色，本规则中所有颜色均以RGB值进行定义，以确保在不同软件和显示设备上色彩表现的一致性，具体要求如下：</w:t>
      </w:r>
    </w:p>
    <w:tbl>
      <w:tblPr>
        <w:tblStyle w:val="30"/>
        <w:tblW w:w="8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81"/>
        <w:gridCol w:w="2251"/>
        <w:gridCol w:w="2126"/>
        <w:gridCol w:w="1806"/>
      </w:tblGrid>
      <w:tr w14:paraId="5D19B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blHeader/>
          <w:jc w:val="center"/>
        </w:trPr>
        <w:tc>
          <w:tcPr>
            <w:tcW w:w="2581" w:type="dxa"/>
            <w:shd w:val="clear" w:color="auto" w:fill="D8D8D8"/>
            <w:vAlign w:val="center"/>
          </w:tcPr>
          <w:p w14:paraId="7B4DFD8D">
            <w:pPr>
              <w:pStyle w:val="71"/>
              <w:spacing w:before="24" w:after="24"/>
              <w:rPr>
                <w:rFonts w:cs="Times New Roman"/>
              </w:rPr>
            </w:pPr>
            <w:r>
              <w:rPr>
                <w:rFonts w:cs="Times New Roman"/>
              </w:rPr>
              <w:t>构件名称</w:t>
            </w:r>
          </w:p>
        </w:tc>
        <w:tc>
          <w:tcPr>
            <w:tcW w:w="2251" w:type="dxa"/>
            <w:shd w:val="clear" w:color="auto" w:fill="D8D8D8"/>
            <w:vAlign w:val="center"/>
          </w:tcPr>
          <w:p w14:paraId="7A050B3F">
            <w:pPr>
              <w:pStyle w:val="71"/>
              <w:spacing w:before="24" w:after="24"/>
              <w:rPr>
                <w:rFonts w:cs="Times New Roman"/>
              </w:rPr>
            </w:pPr>
            <w:r>
              <w:rPr>
                <w:rFonts w:cs="Times New Roman"/>
              </w:rPr>
              <w:t>BIM构件颜色</w:t>
            </w:r>
          </w:p>
        </w:tc>
        <w:tc>
          <w:tcPr>
            <w:tcW w:w="2126" w:type="dxa"/>
            <w:shd w:val="clear" w:color="auto" w:fill="D8D8D8"/>
            <w:vAlign w:val="center"/>
          </w:tcPr>
          <w:p w14:paraId="2E8D6800">
            <w:pPr>
              <w:pStyle w:val="71"/>
              <w:spacing w:before="24" w:after="24"/>
              <w:rPr>
                <w:rFonts w:cs="Times New Roman"/>
              </w:rPr>
            </w:pPr>
            <w:r>
              <w:rPr>
                <w:rFonts w:cs="Times New Roman"/>
              </w:rPr>
              <w:t>BIM RGB</w:t>
            </w:r>
          </w:p>
        </w:tc>
        <w:tc>
          <w:tcPr>
            <w:tcW w:w="1806" w:type="dxa"/>
            <w:shd w:val="clear" w:color="auto" w:fill="D8D8D8"/>
            <w:vAlign w:val="center"/>
          </w:tcPr>
          <w:p w14:paraId="01DB8213">
            <w:pPr>
              <w:pStyle w:val="71"/>
              <w:spacing w:before="24" w:after="24"/>
              <w:rPr>
                <w:rFonts w:cs="Times New Roman"/>
              </w:rPr>
            </w:pPr>
            <w:r>
              <w:rPr>
                <w:rFonts w:cs="Times New Roman"/>
              </w:rPr>
              <w:t>备注</w:t>
            </w:r>
          </w:p>
        </w:tc>
      </w:tr>
      <w:tr w14:paraId="50A33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3F8BF80B">
            <w:pPr>
              <w:pStyle w:val="71"/>
              <w:spacing w:before="24" w:after="24"/>
              <w:rPr>
                <w:rFonts w:cs="Times New Roman"/>
              </w:rPr>
            </w:pPr>
            <w:r>
              <w:rPr>
                <w:rFonts w:cs="Times New Roman"/>
              </w:rPr>
              <w:t>生活给水</w:t>
            </w:r>
          </w:p>
        </w:tc>
        <w:tc>
          <w:tcPr>
            <w:tcW w:w="2251" w:type="dxa"/>
            <w:shd w:val="clear" w:color="auto" w:fill="00FF00"/>
            <w:vAlign w:val="center"/>
          </w:tcPr>
          <w:p w14:paraId="77B79DD4">
            <w:pPr>
              <w:pStyle w:val="71"/>
              <w:spacing w:before="24" w:after="24"/>
              <w:rPr>
                <w:rFonts w:cs="Times New Roman"/>
              </w:rPr>
            </w:pPr>
          </w:p>
        </w:tc>
        <w:tc>
          <w:tcPr>
            <w:tcW w:w="2126" w:type="dxa"/>
            <w:vAlign w:val="center"/>
          </w:tcPr>
          <w:p w14:paraId="5A2EB411">
            <w:pPr>
              <w:pStyle w:val="71"/>
              <w:spacing w:before="24" w:after="24"/>
              <w:rPr>
                <w:rFonts w:cs="Times New Roman"/>
              </w:rPr>
            </w:pPr>
            <w:r>
              <w:rPr>
                <w:rFonts w:cs="Times New Roman"/>
              </w:rPr>
              <w:t>0，255，0</w:t>
            </w:r>
          </w:p>
        </w:tc>
        <w:tc>
          <w:tcPr>
            <w:tcW w:w="1806" w:type="dxa"/>
            <w:vAlign w:val="center"/>
          </w:tcPr>
          <w:p w14:paraId="4CBED94D">
            <w:pPr>
              <w:pStyle w:val="71"/>
              <w:spacing w:before="24" w:after="24"/>
              <w:rPr>
                <w:rFonts w:cs="Times New Roman"/>
              </w:rPr>
            </w:pPr>
          </w:p>
        </w:tc>
      </w:tr>
      <w:tr w14:paraId="67352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1FDE7FB6">
            <w:pPr>
              <w:pStyle w:val="71"/>
              <w:spacing w:before="24" w:after="24"/>
              <w:rPr>
                <w:rFonts w:cs="Times New Roman"/>
              </w:rPr>
            </w:pPr>
            <w:r>
              <w:rPr>
                <w:rFonts w:cs="Times New Roman"/>
              </w:rPr>
              <w:t>补给水管</w:t>
            </w:r>
          </w:p>
        </w:tc>
        <w:tc>
          <w:tcPr>
            <w:tcW w:w="2251" w:type="dxa"/>
            <w:shd w:val="clear" w:color="auto" w:fill="00FF00"/>
            <w:vAlign w:val="center"/>
          </w:tcPr>
          <w:p w14:paraId="35D6370B">
            <w:pPr>
              <w:pStyle w:val="71"/>
              <w:spacing w:before="24" w:after="24"/>
              <w:rPr>
                <w:rFonts w:cs="Times New Roman"/>
              </w:rPr>
            </w:pPr>
          </w:p>
        </w:tc>
        <w:tc>
          <w:tcPr>
            <w:tcW w:w="2126" w:type="dxa"/>
            <w:vAlign w:val="center"/>
          </w:tcPr>
          <w:p w14:paraId="760A773C">
            <w:pPr>
              <w:pStyle w:val="71"/>
              <w:spacing w:before="24" w:after="24"/>
              <w:rPr>
                <w:rFonts w:cs="Times New Roman"/>
              </w:rPr>
            </w:pPr>
            <w:r>
              <w:rPr>
                <w:rFonts w:cs="Times New Roman"/>
              </w:rPr>
              <w:t>0，255，0</w:t>
            </w:r>
          </w:p>
        </w:tc>
        <w:tc>
          <w:tcPr>
            <w:tcW w:w="1806" w:type="dxa"/>
            <w:vAlign w:val="center"/>
          </w:tcPr>
          <w:p w14:paraId="0A8D3BA0">
            <w:pPr>
              <w:pStyle w:val="71"/>
              <w:spacing w:before="24" w:after="24"/>
              <w:rPr>
                <w:rFonts w:cs="Times New Roman"/>
              </w:rPr>
            </w:pPr>
          </w:p>
        </w:tc>
      </w:tr>
      <w:tr w14:paraId="61D6C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7C7187C9">
            <w:pPr>
              <w:pStyle w:val="71"/>
              <w:spacing w:before="24" w:after="24"/>
              <w:rPr>
                <w:rFonts w:cs="Times New Roman"/>
              </w:rPr>
            </w:pPr>
            <w:r>
              <w:rPr>
                <w:rFonts w:cs="Times New Roman"/>
              </w:rPr>
              <w:t xml:space="preserve">饮水管    </w:t>
            </w:r>
          </w:p>
        </w:tc>
        <w:tc>
          <w:tcPr>
            <w:tcW w:w="2251" w:type="dxa"/>
            <w:shd w:val="clear" w:color="auto" w:fill="00FF00"/>
            <w:vAlign w:val="center"/>
          </w:tcPr>
          <w:p w14:paraId="2A73237B">
            <w:pPr>
              <w:pStyle w:val="71"/>
              <w:spacing w:before="24" w:after="24"/>
              <w:rPr>
                <w:rFonts w:cs="Times New Roman"/>
              </w:rPr>
            </w:pPr>
          </w:p>
        </w:tc>
        <w:tc>
          <w:tcPr>
            <w:tcW w:w="2126" w:type="dxa"/>
            <w:vAlign w:val="center"/>
          </w:tcPr>
          <w:p w14:paraId="1E24EA18">
            <w:pPr>
              <w:pStyle w:val="71"/>
              <w:spacing w:before="24" w:after="24"/>
              <w:rPr>
                <w:rFonts w:cs="Times New Roman"/>
              </w:rPr>
            </w:pPr>
            <w:r>
              <w:rPr>
                <w:rFonts w:cs="Times New Roman"/>
              </w:rPr>
              <w:t>0，255，0</w:t>
            </w:r>
          </w:p>
        </w:tc>
        <w:tc>
          <w:tcPr>
            <w:tcW w:w="1806" w:type="dxa"/>
            <w:vAlign w:val="center"/>
          </w:tcPr>
          <w:p w14:paraId="09356E58">
            <w:pPr>
              <w:pStyle w:val="71"/>
              <w:spacing w:before="24" w:after="24"/>
              <w:rPr>
                <w:rFonts w:cs="Times New Roman"/>
              </w:rPr>
            </w:pPr>
          </w:p>
        </w:tc>
      </w:tr>
      <w:tr w14:paraId="1B504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81" w:type="dxa"/>
            <w:vAlign w:val="center"/>
          </w:tcPr>
          <w:p w14:paraId="08B74F3B">
            <w:pPr>
              <w:pStyle w:val="71"/>
              <w:spacing w:before="24" w:after="24"/>
              <w:rPr>
                <w:rFonts w:cs="Times New Roman"/>
              </w:rPr>
            </w:pPr>
            <w:r>
              <w:rPr>
                <w:rFonts w:cs="Times New Roman"/>
              </w:rPr>
              <w:t>生活重力废水</w:t>
            </w:r>
          </w:p>
        </w:tc>
        <w:tc>
          <w:tcPr>
            <w:tcW w:w="2251" w:type="dxa"/>
            <w:shd w:val="clear" w:color="auto" w:fill="9B9B33"/>
            <w:vAlign w:val="center"/>
          </w:tcPr>
          <w:p w14:paraId="7B67398F">
            <w:pPr>
              <w:pStyle w:val="71"/>
              <w:spacing w:before="24" w:after="24"/>
              <w:rPr>
                <w:rFonts w:cs="Times New Roman"/>
              </w:rPr>
            </w:pPr>
          </w:p>
        </w:tc>
        <w:tc>
          <w:tcPr>
            <w:tcW w:w="2126" w:type="dxa"/>
            <w:vAlign w:val="center"/>
          </w:tcPr>
          <w:p w14:paraId="42182CD1">
            <w:pPr>
              <w:pStyle w:val="71"/>
              <w:spacing w:before="24" w:after="24"/>
              <w:rPr>
                <w:rFonts w:cs="Times New Roman"/>
              </w:rPr>
            </w:pPr>
            <w:r>
              <w:rPr>
                <w:rFonts w:cs="Times New Roman"/>
              </w:rPr>
              <w:t>155，155，51</w:t>
            </w:r>
          </w:p>
        </w:tc>
        <w:tc>
          <w:tcPr>
            <w:tcW w:w="1806" w:type="dxa"/>
            <w:vAlign w:val="center"/>
          </w:tcPr>
          <w:p w14:paraId="347C3028">
            <w:pPr>
              <w:pStyle w:val="71"/>
              <w:spacing w:before="24" w:after="24"/>
              <w:rPr>
                <w:rFonts w:cs="Times New Roman"/>
              </w:rPr>
            </w:pPr>
          </w:p>
        </w:tc>
      </w:tr>
      <w:tr w14:paraId="5E2A3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72B5CD84">
            <w:pPr>
              <w:pStyle w:val="71"/>
              <w:spacing w:before="24" w:after="24"/>
              <w:rPr>
                <w:rFonts w:cs="Times New Roman"/>
              </w:rPr>
            </w:pPr>
            <w:r>
              <w:rPr>
                <w:rFonts w:cs="Times New Roman"/>
              </w:rPr>
              <w:t>生活压力废水</w:t>
            </w:r>
          </w:p>
        </w:tc>
        <w:tc>
          <w:tcPr>
            <w:tcW w:w="2251" w:type="dxa"/>
            <w:shd w:val="clear" w:color="auto" w:fill="9B9B33"/>
            <w:vAlign w:val="center"/>
          </w:tcPr>
          <w:p w14:paraId="439A3923">
            <w:pPr>
              <w:pStyle w:val="71"/>
              <w:spacing w:before="24" w:after="24"/>
              <w:rPr>
                <w:rFonts w:cs="Times New Roman"/>
              </w:rPr>
            </w:pPr>
          </w:p>
        </w:tc>
        <w:tc>
          <w:tcPr>
            <w:tcW w:w="2126" w:type="dxa"/>
            <w:vAlign w:val="center"/>
          </w:tcPr>
          <w:p w14:paraId="0E8EDB0B">
            <w:pPr>
              <w:pStyle w:val="71"/>
              <w:spacing w:before="24" w:after="24"/>
              <w:rPr>
                <w:rFonts w:cs="Times New Roman"/>
              </w:rPr>
            </w:pPr>
            <w:r>
              <w:rPr>
                <w:rFonts w:cs="Times New Roman"/>
              </w:rPr>
              <w:t>155，155，51</w:t>
            </w:r>
          </w:p>
        </w:tc>
        <w:tc>
          <w:tcPr>
            <w:tcW w:w="1806" w:type="dxa"/>
            <w:vAlign w:val="center"/>
          </w:tcPr>
          <w:p w14:paraId="1975FAFB">
            <w:pPr>
              <w:pStyle w:val="71"/>
              <w:spacing w:before="24" w:after="24"/>
              <w:rPr>
                <w:rFonts w:cs="Times New Roman"/>
              </w:rPr>
            </w:pPr>
          </w:p>
        </w:tc>
      </w:tr>
      <w:tr w14:paraId="691B7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154093E0">
            <w:pPr>
              <w:pStyle w:val="71"/>
              <w:spacing w:before="24" w:after="24"/>
              <w:rPr>
                <w:rFonts w:cs="Times New Roman"/>
              </w:rPr>
            </w:pPr>
            <w:r>
              <w:rPr>
                <w:rFonts w:cs="Times New Roman"/>
              </w:rPr>
              <w:t>生活重力污水</w:t>
            </w:r>
          </w:p>
        </w:tc>
        <w:tc>
          <w:tcPr>
            <w:tcW w:w="2251" w:type="dxa"/>
            <w:shd w:val="clear" w:color="auto" w:fill="6E8CB4"/>
            <w:vAlign w:val="center"/>
          </w:tcPr>
          <w:p w14:paraId="6975B00B">
            <w:pPr>
              <w:pStyle w:val="71"/>
              <w:spacing w:before="24" w:after="24"/>
              <w:rPr>
                <w:rFonts w:cs="Times New Roman"/>
              </w:rPr>
            </w:pPr>
          </w:p>
        </w:tc>
        <w:tc>
          <w:tcPr>
            <w:tcW w:w="2126" w:type="dxa"/>
            <w:vAlign w:val="center"/>
          </w:tcPr>
          <w:p w14:paraId="62EF94A0">
            <w:pPr>
              <w:pStyle w:val="71"/>
              <w:spacing w:before="24" w:after="24"/>
              <w:rPr>
                <w:rFonts w:cs="Times New Roman"/>
              </w:rPr>
            </w:pPr>
            <w:r>
              <w:rPr>
                <w:rFonts w:cs="Times New Roman"/>
              </w:rPr>
              <w:t>110，140，180</w:t>
            </w:r>
          </w:p>
        </w:tc>
        <w:tc>
          <w:tcPr>
            <w:tcW w:w="1806" w:type="dxa"/>
            <w:vAlign w:val="center"/>
          </w:tcPr>
          <w:p w14:paraId="1C2596EB">
            <w:pPr>
              <w:pStyle w:val="71"/>
              <w:spacing w:before="24" w:after="24"/>
              <w:rPr>
                <w:rFonts w:cs="Times New Roman"/>
              </w:rPr>
            </w:pPr>
          </w:p>
        </w:tc>
      </w:tr>
      <w:tr w14:paraId="03280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5CF96E56">
            <w:pPr>
              <w:pStyle w:val="71"/>
              <w:spacing w:before="24" w:after="24"/>
              <w:rPr>
                <w:rFonts w:cs="Times New Roman"/>
              </w:rPr>
            </w:pPr>
            <w:r>
              <w:rPr>
                <w:rFonts w:cs="Times New Roman"/>
              </w:rPr>
              <w:t>生活压力污水</w:t>
            </w:r>
          </w:p>
        </w:tc>
        <w:tc>
          <w:tcPr>
            <w:tcW w:w="2251" w:type="dxa"/>
            <w:shd w:val="clear" w:color="auto" w:fill="6E8CB4"/>
            <w:vAlign w:val="center"/>
          </w:tcPr>
          <w:p w14:paraId="680AC895">
            <w:pPr>
              <w:pStyle w:val="71"/>
              <w:spacing w:before="24" w:after="24"/>
              <w:rPr>
                <w:rFonts w:cs="Times New Roman"/>
              </w:rPr>
            </w:pPr>
          </w:p>
        </w:tc>
        <w:tc>
          <w:tcPr>
            <w:tcW w:w="2126" w:type="dxa"/>
            <w:vAlign w:val="center"/>
          </w:tcPr>
          <w:p w14:paraId="00BDF930">
            <w:pPr>
              <w:pStyle w:val="71"/>
              <w:spacing w:before="24" w:after="24"/>
              <w:rPr>
                <w:rFonts w:cs="Times New Roman"/>
              </w:rPr>
            </w:pPr>
            <w:r>
              <w:rPr>
                <w:rFonts w:cs="Times New Roman"/>
              </w:rPr>
              <w:t>110，140，180</w:t>
            </w:r>
          </w:p>
        </w:tc>
        <w:tc>
          <w:tcPr>
            <w:tcW w:w="1806" w:type="dxa"/>
            <w:vAlign w:val="center"/>
          </w:tcPr>
          <w:p w14:paraId="130D5FFC">
            <w:pPr>
              <w:pStyle w:val="71"/>
              <w:spacing w:before="24" w:after="24"/>
              <w:rPr>
                <w:rFonts w:cs="Times New Roman"/>
              </w:rPr>
            </w:pPr>
          </w:p>
        </w:tc>
      </w:tr>
      <w:tr w14:paraId="39354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328F743F">
            <w:pPr>
              <w:pStyle w:val="71"/>
              <w:spacing w:before="24" w:after="24"/>
              <w:rPr>
                <w:rFonts w:cs="Times New Roman"/>
              </w:rPr>
            </w:pPr>
            <w:r>
              <w:rPr>
                <w:rFonts w:cs="Times New Roman"/>
              </w:rPr>
              <w:t>生活热水</w:t>
            </w:r>
          </w:p>
        </w:tc>
        <w:tc>
          <w:tcPr>
            <w:tcW w:w="2251" w:type="dxa"/>
            <w:shd w:val="clear" w:color="auto" w:fill="FA9B96"/>
            <w:vAlign w:val="center"/>
          </w:tcPr>
          <w:p w14:paraId="446B69BF">
            <w:pPr>
              <w:pStyle w:val="71"/>
              <w:spacing w:before="24" w:after="24"/>
              <w:rPr>
                <w:rFonts w:cs="Times New Roman"/>
              </w:rPr>
            </w:pPr>
          </w:p>
        </w:tc>
        <w:tc>
          <w:tcPr>
            <w:tcW w:w="2126" w:type="dxa"/>
            <w:vAlign w:val="center"/>
          </w:tcPr>
          <w:p w14:paraId="67C496D8">
            <w:pPr>
              <w:pStyle w:val="71"/>
              <w:spacing w:before="24" w:after="24"/>
              <w:rPr>
                <w:rFonts w:cs="Times New Roman"/>
              </w:rPr>
            </w:pPr>
            <w:r>
              <w:rPr>
                <w:rFonts w:cs="Times New Roman"/>
              </w:rPr>
              <w:t>250，155，150</w:t>
            </w:r>
          </w:p>
        </w:tc>
        <w:tc>
          <w:tcPr>
            <w:tcW w:w="1806" w:type="dxa"/>
            <w:vAlign w:val="center"/>
          </w:tcPr>
          <w:p w14:paraId="7BDBC584">
            <w:pPr>
              <w:pStyle w:val="71"/>
              <w:spacing w:before="24" w:after="24"/>
              <w:rPr>
                <w:rFonts w:cs="Times New Roman"/>
              </w:rPr>
            </w:pPr>
          </w:p>
        </w:tc>
      </w:tr>
      <w:tr w14:paraId="138B1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4CB5FBC8">
            <w:pPr>
              <w:pStyle w:val="71"/>
              <w:spacing w:before="24" w:after="24"/>
              <w:rPr>
                <w:rFonts w:cs="Times New Roman"/>
              </w:rPr>
            </w:pPr>
            <w:r>
              <w:rPr>
                <w:rFonts w:cs="Times New Roman"/>
              </w:rPr>
              <w:t>通气管</w:t>
            </w:r>
          </w:p>
        </w:tc>
        <w:tc>
          <w:tcPr>
            <w:tcW w:w="2251" w:type="dxa"/>
            <w:shd w:val="clear" w:color="auto" w:fill="9B9B33"/>
            <w:vAlign w:val="center"/>
          </w:tcPr>
          <w:p w14:paraId="7C88FC2C">
            <w:pPr>
              <w:pStyle w:val="71"/>
              <w:spacing w:before="24" w:after="24"/>
              <w:rPr>
                <w:rFonts w:cs="Times New Roman"/>
              </w:rPr>
            </w:pPr>
          </w:p>
        </w:tc>
        <w:tc>
          <w:tcPr>
            <w:tcW w:w="2126" w:type="dxa"/>
            <w:vAlign w:val="center"/>
          </w:tcPr>
          <w:p w14:paraId="2E3F1FFE">
            <w:pPr>
              <w:pStyle w:val="71"/>
              <w:spacing w:before="24" w:after="24"/>
              <w:rPr>
                <w:rFonts w:cs="Times New Roman"/>
              </w:rPr>
            </w:pPr>
            <w:r>
              <w:rPr>
                <w:rFonts w:cs="Times New Roman"/>
              </w:rPr>
              <w:t>155，155，51</w:t>
            </w:r>
          </w:p>
        </w:tc>
        <w:tc>
          <w:tcPr>
            <w:tcW w:w="1806" w:type="dxa"/>
            <w:vAlign w:val="center"/>
          </w:tcPr>
          <w:p w14:paraId="46BB1E6D">
            <w:pPr>
              <w:pStyle w:val="71"/>
              <w:spacing w:before="24" w:after="24"/>
              <w:rPr>
                <w:rFonts w:cs="Times New Roman"/>
              </w:rPr>
            </w:pPr>
          </w:p>
        </w:tc>
      </w:tr>
      <w:tr w14:paraId="78F2C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5AD34F12">
            <w:pPr>
              <w:pStyle w:val="71"/>
              <w:spacing w:before="24" w:after="24"/>
              <w:rPr>
                <w:rFonts w:cs="Times New Roman"/>
              </w:rPr>
            </w:pPr>
            <w:r>
              <w:rPr>
                <w:rFonts w:cs="Times New Roman"/>
              </w:rPr>
              <w:t>雨水管</w:t>
            </w:r>
          </w:p>
        </w:tc>
        <w:tc>
          <w:tcPr>
            <w:tcW w:w="2251" w:type="dxa"/>
            <w:shd w:val="clear" w:color="auto" w:fill="CECE00"/>
            <w:vAlign w:val="center"/>
          </w:tcPr>
          <w:p w14:paraId="778D5D6C">
            <w:pPr>
              <w:pStyle w:val="71"/>
              <w:spacing w:before="24" w:after="24"/>
              <w:rPr>
                <w:rFonts w:cs="Times New Roman"/>
              </w:rPr>
            </w:pPr>
          </w:p>
        </w:tc>
        <w:tc>
          <w:tcPr>
            <w:tcW w:w="2126" w:type="dxa"/>
            <w:vAlign w:val="center"/>
          </w:tcPr>
          <w:p w14:paraId="0545EA0E">
            <w:pPr>
              <w:pStyle w:val="71"/>
              <w:spacing w:before="24" w:after="24"/>
              <w:rPr>
                <w:rFonts w:cs="Times New Roman"/>
              </w:rPr>
            </w:pPr>
            <w:r>
              <w:rPr>
                <w:rFonts w:cs="Times New Roman"/>
              </w:rPr>
              <w:t>206，206，0</w:t>
            </w:r>
          </w:p>
        </w:tc>
        <w:tc>
          <w:tcPr>
            <w:tcW w:w="1806" w:type="dxa"/>
            <w:vAlign w:val="center"/>
          </w:tcPr>
          <w:p w14:paraId="6630CB43">
            <w:pPr>
              <w:pStyle w:val="71"/>
              <w:spacing w:before="24" w:after="24"/>
              <w:rPr>
                <w:rFonts w:cs="Times New Roman"/>
              </w:rPr>
            </w:pPr>
          </w:p>
        </w:tc>
      </w:tr>
      <w:tr w14:paraId="3AF77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13FCD8C0">
            <w:pPr>
              <w:pStyle w:val="71"/>
              <w:spacing w:before="24" w:after="24"/>
              <w:rPr>
                <w:rFonts w:cs="Times New Roman"/>
              </w:rPr>
            </w:pPr>
            <w:r>
              <w:rPr>
                <w:rFonts w:cs="Times New Roman"/>
              </w:rPr>
              <w:t>中水管</w:t>
            </w:r>
          </w:p>
        </w:tc>
        <w:tc>
          <w:tcPr>
            <w:tcW w:w="2251" w:type="dxa"/>
            <w:shd w:val="clear" w:color="auto" w:fill="007F00"/>
            <w:vAlign w:val="center"/>
          </w:tcPr>
          <w:p w14:paraId="6613FB90">
            <w:pPr>
              <w:pStyle w:val="71"/>
              <w:spacing w:before="24" w:after="24"/>
              <w:rPr>
                <w:rFonts w:cs="Times New Roman"/>
              </w:rPr>
            </w:pPr>
          </w:p>
        </w:tc>
        <w:tc>
          <w:tcPr>
            <w:tcW w:w="2126" w:type="dxa"/>
            <w:vAlign w:val="center"/>
          </w:tcPr>
          <w:p w14:paraId="27A6BDE6">
            <w:pPr>
              <w:pStyle w:val="71"/>
              <w:spacing w:before="24" w:after="24"/>
              <w:rPr>
                <w:rFonts w:cs="Times New Roman"/>
              </w:rPr>
            </w:pPr>
            <w:r>
              <w:rPr>
                <w:rFonts w:cs="Times New Roman"/>
              </w:rPr>
              <w:t>0，127，0</w:t>
            </w:r>
          </w:p>
        </w:tc>
        <w:tc>
          <w:tcPr>
            <w:tcW w:w="1806" w:type="dxa"/>
            <w:vAlign w:val="center"/>
          </w:tcPr>
          <w:p w14:paraId="42CFDA53">
            <w:pPr>
              <w:pStyle w:val="71"/>
              <w:spacing w:before="24" w:after="24"/>
              <w:rPr>
                <w:rFonts w:cs="Times New Roman"/>
              </w:rPr>
            </w:pPr>
          </w:p>
        </w:tc>
      </w:tr>
      <w:tr w14:paraId="795C4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439EADF9">
            <w:pPr>
              <w:pStyle w:val="71"/>
              <w:spacing w:before="24" w:after="24"/>
              <w:rPr>
                <w:rFonts w:cs="Times New Roman"/>
              </w:rPr>
            </w:pPr>
            <w:r>
              <w:rPr>
                <w:rFonts w:cs="Times New Roman"/>
              </w:rPr>
              <w:t>消火栓</w:t>
            </w:r>
          </w:p>
        </w:tc>
        <w:tc>
          <w:tcPr>
            <w:tcW w:w="2251" w:type="dxa"/>
            <w:shd w:val="clear" w:color="auto" w:fill="FF0000"/>
            <w:vAlign w:val="center"/>
          </w:tcPr>
          <w:p w14:paraId="3984F0CA">
            <w:pPr>
              <w:pStyle w:val="71"/>
              <w:spacing w:before="24" w:after="24"/>
              <w:rPr>
                <w:rFonts w:cs="Times New Roman"/>
              </w:rPr>
            </w:pPr>
          </w:p>
        </w:tc>
        <w:tc>
          <w:tcPr>
            <w:tcW w:w="2126" w:type="dxa"/>
            <w:vAlign w:val="center"/>
          </w:tcPr>
          <w:p w14:paraId="3C164C3A">
            <w:pPr>
              <w:pStyle w:val="71"/>
              <w:spacing w:before="24" w:after="24"/>
              <w:rPr>
                <w:rFonts w:cs="Times New Roman"/>
              </w:rPr>
            </w:pPr>
            <w:r>
              <w:rPr>
                <w:rFonts w:cs="Times New Roman"/>
              </w:rPr>
              <w:t>255，0，0</w:t>
            </w:r>
          </w:p>
        </w:tc>
        <w:tc>
          <w:tcPr>
            <w:tcW w:w="1806" w:type="dxa"/>
            <w:vAlign w:val="center"/>
          </w:tcPr>
          <w:p w14:paraId="3E77148D">
            <w:pPr>
              <w:pStyle w:val="71"/>
              <w:spacing w:before="24" w:after="24"/>
              <w:rPr>
                <w:rFonts w:cs="Times New Roman"/>
              </w:rPr>
            </w:pPr>
          </w:p>
        </w:tc>
      </w:tr>
      <w:tr w14:paraId="2D49F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648FC79A">
            <w:pPr>
              <w:pStyle w:val="71"/>
              <w:spacing w:before="24" w:after="24"/>
              <w:rPr>
                <w:rFonts w:cs="Times New Roman"/>
              </w:rPr>
            </w:pPr>
            <w:r>
              <w:rPr>
                <w:rFonts w:cs="Times New Roman"/>
              </w:rPr>
              <w:t>自动喷淋</w:t>
            </w:r>
          </w:p>
        </w:tc>
        <w:tc>
          <w:tcPr>
            <w:tcW w:w="2251" w:type="dxa"/>
            <w:shd w:val="clear" w:color="auto" w:fill="FF00FF"/>
            <w:vAlign w:val="center"/>
          </w:tcPr>
          <w:p w14:paraId="7AE94478">
            <w:pPr>
              <w:pStyle w:val="71"/>
              <w:spacing w:before="24" w:after="24"/>
              <w:rPr>
                <w:rFonts w:cs="Times New Roman"/>
              </w:rPr>
            </w:pPr>
          </w:p>
        </w:tc>
        <w:tc>
          <w:tcPr>
            <w:tcW w:w="2126" w:type="dxa"/>
            <w:vAlign w:val="center"/>
          </w:tcPr>
          <w:p w14:paraId="61F4B484">
            <w:pPr>
              <w:pStyle w:val="71"/>
              <w:spacing w:before="24" w:after="24"/>
              <w:rPr>
                <w:rFonts w:cs="Times New Roman"/>
              </w:rPr>
            </w:pPr>
            <w:r>
              <w:rPr>
                <w:rFonts w:cs="Times New Roman"/>
              </w:rPr>
              <w:t>255，0，255</w:t>
            </w:r>
          </w:p>
        </w:tc>
        <w:tc>
          <w:tcPr>
            <w:tcW w:w="1806" w:type="dxa"/>
            <w:vAlign w:val="center"/>
          </w:tcPr>
          <w:p w14:paraId="03BE0ECA">
            <w:pPr>
              <w:pStyle w:val="71"/>
              <w:spacing w:before="24" w:after="24"/>
              <w:rPr>
                <w:rFonts w:cs="Times New Roman"/>
              </w:rPr>
            </w:pPr>
          </w:p>
        </w:tc>
      </w:tr>
      <w:tr w14:paraId="66479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0AC49B25">
            <w:pPr>
              <w:pStyle w:val="71"/>
              <w:spacing w:before="24" w:after="24"/>
              <w:rPr>
                <w:rFonts w:cs="Times New Roman"/>
              </w:rPr>
            </w:pPr>
            <w:r>
              <w:rPr>
                <w:rFonts w:cs="Times New Roman"/>
              </w:rPr>
              <w:t>冷却循环水</w:t>
            </w:r>
          </w:p>
        </w:tc>
        <w:tc>
          <w:tcPr>
            <w:tcW w:w="2251" w:type="dxa"/>
            <w:shd w:val="clear" w:color="auto" w:fill="0000FF"/>
            <w:vAlign w:val="center"/>
          </w:tcPr>
          <w:p w14:paraId="338088E6">
            <w:pPr>
              <w:pStyle w:val="71"/>
              <w:spacing w:before="24" w:after="24"/>
              <w:rPr>
                <w:rFonts w:cs="Times New Roman"/>
              </w:rPr>
            </w:pPr>
          </w:p>
        </w:tc>
        <w:tc>
          <w:tcPr>
            <w:tcW w:w="2126" w:type="dxa"/>
            <w:vAlign w:val="center"/>
          </w:tcPr>
          <w:p w14:paraId="6510AAB5">
            <w:pPr>
              <w:pStyle w:val="71"/>
              <w:spacing w:before="24" w:after="24"/>
              <w:rPr>
                <w:rFonts w:cs="Times New Roman"/>
              </w:rPr>
            </w:pPr>
            <w:r>
              <w:rPr>
                <w:rFonts w:cs="Times New Roman"/>
              </w:rPr>
              <w:t>0，0，255</w:t>
            </w:r>
          </w:p>
        </w:tc>
        <w:tc>
          <w:tcPr>
            <w:tcW w:w="1806" w:type="dxa"/>
            <w:vAlign w:val="center"/>
          </w:tcPr>
          <w:p w14:paraId="4B71C2B6">
            <w:pPr>
              <w:pStyle w:val="71"/>
              <w:spacing w:before="24" w:after="24"/>
              <w:rPr>
                <w:rFonts w:cs="Times New Roman"/>
              </w:rPr>
            </w:pPr>
          </w:p>
        </w:tc>
      </w:tr>
      <w:tr w14:paraId="35052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64295AD4">
            <w:pPr>
              <w:pStyle w:val="71"/>
              <w:spacing w:before="24" w:after="24"/>
              <w:rPr>
                <w:rFonts w:cs="Times New Roman"/>
              </w:rPr>
            </w:pPr>
            <w:r>
              <w:rPr>
                <w:rFonts w:cs="Times New Roman"/>
              </w:rPr>
              <w:t>气体灭火</w:t>
            </w:r>
          </w:p>
        </w:tc>
        <w:tc>
          <w:tcPr>
            <w:tcW w:w="2251" w:type="dxa"/>
            <w:shd w:val="clear" w:color="auto" w:fill="FF0000"/>
            <w:vAlign w:val="center"/>
          </w:tcPr>
          <w:p w14:paraId="218E68D5">
            <w:pPr>
              <w:pStyle w:val="71"/>
              <w:spacing w:before="24" w:after="24"/>
              <w:rPr>
                <w:rFonts w:cs="Times New Roman"/>
              </w:rPr>
            </w:pPr>
          </w:p>
        </w:tc>
        <w:tc>
          <w:tcPr>
            <w:tcW w:w="2126" w:type="dxa"/>
            <w:vAlign w:val="center"/>
          </w:tcPr>
          <w:p w14:paraId="6F5889D8">
            <w:pPr>
              <w:pStyle w:val="71"/>
              <w:spacing w:before="24" w:after="24"/>
              <w:rPr>
                <w:rFonts w:cs="Times New Roman"/>
              </w:rPr>
            </w:pPr>
            <w:r>
              <w:rPr>
                <w:rFonts w:cs="Times New Roman"/>
              </w:rPr>
              <w:t>255，0，0</w:t>
            </w:r>
          </w:p>
        </w:tc>
        <w:tc>
          <w:tcPr>
            <w:tcW w:w="1806" w:type="dxa"/>
            <w:vAlign w:val="center"/>
          </w:tcPr>
          <w:p w14:paraId="32AD14D6">
            <w:pPr>
              <w:pStyle w:val="71"/>
              <w:spacing w:before="24" w:after="24"/>
              <w:rPr>
                <w:rFonts w:cs="Times New Roman"/>
              </w:rPr>
            </w:pPr>
          </w:p>
        </w:tc>
      </w:tr>
      <w:tr w14:paraId="7A72A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21FC8471">
            <w:pPr>
              <w:pStyle w:val="71"/>
              <w:spacing w:before="24" w:after="24"/>
              <w:rPr>
                <w:rFonts w:cs="Times New Roman"/>
              </w:rPr>
            </w:pPr>
            <w:r>
              <w:rPr>
                <w:rFonts w:cs="Times New Roman"/>
              </w:rPr>
              <w:t>细水雾</w:t>
            </w:r>
          </w:p>
        </w:tc>
        <w:tc>
          <w:tcPr>
            <w:tcW w:w="2251" w:type="dxa"/>
            <w:shd w:val="clear" w:color="auto" w:fill="FBC97D"/>
            <w:vAlign w:val="center"/>
          </w:tcPr>
          <w:p w14:paraId="6F71AFB3">
            <w:pPr>
              <w:pStyle w:val="71"/>
              <w:spacing w:before="24" w:after="24"/>
              <w:rPr>
                <w:rFonts w:cs="Times New Roman"/>
              </w:rPr>
            </w:pPr>
          </w:p>
        </w:tc>
        <w:tc>
          <w:tcPr>
            <w:tcW w:w="2126" w:type="dxa"/>
            <w:vAlign w:val="center"/>
          </w:tcPr>
          <w:p w14:paraId="776E5F42">
            <w:pPr>
              <w:pStyle w:val="71"/>
              <w:spacing w:before="24" w:after="24"/>
              <w:rPr>
                <w:rFonts w:cs="Times New Roman"/>
              </w:rPr>
            </w:pPr>
            <w:r>
              <w:rPr>
                <w:rFonts w:cs="Times New Roman"/>
              </w:rPr>
              <w:t>251，201，125</w:t>
            </w:r>
          </w:p>
        </w:tc>
        <w:tc>
          <w:tcPr>
            <w:tcW w:w="1806" w:type="dxa"/>
            <w:vAlign w:val="center"/>
          </w:tcPr>
          <w:p w14:paraId="60496348">
            <w:pPr>
              <w:pStyle w:val="71"/>
              <w:spacing w:before="24" w:after="24"/>
              <w:rPr>
                <w:rFonts w:cs="Times New Roman"/>
              </w:rPr>
            </w:pPr>
          </w:p>
        </w:tc>
      </w:tr>
      <w:tr w14:paraId="48815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1BAAE38D">
            <w:pPr>
              <w:pStyle w:val="71"/>
              <w:spacing w:before="24" w:after="24"/>
              <w:rPr>
                <w:rFonts w:cs="Times New Roman"/>
              </w:rPr>
            </w:pPr>
            <w:r>
              <w:rPr>
                <w:rFonts w:cs="Times New Roman"/>
              </w:rPr>
              <w:t>空调风管</w:t>
            </w:r>
          </w:p>
        </w:tc>
        <w:tc>
          <w:tcPr>
            <w:tcW w:w="2251" w:type="dxa"/>
            <w:shd w:val="clear" w:color="auto" w:fill="00FF00"/>
            <w:vAlign w:val="center"/>
          </w:tcPr>
          <w:p w14:paraId="05E84F00">
            <w:pPr>
              <w:pStyle w:val="71"/>
              <w:spacing w:before="24" w:after="24"/>
              <w:rPr>
                <w:rFonts w:cs="Times New Roman"/>
              </w:rPr>
            </w:pPr>
          </w:p>
        </w:tc>
        <w:tc>
          <w:tcPr>
            <w:tcW w:w="2126" w:type="dxa"/>
            <w:vAlign w:val="center"/>
          </w:tcPr>
          <w:p w14:paraId="3C2B5E02">
            <w:pPr>
              <w:pStyle w:val="71"/>
              <w:spacing w:before="24" w:after="24"/>
              <w:rPr>
                <w:rFonts w:cs="Times New Roman"/>
              </w:rPr>
            </w:pPr>
            <w:r>
              <w:rPr>
                <w:rFonts w:cs="Times New Roman"/>
              </w:rPr>
              <w:t>0，255，0</w:t>
            </w:r>
          </w:p>
        </w:tc>
        <w:tc>
          <w:tcPr>
            <w:tcW w:w="1806" w:type="dxa"/>
            <w:vAlign w:val="center"/>
          </w:tcPr>
          <w:p w14:paraId="66C2569B">
            <w:pPr>
              <w:pStyle w:val="71"/>
              <w:spacing w:before="24" w:after="24"/>
              <w:rPr>
                <w:rFonts w:cs="Times New Roman"/>
              </w:rPr>
            </w:pPr>
          </w:p>
        </w:tc>
      </w:tr>
      <w:tr w14:paraId="5333E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24F42513">
            <w:pPr>
              <w:pStyle w:val="71"/>
              <w:spacing w:before="24" w:after="24"/>
              <w:rPr>
                <w:rFonts w:cs="Times New Roman"/>
              </w:rPr>
            </w:pPr>
            <w:r>
              <w:rPr>
                <w:rFonts w:cs="Times New Roman"/>
              </w:rPr>
              <w:t>送风加补风</w:t>
            </w:r>
          </w:p>
        </w:tc>
        <w:tc>
          <w:tcPr>
            <w:tcW w:w="2251" w:type="dxa"/>
            <w:shd w:val="clear" w:color="auto" w:fill="00FF00"/>
            <w:vAlign w:val="center"/>
          </w:tcPr>
          <w:p w14:paraId="453EFD9A">
            <w:pPr>
              <w:pStyle w:val="71"/>
              <w:spacing w:before="24" w:after="24"/>
              <w:rPr>
                <w:rFonts w:cs="Times New Roman"/>
              </w:rPr>
            </w:pPr>
          </w:p>
        </w:tc>
        <w:tc>
          <w:tcPr>
            <w:tcW w:w="2126" w:type="dxa"/>
            <w:vAlign w:val="center"/>
          </w:tcPr>
          <w:p w14:paraId="1C93E386">
            <w:pPr>
              <w:pStyle w:val="71"/>
              <w:spacing w:before="24" w:after="24"/>
              <w:rPr>
                <w:rFonts w:cs="Times New Roman"/>
              </w:rPr>
            </w:pPr>
            <w:r>
              <w:rPr>
                <w:rFonts w:cs="Times New Roman"/>
              </w:rPr>
              <w:t>0，255，0</w:t>
            </w:r>
          </w:p>
        </w:tc>
        <w:tc>
          <w:tcPr>
            <w:tcW w:w="1806" w:type="dxa"/>
            <w:vAlign w:val="center"/>
          </w:tcPr>
          <w:p w14:paraId="708C58B4">
            <w:pPr>
              <w:pStyle w:val="71"/>
              <w:spacing w:before="24" w:after="24"/>
              <w:rPr>
                <w:rFonts w:cs="Times New Roman"/>
              </w:rPr>
            </w:pPr>
          </w:p>
        </w:tc>
      </w:tr>
      <w:tr w14:paraId="45E55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0935B813">
            <w:pPr>
              <w:pStyle w:val="71"/>
              <w:spacing w:before="24" w:after="24"/>
              <w:rPr>
                <w:rFonts w:cs="Times New Roman"/>
              </w:rPr>
            </w:pPr>
            <w:r>
              <w:rPr>
                <w:rFonts w:cs="Times New Roman"/>
              </w:rPr>
              <w:t>回风管</w:t>
            </w:r>
          </w:p>
        </w:tc>
        <w:tc>
          <w:tcPr>
            <w:tcW w:w="2251" w:type="dxa"/>
            <w:shd w:val="clear" w:color="auto" w:fill="FF00FF"/>
            <w:vAlign w:val="center"/>
          </w:tcPr>
          <w:p w14:paraId="6CE36C65">
            <w:pPr>
              <w:pStyle w:val="71"/>
              <w:spacing w:before="24" w:after="24"/>
              <w:rPr>
                <w:rFonts w:cs="Times New Roman"/>
              </w:rPr>
            </w:pPr>
          </w:p>
        </w:tc>
        <w:tc>
          <w:tcPr>
            <w:tcW w:w="2126" w:type="dxa"/>
            <w:vAlign w:val="center"/>
          </w:tcPr>
          <w:p w14:paraId="6BC24112">
            <w:pPr>
              <w:pStyle w:val="71"/>
              <w:spacing w:before="24" w:after="24"/>
              <w:rPr>
                <w:rFonts w:cs="Times New Roman"/>
              </w:rPr>
            </w:pPr>
            <w:r>
              <w:rPr>
                <w:rFonts w:cs="Times New Roman"/>
              </w:rPr>
              <w:t>255，0，255</w:t>
            </w:r>
          </w:p>
        </w:tc>
        <w:tc>
          <w:tcPr>
            <w:tcW w:w="1806" w:type="dxa"/>
            <w:vAlign w:val="center"/>
          </w:tcPr>
          <w:p w14:paraId="16473C6A">
            <w:pPr>
              <w:pStyle w:val="71"/>
              <w:spacing w:before="24" w:after="24"/>
              <w:rPr>
                <w:rFonts w:cs="Times New Roman"/>
              </w:rPr>
            </w:pPr>
          </w:p>
        </w:tc>
      </w:tr>
      <w:tr w14:paraId="5CC6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0B7F9723">
            <w:pPr>
              <w:pStyle w:val="71"/>
              <w:spacing w:before="24" w:after="24"/>
              <w:rPr>
                <w:rFonts w:cs="Times New Roman"/>
              </w:rPr>
            </w:pPr>
            <w:r>
              <w:rPr>
                <w:rFonts w:cs="Times New Roman"/>
              </w:rPr>
              <w:t>新风管</w:t>
            </w:r>
          </w:p>
        </w:tc>
        <w:tc>
          <w:tcPr>
            <w:tcW w:w="2251" w:type="dxa"/>
            <w:shd w:val="clear" w:color="auto" w:fill="0000FF"/>
            <w:vAlign w:val="center"/>
          </w:tcPr>
          <w:p w14:paraId="38D5CFE4">
            <w:pPr>
              <w:pStyle w:val="71"/>
              <w:spacing w:before="24" w:after="24"/>
              <w:rPr>
                <w:rFonts w:cs="Times New Roman"/>
              </w:rPr>
            </w:pPr>
          </w:p>
        </w:tc>
        <w:tc>
          <w:tcPr>
            <w:tcW w:w="2126" w:type="dxa"/>
            <w:vAlign w:val="center"/>
          </w:tcPr>
          <w:p w14:paraId="7D951DD0">
            <w:pPr>
              <w:pStyle w:val="71"/>
              <w:spacing w:before="24" w:after="24"/>
              <w:rPr>
                <w:rFonts w:cs="Times New Roman"/>
              </w:rPr>
            </w:pPr>
            <w:r>
              <w:rPr>
                <w:rFonts w:cs="Times New Roman"/>
              </w:rPr>
              <w:t>0，0，255</w:t>
            </w:r>
          </w:p>
        </w:tc>
        <w:tc>
          <w:tcPr>
            <w:tcW w:w="1806" w:type="dxa"/>
            <w:vAlign w:val="center"/>
          </w:tcPr>
          <w:p w14:paraId="5CA5B969">
            <w:pPr>
              <w:pStyle w:val="71"/>
              <w:spacing w:before="24" w:after="24"/>
              <w:rPr>
                <w:rFonts w:cs="Times New Roman"/>
              </w:rPr>
            </w:pPr>
          </w:p>
        </w:tc>
      </w:tr>
      <w:tr w14:paraId="0C21D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51B0B3DB">
            <w:pPr>
              <w:pStyle w:val="71"/>
              <w:spacing w:before="24" w:after="24"/>
              <w:rPr>
                <w:rFonts w:cs="Times New Roman"/>
              </w:rPr>
            </w:pPr>
            <w:r>
              <w:rPr>
                <w:rFonts w:cs="Times New Roman"/>
              </w:rPr>
              <w:t>排风管</w:t>
            </w:r>
          </w:p>
        </w:tc>
        <w:tc>
          <w:tcPr>
            <w:tcW w:w="2251" w:type="dxa"/>
            <w:shd w:val="clear" w:color="auto" w:fill="D79900"/>
            <w:vAlign w:val="center"/>
          </w:tcPr>
          <w:p w14:paraId="02F0B9E5">
            <w:pPr>
              <w:pStyle w:val="71"/>
              <w:spacing w:before="24" w:after="24"/>
              <w:rPr>
                <w:rFonts w:cs="Times New Roman"/>
              </w:rPr>
            </w:pPr>
          </w:p>
        </w:tc>
        <w:tc>
          <w:tcPr>
            <w:tcW w:w="2126" w:type="dxa"/>
            <w:vAlign w:val="center"/>
          </w:tcPr>
          <w:p w14:paraId="681837CB">
            <w:pPr>
              <w:pStyle w:val="71"/>
              <w:spacing w:before="24" w:after="24"/>
              <w:rPr>
                <w:rFonts w:cs="Times New Roman"/>
              </w:rPr>
            </w:pPr>
            <w:r>
              <w:rPr>
                <w:rFonts w:cs="Times New Roman"/>
              </w:rPr>
              <w:t>215，153，0</w:t>
            </w:r>
          </w:p>
        </w:tc>
        <w:tc>
          <w:tcPr>
            <w:tcW w:w="1806" w:type="dxa"/>
            <w:vAlign w:val="center"/>
          </w:tcPr>
          <w:p w14:paraId="04214A08">
            <w:pPr>
              <w:pStyle w:val="71"/>
              <w:spacing w:before="24" w:after="24"/>
              <w:rPr>
                <w:rFonts w:cs="Times New Roman"/>
              </w:rPr>
            </w:pPr>
          </w:p>
        </w:tc>
      </w:tr>
      <w:tr w14:paraId="14530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08A3972C">
            <w:pPr>
              <w:pStyle w:val="71"/>
              <w:spacing w:before="24" w:after="24"/>
              <w:rPr>
                <w:rFonts w:cs="Times New Roman"/>
              </w:rPr>
            </w:pPr>
            <w:r>
              <w:rPr>
                <w:rFonts w:cs="Times New Roman"/>
              </w:rPr>
              <w:t>气体灭火事后补风</w:t>
            </w:r>
          </w:p>
        </w:tc>
        <w:tc>
          <w:tcPr>
            <w:tcW w:w="2251" w:type="dxa"/>
            <w:shd w:val="clear" w:color="auto" w:fill="D79900"/>
            <w:vAlign w:val="center"/>
          </w:tcPr>
          <w:p w14:paraId="06EB2484">
            <w:pPr>
              <w:pStyle w:val="71"/>
              <w:spacing w:before="24" w:after="24"/>
              <w:rPr>
                <w:rFonts w:cs="Times New Roman"/>
              </w:rPr>
            </w:pPr>
          </w:p>
        </w:tc>
        <w:tc>
          <w:tcPr>
            <w:tcW w:w="2126" w:type="dxa"/>
            <w:vAlign w:val="center"/>
          </w:tcPr>
          <w:p w14:paraId="05E491E8">
            <w:pPr>
              <w:pStyle w:val="71"/>
              <w:spacing w:before="24" w:after="24"/>
              <w:rPr>
                <w:rFonts w:cs="Times New Roman"/>
              </w:rPr>
            </w:pPr>
            <w:r>
              <w:rPr>
                <w:rFonts w:cs="Times New Roman"/>
              </w:rPr>
              <w:t>215，153，0</w:t>
            </w:r>
          </w:p>
        </w:tc>
        <w:tc>
          <w:tcPr>
            <w:tcW w:w="1806" w:type="dxa"/>
            <w:vAlign w:val="center"/>
          </w:tcPr>
          <w:p w14:paraId="2CBE1C5E">
            <w:pPr>
              <w:pStyle w:val="71"/>
              <w:spacing w:before="24" w:after="24"/>
              <w:rPr>
                <w:rFonts w:cs="Times New Roman"/>
              </w:rPr>
            </w:pPr>
          </w:p>
        </w:tc>
      </w:tr>
      <w:tr w14:paraId="5FF82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50324F70">
            <w:pPr>
              <w:pStyle w:val="71"/>
              <w:spacing w:before="24" w:after="24"/>
              <w:rPr>
                <w:rFonts w:cs="Times New Roman"/>
              </w:rPr>
            </w:pPr>
            <w:r>
              <w:rPr>
                <w:rFonts w:cs="Times New Roman"/>
              </w:rPr>
              <w:t>厨房排风管</w:t>
            </w:r>
          </w:p>
        </w:tc>
        <w:tc>
          <w:tcPr>
            <w:tcW w:w="2251" w:type="dxa"/>
            <w:shd w:val="clear" w:color="auto" w:fill="803333"/>
            <w:vAlign w:val="center"/>
          </w:tcPr>
          <w:p w14:paraId="351E6CAE">
            <w:pPr>
              <w:pStyle w:val="71"/>
              <w:spacing w:before="24" w:after="24"/>
              <w:rPr>
                <w:rFonts w:cs="Times New Roman"/>
              </w:rPr>
            </w:pPr>
          </w:p>
        </w:tc>
        <w:tc>
          <w:tcPr>
            <w:tcW w:w="2126" w:type="dxa"/>
            <w:vAlign w:val="center"/>
          </w:tcPr>
          <w:p w14:paraId="6B3C25C0">
            <w:pPr>
              <w:pStyle w:val="71"/>
              <w:spacing w:before="24" w:after="24"/>
              <w:rPr>
                <w:rFonts w:cs="Times New Roman"/>
              </w:rPr>
            </w:pPr>
            <w:r>
              <w:rPr>
                <w:rFonts w:cs="Times New Roman"/>
              </w:rPr>
              <w:t>128，51，51</w:t>
            </w:r>
          </w:p>
        </w:tc>
        <w:tc>
          <w:tcPr>
            <w:tcW w:w="1806" w:type="dxa"/>
            <w:vAlign w:val="center"/>
          </w:tcPr>
          <w:p w14:paraId="7D812F15">
            <w:pPr>
              <w:pStyle w:val="71"/>
              <w:spacing w:before="24" w:after="24"/>
              <w:rPr>
                <w:rFonts w:cs="Times New Roman"/>
              </w:rPr>
            </w:pPr>
          </w:p>
        </w:tc>
      </w:tr>
      <w:tr w14:paraId="02C91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4F0B27BF">
            <w:pPr>
              <w:pStyle w:val="71"/>
              <w:spacing w:before="24" w:after="24"/>
              <w:rPr>
                <w:rFonts w:cs="Times New Roman"/>
              </w:rPr>
            </w:pPr>
            <w:r>
              <w:rPr>
                <w:rFonts w:cs="Times New Roman"/>
              </w:rPr>
              <w:t>补风管</w:t>
            </w:r>
          </w:p>
        </w:tc>
        <w:tc>
          <w:tcPr>
            <w:tcW w:w="2251" w:type="dxa"/>
            <w:shd w:val="clear" w:color="auto" w:fill="BF00FF"/>
            <w:vAlign w:val="center"/>
          </w:tcPr>
          <w:p w14:paraId="7A00BCB9">
            <w:pPr>
              <w:pStyle w:val="71"/>
              <w:spacing w:before="24" w:after="24"/>
              <w:rPr>
                <w:rFonts w:cs="Times New Roman"/>
              </w:rPr>
            </w:pPr>
          </w:p>
        </w:tc>
        <w:tc>
          <w:tcPr>
            <w:tcW w:w="2126" w:type="dxa"/>
            <w:vAlign w:val="center"/>
          </w:tcPr>
          <w:p w14:paraId="09550C75">
            <w:pPr>
              <w:pStyle w:val="71"/>
              <w:spacing w:before="24" w:after="24"/>
              <w:rPr>
                <w:rFonts w:cs="Times New Roman"/>
              </w:rPr>
            </w:pPr>
            <w:r>
              <w:rPr>
                <w:rFonts w:cs="Times New Roman"/>
              </w:rPr>
              <w:t>191，0，255</w:t>
            </w:r>
          </w:p>
        </w:tc>
        <w:tc>
          <w:tcPr>
            <w:tcW w:w="1806" w:type="dxa"/>
            <w:vAlign w:val="center"/>
          </w:tcPr>
          <w:p w14:paraId="1ECB92BD">
            <w:pPr>
              <w:pStyle w:val="71"/>
              <w:spacing w:before="24" w:after="24"/>
              <w:rPr>
                <w:rFonts w:cs="Times New Roman"/>
              </w:rPr>
            </w:pPr>
          </w:p>
        </w:tc>
      </w:tr>
      <w:tr w14:paraId="17A2A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76E73B99">
            <w:pPr>
              <w:pStyle w:val="71"/>
              <w:spacing w:before="24" w:after="24"/>
              <w:rPr>
                <w:rFonts w:cs="Times New Roman"/>
              </w:rPr>
            </w:pPr>
            <w:r>
              <w:rPr>
                <w:rFonts w:cs="Times New Roman"/>
              </w:rPr>
              <w:t>排烟管</w:t>
            </w:r>
          </w:p>
        </w:tc>
        <w:tc>
          <w:tcPr>
            <w:tcW w:w="2251" w:type="dxa"/>
            <w:shd w:val="clear" w:color="auto" w:fill="B32020"/>
            <w:vAlign w:val="center"/>
          </w:tcPr>
          <w:p w14:paraId="1FE65D50">
            <w:pPr>
              <w:pStyle w:val="71"/>
              <w:spacing w:before="24" w:after="24"/>
              <w:rPr>
                <w:rFonts w:cs="Times New Roman"/>
              </w:rPr>
            </w:pPr>
          </w:p>
        </w:tc>
        <w:tc>
          <w:tcPr>
            <w:tcW w:w="2126" w:type="dxa"/>
            <w:vAlign w:val="center"/>
          </w:tcPr>
          <w:p w14:paraId="639692DD">
            <w:pPr>
              <w:pStyle w:val="71"/>
              <w:spacing w:before="24" w:after="24"/>
              <w:rPr>
                <w:rFonts w:cs="Times New Roman"/>
              </w:rPr>
            </w:pPr>
            <w:r>
              <w:rPr>
                <w:rFonts w:cs="Times New Roman"/>
              </w:rPr>
              <w:t>179，32，32</w:t>
            </w:r>
          </w:p>
        </w:tc>
        <w:tc>
          <w:tcPr>
            <w:tcW w:w="1806" w:type="dxa"/>
            <w:vAlign w:val="center"/>
          </w:tcPr>
          <w:p w14:paraId="228D0918">
            <w:pPr>
              <w:pStyle w:val="71"/>
              <w:spacing w:before="24" w:after="24"/>
              <w:rPr>
                <w:rFonts w:cs="Times New Roman"/>
              </w:rPr>
            </w:pPr>
          </w:p>
        </w:tc>
      </w:tr>
      <w:tr w14:paraId="6E7C0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56914FD4">
            <w:pPr>
              <w:pStyle w:val="71"/>
              <w:spacing w:before="24" w:after="24"/>
              <w:rPr>
                <w:rFonts w:cs="Times New Roman"/>
              </w:rPr>
            </w:pPr>
            <w:r>
              <w:rPr>
                <w:rFonts w:cs="Times New Roman"/>
              </w:rPr>
              <w:t>消防补风管</w:t>
            </w:r>
          </w:p>
        </w:tc>
        <w:tc>
          <w:tcPr>
            <w:tcW w:w="2251" w:type="dxa"/>
            <w:shd w:val="clear" w:color="auto" w:fill="FF00FF"/>
            <w:vAlign w:val="center"/>
          </w:tcPr>
          <w:p w14:paraId="1FB06916">
            <w:pPr>
              <w:pStyle w:val="71"/>
              <w:spacing w:before="24" w:after="24"/>
              <w:rPr>
                <w:rFonts w:cs="Times New Roman"/>
              </w:rPr>
            </w:pPr>
          </w:p>
        </w:tc>
        <w:tc>
          <w:tcPr>
            <w:tcW w:w="2126" w:type="dxa"/>
            <w:vAlign w:val="center"/>
          </w:tcPr>
          <w:p w14:paraId="4DBC2824">
            <w:pPr>
              <w:pStyle w:val="71"/>
              <w:spacing w:before="24" w:after="24"/>
              <w:rPr>
                <w:rFonts w:cs="Times New Roman"/>
              </w:rPr>
            </w:pPr>
            <w:r>
              <w:rPr>
                <w:rFonts w:cs="Times New Roman"/>
              </w:rPr>
              <w:t>255，0，255</w:t>
            </w:r>
          </w:p>
        </w:tc>
        <w:tc>
          <w:tcPr>
            <w:tcW w:w="1806" w:type="dxa"/>
            <w:vAlign w:val="center"/>
          </w:tcPr>
          <w:p w14:paraId="465CBAEE">
            <w:pPr>
              <w:pStyle w:val="71"/>
              <w:spacing w:before="24" w:after="24"/>
              <w:rPr>
                <w:rFonts w:cs="Times New Roman"/>
              </w:rPr>
            </w:pPr>
          </w:p>
        </w:tc>
      </w:tr>
      <w:tr w14:paraId="1EEC9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27DB0BE2">
            <w:pPr>
              <w:pStyle w:val="71"/>
              <w:spacing w:before="24" w:after="24"/>
              <w:rPr>
                <w:rFonts w:cs="Times New Roman"/>
              </w:rPr>
            </w:pPr>
            <w:r>
              <w:rPr>
                <w:rFonts w:cs="Times New Roman"/>
              </w:rPr>
              <w:t>楼梯间加压风管</w:t>
            </w:r>
          </w:p>
        </w:tc>
        <w:tc>
          <w:tcPr>
            <w:tcW w:w="2251" w:type="dxa"/>
            <w:shd w:val="clear" w:color="auto" w:fill="BFFF00"/>
            <w:vAlign w:val="center"/>
          </w:tcPr>
          <w:p w14:paraId="196395D3">
            <w:pPr>
              <w:pStyle w:val="71"/>
              <w:spacing w:before="24" w:after="24"/>
              <w:rPr>
                <w:rFonts w:cs="Times New Roman"/>
              </w:rPr>
            </w:pPr>
          </w:p>
        </w:tc>
        <w:tc>
          <w:tcPr>
            <w:tcW w:w="2126" w:type="dxa"/>
            <w:vAlign w:val="center"/>
          </w:tcPr>
          <w:p w14:paraId="1C778663">
            <w:pPr>
              <w:pStyle w:val="71"/>
              <w:spacing w:before="24" w:after="24"/>
              <w:rPr>
                <w:rFonts w:cs="Times New Roman"/>
              </w:rPr>
            </w:pPr>
            <w:r>
              <w:rPr>
                <w:rFonts w:cs="Times New Roman"/>
              </w:rPr>
              <w:t>191，255，0</w:t>
            </w:r>
          </w:p>
        </w:tc>
        <w:tc>
          <w:tcPr>
            <w:tcW w:w="1806" w:type="dxa"/>
            <w:vAlign w:val="center"/>
          </w:tcPr>
          <w:p w14:paraId="306B496D">
            <w:pPr>
              <w:pStyle w:val="71"/>
              <w:spacing w:before="24" w:after="24"/>
              <w:rPr>
                <w:rFonts w:cs="Times New Roman"/>
              </w:rPr>
            </w:pPr>
          </w:p>
        </w:tc>
      </w:tr>
      <w:tr w14:paraId="40806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7643C75A">
            <w:pPr>
              <w:pStyle w:val="71"/>
              <w:spacing w:before="24" w:after="24"/>
              <w:rPr>
                <w:rFonts w:cs="Times New Roman"/>
              </w:rPr>
            </w:pPr>
            <w:r>
              <w:rPr>
                <w:rFonts w:cs="Times New Roman"/>
              </w:rPr>
              <w:t>前室加压风管</w:t>
            </w:r>
          </w:p>
        </w:tc>
        <w:tc>
          <w:tcPr>
            <w:tcW w:w="2251" w:type="dxa"/>
            <w:shd w:val="clear" w:color="auto" w:fill="60994C"/>
            <w:vAlign w:val="center"/>
          </w:tcPr>
          <w:p w14:paraId="2143C979">
            <w:pPr>
              <w:pStyle w:val="71"/>
              <w:spacing w:before="24" w:after="24"/>
              <w:rPr>
                <w:rFonts w:cs="Times New Roman"/>
              </w:rPr>
            </w:pPr>
          </w:p>
        </w:tc>
        <w:tc>
          <w:tcPr>
            <w:tcW w:w="2126" w:type="dxa"/>
            <w:vAlign w:val="center"/>
          </w:tcPr>
          <w:p w14:paraId="4094F183">
            <w:pPr>
              <w:pStyle w:val="71"/>
              <w:spacing w:before="24" w:after="24"/>
              <w:rPr>
                <w:rFonts w:cs="Times New Roman"/>
              </w:rPr>
            </w:pPr>
            <w:r>
              <w:rPr>
                <w:rFonts w:cs="Times New Roman"/>
              </w:rPr>
              <w:t>96，153，76</w:t>
            </w:r>
          </w:p>
        </w:tc>
        <w:tc>
          <w:tcPr>
            <w:tcW w:w="1806" w:type="dxa"/>
            <w:vAlign w:val="center"/>
          </w:tcPr>
          <w:p w14:paraId="2D01FE2A">
            <w:pPr>
              <w:pStyle w:val="71"/>
              <w:spacing w:before="24" w:after="24"/>
              <w:rPr>
                <w:rFonts w:cs="Times New Roman"/>
              </w:rPr>
            </w:pPr>
          </w:p>
        </w:tc>
      </w:tr>
      <w:tr w14:paraId="62EA6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1909B639">
            <w:pPr>
              <w:pStyle w:val="71"/>
              <w:spacing w:before="24" w:after="24"/>
              <w:rPr>
                <w:rFonts w:cs="Times New Roman"/>
              </w:rPr>
            </w:pPr>
            <w:r>
              <w:rPr>
                <w:rFonts w:cs="Times New Roman"/>
              </w:rPr>
              <w:t>空调冷冻水供水管</w:t>
            </w:r>
          </w:p>
        </w:tc>
        <w:tc>
          <w:tcPr>
            <w:tcW w:w="2251" w:type="dxa"/>
            <w:shd w:val="clear" w:color="auto" w:fill="00FFFF"/>
            <w:vAlign w:val="center"/>
          </w:tcPr>
          <w:p w14:paraId="24A069F9">
            <w:pPr>
              <w:pStyle w:val="71"/>
              <w:spacing w:before="24" w:after="24"/>
              <w:rPr>
                <w:rFonts w:cs="Times New Roman"/>
              </w:rPr>
            </w:pPr>
          </w:p>
        </w:tc>
        <w:tc>
          <w:tcPr>
            <w:tcW w:w="2126" w:type="dxa"/>
            <w:vAlign w:val="center"/>
          </w:tcPr>
          <w:p w14:paraId="390E30F3">
            <w:pPr>
              <w:pStyle w:val="71"/>
              <w:spacing w:before="24" w:after="24"/>
              <w:rPr>
                <w:rFonts w:cs="Times New Roman"/>
              </w:rPr>
            </w:pPr>
            <w:r>
              <w:rPr>
                <w:rFonts w:cs="Times New Roman"/>
              </w:rPr>
              <w:t>0，255，255</w:t>
            </w:r>
          </w:p>
        </w:tc>
        <w:tc>
          <w:tcPr>
            <w:tcW w:w="1806" w:type="dxa"/>
            <w:vAlign w:val="center"/>
          </w:tcPr>
          <w:p w14:paraId="7078BCA8">
            <w:pPr>
              <w:pStyle w:val="71"/>
              <w:spacing w:before="24" w:after="24"/>
              <w:rPr>
                <w:rFonts w:cs="Times New Roman"/>
              </w:rPr>
            </w:pPr>
          </w:p>
        </w:tc>
      </w:tr>
      <w:tr w14:paraId="04C89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555145F7">
            <w:pPr>
              <w:pStyle w:val="71"/>
              <w:spacing w:before="24" w:after="24"/>
              <w:rPr>
                <w:rFonts w:cs="Times New Roman"/>
              </w:rPr>
            </w:pPr>
            <w:r>
              <w:rPr>
                <w:rFonts w:cs="Times New Roman"/>
              </w:rPr>
              <w:t>空调冷冻水回水管</w:t>
            </w:r>
          </w:p>
        </w:tc>
        <w:tc>
          <w:tcPr>
            <w:tcW w:w="2251" w:type="dxa"/>
            <w:shd w:val="clear" w:color="auto" w:fill="00FFFF"/>
            <w:vAlign w:val="center"/>
          </w:tcPr>
          <w:p w14:paraId="29F5E74E">
            <w:pPr>
              <w:pStyle w:val="71"/>
              <w:spacing w:before="24" w:after="24"/>
              <w:rPr>
                <w:rFonts w:cs="Times New Roman"/>
              </w:rPr>
            </w:pPr>
          </w:p>
        </w:tc>
        <w:tc>
          <w:tcPr>
            <w:tcW w:w="2126" w:type="dxa"/>
            <w:vAlign w:val="center"/>
          </w:tcPr>
          <w:p w14:paraId="59B75541">
            <w:pPr>
              <w:pStyle w:val="71"/>
              <w:spacing w:before="24" w:after="24"/>
              <w:rPr>
                <w:rFonts w:cs="Times New Roman"/>
              </w:rPr>
            </w:pPr>
            <w:r>
              <w:rPr>
                <w:rFonts w:cs="Times New Roman"/>
              </w:rPr>
              <w:t>0，255，255</w:t>
            </w:r>
          </w:p>
        </w:tc>
        <w:tc>
          <w:tcPr>
            <w:tcW w:w="1806" w:type="dxa"/>
            <w:vAlign w:val="center"/>
          </w:tcPr>
          <w:p w14:paraId="694E881C">
            <w:pPr>
              <w:pStyle w:val="71"/>
              <w:spacing w:before="24" w:after="24"/>
              <w:rPr>
                <w:rFonts w:cs="Times New Roman"/>
              </w:rPr>
            </w:pPr>
          </w:p>
        </w:tc>
      </w:tr>
      <w:tr w14:paraId="368FE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1D67371A">
            <w:pPr>
              <w:pStyle w:val="71"/>
              <w:spacing w:before="24" w:after="24"/>
              <w:rPr>
                <w:rFonts w:cs="Times New Roman"/>
              </w:rPr>
            </w:pPr>
            <w:r>
              <w:rPr>
                <w:rFonts w:cs="Times New Roman"/>
              </w:rPr>
              <w:t>空调冷热水供水管</w:t>
            </w:r>
          </w:p>
        </w:tc>
        <w:tc>
          <w:tcPr>
            <w:tcW w:w="2251" w:type="dxa"/>
            <w:shd w:val="clear" w:color="auto" w:fill="FF00FF"/>
            <w:vAlign w:val="center"/>
          </w:tcPr>
          <w:p w14:paraId="1BB9B03F">
            <w:pPr>
              <w:pStyle w:val="71"/>
              <w:spacing w:before="24" w:after="24"/>
              <w:rPr>
                <w:rFonts w:cs="Times New Roman"/>
              </w:rPr>
            </w:pPr>
          </w:p>
        </w:tc>
        <w:tc>
          <w:tcPr>
            <w:tcW w:w="2126" w:type="dxa"/>
            <w:vAlign w:val="center"/>
          </w:tcPr>
          <w:p w14:paraId="3DAB2586">
            <w:pPr>
              <w:pStyle w:val="71"/>
              <w:spacing w:before="24" w:after="24"/>
              <w:rPr>
                <w:rFonts w:cs="Times New Roman"/>
              </w:rPr>
            </w:pPr>
            <w:r>
              <w:rPr>
                <w:rFonts w:cs="Times New Roman"/>
              </w:rPr>
              <w:t>255，0，255</w:t>
            </w:r>
          </w:p>
        </w:tc>
        <w:tc>
          <w:tcPr>
            <w:tcW w:w="1806" w:type="dxa"/>
            <w:vAlign w:val="center"/>
          </w:tcPr>
          <w:p w14:paraId="69CB47D7">
            <w:pPr>
              <w:pStyle w:val="71"/>
              <w:spacing w:before="24" w:after="24"/>
              <w:rPr>
                <w:rFonts w:cs="Times New Roman"/>
              </w:rPr>
            </w:pPr>
          </w:p>
        </w:tc>
      </w:tr>
      <w:tr w14:paraId="6CC73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4A5807DA">
            <w:pPr>
              <w:pStyle w:val="71"/>
              <w:spacing w:before="24" w:after="24"/>
              <w:rPr>
                <w:rFonts w:cs="Times New Roman"/>
              </w:rPr>
            </w:pPr>
            <w:r>
              <w:rPr>
                <w:rFonts w:cs="Times New Roman"/>
              </w:rPr>
              <w:t>空调冷热水回水管</w:t>
            </w:r>
          </w:p>
        </w:tc>
        <w:tc>
          <w:tcPr>
            <w:tcW w:w="2251" w:type="dxa"/>
            <w:shd w:val="clear" w:color="auto" w:fill="FF00FF"/>
            <w:vAlign w:val="center"/>
          </w:tcPr>
          <w:p w14:paraId="2E320120">
            <w:pPr>
              <w:pStyle w:val="71"/>
              <w:spacing w:before="24" w:after="24"/>
              <w:rPr>
                <w:rFonts w:cs="Times New Roman"/>
              </w:rPr>
            </w:pPr>
          </w:p>
        </w:tc>
        <w:tc>
          <w:tcPr>
            <w:tcW w:w="2126" w:type="dxa"/>
            <w:vAlign w:val="center"/>
          </w:tcPr>
          <w:p w14:paraId="4F61F4AD">
            <w:pPr>
              <w:pStyle w:val="71"/>
              <w:spacing w:before="24" w:after="24"/>
              <w:rPr>
                <w:rFonts w:cs="Times New Roman"/>
              </w:rPr>
            </w:pPr>
            <w:r>
              <w:rPr>
                <w:rFonts w:cs="Times New Roman"/>
              </w:rPr>
              <w:t>255，0，255</w:t>
            </w:r>
          </w:p>
        </w:tc>
        <w:tc>
          <w:tcPr>
            <w:tcW w:w="1806" w:type="dxa"/>
            <w:vAlign w:val="center"/>
          </w:tcPr>
          <w:p w14:paraId="7BF478B2">
            <w:pPr>
              <w:pStyle w:val="71"/>
              <w:spacing w:before="24" w:after="24"/>
              <w:rPr>
                <w:rFonts w:cs="Times New Roman"/>
              </w:rPr>
            </w:pPr>
          </w:p>
        </w:tc>
      </w:tr>
      <w:tr w14:paraId="7CE5F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323F9AB1">
            <w:pPr>
              <w:pStyle w:val="71"/>
              <w:spacing w:before="24" w:after="24"/>
              <w:rPr>
                <w:rFonts w:cs="Times New Roman"/>
              </w:rPr>
            </w:pPr>
            <w:r>
              <w:rPr>
                <w:rFonts w:cs="Times New Roman"/>
              </w:rPr>
              <w:t>空调冷凝水管</w:t>
            </w:r>
          </w:p>
        </w:tc>
        <w:tc>
          <w:tcPr>
            <w:tcW w:w="2251" w:type="dxa"/>
            <w:shd w:val="clear" w:color="auto" w:fill="00B5B5"/>
            <w:vAlign w:val="center"/>
          </w:tcPr>
          <w:p w14:paraId="4D1E46E6">
            <w:pPr>
              <w:pStyle w:val="71"/>
              <w:spacing w:before="24" w:after="24"/>
              <w:rPr>
                <w:rFonts w:cs="Times New Roman"/>
              </w:rPr>
            </w:pPr>
          </w:p>
        </w:tc>
        <w:tc>
          <w:tcPr>
            <w:tcW w:w="2126" w:type="dxa"/>
            <w:vAlign w:val="center"/>
          </w:tcPr>
          <w:p w14:paraId="1D92D427">
            <w:pPr>
              <w:pStyle w:val="71"/>
              <w:spacing w:before="24" w:after="24"/>
              <w:rPr>
                <w:rFonts w:cs="Times New Roman"/>
              </w:rPr>
            </w:pPr>
            <w:r>
              <w:rPr>
                <w:rFonts w:cs="Times New Roman"/>
              </w:rPr>
              <w:t>0，181，181</w:t>
            </w:r>
          </w:p>
        </w:tc>
        <w:tc>
          <w:tcPr>
            <w:tcW w:w="1806" w:type="dxa"/>
            <w:vAlign w:val="center"/>
          </w:tcPr>
          <w:p w14:paraId="24E1938B">
            <w:pPr>
              <w:pStyle w:val="71"/>
              <w:spacing w:before="24" w:after="24"/>
              <w:rPr>
                <w:rFonts w:cs="Times New Roman"/>
              </w:rPr>
            </w:pPr>
          </w:p>
        </w:tc>
      </w:tr>
      <w:tr w14:paraId="2ACC7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1D63A8BE">
            <w:pPr>
              <w:pStyle w:val="71"/>
              <w:spacing w:before="24" w:after="24"/>
              <w:rPr>
                <w:rFonts w:cs="Times New Roman"/>
              </w:rPr>
            </w:pPr>
            <w:r>
              <w:rPr>
                <w:rFonts w:cs="Times New Roman"/>
              </w:rPr>
              <w:t>空调冷却水管</w:t>
            </w:r>
          </w:p>
        </w:tc>
        <w:tc>
          <w:tcPr>
            <w:tcW w:w="2251" w:type="dxa"/>
            <w:shd w:val="clear" w:color="auto" w:fill="6699FF"/>
            <w:vAlign w:val="center"/>
          </w:tcPr>
          <w:p w14:paraId="134D3C72">
            <w:pPr>
              <w:pStyle w:val="71"/>
              <w:spacing w:before="24" w:after="24"/>
              <w:rPr>
                <w:rFonts w:cs="Times New Roman"/>
              </w:rPr>
            </w:pPr>
          </w:p>
        </w:tc>
        <w:tc>
          <w:tcPr>
            <w:tcW w:w="2126" w:type="dxa"/>
            <w:vAlign w:val="center"/>
          </w:tcPr>
          <w:p w14:paraId="15149677">
            <w:pPr>
              <w:pStyle w:val="71"/>
              <w:spacing w:before="24" w:after="24"/>
              <w:rPr>
                <w:rFonts w:cs="Times New Roman"/>
              </w:rPr>
            </w:pPr>
            <w:r>
              <w:rPr>
                <w:rFonts w:cs="Times New Roman"/>
              </w:rPr>
              <w:t>102，153，255</w:t>
            </w:r>
          </w:p>
        </w:tc>
        <w:tc>
          <w:tcPr>
            <w:tcW w:w="1806" w:type="dxa"/>
            <w:vAlign w:val="center"/>
          </w:tcPr>
          <w:p w14:paraId="51DD1DC9">
            <w:pPr>
              <w:pStyle w:val="71"/>
              <w:spacing w:before="24" w:after="24"/>
              <w:rPr>
                <w:rFonts w:cs="Times New Roman"/>
              </w:rPr>
            </w:pPr>
          </w:p>
        </w:tc>
      </w:tr>
      <w:tr w14:paraId="0E952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0114D851">
            <w:pPr>
              <w:pStyle w:val="71"/>
              <w:spacing w:before="24" w:after="24"/>
              <w:rPr>
                <w:rFonts w:cs="Times New Roman"/>
              </w:rPr>
            </w:pPr>
            <w:r>
              <w:rPr>
                <w:rFonts w:cs="Times New Roman"/>
              </w:rPr>
              <w:t>空调冷却水回水管</w:t>
            </w:r>
          </w:p>
        </w:tc>
        <w:tc>
          <w:tcPr>
            <w:tcW w:w="2251" w:type="dxa"/>
            <w:shd w:val="clear" w:color="auto" w:fill="6699FF"/>
            <w:vAlign w:val="center"/>
          </w:tcPr>
          <w:p w14:paraId="17BB4397">
            <w:pPr>
              <w:pStyle w:val="71"/>
              <w:spacing w:before="24" w:after="24"/>
              <w:rPr>
                <w:rFonts w:cs="Times New Roman"/>
              </w:rPr>
            </w:pPr>
          </w:p>
        </w:tc>
        <w:tc>
          <w:tcPr>
            <w:tcW w:w="2126" w:type="dxa"/>
            <w:vAlign w:val="center"/>
          </w:tcPr>
          <w:p w14:paraId="061CB91F">
            <w:pPr>
              <w:pStyle w:val="71"/>
              <w:spacing w:before="24" w:after="24"/>
              <w:rPr>
                <w:rFonts w:cs="Times New Roman"/>
              </w:rPr>
            </w:pPr>
            <w:r>
              <w:rPr>
                <w:rFonts w:cs="Times New Roman"/>
              </w:rPr>
              <w:t>102，153，255</w:t>
            </w:r>
          </w:p>
        </w:tc>
        <w:tc>
          <w:tcPr>
            <w:tcW w:w="1806" w:type="dxa"/>
            <w:vAlign w:val="center"/>
          </w:tcPr>
          <w:p w14:paraId="16F6A142">
            <w:pPr>
              <w:pStyle w:val="71"/>
              <w:spacing w:before="24" w:after="24"/>
              <w:rPr>
                <w:rFonts w:cs="Times New Roman"/>
              </w:rPr>
            </w:pPr>
          </w:p>
        </w:tc>
      </w:tr>
      <w:tr w14:paraId="3ADEF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0BB81FCA">
            <w:pPr>
              <w:pStyle w:val="71"/>
              <w:spacing w:before="24" w:after="24"/>
              <w:rPr>
                <w:rFonts w:cs="Times New Roman"/>
              </w:rPr>
            </w:pPr>
            <w:r>
              <w:rPr>
                <w:rFonts w:cs="Times New Roman"/>
              </w:rPr>
              <w:t>采暖供水管</w:t>
            </w:r>
          </w:p>
        </w:tc>
        <w:tc>
          <w:tcPr>
            <w:tcW w:w="2251" w:type="dxa"/>
            <w:shd w:val="clear" w:color="auto" w:fill="FF00FF"/>
            <w:vAlign w:val="center"/>
          </w:tcPr>
          <w:p w14:paraId="31A8451D">
            <w:pPr>
              <w:pStyle w:val="71"/>
              <w:spacing w:before="24" w:after="24"/>
              <w:rPr>
                <w:rFonts w:cs="Times New Roman"/>
              </w:rPr>
            </w:pPr>
          </w:p>
        </w:tc>
        <w:tc>
          <w:tcPr>
            <w:tcW w:w="2126" w:type="dxa"/>
            <w:vAlign w:val="center"/>
          </w:tcPr>
          <w:p w14:paraId="1F7038A0">
            <w:pPr>
              <w:pStyle w:val="71"/>
              <w:spacing w:before="24" w:after="24"/>
              <w:rPr>
                <w:rFonts w:cs="Times New Roman"/>
              </w:rPr>
            </w:pPr>
            <w:r>
              <w:rPr>
                <w:rFonts w:cs="Times New Roman"/>
              </w:rPr>
              <w:t>255，0，255</w:t>
            </w:r>
          </w:p>
        </w:tc>
        <w:tc>
          <w:tcPr>
            <w:tcW w:w="1806" w:type="dxa"/>
            <w:vAlign w:val="center"/>
          </w:tcPr>
          <w:p w14:paraId="2F390E1B">
            <w:pPr>
              <w:pStyle w:val="71"/>
              <w:spacing w:before="24" w:after="24"/>
              <w:rPr>
                <w:rFonts w:cs="Times New Roman"/>
              </w:rPr>
            </w:pPr>
          </w:p>
        </w:tc>
      </w:tr>
      <w:tr w14:paraId="114D0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16DA9762">
            <w:pPr>
              <w:pStyle w:val="71"/>
              <w:spacing w:before="24" w:after="24"/>
              <w:rPr>
                <w:rFonts w:cs="Times New Roman"/>
              </w:rPr>
            </w:pPr>
            <w:r>
              <w:rPr>
                <w:rFonts w:cs="Times New Roman"/>
              </w:rPr>
              <w:t>采暖回水管</w:t>
            </w:r>
          </w:p>
        </w:tc>
        <w:tc>
          <w:tcPr>
            <w:tcW w:w="2251" w:type="dxa"/>
            <w:shd w:val="clear" w:color="auto" w:fill="990099"/>
            <w:vAlign w:val="center"/>
          </w:tcPr>
          <w:p w14:paraId="5AEE36A8">
            <w:pPr>
              <w:pStyle w:val="71"/>
              <w:spacing w:before="24" w:after="24"/>
              <w:rPr>
                <w:rFonts w:cs="Times New Roman"/>
              </w:rPr>
            </w:pPr>
          </w:p>
        </w:tc>
        <w:tc>
          <w:tcPr>
            <w:tcW w:w="2126" w:type="dxa"/>
            <w:vAlign w:val="center"/>
          </w:tcPr>
          <w:p w14:paraId="7FB3C3BD">
            <w:pPr>
              <w:pStyle w:val="71"/>
              <w:spacing w:before="24" w:after="24"/>
              <w:rPr>
                <w:rFonts w:cs="Times New Roman"/>
              </w:rPr>
            </w:pPr>
            <w:r>
              <w:rPr>
                <w:rFonts w:cs="Times New Roman"/>
              </w:rPr>
              <w:t>153，0，153</w:t>
            </w:r>
          </w:p>
        </w:tc>
        <w:tc>
          <w:tcPr>
            <w:tcW w:w="1806" w:type="dxa"/>
            <w:vAlign w:val="center"/>
          </w:tcPr>
          <w:p w14:paraId="2E691B67">
            <w:pPr>
              <w:pStyle w:val="71"/>
              <w:spacing w:before="24" w:after="24"/>
              <w:rPr>
                <w:rFonts w:cs="Times New Roman"/>
              </w:rPr>
            </w:pPr>
          </w:p>
        </w:tc>
      </w:tr>
      <w:tr w14:paraId="48145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54217F3C">
            <w:pPr>
              <w:pStyle w:val="71"/>
              <w:spacing w:before="24" w:after="24"/>
              <w:rPr>
                <w:rFonts w:cs="Times New Roman"/>
              </w:rPr>
            </w:pPr>
            <w:r>
              <w:rPr>
                <w:rFonts w:cs="Times New Roman"/>
              </w:rPr>
              <w:t>地热盘管</w:t>
            </w:r>
          </w:p>
        </w:tc>
        <w:tc>
          <w:tcPr>
            <w:tcW w:w="2251" w:type="dxa"/>
            <w:shd w:val="clear" w:color="auto" w:fill="FF0000"/>
            <w:vAlign w:val="center"/>
          </w:tcPr>
          <w:p w14:paraId="241B1191">
            <w:pPr>
              <w:pStyle w:val="71"/>
              <w:spacing w:before="24" w:after="24"/>
              <w:rPr>
                <w:rFonts w:cs="Times New Roman"/>
              </w:rPr>
            </w:pPr>
          </w:p>
        </w:tc>
        <w:tc>
          <w:tcPr>
            <w:tcW w:w="2126" w:type="dxa"/>
            <w:vAlign w:val="center"/>
          </w:tcPr>
          <w:p w14:paraId="3D7DA950">
            <w:pPr>
              <w:pStyle w:val="71"/>
              <w:spacing w:before="24" w:after="24"/>
              <w:rPr>
                <w:rFonts w:cs="Times New Roman"/>
              </w:rPr>
            </w:pPr>
            <w:r>
              <w:rPr>
                <w:rFonts w:cs="Times New Roman"/>
              </w:rPr>
              <w:t>255，0，0</w:t>
            </w:r>
          </w:p>
        </w:tc>
        <w:tc>
          <w:tcPr>
            <w:tcW w:w="1806" w:type="dxa"/>
            <w:vAlign w:val="center"/>
          </w:tcPr>
          <w:p w14:paraId="18D54066">
            <w:pPr>
              <w:pStyle w:val="71"/>
              <w:spacing w:before="24" w:after="24"/>
              <w:rPr>
                <w:rFonts w:cs="Times New Roman"/>
              </w:rPr>
            </w:pPr>
          </w:p>
        </w:tc>
      </w:tr>
      <w:tr w14:paraId="65319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4F53F1AF">
            <w:pPr>
              <w:pStyle w:val="71"/>
              <w:spacing w:before="24" w:after="24"/>
              <w:rPr>
                <w:rFonts w:cs="Times New Roman"/>
              </w:rPr>
            </w:pPr>
            <w:r>
              <w:rPr>
                <w:rFonts w:cs="Times New Roman"/>
              </w:rPr>
              <w:t>蒸汽管</w:t>
            </w:r>
          </w:p>
        </w:tc>
        <w:tc>
          <w:tcPr>
            <w:tcW w:w="2251" w:type="dxa"/>
            <w:shd w:val="clear" w:color="auto" w:fill="00FFFF"/>
            <w:vAlign w:val="center"/>
          </w:tcPr>
          <w:p w14:paraId="626BAB47">
            <w:pPr>
              <w:pStyle w:val="71"/>
              <w:spacing w:before="24" w:after="24"/>
              <w:rPr>
                <w:rFonts w:cs="Times New Roman"/>
              </w:rPr>
            </w:pPr>
          </w:p>
        </w:tc>
        <w:tc>
          <w:tcPr>
            <w:tcW w:w="2126" w:type="dxa"/>
            <w:vAlign w:val="center"/>
          </w:tcPr>
          <w:p w14:paraId="5796A16D">
            <w:pPr>
              <w:pStyle w:val="71"/>
              <w:spacing w:before="24" w:after="24"/>
              <w:rPr>
                <w:rFonts w:cs="Times New Roman"/>
              </w:rPr>
            </w:pPr>
            <w:r>
              <w:rPr>
                <w:rFonts w:cs="Times New Roman"/>
              </w:rPr>
              <w:t>0，255，255</w:t>
            </w:r>
          </w:p>
        </w:tc>
        <w:tc>
          <w:tcPr>
            <w:tcW w:w="1806" w:type="dxa"/>
            <w:vAlign w:val="center"/>
          </w:tcPr>
          <w:p w14:paraId="48BBBC3F">
            <w:pPr>
              <w:pStyle w:val="71"/>
              <w:spacing w:before="24" w:after="24"/>
              <w:rPr>
                <w:rFonts w:cs="Times New Roman"/>
              </w:rPr>
            </w:pPr>
          </w:p>
        </w:tc>
      </w:tr>
      <w:tr w14:paraId="0A91F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3B16E7BE">
            <w:pPr>
              <w:pStyle w:val="71"/>
              <w:spacing w:before="24" w:after="24"/>
              <w:rPr>
                <w:rFonts w:cs="Times New Roman"/>
              </w:rPr>
            </w:pPr>
            <w:r>
              <w:rPr>
                <w:rFonts w:cs="Times New Roman"/>
              </w:rPr>
              <w:t>补水管/膨胀水管</w:t>
            </w:r>
          </w:p>
        </w:tc>
        <w:tc>
          <w:tcPr>
            <w:tcW w:w="2251" w:type="dxa"/>
            <w:shd w:val="clear" w:color="auto" w:fill="FFFF00"/>
            <w:vAlign w:val="center"/>
          </w:tcPr>
          <w:p w14:paraId="78C53491">
            <w:pPr>
              <w:pStyle w:val="71"/>
              <w:spacing w:before="24" w:after="24"/>
              <w:rPr>
                <w:rFonts w:cs="Times New Roman"/>
              </w:rPr>
            </w:pPr>
          </w:p>
        </w:tc>
        <w:tc>
          <w:tcPr>
            <w:tcW w:w="2126" w:type="dxa"/>
            <w:vAlign w:val="center"/>
          </w:tcPr>
          <w:p w14:paraId="407EA8FE">
            <w:pPr>
              <w:pStyle w:val="71"/>
              <w:spacing w:before="24" w:after="24"/>
              <w:rPr>
                <w:rFonts w:cs="Times New Roman"/>
              </w:rPr>
            </w:pPr>
            <w:r>
              <w:rPr>
                <w:rFonts w:cs="Times New Roman"/>
              </w:rPr>
              <w:t>255，255，0</w:t>
            </w:r>
          </w:p>
        </w:tc>
        <w:tc>
          <w:tcPr>
            <w:tcW w:w="1806" w:type="dxa"/>
            <w:vAlign w:val="center"/>
          </w:tcPr>
          <w:p w14:paraId="5625FE1A">
            <w:pPr>
              <w:pStyle w:val="71"/>
              <w:spacing w:before="24" w:after="24"/>
              <w:rPr>
                <w:rFonts w:cs="Times New Roman"/>
              </w:rPr>
            </w:pPr>
          </w:p>
        </w:tc>
      </w:tr>
      <w:tr w14:paraId="3C485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1E043D27">
            <w:pPr>
              <w:pStyle w:val="71"/>
              <w:spacing w:before="24" w:after="24"/>
              <w:rPr>
                <w:rFonts w:cs="Times New Roman"/>
              </w:rPr>
            </w:pPr>
            <w:r>
              <w:rPr>
                <w:rFonts w:cs="Times New Roman"/>
              </w:rPr>
              <w:t>燃气管</w:t>
            </w:r>
          </w:p>
        </w:tc>
        <w:tc>
          <w:tcPr>
            <w:tcW w:w="2251" w:type="dxa"/>
            <w:shd w:val="clear" w:color="auto" w:fill="FF00FF"/>
            <w:vAlign w:val="center"/>
          </w:tcPr>
          <w:p w14:paraId="23AABE9C">
            <w:pPr>
              <w:pStyle w:val="71"/>
              <w:spacing w:before="24" w:after="24"/>
              <w:rPr>
                <w:rFonts w:cs="Times New Roman"/>
              </w:rPr>
            </w:pPr>
          </w:p>
        </w:tc>
        <w:tc>
          <w:tcPr>
            <w:tcW w:w="2126" w:type="dxa"/>
            <w:vAlign w:val="center"/>
          </w:tcPr>
          <w:p w14:paraId="685F3E69">
            <w:pPr>
              <w:pStyle w:val="71"/>
              <w:spacing w:before="24" w:after="24"/>
              <w:rPr>
                <w:rFonts w:cs="Times New Roman"/>
              </w:rPr>
            </w:pPr>
            <w:r>
              <w:rPr>
                <w:rFonts w:cs="Times New Roman"/>
              </w:rPr>
              <w:t>255，0，255</w:t>
            </w:r>
          </w:p>
        </w:tc>
        <w:tc>
          <w:tcPr>
            <w:tcW w:w="1806" w:type="dxa"/>
            <w:vAlign w:val="center"/>
          </w:tcPr>
          <w:p w14:paraId="28EA36E2">
            <w:pPr>
              <w:pStyle w:val="71"/>
              <w:spacing w:before="24" w:after="24"/>
              <w:rPr>
                <w:rFonts w:cs="Times New Roman"/>
              </w:rPr>
            </w:pPr>
          </w:p>
        </w:tc>
      </w:tr>
      <w:tr w14:paraId="5571F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3E10107B">
            <w:pPr>
              <w:pStyle w:val="71"/>
              <w:spacing w:before="24" w:after="24"/>
              <w:rPr>
                <w:rFonts w:cs="Times New Roman"/>
              </w:rPr>
            </w:pPr>
            <w:r>
              <w:rPr>
                <w:rFonts w:cs="Times New Roman"/>
              </w:rPr>
              <w:t>强电桥架</w:t>
            </w:r>
          </w:p>
        </w:tc>
        <w:tc>
          <w:tcPr>
            <w:tcW w:w="2251" w:type="dxa"/>
            <w:shd w:val="clear" w:color="auto" w:fill="0000FF"/>
            <w:vAlign w:val="center"/>
          </w:tcPr>
          <w:p w14:paraId="09552052">
            <w:pPr>
              <w:pStyle w:val="71"/>
              <w:spacing w:before="24" w:after="24"/>
              <w:rPr>
                <w:rFonts w:cs="Times New Roman"/>
              </w:rPr>
            </w:pPr>
          </w:p>
        </w:tc>
        <w:tc>
          <w:tcPr>
            <w:tcW w:w="2126" w:type="dxa"/>
            <w:vAlign w:val="center"/>
          </w:tcPr>
          <w:p w14:paraId="21C590E7">
            <w:pPr>
              <w:pStyle w:val="71"/>
              <w:spacing w:before="24" w:after="24"/>
              <w:rPr>
                <w:rFonts w:cs="Times New Roman"/>
              </w:rPr>
            </w:pPr>
            <w:r>
              <w:rPr>
                <w:rFonts w:cs="Times New Roman"/>
              </w:rPr>
              <w:t>0，255，255</w:t>
            </w:r>
          </w:p>
        </w:tc>
        <w:tc>
          <w:tcPr>
            <w:tcW w:w="1806" w:type="dxa"/>
            <w:vAlign w:val="center"/>
          </w:tcPr>
          <w:p w14:paraId="3354C0B7">
            <w:pPr>
              <w:pStyle w:val="71"/>
              <w:spacing w:before="24" w:after="24"/>
              <w:rPr>
                <w:rFonts w:cs="Times New Roman"/>
              </w:rPr>
            </w:pPr>
          </w:p>
        </w:tc>
      </w:tr>
      <w:tr w14:paraId="3F939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10C2BC7A">
            <w:pPr>
              <w:pStyle w:val="71"/>
              <w:spacing w:before="24" w:after="24"/>
              <w:rPr>
                <w:rFonts w:cs="Times New Roman"/>
              </w:rPr>
            </w:pPr>
            <w:r>
              <w:rPr>
                <w:rFonts w:cs="Times New Roman"/>
              </w:rPr>
              <w:t>高压托盘</w:t>
            </w:r>
          </w:p>
        </w:tc>
        <w:tc>
          <w:tcPr>
            <w:tcW w:w="2251" w:type="dxa"/>
            <w:shd w:val="clear" w:color="auto" w:fill="BE0064"/>
            <w:vAlign w:val="center"/>
          </w:tcPr>
          <w:p w14:paraId="19C53F55">
            <w:pPr>
              <w:pStyle w:val="71"/>
              <w:spacing w:before="24" w:after="24"/>
              <w:rPr>
                <w:rFonts w:cs="Times New Roman"/>
              </w:rPr>
            </w:pPr>
          </w:p>
        </w:tc>
        <w:tc>
          <w:tcPr>
            <w:tcW w:w="2126" w:type="dxa"/>
            <w:vAlign w:val="center"/>
          </w:tcPr>
          <w:p w14:paraId="3F1B5D65">
            <w:pPr>
              <w:pStyle w:val="71"/>
              <w:spacing w:before="24" w:after="24"/>
              <w:rPr>
                <w:rFonts w:cs="Times New Roman"/>
              </w:rPr>
            </w:pPr>
            <w:r>
              <w:rPr>
                <w:rFonts w:cs="Times New Roman"/>
              </w:rPr>
              <w:t>190，0，100</w:t>
            </w:r>
          </w:p>
        </w:tc>
        <w:tc>
          <w:tcPr>
            <w:tcW w:w="1806" w:type="dxa"/>
            <w:vAlign w:val="center"/>
          </w:tcPr>
          <w:p w14:paraId="17DACA67">
            <w:pPr>
              <w:pStyle w:val="71"/>
              <w:spacing w:before="24" w:after="24"/>
              <w:rPr>
                <w:rFonts w:cs="Times New Roman"/>
              </w:rPr>
            </w:pPr>
          </w:p>
        </w:tc>
      </w:tr>
      <w:tr w14:paraId="009B9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1CC7EF8D">
            <w:pPr>
              <w:pStyle w:val="71"/>
              <w:spacing w:before="24" w:after="24"/>
              <w:rPr>
                <w:rFonts w:cs="Times New Roman"/>
              </w:rPr>
            </w:pPr>
            <w:r>
              <w:rPr>
                <w:rFonts w:cs="Times New Roman"/>
              </w:rPr>
              <w:t>低压托盘</w:t>
            </w:r>
          </w:p>
        </w:tc>
        <w:tc>
          <w:tcPr>
            <w:tcW w:w="2251" w:type="dxa"/>
            <w:shd w:val="clear" w:color="auto" w:fill="FA82BE"/>
            <w:vAlign w:val="center"/>
          </w:tcPr>
          <w:p w14:paraId="3D3DB470">
            <w:pPr>
              <w:pStyle w:val="71"/>
              <w:spacing w:before="24" w:after="24"/>
              <w:rPr>
                <w:rFonts w:cs="Times New Roman"/>
              </w:rPr>
            </w:pPr>
          </w:p>
        </w:tc>
        <w:tc>
          <w:tcPr>
            <w:tcW w:w="2126" w:type="dxa"/>
            <w:vAlign w:val="center"/>
          </w:tcPr>
          <w:p w14:paraId="033FF9B8">
            <w:pPr>
              <w:pStyle w:val="71"/>
              <w:spacing w:before="24" w:after="24"/>
              <w:rPr>
                <w:rFonts w:cs="Times New Roman"/>
              </w:rPr>
            </w:pPr>
            <w:r>
              <w:rPr>
                <w:rFonts w:cs="Times New Roman"/>
              </w:rPr>
              <w:t>250，130，190</w:t>
            </w:r>
          </w:p>
        </w:tc>
        <w:tc>
          <w:tcPr>
            <w:tcW w:w="1806" w:type="dxa"/>
            <w:vAlign w:val="center"/>
          </w:tcPr>
          <w:p w14:paraId="485BB0D4">
            <w:pPr>
              <w:pStyle w:val="71"/>
              <w:spacing w:before="24" w:after="24"/>
              <w:rPr>
                <w:rFonts w:cs="Times New Roman"/>
              </w:rPr>
            </w:pPr>
          </w:p>
        </w:tc>
      </w:tr>
      <w:tr w14:paraId="56C04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6CD25890">
            <w:pPr>
              <w:pStyle w:val="71"/>
              <w:spacing w:before="24" w:after="24"/>
              <w:rPr>
                <w:rFonts w:cs="Times New Roman"/>
              </w:rPr>
            </w:pPr>
            <w:r>
              <w:rPr>
                <w:rFonts w:cs="Times New Roman"/>
              </w:rPr>
              <w:t>照明桥架</w:t>
            </w:r>
          </w:p>
        </w:tc>
        <w:tc>
          <w:tcPr>
            <w:tcW w:w="2251" w:type="dxa"/>
            <w:shd w:val="clear" w:color="auto" w:fill="C8C89E"/>
            <w:vAlign w:val="center"/>
          </w:tcPr>
          <w:p w14:paraId="5C9C901C">
            <w:pPr>
              <w:pStyle w:val="71"/>
              <w:spacing w:before="24" w:after="24"/>
              <w:rPr>
                <w:rFonts w:cs="Times New Roman"/>
              </w:rPr>
            </w:pPr>
          </w:p>
        </w:tc>
        <w:tc>
          <w:tcPr>
            <w:tcW w:w="2126" w:type="dxa"/>
            <w:vAlign w:val="center"/>
          </w:tcPr>
          <w:p w14:paraId="7D517B07">
            <w:pPr>
              <w:pStyle w:val="71"/>
              <w:spacing w:before="24" w:after="24"/>
              <w:rPr>
                <w:rFonts w:cs="Times New Roman"/>
              </w:rPr>
            </w:pPr>
            <w:r>
              <w:rPr>
                <w:rFonts w:cs="Times New Roman"/>
              </w:rPr>
              <w:t>200，200，158</w:t>
            </w:r>
          </w:p>
        </w:tc>
        <w:tc>
          <w:tcPr>
            <w:tcW w:w="1806" w:type="dxa"/>
            <w:vAlign w:val="center"/>
          </w:tcPr>
          <w:p w14:paraId="39E9BB39">
            <w:pPr>
              <w:pStyle w:val="71"/>
              <w:spacing w:before="24" w:after="24"/>
              <w:rPr>
                <w:rFonts w:cs="Times New Roman"/>
              </w:rPr>
            </w:pPr>
          </w:p>
        </w:tc>
      </w:tr>
      <w:tr w14:paraId="1CDB4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2889139B">
            <w:pPr>
              <w:pStyle w:val="71"/>
              <w:spacing w:before="24" w:after="24"/>
              <w:rPr>
                <w:rFonts w:cs="Times New Roman"/>
              </w:rPr>
            </w:pPr>
            <w:r>
              <w:rPr>
                <w:rFonts w:cs="Times New Roman"/>
              </w:rPr>
              <w:t>母线托盘</w:t>
            </w:r>
          </w:p>
        </w:tc>
        <w:tc>
          <w:tcPr>
            <w:tcW w:w="2251" w:type="dxa"/>
            <w:shd w:val="clear" w:color="auto" w:fill="800080"/>
            <w:vAlign w:val="center"/>
          </w:tcPr>
          <w:p w14:paraId="2DC1ECEA">
            <w:pPr>
              <w:pStyle w:val="71"/>
              <w:spacing w:before="24" w:after="24"/>
              <w:rPr>
                <w:rFonts w:cs="Times New Roman"/>
              </w:rPr>
            </w:pPr>
          </w:p>
        </w:tc>
        <w:tc>
          <w:tcPr>
            <w:tcW w:w="2126" w:type="dxa"/>
            <w:vAlign w:val="center"/>
          </w:tcPr>
          <w:p w14:paraId="03AA8B0D">
            <w:pPr>
              <w:pStyle w:val="71"/>
              <w:spacing w:before="24" w:after="24"/>
              <w:rPr>
                <w:rFonts w:cs="Times New Roman"/>
              </w:rPr>
            </w:pPr>
            <w:r>
              <w:rPr>
                <w:rFonts w:cs="Times New Roman"/>
              </w:rPr>
              <w:t>128，0，128</w:t>
            </w:r>
          </w:p>
        </w:tc>
        <w:tc>
          <w:tcPr>
            <w:tcW w:w="1806" w:type="dxa"/>
            <w:vAlign w:val="center"/>
          </w:tcPr>
          <w:p w14:paraId="40A5347C">
            <w:pPr>
              <w:pStyle w:val="71"/>
              <w:spacing w:before="24" w:after="24"/>
              <w:rPr>
                <w:rFonts w:cs="Times New Roman"/>
              </w:rPr>
            </w:pPr>
          </w:p>
        </w:tc>
      </w:tr>
      <w:tr w14:paraId="36353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241ECA9D">
            <w:pPr>
              <w:pStyle w:val="71"/>
              <w:spacing w:before="24" w:after="24"/>
              <w:rPr>
                <w:rFonts w:cs="Times New Roman"/>
              </w:rPr>
            </w:pPr>
            <w:r>
              <w:rPr>
                <w:rFonts w:cs="Times New Roman"/>
              </w:rPr>
              <w:t>UPS电源/线槽</w:t>
            </w:r>
          </w:p>
        </w:tc>
        <w:tc>
          <w:tcPr>
            <w:tcW w:w="2251" w:type="dxa"/>
            <w:shd w:val="clear" w:color="auto" w:fill="FF00FF"/>
            <w:vAlign w:val="center"/>
          </w:tcPr>
          <w:p w14:paraId="4C4FB6F6">
            <w:pPr>
              <w:pStyle w:val="71"/>
              <w:spacing w:before="24" w:after="24"/>
              <w:rPr>
                <w:rFonts w:cs="Times New Roman"/>
              </w:rPr>
            </w:pPr>
          </w:p>
        </w:tc>
        <w:tc>
          <w:tcPr>
            <w:tcW w:w="2126" w:type="dxa"/>
            <w:vAlign w:val="center"/>
          </w:tcPr>
          <w:p w14:paraId="292AD19D">
            <w:pPr>
              <w:pStyle w:val="71"/>
              <w:spacing w:before="24" w:after="24"/>
              <w:rPr>
                <w:rFonts w:cs="Times New Roman"/>
              </w:rPr>
            </w:pPr>
            <w:r>
              <w:rPr>
                <w:rFonts w:cs="Times New Roman"/>
              </w:rPr>
              <w:t>255，0，255</w:t>
            </w:r>
          </w:p>
        </w:tc>
        <w:tc>
          <w:tcPr>
            <w:tcW w:w="1806" w:type="dxa"/>
            <w:vAlign w:val="center"/>
          </w:tcPr>
          <w:p w14:paraId="6AB82A22">
            <w:pPr>
              <w:pStyle w:val="71"/>
              <w:spacing w:before="24" w:after="24"/>
              <w:rPr>
                <w:rFonts w:cs="Times New Roman"/>
              </w:rPr>
            </w:pPr>
          </w:p>
        </w:tc>
      </w:tr>
      <w:tr w14:paraId="76D45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32F4C3E7">
            <w:pPr>
              <w:pStyle w:val="71"/>
              <w:spacing w:before="24" w:after="24"/>
              <w:rPr>
                <w:rFonts w:cs="Times New Roman"/>
              </w:rPr>
            </w:pPr>
            <w:r>
              <w:rPr>
                <w:rFonts w:cs="Times New Roman"/>
              </w:rPr>
              <w:t>弱电桥架</w:t>
            </w:r>
          </w:p>
        </w:tc>
        <w:tc>
          <w:tcPr>
            <w:tcW w:w="2251" w:type="dxa"/>
            <w:shd w:val="clear" w:color="auto" w:fill="408080"/>
            <w:vAlign w:val="center"/>
          </w:tcPr>
          <w:p w14:paraId="730C5041">
            <w:pPr>
              <w:pStyle w:val="71"/>
              <w:spacing w:before="24" w:after="24"/>
              <w:rPr>
                <w:rFonts w:cs="Times New Roman"/>
              </w:rPr>
            </w:pPr>
          </w:p>
        </w:tc>
        <w:tc>
          <w:tcPr>
            <w:tcW w:w="2126" w:type="dxa"/>
            <w:vAlign w:val="center"/>
          </w:tcPr>
          <w:p w14:paraId="3A6FB790">
            <w:pPr>
              <w:pStyle w:val="71"/>
              <w:spacing w:before="24" w:after="24"/>
              <w:rPr>
                <w:rFonts w:cs="Times New Roman"/>
              </w:rPr>
            </w:pPr>
            <w:r>
              <w:rPr>
                <w:rFonts w:cs="Times New Roman"/>
              </w:rPr>
              <w:t>64，128，128</w:t>
            </w:r>
          </w:p>
        </w:tc>
        <w:tc>
          <w:tcPr>
            <w:tcW w:w="1806" w:type="dxa"/>
            <w:vAlign w:val="center"/>
          </w:tcPr>
          <w:p w14:paraId="6AE1E328">
            <w:pPr>
              <w:pStyle w:val="71"/>
              <w:spacing w:before="24" w:after="24"/>
              <w:rPr>
                <w:rFonts w:cs="Times New Roman"/>
              </w:rPr>
            </w:pPr>
          </w:p>
        </w:tc>
      </w:tr>
      <w:tr w14:paraId="78A76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4B6E5064">
            <w:pPr>
              <w:pStyle w:val="71"/>
              <w:spacing w:before="24" w:after="24"/>
              <w:rPr>
                <w:rFonts w:cs="Times New Roman"/>
              </w:rPr>
            </w:pPr>
            <w:r>
              <w:rPr>
                <w:rFonts w:cs="Times New Roman"/>
              </w:rPr>
              <w:t>综合布线桥架</w:t>
            </w:r>
          </w:p>
        </w:tc>
        <w:tc>
          <w:tcPr>
            <w:tcW w:w="2251" w:type="dxa"/>
            <w:shd w:val="clear" w:color="auto" w:fill="FF8000"/>
            <w:vAlign w:val="center"/>
          </w:tcPr>
          <w:p w14:paraId="620EF0F4">
            <w:pPr>
              <w:pStyle w:val="71"/>
              <w:spacing w:before="24" w:after="24"/>
              <w:rPr>
                <w:rFonts w:cs="Times New Roman"/>
              </w:rPr>
            </w:pPr>
          </w:p>
        </w:tc>
        <w:tc>
          <w:tcPr>
            <w:tcW w:w="2126" w:type="dxa"/>
            <w:vAlign w:val="center"/>
          </w:tcPr>
          <w:p w14:paraId="723EBEAB">
            <w:pPr>
              <w:pStyle w:val="71"/>
              <w:spacing w:before="24" w:after="24"/>
              <w:rPr>
                <w:rFonts w:cs="Times New Roman"/>
              </w:rPr>
            </w:pPr>
            <w:r>
              <w:rPr>
                <w:rFonts w:cs="Times New Roman"/>
              </w:rPr>
              <w:t>255，128，0</w:t>
            </w:r>
          </w:p>
        </w:tc>
        <w:tc>
          <w:tcPr>
            <w:tcW w:w="1806" w:type="dxa"/>
            <w:vAlign w:val="center"/>
          </w:tcPr>
          <w:p w14:paraId="6C2593E4">
            <w:pPr>
              <w:pStyle w:val="71"/>
              <w:spacing w:before="24" w:after="24"/>
              <w:rPr>
                <w:rFonts w:cs="Times New Roman"/>
              </w:rPr>
            </w:pPr>
          </w:p>
        </w:tc>
      </w:tr>
      <w:tr w14:paraId="6C257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4A7589E2">
            <w:pPr>
              <w:pStyle w:val="71"/>
              <w:spacing w:before="24" w:after="24"/>
              <w:rPr>
                <w:rFonts w:cs="Times New Roman"/>
              </w:rPr>
            </w:pPr>
            <w:r>
              <w:rPr>
                <w:rFonts w:cs="Times New Roman"/>
              </w:rPr>
              <w:t>消防桥架</w:t>
            </w:r>
          </w:p>
        </w:tc>
        <w:tc>
          <w:tcPr>
            <w:tcW w:w="2251" w:type="dxa"/>
            <w:shd w:val="clear" w:color="auto" w:fill="1C80B4"/>
            <w:vAlign w:val="center"/>
          </w:tcPr>
          <w:p w14:paraId="1A378B2E">
            <w:pPr>
              <w:pStyle w:val="71"/>
              <w:spacing w:before="24" w:after="24"/>
              <w:rPr>
                <w:rFonts w:cs="Times New Roman"/>
              </w:rPr>
            </w:pPr>
          </w:p>
        </w:tc>
        <w:tc>
          <w:tcPr>
            <w:tcW w:w="2126" w:type="dxa"/>
            <w:vAlign w:val="center"/>
          </w:tcPr>
          <w:p w14:paraId="5FE322A6">
            <w:pPr>
              <w:pStyle w:val="71"/>
              <w:spacing w:before="24" w:after="24"/>
              <w:rPr>
                <w:rFonts w:cs="Times New Roman"/>
              </w:rPr>
            </w:pPr>
            <w:r>
              <w:rPr>
                <w:rFonts w:cs="Times New Roman"/>
              </w:rPr>
              <w:t>28，128，180</w:t>
            </w:r>
          </w:p>
        </w:tc>
        <w:tc>
          <w:tcPr>
            <w:tcW w:w="1806" w:type="dxa"/>
            <w:vAlign w:val="center"/>
          </w:tcPr>
          <w:p w14:paraId="27B52A53">
            <w:pPr>
              <w:pStyle w:val="71"/>
              <w:spacing w:before="24" w:after="24"/>
              <w:rPr>
                <w:rFonts w:cs="Times New Roman"/>
              </w:rPr>
            </w:pPr>
          </w:p>
        </w:tc>
      </w:tr>
      <w:tr w14:paraId="61A9F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74E61E8F">
            <w:pPr>
              <w:pStyle w:val="71"/>
              <w:spacing w:before="24" w:after="24"/>
              <w:rPr>
                <w:rFonts w:cs="Times New Roman"/>
              </w:rPr>
            </w:pPr>
            <w:r>
              <w:rPr>
                <w:rFonts w:cs="Times New Roman"/>
              </w:rPr>
              <w:t>铜缆线槽</w:t>
            </w:r>
          </w:p>
        </w:tc>
        <w:tc>
          <w:tcPr>
            <w:tcW w:w="2251" w:type="dxa"/>
            <w:shd w:val="clear" w:color="auto" w:fill="FFDF7F"/>
            <w:vAlign w:val="center"/>
          </w:tcPr>
          <w:p w14:paraId="3B2F446B">
            <w:pPr>
              <w:pStyle w:val="71"/>
              <w:spacing w:before="24" w:after="24"/>
              <w:rPr>
                <w:rFonts w:cs="Times New Roman"/>
              </w:rPr>
            </w:pPr>
          </w:p>
        </w:tc>
        <w:tc>
          <w:tcPr>
            <w:tcW w:w="2126" w:type="dxa"/>
            <w:vAlign w:val="center"/>
          </w:tcPr>
          <w:p w14:paraId="1F608913">
            <w:pPr>
              <w:pStyle w:val="71"/>
              <w:spacing w:before="24" w:after="24"/>
              <w:rPr>
                <w:rFonts w:cs="Times New Roman"/>
              </w:rPr>
            </w:pPr>
            <w:r>
              <w:rPr>
                <w:rFonts w:cs="Times New Roman"/>
              </w:rPr>
              <w:t>255，223，127</w:t>
            </w:r>
          </w:p>
        </w:tc>
        <w:tc>
          <w:tcPr>
            <w:tcW w:w="1806" w:type="dxa"/>
            <w:vAlign w:val="center"/>
          </w:tcPr>
          <w:p w14:paraId="55776D53">
            <w:pPr>
              <w:pStyle w:val="71"/>
              <w:spacing w:before="24" w:after="24"/>
              <w:rPr>
                <w:rFonts w:cs="Times New Roman"/>
              </w:rPr>
            </w:pPr>
          </w:p>
        </w:tc>
      </w:tr>
      <w:tr w14:paraId="5F39C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2581" w:type="dxa"/>
            <w:vAlign w:val="center"/>
          </w:tcPr>
          <w:p w14:paraId="508F5840">
            <w:pPr>
              <w:pStyle w:val="71"/>
              <w:spacing w:before="24" w:after="24"/>
              <w:rPr>
                <w:rFonts w:cs="Times New Roman"/>
              </w:rPr>
            </w:pPr>
            <w:r>
              <w:rPr>
                <w:rFonts w:cs="Times New Roman"/>
              </w:rPr>
              <w:t>光缆线槽</w:t>
            </w:r>
          </w:p>
        </w:tc>
        <w:tc>
          <w:tcPr>
            <w:tcW w:w="2251" w:type="dxa"/>
            <w:shd w:val="clear" w:color="auto" w:fill="00FFFF"/>
            <w:vAlign w:val="center"/>
          </w:tcPr>
          <w:p w14:paraId="26397621">
            <w:pPr>
              <w:pStyle w:val="71"/>
              <w:spacing w:before="24" w:after="24"/>
              <w:rPr>
                <w:rFonts w:cs="Times New Roman"/>
              </w:rPr>
            </w:pPr>
          </w:p>
        </w:tc>
        <w:tc>
          <w:tcPr>
            <w:tcW w:w="2126" w:type="dxa"/>
            <w:vAlign w:val="center"/>
          </w:tcPr>
          <w:p w14:paraId="05759287">
            <w:pPr>
              <w:pStyle w:val="71"/>
              <w:spacing w:before="24" w:after="24"/>
              <w:rPr>
                <w:rFonts w:cs="Times New Roman"/>
              </w:rPr>
            </w:pPr>
            <w:r>
              <w:rPr>
                <w:rFonts w:cs="Times New Roman"/>
              </w:rPr>
              <w:t>0，255，255</w:t>
            </w:r>
          </w:p>
        </w:tc>
        <w:tc>
          <w:tcPr>
            <w:tcW w:w="1806" w:type="dxa"/>
            <w:vAlign w:val="center"/>
          </w:tcPr>
          <w:p w14:paraId="0A8303E9">
            <w:pPr>
              <w:pStyle w:val="71"/>
              <w:spacing w:before="24" w:after="24"/>
              <w:rPr>
                <w:rFonts w:cs="Times New Roman"/>
              </w:rPr>
            </w:pPr>
          </w:p>
        </w:tc>
      </w:tr>
    </w:tbl>
    <w:p w14:paraId="462DBDAE">
      <w:pPr>
        <w:pStyle w:val="54"/>
        <w:spacing w:before="24" w:after="24"/>
      </w:pPr>
      <w:r>
        <w:t>（5）模型精细度（LOD）</w:t>
      </w:r>
    </w:p>
    <w:p w14:paraId="63D29D04">
      <w:pPr>
        <w:pStyle w:val="54"/>
        <w:spacing w:before="24" w:after="24"/>
      </w:pPr>
      <w:r>
        <w:t>各阶段模型精度要求须满足以下要求：</w:t>
      </w:r>
    </w:p>
    <w:p w14:paraId="21DE965F">
      <w:pPr>
        <w:pStyle w:val="54"/>
        <w:spacing w:before="24" w:after="24"/>
      </w:pPr>
      <w:r>
        <w:t>方案设计：LOD300，</w:t>
      </w:r>
    </w:p>
    <w:p w14:paraId="733B6DE9">
      <w:pPr>
        <w:pStyle w:val="54"/>
        <w:spacing w:before="24" w:after="24"/>
      </w:pPr>
      <w:r>
        <w:t>施工图设计：LOD400，</w:t>
      </w:r>
    </w:p>
    <w:p w14:paraId="49F474B6">
      <w:pPr>
        <w:pStyle w:val="54"/>
        <w:spacing w:before="24" w:after="24"/>
      </w:pPr>
      <w:r>
        <w:t>竣工交付：LOD500（含设备参数、运维信息），</w:t>
      </w:r>
    </w:p>
    <w:p w14:paraId="422E47B4">
      <w:pPr>
        <w:pStyle w:val="54"/>
        <w:spacing w:before="24" w:after="24"/>
      </w:pPr>
      <w:r>
        <w:t>各专业模型各阶段要求须满足以下要求：</w:t>
      </w:r>
    </w:p>
    <w:tbl>
      <w:tblPr>
        <w:tblStyle w:val="3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7"/>
        <w:gridCol w:w="2085"/>
        <w:gridCol w:w="2085"/>
        <w:gridCol w:w="2085"/>
        <w:gridCol w:w="2086"/>
      </w:tblGrid>
      <w:tr w14:paraId="2A721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51" w:type="dxa"/>
            <w:tcBorders>
              <w:top w:val="single" w:color="auto" w:sz="4" w:space="0"/>
              <w:left w:val="single" w:color="auto" w:sz="4" w:space="0"/>
              <w:bottom w:val="single" w:color="auto" w:sz="4" w:space="0"/>
              <w:right w:val="single" w:color="auto" w:sz="4" w:space="0"/>
            </w:tcBorders>
          </w:tcPr>
          <w:p w14:paraId="04819937">
            <w:pPr>
              <w:pStyle w:val="71"/>
              <w:spacing w:before="24" w:after="24"/>
              <w:rPr>
                <w:rFonts w:cs="Times New Roman"/>
              </w:rPr>
            </w:pPr>
            <w:r>
              <w:rPr>
                <w:rFonts w:cs="Times New Roman"/>
              </w:rPr>
              <w:t>专业</w:t>
            </w:r>
          </w:p>
        </w:tc>
        <w:tc>
          <w:tcPr>
            <w:tcW w:w="2119" w:type="dxa"/>
            <w:tcBorders>
              <w:top w:val="single" w:color="auto" w:sz="4" w:space="0"/>
              <w:left w:val="single" w:color="auto" w:sz="4" w:space="0"/>
              <w:bottom w:val="single" w:color="auto" w:sz="4" w:space="0"/>
              <w:right w:val="single" w:color="auto" w:sz="4" w:space="0"/>
            </w:tcBorders>
          </w:tcPr>
          <w:p w14:paraId="7ADF77C4">
            <w:pPr>
              <w:pStyle w:val="71"/>
              <w:spacing w:before="24" w:after="24"/>
              <w:rPr>
                <w:rFonts w:cs="Times New Roman"/>
              </w:rPr>
            </w:pPr>
            <w:r>
              <w:rPr>
                <w:rFonts w:cs="Times New Roman"/>
              </w:rPr>
              <w:t>方案设计模型</w:t>
            </w:r>
          </w:p>
        </w:tc>
        <w:tc>
          <w:tcPr>
            <w:tcW w:w="2119" w:type="dxa"/>
            <w:tcBorders>
              <w:top w:val="single" w:color="auto" w:sz="4" w:space="0"/>
              <w:left w:val="single" w:color="auto" w:sz="4" w:space="0"/>
              <w:bottom w:val="single" w:color="auto" w:sz="4" w:space="0"/>
              <w:right w:val="single" w:color="auto" w:sz="4" w:space="0"/>
            </w:tcBorders>
          </w:tcPr>
          <w:p w14:paraId="6A02A185">
            <w:pPr>
              <w:pStyle w:val="71"/>
              <w:spacing w:before="24" w:after="24"/>
              <w:rPr>
                <w:rFonts w:cs="Times New Roman"/>
              </w:rPr>
            </w:pPr>
            <w:r>
              <w:rPr>
                <w:rFonts w:cs="Times New Roman"/>
              </w:rPr>
              <w:t>施工图设计模型</w:t>
            </w:r>
          </w:p>
        </w:tc>
        <w:tc>
          <w:tcPr>
            <w:tcW w:w="2119" w:type="dxa"/>
            <w:tcBorders>
              <w:top w:val="single" w:color="auto" w:sz="4" w:space="0"/>
              <w:left w:val="single" w:color="auto" w:sz="4" w:space="0"/>
              <w:bottom w:val="single" w:color="auto" w:sz="4" w:space="0"/>
              <w:right w:val="single" w:color="auto" w:sz="4" w:space="0"/>
            </w:tcBorders>
          </w:tcPr>
          <w:p w14:paraId="01FB6D52">
            <w:pPr>
              <w:pStyle w:val="71"/>
              <w:spacing w:before="24" w:after="24"/>
              <w:rPr>
                <w:rFonts w:cs="Times New Roman"/>
              </w:rPr>
            </w:pPr>
            <w:r>
              <w:rPr>
                <w:rFonts w:cs="Times New Roman"/>
              </w:rPr>
              <w:t>竣工交付模型</w:t>
            </w:r>
          </w:p>
        </w:tc>
        <w:tc>
          <w:tcPr>
            <w:tcW w:w="2121" w:type="dxa"/>
            <w:tcBorders>
              <w:top w:val="single" w:color="auto" w:sz="4" w:space="0"/>
              <w:left w:val="single" w:color="auto" w:sz="4" w:space="0"/>
              <w:bottom w:val="single" w:color="auto" w:sz="4" w:space="0"/>
              <w:right w:val="single" w:color="auto" w:sz="4" w:space="0"/>
            </w:tcBorders>
          </w:tcPr>
          <w:p w14:paraId="259D9BE3">
            <w:pPr>
              <w:pStyle w:val="71"/>
              <w:spacing w:before="24" w:after="24"/>
              <w:rPr>
                <w:rFonts w:cs="Times New Roman"/>
              </w:rPr>
            </w:pPr>
            <w:r>
              <w:rPr>
                <w:rFonts w:cs="Times New Roman"/>
              </w:rPr>
              <w:t>运维模型</w:t>
            </w:r>
          </w:p>
        </w:tc>
      </w:tr>
      <w:tr w14:paraId="5A43B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tcBorders>
              <w:top w:val="single" w:color="auto" w:sz="4" w:space="0"/>
              <w:left w:val="single" w:color="auto" w:sz="4" w:space="0"/>
              <w:bottom w:val="single" w:color="auto" w:sz="4" w:space="0"/>
              <w:right w:val="single" w:color="auto" w:sz="4" w:space="0"/>
            </w:tcBorders>
            <w:vAlign w:val="center"/>
          </w:tcPr>
          <w:p w14:paraId="75DCD910">
            <w:pPr>
              <w:pStyle w:val="71"/>
              <w:spacing w:before="24" w:after="24"/>
              <w:rPr>
                <w:rFonts w:cs="Times New Roman"/>
              </w:rPr>
            </w:pPr>
            <w:r>
              <w:rPr>
                <w:rFonts w:cs="Times New Roman"/>
              </w:rPr>
              <w:t>建筑</w:t>
            </w:r>
          </w:p>
        </w:tc>
        <w:tc>
          <w:tcPr>
            <w:tcW w:w="2119" w:type="dxa"/>
            <w:tcBorders>
              <w:top w:val="single" w:color="auto" w:sz="4" w:space="0"/>
              <w:left w:val="single" w:color="auto" w:sz="4" w:space="0"/>
              <w:bottom w:val="single" w:color="auto" w:sz="4" w:space="0"/>
              <w:right w:val="single" w:color="auto" w:sz="4" w:space="0"/>
            </w:tcBorders>
          </w:tcPr>
          <w:p w14:paraId="3480426F">
            <w:pPr>
              <w:pStyle w:val="71"/>
              <w:spacing w:before="24" w:after="24"/>
              <w:rPr>
                <w:rFonts w:cs="Times New Roman"/>
              </w:rPr>
            </w:pPr>
            <w:r>
              <w:rPr>
                <w:rFonts w:cs="Times New Roman"/>
              </w:rPr>
              <w:t>LOD300精度</w:t>
            </w:r>
          </w:p>
          <w:p w14:paraId="37816D79">
            <w:pPr>
              <w:pStyle w:val="71"/>
              <w:spacing w:before="24" w:after="24"/>
              <w:rPr>
                <w:rFonts w:cs="Times New Roman"/>
              </w:rPr>
            </w:pPr>
            <w:r>
              <w:rPr>
                <w:rFonts w:cs="Times New Roman"/>
              </w:rPr>
              <w:t>反映构件的控制尺寸、形状、位置。</w:t>
            </w:r>
          </w:p>
        </w:tc>
        <w:tc>
          <w:tcPr>
            <w:tcW w:w="2119" w:type="dxa"/>
            <w:tcBorders>
              <w:top w:val="single" w:color="auto" w:sz="4" w:space="0"/>
              <w:left w:val="single" w:color="auto" w:sz="4" w:space="0"/>
              <w:bottom w:val="single" w:color="auto" w:sz="4" w:space="0"/>
              <w:right w:val="single" w:color="auto" w:sz="4" w:space="0"/>
            </w:tcBorders>
          </w:tcPr>
          <w:p w14:paraId="7B5189EE">
            <w:pPr>
              <w:pStyle w:val="71"/>
              <w:spacing w:before="24" w:after="24"/>
              <w:rPr>
                <w:rFonts w:cs="Times New Roman"/>
              </w:rPr>
            </w:pPr>
            <w:r>
              <w:rPr>
                <w:rFonts w:cs="Times New Roman"/>
              </w:rPr>
              <w:t>LOD400精度</w:t>
            </w:r>
          </w:p>
          <w:p w14:paraId="02255A8A">
            <w:pPr>
              <w:pStyle w:val="71"/>
              <w:spacing w:before="24" w:after="24"/>
              <w:rPr>
                <w:rFonts w:cs="Times New Roman"/>
              </w:rPr>
            </w:pPr>
            <w:r>
              <w:rPr>
                <w:rFonts w:cs="Times New Roman"/>
              </w:rPr>
              <w:t>以完整的系统和组合反映构件的几何与非几何信息</w:t>
            </w:r>
          </w:p>
        </w:tc>
        <w:tc>
          <w:tcPr>
            <w:tcW w:w="2119" w:type="dxa"/>
            <w:tcBorders>
              <w:top w:val="single" w:color="auto" w:sz="4" w:space="0"/>
              <w:left w:val="single" w:color="auto" w:sz="4" w:space="0"/>
              <w:bottom w:val="single" w:color="auto" w:sz="4" w:space="0"/>
              <w:right w:val="single" w:color="auto" w:sz="4" w:space="0"/>
            </w:tcBorders>
          </w:tcPr>
          <w:p w14:paraId="6E0F02F9">
            <w:pPr>
              <w:pStyle w:val="71"/>
              <w:spacing w:before="24" w:after="24"/>
              <w:rPr>
                <w:rFonts w:cs="Times New Roman"/>
              </w:rPr>
            </w:pPr>
            <w:r>
              <w:rPr>
                <w:rFonts w:cs="Times New Roman"/>
              </w:rPr>
              <w:t>LOD500精度</w:t>
            </w:r>
          </w:p>
          <w:p w14:paraId="50F1F60E">
            <w:pPr>
              <w:pStyle w:val="71"/>
              <w:spacing w:before="24" w:after="24"/>
              <w:rPr>
                <w:rFonts w:cs="Times New Roman"/>
              </w:rPr>
            </w:pPr>
            <w:r>
              <w:rPr>
                <w:rFonts w:cs="Times New Roman"/>
              </w:rPr>
              <w:t>具备与现场实施完成一致的模型。</w:t>
            </w:r>
          </w:p>
        </w:tc>
        <w:tc>
          <w:tcPr>
            <w:tcW w:w="2121" w:type="dxa"/>
            <w:tcBorders>
              <w:top w:val="single" w:color="auto" w:sz="4" w:space="0"/>
              <w:left w:val="single" w:color="auto" w:sz="4" w:space="0"/>
              <w:bottom w:val="single" w:color="auto" w:sz="4" w:space="0"/>
              <w:right w:val="single" w:color="auto" w:sz="4" w:space="0"/>
            </w:tcBorders>
          </w:tcPr>
          <w:p w14:paraId="6D7961B5">
            <w:pPr>
              <w:pStyle w:val="71"/>
              <w:spacing w:before="24" w:after="24"/>
              <w:rPr>
                <w:rFonts w:cs="Times New Roman"/>
              </w:rPr>
            </w:pPr>
            <w:r>
              <w:rPr>
                <w:rFonts w:cs="Times New Roman"/>
              </w:rPr>
              <w:t>LOD500精度</w:t>
            </w:r>
          </w:p>
          <w:p w14:paraId="64A648CC">
            <w:pPr>
              <w:pStyle w:val="71"/>
              <w:spacing w:before="24" w:after="24"/>
              <w:rPr>
                <w:rFonts w:cs="Times New Roman"/>
              </w:rPr>
            </w:pPr>
            <w:r>
              <w:rPr>
                <w:rFonts w:cs="Times New Roman"/>
              </w:rPr>
              <w:t>具备与现场实施一致，且包含建筑物的运营维护必要信息的模型</w:t>
            </w:r>
          </w:p>
        </w:tc>
      </w:tr>
      <w:tr w14:paraId="439BC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tcBorders>
              <w:top w:val="single" w:color="auto" w:sz="4" w:space="0"/>
              <w:left w:val="single" w:color="auto" w:sz="4" w:space="0"/>
              <w:bottom w:val="single" w:color="auto" w:sz="4" w:space="0"/>
              <w:right w:val="single" w:color="auto" w:sz="4" w:space="0"/>
            </w:tcBorders>
            <w:vAlign w:val="center"/>
          </w:tcPr>
          <w:p w14:paraId="72E7E563">
            <w:pPr>
              <w:pStyle w:val="71"/>
              <w:spacing w:before="24" w:after="24"/>
              <w:rPr>
                <w:rFonts w:cs="Times New Roman"/>
              </w:rPr>
            </w:pPr>
            <w:r>
              <w:rPr>
                <w:rFonts w:cs="Times New Roman"/>
              </w:rPr>
              <w:t>结构</w:t>
            </w:r>
          </w:p>
        </w:tc>
        <w:tc>
          <w:tcPr>
            <w:tcW w:w="2119" w:type="dxa"/>
            <w:tcBorders>
              <w:top w:val="single" w:color="auto" w:sz="4" w:space="0"/>
              <w:left w:val="single" w:color="auto" w:sz="4" w:space="0"/>
              <w:bottom w:val="single" w:color="auto" w:sz="4" w:space="0"/>
              <w:right w:val="single" w:color="auto" w:sz="4" w:space="0"/>
            </w:tcBorders>
          </w:tcPr>
          <w:p w14:paraId="4558019F">
            <w:pPr>
              <w:pStyle w:val="71"/>
              <w:spacing w:before="24" w:after="24"/>
              <w:rPr>
                <w:rFonts w:cs="Times New Roman"/>
              </w:rPr>
            </w:pPr>
            <w:r>
              <w:rPr>
                <w:rFonts w:cs="Times New Roman"/>
              </w:rPr>
              <w:t>LOD300精度</w:t>
            </w:r>
          </w:p>
          <w:p w14:paraId="5C4317F0">
            <w:pPr>
              <w:pStyle w:val="71"/>
              <w:spacing w:before="24" w:after="24"/>
              <w:rPr>
                <w:rFonts w:cs="Times New Roman"/>
              </w:rPr>
            </w:pPr>
            <w:r>
              <w:rPr>
                <w:rFonts w:cs="Times New Roman"/>
              </w:rPr>
              <w:t>反映构件的控制尺寸、形状、位置。</w:t>
            </w:r>
          </w:p>
        </w:tc>
        <w:tc>
          <w:tcPr>
            <w:tcW w:w="2119" w:type="dxa"/>
            <w:tcBorders>
              <w:top w:val="single" w:color="auto" w:sz="4" w:space="0"/>
              <w:left w:val="single" w:color="auto" w:sz="4" w:space="0"/>
              <w:bottom w:val="single" w:color="auto" w:sz="4" w:space="0"/>
              <w:right w:val="single" w:color="auto" w:sz="4" w:space="0"/>
            </w:tcBorders>
          </w:tcPr>
          <w:p w14:paraId="14FA309A">
            <w:pPr>
              <w:pStyle w:val="71"/>
              <w:spacing w:before="24" w:after="24"/>
              <w:rPr>
                <w:rFonts w:cs="Times New Roman"/>
              </w:rPr>
            </w:pPr>
            <w:r>
              <w:rPr>
                <w:rFonts w:cs="Times New Roman"/>
              </w:rPr>
              <w:t>LOD400精度</w:t>
            </w:r>
          </w:p>
          <w:p w14:paraId="5D273253">
            <w:pPr>
              <w:pStyle w:val="71"/>
              <w:spacing w:before="24" w:after="24"/>
              <w:rPr>
                <w:rFonts w:cs="Times New Roman"/>
              </w:rPr>
            </w:pPr>
            <w:r>
              <w:rPr>
                <w:rFonts w:cs="Times New Roman"/>
              </w:rPr>
              <w:t>以完整的系统和组合反映构件的几何与非几何信息</w:t>
            </w:r>
          </w:p>
        </w:tc>
        <w:tc>
          <w:tcPr>
            <w:tcW w:w="2119" w:type="dxa"/>
            <w:tcBorders>
              <w:top w:val="single" w:color="auto" w:sz="4" w:space="0"/>
              <w:left w:val="single" w:color="auto" w:sz="4" w:space="0"/>
              <w:bottom w:val="single" w:color="auto" w:sz="4" w:space="0"/>
              <w:right w:val="single" w:color="auto" w:sz="4" w:space="0"/>
            </w:tcBorders>
          </w:tcPr>
          <w:p w14:paraId="43C284B3">
            <w:pPr>
              <w:pStyle w:val="71"/>
              <w:spacing w:before="24" w:after="24"/>
              <w:rPr>
                <w:rFonts w:cs="Times New Roman"/>
              </w:rPr>
            </w:pPr>
            <w:r>
              <w:rPr>
                <w:rFonts w:cs="Times New Roman"/>
              </w:rPr>
              <w:t>LOD500精度</w:t>
            </w:r>
          </w:p>
          <w:p w14:paraId="1869AC1C">
            <w:pPr>
              <w:pStyle w:val="71"/>
              <w:spacing w:before="24" w:after="24"/>
              <w:rPr>
                <w:rFonts w:cs="Times New Roman"/>
              </w:rPr>
            </w:pPr>
            <w:r>
              <w:rPr>
                <w:rFonts w:cs="Times New Roman"/>
              </w:rPr>
              <w:t>具备与现场实施完成一致的模型。</w:t>
            </w:r>
          </w:p>
        </w:tc>
        <w:tc>
          <w:tcPr>
            <w:tcW w:w="2121" w:type="dxa"/>
            <w:tcBorders>
              <w:top w:val="single" w:color="auto" w:sz="4" w:space="0"/>
              <w:left w:val="single" w:color="auto" w:sz="4" w:space="0"/>
              <w:bottom w:val="single" w:color="auto" w:sz="4" w:space="0"/>
              <w:right w:val="single" w:color="auto" w:sz="4" w:space="0"/>
            </w:tcBorders>
          </w:tcPr>
          <w:p w14:paraId="28FC62EC">
            <w:pPr>
              <w:pStyle w:val="71"/>
              <w:spacing w:before="24" w:after="24"/>
              <w:rPr>
                <w:rFonts w:cs="Times New Roman"/>
              </w:rPr>
            </w:pPr>
            <w:r>
              <w:rPr>
                <w:rFonts w:cs="Times New Roman"/>
              </w:rPr>
              <w:t>LOD500精度</w:t>
            </w:r>
          </w:p>
          <w:p w14:paraId="756BCCC6">
            <w:pPr>
              <w:pStyle w:val="71"/>
              <w:spacing w:before="24" w:after="24"/>
              <w:rPr>
                <w:rFonts w:cs="Times New Roman"/>
              </w:rPr>
            </w:pPr>
            <w:r>
              <w:rPr>
                <w:rFonts w:cs="Times New Roman"/>
              </w:rPr>
              <w:t>具备与现场实施一致，且包含建筑物的运营维护必要信息的模型</w:t>
            </w:r>
          </w:p>
        </w:tc>
      </w:tr>
      <w:tr w14:paraId="1CAEF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tcBorders>
              <w:top w:val="single" w:color="auto" w:sz="4" w:space="0"/>
              <w:left w:val="single" w:color="auto" w:sz="4" w:space="0"/>
              <w:bottom w:val="single" w:color="auto" w:sz="4" w:space="0"/>
              <w:right w:val="single" w:color="auto" w:sz="4" w:space="0"/>
            </w:tcBorders>
            <w:vAlign w:val="center"/>
          </w:tcPr>
          <w:p w14:paraId="4B482770">
            <w:pPr>
              <w:pStyle w:val="71"/>
              <w:spacing w:before="24" w:after="24"/>
              <w:rPr>
                <w:rFonts w:cs="Times New Roman"/>
              </w:rPr>
            </w:pPr>
            <w:r>
              <w:rPr>
                <w:rFonts w:cs="Times New Roman"/>
              </w:rPr>
              <w:t>给排水</w:t>
            </w:r>
          </w:p>
        </w:tc>
        <w:tc>
          <w:tcPr>
            <w:tcW w:w="2119" w:type="dxa"/>
            <w:tcBorders>
              <w:top w:val="single" w:color="auto" w:sz="4" w:space="0"/>
              <w:left w:val="single" w:color="auto" w:sz="4" w:space="0"/>
              <w:bottom w:val="single" w:color="auto" w:sz="4" w:space="0"/>
              <w:right w:val="single" w:color="auto" w:sz="4" w:space="0"/>
            </w:tcBorders>
          </w:tcPr>
          <w:p w14:paraId="2A1DDE3D">
            <w:pPr>
              <w:pStyle w:val="71"/>
              <w:spacing w:before="24" w:after="24"/>
              <w:rPr>
                <w:rFonts w:cs="Times New Roman"/>
              </w:rPr>
            </w:pPr>
            <w:r>
              <w:rPr>
                <w:rFonts w:cs="Times New Roman"/>
              </w:rPr>
              <w:t>LOD300精度</w:t>
            </w:r>
          </w:p>
          <w:p w14:paraId="56E388E0">
            <w:pPr>
              <w:pStyle w:val="71"/>
              <w:spacing w:before="24" w:after="24"/>
              <w:rPr>
                <w:rFonts w:cs="Times New Roman"/>
              </w:rPr>
            </w:pPr>
            <w:r>
              <w:rPr>
                <w:rFonts w:cs="Times New Roman"/>
              </w:rPr>
              <w:t>反映构件的控制尺寸、形状、位置。</w:t>
            </w:r>
          </w:p>
        </w:tc>
        <w:tc>
          <w:tcPr>
            <w:tcW w:w="2119" w:type="dxa"/>
            <w:tcBorders>
              <w:top w:val="single" w:color="auto" w:sz="4" w:space="0"/>
              <w:left w:val="single" w:color="auto" w:sz="4" w:space="0"/>
              <w:bottom w:val="single" w:color="auto" w:sz="4" w:space="0"/>
              <w:right w:val="single" w:color="auto" w:sz="4" w:space="0"/>
            </w:tcBorders>
          </w:tcPr>
          <w:p w14:paraId="7206D47C">
            <w:pPr>
              <w:pStyle w:val="71"/>
              <w:spacing w:before="24" w:after="24"/>
              <w:rPr>
                <w:rFonts w:cs="Times New Roman"/>
              </w:rPr>
            </w:pPr>
            <w:r>
              <w:rPr>
                <w:rFonts w:cs="Times New Roman"/>
              </w:rPr>
              <w:t>LOD400精度</w:t>
            </w:r>
          </w:p>
          <w:p w14:paraId="0B129475">
            <w:pPr>
              <w:pStyle w:val="71"/>
              <w:spacing w:before="24" w:after="24"/>
              <w:rPr>
                <w:rFonts w:cs="Times New Roman"/>
              </w:rPr>
            </w:pPr>
            <w:r>
              <w:rPr>
                <w:rFonts w:cs="Times New Roman"/>
              </w:rPr>
              <w:t>以完整的系统和组合反映构件的几何与非几何信息</w:t>
            </w:r>
          </w:p>
        </w:tc>
        <w:tc>
          <w:tcPr>
            <w:tcW w:w="2119" w:type="dxa"/>
            <w:tcBorders>
              <w:top w:val="single" w:color="auto" w:sz="4" w:space="0"/>
              <w:left w:val="single" w:color="auto" w:sz="4" w:space="0"/>
              <w:bottom w:val="single" w:color="auto" w:sz="4" w:space="0"/>
              <w:right w:val="single" w:color="auto" w:sz="4" w:space="0"/>
            </w:tcBorders>
          </w:tcPr>
          <w:p w14:paraId="62D60646">
            <w:pPr>
              <w:pStyle w:val="71"/>
              <w:spacing w:before="24" w:after="24"/>
              <w:rPr>
                <w:rFonts w:cs="Times New Roman"/>
              </w:rPr>
            </w:pPr>
            <w:r>
              <w:rPr>
                <w:rFonts w:cs="Times New Roman"/>
              </w:rPr>
              <w:t>LOD500精度</w:t>
            </w:r>
          </w:p>
          <w:p w14:paraId="47BB86FE">
            <w:pPr>
              <w:pStyle w:val="71"/>
              <w:spacing w:before="24" w:after="24"/>
              <w:rPr>
                <w:rFonts w:cs="Times New Roman"/>
              </w:rPr>
            </w:pPr>
            <w:r>
              <w:rPr>
                <w:rFonts w:cs="Times New Roman"/>
              </w:rPr>
              <w:t>具备与现场实施完成一致的模型。</w:t>
            </w:r>
          </w:p>
        </w:tc>
        <w:tc>
          <w:tcPr>
            <w:tcW w:w="2121" w:type="dxa"/>
            <w:tcBorders>
              <w:top w:val="single" w:color="auto" w:sz="4" w:space="0"/>
              <w:left w:val="single" w:color="auto" w:sz="4" w:space="0"/>
              <w:bottom w:val="single" w:color="auto" w:sz="4" w:space="0"/>
              <w:right w:val="single" w:color="auto" w:sz="4" w:space="0"/>
            </w:tcBorders>
          </w:tcPr>
          <w:p w14:paraId="003696C5">
            <w:pPr>
              <w:pStyle w:val="71"/>
              <w:spacing w:before="24" w:after="24"/>
              <w:rPr>
                <w:rFonts w:cs="Times New Roman"/>
              </w:rPr>
            </w:pPr>
            <w:r>
              <w:rPr>
                <w:rFonts w:cs="Times New Roman"/>
              </w:rPr>
              <w:t>LOD500精度</w:t>
            </w:r>
          </w:p>
          <w:p w14:paraId="4942A489">
            <w:pPr>
              <w:pStyle w:val="71"/>
              <w:spacing w:before="24" w:after="24"/>
              <w:rPr>
                <w:rFonts w:cs="Times New Roman"/>
              </w:rPr>
            </w:pPr>
            <w:r>
              <w:rPr>
                <w:rFonts w:cs="Times New Roman"/>
              </w:rPr>
              <w:t>具备与现场实施一致，且包含建筑物的运营维护必要信息的模型</w:t>
            </w:r>
          </w:p>
        </w:tc>
      </w:tr>
      <w:tr w14:paraId="564E5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tcBorders>
              <w:top w:val="single" w:color="auto" w:sz="4" w:space="0"/>
              <w:left w:val="single" w:color="auto" w:sz="4" w:space="0"/>
              <w:bottom w:val="single" w:color="auto" w:sz="4" w:space="0"/>
              <w:right w:val="single" w:color="auto" w:sz="4" w:space="0"/>
            </w:tcBorders>
            <w:vAlign w:val="center"/>
          </w:tcPr>
          <w:p w14:paraId="7E9E46E6">
            <w:pPr>
              <w:pStyle w:val="71"/>
              <w:spacing w:before="24" w:after="24"/>
              <w:rPr>
                <w:rFonts w:cs="Times New Roman"/>
              </w:rPr>
            </w:pPr>
            <w:r>
              <w:rPr>
                <w:rFonts w:cs="Times New Roman"/>
              </w:rPr>
              <w:t>电气</w:t>
            </w:r>
          </w:p>
        </w:tc>
        <w:tc>
          <w:tcPr>
            <w:tcW w:w="2119" w:type="dxa"/>
            <w:tcBorders>
              <w:top w:val="single" w:color="auto" w:sz="4" w:space="0"/>
              <w:left w:val="single" w:color="auto" w:sz="4" w:space="0"/>
              <w:bottom w:val="single" w:color="auto" w:sz="4" w:space="0"/>
              <w:right w:val="single" w:color="auto" w:sz="4" w:space="0"/>
            </w:tcBorders>
          </w:tcPr>
          <w:p w14:paraId="1912EBE7">
            <w:pPr>
              <w:pStyle w:val="71"/>
              <w:spacing w:before="24" w:after="24"/>
              <w:rPr>
                <w:rFonts w:cs="Times New Roman"/>
              </w:rPr>
            </w:pPr>
            <w:r>
              <w:rPr>
                <w:rFonts w:cs="Times New Roman"/>
              </w:rPr>
              <w:t>LOD300精度</w:t>
            </w:r>
          </w:p>
          <w:p w14:paraId="05F0CA9F">
            <w:pPr>
              <w:pStyle w:val="71"/>
              <w:spacing w:before="24" w:after="24"/>
              <w:rPr>
                <w:rFonts w:cs="Times New Roman"/>
              </w:rPr>
            </w:pPr>
            <w:r>
              <w:rPr>
                <w:rFonts w:cs="Times New Roman"/>
              </w:rPr>
              <w:t>反映构件的控制尺寸、形状、位置。</w:t>
            </w:r>
          </w:p>
        </w:tc>
        <w:tc>
          <w:tcPr>
            <w:tcW w:w="2119" w:type="dxa"/>
            <w:tcBorders>
              <w:top w:val="single" w:color="auto" w:sz="4" w:space="0"/>
              <w:left w:val="single" w:color="auto" w:sz="4" w:space="0"/>
              <w:bottom w:val="single" w:color="auto" w:sz="4" w:space="0"/>
              <w:right w:val="single" w:color="auto" w:sz="4" w:space="0"/>
            </w:tcBorders>
          </w:tcPr>
          <w:p w14:paraId="0199F71A">
            <w:pPr>
              <w:pStyle w:val="71"/>
              <w:spacing w:before="24" w:after="24"/>
              <w:rPr>
                <w:rFonts w:cs="Times New Roman"/>
              </w:rPr>
            </w:pPr>
            <w:r>
              <w:rPr>
                <w:rFonts w:cs="Times New Roman"/>
              </w:rPr>
              <w:t>LOD400精度</w:t>
            </w:r>
          </w:p>
          <w:p w14:paraId="0AA962E9">
            <w:pPr>
              <w:pStyle w:val="71"/>
              <w:spacing w:before="24" w:after="24"/>
              <w:rPr>
                <w:rFonts w:cs="Times New Roman"/>
              </w:rPr>
            </w:pPr>
            <w:r>
              <w:rPr>
                <w:rFonts w:cs="Times New Roman"/>
              </w:rPr>
              <w:t>以完整的系统和组合反映构件的几何与非几何信息</w:t>
            </w:r>
          </w:p>
        </w:tc>
        <w:tc>
          <w:tcPr>
            <w:tcW w:w="2119" w:type="dxa"/>
            <w:tcBorders>
              <w:top w:val="single" w:color="auto" w:sz="4" w:space="0"/>
              <w:left w:val="single" w:color="auto" w:sz="4" w:space="0"/>
              <w:bottom w:val="single" w:color="auto" w:sz="4" w:space="0"/>
              <w:right w:val="single" w:color="auto" w:sz="4" w:space="0"/>
            </w:tcBorders>
          </w:tcPr>
          <w:p w14:paraId="1F443C8B">
            <w:pPr>
              <w:pStyle w:val="71"/>
              <w:spacing w:before="24" w:after="24"/>
              <w:rPr>
                <w:rFonts w:cs="Times New Roman"/>
              </w:rPr>
            </w:pPr>
            <w:r>
              <w:rPr>
                <w:rFonts w:cs="Times New Roman"/>
              </w:rPr>
              <w:t>LOD500精度</w:t>
            </w:r>
          </w:p>
          <w:p w14:paraId="17D372CF">
            <w:pPr>
              <w:pStyle w:val="71"/>
              <w:spacing w:before="24" w:after="24"/>
              <w:rPr>
                <w:rFonts w:cs="Times New Roman"/>
              </w:rPr>
            </w:pPr>
            <w:r>
              <w:rPr>
                <w:rFonts w:cs="Times New Roman"/>
              </w:rPr>
              <w:t>具备与现场实施完成一致的模型。</w:t>
            </w:r>
          </w:p>
        </w:tc>
        <w:tc>
          <w:tcPr>
            <w:tcW w:w="2121" w:type="dxa"/>
            <w:tcBorders>
              <w:top w:val="single" w:color="auto" w:sz="4" w:space="0"/>
              <w:left w:val="single" w:color="auto" w:sz="4" w:space="0"/>
              <w:bottom w:val="single" w:color="auto" w:sz="4" w:space="0"/>
              <w:right w:val="single" w:color="auto" w:sz="4" w:space="0"/>
            </w:tcBorders>
          </w:tcPr>
          <w:p w14:paraId="25E823EA">
            <w:pPr>
              <w:pStyle w:val="71"/>
              <w:spacing w:before="24" w:after="24"/>
              <w:rPr>
                <w:rFonts w:cs="Times New Roman"/>
              </w:rPr>
            </w:pPr>
            <w:r>
              <w:rPr>
                <w:rFonts w:cs="Times New Roman"/>
              </w:rPr>
              <w:t>LOD500精度</w:t>
            </w:r>
          </w:p>
          <w:p w14:paraId="55B68662">
            <w:pPr>
              <w:pStyle w:val="71"/>
              <w:spacing w:before="24" w:after="24"/>
              <w:rPr>
                <w:rFonts w:cs="Times New Roman"/>
              </w:rPr>
            </w:pPr>
            <w:r>
              <w:rPr>
                <w:rFonts w:cs="Times New Roman"/>
              </w:rPr>
              <w:t>具备与现场实施一致，且包含建筑物的运营维护必要信息的模型</w:t>
            </w:r>
          </w:p>
        </w:tc>
      </w:tr>
      <w:tr w14:paraId="00855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tcBorders>
              <w:top w:val="single" w:color="auto" w:sz="4" w:space="0"/>
              <w:left w:val="single" w:color="auto" w:sz="4" w:space="0"/>
              <w:bottom w:val="single" w:color="auto" w:sz="4" w:space="0"/>
              <w:right w:val="single" w:color="auto" w:sz="4" w:space="0"/>
            </w:tcBorders>
            <w:vAlign w:val="center"/>
          </w:tcPr>
          <w:p w14:paraId="15CF3C4A">
            <w:pPr>
              <w:pStyle w:val="71"/>
              <w:spacing w:before="24" w:after="24"/>
              <w:rPr>
                <w:rFonts w:cs="Times New Roman"/>
              </w:rPr>
            </w:pPr>
            <w:r>
              <w:rPr>
                <w:rFonts w:cs="Times New Roman"/>
              </w:rPr>
              <w:t>暖通</w:t>
            </w:r>
          </w:p>
        </w:tc>
        <w:tc>
          <w:tcPr>
            <w:tcW w:w="2119" w:type="dxa"/>
            <w:tcBorders>
              <w:top w:val="single" w:color="auto" w:sz="4" w:space="0"/>
              <w:left w:val="single" w:color="auto" w:sz="4" w:space="0"/>
              <w:bottom w:val="single" w:color="auto" w:sz="4" w:space="0"/>
              <w:right w:val="single" w:color="auto" w:sz="4" w:space="0"/>
            </w:tcBorders>
          </w:tcPr>
          <w:p w14:paraId="4A48AA97">
            <w:pPr>
              <w:pStyle w:val="71"/>
              <w:spacing w:before="24" w:after="24"/>
              <w:rPr>
                <w:rFonts w:cs="Times New Roman"/>
              </w:rPr>
            </w:pPr>
            <w:r>
              <w:rPr>
                <w:rFonts w:cs="Times New Roman"/>
              </w:rPr>
              <w:t>LOD300精度</w:t>
            </w:r>
          </w:p>
          <w:p w14:paraId="60C5362D">
            <w:pPr>
              <w:pStyle w:val="71"/>
              <w:spacing w:before="24" w:after="24"/>
              <w:rPr>
                <w:rFonts w:cs="Times New Roman"/>
              </w:rPr>
            </w:pPr>
            <w:r>
              <w:rPr>
                <w:rFonts w:cs="Times New Roman"/>
              </w:rPr>
              <w:t>反映构件的控制尺寸、形状、位置。</w:t>
            </w:r>
          </w:p>
        </w:tc>
        <w:tc>
          <w:tcPr>
            <w:tcW w:w="2119" w:type="dxa"/>
            <w:tcBorders>
              <w:top w:val="single" w:color="auto" w:sz="4" w:space="0"/>
              <w:left w:val="single" w:color="auto" w:sz="4" w:space="0"/>
              <w:bottom w:val="single" w:color="auto" w:sz="4" w:space="0"/>
              <w:right w:val="single" w:color="auto" w:sz="4" w:space="0"/>
            </w:tcBorders>
          </w:tcPr>
          <w:p w14:paraId="08BC3597">
            <w:pPr>
              <w:pStyle w:val="71"/>
              <w:spacing w:before="24" w:after="24"/>
              <w:rPr>
                <w:rFonts w:cs="Times New Roman"/>
              </w:rPr>
            </w:pPr>
            <w:r>
              <w:rPr>
                <w:rFonts w:cs="Times New Roman"/>
              </w:rPr>
              <w:t>LOD400精度</w:t>
            </w:r>
          </w:p>
          <w:p w14:paraId="3760A225">
            <w:pPr>
              <w:pStyle w:val="71"/>
              <w:spacing w:before="24" w:after="24"/>
              <w:rPr>
                <w:rFonts w:cs="Times New Roman"/>
              </w:rPr>
            </w:pPr>
            <w:r>
              <w:rPr>
                <w:rFonts w:cs="Times New Roman"/>
              </w:rPr>
              <w:t>以完整的系统和组合反映构件的几何与非几何信息</w:t>
            </w:r>
          </w:p>
        </w:tc>
        <w:tc>
          <w:tcPr>
            <w:tcW w:w="2119" w:type="dxa"/>
            <w:tcBorders>
              <w:top w:val="single" w:color="auto" w:sz="4" w:space="0"/>
              <w:left w:val="single" w:color="auto" w:sz="4" w:space="0"/>
              <w:bottom w:val="single" w:color="auto" w:sz="4" w:space="0"/>
              <w:right w:val="single" w:color="auto" w:sz="4" w:space="0"/>
            </w:tcBorders>
          </w:tcPr>
          <w:p w14:paraId="11393970">
            <w:pPr>
              <w:pStyle w:val="71"/>
              <w:spacing w:before="24" w:after="24"/>
              <w:rPr>
                <w:rFonts w:cs="Times New Roman"/>
              </w:rPr>
            </w:pPr>
            <w:r>
              <w:rPr>
                <w:rFonts w:cs="Times New Roman"/>
              </w:rPr>
              <w:t>LOD500精度</w:t>
            </w:r>
          </w:p>
          <w:p w14:paraId="5B5D48EA">
            <w:pPr>
              <w:pStyle w:val="71"/>
              <w:spacing w:before="24" w:after="24"/>
              <w:rPr>
                <w:rFonts w:cs="Times New Roman"/>
              </w:rPr>
            </w:pPr>
            <w:r>
              <w:rPr>
                <w:rFonts w:cs="Times New Roman"/>
              </w:rPr>
              <w:t>具备与现场实施完成一致的模型。</w:t>
            </w:r>
          </w:p>
        </w:tc>
        <w:tc>
          <w:tcPr>
            <w:tcW w:w="2121" w:type="dxa"/>
            <w:tcBorders>
              <w:top w:val="single" w:color="auto" w:sz="4" w:space="0"/>
              <w:left w:val="single" w:color="auto" w:sz="4" w:space="0"/>
              <w:bottom w:val="single" w:color="auto" w:sz="4" w:space="0"/>
              <w:right w:val="single" w:color="auto" w:sz="4" w:space="0"/>
            </w:tcBorders>
          </w:tcPr>
          <w:p w14:paraId="24C320EF">
            <w:pPr>
              <w:pStyle w:val="71"/>
              <w:spacing w:before="24" w:after="24"/>
              <w:rPr>
                <w:rFonts w:cs="Times New Roman"/>
              </w:rPr>
            </w:pPr>
            <w:r>
              <w:rPr>
                <w:rFonts w:cs="Times New Roman"/>
              </w:rPr>
              <w:t>LOD500精度</w:t>
            </w:r>
          </w:p>
          <w:p w14:paraId="6CD34830">
            <w:pPr>
              <w:pStyle w:val="71"/>
              <w:spacing w:before="24" w:after="24"/>
              <w:rPr>
                <w:rFonts w:cs="Times New Roman"/>
              </w:rPr>
            </w:pPr>
            <w:r>
              <w:rPr>
                <w:rFonts w:cs="Times New Roman"/>
              </w:rPr>
              <w:t>具备与现场实施一致，且包含建筑物的运营维护必要信息的模型</w:t>
            </w:r>
          </w:p>
        </w:tc>
      </w:tr>
    </w:tbl>
    <w:p w14:paraId="159C0809">
      <w:pPr>
        <w:pStyle w:val="54"/>
        <w:spacing w:before="24" w:after="24"/>
      </w:pPr>
      <w:r>
        <w:t>（6）档案管理要求</w:t>
      </w:r>
    </w:p>
    <w:p w14:paraId="1DED0A1A">
      <w:pPr>
        <w:pStyle w:val="54"/>
        <w:spacing w:before="24" w:after="24"/>
      </w:pPr>
      <w:r>
        <w:t>档案管理应由模型文件、图纸、报表、渲染图、模拟动画、报告、审核记录、会议纪要等模块组成。各模块的具体内容应详细定义，模型文件需包含不同阶段的BIM模型版本，图纸应涵盖施工详图和竣工图，报表包括工程量统计和质量评估报告，渲染图与模拟动画需真实反映项目效果，报告应整合技术分析和验收结论，审核记录和会议纪要须完整记录关键决策与变更事项。</w:t>
      </w:r>
    </w:p>
    <w:p w14:paraId="29A95BB4">
      <w:pPr>
        <w:pStyle w:val="54"/>
        <w:spacing w:before="24" w:after="24"/>
      </w:pPr>
      <w:r>
        <w:t>项目团队应根据合同约定的里程碑节点梳理各模块内容归档，建立索引系统以便快速检索，分类存储为电子或纸质档案，形成阶段性资料，所有交付的档案需经过内部自检，重点核查档案的完整性、一致性与合规性，发现问题立即整改，最后提交审核，审核通过后，档案正式移交并存档，确保长期可访问和安全备份。</w:t>
      </w:r>
    </w:p>
    <w:p w14:paraId="612FD8D3">
      <w:pPr>
        <w:pStyle w:val="54"/>
        <w:spacing w:before="24" w:after="24"/>
      </w:pPr>
      <w:r>
        <w:t>项目竣工后，需提交一套完整的“竣工BIM模型档案”，确保数据可读性和长期有效性，所有交付的电子文件必须是最新、最终版本，并清除所有与最终竣工状态无关的过程信息、工作集、临时构件等。</w:t>
      </w:r>
    </w:p>
    <w:p w14:paraId="039E0357">
      <w:pPr>
        <w:pStyle w:val="54"/>
        <w:spacing w:before="24" w:after="24"/>
      </w:pPr>
      <w:r>
        <w:t>归档索引示例：</w:t>
      </w:r>
    </w:p>
    <w:p w14:paraId="5FF2D2F5">
      <w:pPr>
        <w:pStyle w:val="54"/>
        <w:spacing w:before="24" w:after="24"/>
      </w:pPr>
      <w:r>
        <w:drawing>
          <wp:inline distT="0" distB="0" distL="114300" distR="114300">
            <wp:extent cx="5757545" cy="1755140"/>
            <wp:effectExtent l="0" t="0" r="8255" b="1016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26"/>
                    <a:stretch>
                      <a:fillRect/>
                    </a:stretch>
                  </pic:blipFill>
                  <pic:spPr>
                    <a:xfrm>
                      <a:off x="0" y="0"/>
                      <a:ext cx="5757545" cy="1755140"/>
                    </a:xfrm>
                    <a:prstGeom prst="rect">
                      <a:avLst/>
                    </a:prstGeom>
                    <a:noFill/>
                    <a:ln>
                      <a:noFill/>
                    </a:ln>
                  </pic:spPr>
                </pic:pic>
              </a:graphicData>
            </a:graphic>
          </wp:inline>
        </w:drawing>
      </w:r>
    </w:p>
    <w:p w14:paraId="0193DD3F">
      <w:pPr>
        <w:pStyle w:val="54"/>
        <w:spacing w:before="24" w:after="24"/>
      </w:pPr>
      <w:r>
        <w:t>当项目模型不需要区分专业时，“专业名称”可不填写；当模型中不需要区分版本时，“文件版本”可不填写。</w:t>
      </w:r>
    </w:p>
    <w:p w14:paraId="209B5E01">
      <w:pPr>
        <w:pStyle w:val="69"/>
        <w:rPr>
          <w:rFonts w:hint="eastAsia"/>
        </w:rPr>
      </w:pPr>
      <w:r>
        <w:t>BIM实施阶段代码</w:t>
      </w:r>
    </w:p>
    <w:tbl>
      <w:tblPr>
        <w:tblStyle w:val="97"/>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68"/>
        <w:gridCol w:w="2014"/>
        <w:gridCol w:w="4135"/>
      </w:tblGrid>
      <w:tr w14:paraId="43EB0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068" w:type="dxa"/>
            <w:shd w:val="clear" w:color="auto" w:fill="D8D8D8"/>
            <w:vAlign w:val="center"/>
          </w:tcPr>
          <w:p w14:paraId="037214F9">
            <w:pPr>
              <w:pStyle w:val="71"/>
              <w:spacing w:before="24" w:after="24"/>
              <w:rPr>
                <w:rFonts w:cs="Times New Roman"/>
              </w:rPr>
            </w:pPr>
            <w:r>
              <w:rPr>
                <w:rFonts w:cs="Times New Roman"/>
              </w:rPr>
              <w:t>专业代码</w:t>
            </w:r>
          </w:p>
        </w:tc>
        <w:tc>
          <w:tcPr>
            <w:tcW w:w="6149" w:type="dxa"/>
            <w:gridSpan w:val="2"/>
            <w:shd w:val="clear" w:color="auto" w:fill="D8D8D8"/>
            <w:vAlign w:val="center"/>
          </w:tcPr>
          <w:p w14:paraId="4A9B53CF">
            <w:pPr>
              <w:pStyle w:val="71"/>
              <w:spacing w:before="24" w:after="24"/>
              <w:rPr>
                <w:rFonts w:cs="Times New Roman"/>
              </w:rPr>
            </w:pPr>
            <w:r>
              <w:rPr>
                <w:rFonts w:cs="Times New Roman"/>
              </w:rPr>
              <w:t>含义</w:t>
            </w:r>
          </w:p>
        </w:tc>
      </w:tr>
      <w:tr w14:paraId="2059A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068" w:type="dxa"/>
            <w:vAlign w:val="center"/>
          </w:tcPr>
          <w:p w14:paraId="2AC50A3C">
            <w:pPr>
              <w:pStyle w:val="71"/>
              <w:spacing w:before="24" w:after="24"/>
              <w:rPr>
                <w:rFonts w:cs="Times New Roman"/>
              </w:rPr>
            </w:pPr>
            <w:r>
              <w:rPr>
                <w:rFonts w:cs="Times New Roman"/>
              </w:rPr>
              <w:t>P</w:t>
            </w:r>
          </w:p>
        </w:tc>
        <w:tc>
          <w:tcPr>
            <w:tcW w:w="2014" w:type="dxa"/>
            <w:vAlign w:val="center"/>
          </w:tcPr>
          <w:p w14:paraId="64267357">
            <w:pPr>
              <w:pStyle w:val="71"/>
              <w:spacing w:before="24" w:after="24"/>
              <w:rPr>
                <w:rFonts w:cs="Times New Roman"/>
              </w:rPr>
            </w:pPr>
            <w:r>
              <w:rPr>
                <w:rFonts w:cs="Times New Roman"/>
              </w:rPr>
              <w:t>规划阶段</w:t>
            </w:r>
          </w:p>
        </w:tc>
        <w:tc>
          <w:tcPr>
            <w:tcW w:w="4135" w:type="dxa"/>
            <w:vAlign w:val="center"/>
          </w:tcPr>
          <w:p w14:paraId="3223BEC0">
            <w:pPr>
              <w:pStyle w:val="71"/>
              <w:spacing w:before="24" w:after="24"/>
              <w:rPr>
                <w:rFonts w:cs="Times New Roman"/>
              </w:rPr>
            </w:pPr>
            <w:r>
              <w:rPr>
                <w:rFonts w:cs="Times New Roman"/>
              </w:rPr>
              <w:t>Planning</w:t>
            </w:r>
          </w:p>
        </w:tc>
      </w:tr>
      <w:tr w14:paraId="69494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068" w:type="dxa"/>
            <w:vAlign w:val="center"/>
          </w:tcPr>
          <w:p w14:paraId="2A43A2C1">
            <w:pPr>
              <w:pStyle w:val="71"/>
              <w:spacing w:before="24" w:after="24"/>
              <w:rPr>
                <w:rFonts w:cs="Times New Roman"/>
              </w:rPr>
            </w:pPr>
            <w:r>
              <w:rPr>
                <w:rFonts w:cs="Times New Roman"/>
              </w:rPr>
              <w:t>D</w:t>
            </w:r>
          </w:p>
        </w:tc>
        <w:tc>
          <w:tcPr>
            <w:tcW w:w="2014" w:type="dxa"/>
            <w:vAlign w:val="center"/>
          </w:tcPr>
          <w:p w14:paraId="7FC786C6">
            <w:pPr>
              <w:pStyle w:val="71"/>
              <w:spacing w:before="24" w:after="24"/>
              <w:rPr>
                <w:rFonts w:cs="Times New Roman"/>
              </w:rPr>
            </w:pPr>
            <w:r>
              <w:rPr>
                <w:rFonts w:cs="Times New Roman"/>
              </w:rPr>
              <w:t>设计阶段</w:t>
            </w:r>
          </w:p>
        </w:tc>
        <w:tc>
          <w:tcPr>
            <w:tcW w:w="4135" w:type="dxa"/>
            <w:vAlign w:val="center"/>
          </w:tcPr>
          <w:p w14:paraId="248A50C5">
            <w:pPr>
              <w:pStyle w:val="71"/>
              <w:spacing w:before="24" w:after="24"/>
              <w:rPr>
                <w:rFonts w:cs="Times New Roman"/>
              </w:rPr>
            </w:pPr>
            <w:r>
              <w:rPr>
                <w:rFonts w:cs="Times New Roman"/>
              </w:rPr>
              <w:t>Design</w:t>
            </w:r>
          </w:p>
        </w:tc>
      </w:tr>
      <w:tr w14:paraId="64116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068" w:type="dxa"/>
            <w:vAlign w:val="center"/>
          </w:tcPr>
          <w:p w14:paraId="3C0276FA">
            <w:pPr>
              <w:pStyle w:val="71"/>
              <w:spacing w:before="24" w:after="24"/>
              <w:rPr>
                <w:rFonts w:cs="Times New Roman"/>
              </w:rPr>
            </w:pPr>
            <w:r>
              <w:rPr>
                <w:rFonts w:cs="Times New Roman"/>
              </w:rPr>
              <w:t>C</w:t>
            </w:r>
          </w:p>
        </w:tc>
        <w:tc>
          <w:tcPr>
            <w:tcW w:w="2014" w:type="dxa"/>
            <w:vAlign w:val="center"/>
          </w:tcPr>
          <w:p w14:paraId="459B38B3">
            <w:pPr>
              <w:pStyle w:val="71"/>
              <w:spacing w:before="24" w:after="24"/>
              <w:rPr>
                <w:rFonts w:cs="Times New Roman"/>
              </w:rPr>
            </w:pPr>
            <w:r>
              <w:rPr>
                <w:rFonts w:cs="Times New Roman"/>
              </w:rPr>
              <w:t>施工阶段</w:t>
            </w:r>
          </w:p>
        </w:tc>
        <w:tc>
          <w:tcPr>
            <w:tcW w:w="4135" w:type="dxa"/>
            <w:vAlign w:val="center"/>
          </w:tcPr>
          <w:p w14:paraId="6EDB09BC">
            <w:pPr>
              <w:pStyle w:val="71"/>
              <w:spacing w:before="24" w:after="24"/>
              <w:rPr>
                <w:rFonts w:cs="Times New Roman"/>
              </w:rPr>
            </w:pPr>
            <w:r>
              <w:rPr>
                <w:rFonts w:cs="Times New Roman"/>
              </w:rPr>
              <w:t>Construction</w:t>
            </w:r>
          </w:p>
        </w:tc>
      </w:tr>
      <w:tr w14:paraId="67D9C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068" w:type="dxa"/>
            <w:vAlign w:val="center"/>
          </w:tcPr>
          <w:p w14:paraId="09E62826">
            <w:pPr>
              <w:pStyle w:val="71"/>
              <w:spacing w:before="24" w:after="24"/>
              <w:rPr>
                <w:rFonts w:cs="Times New Roman"/>
              </w:rPr>
            </w:pPr>
            <w:r>
              <w:rPr>
                <w:rFonts w:cs="Times New Roman"/>
              </w:rPr>
              <w:t>Cc</w:t>
            </w:r>
          </w:p>
        </w:tc>
        <w:tc>
          <w:tcPr>
            <w:tcW w:w="2014" w:type="dxa"/>
            <w:vAlign w:val="center"/>
          </w:tcPr>
          <w:p w14:paraId="5D9F00FC">
            <w:pPr>
              <w:pStyle w:val="71"/>
              <w:spacing w:before="24" w:after="24"/>
              <w:rPr>
                <w:rFonts w:cs="Times New Roman"/>
              </w:rPr>
            </w:pPr>
            <w:r>
              <w:rPr>
                <w:rFonts w:cs="Times New Roman"/>
              </w:rPr>
              <w:t>竣工阶段</w:t>
            </w:r>
          </w:p>
        </w:tc>
        <w:tc>
          <w:tcPr>
            <w:tcW w:w="4135" w:type="dxa"/>
            <w:vAlign w:val="center"/>
          </w:tcPr>
          <w:p w14:paraId="37F5B2D1">
            <w:pPr>
              <w:pStyle w:val="71"/>
              <w:spacing w:before="24" w:after="24"/>
              <w:rPr>
                <w:rFonts w:cs="Times New Roman"/>
              </w:rPr>
            </w:pPr>
            <w:r>
              <w:rPr>
                <w:rFonts w:cs="Times New Roman"/>
              </w:rPr>
              <w:t>Construction completed</w:t>
            </w:r>
          </w:p>
        </w:tc>
      </w:tr>
      <w:tr w14:paraId="09DC1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068" w:type="dxa"/>
            <w:vAlign w:val="center"/>
          </w:tcPr>
          <w:p w14:paraId="29668356">
            <w:pPr>
              <w:pStyle w:val="71"/>
              <w:spacing w:before="24" w:after="24"/>
              <w:rPr>
                <w:rFonts w:cs="Times New Roman"/>
              </w:rPr>
            </w:pPr>
            <w:r>
              <w:rPr>
                <w:rFonts w:cs="Times New Roman"/>
              </w:rPr>
              <w:t>O</w:t>
            </w:r>
          </w:p>
        </w:tc>
        <w:tc>
          <w:tcPr>
            <w:tcW w:w="2014" w:type="dxa"/>
            <w:vAlign w:val="center"/>
          </w:tcPr>
          <w:p w14:paraId="5CC94086">
            <w:pPr>
              <w:pStyle w:val="71"/>
              <w:spacing w:before="24" w:after="24"/>
              <w:rPr>
                <w:rFonts w:cs="Times New Roman"/>
              </w:rPr>
            </w:pPr>
            <w:r>
              <w:rPr>
                <w:rFonts w:cs="Times New Roman"/>
              </w:rPr>
              <w:t>运维阶段</w:t>
            </w:r>
          </w:p>
        </w:tc>
        <w:tc>
          <w:tcPr>
            <w:tcW w:w="4135" w:type="dxa"/>
            <w:vAlign w:val="center"/>
          </w:tcPr>
          <w:p w14:paraId="2FBD3D0E">
            <w:pPr>
              <w:pStyle w:val="71"/>
              <w:spacing w:before="24" w:after="24"/>
              <w:rPr>
                <w:rFonts w:cs="Times New Roman"/>
              </w:rPr>
            </w:pPr>
            <w:r>
              <w:rPr>
                <w:rFonts w:cs="Times New Roman"/>
              </w:rPr>
              <w:t>Operation</w:t>
            </w:r>
          </w:p>
        </w:tc>
      </w:tr>
    </w:tbl>
    <w:p w14:paraId="5C4D8316">
      <w:pPr>
        <w:pStyle w:val="69"/>
        <w:rPr>
          <w:rFonts w:hint="eastAsia"/>
        </w:rPr>
      </w:pPr>
      <w:r>
        <w:t>BIM档案类型代码</w:t>
      </w:r>
    </w:p>
    <w:tbl>
      <w:tblPr>
        <w:tblStyle w:val="97"/>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68"/>
        <w:gridCol w:w="2014"/>
        <w:gridCol w:w="4135"/>
      </w:tblGrid>
      <w:tr w14:paraId="3E8E6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068" w:type="dxa"/>
            <w:shd w:val="clear" w:color="auto" w:fill="D8D8D8"/>
            <w:vAlign w:val="center"/>
          </w:tcPr>
          <w:p w14:paraId="24AAD389">
            <w:pPr>
              <w:pStyle w:val="71"/>
              <w:spacing w:before="24" w:after="24"/>
              <w:rPr>
                <w:rFonts w:cs="Times New Roman"/>
              </w:rPr>
            </w:pPr>
            <w:r>
              <w:rPr>
                <w:rFonts w:cs="Times New Roman"/>
              </w:rPr>
              <w:t>专业代码</w:t>
            </w:r>
          </w:p>
        </w:tc>
        <w:tc>
          <w:tcPr>
            <w:tcW w:w="6149" w:type="dxa"/>
            <w:gridSpan w:val="2"/>
            <w:shd w:val="clear" w:color="auto" w:fill="D8D8D8"/>
            <w:vAlign w:val="center"/>
          </w:tcPr>
          <w:p w14:paraId="488201DD">
            <w:pPr>
              <w:pStyle w:val="71"/>
              <w:spacing w:before="24" w:after="24"/>
              <w:rPr>
                <w:rFonts w:cs="Times New Roman"/>
              </w:rPr>
            </w:pPr>
            <w:r>
              <w:rPr>
                <w:rFonts w:cs="Times New Roman"/>
              </w:rPr>
              <w:t>含义</w:t>
            </w:r>
          </w:p>
        </w:tc>
      </w:tr>
      <w:tr w14:paraId="7E2AB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068" w:type="dxa"/>
            <w:vAlign w:val="center"/>
          </w:tcPr>
          <w:p w14:paraId="77EB4132">
            <w:pPr>
              <w:pStyle w:val="71"/>
              <w:spacing w:before="24" w:after="24"/>
              <w:rPr>
                <w:rFonts w:cs="Times New Roman"/>
              </w:rPr>
            </w:pPr>
            <w:r>
              <w:rPr>
                <w:rFonts w:cs="Times New Roman"/>
              </w:rPr>
              <w:t>MOD</w:t>
            </w:r>
          </w:p>
        </w:tc>
        <w:tc>
          <w:tcPr>
            <w:tcW w:w="2014" w:type="dxa"/>
            <w:vAlign w:val="center"/>
          </w:tcPr>
          <w:p w14:paraId="17311467">
            <w:pPr>
              <w:pStyle w:val="71"/>
              <w:spacing w:before="24" w:after="24"/>
              <w:rPr>
                <w:rFonts w:cs="Times New Roman"/>
              </w:rPr>
            </w:pPr>
            <w:r>
              <w:rPr>
                <w:rFonts w:cs="Times New Roman"/>
              </w:rPr>
              <w:t>模型文件</w:t>
            </w:r>
          </w:p>
        </w:tc>
        <w:tc>
          <w:tcPr>
            <w:tcW w:w="4135" w:type="dxa"/>
            <w:vAlign w:val="center"/>
          </w:tcPr>
          <w:p w14:paraId="50E862FF">
            <w:pPr>
              <w:pStyle w:val="71"/>
              <w:spacing w:before="24" w:after="24"/>
              <w:rPr>
                <w:rFonts w:cs="Times New Roman"/>
              </w:rPr>
            </w:pPr>
            <w:r>
              <w:rPr>
                <w:rFonts w:cs="Times New Roman"/>
              </w:rPr>
              <w:t>Model</w:t>
            </w:r>
          </w:p>
        </w:tc>
      </w:tr>
      <w:tr w14:paraId="3E3A3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068" w:type="dxa"/>
            <w:vAlign w:val="center"/>
          </w:tcPr>
          <w:p w14:paraId="47D1E55C">
            <w:pPr>
              <w:pStyle w:val="71"/>
              <w:spacing w:before="24" w:after="24"/>
              <w:rPr>
                <w:rFonts w:cs="Times New Roman"/>
              </w:rPr>
            </w:pPr>
            <w:r>
              <w:rPr>
                <w:rFonts w:cs="Times New Roman"/>
              </w:rPr>
              <w:t>DWG</w:t>
            </w:r>
          </w:p>
        </w:tc>
        <w:tc>
          <w:tcPr>
            <w:tcW w:w="2014" w:type="dxa"/>
            <w:vAlign w:val="center"/>
          </w:tcPr>
          <w:p w14:paraId="5A58DB9A">
            <w:pPr>
              <w:pStyle w:val="71"/>
              <w:spacing w:before="24" w:after="24"/>
              <w:rPr>
                <w:rFonts w:cs="Times New Roman"/>
              </w:rPr>
            </w:pPr>
            <w:r>
              <w:rPr>
                <w:rFonts w:cs="Times New Roman"/>
              </w:rPr>
              <w:t>图纸文件</w:t>
            </w:r>
          </w:p>
        </w:tc>
        <w:tc>
          <w:tcPr>
            <w:tcW w:w="4135" w:type="dxa"/>
            <w:vAlign w:val="center"/>
          </w:tcPr>
          <w:p w14:paraId="1DED9357">
            <w:pPr>
              <w:pStyle w:val="71"/>
              <w:spacing w:before="24" w:after="24"/>
              <w:rPr>
                <w:rFonts w:cs="Times New Roman"/>
              </w:rPr>
            </w:pPr>
            <w:r>
              <w:rPr>
                <w:rFonts w:cs="Times New Roman"/>
              </w:rPr>
              <w:t>Drawing</w:t>
            </w:r>
          </w:p>
        </w:tc>
      </w:tr>
      <w:tr w14:paraId="73B6C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068" w:type="dxa"/>
            <w:vAlign w:val="center"/>
          </w:tcPr>
          <w:p w14:paraId="5A2D6CC7">
            <w:pPr>
              <w:pStyle w:val="71"/>
              <w:spacing w:before="24" w:after="24"/>
              <w:rPr>
                <w:rFonts w:cs="Times New Roman"/>
              </w:rPr>
            </w:pPr>
            <w:r>
              <w:rPr>
                <w:rFonts w:cs="Times New Roman"/>
              </w:rPr>
              <w:t>PDF</w:t>
            </w:r>
          </w:p>
        </w:tc>
        <w:tc>
          <w:tcPr>
            <w:tcW w:w="2014" w:type="dxa"/>
            <w:vAlign w:val="center"/>
          </w:tcPr>
          <w:p w14:paraId="1BB30090">
            <w:pPr>
              <w:pStyle w:val="71"/>
              <w:spacing w:before="24" w:after="24"/>
              <w:rPr>
                <w:rFonts w:cs="Times New Roman"/>
              </w:rPr>
            </w:pPr>
            <w:r>
              <w:rPr>
                <w:rFonts w:cs="Times New Roman"/>
              </w:rPr>
              <w:t>只读文件</w:t>
            </w:r>
          </w:p>
        </w:tc>
        <w:tc>
          <w:tcPr>
            <w:tcW w:w="4135" w:type="dxa"/>
            <w:vAlign w:val="center"/>
          </w:tcPr>
          <w:p w14:paraId="3D2947DD">
            <w:pPr>
              <w:pStyle w:val="71"/>
              <w:spacing w:before="24" w:after="24"/>
              <w:rPr>
                <w:rFonts w:cs="Times New Roman"/>
              </w:rPr>
            </w:pPr>
            <w:r>
              <w:rPr>
                <w:rFonts w:cs="Times New Roman"/>
              </w:rPr>
              <w:t>Portable Document Format</w:t>
            </w:r>
          </w:p>
        </w:tc>
      </w:tr>
      <w:tr w14:paraId="078AD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068" w:type="dxa"/>
            <w:vAlign w:val="center"/>
          </w:tcPr>
          <w:p w14:paraId="453A765E">
            <w:pPr>
              <w:pStyle w:val="71"/>
              <w:spacing w:before="24" w:after="24"/>
              <w:rPr>
                <w:rFonts w:cs="Times New Roman"/>
              </w:rPr>
            </w:pPr>
            <w:r>
              <w:rPr>
                <w:rFonts w:cs="Times New Roman"/>
              </w:rPr>
              <w:t>REN</w:t>
            </w:r>
          </w:p>
        </w:tc>
        <w:tc>
          <w:tcPr>
            <w:tcW w:w="2014" w:type="dxa"/>
            <w:vAlign w:val="center"/>
          </w:tcPr>
          <w:p w14:paraId="6EDBC2E5">
            <w:pPr>
              <w:pStyle w:val="71"/>
              <w:spacing w:before="24" w:after="24"/>
              <w:rPr>
                <w:rFonts w:cs="Times New Roman"/>
              </w:rPr>
            </w:pPr>
            <w:r>
              <w:rPr>
                <w:rFonts w:cs="Times New Roman"/>
              </w:rPr>
              <w:t>效果图文件</w:t>
            </w:r>
          </w:p>
        </w:tc>
        <w:tc>
          <w:tcPr>
            <w:tcW w:w="4135" w:type="dxa"/>
            <w:vAlign w:val="center"/>
          </w:tcPr>
          <w:p w14:paraId="7FD0C7B8">
            <w:pPr>
              <w:pStyle w:val="71"/>
              <w:spacing w:before="24" w:after="24"/>
              <w:rPr>
                <w:rFonts w:cs="Times New Roman"/>
              </w:rPr>
            </w:pPr>
            <w:r>
              <w:rPr>
                <w:rFonts w:cs="Times New Roman"/>
              </w:rPr>
              <w:t>Rendering</w:t>
            </w:r>
          </w:p>
        </w:tc>
      </w:tr>
      <w:tr w14:paraId="1FAD5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068" w:type="dxa"/>
            <w:vAlign w:val="center"/>
          </w:tcPr>
          <w:p w14:paraId="74D44B58">
            <w:pPr>
              <w:pStyle w:val="71"/>
              <w:spacing w:before="24" w:after="24"/>
              <w:rPr>
                <w:rFonts w:cs="Times New Roman"/>
              </w:rPr>
            </w:pPr>
            <w:r>
              <w:rPr>
                <w:rFonts w:cs="Times New Roman"/>
              </w:rPr>
              <w:t>CLR</w:t>
            </w:r>
          </w:p>
        </w:tc>
        <w:tc>
          <w:tcPr>
            <w:tcW w:w="2014" w:type="dxa"/>
            <w:vAlign w:val="center"/>
          </w:tcPr>
          <w:p w14:paraId="0F5B764B">
            <w:pPr>
              <w:pStyle w:val="71"/>
              <w:spacing w:before="24" w:after="24"/>
              <w:rPr>
                <w:rFonts w:cs="Times New Roman"/>
              </w:rPr>
            </w:pPr>
            <w:r>
              <w:rPr>
                <w:rFonts w:cs="Times New Roman"/>
              </w:rPr>
              <w:t>碰撞报告文件</w:t>
            </w:r>
          </w:p>
        </w:tc>
        <w:tc>
          <w:tcPr>
            <w:tcW w:w="4135" w:type="dxa"/>
            <w:vAlign w:val="center"/>
          </w:tcPr>
          <w:p w14:paraId="42D5D085">
            <w:pPr>
              <w:pStyle w:val="71"/>
              <w:spacing w:before="24" w:after="24"/>
              <w:rPr>
                <w:rFonts w:cs="Times New Roman"/>
              </w:rPr>
            </w:pPr>
            <w:r>
              <w:rPr>
                <w:rFonts w:cs="Times New Roman"/>
              </w:rPr>
              <w:t>Clash Report</w:t>
            </w:r>
          </w:p>
        </w:tc>
      </w:tr>
      <w:tr w14:paraId="0570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068" w:type="dxa"/>
            <w:vAlign w:val="center"/>
          </w:tcPr>
          <w:p w14:paraId="58F35E81">
            <w:pPr>
              <w:pStyle w:val="71"/>
              <w:spacing w:before="24" w:after="24"/>
              <w:rPr>
                <w:rFonts w:cs="Times New Roman"/>
              </w:rPr>
            </w:pPr>
            <w:r>
              <w:rPr>
                <w:rFonts w:cs="Times New Roman"/>
              </w:rPr>
              <w:t>COC</w:t>
            </w:r>
          </w:p>
        </w:tc>
        <w:tc>
          <w:tcPr>
            <w:tcW w:w="2014" w:type="dxa"/>
            <w:vAlign w:val="center"/>
          </w:tcPr>
          <w:p w14:paraId="0B7D5215">
            <w:pPr>
              <w:pStyle w:val="71"/>
              <w:spacing w:before="24" w:after="24"/>
              <w:rPr>
                <w:rFonts w:cs="Times New Roman"/>
              </w:rPr>
            </w:pPr>
            <w:r>
              <w:rPr>
                <w:rFonts w:cs="Times New Roman"/>
              </w:rPr>
              <w:t>造价文件</w:t>
            </w:r>
          </w:p>
        </w:tc>
        <w:tc>
          <w:tcPr>
            <w:tcW w:w="4135" w:type="dxa"/>
            <w:vAlign w:val="center"/>
          </w:tcPr>
          <w:p w14:paraId="61C2B396">
            <w:pPr>
              <w:pStyle w:val="71"/>
              <w:spacing w:before="24" w:after="24"/>
              <w:rPr>
                <w:rFonts w:cs="Times New Roman"/>
              </w:rPr>
            </w:pPr>
            <w:r>
              <w:rPr>
                <w:rFonts w:cs="Times New Roman"/>
              </w:rPr>
              <w:t>Construction costs</w:t>
            </w:r>
          </w:p>
        </w:tc>
      </w:tr>
      <w:tr w14:paraId="3D904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068" w:type="dxa"/>
            <w:vAlign w:val="center"/>
          </w:tcPr>
          <w:p w14:paraId="46B98C05">
            <w:pPr>
              <w:pStyle w:val="71"/>
              <w:spacing w:before="24" w:after="24"/>
              <w:rPr>
                <w:rFonts w:cs="Times New Roman"/>
              </w:rPr>
            </w:pPr>
            <w:r>
              <w:rPr>
                <w:rFonts w:cs="Times New Roman"/>
              </w:rPr>
              <w:t>……</w:t>
            </w:r>
          </w:p>
        </w:tc>
        <w:tc>
          <w:tcPr>
            <w:tcW w:w="2014" w:type="dxa"/>
            <w:vAlign w:val="center"/>
          </w:tcPr>
          <w:p w14:paraId="573D6FBC">
            <w:pPr>
              <w:pStyle w:val="71"/>
              <w:spacing w:before="24" w:after="24"/>
              <w:rPr>
                <w:rFonts w:cs="Times New Roman"/>
              </w:rPr>
            </w:pPr>
            <w:r>
              <w:rPr>
                <w:rFonts w:cs="Times New Roman"/>
              </w:rPr>
              <w:t>…………</w:t>
            </w:r>
          </w:p>
        </w:tc>
        <w:tc>
          <w:tcPr>
            <w:tcW w:w="4135" w:type="dxa"/>
            <w:vAlign w:val="center"/>
          </w:tcPr>
          <w:p w14:paraId="6AF469EB">
            <w:pPr>
              <w:pStyle w:val="71"/>
              <w:spacing w:before="24" w:after="24"/>
              <w:rPr>
                <w:rFonts w:cs="Times New Roman"/>
              </w:rPr>
            </w:pPr>
            <w:r>
              <w:rPr>
                <w:rFonts w:cs="Times New Roman"/>
              </w:rPr>
              <w:t>………………</w:t>
            </w:r>
          </w:p>
        </w:tc>
      </w:tr>
      <w:tr w14:paraId="2BE55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068" w:type="dxa"/>
            <w:vAlign w:val="center"/>
          </w:tcPr>
          <w:p w14:paraId="63370803">
            <w:pPr>
              <w:pStyle w:val="71"/>
              <w:spacing w:before="24" w:after="24"/>
              <w:rPr>
                <w:rFonts w:cs="Times New Roman"/>
              </w:rPr>
            </w:pPr>
            <w:r>
              <w:rPr>
                <w:rFonts w:cs="Times New Roman"/>
              </w:rPr>
              <w:t>……</w:t>
            </w:r>
          </w:p>
        </w:tc>
        <w:tc>
          <w:tcPr>
            <w:tcW w:w="2014" w:type="dxa"/>
            <w:vAlign w:val="center"/>
          </w:tcPr>
          <w:p w14:paraId="513B3E72">
            <w:pPr>
              <w:pStyle w:val="71"/>
              <w:spacing w:before="24" w:after="24"/>
              <w:rPr>
                <w:rFonts w:cs="Times New Roman"/>
              </w:rPr>
            </w:pPr>
            <w:r>
              <w:rPr>
                <w:rFonts w:cs="Times New Roman"/>
              </w:rPr>
              <w:t>…………</w:t>
            </w:r>
          </w:p>
        </w:tc>
        <w:tc>
          <w:tcPr>
            <w:tcW w:w="4135" w:type="dxa"/>
            <w:vAlign w:val="center"/>
          </w:tcPr>
          <w:p w14:paraId="68D76FB5">
            <w:pPr>
              <w:pStyle w:val="71"/>
              <w:spacing w:before="24" w:after="24"/>
              <w:rPr>
                <w:rFonts w:cs="Times New Roman"/>
              </w:rPr>
            </w:pPr>
            <w:r>
              <w:rPr>
                <w:rFonts w:cs="Times New Roman"/>
              </w:rPr>
              <w:t>………………</w:t>
            </w:r>
          </w:p>
        </w:tc>
      </w:tr>
    </w:tbl>
    <w:p w14:paraId="18B4FE01">
      <w:pPr>
        <w:pStyle w:val="64"/>
        <w:spacing w:before="24" w:after="24"/>
        <w:rPr>
          <w:rFonts w:cs="Times New Roman"/>
        </w:rPr>
      </w:pPr>
      <w:bookmarkStart w:id="198" w:name="_Toc221894219"/>
      <w:r>
        <w:rPr>
          <w:rFonts w:cs="Times New Roman"/>
        </w:rPr>
        <w:t>4、交付内容要求</w:t>
      </w:r>
      <w:bookmarkEnd w:id="198"/>
    </w:p>
    <w:p w14:paraId="72811EDD">
      <w:pPr>
        <w:pStyle w:val="54"/>
        <w:spacing w:before="24" w:after="24"/>
      </w:pPr>
      <w:r>
        <w:t>承包人承诺完成包括但不限于以下交付内容：</w:t>
      </w:r>
    </w:p>
    <w:p w14:paraId="5E89EE75">
      <w:pPr>
        <w:pStyle w:val="54"/>
        <w:spacing w:before="24" w:after="24"/>
      </w:pPr>
      <w:r>
        <w:t>（1）施工图设计阶段：碰撞检查模型、管线综合模型、净高分析报告等，具体按发包人要求提供。</w:t>
      </w:r>
    </w:p>
    <w:p w14:paraId="6C8DE72D">
      <w:pPr>
        <w:pStyle w:val="54"/>
        <w:spacing w:before="24" w:after="24"/>
      </w:pPr>
      <w:r>
        <w:t>（2）施工阶段：施工场地布置模型、进度模拟动画、工艺模拟动画、关键节点模型、工程量统计等，具体按发包人要求提供。</w:t>
      </w:r>
    </w:p>
    <w:p w14:paraId="1AEAA009">
      <w:pPr>
        <w:pStyle w:val="54"/>
        <w:spacing w:before="24" w:after="24"/>
      </w:pPr>
      <w:r>
        <w:t>（3）竣工验收阶段：竣工模型、相关视频及效果图，具体按发包人要求提供</w:t>
      </w:r>
    </w:p>
    <w:p w14:paraId="360A4852">
      <w:pPr>
        <w:pStyle w:val="64"/>
        <w:spacing w:before="24" w:after="24"/>
        <w:rPr>
          <w:rFonts w:cs="Times New Roman"/>
        </w:rPr>
      </w:pPr>
      <w:bookmarkStart w:id="199" w:name="_Toc221894220"/>
      <w:r>
        <w:rPr>
          <w:rFonts w:cs="Times New Roman"/>
        </w:rPr>
        <w:t>5、时效要求</w:t>
      </w:r>
      <w:bookmarkEnd w:id="199"/>
    </w:p>
    <w:p w14:paraId="43853D77">
      <w:pPr>
        <w:pStyle w:val="54"/>
        <w:spacing w:before="24" w:after="24"/>
      </w:pPr>
      <w:r>
        <w:t>根据交付内容明确时效要求，各责任单位须严格按发包人要求时限提交成果。涉及多地块/区域的项目，时效要求自该地块/区域施工图确认或工序完成之日起算。特殊复杂节点工艺模拟及全专业模型整合可申请书面延期。</w:t>
      </w:r>
    </w:p>
    <w:p w14:paraId="6993E99A">
      <w:pPr>
        <w:pStyle w:val="64"/>
        <w:spacing w:before="24" w:after="24"/>
        <w:rPr>
          <w:rFonts w:cs="Times New Roman"/>
        </w:rPr>
      </w:pPr>
      <w:bookmarkStart w:id="200" w:name="_Toc221894221"/>
      <w:r>
        <w:rPr>
          <w:rFonts w:cs="Times New Roman"/>
        </w:rPr>
        <w:t>6、交付物要求</w:t>
      </w:r>
      <w:bookmarkEnd w:id="200"/>
    </w:p>
    <w:p w14:paraId="6A759DF2">
      <w:pPr>
        <w:pStyle w:val="54"/>
        <w:spacing w:before="24" w:after="24"/>
      </w:pPr>
      <w:r>
        <w:t>承包人承诺所提交的交付物满足包括但不限于以下要求：</w:t>
      </w:r>
    </w:p>
    <w:p w14:paraId="3D39476C">
      <w:pPr>
        <w:pStyle w:val="54"/>
        <w:spacing w:before="24" w:after="24"/>
      </w:pPr>
      <w:r>
        <w:t>（1）保证交付物的完整性和准确性。BIM模型及模型相关成果须保证涵盖内容与设计信息一致，构件属性信息完整，确保模型准确反映真实的工程设计状态。</w:t>
      </w:r>
    </w:p>
    <w:p w14:paraId="5975D366">
      <w:pPr>
        <w:pStyle w:val="54"/>
        <w:spacing w:before="24" w:after="24"/>
      </w:pPr>
      <w:r>
        <w:t>（2）保证BIM模型交付物符合各阶段对应的建模深度要求。</w:t>
      </w:r>
    </w:p>
    <w:p w14:paraId="183BCFBE">
      <w:pPr>
        <w:pStyle w:val="54"/>
        <w:spacing w:before="24" w:after="24"/>
      </w:pPr>
      <w:r>
        <w:t>（3）保证BIM模型交付物的几何信息和非几何信息为有效信息，且进行有效传递。</w:t>
      </w:r>
    </w:p>
    <w:p w14:paraId="499D5DC7">
      <w:pPr>
        <w:pStyle w:val="54"/>
        <w:spacing w:before="24" w:after="24"/>
      </w:pPr>
      <w:r>
        <w:t>（4）保证BIM模型交付物符合设计要求，满足国家标准和行业要求。</w:t>
      </w:r>
    </w:p>
    <w:p w14:paraId="35236626">
      <w:pPr>
        <w:pStyle w:val="54"/>
        <w:spacing w:before="24" w:after="24"/>
      </w:pPr>
      <w:r>
        <w:t>（5）保证交付物中的信息表格内容与BIM模型中的信息一致。</w:t>
      </w:r>
    </w:p>
    <w:p w14:paraId="2A1284E4">
      <w:pPr>
        <w:pStyle w:val="54"/>
        <w:spacing w:before="24" w:after="24"/>
      </w:pPr>
      <w:r>
        <w:t>（6）保证BIM模型交付物中坐标数据与真实工程坐标一致。</w:t>
      </w:r>
    </w:p>
    <w:p w14:paraId="2380E470">
      <w:pPr>
        <w:pStyle w:val="54"/>
        <w:spacing w:before="24" w:after="24"/>
      </w:pPr>
      <w:r>
        <w:t>（7）保证交付物中的图纸、表格、动画等成果文件尽可能由BIM模型直接生成，充分发挥BIM模型在交付过程中的作用和价值。</w:t>
      </w:r>
    </w:p>
    <w:p w14:paraId="22C86CB7">
      <w:pPr>
        <w:pStyle w:val="64"/>
        <w:spacing w:before="24" w:after="24"/>
        <w:rPr>
          <w:rFonts w:cs="Times New Roman"/>
        </w:rPr>
      </w:pPr>
      <w:bookmarkStart w:id="201" w:name="_Toc221894222"/>
      <w:r>
        <w:rPr>
          <w:rFonts w:cs="Times New Roman"/>
        </w:rPr>
        <w:t>7、协同要求</w:t>
      </w:r>
      <w:bookmarkEnd w:id="201"/>
    </w:p>
    <w:p w14:paraId="7DFF5BA7">
      <w:pPr>
        <w:pStyle w:val="54"/>
        <w:spacing w:before="24" w:after="24"/>
      </w:pPr>
      <w:r>
        <w:t>（1）承包人依据《BIM技术实施方案》，通过发包人指定的BIM协同管理平台进行模型提交与更新，接收发包人及管理单位下发的技术文件与管理要求，并负责现场实施数据的上传、更新与维护等协同工作。</w:t>
      </w:r>
    </w:p>
    <w:p w14:paraId="486C1831">
      <w:pPr>
        <w:pStyle w:val="54"/>
        <w:spacing w:before="24" w:after="24"/>
      </w:pPr>
      <w:r>
        <w:t>（2）承包人响应发包人及管理单位管理要求，完成各阶段BIM实施工作。</w:t>
      </w:r>
    </w:p>
    <w:p w14:paraId="75E8F9D2">
      <w:pPr>
        <w:pStyle w:val="62"/>
      </w:pPr>
      <w:bookmarkStart w:id="202" w:name="_Toc221894223"/>
      <w:r>
        <w:t>（四）承包人承诺完成以下BIM技术实施工作内容</w:t>
      </w:r>
      <w:bookmarkEnd w:id="202"/>
    </w:p>
    <w:p w14:paraId="05C4EE52">
      <w:pPr>
        <w:pStyle w:val="64"/>
        <w:spacing w:before="24" w:after="24"/>
        <w:rPr>
          <w:rFonts w:cs="Times New Roman"/>
        </w:rPr>
      </w:pPr>
      <w:bookmarkStart w:id="203" w:name="_Toc221894224"/>
      <w:r>
        <w:rPr>
          <w:rFonts w:cs="Times New Roman"/>
        </w:rPr>
        <w:t>1、设计阶段</w:t>
      </w:r>
      <w:bookmarkEnd w:id="203"/>
    </w:p>
    <w:p w14:paraId="6EF76B2C">
      <w:pPr>
        <w:pStyle w:val="54"/>
        <w:spacing w:before="24" w:after="24"/>
      </w:pPr>
      <w:r>
        <w:t>（1）完成全专业设计模型搭建工作（包括项目总图场地、建筑、结构、机电设备、地下管网、精装修、景观绿化等全专业）。</w:t>
      </w:r>
    </w:p>
    <w:p w14:paraId="24D75758">
      <w:pPr>
        <w:pStyle w:val="54"/>
        <w:spacing w:before="24" w:after="24"/>
      </w:pPr>
      <w:r>
        <w:t>（2）完成全专业模型构件编码绑定工作。</w:t>
      </w:r>
    </w:p>
    <w:p w14:paraId="743E9538">
      <w:pPr>
        <w:pStyle w:val="54"/>
        <w:spacing w:before="24" w:after="24"/>
      </w:pPr>
      <w:r>
        <w:t>（3）完成全专业模型的碰撞检查工作（直接碰撞、间隙碰撞），并完成碰撞报告提交上传。</w:t>
      </w:r>
    </w:p>
    <w:p w14:paraId="1FEF85C6">
      <w:pPr>
        <w:pStyle w:val="54"/>
        <w:spacing w:before="24" w:after="24"/>
      </w:pPr>
      <w:r>
        <w:t>（4）完成管线综合工作，并提交管线综合报告。</w:t>
      </w:r>
    </w:p>
    <w:p w14:paraId="42EBBD4B">
      <w:pPr>
        <w:pStyle w:val="54"/>
        <w:spacing w:before="24" w:after="24"/>
      </w:pPr>
      <w:r>
        <w:t>（5）完成净高分析工作，并提交净高分析报告。</w:t>
      </w:r>
    </w:p>
    <w:p w14:paraId="68C9C135">
      <w:pPr>
        <w:pStyle w:val="54"/>
        <w:spacing w:before="24" w:after="24"/>
      </w:pPr>
      <w:r>
        <w:t>（6）完成发包人要求的其他BIM工作。</w:t>
      </w:r>
    </w:p>
    <w:p w14:paraId="1F05FBBA">
      <w:pPr>
        <w:pStyle w:val="54"/>
        <w:spacing w:before="24" w:after="24"/>
      </w:pPr>
      <w:r>
        <w:t>（7）完成发包人要求的本阶段基于BIM和管理平台的其他协同工作内容。</w:t>
      </w:r>
    </w:p>
    <w:p w14:paraId="4396D082">
      <w:pPr>
        <w:pStyle w:val="64"/>
        <w:spacing w:before="24" w:after="24"/>
        <w:rPr>
          <w:rFonts w:cs="Times New Roman"/>
        </w:rPr>
      </w:pPr>
      <w:bookmarkStart w:id="204" w:name="_Toc221894225"/>
      <w:r>
        <w:rPr>
          <w:rFonts w:cs="Times New Roman"/>
        </w:rPr>
        <w:t>2、施工阶段</w:t>
      </w:r>
      <w:bookmarkEnd w:id="204"/>
    </w:p>
    <w:p w14:paraId="0BC9DF13">
      <w:pPr>
        <w:pStyle w:val="54"/>
        <w:spacing w:before="24" w:after="24"/>
      </w:pPr>
      <w:r>
        <w:t>（1）完成基于BIM模型的4D进度模拟，每月更新与实际进度对比报告。</w:t>
      </w:r>
    </w:p>
    <w:p w14:paraId="5A7F9931">
      <w:pPr>
        <w:pStyle w:val="54"/>
        <w:spacing w:before="24" w:after="24"/>
      </w:pPr>
      <w:r>
        <w:t>（2）完成专项方案模型创建，相关模拟分析成果制作，并提交相关分析报告。</w:t>
      </w:r>
    </w:p>
    <w:p w14:paraId="6C24DCF7">
      <w:pPr>
        <w:pStyle w:val="54"/>
        <w:spacing w:before="24" w:after="24"/>
      </w:pPr>
      <w:r>
        <w:t>（3）完成关键施工工艺模拟动画及方案验证报告。</w:t>
      </w:r>
    </w:p>
    <w:p w14:paraId="5D3DECB6">
      <w:pPr>
        <w:pStyle w:val="54"/>
        <w:spacing w:before="24" w:after="24"/>
      </w:pPr>
      <w:r>
        <w:t>（4）完成基于BIM模型的工程量提取及中间计量申报。</w:t>
      </w:r>
    </w:p>
    <w:p w14:paraId="2BAEDB0F">
      <w:pPr>
        <w:pStyle w:val="54"/>
        <w:spacing w:before="24" w:after="24"/>
      </w:pPr>
      <w:r>
        <w:t>（5）完成发包人要求的本阶段基于BIM和管理平台的其他协同工作内容。</w:t>
      </w:r>
    </w:p>
    <w:p w14:paraId="6E16993A">
      <w:pPr>
        <w:pStyle w:val="64"/>
        <w:spacing w:before="24" w:after="24"/>
        <w:rPr>
          <w:rFonts w:cs="Times New Roman"/>
        </w:rPr>
      </w:pPr>
      <w:bookmarkStart w:id="205" w:name="_Toc221894226"/>
      <w:r>
        <w:rPr>
          <w:rFonts w:cs="Times New Roman"/>
        </w:rPr>
        <w:t>3、竣工阶段</w:t>
      </w:r>
      <w:bookmarkEnd w:id="205"/>
    </w:p>
    <w:p w14:paraId="74012A8C">
      <w:pPr>
        <w:pStyle w:val="54"/>
        <w:spacing w:before="24" w:after="24"/>
      </w:pPr>
      <w:r>
        <w:t>（1）完成满足发包人要求的竣工模型创建（包含设备参数、保修信息、维修记录等信息）。</w:t>
      </w:r>
    </w:p>
    <w:p w14:paraId="6BCA2D06">
      <w:pPr>
        <w:pStyle w:val="54"/>
        <w:spacing w:before="24" w:after="24"/>
      </w:pPr>
      <w:r>
        <w:t>（2）竣工模型轻量化处理（支持IFC或其他满足要求的格式导入运维管理平台）。</w:t>
      </w:r>
    </w:p>
    <w:p w14:paraId="462E3C3C">
      <w:pPr>
        <w:pStyle w:val="54"/>
        <w:spacing w:before="24" w:after="24"/>
      </w:pPr>
      <w:r>
        <w:t>（3）提供设备设施运维管理要求的系统对接数据接口。</w:t>
      </w:r>
    </w:p>
    <w:p w14:paraId="76C9A9C7">
      <w:pPr>
        <w:pStyle w:val="54"/>
        <w:spacing w:before="24" w:after="24"/>
      </w:pPr>
      <w:r>
        <w:t>（4）完成发包人要求的本阶段基于BIM和管理平台的其他协同工作内容。</w:t>
      </w:r>
    </w:p>
    <w:p w14:paraId="31832B48">
      <w:pPr>
        <w:pStyle w:val="62"/>
      </w:pPr>
      <w:bookmarkStart w:id="206" w:name="_Toc221894227"/>
      <w:r>
        <w:t>（五）承包人承诺达到以下交付与验收要求</w:t>
      </w:r>
      <w:bookmarkEnd w:id="206"/>
    </w:p>
    <w:p w14:paraId="102049E4">
      <w:pPr>
        <w:pStyle w:val="64"/>
        <w:spacing w:before="24" w:after="24"/>
        <w:rPr>
          <w:rFonts w:cs="Times New Roman"/>
        </w:rPr>
      </w:pPr>
      <w:bookmarkStart w:id="207" w:name="_Toc221894228"/>
      <w:r>
        <w:rPr>
          <w:rFonts w:cs="Times New Roman"/>
        </w:rPr>
        <w:t>1、交付内容</w:t>
      </w:r>
      <w:bookmarkEnd w:id="207"/>
    </w:p>
    <w:p w14:paraId="41BF7669">
      <w:pPr>
        <w:pStyle w:val="54"/>
        <w:spacing w:before="24" w:after="24"/>
      </w:pPr>
      <w:r>
        <w:t>（1）各阶段BIM模型。</w:t>
      </w:r>
    </w:p>
    <w:p w14:paraId="692E7807">
      <w:pPr>
        <w:pStyle w:val="54"/>
        <w:spacing w:before="24" w:after="24"/>
      </w:pPr>
      <w:r>
        <w:t>（2）碰撞检查报告、净高分析报告、工程量清单等成果报告文件。</w:t>
      </w:r>
    </w:p>
    <w:p w14:paraId="36BF953C">
      <w:pPr>
        <w:pStyle w:val="54"/>
        <w:spacing w:before="24" w:after="24"/>
      </w:pPr>
      <w:r>
        <w:t>（3）施工模拟动画、进度模拟动画、专项方案模拟动画等。</w:t>
      </w:r>
    </w:p>
    <w:p w14:paraId="6ECCFFD4">
      <w:pPr>
        <w:pStyle w:val="54"/>
        <w:spacing w:before="24" w:after="24"/>
      </w:pPr>
      <w:r>
        <w:t>（4）运维数据信息手册（包括设备参数、运维要求等）。</w:t>
      </w:r>
    </w:p>
    <w:p w14:paraId="497F4A79">
      <w:pPr>
        <w:pStyle w:val="54"/>
        <w:spacing w:before="24" w:after="24"/>
      </w:pPr>
      <w:r>
        <w:t>（5）发包人要求的其他交付成果内容。</w:t>
      </w:r>
    </w:p>
    <w:p w14:paraId="3358D182">
      <w:pPr>
        <w:pStyle w:val="64"/>
        <w:spacing w:before="24" w:after="24"/>
        <w:rPr>
          <w:rFonts w:cs="Times New Roman"/>
        </w:rPr>
      </w:pPr>
      <w:bookmarkStart w:id="208" w:name="_Toc221894229"/>
      <w:r>
        <w:rPr>
          <w:rFonts w:cs="Times New Roman"/>
        </w:rPr>
        <w:t>2、验收标准</w:t>
      </w:r>
      <w:bookmarkEnd w:id="208"/>
    </w:p>
    <w:p w14:paraId="716A41FD">
      <w:pPr>
        <w:pStyle w:val="54"/>
        <w:spacing w:before="24" w:after="24"/>
      </w:pPr>
      <w:r>
        <w:t>（1）模型完整性</w:t>
      </w:r>
    </w:p>
    <w:p w14:paraId="147277FB">
      <w:pPr>
        <w:pStyle w:val="54"/>
        <w:spacing w:before="24" w:after="24"/>
      </w:pPr>
      <w:r>
        <w:t>全专业模型构件无缺失、信息属性完整。</w:t>
      </w:r>
    </w:p>
    <w:p w14:paraId="06718F69">
      <w:pPr>
        <w:pStyle w:val="54"/>
        <w:spacing w:before="24" w:after="24"/>
      </w:pPr>
      <w:r>
        <w:t>（2）模型准确性</w:t>
      </w:r>
    </w:p>
    <w:p w14:paraId="4D975D99">
      <w:pPr>
        <w:pStyle w:val="54"/>
        <w:spacing w:before="24" w:after="24"/>
      </w:pPr>
      <w:r>
        <w:t>全专业模型构件与设计信息匹配对应，准确表达设计意图，模型与现场内容一致，达到图模一致、模实一致。</w:t>
      </w:r>
    </w:p>
    <w:p w14:paraId="42EEA819">
      <w:pPr>
        <w:pStyle w:val="54"/>
        <w:spacing w:before="24" w:after="24"/>
      </w:pPr>
      <w:r>
        <w:t>（3）管理单位审核</w:t>
      </w:r>
    </w:p>
    <w:p w14:paraId="58B3A80A">
      <w:pPr>
        <w:pStyle w:val="54"/>
        <w:spacing w:before="24" w:after="24"/>
      </w:pPr>
      <w:r>
        <w:t>承包人交付成果须通过项目管理单位审核。</w:t>
      </w:r>
    </w:p>
    <w:p w14:paraId="7F42631E">
      <w:pPr>
        <w:pStyle w:val="62"/>
      </w:pPr>
      <w:bookmarkStart w:id="209" w:name="_Toc221894230"/>
      <w:r>
        <w:t>（六）费用与责任要求</w:t>
      </w:r>
      <w:bookmarkEnd w:id="209"/>
    </w:p>
    <w:p w14:paraId="30E16DC9">
      <w:pPr>
        <w:pStyle w:val="64"/>
        <w:spacing w:before="24" w:after="24"/>
        <w:rPr>
          <w:rFonts w:cs="Times New Roman"/>
        </w:rPr>
      </w:pPr>
      <w:bookmarkStart w:id="210" w:name="_Toc221894231"/>
      <w:r>
        <w:rPr>
          <w:rFonts w:cs="Times New Roman"/>
        </w:rPr>
        <w:t>1、BIM费用</w:t>
      </w:r>
      <w:bookmarkEnd w:id="210"/>
    </w:p>
    <w:p w14:paraId="533D8379">
      <w:pPr>
        <w:pStyle w:val="54"/>
        <w:spacing w:before="24" w:after="24"/>
      </w:pPr>
      <w:r>
        <w:t>本项目的BIM费用在合同内约定。</w:t>
      </w:r>
    </w:p>
    <w:p w14:paraId="79E98F6C">
      <w:pPr>
        <w:pStyle w:val="64"/>
        <w:spacing w:before="24" w:after="24"/>
        <w:rPr>
          <w:rFonts w:cs="Times New Roman"/>
        </w:rPr>
      </w:pPr>
      <w:bookmarkStart w:id="211" w:name="_Toc221894232"/>
      <w:r>
        <w:rPr>
          <w:rFonts w:cs="Times New Roman"/>
        </w:rPr>
        <w:t>2、承包人责任</w:t>
      </w:r>
      <w:bookmarkEnd w:id="211"/>
    </w:p>
    <w:p w14:paraId="1030139B">
      <w:pPr>
        <w:pStyle w:val="54"/>
        <w:spacing w:before="24" w:after="24"/>
      </w:pPr>
      <w:r>
        <w:t>（1）因承包人模型错误导致返工、工期延误、投资浪费，由承包人承担相关损失。</w:t>
      </w:r>
    </w:p>
    <w:p w14:paraId="1F6CCE0B">
      <w:pPr>
        <w:pStyle w:val="54"/>
        <w:spacing w:before="24" w:after="24"/>
      </w:pPr>
      <w:r>
        <w:t>（2）本项目BIM模型及BIM成果文件知识产权为发包人所有，未经许可不得用于其他项目，违者将处于20000元/次罚款，且发包人有权追究其法律责任。</w:t>
      </w:r>
    </w:p>
    <w:p w14:paraId="2C294055">
      <w:pPr>
        <w:pStyle w:val="54"/>
        <w:spacing w:before="24" w:after="24"/>
      </w:pPr>
      <w:r>
        <w:t>（3）承包人未达到BIM考核指标（如模型准确度、精度、协同响应时效等），按2000元/次进行处罚，且发包人有权扣除对应考核内容部分的BIM实施费用。</w:t>
      </w:r>
    </w:p>
    <w:p w14:paraId="4595C988">
      <w:pPr>
        <w:pStyle w:val="54"/>
        <w:spacing w:before="24" w:after="24"/>
      </w:pPr>
      <w:r>
        <w:t>（4）承包人如多次未达到BIM考核标准，发包人有权视为承包人BIM实施能力未能满足项目BIM要求，有权针对未达标部分内容的BIM实施费用进行扣除，并对对应的合同工作内容进行调整（包括修改、减少、另行委托等）。</w:t>
      </w:r>
    </w:p>
    <w:p w14:paraId="1E613948">
      <w:pPr>
        <w:spacing w:before="24" w:after="24"/>
        <w:rPr>
          <w:rFonts w:ascii="Times New Roman" w:hAnsi="Times New Roman" w:cs="Times New Roman"/>
        </w:rPr>
      </w:pPr>
      <w:r>
        <w:rPr>
          <w:rFonts w:ascii="Times New Roman" w:hAnsi="Times New Roman" w:cs="Times New Roman"/>
        </w:rPr>
        <w:br w:type="page"/>
      </w:r>
    </w:p>
    <w:p w14:paraId="12DF2E97">
      <w:pPr>
        <w:pStyle w:val="53"/>
        <w:spacing w:before="24" w:after="24"/>
        <w:rPr>
          <w:rFonts w:cs="Times New Roman"/>
        </w:rPr>
      </w:pPr>
      <w:bookmarkStart w:id="212" w:name="_Toc221894233"/>
      <w:r>
        <w:rPr>
          <w:rFonts w:cs="Times New Roman"/>
        </w:rPr>
        <w:t>十三、财务管理要求</w:t>
      </w:r>
      <w:bookmarkEnd w:id="212"/>
    </w:p>
    <w:p w14:paraId="170B0983">
      <w:pPr>
        <w:pStyle w:val="54"/>
        <w:spacing w:before="24" w:after="24"/>
      </w:pPr>
      <w:r>
        <w:t>发包人拨付的工程进度款，竣工验收前，只能用于本项目的工程支出，并受发包人或发包人委托的第三方审计单位进行延伸监管审计，承包人应无条件予以配合。</w:t>
      </w:r>
    </w:p>
    <w:p w14:paraId="1D7891FA">
      <w:pPr>
        <w:pStyle w:val="54"/>
        <w:spacing w:before="24" w:after="24"/>
      </w:pPr>
      <w:r>
        <w:br w:type="page"/>
      </w:r>
    </w:p>
    <w:p w14:paraId="3584DDD1">
      <w:pPr>
        <w:pStyle w:val="53"/>
        <w:spacing w:before="24" w:after="24"/>
        <w:rPr>
          <w:rFonts w:cs="Times New Roman"/>
        </w:rPr>
      </w:pPr>
      <w:bookmarkStart w:id="213" w:name="_Toc221894234"/>
      <w:r>
        <w:rPr>
          <w:rFonts w:cs="Times New Roman"/>
        </w:rPr>
        <w:t>十四、构造做法及设备参数清单表</w:t>
      </w:r>
      <w:bookmarkEnd w:id="213"/>
    </w:p>
    <w:p w14:paraId="453E6508">
      <w:pPr>
        <w:pStyle w:val="62"/>
      </w:pPr>
      <w:bookmarkStart w:id="214" w:name="_Toc221894235"/>
      <w:r>
        <w:t>（一）土建构造做法</w:t>
      </w:r>
      <w:bookmarkEnd w:id="214"/>
    </w:p>
    <w:p w14:paraId="05B6B00A">
      <w:pPr>
        <w:pStyle w:val="66"/>
        <w:rPr>
          <w:rFonts w:cs="Times New Roman"/>
        </w:rPr>
      </w:pPr>
      <w:r>
        <w:rPr>
          <w:rFonts w:cs="Times New Roman"/>
        </w:rPr>
        <w:t>1、土建通用做法</w:t>
      </w:r>
    </w:p>
    <w:p w14:paraId="4C8C11BA">
      <w:pPr>
        <w:pStyle w:val="54"/>
        <w:spacing w:before="24" w:after="24"/>
      </w:pPr>
      <w:r>
        <w:t>适用范围：地上全部单体</w:t>
      </w:r>
    </w:p>
    <w:tbl>
      <w:tblPr>
        <w:tblStyle w:val="30"/>
        <w:tblW w:w="93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2"/>
        <w:gridCol w:w="1595"/>
        <w:gridCol w:w="1661"/>
        <w:gridCol w:w="4249"/>
        <w:gridCol w:w="1280"/>
      </w:tblGrid>
      <w:tr w14:paraId="04C712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562"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3490D8D9">
            <w:pPr>
              <w:pStyle w:val="71"/>
              <w:spacing w:before="24" w:after="24"/>
              <w:rPr>
                <w:rFonts w:cs="Times New Roman"/>
              </w:rPr>
            </w:pPr>
            <w:r>
              <w:rPr>
                <w:rFonts w:cs="Times New Roman"/>
              </w:rPr>
              <w:t>序号</w:t>
            </w:r>
          </w:p>
        </w:tc>
        <w:tc>
          <w:tcPr>
            <w:tcW w:w="1595"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33DBD33A">
            <w:pPr>
              <w:pStyle w:val="71"/>
              <w:spacing w:before="24" w:after="24"/>
              <w:rPr>
                <w:rFonts w:cs="Times New Roman"/>
              </w:rPr>
            </w:pPr>
            <w:r>
              <w:rPr>
                <w:rFonts w:cs="Times New Roman"/>
              </w:rPr>
              <w:t>名称</w:t>
            </w:r>
          </w:p>
        </w:tc>
        <w:tc>
          <w:tcPr>
            <w:tcW w:w="1661"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13431C1C">
            <w:pPr>
              <w:pStyle w:val="71"/>
              <w:spacing w:before="24" w:after="24"/>
              <w:rPr>
                <w:rFonts w:cs="Times New Roman"/>
              </w:rPr>
            </w:pPr>
            <w:r>
              <w:rPr>
                <w:rFonts w:cs="Times New Roman"/>
              </w:rPr>
              <w:t>部位</w:t>
            </w:r>
          </w:p>
        </w:tc>
        <w:tc>
          <w:tcPr>
            <w:tcW w:w="4249"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109A0EF4">
            <w:pPr>
              <w:pStyle w:val="71"/>
              <w:spacing w:before="24" w:after="24"/>
              <w:rPr>
                <w:rFonts w:cs="Times New Roman"/>
              </w:rPr>
            </w:pPr>
            <w:r>
              <w:rPr>
                <w:rFonts w:cs="Times New Roman"/>
              </w:rPr>
              <w:t>做法/规格参数</w:t>
            </w:r>
          </w:p>
        </w:tc>
        <w:tc>
          <w:tcPr>
            <w:tcW w:w="1280"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013C63A3">
            <w:pPr>
              <w:pStyle w:val="71"/>
              <w:spacing w:before="24" w:after="24"/>
              <w:rPr>
                <w:rFonts w:cs="Times New Roman"/>
              </w:rPr>
            </w:pPr>
            <w:r>
              <w:rPr>
                <w:rFonts w:cs="Times New Roman"/>
              </w:rPr>
              <w:t>备注</w:t>
            </w:r>
          </w:p>
        </w:tc>
      </w:tr>
      <w:tr w14:paraId="54584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347" w:type="dxa"/>
            <w:gridSpan w:val="5"/>
            <w:tcBorders>
              <w:top w:val="single" w:color="000000" w:sz="4" w:space="0"/>
              <w:left w:val="single" w:color="000000" w:sz="4" w:space="0"/>
              <w:bottom w:val="single" w:color="000000" w:sz="4" w:space="0"/>
              <w:right w:val="single" w:color="000000" w:sz="4" w:space="0"/>
            </w:tcBorders>
            <w:vAlign w:val="center"/>
          </w:tcPr>
          <w:p w14:paraId="640FFC8B">
            <w:pPr>
              <w:pStyle w:val="71"/>
              <w:spacing w:before="24" w:after="24"/>
              <w:rPr>
                <w:rFonts w:cs="Times New Roman"/>
              </w:rPr>
            </w:pPr>
            <w:r>
              <w:rPr>
                <w:rFonts w:cs="Times New Roman"/>
              </w:rPr>
              <w:t>屋面</w:t>
            </w:r>
          </w:p>
        </w:tc>
      </w:tr>
      <w:tr w14:paraId="3CE312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591FD93B">
            <w:pPr>
              <w:pStyle w:val="71"/>
              <w:spacing w:before="24" w:after="24"/>
              <w:rPr>
                <w:rFonts w:cs="Times New Roman"/>
              </w:rPr>
            </w:pPr>
            <w:r>
              <w:rPr>
                <w:rFonts w:cs="Times New Roman"/>
              </w:rPr>
              <w:t>1</w:t>
            </w:r>
          </w:p>
        </w:tc>
        <w:tc>
          <w:tcPr>
            <w:tcW w:w="1595" w:type="dxa"/>
            <w:tcBorders>
              <w:top w:val="single" w:color="000000" w:sz="4" w:space="0"/>
              <w:left w:val="single" w:color="000000" w:sz="4" w:space="0"/>
              <w:bottom w:val="single" w:color="000000" w:sz="4" w:space="0"/>
              <w:right w:val="single" w:color="000000" w:sz="4" w:space="0"/>
            </w:tcBorders>
            <w:vAlign w:val="center"/>
          </w:tcPr>
          <w:p w14:paraId="35DD9975">
            <w:pPr>
              <w:pStyle w:val="71"/>
              <w:spacing w:before="24" w:after="24"/>
              <w:rPr>
                <w:rFonts w:cs="Times New Roman"/>
              </w:rPr>
            </w:pPr>
            <w:r>
              <w:rPr>
                <w:rFonts w:cs="Times New Roman"/>
              </w:rPr>
              <w:t>屋面1（细石混凝土平屋面）</w:t>
            </w:r>
          </w:p>
        </w:tc>
        <w:tc>
          <w:tcPr>
            <w:tcW w:w="1661" w:type="dxa"/>
            <w:tcBorders>
              <w:top w:val="single" w:color="000000" w:sz="4" w:space="0"/>
              <w:left w:val="single" w:color="000000" w:sz="4" w:space="0"/>
              <w:bottom w:val="single" w:color="000000" w:sz="4" w:space="0"/>
              <w:right w:val="single" w:color="000000" w:sz="4" w:space="0"/>
            </w:tcBorders>
            <w:vAlign w:val="center"/>
          </w:tcPr>
          <w:p w14:paraId="1154DBFF">
            <w:pPr>
              <w:pStyle w:val="71"/>
              <w:spacing w:before="24" w:after="24"/>
              <w:jc w:val="both"/>
              <w:rPr>
                <w:rFonts w:cs="Times New Roman"/>
              </w:rPr>
            </w:pPr>
            <w:r>
              <w:rPr>
                <w:rFonts w:cs="Times New Roman"/>
              </w:rPr>
              <w:t>保温上人、不上人平屋面</w:t>
            </w:r>
          </w:p>
        </w:tc>
        <w:tc>
          <w:tcPr>
            <w:tcW w:w="4249" w:type="dxa"/>
            <w:tcBorders>
              <w:top w:val="single" w:color="000000" w:sz="4" w:space="0"/>
              <w:left w:val="single" w:color="000000" w:sz="4" w:space="0"/>
              <w:bottom w:val="single" w:color="000000" w:sz="4" w:space="0"/>
              <w:right w:val="single" w:color="000000" w:sz="4" w:space="0"/>
            </w:tcBorders>
            <w:vAlign w:val="center"/>
          </w:tcPr>
          <w:p w14:paraId="7F888BD7">
            <w:pPr>
              <w:pStyle w:val="71"/>
              <w:spacing w:before="24" w:after="24"/>
              <w:jc w:val="both"/>
              <w:rPr>
                <w:rFonts w:cs="Times New Roman"/>
              </w:rPr>
            </w:pPr>
            <w:r>
              <w:rPr>
                <w:rFonts w:cs="Times New Roman"/>
              </w:rPr>
              <w:t>1）最薄处40mm厚C20细石混凝土保护层兼找坡，坡向地漏，坡度2%（内配Φ6@200单层双向钢筋网片，分格缝纵横间距不应大于6m，钢筋网片在分格缝处、沿露台周边应断开,缝宽12mm,缝嵌防水油膏）；</w:t>
            </w:r>
          </w:p>
          <w:p w14:paraId="3469BEE0">
            <w:pPr>
              <w:pStyle w:val="71"/>
              <w:spacing w:before="24" w:after="24"/>
              <w:jc w:val="both"/>
              <w:rPr>
                <w:rFonts w:cs="Times New Roman"/>
              </w:rPr>
            </w:pPr>
            <w:r>
              <w:rPr>
                <w:rFonts w:cs="Times New Roman"/>
              </w:rPr>
              <w:t>2）挤塑聚苯乙烯板保温层（倒置式屋面保温层厚度根据节能设计增加25%）</w:t>
            </w:r>
          </w:p>
          <w:p w14:paraId="57CC764F">
            <w:pPr>
              <w:pStyle w:val="71"/>
              <w:spacing w:before="24" w:after="24"/>
              <w:jc w:val="both"/>
              <w:rPr>
                <w:rFonts w:cs="Times New Roman"/>
              </w:rPr>
            </w:pPr>
            <w:r>
              <w:rPr>
                <w:rFonts w:cs="Times New Roman"/>
              </w:rPr>
              <w:t>3）3.0+3.0厚弹性SBS改性沥青防水卷材（聚酯胎）Ⅱ型（沿墙上翻至建筑完成面以上300mm）</w:t>
            </w:r>
          </w:p>
          <w:p w14:paraId="59E393DB">
            <w:pPr>
              <w:pStyle w:val="71"/>
              <w:spacing w:before="24" w:after="24"/>
              <w:jc w:val="both"/>
              <w:rPr>
                <w:rFonts w:cs="Times New Roman"/>
              </w:rPr>
            </w:pPr>
            <w:r>
              <w:rPr>
                <w:rFonts w:cs="Times New Roman"/>
              </w:rPr>
              <w:t>4）2.0厚非固化橡胶沥青防水涂料（沿墙上翻至建筑完成面以上300mm）</w:t>
            </w:r>
          </w:p>
          <w:p w14:paraId="0AAC2CA0">
            <w:pPr>
              <w:pStyle w:val="71"/>
              <w:spacing w:before="24" w:after="24"/>
              <w:jc w:val="both"/>
              <w:rPr>
                <w:rFonts w:cs="Times New Roman"/>
              </w:rPr>
            </w:pPr>
            <w:r>
              <w:rPr>
                <w:rFonts w:cs="Times New Roman"/>
              </w:rPr>
              <w:t>5）钢筋混凝土屋面板，原浆抹平</w:t>
            </w:r>
          </w:p>
        </w:tc>
        <w:tc>
          <w:tcPr>
            <w:tcW w:w="1280" w:type="dxa"/>
            <w:tcBorders>
              <w:top w:val="single" w:color="000000" w:sz="4" w:space="0"/>
              <w:left w:val="single" w:color="000000" w:sz="4" w:space="0"/>
              <w:bottom w:val="single" w:color="000000" w:sz="4" w:space="0"/>
              <w:right w:val="single" w:color="000000" w:sz="4" w:space="0"/>
            </w:tcBorders>
            <w:vAlign w:val="center"/>
          </w:tcPr>
          <w:p w14:paraId="0A38B777">
            <w:pPr>
              <w:pStyle w:val="71"/>
              <w:spacing w:before="24" w:after="24"/>
              <w:jc w:val="left"/>
              <w:rPr>
                <w:rFonts w:cs="Times New Roman"/>
              </w:rPr>
            </w:pPr>
            <w:r>
              <w:rPr>
                <w:rFonts w:cs="Times New Roman"/>
              </w:rPr>
              <w:t>屋面防水等级为一级</w:t>
            </w:r>
          </w:p>
        </w:tc>
      </w:tr>
      <w:tr w14:paraId="13E520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6E50EE8F">
            <w:pPr>
              <w:pStyle w:val="71"/>
              <w:spacing w:before="24" w:after="24"/>
              <w:rPr>
                <w:rFonts w:cs="Times New Roman"/>
              </w:rPr>
            </w:pPr>
            <w:r>
              <w:rPr>
                <w:rFonts w:cs="Times New Roman"/>
              </w:rPr>
              <w:t>2</w:t>
            </w:r>
          </w:p>
        </w:tc>
        <w:tc>
          <w:tcPr>
            <w:tcW w:w="1595" w:type="dxa"/>
            <w:tcBorders>
              <w:top w:val="single" w:color="000000" w:sz="4" w:space="0"/>
              <w:left w:val="single" w:color="000000" w:sz="4" w:space="0"/>
              <w:bottom w:val="single" w:color="000000" w:sz="4" w:space="0"/>
              <w:right w:val="single" w:color="000000" w:sz="4" w:space="0"/>
            </w:tcBorders>
            <w:vAlign w:val="center"/>
          </w:tcPr>
          <w:p w14:paraId="31DCD11F">
            <w:pPr>
              <w:pStyle w:val="71"/>
              <w:spacing w:before="24" w:after="24"/>
              <w:rPr>
                <w:rFonts w:cs="Times New Roman"/>
              </w:rPr>
            </w:pPr>
            <w:r>
              <w:rPr>
                <w:rFonts w:cs="Times New Roman"/>
              </w:rPr>
              <w:t>屋面2（防滑地砖平屋面）</w:t>
            </w:r>
          </w:p>
        </w:tc>
        <w:tc>
          <w:tcPr>
            <w:tcW w:w="1661" w:type="dxa"/>
            <w:tcBorders>
              <w:top w:val="single" w:color="000000" w:sz="4" w:space="0"/>
              <w:left w:val="single" w:color="000000" w:sz="4" w:space="0"/>
              <w:bottom w:val="single" w:color="000000" w:sz="4" w:space="0"/>
              <w:right w:val="single" w:color="000000" w:sz="4" w:space="0"/>
            </w:tcBorders>
            <w:vAlign w:val="center"/>
          </w:tcPr>
          <w:p w14:paraId="7F4F5EC3">
            <w:pPr>
              <w:pStyle w:val="71"/>
              <w:spacing w:before="24" w:after="24"/>
              <w:jc w:val="both"/>
              <w:rPr>
                <w:rFonts w:cs="Times New Roman"/>
              </w:rPr>
            </w:pPr>
            <w:r>
              <w:rPr>
                <w:rFonts w:cs="Times New Roman"/>
              </w:rPr>
              <w:t>有保温需求的阳台及露台</w:t>
            </w:r>
          </w:p>
        </w:tc>
        <w:tc>
          <w:tcPr>
            <w:tcW w:w="4249" w:type="dxa"/>
            <w:tcBorders>
              <w:top w:val="single" w:color="000000" w:sz="4" w:space="0"/>
              <w:left w:val="single" w:color="000000" w:sz="4" w:space="0"/>
              <w:bottom w:val="single" w:color="000000" w:sz="4" w:space="0"/>
              <w:right w:val="single" w:color="000000" w:sz="4" w:space="0"/>
            </w:tcBorders>
            <w:vAlign w:val="center"/>
          </w:tcPr>
          <w:p w14:paraId="22F34A24">
            <w:pPr>
              <w:pStyle w:val="71"/>
              <w:spacing w:before="24" w:after="24"/>
              <w:jc w:val="both"/>
              <w:rPr>
                <w:rFonts w:cs="Times New Roman"/>
              </w:rPr>
            </w:pPr>
            <w:r>
              <w:rPr>
                <w:rFonts w:cs="Times New Roman"/>
              </w:rPr>
              <w:t>1）防滑地砖</w:t>
            </w:r>
          </w:p>
          <w:p w14:paraId="6A6FFEBF">
            <w:pPr>
              <w:pStyle w:val="71"/>
              <w:spacing w:before="24" w:after="24"/>
              <w:jc w:val="both"/>
              <w:rPr>
                <w:rFonts w:cs="Times New Roman"/>
              </w:rPr>
            </w:pPr>
            <w:r>
              <w:rPr>
                <w:rFonts w:cs="Times New Roman"/>
              </w:rPr>
              <w:t>2）20mm 1:2.5水泥砂浆找平层</w:t>
            </w:r>
          </w:p>
          <w:p w14:paraId="658CE403">
            <w:pPr>
              <w:pStyle w:val="71"/>
              <w:spacing w:before="24" w:after="24"/>
              <w:jc w:val="both"/>
              <w:rPr>
                <w:rFonts w:cs="Times New Roman"/>
              </w:rPr>
            </w:pPr>
            <w:r>
              <w:rPr>
                <w:rFonts w:cs="Times New Roman"/>
              </w:rPr>
              <w:t>3）最薄处40mm厚C20细石混凝土保护层兼找坡，坡向地漏，坡度2%（内配Φ6@200单层双向钢筋网片，分格缝纵横间距不应大于6m，钢筋网片在分格缝处、沿露台周边应断开,缝宽12mm,缝嵌防水油膏）</w:t>
            </w:r>
          </w:p>
          <w:p w14:paraId="6914463E">
            <w:pPr>
              <w:pStyle w:val="71"/>
              <w:spacing w:before="24" w:after="24"/>
              <w:jc w:val="both"/>
              <w:rPr>
                <w:rFonts w:cs="Times New Roman"/>
              </w:rPr>
            </w:pPr>
            <w:r>
              <w:rPr>
                <w:rFonts w:cs="Times New Roman"/>
              </w:rPr>
              <w:t>4）挤塑聚苯乙烯板保温层（倒置式屋面保温层厚度根据节能设计增加25%）</w:t>
            </w:r>
          </w:p>
          <w:p w14:paraId="49D79BBA">
            <w:pPr>
              <w:pStyle w:val="71"/>
              <w:spacing w:before="24" w:after="24"/>
              <w:jc w:val="both"/>
              <w:rPr>
                <w:rFonts w:cs="Times New Roman"/>
              </w:rPr>
            </w:pPr>
            <w:r>
              <w:rPr>
                <w:rFonts w:cs="Times New Roman"/>
              </w:rPr>
              <w:t>5）3.0+3.0厚弹性SBS改性沥青防水卷材（聚酯胎）Ⅱ型（沿墙上翻至建筑完成面以上300mm）</w:t>
            </w:r>
          </w:p>
          <w:p w14:paraId="6F7E1B4A">
            <w:pPr>
              <w:pStyle w:val="71"/>
              <w:spacing w:before="24" w:after="24"/>
              <w:jc w:val="both"/>
              <w:rPr>
                <w:rFonts w:cs="Times New Roman"/>
              </w:rPr>
            </w:pPr>
            <w:r>
              <w:rPr>
                <w:rFonts w:cs="Times New Roman"/>
              </w:rPr>
              <w:t>6）2.0厚非固化橡胶沥青防水涂料（沿墙上翻至建筑完成面以上300mm）</w:t>
            </w:r>
          </w:p>
          <w:p w14:paraId="53E9D53A">
            <w:pPr>
              <w:pStyle w:val="71"/>
              <w:spacing w:before="24" w:after="24"/>
              <w:jc w:val="both"/>
              <w:rPr>
                <w:rFonts w:cs="Times New Roman"/>
              </w:rPr>
            </w:pPr>
            <w:r>
              <w:rPr>
                <w:rFonts w:cs="Times New Roman"/>
              </w:rPr>
              <w:t>7）钢筋混凝土屋面板，原浆抹平</w:t>
            </w:r>
          </w:p>
        </w:tc>
        <w:tc>
          <w:tcPr>
            <w:tcW w:w="1280" w:type="dxa"/>
            <w:tcBorders>
              <w:top w:val="single" w:color="000000" w:sz="4" w:space="0"/>
              <w:left w:val="single" w:color="000000" w:sz="4" w:space="0"/>
              <w:bottom w:val="single" w:color="000000" w:sz="4" w:space="0"/>
              <w:right w:val="single" w:color="000000" w:sz="4" w:space="0"/>
            </w:tcBorders>
            <w:vAlign w:val="center"/>
          </w:tcPr>
          <w:p w14:paraId="4CA5E8E9">
            <w:pPr>
              <w:pStyle w:val="71"/>
              <w:spacing w:before="24" w:after="24"/>
              <w:jc w:val="left"/>
              <w:rPr>
                <w:rFonts w:cs="Times New Roman"/>
              </w:rPr>
            </w:pPr>
            <w:r>
              <w:rPr>
                <w:rFonts w:cs="Times New Roman"/>
              </w:rPr>
              <w:t>屋面防水等级为一级</w:t>
            </w:r>
          </w:p>
        </w:tc>
      </w:tr>
      <w:tr w14:paraId="3D7D0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7" w:hRule="atLeast"/>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581C4030">
            <w:pPr>
              <w:pStyle w:val="71"/>
              <w:spacing w:before="24" w:after="24"/>
              <w:rPr>
                <w:rFonts w:cs="Times New Roman"/>
              </w:rPr>
            </w:pPr>
            <w:r>
              <w:rPr>
                <w:rFonts w:cs="Times New Roman"/>
              </w:rPr>
              <w:t>3</w:t>
            </w:r>
          </w:p>
        </w:tc>
        <w:tc>
          <w:tcPr>
            <w:tcW w:w="1595" w:type="dxa"/>
            <w:tcBorders>
              <w:top w:val="single" w:color="000000" w:sz="4" w:space="0"/>
              <w:left w:val="single" w:color="000000" w:sz="4" w:space="0"/>
              <w:bottom w:val="single" w:color="000000" w:sz="4" w:space="0"/>
              <w:right w:val="single" w:color="000000" w:sz="4" w:space="0"/>
            </w:tcBorders>
            <w:vAlign w:val="center"/>
          </w:tcPr>
          <w:p w14:paraId="4ED7570A">
            <w:pPr>
              <w:pStyle w:val="71"/>
              <w:spacing w:before="24" w:after="24"/>
              <w:rPr>
                <w:rFonts w:cs="Times New Roman"/>
              </w:rPr>
            </w:pPr>
            <w:r>
              <w:rPr>
                <w:rFonts w:cs="Times New Roman"/>
              </w:rPr>
              <w:t>屋面3（保温不上人坡屋面）</w:t>
            </w:r>
          </w:p>
        </w:tc>
        <w:tc>
          <w:tcPr>
            <w:tcW w:w="1661" w:type="dxa"/>
            <w:tcBorders>
              <w:top w:val="single" w:color="000000" w:sz="4" w:space="0"/>
              <w:left w:val="single" w:color="000000" w:sz="4" w:space="0"/>
              <w:bottom w:val="single" w:color="000000" w:sz="4" w:space="0"/>
              <w:right w:val="single" w:color="000000" w:sz="4" w:space="0"/>
            </w:tcBorders>
            <w:vAlign w:val="center"/>
          </w:tcPr>
          <w:p w14:paraId="36330029">
            <w:pPr>
              <w:pStyle w:val="71"/>
              <w:spacing w:before="24" w:after="24"/>
              <w:jc w:val="both"/>
              <w:rPr>
                <w:rFonts w:cs="Times New Roman"/>
              </w:rPr>
            </w:pPr>
            <w:r>
              <w:rPr>
                <w:rFonts w:cs="Times New Roman"/>
              </w:rPr>
              <w:t>保温坡屋面</w:t>
            </w:r>
          </w:p>
        </w:tc>
        <w:tc>
          <w:tcPr>
            <w:tcW w:w="4249" w:type="dxa"/>
            <w:tcBorders>
              <w:top w:val="single" w:color="000000" w:sz="4" w:space="0"/>
              <w:left w:val="single" w:color="000000" w:sz="4" w:space="0"/>
              <w:bottom w:val="single" w:color="000000" w:sz="4" w:space="0"/>
              <w:right w:val="single" w:color="000000" w:sz="4" w:space="0"/>
            </w:tcBorders>
            <w:vAlign w:val="center"/>
          </w:tcPr>
          <w:p w14:paraId="5D9A0374">
            <w:pPr>
              <w:pStyle w:val="71"/>
              <w:numPr>
                <w:ilvl w:val="0"/>
                <w:numId w:val="11"/>
              </w:numPr>
              <w:spacing w:before="24" w:after="24"/>
              <w:jc w:val="both"/>
              <w:rPr>
                <w:rFonts w:cs="Times New Roman"/>
              </w:rPr>
            </w:pPr>
            <w:r>
              <w:rPr>
                <w:rFonts w:hint="eastAsia" w:cs="Times New Roman"/>
              </w:rPr>
              <w:t>彩石金属瓦</w:t>
            </w:r>
          </w:p>
          <w:p w14:paraId="78835BD1">
            <w:pPr>
              <w:pStyle w:val="71"/>
              <w:spacing w:before="24" w:after="24"/>
              <w:jc w:val="both"/>
              <w:rPr>
                <w:rFonts w:cs="Times New Roman"/>
              </w:rPr>
            </w:pPr>
            <w:r>
              <w:rPr>
                <w:rFonts w:cs="Times New Roman"/>
              </w:rPr>
              <w:t>2）挂瓦条做法以施工图设计为准</w:t>
            </w:r>
          </w:p>
          <w:p w14:paraId="62666998">
            <w:pPr>
              <w:pStyle w:val="71"/>
              <w:spacing w:before="24" w:after="24"/>
              <w:jc w:val="both"/>
              <w:rPr>
                <w:rFonts w:cs="Times New Roman"/>
              </w:rPr>
            </w:pPr>
            <w:r>
              <w:rPr>
                <w:rFonts w:cs="Times New Roman"/>
              </w:rPr>
              <w:t>3）顺水条做法以施工图设计为准</w:t>
            </w:r>
          </w:p>
          <w:p w14:paraId="0DEDD20D">
            <w:pPr>
              <w:pStyle w:val="71"/>
              <w:spacing w:before="24" w:after="24"/>
              <w:jc w:val="both"/>
              <w:rPr>
                <w:rFonts w:cs="Times New Roman"/>
              </w:rPr>
            </w:pPr>
            <w:r>
              <w:rPr>
                <w:rFonts w:cs="Times New Roman"/>
              </w:rPr>
              <w:t>4）40厚C20细石混凝土持钉层，（内配双向内配</w:t>
            </w:r>
            <w:r>
              <w:rPr>
                <w:rFonts w:ascii="Cambria Math" w:hAnsi="Cambria Math" w:cs="Cambria Math"/>
              </w:rPr>
              <w:t>∅</w:t>
            </w:r>
            <w:r>
              <w:rPr>
                <w:rFonts w:cs="Times New Roman"/>
              </w:rPr>
              <w:t>6＠200钢筋网片与屋面板预埋</w:t>
            </w:r>
            <w:r>
              <w:rPr>
                <w:rFonts w:ascii="Cambria Math" w:hAnsi="Cambria Math" w:cs="Cambria Math"/>
              </w:rPr>
              <w:t>∅</w:t>
            </w:r>
            <w:r>
              <w:rPr>
                <w:rFonts w:cs="Times New Roman"/>
              </w:rPr>
              <w:t>10钢筋头绑牢），提浆压光</w:t>
            </w:r>
          </w:p>
          <w:p w14:paraId="779FEA6D">
            <w:pPr>
              <w:pStyle w:val="71"/>
              <w:spacing w:before="24" w:after="24"/>
              <w:jc w:val="both"/>
              <w:rPr>
                <w:rFonts w:cs="Times New Roman"/>
              </w:rPr>
            </w:pPr>
            <w:r>
              <w:rPr>
                <w:rFonts w:cs="Times New Roman"/>
              </w:rPr>
              <w:t>5）挤塑聚苯乙烯板保温层（倒置式屋面保温层厚度根据节能设计增加25%）</w:t>
            </w:r>
          </w:p>
          <w:p w14:paraId="4CF15028">
            <w:pPr>
              <w:pStyle w:val="71"/>
              <w:spacing w:before="24" w:after="24"/>
              <w:jc w:val="both"/>
              <w:rPr>
                <w:rFonts w:cs="Times New Roman"/>
              </w:rPr>
            </w:pPr>
            <w:r>
              <w:rPr>
                <w:rFonts w:cs="Times New Roman"/>
              </w:rPr>
              <w:t>6）3.0厚弹性SBS改性沥青防水卷材（聚酯胎）Ⅱ型（檐沟、接缝处防水翻边及附加层详见图纸）</w:t>
            </w:r>
          </w:p>
          <w:p w14:paraId="609CF269">
            <w:pPr>
              <w:pStyle w:val="71"/>
              <w:spacing w:before="24" w:after="24"/>
              <w:jc w:val="both"/>
              <w:rPr>
                <w:rFonts w:cs="Times New Roman"/>
              </w:rPr>
            </w:pPr>
            <w:r>
              <w:rPr>
                <w:rFonts w:cs="Times New Roman"/>
              </w:rPr>
              <w:t>7）2.0厚非固化橡胶沥青防水涂料（檐沟、接缝处防水翻边及附加层详见图纸）</w:t>
            </w:r>
          </w:p>
          <w:p w14:paraId="000C84DC">
            <w:pPr>
              <w:pStyle w:val="71"/>
              <w:spacing w:before="24" w:after="24"/>
              <w:jc w:val="both"/>
              <w:rPr>
                <w:rFonts w:cs="Times New Roman"/>
              </w:rPr>
            </w:pPr>
            <w:r>
              <w:rPr>
                <w:rFonts w:cs="Times New Roman"/>
              </w:rPr>
              <w:t>8）20厚1：2.5水泥砂浆找平层</w:t>
            </w:r>
          </w:p>
          <w:p w14:paraId="7B518FCF">
            <w:pPr>
              <w:pStyle w:val="71"/>
              <w:spacing w:before="24" w:after="24"/>
              <w:jc w:val="both"/>
              <w:rPr>
                <w:rFonts w:cs="Times New Roman"/>
              </w:rPr>
            </w:pPr>
            <w:r>
              <w:rPr>
                <w:rFonts w:cs="Times New Roman"/>
              </w:rPr>
              <w:t>9）钢筋混凝土屋面板，原浆抹平</w:t>
            </w:r>
          </w:p>
        </w:tc>
        <w:tc>
          <w:tcPr>
            <w:tcW w:w="1280" w:type="dxa"/>
            <w:tcBorders>
              <w:top w:val="single" w:color="000000" w:sz="4" w:space="0"/>
              <w:left w:val="single" w:color="000000" w:sz="4" w:space="0"/>
              <w:bottom w:val="single" w:color="000000" w:sz="4" w:space="0"/>
              <w:right w:val="single" w:color="000000" w:sz="4" w:space="0"/>
            </w:tcBorders>
            <w:vAlign w:val="center"/>
          </w:tcPr>
          <w:p w14:paraId="0306F8A2">
            <w:pPr>
              <w:pStyle w:val="71"/>
              <w:spacing w:before="24" w:after="24"/>
              <w:jc w:val="left"/>
              <w:rPr>
                <w:rFonts w:cs="Times New Roman"/>
              </w:rPr>
            </w:pPr>
            <w:r>
              <w:rPr>
                <w:rFonts w:cs="Times New Roman"/>
              </w:rPr>
              <w:t>屋面防水等级为一级</w:t>
            </w:r>
          </w:p>
        </w:tc>
      </w:tr>
      <w:tr w14:paraId="7BD306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006EC6A1">
            <w:pPr>
              <w:pStyle w:val="71"/>
              <w:spacing w:before="24" w:after="24"/>
              <w:rPr>
                <w:rFonts w:cs="Times New Roman"/>
              </w:rPr>
            </w:pPr>
            <w:r>
              <w:rPr>
                <w:rFonts w:cs="Times New Roman"/>
              </w:rPr>
              <w:t>4</w:t>
            </w:r>
          </w:p>
        </w:tc>
        <w:tc>
          <w:tcPr>
            <w:tcW w:w="1595" w:type="dxa"/>
            <w:tcBorders>
              <w:top w:val="single" w:color="000000" w:sz="4" w:space="0"/>
              <w:left w:val="single" w:color="000000" w:sz="4" w:space="0"/>
              <w:bottom w:val="single" w:color="000000" w:sz="4" w:space="0"/>
              <w:right w:val="single" w:color="000000" w:sz="4" w:space="0"/>
            </w:tcBorders>
            <w:vAlign w:val="center"/>
          </w:tcPr>
          <w:p w14:paraId="34C6B11B">
            <w:pPr>
              <w:pStyle w:val="71"/>
              <w:spacing w:before="24" w:after="24"/>
              <w:rPr>
                <w:rFonts w:cs="Times New Roman"/>
              </w:rPr>
            </w:pPr>
            <w:r>
              <w:rPr>
                <w:rFonts w:cs="Times New Roman"/>
              </w:rPr>
              <w:t>屋面4（防水屋面）</w:t>
            </w:r>
          </w:p>
        </w:tc>
        <w:tc>
          <w:tcPr>
            <w:tcW w:w="1661" w:type="dxa"/>
            <w:tcBorders>
              <w:top w:val="single" w:color="000000" w:sz="4" w:space="0"/>
              <w:left w:val="single" w:color="000000" w:sz="4" w:space="0"/>
              <w:bottom w:val="single" w:color="000000" w:sz="4" w:space="0"/>
              <w:right w:val="single" w:color="000000" w:sz="4" w:space="0"/>
            </w:tcBorders>
            <w:vAlign w:val="center"/>
          </w:tcPr>
          <w:p w14:paraId="45852F80">
            <w:pPr>
              <w:pStyle w:val="71"/>
              <w:spacing w:before="24" w:after="24"/>
              <w:jc w:val="both"/>
              <w:rPr>
                <w:rFonts w:cs="Times New Roman"/>
              </w:rPr>
            </w:pPr>
            <w:r>
              <w:rPr>
                <w:rFonts w:cs="Times New Roman"/>
              </w:rPr>
              <w:t>雨篷、凸出外墙的混凝土挑板、设备平台、外天沟、风井顶、出屋面管井顶</w:t>
            </w:r>
          </w:p>
        </w:tc>
        <w:tc>
          <w:tcPr>
            <w:tcW w:w="4249" w:type="dxa"/>
            <w:tcBorders>
              <w:top w:val="single" w:color="000000" w:sz="4" w:space="0"/>
              <w:left w:val="single" w:color="000000" w:sz="4" w:space="0"/>
              <w:bottom w:val="single" w:color="000000" w:sz="4" w:space="0"/>
              <w:right w:val="single" w:color="000000" w:sz="4" w:space="0"/>
            </w:tcBorders>
            <w:vAlign w:val="center"/>
          </w:tcPr>
          <w:p w14:paraId="217C2CE9">
            <w:pPr>
              <w:pStyle w:val="71"/>
              <w:spacing w:before="24" w:after="24"/>
              <w:jc w:val="both"/>
              <w:rPr>
                <w:rFonts w:cs="Times New Roman"/>
              </w:rPr>
            </w:pPr>
            <w:r>
              <w:rPr>
                <w:rFonts w:cs="Times New Roman"/>
              </w:rPr>
              <w:t>1）最薄20厚1：2.5水泥砂浆找坡，找坡坡向雨水口或外侧</w:t>
            </w:r>
          </w:p>
          <w:p w14:paraId="33D3BBEA">
            <w:pPr>
              <w:pStyle w:val="71"/>
              <w:spacing w:before="24" w:after="24"/>
              <w:jc w:val="both"/>
              <w:rPr>
                <w:rFonts w:cs="Times New Roman"/>
              </w:rPr>
            </w:pPr>
            <w:r>
              <w:rPr>
                <w:rFonts w:cs="Times New Roman"/>
              </w:rPr>
              <w:t>2）1.5厚JS聚合物水泥基涂膜防水（Ⅱ型）（沿墙上翻300mm，上翻高度以建筑完成面往上）</w:t>
            </w:r>
          </w:p>
          <w:p w14:paraId="5CDCCE9B">
            <w:pPr>
              <w:pStyle w:val="71"/>
              <w:spacing w:before="24" w:after="24"/>
              <w:jc w:val="both"/>
              <w:rPr>
                <w:rFonts w:cs="Times New Roman"/>
              </w:rPr>
            </w:pPr>
            <w:r>
              <w:rPr>
                <w:rFonts w:cs="Times New Roman"/>
              </w:rPr>
              <w:t>3）钢筋混凝土结构板，原浆抹平</w:t>
            </w:r>
          </w:p>
        </w:tc>
        <w:tc>
          <w:tcPr>
            <w:tcW w:w="1280" w:type="dxa"/>
            <w:tcBorders>
              <w:top w:val="single" w:color="000000" w:sz="4" w:space="0"/>
              <w:left w:val="single" w:color="000000" w:sz="4" w:space="0"/>
              <w:bottom w:val="single" w:color="000000" w:sz="4" w:space="0"/>
              <w:right w:val="single" w:color="000000" w:sz="4" w:space="0"/>
            </w:tcBorders>
            <w:vAlign w:val="center"/>
          </w:tcPr>
          <w:p w14:paraId="1DEEFEE8">
            <w:pPr>
              <w:pStyle w:val="71"/>
              <w:spacing w:before="24" w:after="24"/>
              <w:jc w:val="left"/>
              <w:rPr>
                <w:rFonts w:cs="Times New Roman"/>
              </w:rPr>
            </w:pPr>
            <w:r>
              <w:rPr>
                <w:rFonts w:cs="Times New Roman"/>
              </w:rPr>
              <w:t>屋面防水等级为一级</w:t>
            </w:r>
          </w:p>
          <w:p w14:paraId="74B5C1A6">
            <w:pPr>
              <w:pStyle w:val="71"/>
              <w:spacing w:before="24" w:after="24"/>
              <w:rPr>
                <w:rFonts w:cs="Times New Roman"/>
              </w:rPr>
            </w:pPr>
          </w:p>
        </w:tc>
      </w:tr>
      <w:tr w14:paraId="53456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69AA46A8">
            <w:pPr>
              <w:pStyle w:val="71"/>
              <w:spacing w:before="24" w:after="24"/>
              <w:rPr>
                <w:rFonts w:cs="Times New Roman"/>
              </w:rPr>
            </w:pPr>
            <w:r>
              <w:rPr>
                <w:rFonts w:cs="Times New Roman"/>
              </w:rPr>
              <w:t>5</w:t>
            </w:r>
          </w:p>
        </w:tc>
        <w:tc>
          <w:tcPr>
            <w:tcW w:w="1595" w:type="dxa"/>
            <w:tcBorders>
              <w:top w:val="single" w:color="000000" w:sz="4" w:space="0"/>
              <w:left w:val="single" w:color="000000" w:sz="4" w:space="0"/>
              <w:bottom w:val="single" w:color="000000" w:sz="4" w:space="0"/>
              <w:right w:val="single" w:color="000000" w:sz="4" w:space="0"/>
            </w:tcBorders>
            <w:vAlign w:val="center"/>
          </w:tcPr>
          <w:p w14:paraId="44658AC0">
            <w:pPr>
              <w:pStyle w:val="71"/>
              <w:spacing w:before="24" w:after="24"/>
              <w:rPr>
                <w:rFonts w:cs="Times New Roman"/>
              </w:rPr>
            </w:pPr>
            <w:r>
              <w:rPr>
                <w:rFonts w:cs="Times New Roman"/>
              </w:rPr>
              <w:t>屋面5（种植屋面）</w:t>
            </w:r>
          </w:p>
        </w:tc>
        <w:tc>
          <w:tcPr>
            <w:tcW w:w="1661" w:type="dxa"/>
            <w:tcBorders>
              <w:top w:val="single" w:color="000000" w:sz="4" w:space="0"/>
              <w:left w:val="single" w:color="000000" w:sz="4" w:space="0"/>
              <w:bottom w:val="single" w:color="000000" w:sz="4" w:space="0"/>
              <w:right w:val="single" w:color="000000" w:sz="4" w:space="0"/>
            </w:tcBorders>
            <w:vAlign w:val="center"/>
          </w:tcPr>
          <w:p w14:paraId="0688BAED">
            <w:pPr>
              <w:pStyle w:val="71"/>
              <w:spacing w:before="24" w:after="24"/>
              <w:jc w:val="both"/>
              <w:rPr>
                <w:rFonts w:cs="Times New Roman"/>
              </w:rPr>
            </w:pPr>
            <w:r>
              <w:rPr>
                <w:rFonts w:cs="Times New Roman"/>
              </w:rPr>
              <w:t>种植屋面</w:t>
            </w:r>
          </w:p>
        </w:tc>
        <w:tc>
          <w:tcPr>
            <w:tcW w:w="4249" w:type="dxa"/>
            <w:tcBorders>
              <w:top w:val="single" w:color="000000" w:sz="4" w:space="0"/>
              <w:left w:val="single" w:color="000000" w:sz="4" w:space="0"/>
              <w:bottom w:val="single" w:color="000000" w:sz="4" w:space="0"/>
              <w:right w:val="single" w:color="000000" w:sz="4" w:space="0"/>
            </w:tcBorders>
            <w:vAlign w:val="center"/>
          </w:tcPr>
          <w:p w14:paraId="4677BB0A">
            <w:pPr>
              <w:pStyle w:val="71"/>
              <w:spacing w:before="24" w:after="24"/>
              <w:jc w:val="both"/>
              <w:rPr>
                <w:rFonts w:cs="Times New Roman"/>
              </w:rPr>
            </w:pPr>
            <w:r>
              <w:rPr>
                <w:rFonts w:cs="Times New Roman"/>
              </w:rPr>
              <w:t>1）种植覆土层，详景观设计</w:t>
            </w:r>
          </w:p>
          <w:p w14:paraId="7A4F3729">
            <w:pPr>
              <w:pStyle w:val="71"/>
              <w:spacing w:before="24" w:after="24"/>
              <w:jc w:val="both"/>
              <w:rPr>
                <w:rFonts w:cs="Times New Roman"/>
              </w:rPr>
            </w:pPr>
            <w:r>
              <w:rPr>
                <w:rFonts w:cs="Times New Roman"/>
              </w:rPr>
              <w:t>2）≥200g/m2无纺布过滤层</w:t>
            </w:r>
          </w:p>
          <w:p w14:paraId="4C041981">
            <w:pPr>
              <w:pStyle w:val="71"/>
              <w:spacing w:before="24" w:after="24"/>
              <w:jc w:val="both"/>
              <w:rPr>
                <w:rFonts w:cs="Times New Roman"/>
              </w:rPr>
            </w:pPr>
            <w:r>
              <w:rPr>
                <w:rFonts w:cs="Times New Roman"/>
              </w:rPr>
              <w:t>3）10-20高凹凸型排（蓄）水板</w:t>
            </w:r>
          </w:p>
          <w:p w14:paraId="54533C35">
            <w:pPr>
              <w:pStyle w:val="71"/>
              <w:spacing w:before="24" w:after="24"/>
              <w:jc w:val="both"/>
              <w:rPr>
                <w:rFonts w:cs="Times New Roman"/>
              </w:rPr>
            </w:pPr>
            <w:r>
              <w:rPr>
                <w:rFonts w:cs="Times New Roman"/>
              </w:rPr>
              <w:t>4）最薄处40mm厚C20细石混凝土保护层兼找坡，坡向地漏，坡度2%（内配Φ6@200单层双向钢筋网片，分格缝纵横间距不应大于6m，钢筋网片在分格缝处、沿露台周边应断开,缝宽12mm,缝嵌防水油膏）</w:t>
            </w:r>
          </w:p>
          <w:p w14:paraId="1839AEFF">
            <w:pPr>
              <w:pStyle w:val="71"/>
              <w:spacing w:before="24" w:after="24"/>
              <w:jc w:val="both"/>
              <w:rPr>
                <w:rFonts w:cs="Times New Roman"/>
              </w:rPr>
            </w:pPr>
            <w:r>
              <w:rPr>
                <w:rFonts w:cs="Times New Roman"/>
              </w:rPr>
              <w:t>5）200g/㎡无纺布隔离层</w:t>
            </w:r>
          </w:p>
          <w:p w14:paraId="77FB3C22">
            <w:pPr>
              <w:pStyle w:val="71"/>
              <w:spacing w:before="24" w:after="24"/>
              <w:jc w:val="both"/>
              <w:rPr>
                <w:rFonts w:cs="Times New Roman"/>
              </w:rPr>
            </w:pPr>
            <w:r>
              <w:rPr>
                <w:rFonts w:cs="Times New Roman"/>
              </w:rPr>
              <w:t>6）4厚SBS改性沥青耐根穿刺防水卷材（Ⅱ型）</w:t>
            </w:r>
          </w:p>
          <w:p w14:paraId="7C3ED9D6">
            <w:pPr>
              <w:pStyle w:val="71"/>
              <w:spacing w:before="24" w:after="24"/>
              <w:jc w:val="both"/>
              <w:rPr>
                <w:rFonts w:cs="Times New Roman"/>
              </w:rPr>
            </w:pPr>
            <w:r>
              <w:rPr>
                <w:rFonts w:cs="Times New Roman"/>
              </w:rPr>
              <w:t>7）3mm厚SBS改性沥青防水卷材（聚酯胎类）</w:t>
            </w:r>
          </w:p>
          <w:p w14:paraId="1237DFC1">
            <w:pPr>
              <w:pStyle w:val="71"/>
              <w:spacing w:before="24" w:after="24"/>
              <w:jc w:val="both"/>
              <w:rPr>
                <w:rFonts w:cs="Times New Roman"/>
              </w:rPr>
            </w:pPr>
            <w:r>
              <w:rPr>
                <w:rFonts w:cs="Times New Roman"/>
              </w:rPr>
              <w:t>8） 2.0mm厚非固化橡胶沥青防水涂料</w:t>
            </w:r>
          </w:p>
          <w:p w14:paraId="048FB014">
            <w:pPr>
              <w:pStyle w:val="71"/>
              <w:spacing w:before="24" w:after="24"/>
              <w:jc w:val="both"/>
              <w:rPr>
                <w:rFonts w:cs="Times New Roman"/>
              </w:rPr>
            </w:pPr>
            <w:r>
              <w:rPr>
                <w:rFonts w:cs="Times New Roman"/>
              </w:rPr>
              <w:t>9）20mm厚1：3水泥砂浆找平层</w:t>
            </w:r>
          </w:p>
          <w:p w14:paraId="1762B540">
            <w:pPr>
              <w:pStyle w:val="71"/>
              <w:spacing w:before="24" w:after="24"/>
              <w:jc w:val="both"/>
              <w:rPr>
                <w:rFonts w:cs="Times New Roman"/>
              </w:rPr>
            </w:pPr>
            <w:r>
              <w:rPr>
                <w:rFonts w:cs="Times New Roman"/>
              </w:rPr>
              <w:t>10）挤塑聚苯乙烯板保温层（厚度按节能设计）</w:t>
            </w:r>
          </w:p>
          <w:p w14:paraId="40D024C1">
            <w:pPr>
              <w:pStyle w:val="71"/>
              <w:spacing w:before="24" w:after="24"/>
              <w:jc w:val="both"/>
              <w:rPr>
                <w:rFonts w:cs="Times New Roman"/>
              </w:rPr>
            </w:pPr>
            <w:r>
              <w:rPr>
                <w:rFonts w:cs="Times New Roman"/>
              </w:rPr>
              <w:t>11）钢筋混凝土屋面结构板，原浆收光，表面清理干净,阳角磨圆，阴角用1：2水泥砂浆抹R≥50mm圆弧。结构24小时闭水试验。</w:t>
            </w:r>
          </w:p>
        </w:tc>
        <w:tc>
          <w:tcPr>
            <w:tcW w:w="1280" w:type="dxa"/>
            <w:tcBorders>
              <w:top w:val="single" w:color="000000" w:sz="4" w:space="0"/>
              <w:left w:val="single" w:color="000000" w:sz="4" w:space="0"/>
              <w:bottom w:val="single" w:color="000000" w:sz="4" w:space="0"/>
              <w:right w:val="single" w:color="000000" w:sz="4" w:space="0"/>
            </w:tcBorders>
            <w:vAlign w:val="center"/>
          </w:tcPr>
          <w:p w14:paraId="0C1EC50D">
            <w:pPr>
              <w:pStyle w:val="71"/>
              <w:spacing w:before="24" w:after="24"/>
              <w:jc w:val="left"/>
              <w:rPr>
                <w:rFonts w:cs="Times New Roman"/>
              </w:rPr>
            </w:pPr>
            <w:r>
              <w:rPr>
                <w:rFonts w:cs="Times New Roman"/>
              </w:rPr>
              <w:t>屋面防水等级为一级</w:t>
            </w:r>
          </w:p>
          <w:p w14:paraId="137A3B66">
            <w:pPr>
              <w:pStyle w:val="71"/>
              <w:spacing w:before="24" w:after="24"/>
              <w:rPr>
                <w:rFonts w:cs="Times New Roman"/>
              </w:rPr>
            </w:pPr>
          </w:p>
        </w:tc>
      </w:tr>
      <w:tr w14:paraId="4E6AB2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347" w:type="dxa"/>
            <w:gridSpan w:val="5"/>
            <w:tcBorders>
              <w:top w:val="single" w:color="000000" w:sz="4" w:space="0"/>
              <w:left w:val="single" w:color="000000" w:sz="4" w:space="0"/>
              <w:bottom w:val="single" w:color="000000" w:sz="4" w:space="0"/>
              <w:right w:val="single" w:color="000000" w:sz="4" w:space="0"/>
            </w:tcBorders>
            <w:vAlign w:val="center"/>
          </w:tcPr>
          <w:p w14:paraId="28FEB4CC">
            <w:pPr>
              <w:pStyle w:val="71"/>
              <w:spacing w:before="24" w:after="24"/>
              <w:rPr>
                <w:rFonts w:cs="Times New Roman"/>
              </w:rPr>
            </w:pPr>
            <w:r>
              <w:rPr>
                <w:rFonts w:cs="Times New Roman"/>
              </w:rPr>
              <w:t>外墙</w:t>
            </w:r>
          </w:p>
        </w:tc>
      </w:tr>
      <w:tr w14:paraId="62310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6E6000FF">
            <w:pPr>
              <w:pStyle w:val="71"/>
              <w:spacing w:before="24" w:after="24"/>
              <w:rPr>
                <w:rFonts w:cs="Times New Roman"/>
              </w:rPr>
            </w:pPr>
            <w:r>
              <w:rPr>
                <w:rFonts w:cs="Times New Roman"/>
              </w:rPr>
              <w:t>1</w:t>
            </w:r>
          </w:p>
        </w:tc>
        <w:tc>
          <w:tcPr>
            <w:tcW w:w="1595" w:type="dxa"/>
            <w:tcBorders>
              <w:top w:val="single" w:color="000000" w:sz="4" w:space="0"/>
              <w:left w:val="single" w:color="000000" w:sz="4" w:space="0"/>
              <w:bottom w:val="single" w:color="000000" w:sz="4" w:space="0"/>
              <w:right w:val="single" w:color="000000" w:sz="4" w:space="0"/>
            </w:tcBorders>
            <w:vAlign w:val="center"/>
          </w:tcPr>
          <w:p w14:paraId="741325FA">
            <w:pPr>
              <w:pStyle w:val="71"/>
              <w:spacing w:before="24" w:after="24"/>
              <w:rPr>
                <w:rFonts w:cs="Times New Roman"/>
              </w:rPr>
            </w:pPr>
            <w:r>
              <w:rPr>
                <w:rFonts w:cs="Times New Roman"/>
              </w:rPr>
              <w:t>外墙1（涂料/真石漆外墙）</w:t>
            </w:r>
          </w:p>
        </w:tc>
        <w:tc>
          <w:tcPr>
            <w:tcW w:w="1661" w:type="dxa"/>
            <w:tcBorders>
              <w:top w:val="single" w:color="000000" w:sz="4" w:space="0"/>
              <w:left w:val="single" w:color="000000" w:sz="4" w:space="0"/>
              <w:bottom w:val="single" w:color="000000" w:sz="4" w:space="0"/>
              <w:right w:val="single" w:color="000000" w:sz="4" w:space="0"/>
            </w:tcBorders>
            <w:vAlign w:val="center"/>
          </w:tcPr>
          <w:p w14:paraId="1DA4E507">
            <w:pPr>
              <w:pStyle w:val="71"/>
              <w:spacing w:before="24" w:after="24"/>
              <w:jc w:val="both"/>
              <w:rPr>
                <w:rFonts w:cs="Times New Roman"/>
              </w:rPr>
            </w:pPr>
            <w:r>
              <w:rPr>
                <w:rFonts w:cs="Times New Roman"/>
              </w:rPr>
              <w:t>外墙</w:t>
            </w:r>
          </w:p>
        </w:tc>
        <w:tc>
          <w:tcPr>
            <w:tcW w:w="4249" w:type="dxa"/>
            <w:tcBorders>
              <w:top w:val="single" w:color="000000" w:sz="4" w:space="0"/>
              <w:left w:val="single" w:color="000000" w:sz="4" w:space="0"/>
              <w:bottom w:val="single" w:color="000000" w:sz="4" w:space="0"/>
              <w:right w:val="single" w:color="000000" w:sz="4" w:space="0"/>
            </w:tcBorders>
            <w:vAlign w:val="center"/>
          </w:tcPr>
          <w:p w14:paraId="59F30519">
            <w:pPr>
              <w:pStyle w:val="71"/>
              <w:spacing w:before="24" w:after="24"/>
              <w:jc w:val="both"/>
              <w:rPr>
                <w:rFonts w:cs="Times New Roman"/>
              </w:rPr>
            </w:pPr>
            <w:r>
              <w:rPr>
                <w:rFonts w:cs="Times New Roman"/>
              </w:rPr>
              <w:t>1）刷墙固、刷底漆、真石漆（喷涂两遍）、罩面漆（喷涂一遍）</w:t>
            </w:r>
          </w:p>
          <w:p w14:paraId="5B177BD4">
            <w:pPr>
              <w:pStyle w:val="71"/>
              <w:spacing w:before="24" w:after="24"/>
              <w:jc w:val="both"/>
              <w:rPr>
                <w:rFonts w:cs="Times New Roman"/>
              </w:rPr>
            </w:pPr>
            <w:r>
              <w:rPr>
                <w:rFonts w:cs="Times New Roman"/>
              </w:rPr>
              <w:t>2）外墙柔性腻子两遍，打磨平整</w:t>
            </w:r>
          </w:p>
          <w:p w14:paraId="2EF65580">
            <w:pPr>
              <w:pStyle w:val="71"/>
              <w:spacing w:before="24" w:after="24"/>
              <w:jc w:val="both"/>
              <w:rPr>
                <w:rFonts w:cs="Times New Roman"/>
              </w:rPr>
            </w:pPr>
            <w:r>
              <w:rPr>
                <w:rFonts w:cs="Times New Roman"/>
              </w:rPr>
              <w:t>3）5厚聚合物抗裂砂浆（复合耐碱玻纤网格布（100g/㎡）</w:t>
            </w:r>
          </w:p>
          <w:p w14:paraId="3B3ACF0A">
            <w:pPr>
              <w:pStyle w:val="71"/>
              <w:spacing w:before="24" w:after="24"/>
              <w:jc w:val="both"/>
              <w:rPr>
                <w:rFonts w:cs="Times New Roman"/>
              </w:rPr>
            </w:pPr>
            <w:r>
              <w:rPr>
                <w:rFonts w:cs="Times New Roman"/>
              </w:rPr>
              <w:t>4）玻化微珠保温砂浆（具体厚度以节能计算为准）</w:t>
            </w:r>
          </w:p>
          <w:p w14:paraId="5A258DAB">
            <w:pPr>
              <w:pStyle w:val="71"/>
              <w:spacing w:before="24" w:after="24"/>
              <w:jc w:val="both"/>
              <w:rPr>
                <w:rFonts w:cs="Times New Roman"/>
              </w:rPr>
            </w:pPr>
            <w:r>
              <w:rPr>
                <w:rFonts w:cs="Times New Roman"/>
              </w:rPr>
              <w:t>5）1.5mm厚JS-I型防水涂料</w:t>
            </w:r>
          </w:p>
          <w:p w14:paraId="6DB8CD8F">
            <w:pPr>
              <w:pStyle w:val="71"/>
              <w:spacing w:before="24" w:after="24"/>
              <w:jc w:val="both"/>
              <w:rPr>
                <w:rFonts w:cs="Times New Roman"/>
              </w:rPr>
            </w:pPr>
            <w:r>
              <w:rPr>
                <w:rFonts w:cs="Times New Roman"/>
              </w:rPr>
              <w:t>6）10厚1：3水泥砂浆打底（掺5%防水剂）</w:t>
            </w:r>
          </w:p>
          <w:p w14:paraId="65B2CB20">
            <w:pPr>
              <w:pStyle w:val="71"/>
              <w:spacing w:before="24" w:after="24"/>
              <w:jc w:val="both"/>
              <w:rPr>
                <w:rFonts w:cs="Times New Roman"/>
              </w:rPr>
            </w:pPr>
            <w:r>
              <w:rPr>
                <w:rFonts w:cs="Times New Roman"/>
              </w:rPr>
              <w:t>7）基层清理，保证外墙混凝土平整度（垂平≤4mm）</w:t>
            </w:r>
          </w:p>
        </w:tc>
        <w:tc>
          <w:tcPr>
            <w:tcW w:w="1280" w:type="dxa"/>
            <w:tcBorders>
              <w:top w:val="single" w:color="000000" w:sz="4" w:space="0"/>
              <w:left w:val="single" w:color="000000" w:sz="4" w:space="0"/>
              <w:bottom w:val="single" w:color="000000" w:sz="4" w:space="0"/>
              <w:right w:val="single" w:color="000000" w:sz="4" w:space="0"/>
            </w:tcBorders>
            <w:vAlign w:val="center"/>
          </w:tcPr>
          <w:p w14:paraId="17278549">
            <w:pPr>
              <w:pStyle w:val="71"/>
              <w:spacing w:before="24" w:after="24"/>
              <w:rPr>
                <w:rFonts w:cs="Times New Roman"/>
              </w:rPr>
            </w:pPr>
          </w:p>
        </w:tc>
      </w:tr>
      <w:tr w14:paraId="72836D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0D30756C">
            <w:pPr>
              <w:pStyle w:val="71"/>
              <w:spacing w:before="24" w:after="24"/>
              <w:rPr>
                <w:rFonts w:cs="Times New Roman"/>
              </w:rPr>
            </w:pPr>
            <w:r>
              <w:rPr>
                <w:rFonts w:cs="Times New Roman"/>
              </w:rPr>
              <w:t>2</w:t>
            </w:r>
          </w:p>
        </w:tc>
        <w:tc>
          <w:tcPr>
            <w:tcW w:w="1595" w:type="dxa"/>
            <w:tcBorders>
              <w:top w:val="single" w:color="000000" w:sz="4" w:space="0"/>
              <w:left w:val="single" w:color="000000" w:sz="4" w:space="0"/>
              <w:bottom w:val="single" w:color="000000" w:sz="4" w:space="0"/>
              <w:right w:val="single" w:color="000000" w:sz="4" w:space="0"/>
            </w:tcBorders>
            <w:vAlign w:val="center"/>
          </w:tcPr>
          <w:p w14:paraId="171562BD">
            <w:pPr>
              <w:pStyle w:val="71"/>
              <w:spacing w:before="24" w:after="24"/>
              <w:rPr>
                <w:rFonts w:cs="Times New Roman"/>
              </w:rPr>
            </w:pPr>
            <w:r>
              <w:rPr>
                <w:rFonts w:cs="Times New Roman"/>
              </w:rPr>
              <w:t>外墙2（涂料墙面一）</w:t>
            </w:r>
          </w:p>
        </w:tc>
        <w:tc>
          <w:tcPr>
            <w:tcW w:w="1661" w:type="dxa"/>
            <w:tcBorders>
              <w:top w:val="single" w:color="000000" w:sz="4" w:space="0"/>
              <w:left w:val="single" w:color="000000" w:sz="4" w:space="0"/>
              <w:bottom w:val="single" w:color="000000" w:sz="4" w:space="0"/>
              <w:right w:val="single" w:color="000000" w:sz="4" w:space="0"/>
            </w:tcBorders>
            <w:vAlign w:val="center"/>
          </w:tcPr>
          <w:p w14:paraId="2A79B079">
            <w:pPr>
              <w:pStyle w:val="71"/>
              <w:spacing w:before="24" w:after="24"/>
              <w:jc w:val="both"/>
              <w:rPr>
                <w:rFonts w:cs="Times New Roman"/>
              </w:rPr>
            </w:pPr>
            <w:r>
              <w:rPr>
                <w:rFonts w:cs="Times New Roman"/>
              </w:rPr>
              <w:t>涂料外墙</w:t>
            </w:r>
          </w:p>
        </w:tc>
        <w:tc>
          <w:tcPr>
            <w:tcW w:w="4249" w:type="dxa"/>
            <w:tcBorders>
              <w:top w:val="single" w:color="000000" w:sz="4" w:space="0"/>
              <w:left w:val="single" w:color="000000" w:sz="4" w:space="0"/>
              <w:bottom w:val="single" w:color="000000" w:sz="4" w:space="0"/>
              <w:right w:val="single" w:color="000000" w:sz="4" w:space="0"/>
            </w:tcBorders>
            <w:vAlign w:val="center"/>
          </w:tcPr>
          <w:p w14:paraId="1973D432">
            <w:pPr>
              <w:pStyle w:val="71"/>
              <w:spacing w:before="24" w:after="24"/>
              <w:jc w:val="both"/>
              <w:rPr>
                <w:rFonts w:cs="Times New Roman"/>
              </w:rPr>
            </w:pPr>
            <w:r>
              <w:rPr>
                <w:rFonts w:cs="Times New Roman"/>
              </w:rPr>
              <w:t>1）外墙涂料喷涂</w:t>
            </w:r>
          </w:p>
          <w:p w14:paraId="0BA04B86">
            <w:pPr>
              <w:pStyle w:val="71"/>
              <w:spacing w:before="24" w:after="24"/>
              <w:jc w:val="both"/>
              <w:rPr>
                <w:rFonts w:cs="Times New Roman"/>
              </w:rPr>
            </w:pPr>
            <w:r>
              <w:rPr>
                <w:rFonts w:cs="Times New Roman"/>
              </w:rPr>
              <w:t>2）外墙柔性腻子两遍，打磨平整</w:t>
            </w:r>
          </w:p>
          <w:p w14:paraId="1F7E007D">
            <w:pPr>
              <w:pStyle w:val="71"/>
              <w:spacing w:before="24" w:after="24"/>
              <w:jc w:val="both"/>
              <w:rPr>
                <w:rFonts w:cs="Times New Roman"/>
              </w:rPr>
            </w:pPr>
            <w:r>
              <w:rPr>
                <w:rFonts w:cs="Times New Roman"/>
              </w:rPr>
              <w:t>3）5厚聚合物抗裂砂浆（复合耐碱玻纤网格布（100g/㎡）</w:t>
            </w:r>
          </w:p>
          <w:p w14:paraId="3FE586B7">
            <w:pPr>
              <w:pStyle w:val="71"/>
              <w:spacing w:before="24" w:after="24"/>
              <w:jc w:val="both"/>
              <w:rPr>
                <w:rFonts w:cs="Times New Roman"/>
              </w:rPr>
            </w:pPr>
            <w:r>
              <w:rPr>
                <w:rFonts w:cs="Times New Roman"/>
              </w:rPr>
              <w:t>4）玻化微珠保温砂浆（具体厚度以节能计算为准）</w:t>
            </w:r>
          </w:p>
          <w:p w14:paraId="636DE302">
            <w:pPr>
              <w:pStyle w:val="71"/>
              <w:spacing w:before="24" w:after="24"/>
              <w:jc w:val="both"/>
              <w:rPr>
                <w:rFonts w:cs="Times New Roman"/>
              </w:rPr>
            </w:pPr>
            <w:r>
              <w:rPr>
                <w:rFonts w:cs="Times New Roman"/>
              </w:rPr>
              <w:t>5）1.5mm厚JS-I型防水涂料</w:t>
            </w:r>
          </w:p>
          <w:p w14:paraId="09AABD57">
            <w:pPr>
              <w:pStyle w:val="71"/>
              <w:spacing w:before="24" w:after="24"/>
              <w:jc w:val="both"/>
              <w:rPr>
                <w:rFonts w:cs="Times New Roman"/>
              </w:rPr>
            </w:pPr>
            <w:r>
              <w:rPr>
                <w:rFonts w:cs="Times New Roman"/>
              </w:rPr>
              <w:t>6）10厚1：3水泥砂浆打底（掺5%防水剂）</w:t>
            </w:r>
          </w:p>
          <w:p w14:paraId="762E5E83">
            <w:pPr>
              <w:pStyle w:val="71"/>
              <w:spacing w:before="24" w:after="24"/>
              <w:jc w:val="both"/>
              <w:rPr>
                <w:rFonts w:cs="Times New Roman"/>
              </w:rPr>
            </w:pPr>
            <w:r>
              <w:rPr>
                <w:rFonts w:cs="Times New Roman"/>
              </w:rPr>
              <w:t>7）基层清理，保证外墙混凝土平整度（垂平≤4mm）</w:t>
            </w:r>
          </w:p>
        </w:tc>
        <w:tc>
          <w:tcPr>
            <w:tcW w:w="1280" w:type="dxa"/>
            <w:tcBorders>
              <w:top w:val="single" w:color="000000" w:sz="4" w:space="0"/>
              <w:left w:val="single" w:color="000000" w:sz="4" w:space="0"/>
              <w:bottom w:val="single" w:color="000000" w:sz="4" w:space="0"/>
              <w:right w:val="single" w:color="000000" w:sz="4" w:space="0"/>
            </w:tcBorders>
            <w:vAlign w:val="center"/>
          </w:tcPr>
          <w:p w14:paraId="6BECB25C">
            <w:pPr>
              <w:pStyle w:val="71"/>
              <w:spacing w:before="24" w:after="24"/>
              <w:rPr>
                <w:rFonts w:cs="Times New Roman"/>
              </w:rPr>
            </w:pPr>
          </w:p>
        </w:tc>
      </w:tr>
      <w:tr w14:paraId="1F13A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370BDD7A">
            <w:pPr>
              <w:pStyle w:val="71"/>
              <w:spacing w:before="24" w:after="24"/>
              <w:rPr>
                <w:rFonts w:cs="Times New Roman"/>
              </w:rPr>
            </w:pPr>
            <w:r>
              <w:rPr>
                <w:rFonts w:cs="Times New Roman"/>
              </w:rPr>
              <w:t>3</w:t>
            </w:r>
          </w:p>
        </w:tc>
        <w:tc>
          <w:tcPr>
            <w:tcW w:w="1595" w:type="dxa"/>
            <w:tcBorders>
              <w:top w:val="single" w:color="000000" w:sz="4" w:space="0"/>
              <w:left w:val="single" w:color="000000" w:sz="4" w:space="0"/>
              <w:bottom w:val="single" w:color="000000" w:sz="4" w:space="0"/>
              <w:right w:val="single" w:color="000000" w:sz="4" w:space="0"/>
            </w:tcBorders>
            <w:vAlign w:val="center"/>
          </w:tcPr>
          <w:p w14:paraId="5D3C6A69">
            <w:pPr>
              <w:pStyle w:val="71"/>
              <w:spacing w:before="24" w:after="24"/>
              <w:rPr>
                <w:rFonts w:cs="Times New Roman"/>
              </w:rPr>
            </w:pPr>
            <w:r>
              <w:rPr>
                <w:rFonts w:cs="Times New Roman"/>
              </w:rPr>
              <w:t>外墙3（涂料墙面二）</w:t>
            </w:r>
          </w:p>
          <w:p w14:paraId="71CB16DB">
            <w:pPr>
              <w:pStyle w:val="71"/>
              <w:spacing w:before="24" w:after="24"/>
              <w:jc w:val="both"/>
              <w:rPr>
                <w:rFonts w:cs="Times New Roman"/>
              </w:rPr>
            </w:pPr>
          </w:p>
        </w:tc>
        <w:tc>
          <w:tcPr>
            <w:tcW w:w="1661" w:type="dxa"/>
            <w:tcBorders>
              <w:top w:val="single" w:color="000000" w:sz="4" w:space="0"/>
              <w:left w:val="single" w:color="000000" w:sz="4" w:space="0"/>
              <w:bottom w:val="single" w:color="000000" w:sz="4" w:space="0"/>
              <w:right w:val="single" w:color="000000" w:sz="4" w:space="0"/>
            </w:tcBorders>
            <w:vAlign w:val="center"/>
          </w:tcPr>
          <w:p w14:paraId="1738D229">
            <w:pPr>
              <w:pStyle w:val="71"/>
              <w:spacing w:before="24" w:after="24"/>
              <w:jc w:val="both"/>
              <w:rPr>
                <w:rFonts w:cs="Times New Roman"/>
              </w:rPr>
            </w:pPr>
            <w:r>
              <w:rPr>
                <w:rFonts w:cs="Times New Roman"/>
              </w:rPr>
              <w:t>阳台、露台矮墙内侧</w:t>
            </w:r>
          </w:p>
        </w:tc>
        <w:tc>
          <w:tcPr>
            <w:tcW w:w="4249" w:type="dxa"/>
            <w:tcBorders>
              <w:top w:val="single" w:color="000000" w:sz="4" w:space="0"/>
              <w:left w:val="single" w:color="000000" w:sz="4" w:space="0"/>
              <w:bottom w:val="single" w:color="000000" w:sz="4" w:space="0"/>
              <w:right w:val="single" w:color="000000" w:sz="4" w:space="0"/>
            </w:tcBorders>
            <w:vAlign w:val="center"/>
          </w:tcPr>
          <w:p w14:paraId="79E33972">
            <w:pPr>
              <w:pStyle w:val="71"/>
              <w:spacing w:before="24" w:after="24"/>
              <w:jc w:val="both"/>
              <w:rPr>
                <w:rFonts w:cs="Times New Roman"/>
              </w:rPr>
            </w:pPr>
            <w:r>
              <w:rPr>
                <w:rFonts w:cs="Times New Roman"/>
              </w:rPr>
              <w:t>1）外墙涂料喷涂</w:t>
            </w:r>
          </w:p>
          <w:p w14:paraId="1D1FC05B">
            <w:pPr>
              <w:pStyle w:val="71"/>
              <w:spacing w:before="24" w:after="24"/>
              <w:jc w:val="both"/>
              <w:rPr>
                <w:rFonts w:cs="Times New Roman"/>
              </w:rPr>
            </w:pPr>
            <w:r>
              <w:rPr>
                <w:rFonts w:cs="Times New Roman"/>
              </w:rPr>
              <w:t>2）外墙柔性腻子两遍，打磨平整</w:t>
            </w:r>
          </w:p>
          <w:p w14:paraId="662312F0">
            <w:pPr>
              <w:pStyle w:val="71"/>
              <w:spacing w:before="24" w:after="24"/>
              <w:jc w:val="both"/>
              <w:rPr>
                <w:rFonts w:cs="Times New Roman"/>
              </w:rPr>
            </w:pPr>
            <w:r>
              <w:rPr>
                <w:rFonts w:cs="Times New Roman"/>
              </w:rPr>
              <w:t>3）15厚1：2.5水泥砂找平</w:t>
            </w:r>
          </w:p>
          <w:p w14:paraId="6A9A5DA6">
            <w:pPr>
              <w:pStyle w:val="71"/>
              <w:spacing w:before="24" w:after="24"/>
              <w:jc w:val="both"/>
              <w:rPr>
                <w:rFonts w:cs="Times New Roman"/>
              </w:rPr>
            </w:pPr>
            <w:r>
              <w:rPr>
                <w:rFonts w:cs="Times New Roman"/>
              </w:rPr>
              <w:t>4）墙体基层</w:t>
            </w:r>
          </w:p>
        </w:tc>
        <w:tc>
          <w:tcPr>
            <w:tcW w:w="1280" w:type="dxa"/>
            <w:tcBorders>
              <w:top w:val="single" w:color="000000" w:sz="4" w:space="0"/>
              <w:left w:val="single" w:color="000000" w:sz="4" w:space="0"/>
              <w:bottom w:val="single" w:color="000000" w:sz="4" w:space="0"/>
              <w:right w:val="single" w:color="000000" w:sz="4" w:space="0"/>
            </w:tcBorders>
            <w:vAlign w:val="center"/>
          </w:tcPr>
          <w:p w14:paraId="3F0788B0">
            <w:pPr>
              <w:pStyle w:val="71"/>
              <w:spacing w:before="24" w:after="24"/>
              <w:rPr>
                <w:rFonts w:cs="Times New Roman"/>
              </w:rPr>
            </w:pPr>
          </w:p>
        </w:tc>
      </w:tr>
      <w:tr w14:paraId="0622E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508271D5">
            <w:pPr>
              <w:pStyle w:val="71"/>
              <w:spacing w:before="24" w:after="24"/>
              <w:rPr>
                <w:rFonts w:cs="Times New Roman"/>
              </w:rPr>
            </w:pPr>
            <w:r>
              <w:rPr>
                <w:rFonts w:cs="Times New Roman"/>
              </w:rPr>
              <w:t>4</w:t>
            </w:r>
          </w:p>
        </w:tc>
        <w:tc>
          <w:tcPr>
            <w:tcW w:w="1595" w:type="dxa"/>
            <w:tcBorders>
              <w:top w:val="single" w:color="000000" w:sz="4" w:space="0"/>
              <w:left w:val="single" w:color="000000" w:sz="4" w:space="0"/>
              <w:bottom w:val="single" w:color="000000" w:sz="4" w:space="0"/>
              <w:right w:val="single" w:color="000000" w:sz="4" w:space="0"/>
            </w:tcBorders>
            <w:vAlign w:val="center"/>
          </w:tcPr>
          <w:p w14:paraId="3755E254">
            <w:pPr>
              <w:pStyle w:val="71"/>
              <w:spacing w:before="24" w:after="24"/>
              <w:rPr>
                <w:rFonts w:cs="Times New Roman"/>
              </w:rPr>
            </w:pPr>
            <w:r>
              <w:rPr>
                <w:rFonts w:cs="Times New Roman"/>
              </w:rPr>
              <w:t>外墙2（水泥砂浆外墙）</w:t>
            </w:r>
          </w:p>
        </w:tc>
        <w:tc>
          <w:tcPr>
            <w:tcW w:w="1661" w:type="dxa"/>
            <w:tcBorders>
              <w:top w:val="single" w:color="000000" w:sz="4" w:space="0"/>
              <w:left w:val="single" w:color="000000" w:sz="4" w:space="0"/>
              <w:bottom w:val="single" w:color="000000" w:sz="4" w:space="0"/>
              <w:right w:val="single" w:color="000000" w:sz="4" w:space="0"/>
            </w:tcBorders>
            <w:vAlign w:val="center"/>
          </w:tcPr>
          <w:p w14:paraId="74D88435">
            <w:pPr>
              <w:pStyle w:val="71"/>
              <w:spacing w:before="24" w:after="24"/>
              <w:jc w:val="both"/>
              <w:rPr>
                <w:rFonts w:cs="Times New Roman"/>
              </w:rPr>
            </w:pPr>
            <w:r>
              <w:rPr>
                <w:rFonts w:cs="Times New Roman"/>
              </w:rPr>
              <w:t>女儿墙内侧/顶部</w:t>
            </w:r>
          </w:p>
        </w:tc>
        <w:tc>
          <w:tcPr>
            <w:tcW w:w="4249" w:type="dxa"/>
            <w:tcBorders>
              <w:top w:val="single" w:color="000000" w:sz="4" w:space="0"/>
              <w:left w:val="single" w:color="000000" w:sz="4" w:space="0"/>
              <w:bottom w:val="single" w:color="000000" w:sz="4" w:space="0"/>
              <w:right w:val="single" w:color="000000" w:sz="4" w:space="0"/>
            </w:tcBorders>
            <w:vAlign w:val="center"/>
          </w:tcPr>
          <w:p w14:paraId="3154E156">
            <w:pPr>
              <w:pStyle w:val="71"/>
              <w:spacing w:before="24" w:after="24"/>
              <w:jc w:val="both"/>
              <w:rPr>
                <w:rFonts w:cs="Times New Roman"/>
              </w:rPr>
            </w:pPr>
            <w:r>
              <w:rPr>
                <w:rFonts w:cs="Times New Roman"/>
              </w:rPr>
              <w:t>1）15厚1：2.5水泥砂找平</w:t>
            </w:r>
          </w:p>
          <w:p w14:paraId="2055724A">
            <w:pPr>
              <w:pStyle w:val="71"/>
              <w:spacing w:before="24" w:after="24"/>
              <w:jc w:val="both"/>
              <w:rPr>
                <w:rFonts w:cs="Times New Roman"/>
              </w:rPr>
            </w:pPr>
            <w:r>
              <w:rPr>
                <w:rFonts w:cs="Times New Roman"/>
              </w:rPr>
              <w:t>2）墙体基层</w:t>
            </w:r>
          </w:p>
        </w:tc>
        <w:tc>
          <w:tcPr>
            <w:tcW w:w="1280" w:type="dxa"/>
            <w:tcBorders>
              <w:top w:val="single" w:color="000000" w:sz="4" w:space="0"/>
              <w:left w:val="single" w:color="000000" w:sz="4" w:space="0"/>
              <w:bottom w:val="single" w:color="000000" w:sz="4" w:space="0"/>
              <w:right w:val="single" w:color="000000" w:sz="4" w:space="0"/>
            </w:tcBorders>
            <w:vAlign w:val="center"/>
          </w:tcPr>
          <w:p w14:paraId="090E56C1">
            <w:pPr>
              <w:pStyle w:val="71"/>
              <w:spacing w:before="24" w:after="24"/>
              <w:rPr>
                <w:rFonts w:cs="Times New Roman"/>
              </w:rPr>
            </w:pPr>
          </w:p>
        </w:tc>
      </w:tr>
      <w:tr w14:paraId="7E03EE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347" w:type="dxa"/>
            <w:gridSpan w:val="5"/>
            <w:tcBorders>
              <w:top w:val="single" w:color="000000" w:sz="4" w:space="0"/>
              <w:left w:val="single" w:color="000000" w:sz="4" w:space="0"/>
              <w:bottom w:val="single" w:color="000000" w:sz="4" w:space="0"/>
              <w:right w:val="single" w:color="000000" w:sz="4" w:space="0"/>
            </w:tcBorders>
            <w:vAlign w:val="center"/>
          </w:tcPr>
          <w:p w14:paraId="038770ED">
            <w:pPr>
              <w:pStyle w:val="71"/>
              <w:spacing w:before="24" w:after="24"/>
              <w:rPr>
                <w:rFonts w:cs="Times New Roman"/>
              </w:rPr>
            </w:pPr>
            <w:r>
              <w:rPr>
                <w:rFonts w:cs="Times New Roman"/>
              </w:rPr>
              <w:t>踢脚</w:t>
            </w:r>
          </w:p>
        </w:tc>
      </w:tr>
      <w:tr w14:paraId="4F919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77E0382C">
            <w:pPr>
              <w:pStyle w:val="71"/>
              <w:spacing w:before="24" w:after="24"/>
              <w:rPr>
                <w:rFonts w:cs="Times New Roman"/>
              </w:rPr>
            </w:pPr>
            <w:r>
              <w:rPr>
                <w:rFonts w:cs="Times New Roman"/>
              </w:rPr>
              <w:t>1</w:t>
            </w:r>
          </w:p>
        </w:tc>
        <w:tc>
          <w:tcPr>
            <w:tcW w:w="1595" w:type="dxa"/>
            <w:tcBorders>
              <w:top w:val="single" w:color="000000" w:sz="4" w:space="0"/>
              <w:left w:val="single" w:color="000000" w:sz="4" w:space="0"/>
              <w:bottom w:val="single" w:color="000000" w:sz="4" w:space="0"/>
              <w:right w:val="single" w:color="000000" w:sz="4" w:space="0"/>
            </w:tcBorders>
            <w:vAlign w:val="center"/>
          </w:tcPr>
          <w:p w14:paraId="6FD7F461">
            <w:pPr>
              <w:pStyle w:val="71"/>
              <w:spacing w:before="24" w:after="24"/>
              <w:rPr>
                <w:rFonts w:cs="Times New Roman"/>
              </w:rPr>
            </w:pPr>
            <w:r>
              <w:rPr>
                <w:rFonts w:cs="Times New Roman"/>
              </w:rPr>
              <w:t>踢脚1（地砖踢脚）</w:t>
            </w:r>
          </w:p>
        </w:tc>
        <w:tc>
          <w:tcPr>
            <w:tcW w:w="1661" w:type="dxa"/>
            <w:tcBorders>
              <w:top w:val="single" w:color="000000" w:sz="4" w:space="0"/>
              <w:left w:val="single" w:color="000000" w:sz="4" w:space="0"/>
              <w:bottom w:val="single" w:color="000000" w:sz="4" w:space="0"/>
              <w:right w:val="single" w:color="000000" w:sz="4" w:space="0"/>
            </w:tcBorders>
            <w:vAlign w:val="center"/>
          </w:tcPr>
          <w:p w14:paraId="4AC72BF1">
            <w:pPr>
              <w:pStyle w:val="71"/>
              <w:spacing w:before="24" w:after="24"/>
              <w:jc w:val="both"/>
              <w:rPr>
                <w:rFonts w:cs="Times New Roman"/>
              </w:rPr>
            </w:pPr>
            <w:r>
              <w:rPr>
                <w:rFonts w:cs="Times New Roman"/>
              </w:rPr>
              <w:t>地砖地面的房间</w:t>
            </w:r>
          </w:p>
        </w:tc>
        <w:tc>
          <w:tcPr>
            <w:tcW w:w="4249" w:type="dxa"/>
            <w:tcBorders>
              <w:top w:val="single" w:color="000000" w:sz="4" w:space="0"/>
              <w:left w:val="single" w:color="000000" w:sz="4" w:space="0"/>
              <w:bottom w:val="single" w:color="000000" w:sz="4" w:space="0"/>
              <w:right w:val="single" w:color="000000" w:sz="4" w:space="0"/>
            </w:tcBorders>
            <w:vAlign w:val="center"/>
          </w:tcPr>
          <w:p w14:paraId="55ED9C62">
            <w:pPr>
              <w:pStyle w:val="71"/>
              <w:spacing w:before="24" w:after="24"/>
              <w:jc w:val="both"/>
              <w:rPr>
                <w:rFonts w:cs="Times New Roman"/>
              </w:rPr>
            </w:pPr>
            <w:r>
              <w:rPr>
                <w:rFonts w:cs="Times New Roman"/>
              </w:rPr>
              <w:t>1）100高配套地砖踢脚</w:t>
            </w:r>
          </w:p>
          <w:p w14:paraId="179541A8">
            <w:pPr>
              <w:pStyle w:val="71"/>
              <w:spacing w:before="24" w:after="24"/>
              <w:jc w:val="both"/>
              <w:rPr>
                <w:rFonts w:cs="Times New Roman"/>
              </w:rPr>
            </w:pPr>
            <w:r>
              <w:rPr>
                <w:rFonts w:cs="Times New Roman"/>
              </w:rPr>
              <w:t>2）5mm厚1</w:t>
            </w:r>
            <w:r>
              <w:rPr>
                <w:rFonts w:ascii="Cambria Math" w:hAnsi="Cambria Math" w:cs="Cambria Math"/>
              </w:rPr>
              <w:t>∶</w:t>
            </w:r>
            <w:r>
              <w:rPr>
                <w:rFonts w:cs="Times New Roman"/>
              </w:rPr>
              <w:t>1.5水泥砂浆粘结层</w:t>
            </w:r>
          </w:p>
          <w:p w14:paraId="54048CA4">
            <w:pPr>
              <w:pStyle w:val="71"/>
              <w:spacing w:before="24" w:after="24"/>
              <w:jc w:val="both"/>
              <w:rPr>
                <w:rFonts w:cs="Times New Roman"/>
              </w:rPr>
            </w:pPr>
            <w:r>
              <w:rPr>
                <w:rFonts w:cs="Times New Roman"/>
              </w:rPr>
              <w:t>3）基层处理</w:t>
            </w:r>
          </w:p>
        </w:tc>
        <w:tc>
          <w:tcPr>
            <w:tcW w:w="1280" w:type="dxa"/>
            <w:tcBorders>
              <w:top w:val="single" w:color="000000" w:sz="4" w:space="0"/>
              <w:left w:val="single" w:color="000000" w:sz="4" w:space="0"/>
              <w:bottom w:val="single" w:color="000000" w:sz="4" w:space="0"/>
              <w:right w:val="single" w:color="000000" w:sz="4" w:space="0"/>
            </w:tcBorders>
            <w:vAlign w:val="center"/>
          </w:tcPr>
          <w:p w14:paraId="4D945BC6">
            <w:pPr>
              <w:pStyle w:val="71"/>
              <w:spacing w:before="24" w:after="24"/>
              <w:rPr>
                <w:rFonts w:cs="Times New Roman"/>
              </w:rPr>
            </w:pPr>
          </w:p>
        </w:tc>
      </w:tr>
      <w:tr w14:paraId="225FE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20AE881A">
            <w:pPr>
              <w:pStyle w:val="71"/>
              <w:spacing w:before="24" w:after="24"/>
              <w:rPr>
                <w:rFonts w:cs="Times New Roman"/>
              </w:rPr>
            </w:pPr>
            <w:r>
              <w:rPr>
                <w:rFonts w:cs="Times New Roman"/>
              </w:rPr>
              <w:t>2</w:t>
            </w:r>
          </w:p>
        </w:tc>
        <w:tc>
          <w:tcPr>
            <w:tcW w:w="1595" w:type="dxa"/>
            <w:tcBorders>
              <w:top w:val="single" w:color="000000" w:sz="4" w:space="0"/>
              <w:left w:val="single" w:color="000000" w:sz="4" w:space="0"/>
              <w:bottom w:val="single" w:color="000000" w:sz="4" w:space="0"/>
              <w:right w:val="single" w:color="000000" w:sz="4" w:space="0"/>
            </w:tcBorders>
            <w:vAlign w:val="center"/>
          </w:tcPr>
          <w:p w14:paraId="62A8045E">
            <w:pPr>
              <w:pStyle w:val="71"/>
              <w:spacing w:before="24" w:after="24"/>
              <w:rPr>
                <w:rFonts w:cs="Times New Roman"/>
              </w:rPr>
            </w:pPr>
            <w:r>
              <w:rPr>
                <w:rFonts w:cs="Times New Roman"/>
              </w:rPr>
              <w:t>踢脚2（金属踢脚）</w:t>
            </w:r>
          </w:p>
        </w:tc>
        <w:tc>
          <w:tcPr>
            <w:tcW w:w="1661" w:type="dxa"/>
            <w:tcBorders>
              <w:top w:val="single" w:color="000000" w:sz="4" w:space="0"/>
              <w:left w:val="single" w:color="000000" w:sz="4" w:space="0"/>
              <w:bottom w:val="single" w:color="000000" w:sz="4" w:space="0"/>
              <w:right w:val="single" w:color="000000" w:sz="4" w:space="0"/>
            </w:tcBorders>
            <w:vAlign w:val="center"/>
          </w:tcPr>
          <w:p w14:paraId="62BC6975">
            <w:pPr>
              <w:pStyle w:val="71"/>
              <w:spacing w:before="24" w:after="24"/>
              <w:jc w:val="both"/>
              <w:rPr>
                <w:rFonts w:cs="Times New Roman"/>
              </w:rPr>
            </w:pPr>
            <w:r>
              <w:rPr>
                <w:rFonts w:cs="Times New Roman"/>
              </w:rPr>
              <w:t>防静电地面房间</w:t>
            </w:r>
          </w:p>
        </w:tc>
        <w:tc>
          <w:tcPr>
            <w:tcW w:w="4249" w:type="dxa"/>
            <w:tcBorders>
              <w:top w:val="single" w:color="000000" w:sz="4" w:space="0"/>
              <w:left w:val="single" w:color="000000" w:sz="4" w:space="0"/>
              <w:bottom w:val="single" w:color="000000" w:sz="4" w:space="0"/>
              <w:right w:val="single" w:color="000000" w:sz="4" w:space="0"/>
            </w:tcBorders>
            <w:vAlign w:val="center"/>
          </w:tcPr>
          <w:p w14:paraId="71268923">
            <w:pPr>
              <w:pStyle w:val="71"/>
              <w:spacing w:before="24" w:after="24"/>
              <w:jc w:val="both"/>
              <w:rPr>
                <w:rFonts w:cs="Times New Roman"/>
              </w:rPr>
            </w:pPr>
            <w:r>
              <w:rPr>
                <w:rFonts w:cs="Times New Roman"/>
              </w:rPr>
              <w:t>1）3mm厚100mm高防静电金属踢脚板（水泥钉与墙体钉牢,自攻螺丝与金属架固定）</w:t>
            </w:r>
          </w:p>
          <w:p w14:paraId="6E680989">
            <w:pPr>
              <w:pStyle w:val="71"/>
              <w:spacing w:before="24" w:after="24"/>
              <w:jc w:val="both"/>
              <w:rPr>
                <w:rFonts w:cs="Times New Roman"/>
              </w:rPr>
            </w:pPr>
            <w:r>
              <w:rPr>
                <w:rFonts w:cs="Times New Roman"/>
              </w:rPr>
              <w:t>2）基层处理</w:t>
            </w:r>
          </w:p>
        </w:tc>
        <w:tc>
          <w:tcPr>
            <w:tcW w:w="1280" w:type="dxa"/>
            <w:tcBorders>
              <w:top w:val="single" w:color="000000" w:sz="4" w:space="0"/>
              <w:left w:val="single" w:color="000000" w:sz="4" w:space="0"/>
              <w:bottom w:val="single" w:color="000000" w:sz="4" w:space="0"/>
              <w:right w:val="single" w:color="000000" w:sz="4" w:space="0"/>
            </w:tcBorders>
            <w:vAlign w:val="center"/>
          </w:tcPr>
          <w:p w14:paraId="2842B67F">
            <w:pPr>
              <w:pStyle w:val="71"/>
              <w:spacing w:before="24" w:after="24"/>
              <w:rPr>
                <w:rFonts w:cs="Times New Roman"/>
              </w:rPr>
            </w:pPr>
          </w:p>
        </w:tc>
      </w:tr>
      <w:tr w14:paraId="0DAC8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53E11A0C">
            <w:pPr>
              <w:pStyle w:val="71"/>
              <w:spacing w:before="24" w:after="24"/>
              <w:rPr>
                <w:rFonts w:cs="Times New Roman"/>
              </w:rPr>
            </w:pPr>
            <w:r>
              <w:rPr>
                <w:rFonts w:cs="Times New Roman"/>
              </w:rPr>
              <w:t>3</w:t>
            </w:r>
          </w:p>
        </w:tc>
        <w:tc>
          <w:tcPr>
            <w:tcW w:w="1595" w:type="dxa"/>
            <w:tcBorders>
              <w:top w:val="single" w:color="000000" w:sz="4" w:space="0"/>
              <w:left w:val="single" w:color="000000" w:sz="4" w:space="0"/>
              <w:bottom w:val="single" w:color="000000" w:sz="4" w:space="0"/>
              <w:right w:val="single" w:color="000000" w:sz="4" w:space="0"/>
            </w:tcBorders>
            <w:vAlign w:val="center"/>
          </w:tcPr>
          <w:p w14:paraId="7DB13185">
            <w:pPr>
              <w:pStyle w:val="71"/>
              <w:spacing w:before="24" w:after="24"/>
              <w:rPr>
                <w:rFonts w:cs="Times New Roman"/>
              </w:rPr>
            </w:pPr>
            <w:r>
              <w:rPr>
                <w:rFonts w:cs="Times New Roman"/>
              </w:rPr>
              <w:t>踢脚3（花岗石踢脚）</w:t>
            </w:r>
          </w:p>
        </w:tc>
        <w:tc>
          <w:tcPr>
            <w:tcW w:w="1661" w:type="dxa"/>
            <w:tcBorders>
              <w:top w:val="single" w:color="000000" w:sz="4" w:space="0"/>
              <w:left w:val="single" w:color="000000" w:sz="4" w:space="0"/>
              <w:bottom w:val="single" w:color="000000" w:sz="4" w:space="0"/>
              <w:right w:val="single" w:color="000000" w:sz="4" w:space="0"/>
            </w:tcBorders>
            <w:vAlign w:val="center"/>
          </w:tcPr>
          <w:p w14:paraId="11C5C27D">
            <w:pPr>
              <w:pStyle w:val="71"/>
              <w:spacing w:before="24" w:after="24"/>
              <w:jc w:val="both"/>
              <w:rPr>
                <w:rFonts w:cs="Times New Roman"/>
              </w:rPr>
            </w:pPr>
            <w:r>
              <w:rPr>
                <w:rFonts w:cs="Times New Roman"/>
              </w:rPr>
              <w:t>与花岗石地面配套使用</w:t>
            </w:r>
          </w:p>
        </w:tc>
        <w:tc>
          <w:tcPr>
            <w:tcW w:w="4249" w:type="dxa"/>
            <w:tcBorders>
              <w:top w:val="single" w:color="000000" w:sz="4" w:space="0"/>
              <w:left w:val="single" w:color="000000" w:sz="4" w:space="0"/>
              <w:bottom w:val="single" w:color="000000" w:sz="4" w:space="0"/>
              <w:right w:val="single" w:color="000000" w:sz="4" w:space="0"/>
            </w:tcBorders>
            <w:vAlign w:val="center"/>
          </w:tcPr>
          <w:p w14:paraId="6AC302F5">
            <w:pPr>
              <w:pStyle w:val="71"/>
              <w:spacing w:before="24" w:after="24"/>
              <w:jc w:val="both"/>
              <w:rPr>
                <w:rFonts w:cs="Times New Roman"/>
              </w:rPr>
            </w:pPr>
            <w:r>
              <w:rPr>
                <w:rFonts w:cs="Times New Roman"/>
              </w:rPr>
              <w:t>1）100高花岗石踢脚,专用勾缝剂勾缝</w:t>
            </w:r>
          </w:p>
          <w:p w14:paraId="56557121">
            <w:pPr>
              <w:pStyle w:val="71"/>
              <w:spacing w:before="24" w:after="24"/>
              <w:jc w:val="both"/>
              <w:rPr>
                <w:rFonts w:cs="Times New Roman"/>
              </w:rPr>
            </w:pPr>
            <w:r>
              <w:rPr>
                <w:rFonts w:cs="Times New Roman"/>
              </w:rPr>
              <w:t>2）10厚1</w:t>
            </w:r>
            <w:r>
              <w:rPr>
                <w:rFonts w:ascii="Cambria Math" w:hAnsi="Cambria Math" w:cs="Cambria Math"/>
              </w:rPr>
              <w:t>∶</w:t>
            </w:r>
            <w:r>
              <w:rPr>
                <w:rFonts w:cs="Times New Roman"/>
              </w:rPr>
              <w:t>1.5水泥砂浆粘结层</w:t>
            </w:r>
          </w:p>
          <w:p w14:paraId="26E1F00F">
            <w:pPr>
              <w:pStyle w:val="71"/>
              <w:spacing w:before="24" w:after="24"/>
              <w:jc w:val="both"/>
              <w:rPr>
                <w:rFonts w:cs="Times New Roman"/>
              </w:rPr>
            </w:pPr>
            <w:r>
              <w:rPr>
                <w:rFonts w:cs="Times New Roman"/>
              </w:rPr>
              <w:t>3）基层处理</w:t>
            </w:r>
          </w:p>
        </w:tc>
        <w:tc>
          <w:tcPr>
            <w:tcW w:w="1280" w:type="dxa"/>
            <w:tcBorders>
              <w:top w:val="single" w:color="000000" w:sz="4" w:space="0"/>
              <w:left w:val="single" w:color="000000" w:sz="4" w:space="0"/>
              <w:bottom w:val="single" w:color="000000" w:sz="4" w:space="0"/>
              <w:right w:val="single" w:color="000000" w:sz="4" w:space="0"/>
            </w:tcBorders>
            <w:vAlign w:val="center"/>
          </w:tcPr>
          <w:p w14:paraId="44C32699">
            <w:pPr>
              <w:pStyle w:val="71"/>
              <w:spacing w:before="24" w:after="24"/>
              <w:rPr>
                <w:rFonts w:cs="Times New Roman"/>
              </w:rPr>
            </w:pPr>
          </w:p>
        </w:tc>
      </w:tr>
      <w:tr w14:paraId="72271D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2F21369A">
            <w:pPr>
              <w:pStyle w:val="71"/>
              <w:spacing w:before="24" w:after="24"/>
              <w:rPr>
                <w:rFonts w:cs="Times New Roman"/>
              </w:rPr>
            </w:pPr>
            <w:r>
              <w:rPr>
                <w:rFonts w:cs="Times New Roman"/>
              </w:rPr>
              <w:t>4</w:t>
            </w:r>
          </w:p>
        </w:tc>
        <w:tc>
          <w:tcPr>
            <w:tcW w:w="1595" w:type="dxa"/>
            <w:tcBorders>
              <w:top w:val="single" w:color="000000" w:sz="4" w:space="0"/>
              <w:left w:val="single" w:color="000000" w:sz="4" w:space="0"/>
              <w:bottom w:val="single" w:color="000000" w:sz="4" w:space="0"/>
              <w:right w:val="single" w:color="000000" w:sz="4" w:space="0"/>
            </w:tcBorders>
            <w:vAlign w:val="center"/>
          </w:tcPr>
          <w:p w14:paraId="28386C2B">
            <w:pPr>
              <w:pStyle w:val="71"/>
              <w:spacing w:before="24" w:after="24"/>
              <w:rPr>
                <w:rFonts w:cs="Times New Roman"/>
              </w:rPr>
            </w:pPr>
            <w:r>
              <w:rPr>
                <w:rFonts w:cs="Times New Roman"/>
              </w:rPr>
              <w:t>踢脚4（PVC踢脚）</w:t>
            </w:r>
          </w:p>
        </w:tc>
        <w:tc>
          <w:tcPr>
            <w:tcW w:w="1661" w:type="dxa"/>
            <w:tcBorders>
              <w:top w:val="single" w:color="000000" w:sz="4" w:space="0"/>
              <w:left w:val="single" w:color="000000" w:sz="4" w:space="0"/>
              <w:bottom w:val="single" w:color="000000" w:sz="4" w:space="0"/>
              <w:right w:val="single" w:color="000000" w:sz="4" w:space="0"/>
            </w:tcBorders>
            <w:vAlign w:val="center"/>
          </w:tcPr>
          <w:p w14:paraId="179A6645">
            <w:pPr>
              <w:pStyle w:val="71"/>
              <w:spacing w:before="24" w:after="24"/>
              <w:jc w:val="both"/>
              <w:rPr>
                <w:rFonts w:cs="Times New Roman"/>
              </w:rPr>
            </w:pPr>
            <w:r>
              <w:rPr>
                <w:rFonts w:cs="Times New Roman"/>
              </w:rPr>
              <w:t>PVC地面房间</w:t>
            </w:r>
          </w:p>
        </w:tc>
        <w:tc>
          <w:tcPr>
            <w:tcW w:w="4249" w:type="dxa"/>
            <w:tcBorders>
              <w:top w:val="single" w:color="000000" w:sz="4" w:space="0"/>
              <w:left w:val="single" w:color="000000" w:sz="4" w:space="0"/>
              <w:bottom w:val="single" w:color="000000" w:sz="4" w:space="0"/>
              <w:right w:val="single" w:color="000000" w:sz="4" w:space="0"/>
            </w:tcBorders>
            <w:vAlign w:val="center"/>
          </w:tcPr>
          <w:p w14:paraId="195224D5">
            <w:pPr>
              <w:pStyle w:val="71"/>
              <w:spacing w:before="24" w:after="24"/>
              <w:jc w:val="both"/>
              <w:rPr>
                <w:rFonts w:cs="Times New Roman"/>
              </w:rPr>
            </w:pPr>
            <w:r>
              <w:rPr>
                <w:rFonts w:cs="Times New Roman"/>
              </w:rPr>
              <w:t>1）PVC踢脚,胶粘剂粘贴</w:t>
            </w:r>
          </w:p>
          <w:p w14:paraId="7F5BC8F4">
            <w:pPr>
              <w:pStyle w:val="71"/>
              <w:spacing w:before="24" w:after="24"/>
              <w:jc w:val="both"/>
              <w:rPr>
                <w:rFonts w:cs="Times New Roman"/>
              </w:rPr>
            </w:pPr>
            <w:r>
              <w:rPr>
                <w:rFonts w:cs="Times New Roman"/>
              </w:rPr>
              <w:t>2）8厚1:3水泥砂浆打底划出纹道</w:t>
            </w:r>
          </w:p>
          <w:p w14:paraId="7F394713">
            <w:pPr>
              <w:pStyle w:val="71"/>
              <w:spacing w:before="24" w:after="24"/>
              <w:jc w:val="both"/>
              <w:rPr>
                <w:rFonts w:cs="Times New Roman"/>
              </w:rPr>
            </w:pPr>
            <w:r>
              <w:rPr>
                <w:rFonts w:cs="Times New Roman"/>
              </w:rPr>
              <w:t>3）基层处理</w:t>
            </w:r>
          </w:p>
        </w:tc>
        <w:tc>
          <w:tcPr>
            <w:tcW w:w="1280" w:type="dxa"/>
            <w:tcBorders>
              <w:top w:val="single" w:color="000000" w:sz="4" w:space="0"/>
              <w:left w:val="single" w:color="000000" w:sz="4" w:space="0"/>
              <w:bottom w:val="single" w:color="000000" w:sz="4" w:space="0"/>
              <w:right w:val="single" w:color="000000" w:sz="4" w:space="0"/>
            </w:tcBorders>
            <w:vAlign w:val="center"/>
          </w:tcPr>
          <w:p w14:paraId="5368AFA5">
            <w:pPr>
              <w:pStyle w:val="71"/>
              <w:spacing w:before="24" w:after="24"/>
              <w:rPr>
                <w:rFonts w:cs="Times New Roman"/>
              </w:rPr>
            </w:pPr>
          </w:p>
        </w:tc>
      </w:tr>
      <w:tr w14:paraId="5BF1B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61A8E81B">
            <w:pPr>
              <w:pStyle w:val="71"/>
              <w:spacing w:before="24" w:after="24"/>
              <w:rPr>
                <w:rFonts w:cs="Times New Roman"/>
              </w:rPr>
            </w:pPr>
            <w:r>
              <w:rPr>
                <w:rFonts w:cs="Times New Roman"/>
              </w:rPr>
              <w:t>5</w:t>
            </w:r>
          </w:p>
        </w:tc>
        <w:tc>
          <w:tcPr>
            <w:tcW w:w="1595" w:type="dxa"/>
            <w:tcBorders>
              <w:top w:val="single" w:color="000000" w:sz="4" w:space="0"/>
              <w:left w:val="single" w:color="000000" w:sz="4" w:space="0"/>
              <w:bottom w:val="single" w:color="000000" w:sz="4" w:space="0"/>
              <w:right w:val="single" w:color="000000" w:sz="4" w:space="0"/>
            </w:tcBorders>
            <w:vAlign w:val="center"/>
          </w:tcPr>
          <w:p w14:paraId="27DD313F">
            <w:pPr>
              <w:pStyle w:val="71"/>
              <w:spacing w:before="24" w:after="24"/>
              <w:rPr>
                <w:rFonts w:cs="Times New Roman"/>
              </w:rPr>
            </w:pPr>
            <w:r>
              <w:rPr>
                <w:rFonts w:cs="Times New Roman"/>
              </w:rPr>
              <w:t>踢脚5（涂料踢脚）</w:t>
            </w:r>
          </w:p>
          <w:p w14:paraId="6BB704C4">
            <w:pPr>
              <w:pStyle w:val="71"/>
              <w:spacing w:before="24" w:after="24"/>
              <w:rPr>
                <w:rFonts w:cs="Times New Roman"/>
              </w:rPr>
            </w:pPr>
          </w:p>
        </w:tc>
        <w:tc>
          <w:tcPr>
            <w:tcW w:w="1661" w:type="dxa"/>
            <w:tcBorders>
              <w:top w:val="single" w:color="000000" w:sz="4" w:space="0"/>
              <w:left w:val="single" w:color="000000" w:sz="4" w:space="0"/>
              <w:bottom w:val="single" w:color="000000" w:sz="4" w:space="0"/>
              <w:right w:val="single" w:color="000000" w:sz="4" w:space="0"/>
            </w:tcBorders>
            <w:vAlign w:val="center"/>
          </w:tcPr>
          <w:p w14:paraId="673ECCF6">
            <w:pPr>
              <w:pStyle w:val="71"/>
              <w:spacing w:before="24" w:after="24"/>
              <w:jc w:val="both"/>
              <w:rPr>
                <w:rFonts w:cs="Times New Roman"/>
              </w:rPr>
            </w:pPr>
            <w:r>
              <w:rPr>
                <w:rFonts w:cs="Times New Roman"/>
              </w:rPr>
              <w:t>机动车库、非机动车库、楼梯间、水泥楼地面交付且墙面挂腻子或刷涂料的房间</w:t>
            </w:r>
          </w:p>
        </w:tc>
        <w:tc>
          <w:tcPr>
            <w:tcW w:w="4249" w:type="dxa"/>
            <w:tcBorders>
              <w:top w:val="single" w:color="000000" w:sz="4" w:space="0"/>
              <w:left w:val="single" w:color="000000" w:sz="4" w:space="0"/>
              <w:bottom w:val="single" w:color="000000" w:sz="4" w:space="0"/>
              <w:right w:val="single" w:color="000000" w:sz="4" w:space="0"/>
            </w:tcBorders>
            <w:vAlign w:val="center"/>
          </w:tcPr>
          <w:p w14:paraId="6F49D9A6">
            <w:pPr>
              <w:pStyle w:val="71"/>
              <w:spacing w:before="24" w:after="24"/>
              <w:jc w:val="both"/>
              <w:rPr>
                <w:rFonts w:cs="Times New Roman"/>
              </w:rPr>
            </w:pPr>
            <w:r>
              <w:rPr>
                <w:rFonts w:cs="Times New Roman"/>
              </w:rPr>
              <w:t>1）100mm高涂料</w:t>
            </w:r>
          </w:p>
          <w:p w14:paraId="7F2F9ECD">
            <w:pPr>
              <w:pStyle w:val="71"/>
              <w:spacing w:before="24" w:after="24"/>
              <w:jc w:val="both"/>
              <w:rPr>
                <w:rFonts w:cs="Times New Roman"/>
              </w:rPr>
            </w:pPr>
            <w:r>
              <w:rPr>
                <w:rFonts w:cs="Times New Roman"/>
              </w:rPr>
              <w:t>2）基层处理</w:t>
            </w:r>
          </w:p>
        </w:tc>
        <w:tc>
          <w:tcPr>
            <w:tcW w:w="1280" w:type="dxa"/>
            <w:tcBorders>
              <w:top w:val="single" w:color="000000" w:sz="4" w:space="0"/>
              <w:left w:val="single" w:color="000000" w:sz="4" w:space="0"/>
              <w:bottom w:val="single" w:color="000000" w:sz="4" w:space="0"/>
              <w:right w:val="single" w:color="000000" w:sz="4" w:space="0"/>
            </w:tcBorders>
            <w:vAlign w:val="center"/>
          </w:tcPr>
          <w:p w14:paraId="60EC1515">
            <w:pPr>
              <w:pStyle w:val="71"/>
              <w:spacing w:before="24" w:after="24"/>
              <w:rPr>
                <w:rFonts w:cs="Times New Roman"/>
              </w:rPr>
            </w:pPr>
          </w:p>
        </w:tc>
      </w:tr>
      <w:tr w14:paraId="562DCE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62BF4992">
            <w:pPr>
              <w:pStyle w:val="71"/>
              <w:spacing w:before="24" w:after="24"/>
              <w:rPr>
                <w:rFonts w:cs="Times New Roman"/>
              </w:rPr>
            </w:pPr>
            <w:r>
              <w:rPr>
                <w:rFonts w:cs="Times New Roman"/>
              </w:rPr>
              <w:t>6</w:t>
            </w:r>
          </w:p>
        </w:tc>
        <w:tc>
          <w:tcPr>
            <w:tcW w:w="1595" w:type="dxa"/>
            <w:tcBorders>
              <w:top w:val="single" w:color="000000" w:sz="4" w:space="0"/>
              <w:left w:val="single" w:color="000000" w:sz="4" w:space="0"/>
              <w:bottom w:val="single" w:color="000000" w:sz="4" w:space="0"/>
              <w:right w:val="single" w:color="000000" w:sz="4" w:space="0"/>
            </w:tcBorders>
            <w:vAlign w:val="center"/>
          </w:tcPr>
          <w:p w14:paraId="5F764CEA">
            <w:pPr>
              <w:pStyle w:val="71"/>
              <w:spacing w:before="24" w:after="24"/>
              <w:rPr>
                <w:rFonts w:cs="Times New Roman"/>
              </w:rPr>
            </w:pPr>
            <w:r>
              <w:rPr>
                <w:rFonts w:cs="Times New Roman"/>
              </w:rPr>
              <w:t>踢脚6（木踢脚）</w:t>
            </w:r>
          </w:p>
        </w:tc>
        <w:tc>
          <w:tcPr>
            <w:tcW w:w="1661" w:type="dxa"/>
            <w:tcBorders>
              <w:top w:val="single" w:color="000000" w:sz="4" w:space="0"/>
              <w:left w:val="single" w:color="000000" w:sz="4" w:space="0"/>
              <w:bottom w:val="single" w:color="000000" w:sz="4" w:space="0"/>
              <w:right w:val="single" w:color="000000" w:sz="4" w:space="0"/>
            </w:tcBorders>
            <w:vAlign w:val="center"/>
          </w:tcPr>
          <w:p w14:paraId="587195E8">
            <w:pPr>
              <w:pStyle w:val="71"/>
              <w:spacing w:before="24" w:after="24"/>
              <w:jc w:val="both"/>
              <w:rPr>
                <w:rFonts w:cs="Times New Roman"/>
              </w:rPr>
            </w:pPr>
            <w:r>
              <w:rPr>
                <w:rFonts w:cs="Times New Roman"/>
              </w:rPr>
              <w:t>住宅内卧室、书房等木地板房间</w:t>
            </w:r>
          </w:p>
        </w:tc>
        <w:tc>
          <w:tcPr>
            <w:tcW w:w="4249" w:type="dxa"/>
            <w:tcBorders>
              <w:top w:val="single" w:color="000000" w:sz="4" w:space="0"/>
              <w:left w:val="single" w:color="000000" w:sz="4" w:space="0"/>
              <w:bottom w:val="single" w:color="000000" w:sz="4" w:space="0"/>
              <w:right w:val="single" w:color="000000" w:sz="4" w:space="0"/>
            </w:tcBorders>
            <w:vAlign w:val="center"/>
          </w:tcPr>
          <w:p w14:paraId="1890CA83">
            <w:pPr>
              <w:pStyle w:val="71"/>
              <w:spacing w:before="24" w:after="24"/>
              <w:jc w:val="both"/>
              <w:rPr>
                <w:rFonts w:cs="Times New Roman"/>
              </w:rPr>
            </w:pPr>
            <w:r>
              <w:rPr>
                <w:rFonts w:cs="Times New Roman"/>
              </w:rPr>
              <w:t>1）18厚硬木踢脚板（背面满刷氟化钠防腐剂）用尼龙膨胀螺丝固定</w:t>
            </w:r>
          </w:p>
          <w:p w14:paraId="05B5C648">
            <w:pPr>
              <w:pStyle w:val="71"/>
              <w:spacing w:before="24" w:after="24"/>
              <w:jc w:val="both"/>
              <w:rPr>
                <w:rFonts w:cs="Times New Roman"/>
              </w:rPr>
            </w:pPr>
            <w:r>
              <w:rPr>
                <w:rFonts w:cs="Times New Roman"/>
              </w:rPr>
              <w:t>2）基层处理</w:t>
            </w:r>
          </w:p>
        </w:tc>
        <w:tc>
          <w:tcPr>
            <w:tcW w:w="1280" w:type="dxa"/>
            <w:tcBorders>
              <w:top w:val="single" w:color="000000" w:sz="4" w:space="0"/>
              <w:left w:val="single" w:color="000000" w:sz="4" w:space="0"/>
              <w:bottom w:val="single" w:color="000000" w:sz="4" w:space="0"/>
              <w:right w:val="single" w:color="000000" w:sz="4" w:space="0"/>
            </w:tcBorders>
            <w:vAlign w:val="center"/>
          </w:tcPr>
          <w:p w14:paraId="29845E99">
            <w:pPr>
              <w:pStyle w:val="71"/>
              <w:spacing w:before="24" w:after="24"/>
              <w:rPr>
                <w:rFonts w:cs="Times New Roman"/>
              </w:rPr>
            </w:pPr>
          </w:p>
        </w:tc>
      </w:tr>
      <w:tr w14:paraId="2A816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347" w:type="dxa"/>
            <w:gridSpan w:val="5"/>
            <w:tcBorders>
              <w:top w:val="single" w:color="000000" w:sz="4" w:space="0"/>
              <w:left w:val="single" w:color="000000" w:sz="4" w:space="0"/>
              <w:bottom w:val="single" w:color="000000" w:sz="4" w:space="0"/>
              <w:right w:val="single" w:color="000000" w:sz="4" w:space="0"/>
            </w:tcBorders>
            <w:vAlign w:val="center"/>
          </w:tcPr>
          <w:p w14:paraId="3645B018">
            <w:pPr>
              <w:pStyle w:val="71"/>
              <w:spacing w:before="24" w:after="24"/>
              <w:rPr>
                <w:rFonts w:cs="Times New Roman"/>
              </w:rPr>
            </w:pPr>
            <w:r>
              <w:rPr>
                <w:rFonts w:cs="Times New Roman"/>
              </w:rPr>
              <w:t>地下室顶板、侧壁、底板</w:t>
            </w:r>
          </w:p>
        </w:tc>
      </w:tr>
      <w:tr w14:paraId="423F6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40ABF9C0">
            <w:pPr>
              <w:pStyle w:val="71"/>
              <w:spacing w:before="24" w:after="24"/>
              <w:rPr>
                <w:rFonts w:cs="Times New Roman"/>
              </w:rPr>
            </w:pPr>
            <w:r>
              <w:rPr>
                <w:rFonts w:cs="Times New Roman"/>
              </w:rPr>
              <w:t>1</w:t>
            </w:r>
          </w:p>
        </w:tc>
        <w:tc>
          <w:tcPr>
            <w:tcW w:w="1595" w:type="dxa"/>
            <w:tcBorders>
              <w:top w:val="single" w:color="000000" w:sz="4" w:space="0"/>
              <w:left w:val="single" w:color="000000" w:sz="4" w:space="0"/>
              <w:bottom w:val="single" w:color="000000" w:sz="4" w:space="0"/>
              <w:right w:val="single" w:color="000000" w:sz="4" w:space="0"/>
            </w:tcBorders>
            <w:vAlign w:val="center"/>
          </w:tcPr>
          <w:p w14:paraId="20991843">
            <w:pPr>
              <w:pStyle w:val="71"/>
              <w:spacing w:before="24" w:after="24"/>
              <w:rPr>
                <w:rFonts w:cs="Times New Roman"/>
              </w:rPr>
            </w:pPr>
            <w:r>
              <w:rPr>
                <w:rFonts w:cs="Times New Roman"/>
              </w:rPr>
              <w:t>地下室顶板1（种植顶板）</w:t>
            </w:r>
          </w:p>
        </w:tc>
        <w:tc>
          <w:tcPr>
            <w:tcW w:w="1661" w:type="dxa"/>
            <w:tcBorders>
              <w:top w:val="single" w:color="000000" w:sz="4" w:space="0"/>
              <w:left w:val="single" w:color="000000" w:sz="4" w:space="0"/>
              <w:bottom w:val="single" w:color="000000" w:sz="4" w:space="0"/>
              <w:right w:val="single" w:color="000000" w:sz="4" w:space="0"/>
            </w:tcBorders>
            <w:vAlign w:val="center"/>
          </w:tcPr>
          <w:p w14:paraId="2C449031">
            <w:pPr>
              <w:pStyle w:val="71"/>
              <w:spacing w:before="24" w:after="24"/>
              <w:jc w:val="both"/>
              <w:rPr>
                <w:rFonts w:cs="Times New Roman"/>
              </w:rPr>
            </w:pPr>
            <w:r>
              <w:rPr>
                <w:rFonts w:cs="Times New Roman"/>
              </w:rPr>
              <w:t>地下室种植顶板（Ⅰ级防水）</w:t>
            </w:r>
          </w:p>
        </w:tc>
        <w:tc>
          <w:tcPr>
            <w:tcW w:w="4249" w:type="dxa"/>
            <w:tcBorders>
              <w:top w:val="single" w:color="000000" w:sz="4" w:space="0"/>
              <w:left w:val="single" w:color="000000" w:sz="4" w:space="0"/>
              <w:bottom w:val="single" w:color="000000" w:sz="4" w:space="0"/>
              <w:right w:val="single" w:color="000000" w:sz="4" w:space="0"/>
            </w:tcBorders>
            <w:vAlign w:val="center"/>
          </w:tcPr>
          <w:p w14:paraId="5D5C7713">
            <w:pPr>
              <w:pStyle w:val="71"/>
              <w:spacing w:before="24" w:after="24"/>
              <w:jc w:val="both"/>
              <w:rPr>
                <w:rFonts w:cs="Times New Roman"/>
              </w:rPr>
            </w:pPr>
            <w:r>
              <w:rPr>
                <w:rFonts w:cs="Times New Roman"/>
              </w:rPr>
              <w:t>1）回填土分层夯实及以上详景观设计</w:t>
            </w:r>
          </w:p>
          <w:p w14:paraId="3F50F47C">
            <w:pPr>
              <w:pStyle w:val="71"/>
              <w:spacing w:before="24" w:after="24"/>
              <w:jc w:val="both"/>
              <w:rPr>
                <w:rFonts w:cs="Times New Roman"/>
              </w:rPr>
            </w:pPr>
            <w:r>
              <w:rPr>
                <w:rFonts w:cs="Times New Roman"/>
              </w:rPr>
              <w:t>2）200g/㎡土工布过滤层，遇出地面竖墙等构件上翻100mm</w:t>
            </w:r>
          </w:p>
          <w:p w14:paraId="1FC0180F">
            <w:pPr>
              <w:pStyle w:val="71"/>
              <w:spacing w:before="24" w:after="24"/>
              <w:jc w:val="both"/>
              <w:rPr>
                <w:rFonts w:cs="Times New Roman"/>
              </w:rPr>
            </w:pPr>
            <w:r>
              <w:rPr>
                <w:rFonts w:cs="Times New Roman"/>
              </w:rPr>
              <w:t>3）100mm厚碎石滤水层（粒径30～50）</w:t>
            </w:r>
          </w:p>
          <w:p w14:paraId="2767B737">
            <w:pPr>
              <w:pStyle w:val="71"/>
              <w:spacing w:before="24" w:after="24"/>
              <w:jc w:val="both"/>
              <w:rPr>
                <w:rFonts w:cs="Times New Roman"/>
              </w:rPr>
            </w:pPr>
            <w:r>
              <w:rPr>
                <w:rFonts w:cs="Times New Roman"/>
              </w:rPr>
              <w:t>4）保护层兼找坡层：70mm厚（最薄处）C20细石混凝土设6mx6m分隔缝，缝宽20mm，缝内嵌建筑密封膏</w:t>
            </w:r>
          </w:p>
          <w:p w14:paraId="50EC828F">
            <w:pPr>
              <w:pStyle w:val="71"/>
              <w:spacing w:before="24" w:after="24"/>
              <w:jc w:val="both"/>
              <w:rPr>
                <w:rFonts w:cs="Times New Roman"/>
              </w:rPr>
            </w:pPr>
            <w:r>
              <w:rPr>
                <w:rFonts w:cs="Times New Roman"/>
              </w:rPr>
              <w:t>5）无纺布200g/㎡隔离层</w:t>
            </w:r>
          </w:p>
          <w:p w14:paraId="1C599007">
            <w:pPr>
              <w:pStyle w:val="71"/>
              <w:spacing w:before="24" w:after="24"/>
              <w:jc w:val="both"/>
              <w:rPr>
                <w:rFonts w:cs="Times New Roman"/>
              </w:rPr>
            </w:pPr>
            <w:r>
              <w:rPr>
                <w:rFonts w:cs="Times New Roman"/>
              </w:rPr>
              <w:t>6）4.0厚自粘聚合物改性沥青耐根穿刺型防水卷材，遇墙处上翻并高于覆土面500</w:t>
            </w:r>
          </w:p>
          <w:p w14:paraId="32F71B7C">
            <w:pPr>
              <w:pStyle w:val="71"/>
              <w:spacing w:before="24" w:after="24"/>
              <w:jc w:val="both"/>
              <w:rPr>
                <w:rFonts w:cs="Times New Roman"/>
              </w:rPr>
            </w:pPr>
            <w:r>
              <w:rPr>
                <w:rFonts w:cs="Times New Roman"/>
              </w:rPr>
              <w:t>7）2.0mm 厚非固化橡胶沥青防水涂料（遇墙处上翻并高于覆土面500）</w:t>
            </w:r>
          </w:p>
          <w:p w14:paraId="4CE62DB3">
            <w:pPr>
              <w:pStyle w:val="71"/>
              <w:spacing w:before="24" w:after="24"/>
              <w:jc w:val="both"/>
              <w:rPr>
                <w:rFonts w:cs="Times New Roman"/>
              </w:rPr>
            </w:pPr>
            <w:r>
              <w:rPr>
                <w:rFonts w:cs="Times New Roman"/>
              </w:rPr>
              <w:t>8）抗渗钢筋混凝土屋面板，阳角磨圆，阴角用DSM15干混砂浆抹R≥50mm圆弧,结构24小时蓄水（或淋水）试验,（板厚≥250mm，抗渗等级≥P8）</w:t>
            </w:r>
          </w:p>
        </w:tc>
        <w:tc>
          <w:tcPr>
            <w:tcW w:w="1280" w:type="dxa"/>
            <w:tcBorders>
              <w:top w:val="single" w:color="000000" w:sz="4" w:space="0"/>
              <w:left w:val="single" w:color="000000" w:sz="4" w:space="0"/>
              <w:bottom w:val="single" w:color="000000" w:sz="4" w:space="0"/>
              <w:right w:val="single" w:color="000000" w:sz="4" w:space="0"/>
            </w:tcBorders>
            <w:vAlign w:val="center"/>
          </w:tcPr>
          <w:p w14:paraId="35741B12">
            <w:pPr>
              <w:pStyle w:val="71"/>
              <w:spacing w:before="24" w:after="24"/>
              <w:rPr>
                <w:rFonts w:cs="Times New Roman"/>
              </w:rPr>
            </w:pPr>
          </w:p>
        </w:tc>
      </w:tr>
      <w:tr w14:paraId="750E1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14BB1D3D">
            <w:pPr>
              <w:pStyle w:val="71"/>
              <w:spacing w:before="24" w:after="24"/>
              <w:rPr>
                <w:rFonts w:cs="Times New Roman"/>
              </w:rPr>
            </w:pPr>
            <w:r>
              <w:rPr>
                <w:rFonts w:cs="Times New Roman"/>
              </w:rPr>
              <w:t>2</w:t>
            </w:r>
          </w:p>
        </w:tc>
        <w:tc>
          <w:tcPr>
            <w:tcW w:w="1595" w:type="dxa"/>
            <w:tcBorders>
              <w:top w:val="single" w:color="000000" w:sz="4" w:space="0"/>
              <w:left w:val="single" w:color="000000" w:sz="4" w:space="0"/>
              <w:bottom w:val="single" w:color="000000" w:sz="4" w:space="0"/>
              <w:right w:val="single" w:color="000000" w:sz="4" w:space="0"/>
            </w:tcBorders>
            <w:vAlign w:val="center"/>
          </w:tcPr>
          <w:p w14:paraId="695D7251">
            <w:pPr>
              <w:pStyle w:val="71"/>
              <w:spacing w:before="24" w:after="24"/>
              <w:rPr>
                <w:rFonts w:cs="Times New Roman"/>
              </w:rPr>
            </w:pPr>
            <w:r>
              <w:rPr>
                <w:rFonts w:cs="Times New Roman"/>
              </w:rPr>
              <w:t>地下室顶板2（非种植顶板）</w:t>
            </w:r>
          </w:p>
        </w:tc>
        <w:tc>
          <w:tcPr>
            <w:tcW w:w="1661" w:type="dxa"/>
            <w:tcBorders>
              <w:top w:val="single" w:color="000000" w:sz="4" w:space="0"/>
              <w:left w:val="single" w:color="000000" w:sz="4" w:space="0"/>
              <w:bottom w:val="single" w:color="000000" w:sz="4" w:space="0"/>
              <w:right w:val="single" w:color="000000" w:sz="4" w:space="0"/>
            </w:tcBorders>
            <w:vAlign w:val="center"/>
          </w:tcPr>
          <w:p w14:paraId="40F7805E">
            <w:pPr>
              <w:pStyle w:val="71"/>
              <w:spacing w:before="24" w:after="24"/>
              <w:jc w:val="both"/>
              <w:rPr>
                <w:rFonts w:cs="Times New Roman"/>
              </w:rPr>
            </w:pPr>
            <w:r>
              <w:rPr>
                <w:rFonts w:cs="Times New Roman"/>
              </w:rPr>
              <w:t>地下室非种植顶板（Ⅰ级防水）</w:t>
            </w:r>
          </w:p>
        </w:tc>
        <w:tc>
          <w:tcPr>
            <w:tcW w:w="4249" w:type="dxa"/>
            <w:tcBorders>
              <w:top w:val="single" w:color="000000" w:sz="4" w:space="0"/>
              <w:left w:val="single" w:color="000000" w:sz="4" w:space="0"/>
              <w:bottom w:val="single" w:color="000000" w:sz="4" w:space="0"/>
              <w:right w:val="single" w:color="000000" w:sz="4" w:space="0"/>
            </w:tcBorders>
            <w:vAlign w:val="center"/>
          </w:tcPr>
          <w:p w14:paraId="7204620C">
            <w:pPr>
              <w:pStyle w:val="71"/>
              <w:spacing w:before="24" w:after="24"/>
              <w:jc w:val="both"/>
              <w:rPr>
                <w:rFonts w:cs="Times New Roman"/>
              </w:rPr>
            </w:pPr>
            <w:r>
              <w:rPr>
                <w:rFonts w:cs="Times New Roman"/>
              </w:rPr>
              <w:t>1）面层详景观设计</w:t>
            </w:r>
          </w:p>
          <w:p w14:paraId="2D3266A3">
            <w:pPr>
              <w:pStyle w:val="71"/>
              <w:spacing w:before="24" w:after="24"/>
              <w:jc w:val="both"/>
              <w:rPr>
                <w:rFonts w:cs="Times New Roman"/>
              </w:rPr>
            </w:pPr>
            <w:r>
              <w:rPr>
                <w:rFonts w:cs="Times New Roman"/>
              </w:rPr>
              <w:t>2）保护层兼找坡层：70mm厚（最薄处）C20细石混凝土设6mx6m分隔缝，缝宽20mm，缝内嵌建筑密封膏</w:t>
            </w:r>
          </w:p>
          <w:p w14:paraId="019853DC">
            <w:pPr>
              <w:pStyle w:val="71"/>
              <w:spacing w:before="24" w:after="24"/>
              <w:jc w:val="both"/>
              <w:rPr>
                <w:rFonts w:cs="Times New Roman"/>
              </w:rPr>
            </w:pPr>
            <w:r>
              <w:rPr>
                <w:rFonts w:cs="Times New Roman"/>
              </w:rPr>
              <w:t>3）无纺布200g/㎡隔离层</w:t>
            </w:r>
          </w:p>
          <w:p w14:paraId="4BD5CDD4">
            <w:pPr>
              <w:pStyle w:val="71"/>
              <w:spacing w:before="24" w:after="24"/>
              <w:jc w:val="both"/>
              <w:rPr>
                <w:rFonts w:cs="Times New Roman"/>
              </w:rPr>
            </w:pPr>
            <w:r>
              <w:rPr>
                <w:rFonts w:cs="Times New Roman"/>
              </w:rPr>
              <w:t>4）3.0mm厚自粘聚合物改性沥青防水卷材Ⅱ型（聚酯胎）</w:t>
            </w:r>
          </w:p>
          <w:p w14:paraId="64460C9D">
            <w:pPr>
              <w:pStyle w:val="71"/>
              <w:spacing w:before="24" w:after="24"/>
              <w:jc w:val="both"/>
              <w:rPr>
                <w:rFonts w:cs="Times New Roman"/>
              </w:rPr>
            </w:pPr>
            <w:r>
              <w:rPr>
                <w:rFonts w:cs="Times New Roman"/>
              </w:rPr>
              <w:t>5）2.0mm 厚非固化橡胶沥青防水涂料（遇墙处上翻并高于覆土面500）</w:t>
            </w:r>
          </w:p>
          <w:p w14:paraId="6E5EDD17">
            <w:pPr>
              <w:pStyle w:val="71"/>
              <w:spacing w:before="24" w:after="24"/>
              <w:jc w:val="both"/>
              <w:rPr>
                <w:rFonts w:cs="Times New Roman"/>
              </w:rPr>
            </w:pPr>
            <w:r>
              <w:rPr>
                <w:rFonts w:cs="Times New Roman"/>
              </w:rPr>
              <w:t>6）抗渗钢筋混凝土屋面板，阳角磨圆，阴角用DSM15干混砂浆抹R≥50mm圆弧,结构24小时蓄水（或淋水）试验,（板厚≥250mm，抗渗等级≥P8）</w:t>
            </w:r>
          </w:p>
        </w:tc>
        <w:tc>
          <w:tcPr>
            <w:tcW w:w="1280" w:type="dxa"/>
            <w:tcBorders>
              <w:top w:val="single" w:color="000000" w:sz="4" w:space="0"/>
              <w:left w:val="single" w:color="000000" w:sz="4" w:space="0"/>
              <w:bottom w:val="single" w:color="000000" w:sz="4" w:space="0"/>
              <w:right w:val="single" w:color="000000" w:sz="4" w:space="0"/>
            </w:tcBorders>
            <w:vAlign w:val="center"/>
          </w:tcPr>
          <w:p w14:paraId="4854B770">
            <w:pPr>
              <w:pStyle w:val="71"/>
              <w:spacing w:before="24" w:after="24"/>
              <w:rPr>
                <w:rFonts w:cs="Times New Roman"/>
              </w:rPr>
            </w:pPr>
          </w:p>
        </w:tc>
      </w:tr>
      <w:tr w14:paraId="5AE072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3864A32A">
            <w:pPr>
              <w:pStyle w:val="71"/>
              <w:spacing w:before="24" w:after="24"/>
              <w:rPr>
                <w:rFonts w:cs="Times New Roman"/>
              </w:rPr>
            </w:pPr>
            <w:r>
              <w:rPr>
                <w:rFonts w:cs="Times New Roman"/>
              </w:rPr>
              <w:t>3</w:t>
            </w:r>
          </w:p>
        </w:tc>
        <w:tc>
          <w:tcPr>
            <w:tcW w:w="1595" w:type="dxa"/>
            <w:tcBorders>
              <w:top w:val="single" w:color="000000" w:sz="4" w:space="0"/>
              <w:left w:val="single" w:color="000000" w:sz="4" w:space="0"/>
              <w:bottom w:val="single" w:color="000000" w:sz="4" w:space="0"/>
              <w:right w:val="single" w:color="000000" w:sz="4" w:space="0"/>
            </w:tcBorders>
            <w:vAlign w:val="center"/>
          </w:tcPr>
          <w:p w14:paraId="07D46265">
            <w:pPr>
              <w:pStyle w:val="71"/>
              <w:spacing w:before="24" w:after="24"/>
              <w:rPr>
                <w:rFonts w:cs="Times New Roman"/>
              </w:rPr>
            </w:pPr>
            <w:r>
              <w:rPr>
                <w:rFonts w:cs="Times New Roman"/>
              </w:rPr>
              <w:t>地下室侧壁</w:t>
            </w:r>
          </w:p>
        </w:tc>
        <w:tc>
          <w:tcPr>
            <w:tcW w:w="1661" w:type="dxa"/>
            <w:tcBorders>
              <w:top w:val="single" w:color="000000" w:sz="4" w:space="0"/>
              <w:left w:val="single" w:color="000000" w:sz="4" w:space="0"/>
              <w:bottom w:val="single" w:color="000000" w:sz="4" w:space="0"/>
              <w:right w:val="single" w:color="000000" w:sz="4" w:space="0"/>
            </w:tcBorders>
            <w:vAlign w:val="center"/>
          </w:tcPr>
          <w:p w14:paraId="79CF71E3">
            <w:pPr>
              <w:pStyle w:val="71"/>
              <w:spacing w:before="24" w:after="24"/>
              <w:jc w:val="both"/>
              <w:rPr>
                <w:rFonts w:cs="Times New Roman"/>
              </w:rPr>
            </w:pPr>
            <w:r>
              <w:rPr>
                <w:rFonts w:cs="Times New Roman"/>
              </w:rPr>
              <w:t>地下室侧壁（Ⅰ级防水）</w:t>
            </w:r>
          </w:p>
        </w:tc>
        <w:tc>
          <w:tcPr>
            <w:tcW w:w="4249" w:type="dxa"/>
            <w:tcBorders>
              <w:top w:val="single" w:color="000000" w:sz="4" w:space="0"/>
              <w:left w:val="single" w:color="000000" w:sz="4" w:space="0"/>
              <w:bottom w:val="single" w:color="000000" w:sz="4" w:space="0"/>
              <w:right w:val="single" w:color="000000" w:sz="4" w:space="0"/>
            </w:tcBorders>
            <w:vAlign w:val="center"/>
          </w:tcPr>
          <w:p w14:paraId="26511052">
            <w:pPr>
              <w:pStyle w:val="71"/>
              <w:spacing w:before="24" w:after="24"/>
              <w:jc w:val="both"/>
              <w:rPr>
                <w:rFonts w:cs="Times New Roman"/>
              </w:rPr>
            </w:pPr>
            <w:r>
              <w:rPr>
                <w:rFonts w:cs="Times New Roman"/>
              </w:rPr>
              <w:t>1）素土回填 , 分层夯实 （压实系数≥0.94）</w:t>
            </w:r>
          </w:p>
          <w:p w14:paraId="0EEBE133">
            <w:pPr>
              <w:pStyle w:val="71"/>
              <w:spacing w:before="24" w:after="24"/>
              <w:jc w:val="both"/>
              <w:rPr>
                <w:rFonts w:cs="Times New Roman"/>
              </w:rPr>
            </w:pPr>
            <w:r>
              <w:rPr>
                <w:rFonts w:cs="Times New Roman"/>
              </w:rPr>
              <w:t>2）30mm聚苯乙烯泡沫塑料板</w:t>
            </w:r>
          </w:p>
          <w:p w14:paraId="0A2B18FA">
            <w:pPr>
              <w:pStyle w:val="71"/>
              <w:spacing w:before="24" w:after="24"/>
              <w:jc w:val="both"/>
              <w:rPr>
                <w:rFonts w:cs="Times New Roman"/>
              </w:rPr>
            </w:pPr>
            <w:r>
              <w:rPr>
                <w:rFonts w:cs="Times New Roman"/>
              </w:rPr>
              <w:t>3）3mm厚自粘聚合物改性沥青防水卷材（聚酯胎）</w:t>
            </w:r>
          </w:p>
          <w:p w14:paraId="3269F22F">
            <w:pPr>
              <w:pStyle w:val="71"/>
              <w:spacing w:before="24" w:after="24"/>
              <w:jc w:val="both"/>
              <w:rPr>
                <w:rFonts w:cs="Times New Roman"/>
              </w:rPr>
            </w:pPr>
            <w:r>
              <w:rPr>
                <w:rFonts w:cs="Times New Roman"/>
              </w:rPr>
              <w:t>4）1.0mm厚水泥基渗透结晶型防水涂料（用量≥1.5kg/㎡）</w:t>
            </w:r>
          </w:p>
          <w:p w14:paraId="257CB3DE">
            <w:pPr>
              <w:pStyle w:val="71"/>
              <w:spacing w:before="24" w:after="24"/>
              <w:jc w:val="both"/>
              <w:rPr>
                <w:rFonts w:cs="Times New Roman"/>
              </w:rPr>
            </w:pPr>
            <w:r>
              <w:rPr>
                <w:rFonts w:cs="Times New Roman"/>
              </w:rPr>
              <w:t>5）抗渗钢筋混凝土自防水外墙，打磨，修补平整（抗渗等级≥P8）</w:t>
            </w:r>
          </w:p>
        </w:tc>
        <w:tc>
          <w:tcPr>
            <w:tcW w:w="1280" w:type="dxa"/>
            <w:tcBorders>
              <w:top w:val="single" w:color="000000" w:sz="4" w:space="0"/>
              <w:left w:val="single" w:color="000000" w:sz="4" w:space="0"/>
              <w:bottom w:val="single" w:color="000000" w:sz="4" w:space="0"/>
              <w:right w:val="single" w:color="000000" w:sz="4" w:space="0"/>
            </w:tcBorders>
            <w:vAlign w:val="center"/>
          </w:tcPr>
          <w:p w14:paraId="3C0D075E">
            <w:pPr>
              <w:pStyle w:val="71"/>
              <w:spacing w:before="24" w:after="24"/>
              <w:rPr>
                <w:rFonts w:cs="Times New Roman"/>
              </w:rPr>
            </w:pPr>
          </w:p>
        </w:tc>
      </w:tr>
      <w:tr w14:paraId="75ECDD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6F84FCF8">
            <w:pPr>
              <w:pStyle w:val="71"/>
              <w:spacing w:before="24" w:after="24"/>
              <w:rPr>
                <w:rFonts w:cs="Times New Roman"/>
              </w:rPr>
            </w:pPr>
            <w:r>
              <w:rPr>
                <w:rFonts w:cs="Times New Roman"/>
              </w:rPr>
              <w:t>4</w:t>
            </w:r>
          </w:p>
        </w:tc>
        <w:tc>
          <w:tcPr>
            <w:tcW w:w="1595" w:type="dxa"/>
            <w:tcBorders>
              <w:top w:val="single" w:color="000000" w:sz="4" w:space="0"/>
              <w:left w:val="single" w:color="000000" w:sz="4" w:space="0"/>
              <w:bottom w:val="single" w:color="000000" w:sz="4" w:space="0"/>
              <w:right w:val="single" w:color="000000" w:sz="4" w:space="0"/>
            </w:tcBorders>
            <w:vAlign w:val="center"/>
          </w:tcPr>
          <w:p w14:paraId="5BE9AD87">
            <w:pPr>
              <w:pStyle w:val="71"/>
              <w:spacing w:before="24" w:after="24"/>
              <w:rPr>
                <w:rFonts w:cs="Times New Roman"/>
              </w:rPr>
            </w:pPr>
            <w:r>
              <w:rPr>
                <w:rFonts w:cs="Times New Roman"/>
              </w:rPr>
              <w:t>地下室底板</w:t>
            </w:r>
          </w:p>
        </w:tc>
        <w:tc>
          <w:tcPr>
            <w:tcW w:w="1661" w:type="dxa"/>
            <w:tcBorders>
              <w:top w:val="single" w:color="000000" w:sz="4" w:space="0"/>
              <w:left w:val="single" w:color="000000" w:sz="4" w:space="0"/>
              <w:bottom w:val="single" w:color="000000" w:sz="4" w:space="0"/>
              <w:right w:val="single" w:color="000000" w:sz="4" w:space="0"/>
            </w:tcBorders>
            <w:vAlign w:val="center"/>
          </w:tcPr>
          <w:p w14:paraId="2EB30290">
            <w:pPr>
              <w:pStyle w:val="71"/>
              <w:spacing w:before="24" w:after="24"/>
              <w:jc w:val="both"/>
              <w:rPr>
                <w:rFonts w:cs="Times New Roman"/>
              </w:rPr>
            </w:pPr>
            <w:r>
              <w:rPr>
                <w:rFonts w:cs="Times New Roman"/>
              </w:rPr>
              <w:t>地下室底板（Ⅰ级防水）</w:t>
            </w:r>
          </w:p>
        </w:tc>
        <w:tc>
          <w:tcPr>
            <w:tcW w:w="4249" w:type="dxa"/>
            <w:tcBorders>
              <w:top w:val="single" w:color="000000" w:sz="4" w:space="0"/>
              <w:left w:val="single" w:color="000000" w:sz="4" w:space="0"/>
              <w:bottom w:val="single" w:color="000000" w:sz="4" w:space="0"/>
              <w:right w:val="single" w:color="000000" w:sz="4" w:space="0"/>
            </w:tcBorders>
            <w:vAlign w:val="center"/>
          </w:tcPr>
          <w:p w14:paraId="24762515">
            <w:pPr>
              <w:pStyle w:val="71"/>
              <w:spacing w:before="24" w:after="24"/>
              <w:jc w:val="both"/>
              <w:rPr>
                <w:rFonts w:cs="Times New Roman"/>
              </w:rPr>
            </w:pPr>
            <w:r>
              <w:rPr>
                <w:rFonts w:cs="Times New Roman"/>
              </w:rPr>
              <w:t>1）抗渗混凝土底板（抗渗等级≥P8）</w:t>
            </w:r>
          </w:p>
          <w:p w14:paraId="63795724">
            <w:pPr>
              <w:pStyle w:val="71"/>
              <w:spacing w:before="24" w:after="24"/>
              <w:jc w:val="both"/>
              <w:rPr>
                <w:rFonts w:cs="Times New Roman"/>
              </w:rPr>
            </w:pPr>
            <w:r>
              <w:rPr>
                <w:rFonts w:cs="Times New Roman"/>
              </w:rPr>
              <w:t>2）1.2mm 厚背粘型高分子自粘胶膜防水卷材（预铺反粘），背面满涂高分子自粘胶并覆隔离膜,背胶厚度不低于 0.15mm</w:t>
            </w:r>
          </w:p>
          <w:p w14:paraId="4110E8FA">
            <w:pPr>
              <w:pStyle w:val="71"/>
              <w:spacing w:before="24" w:after="24"/>
              <w:jc w:val="both"/>
              <w:rPr>
                <w:rFonts w:cs="Times New Roman"/>
              </w:rPr>
            </w:pPr>
            <w:r>
              <w:rPr>
                <w:rFonts w:cs="Times New Roman"/>
              </w:rPr>
              <w:t>3）1.5厚双面防皱自粘聚合物改性沥青防水卷材</w:t>
            </w:r>
          </w:p>
          <w:p w14:paraId="40C6A40C">
            <w:pPr>
              <w:pStyle w:val="71"/>
              <w:spacing w:before="24" w:after="24"/>
              <w:jc w:val="both"/>
              <w:rPr>
                <w:rFonts w:cs="Times New Roman"/>
              </w:rPr>
            </w:pPr>
            <w:r>
              <w:rPr>
                <w:rFonts w:cs="Times New Roman"/>
              </w:rPr>
              <w:t>4）100mm厚C15混凝土垫层，表面原浆赶光找平；</w:t>
            </w:r>
          </w:p>
          <w:p w14:paraId="1F904969">
            <w:pPr>
              <w:pStyle w:val="71"/>
              <w:spacing w:before="24" w:after="24"/>
              <w:jc w:val="both"/>
              <w:rPr>
                <w:rFonts w:cs="Times New Roman"/>
              </w:rPr>
            </w:pPr>
            <w:r>
              <w:rPr>
                <w:rFonts w:cs="Times New Roman"/>
              </w:rPr>
              <w:t>5）素土夯实，压实系数≥ 0.94</w:t>
            </w:r>
          </w:p>
        </w:tc>
        <w:tc>
          <w:tcPr>
            <w:tcW w:w="1280" w:type="dxa"/>
            <w:tcBorders>
              <w:top w:val="single" w:color="000000" w:sz="4" w:space="0"/>
              <w:left w:val="single" w:color="000000" w:sz="4" w:space="0"/>
              <w:bottom w:val="single" w:color="000000" w:sz="4" w:space="0"/>
              <w:right w:val="single" w:color="000000" w:sz="4" w:space="0"/>
            </w:tcBorders>
            <w:vAlign w:val="center"/>
          </w:tcPr>
          <w:p w14:paraId="7D5D0DF1">
            <w:pPr>
              <w:pStyle w:val="71"/>
              <w:spacing w:before="24" w:after="24"/>
              <w:rPr>
                <w:rFonts w:cs="Times New Roman"/>
              </w:rPr>
            </w:pPr>
          </w:p>
        </w:tc>
      </w:tr>
      <w:tr w14:paraId="55E91F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347" w:type="dxa"/>
            <w:gridSpan w:val="5"/>
            <w:tcBorders>
              <w:top w:val="single" w:color="000000" w:sz="4" w:space="0"/>
              <w:left w:val="single" w:color="000000" w:sz="4" w:space="0"/>
              <w:bottom w:val="single" w:color="000000" w:sz="4" w:space="0"/>
              <w:right w:val="single" w:color="000000" w:sz="4" w:space="0"/>
            </w:tcBorders>
            <w:vAlign w:val="center"/>
          </w:tcPr>
          <w:p w14:paraId="1B02CFC3">
            <w:pPr>
              <w:pStyle w:val="71"/>
              <w:spacing w:before="24" w:after="24"/>
              <w:rPr>
                <w:rFonts w:cs="Times New Roman"/>
              </w:rPr>
            </w:pPr>
            <w:r>
              <w:rPr>
                <w:rFonts w:cs="Times New Roman"/>
              </w:rPr>
              <w:t>地下室楼面</w:t>
            </w:r>
          </w:p>
        </w:tc>
      </w:tr>
      <w:tr w14:paraId="64DA7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6B633818">
            <w:pPr>
              <w:pStyle w:val="71"/>
              <w:spacing w:before="24" w:after="24"/>
              <w:rPr>
                <w:rFonts w:cs="Times New Roman"/>
              </w:rPr>
            </w:pPr>
            <w:r>
              <w:rPr>
                <w:rFonts w:cs="Times New Roman"/>
              </w:rPr>
              <w:t>1</w:t>
            </w:r>
          </w:p>
        </w:tc>
        <w:tc>
          <w:tcPr>
            <w:tcW w:w="1595" w:type="dxa"/>
            <w:tcBorders>
              <w:top w:val="single" w:color="000000" w:sz="4" w:space="0"/>
              <w:left w:val="single" w:color="000000" w:sz="4" w:space="0"/>
              <w:bottom w:val="single" w:color="000000" w:sz="4" w:space="0"/>
              <w:right w:val="single" w:color="000000" w:sz="4" w:space="0"/>
            </w:tcBorders>
            <w:vAlign w:val="center"/>
          </w:tcPr>
          <w:p w14:paraId="586BF078">
            <w:pPr>
              <w:pStyle w:val="71"/>
              <w:spacing w:before="24" w:after="24"/>
              <w:rPr>
                <w:rFonts w:cs="Times New Roman"/>
              </w:rPr>
            </w:pPr>
            <w:r>
              <w:rPr>
                <w:rFonts w:cs="Times New Roman"/>
              </w:rPr>
              <w:t>楼面1（金刚砂楼面）</w:t>
            </w:r>
          </w:p>
        </w:tc>
        <w:tc>
          <w:tcPr>
            <w:tcW w:w="1661" w:type="dxa"/>
            <w:tcBorders>
              <w:top w:val="single" w:color="000000" w:sz="4" w:space="0"/>
              <w:left w:val="single" w:color="000000" w:sz="4" w:space="0"/>
              <w:bottom w:val="single" w:color="000000" w:sz="4" w:space="0"/>
              <w:right w:val="single" w:color="000000" w:sz="4" w:space="0"/>
            </w:tcBorders>
            <w:vAlign w:val="center"/>
          </w:tcPr>
          <w:p w14:paraId="3FF52042">
            <w:pPr>
              <w:pStyle w:val="71"/>
              <w:spacing w:before="24" w:after="24"/>
              <w:jc w:val="both"/>
              <w:rPr>
                <w:rFonts w:cs="Times New Roman"/>
              </w:rPr>
            </w:pPr>
            <w:r>
              <w:rPr>
                <w:rFonts w:cs="Times New Roman"/>
              </w:rPr>
              <w:t>机动车坡道</w:t>
            </w:r>
          </w:p>
        </w:tc>
        <w:tc>
          <w:tcPr>
            <w:tcW w:w="4249" w:type="dxa"/>
            <w:tcBorders>
              <w:top w:val="single" w:color="000000" w:sz="4" w:space="0"/>
              <w:left w:val="single" w:color="000000" w:sz="4" w:space="0"/>
              <w:bottom w:val="single" w:color="000000" w:sz="4" w:space="0"/>
              <w:right w:val="single" w:color="000000" w:sz="4" w:space="0"/>
            </w:tcBorders>
            <w:vAlign w:val="center"/>
          </w:tcPr>
          <w:p w14:paraId="39E356B3">
            <w:pPr>
              <w:pStyle w:val="71"/>
              <w:spacing w:before="24" w:after="24"/>
              <w:jc w:val="both"/>
              <w:rPr>
                <w:rFonts w:cs="Times New Roman"/>
              </w:rPr>
            </w:pPr>
            <w:r>
              <w:rPr>
                <w:rFonts w:cs="Times New Roman"/>
              </w:rPr>
              <w:t>1）3厚金刚砂耐磨面层</w:t>
            </w:r>
          </w:p>
          <w:p w14:paraId="6181D8E2">
            <w:pPr>
              <w:pStyle w:val="71"/>
              <w:spacing w:before="24" w:after="24"/>
              <w:jc w:val="both"/>
              <w:rPr>
                <w:rFonts w:cs="Times New Roman"/>
              </w:rPr>
            </w:pPr>
            <w:r>
              <w:rPr>
                <w:rFonts w:cs="Times New Roman"/>
              </w:rPr>
              <w:t>2）50厚C25细石混凝土找平层，终凝前将骨料均匀撒在找平层上</w:t>
            </w:r>
          </w:p>
          <w:p w14:paraId="4D6A375C">
            <w:pPr>
              <w:pStyle w:val="71"/>
              <w:spacing w:before="24" w:after="24"/>
              <w:jc w:val="both"/>
              <w:rPr>
                <w:rFonts w:cs="Times New Roman"/>
              </w:rPr>
            </w:pPr>
            <w:r>
              <w:rPr>
                <w:rFonts w:cs="Times New Roman"/>
              </w:rPr>
              <w:t>3）界面剂一道</w:t>
            </w:r>
          </w:p>
          <w:p w14:paraId="7EDA956A">
            <w:pPr>
              <w:pStyle w:val="71"/>
              <w:spacing w:before="24" w:after="24"/>
              <w:jc w:val="both"/>
              <w:rPr>
                <w:rFonts w:cs="Times New Roman"/>
              </w:rPr>
            </w:pPr>
            <w:r>
              <w:rPr>
                <w:rFonts w:cs="Times New Roman"/>
              </w:rPr>
              <w:t>4）钢筋混凝土底板（抗渗等级≥P8）</w:t>
            </w:r>
          </w:p>
        </w:tc>
        <w:tc>
          <w:tcPr>
            <w:tcW w:w="1280" w:type="dxa"/>
            <w:tcBorders>
              <w:top w:val="single" w:color="000000" w:sz="4" w:space="0"/>
              <w:left w:val="single" w:color="000000" w:sz="4" w:space="0"/>
              <w:bottom w:val="single" w:color="000000" w:sz="4" w:space="0"/>
              <w:right w:val="single" w:color="000000" w:sz="4" w:space="0"/>
            </w:tcBorders>
            <w:vAlign w:val="center"/>
          </w:tcPr>
          <w:p w14:paraId="22A31146">
            <w:pPr>
              <w:pStyle w:val="71"/>
              <w:spacing w:before="24" w:after="24"/>
              <w:rPr>
                <w:rFonts w:cs="Times New Roman"/>
              </w:rPr>
            </w:pPr>
          </w:p>
        </w:tc>
      </w:tr>
      <w:tr w14:paraId="281D8A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2C22B2FC">
            <w:pPr>
              <w:pStyle w:val="71"/>
              <w:spacing w:before="24" w:after="24"/>
              <w:rPr>
                <w:rFonts w:cs="Times New Roman"/>
              </w:rPr>
            </w:pPr>
            <w:r>
              <w:rPr>
                <w:rFonts w:cs="Times New Roman"/>
              </w:rPr>
              <w:t>2</w:t>
            </w:r>
          </w:p>
        </w:tc>
        <w:tc>
          <w:tcPr>
            <w:tcW w:w="1595" w:type="dxa"/>
            <w:tcBorders>
              <w:top w:val="single" w:color="000000" w:sz="4" w:space="0"/>
              <w:left w:val="single" w:color="000000" w:sz="4" w:space="0"/>
              <w:bottom w:val="single" w:color="000000" w:sz="4" w:space="0"/>
              <w:right w:val="single" w:color="000000" w:sz="4" w:space="0"/>
            </w:tcBorders>
            <w:vAlign w:val="center"/>
          </w:tcPr>
          <w:p w14:paraId="4A3932DB">
            <w:pPr>
              <w:pStyle w:val="71"/>
              <w:spacing w:before="24" w:after="24"/>
              <w:rPr>
                <w:rFonts w:cs="Times New Roman"/>
              </w:rPr>
            </w:pPr>
            <w:r>
              <w:rPr>
                <w:rFonts w:cs="Times New Roman"/>
              </w:rPr>
              <w:t>楼面2（环氧树脂楼面）</w:t>
            </w:r>
          </w:p>
        </w:tc>
        <w:tc>
          <w:tcPr>
            <w:tcW w:w="1661" w:type="dxa"/>
            <w:tcBorders>
              <w:top w:val="single" w:color="000000" w:sz="4" w:space="0"/>
              <w:left w:val="single" w:color="000000" w:sz="4" w:space="0"/>
              <w:bottom w:val="single" w:color="000000" w:sz="4" w:space="0"/>
              <w:right w:val="single" w:color="000000" w:sz="4" w:space="0"/>
            </w:tcBorders>
            <w:vAlign w:val="center"/>
          </w:tcPr>
          <w:p w14:paraId="0F60D613">
            <w:pPr>
              <w:pStyle w:val="71"/>
              <w:spacing w:before="24" w:after="24"/>
              <w:jc w:val="both"/>
              <w:rPr>
                <w:rFonts w:cs="Times New Roman"/>
              </w:rPr>
            </w:pPr>
            <w:r>
              <w:rPr>
                <w:rFonts w:cs="Times New Roman"/>
              </w:rPr>
              <w:t>机动车库</w:t>
            </w:r>
          </w:p>
        </w:tc>
        <w:tc>
          <w:tcPr>
            <w:tcW w:w="4249" w:type="dxa"/>
            <w:tcBorders>
              <w:top w:val="single" w:color="000000" w:sz="4" w:space="0"/>
              <w:left w:val="single" w:color="000000" w:sz="4" w:space="0"/>
              <w:bottom w:val="single" w:color="000000" w:sz="4" w:space="0"/>
              <w:right w:val="single" w:color="000000" w:sz="4" w:space="0"/>
            </w:tcBorders>
            <w:vAlign w:val="center"/>
          </w:tcPr>
          <w:p w14:paraId="11015A91">
            <w:pPr>
              <w:pStyle w:val="71"/>
              <w:spacing w:before="24" w:after="24"/>
              <w:jc w:val="both"/>
              <w:rPr>
                <w:rFonts w:cs="Times New Roman"/>
              </w:rPr>
            </w:pPr>
            <w:r>
              <w:rPr>
                <w:rFonts w:cs="Times New Roman"/>
              </w:rPr>
              <w:t>1）1厚环氧树脂涂层面层</w:t>
            </w:r>
          </w:p>
          <w:p w14:paraId="7BFC20F9">
            <w:pPr>
              <w:pStyle w:val="71"/>
              <w:spacing w:before="24" w:after="24"/>
              <w:jc w:val="both"/>
              <w:rPr>
                <w:rFonts w:cs="Times New Roman"/>
              </w:rPr>
            </w:pPr>
            <w:r>
              <w:rPr>
                <w:rFonts w:cs="Times New Roman"/>
              </w:rPr>
              <w:t>2）环氧树脂腻子超细找平</w:t>
            </w:r>
          </w:p>
          <w:p w14:paraId="1289E86C">
            <w:pPr>
              <w:pStyle w:val="71"/>
              <w:spacing w:before="24" w:after="24"/>
              <w:jc w:val="both"/>
              <w:rPr>
                <w:rFonts w:cs="Times New Roman"/>
              </w:rPr>
            </w:pPr>
            <w:r>
              <w:rPr>
                <w:rFonts w:cs="Times New Roman"/>
              </w:rPr>
              <w:t>3）环氧树脂中涂一道</w:t>
            </w:r>
          </w:p>
          <w:p w14:paraId="4FA6235E">
            <w:pPr>
              <w:pStyle w:val="71"/>
              <w:spacing w:before="24" w:after="24"/>
              <w:jc w:val="both"/>
              <w:rPr>
                <w:rFonts w:cs="Times New Roman"/>
              </w:rPr>
            </w:pPr>
            <w:r>
              <w:rPr>
                <w:rFonts w:cs="Times New Roman"/>
              </w:rPr>
              <w:t>4）环氧树脂底涂一道</w:t>
            </w:r>
          </w:p>
          <w:p w14:paraId="33A7A677">
            <w:pPr>
              <w:pStyle w:val="71"/>
              <w:spacing w:before="24" w:after="24"/>
              <w:jc w:val="both"/>
              <w:rPr>
                <w:rFonts w:cs="Times New Roman"/>
              </w:rPr>
            </w:pPr>
            <w:r>
              <w:rPr>
                <w:rFonts w:cs="Times New Roman"/>
              </w:rPr>
              <w:t>5）50厚C25细石混凝土基层，强度达标后表面打磨</w:t>
            </w:r>
          </w:p>
          <w:p w14:paraId="41A9EA7D">
            <w:pPr>
              <w:pStyle w:val="71"/>
              <w:spacing w:before="24" w:after="24"/>
              <w:jc w:val="both"/>
              <w:rPr>
                <w:rFonts w:cs="Times New Roman"/>
              </w:rPr>
            </w:pPr>
            <w:r>
              <w:rPr>
                <w:rFonts w:cs="Times New Roman"/>
              </w:rPr>
              <w:t>6）界面剂一道</w:t>
            </w:r>
          </w:p>
          <w:p w14:paraId="2E958D49">
            <w:pPr>
              <w:pStyle w:val="71"/>
              <w:spacing w:before="24" w:after="24"/>
              <w:jc w:val="both"/>
              <w:rPr>
                <w:rFonts w:cs="Times New Roman"/>
              </w:rPr>
            </w:pPr>
            <w:r>
              <w:rPr>
                <w:rFonts w:cs="Times New Roman"/>
              </w:rPr>
              <w:t>7）钢筋混凝土底板（抗渗等级≥P8）</w:t>
            </w:r>
          </w:p>
        </w:tc>
        <w:tc>
          <w:tcPr>
            <w:tcW w:w="1280" w:type="dxa"/>
            <w:tcBorders>
              <w:top w:val="single" w:color="000000" w:sz="4" w:space="0"/>
              <w:left w:val="single" w:color="000000" w:sz="4" w:space="0"/>
              <w:bottom w:val="single" w:color="000000" w:sz="4" w:space="0"/>
              <w:right w:val="single" w:color="000000" w:sz="4" w:space="0"/>
            </w:tcBorders>
            <w:vAlign w:val="center"/>
          </w:tcPr>
          <w:p w14:paraId="3A59F51F">
            <w:pPr>
              <w:pStyle w:val="71"/>
              <w:spacing w:before="24" w:after="24"/>
              <w:rPr>
                <w:rFonts w:cs="Times New Roman"/>
              </w:rPr>
            </w:pPr>
          </w:p>
        </w:tc>
      </w:tr>
      <w:tr w14:paraId="50D24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105D84E3">
            <w:pPr>
              <w:pStyle w:val="71"/>
              <w:spacing w:before="24" w:after="24"/>
              <w:rPr>
                <w:rFonts w:cs="Times New Roman"/>
              </w:rPr>
            </w:pPr>
            <w:r>
              <w:rPr>
                <w:rFonts w:cs="Times New Roman"/>
              </w:rPr>
              <w:t>3</w:t>
            </w:r>
          </w:p>
        </w:tc>
        <w:tc>
          <w:tcPr>
            <w:tcW w:w="1595" w:type="dxa"/>
            <w:tcBorders>
              <w:top w:val="single" w:color="000000" w:sz="4" w:space="0"/>
              <w:left w:val="single" w:color="000000" w:sz="4" w:space="0"/>
              <w:bottom w:val="single" w:color="000000" w:sz="4" w:space="0"/>
              <w:right w:val="single" w:color="000000" w:sz="4" w:space="0"/>
            </w:tcBorders>
            <w:vAlign w:val="center"/>
          </w:tcPr>
          <w:p w14:paraId="6EBFA5DE">
            <w:pPr>
              <w:pStyle w:val="71"/>
              <w:spacing w:before="24" w:after="24"/>
              <w:rPr>
                <w:rFonts w:cs="Times New Roman"/>
              </w:rPr>
            </w:pPr>
            <w:r>
              <w:rPr>
                <w:rFonts w:cs="Times New Roman"/>
              </w:rPr>
              <w:t>楼面3（细石混凝土楼面）</w:t>
            </w:r>
          </w:p>
        </w:tc>
        <w:tc>
          <w:tcPr>
            <w:tcW w:w="1661" w:type="dxa"/>
            <w:tcBorders>
              <w:top w:val="single" w:color="000000" w:sz="4" w:space="0"/>
              <w:left w:val="single" w:color="000000" w:sz="4" w:space="0"/>
              <w:bottom w:val="single" w:color="000000" w:sz="4" w:space="0"/>
              <w:right w:val="single" w:color="000000" w:sz="4" w:space="0"/>
            </w:tcBorders>
            <w:vAlign w:val="center"/>
          </w:tcPr>
          <w:p w14:paraId="494B38B3">
            <w:pPr>
              <w:pStyle w:val="71"/>
              <w:spacing w:before="24" w:after="24"/>
              <w:jc w:val="both"/>
              <w:rPr>
                <w:rFonts w:cs="Times New Roman"/>
              </w:rPr>
            </w:pPr>
            <w:r>
              <w:rPr>
                <w:rFonts w:cs="Times New Roman"/>
              </w:rPr>
              <w:t>非机动车库及坡道、专用人防地下室</w:t>
            </w:r>
          </w:p>
        </w:tc>
        <w:tc>
          <w:tcPr>
            <w:tcW w:w="4249" w:type="dxa"/>
            <w:tcBorders>
              <w:top w:val="single" w:color="000000" w:sz="4" w:space="0"/>
              <w:left w:val="single" w:color="000000" w:sz="4" w:space="0"/>
              <w:bottom w:val="single" w:color="000000" w:sz="4" w:space="0"/>
              <w:right w:val="single" w:color="000000" w:sz="4" w:space="0"/>
            </w:tcBorders>
            <w:vAlign w:val="center"/>
          </w:tcPr>
          <w:p w14:paraId="65CAF907">
            <w:pPr>
              <w:pStyle w:val="71"/>
              <w:spacing w:before="24" w:after="24"/>
              <w:jc w:val="both"/>
              <w:rPr>
                <w:rFonts w:cs="Times New Roman"/>
              </w:rPr>
            </w:pPr>
            <w:r>
              <w:rPr>
                <w:rFonts w:cs="Times New Roman"/>
              </w:rPr>
              <w:t>1）40厚C20细石混凝土面层，表面撒1:1水泥砂浆随打随抹光</w:t>
            </w:r>
          </w:p>
          <w:p w14:paraId="36C05EC1">
            <w:pPr>
              <w:pStyle w:val="71"/>
              <w:spacing w:before="24" w:after="24"/>
              <w:jc w:val="both"/>
              <w:rPr>
                <w:rFonts w:cs="Times New Roman"/>
              </w:rPr>
            </w:pPr>
            <w:r>
              <w:rPr>
                <w:rFonts w:cs="Times New Roman"/>
              </w:rPr>
              <w:t>2）钢筋混凝土底板（抗渗等级≥P8）</w:t>
            </w:r>
          </w:p>
        </w:tc>
        <w:tc>
          <w:tcPr>
            <w:tcW w:w="1280" w:type="dxa"/>
            <w:tcBorders>
              <w:top w:val="single" w:color="000000" w:sz="4" w:space="0"/>
              <w:left w:val="single" w:color="000000" w:sz="4" w:space="0"/>
              <w:bottom w:val="single" w:color="000000" w:sz="4" w:space="0"/>
              <w:right w:val="single" w:color="000000" w:sz="4" w:space="0"/>
            </w:tcBorders>
            <w:vAlign w:val="center"/>
          </w:tcPr>
          <w:p w14:paraId="0CFFEA75">
            <w:pPr>
              <w:pStyle w:val="71"/>
              <w:spacing w:before="24" w:after="24"/>
              <w:rPr>
                <w:rFonts w:cs="Times New Roman"/>
              </w:rPr>
            </w:pPr>
          </w:p>
        </w:tc>
      </w:tr>
      <w:tr w14:paraId="1C7D7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2D83ADA4">
            <w:pPr>
              <w:pStyle w:val="71"/>
              <w:spacing w:before="24" w:after="24"/>
              <w:rPr>
                <w:rFonts w:cs="Times New Roman"/>
              </w:rPr>
            </w:pPr>
            <w:r>
              <w:rPr>
                <w:rFonts w:cs="Times New Roman"/>
              </w:rPr>
              <w:t>4</w:t>
            </w:r>
          </w:p>
        </w:tc>
        <w:tc>
          <w:tcPr>
            <w:tcW w:w="1595" w:type="dxa"/>
            <w:tcBorders>
              <w:top w:val="single" w:color="000000" w:sz="4" w:space="0"/>
              <w:left w:val="single" w:color="000000" w:sz="4" w:space="0"/>
              <w:bottom w:val="single" w:color="000000" w:sz="4" w:space="0"/>
              <w:right w:val="single" w:color="000000" w:sz="4" w:space="0"/>
            </w:tcBorders>
            <w:vAlign w:val="center"/>
          </w:tcPr>
          <w:p w14:paraId="2FA93350">
            <w:pPr>
              <w:pStyle w:val="71"/>
              <w:spacing w:before="24" w:after="24"/>
              <w:rPr>
                <w:rFonts w:cs="Times New Roman"/>
              </w:rPr>
            </w:pPr>
            <w:r>
              <w:rPr>
                <w:rFonts w:cs="Times New Roman"/>
              </w:rPr>
              <w:t>楼面4（防滑地砖楼面）</w:t>
            </w:r>
          </w:p>
        </w:tc>
        <w:tc>
          <w:tcPr>
            <w:tcW w:w="1661" w:type="dxa"/>
            <w:tcBorders>
              <w:top w:val="single" w:color="000000" w:sz="4" w:space="0"/>
              <w:left w:val="single" w:color="000000" w:sz="4" w:space="0"/>
              <w:bottom w:val="single" w:color="000000" w:sz="4" w:space="0"/>
              <w:right w:val="single" w:color="000000" w:sz="4" w:space="0"/>
            </w:tcBorders>
            <w:vAlign w:val="center"/>
          </w:tcPr>
          <w:p w14:paraId="09224986">
            <w:pPr>
              <w:pStyle w:val="71"/>
              <w:spacing w:before="24" w:after="24"/>
              <w:jc w:val="both"/>
              <w:rPr>
                <w:rFonts w:cs="Times New Roman"/>
              </w:rPr>
            </w:pPr>
            <w:r>
              <w:rPr>
                <w:rFonts w:cs="Times New Roman"/>
              </w:rPr>
              <w:t>地下大堂、电梯厅、消防水泵房、生活水泵房、生活水箱间、中水处理设备间</w:t>
            </w:r>
          </w:p>
        </w:tc>
        <w:tc>
          <w:tcPr>
            <w:tcW w:w="4249" w:type="dxa"/>
            <w:tcBorders>
              <w:top w:val="single" w:color="000000" w:sz="4" w:space="0"/>
              <w:left w:val="single" w:color="000000" w:sz="4" w:space="0"/>
              <w:bottom w:val="single" w:color="000000" w:sz="4" w:space="0"/>
              <w:right w:val="single" w:color="000000" w:sz="4" w:space="0"/>
            </w:tcBorders>
            <w:vAlign w:val="center"/>
          </w:tcPr>
          <w:p w14:paraId="036B5BC5">
            <w:pPr>
              <w:pStyle w:val="71"/>
              <w:spacing w:before="24" w:after="24"/>
              <w:jc w:val="both"/>
              <w:rPr>
                <w:rFonts w:cs="Times New Roman"/>
              </w:rPr>
            </w:pPr>
            <w:r>
              <w:rPr>
                <w:rFonts w:cs="Times New Roman"/>
              </w:rPr>
              <w:t>1）防滑地砖</w:t>
            </w:r>
          </w:p>
          <w:p w14:paraId="48AC4FFC">
            <w:pPr>
              <w:pStyle w:val="71"/>
              <w:spacing w:before="24" w:after="24"/>
              <w:jc w:val="both"/>
              <w:rPr>
                <w:rFonts w:cs="Times New Roman"/>
              </w:rPr>
            </w:pPr>
            <w:r>
              <w:rPr>
                <w:rFonts w:cs="Times New Roman"/>
              </w:rPr>
              <w:t>2）</w:t>
            </w:r>
            <w:r>
              <w:rPr>
                <w:rFonts w:hint="eastAsia" w:cs="Times New Roman"/>
              </w:rPr>
              <w:t>2</w:t>
            </w:r>
            <w:r>
              <w:rPr>
                <w:rFonts w:cs="Times New Roman"/>
              </w:rPr>
              <w:t>0厚1:3干硬性水泥砂浆结合层，表面撒水泥粉</w:t>
            </w:r>
          </w:p>
          <w:p w14:paraId="158551F6">
            <w:pPr>
              <w:pStyle w:val="71"/>
              <w:spacing w:before="24" w:after="24"/>
              <w:jc w:val="both"/>
              <w:rPr>
                <w:rFonts w:cs="Times New Roman"/>
              </w:rPr>
            </w:pPr>
            <w:r>
              <w:rPr>
                <w:rFonts w:cs="Times New Roman"/>
              </w:rPr>
              <w:t>3）钢筋混凝土底板（抗渗等级≥P8）</w:t>
            </w:r>
          </w:p>
        </w:tc>
        <w:tc>
          <w:tcPr>
            <w:tcW w:w="1280" w:type="dxa"/>
            <w:tcBorders>
              <w:top w:val="single" w:color="000000" w:sz="4" w:space="0"/>
              <w:left w:val="single" w:color="000000" w:sz="4" w:space="0"/>
              <w:bottom w:val="single" w:color="000000" w:sz="4" w:space="0"/>
              <w:right w:val="single" w:color="000000" w:sz="4" w:space="0"/>
            </w:tcBorders>
            <w:vAlign w:val="center"/>
          </w:tcPr>
          <w:p w14:paraId="36A614EC">
            <w:pPr>
              <w:pStyle w:val="71"/>
              <w:spacing w:before="24" w:after="24"/>
              <w:rPr>
                <w:rFonts w:cs="Times New Roman"/>
              </w:rPr>
            </w:pPr>
          </w:p>
        </w:tc>
      </w:tr>
      <w:tr w14:paraId="20B38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1370B9CB">
            <w:pPr>
              <w:pStyle w:val="71"/>
              <w:spacing w:before="24" w:after="24"/>
              <w:rPr>
                <w:rFonts w:cs="Times New Roman"/>
              </w:rPr>
            </w:pPr>
            <w:r>
              <w:rPr>
                <w:rFonts w:cs="Times New Roman"/>
              </w:rPr>
              <w:t>5</w:t>
            </w:r>
          </w:p>
        </w:tc>
        <w:tc>
          <w:tcPr>
            <w:tcW w:w="1595" w:type="dxa"/>
            <w:tcBorders>
              <w:top w:val="single" w:color="000000" w:sz="4" w:space="0"/>
              <w:left w:val="single" w:color="000000" w:sz="4" w:space="0"/>
              <w:bottom w:val="single" w:color="000000" w:sz="4" w:space="0"/>
              <w:right w:val="single" w:color="000000" w:sz="4" w:space="0"/>
            </w:tcBorders>
            <w:vAlign w:val="center"/>
          </w:tcPr>
          <w:p w14:paraId="66946F45">
            <w:pPr>
              <w:pStyle w:val="71"/>
              <w:spacing w:before="24" w:after="24"/>
              <w:rPr>
                <w:rFonts w:cs="Times New Roman"/>
              </w:rPr>
            </w:pPr>
            <w:r>
              <w:rPr>
                <w:rFonts w:cs="Times New Roman"/>
              </w:rPr>
              <w:t>楼面5（防静电地板）</w:t>
            </w:r>
          </w:p>
        </w:tc>
        <w:tc>
          <w:tcPr>
            <w:tcW w:w="1661" w:type="dxa"/>
            <w:tcBorders>
              <w:top w:val="single" w:color="000000" w:sz="4" w:space="0"/>
              <w:left w:val="single" w:color="000000" w:sz="4" w:space="0"/>
              <w:bottom w:val="single" w:color="000000" w:sz="4" w:space="0"/>
              <w:right w:val="single" w:color="000000" w:sz="4" w:space="0"/>
            </w:tcBorders>
            <w:vAlign w:val="center"/>
          </w:tcPr>
          <w:p w14:paraId="677D91B1">
            <w:pPr>
              <w:pStyle w:val="71"/>
              <w:spacing w:before="24" w:after="24"/>
              <w:jc w:val="both"/>
              <w:rPr>
                <w:rFonts w:cs="Times New Roman"/>
              </w:rPr>
            </w:pPr>
            <w:r>
              <w:rPr>
                <w:rFonts w:cs="Times New Roman"/>
              </w:rPr>
              <w:t>公用变配电房、专用变配电房（含水泵房配电间）、柴油发电机房、电表间、强弱电间、发电机房控制室</w:t>
            </w:r>
          </w:p>
        </w:tc>
        <w:tc>
          <w:tcPr>
            <w:tcW w:w="4249" w:type="dxa"/>
            <w:tcBorders>
              <w:top w:val="single" w:color="000000" w:sz="4" w:space="0"/>
              <w:left w:val="single" w:color="000000" w:sz="4" w:space="0"/>
              <w:bottom w:val="single" w:color="000000" w:sz="4" w:space="0"/>
              <w:right w:val="single" w:color="000000" w:sz="4" w:space="0"/>
            </w:tcBorders>
            <w:vAlign w:val="center"/>
          </w:tcPr>
          <w:p w14:paraId="574B1528">
            <w:pPr>
              <w:pStyle w:val="71"/>
              <w:spacing w:before="24" w:after="24"/>
              <w:jc w:val="both"/>
              <w:rPr>
                <w:rFonts w:cs="Times New Roman"/>
              </w:rPr>
            </w:pPr>
            <w:r>
              <w:rPr>
                <w:rFonts w:cs="Times New Roman"/>
              </w:rPr>
              <w:t>1）150～200高架空防静电活动地板</w:t>
            </w:r>
          </w:p>
          <w:p w14:paraId="767781E9">
            <w:pPr>
              <w:pStyle w:val="71"/>
              <w:spacing w:before="24" w:after="24"/>
              <w:jc w:val="both"/>
              <w:rPr>
                <w:rFonts w:cs="Times New Roman"/>
              </w:rPr>
            </w:pPr>
            <w:r>
              <w:rPr>
                <w:rFonts w:cs="Times New Roman"/>
              </w:rPr>
              <w:t>2）保护层界面剂一道</w:t>
            </w:r>
          </w:p>
          <w:p w14:paraId="61BFB470">
            <w:pPr>
              <w:pStyle w:val="71"/>
              <w:spacing w:before="24" w:after="24"/>
              <w:jc w:val="both"/>
              <w:rPr>
                <w:rFonts w:cs="Times New Roman"/>
              </w:rPr>
            </w:pPr>
            <w:r>
              <w:rPr>
                <w:rFonts w:cs="Times New Roman"/>
              </w:rPr>
              <w:t>3）20厚1:3水泥砂浆找平层</w:t>
            </w:r>
          </w:p>
          <w:p w14:paraId="127A2301">
            <w:pPr>
              <w:pStyle w:val="71"/>
              <w:spacing w:before="24" w:after="24"/>
              <w:jc w:val="both"/>
              <w:rPr>
                <w:rFonts w:cs="Times New Roman"/>
              </w:rPr>
            </w:pPr>
            <w:r>
              <w:rPr>
                <w:rFonts w:cs="Times New Roman"/>
              </w:rPr>
              <w:t>4）钢筋混凝土底板（抗渗等级≥P8）</w:t>
            </w:r>
          </w:p>
        </w:tc>
        <w:tc>
          <w:tcPr>
            <w:tcW w:w="1280" w:type="dxa"/>
            <w:tcBorders>
              <w:top w:val="single" w:color="000000" w:sz="4" w:space="0"/>
              <w:left w:val="single" w:color="000000" w:sz="4" w:space="0"/>
              <w:bottom w:val="single" w:color="000000" w:sz="4" w:space="0"/>
              <w:right w:val="single" w:color="000000" w:sz="4" w:space="0"/>
            </w:tcBorders>
            <w:vAlign w:val="center"/>
          </w:tcPr>
          <w:p w14:paraId="729D8991">
            <w:pPr>
              <w:pStyle w:val="71"/>
              <w:spacing w:before="24" w:after="24"/>
              <w:rPr>
                <w:rFonts w:cs="Times New Roman"/>
              </w:rPr>
            </w:pPr>
          </w:p>
        </w:tc>
      </w:tr>
      <w:tr w14:paraId="2151E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2234E15D">
            <w:pPr>
              <w:pStyle w:val="71"/>
              <w:spacing w:before="24" w:after="24"/>
              <w:rPr>
                <w:rFonts w:cs="Times New Roman"/>
              </w:rPr>
            </w:pPr>
            <w:r>
              <w:rPr>
                <w:rFonts w:cs="Times New Roman"/>
              </w:rPr>
              <w:t>6</w:t>
            </w:r>
          </w:p>
        </w:tc>
        <w:tc>
          <w:tcPr>
            <w:tcW w:w="1595" w:type="dxa"/>
            <w:tcBorders>
              <w:top w:val="single" w:color="000000" w:sz="4" w:space="0"/>
              <w:left w:val="single" w:color="000000" w:sz="4" w:space="0"/>
              <w:bottom w:val="single" w:color="000000" w:sz="4" w:space="0"/>
              <w:right w:val="single" w:color="000000" w:sz="4" w:space="0"/>
            </w:tcBorders>
            <w:vAlign w:val="center"/>
          </w:tcPr>
          <w:p w14:paraId="61B68400">
            <w:pPr>
              <w:pStyle w:val="71"/>
              <w:spacing w:before="24" w:after="24"/>
              <w:rPr>
                <w:rFonts w:cs="Times New Roman"/>
              </w:rPr>
            </w:pPr>
            <w:r>
              <w:rPr>
                <w:rFonts w:cs="Times New Roman"/>
              </w:rPr>
              <w:t>楼面6（水泥砂浆楼面）</w:t>
            </w:r>
          </w:p>
        </w:tc>
        <w:tc>
          <w:tcPr>
            <w:tcW w:w="1661" w:type="dxa"/>
            <w:tcBorders>
              <w:top w:val="single" w:color="000000" w:sz="4" w:space="0"/>
              <w:left w:val="single" w:color="000000" w:sz="4" w:space="0"/>
              <w:bottom w:val="single" w:color="000000" w:sz="4" w:space="0"/>
              <w:right w:val="single" w:color="000000" w:sz="4" w:space="0"/>
            </w:tcBorders>
            <w:vAlign w:val="center"/>
          </w:tcPr>
          <w:p w14:paraId="31F2DE53">
            <w:pPr>
              <w:pStyle w:val="71"/>
              <w:spacing w:before="24" w:after="24"/>
              <w:jc w:val="both"/>
              <w:rPr>
                <w:rFonts w:cs="Times New Roman"/>
              </w:rPr>
            </w:pPr>
            <w:r>
              <w:rPr>
                <w:rFonts w:cs="Times New Roman"/>
              </w:rPr>
              <w:t>楼梯间、排风机房、送风机房</w:t>
            </w:r>
          </w:p>
        </w:tc>
        <w:tc>
          <w:tcPr>
            <w:tcW w:w="4249" w:type="dxa"/>
            <w:tcBorders>
              <w:top w:val="single" w:color="000000" w:sz="4" w:space="0"/>
              <w:left w:val="single" w:color="000000" w:sz="4" w:space="0"/>
              <w:bottom w:val="single" w:color="000000" w:sz="4" w:space="0"/>
              <w:right w:val="single" w:color="000000" w:sz="4" w:space="0"/>
            </w:tcBorders>
            <w:vAlign w:val="center"/>
          </w:tcPr>
          <w:p w14:paraId="4D47E653">
            <w:pPr>
              <w:pStyle w:val="71"/>
              <w:spacing w:before="24" w:after="24"/>
              <w:jc w:val="both"/>
              <w:rPr>
                <w:rFonts w:cs="Times New Roman"/>
              </w:rPr>
            </w:pPr>
            <w:r>
              <w:rPr>
                <w:rFonts w:cs="Times New Roman"/>
              </w:rPr>
              <w:t>1）20 厚 1:2.5 水泥砂浆找平</w:t>
            </w:r>
          </w:p>
          <w:p w14:paraId="5A5BE5A1">
            <w:pPr>
              <w:pStyle w:val="71"/>
              <w:spacing w:before="24" w:after="24"/>
              <w:jc w:val="both"/>
              <w:rPr>
                <w:rFonts w:cs="Times New Roman"/>
              </w:rPr>
            </w:pPr>
            <w:r>
              <w:rPr>
                <w:rFonts w:cs="Times New Roman"/>
              </w:rPr>
              <w:t>（楼梯踏步压入防滑槽）</w:t>
            </w:r>
          </w:p>
          <w:p w14:paraId="12852569">
            <w:pPr>
              <w:pStyle w:val="71"/>
              <w:spacing w:before="24" w:after="24"/>
              <w:jc w:val="both"/>
              <w:rPr>
                <w:rFonts w:cs="Times New Roman"/>
              </w:rPr>
            </w:pPr>
            <w:r>
              <w:rPr>
                <w:rFonts w:cs="Times New Roman"/>
              </w:rPr>
              <w:t>2）钢筋混凝土楼板</w:t>
            </w:r>
          </w:p>
        </w:tc>
        <w:tc>
          <w:tcPr>
            <w:tcW w:w="1280" w:type="dxa"/>
            <w:tcBorders>
              <w:top w:val="single" w:color="000000" w:sz="4" w:space="0"/>
              <w:left w:val="single" w:color="000000" w:sz="4" w:space="0"/>
              <w:bottom w:val="single" w:color="000000" w:sz="4" w:space="0"/>
              <w:right w:val="single" w:color="000000" w:sz="4" w:space="0"/>
            </w:tcBorders>
            <w:vAlign w:val="center"/>
          </w:tcPr>
          <w:p w14:paraId="18F8F168">
            <w:pPr>
              <w:pStyle w:val="71"/>
              <w:spacing w:before="24" w:after="24"/>
              <w:rPr>
                <w:rFonts w:cs="Times New Roman"/>
              </w:rPr>
            </w:pPr>
          </w:p>
        </w:tc>
      </w:tr>
      <w:tr w14:paraId="49A64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5E4FF438">
            <w:pPr>
              <w:pStyle w:val="71"/>
              <w:spacing w:before="24" w:after="24"/>
              <w:rPr>
                <w:rFonts w:cs="Times New Roman"/>
              </w:rPr>
            </w:pPr>
            <w:r>
              <w:rPr>
                <w:rFonts w:cs="Times New Roman"/>
              </w:rPr>
              <w:t>7</w:t>
            </w:r>
          </w:p>
        </w:tc>
        <w:tc>
          <w:tcPr>
            <w:tcW w:w="1595" w:type="dxa"/>
            <w:tcBorders>
              <w:top w:val="single" w:color="000000" w:sz="4" w:space="0"/>
              <w:left w:val="single" w:color="000000" w:sz="4" w:space="0"/>
              <w:bottom w:val="single" w:color="000000" w:sz="4" w:space="0"/>
              <w:right w:val="single" w:color="000000" w:sz="4" w:space="0"/>
            </w:tcBorders>
            <w:vAlign w:val="center"/>
          </w:tcPr>
          <w:p w14:paraId="3C590420">
            <w:pPr>
              <w:pStyle w:val="71"/>
              <w:spacing w:before="24" w:after="24"/>
              <w:rPr>
                <w:rFonts w:cs="Times New Roman"/>
              </w:rPr>
            </w:pPr>
            <w:r>
              <w:rPr>
                <w:rFonts w:cs="Times New Roman"/>
              </w:rPr>
              <w:t>楼面7（防水砂浆楼面）</w:t>
            </w:r>
          </w:p>
        </w:tc>
        <w:tc>
          <w:tcPr>
            <w:tcW w:w="1661" w:type="dxa"/>
            <w:tcBorders>
              <w:top w:val="single" w:color="000000" w:sz="4" w:space="0"/>
              <w:left w:val="single" w:color="000000" w:sz="4" w:space="0"/>
              <w:bottom w:val="single" w:color="000000" w:sz="4" w:space="0"/>
              <w:right w:val="single" w:color="000000" w:sz="4" w:space="0"/>
            </w:tcBorders>
            <w:vAlign w:val="center"/>
          </w:tcPr>
          <w:p w14:paraId="3E001C29">
            <w:pPr>
              <w:pStyle w:val="71"/>
              <w:spacing w:before="24" w:after="24"/>
              <w:jc w:val="both"/>
              <w:rPr>
                <w:rFonts w:cs="Times New Roman"/>
              </w:rPr>
            </w:pPr>
            <w:r>
              <w:rPr>
                <w:rFonts w:cs="Times New Roman"/>
              </w:rPr>
              <w:t>集水坑、电梯底坑</w:t>
            </w:r>
          </w:p>
        </w:tc>
        <w:tc>
          <w:tcPr>
            <w:tcW w:w="4249" w:type="dxa"/>
            <w:tcBorders>
              <w:top w:val="single" w:color="000000" w:sz="4" w:space="0"/>
              <w:left w:val="single" w:color="000000" w:sz="4" w:space="0"/>
              <w:bottom w:val="single" w:color="000000" w:sz="4" w:space="0"/>
              <w:right w:val="single" w:color="000000" w:sz="4" w:space="0"/>
            </w:tcBorders>
            <w:vAlign w:val="center"/>
          </w:tcPr>
          <w:p w14:paraId="25453740">
            <w:pPr>
              <w:pStyle w:val="71"/>
              <w:spacing w:before="24" w:after="24"/>
              <w:jc w:val="both"/>
              <w:rPr>
                <w:rFonts w:cs="Times New Roman"/>
              </w:rPr>
            </w:pPr>
            <w:r>
              <w:rPr>
                <w:rFonts w:cs="Times New Roman"/>
              </w:rPr>
              <w:t>1）最薄20厚1：2水泥砂浆找坡层（掺5%防水剂），按1%坡向地漏，抹平压光</w:t>
            </w:r>
          </w:p>
          <w:p w14:paraId="6B654A5E">
            <w:pPr>
              <w:pStyle w:val="71"/>
              <w:spacing w:before="24" w:after="24"/>
              <w:jc w:val="both"/>
              <w:rPr>
                <w:rFonts w:cs="Times New Roman"/>
              </w:rPr>
            </w:pPr>
            <w:r>
              <w:rPr>
                <w:rFonts w:cs="Times New Roman"/>
              </w:rPr>
              <w:t>2）钢筋混凝土底板（抗渗等级≥P8）</w:t>
            </w:r>
          </w:p>
        </w:tc>
        <w:tc>
          <w:tcPr>
            <w:tcW w:w="1280" w:type="dxa"/>
            <w:tcBorders>
              <w:top w:val="single" w:color="000000" w:sz="4" w:space="0"/>
              <w:left w:val="single" w:color="000000" w:sz="4" w:space="0"/>
              <w:bottom w:val="single" w:color="000000" w:sz="4" w:space="0"/>
              <w:right w:val="single" w:color="000000" w:sz="4" w:space="0"/>
            </w:tcBorders>
            <w:vAlign w:val="center"/>
          </w:tcPr>
          <w:p w14:paraId="27E2FA3A">
            <w:pPr>
              <w:pStyle w:val="71"/>
              <w:spacing w:before="24" w:after="24"/>
              <w:rPr>
                <w:rFonts w:cs="Times New Roman"/>
              </w:rPr>
            </w:pPr>
          </w:p>
        </w:tc>
      </w:tr>
      <w:tr w14:paraId="2C443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347" w:type="dxa"/>
            <w:gridSpan w:val="5"/>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A6A54CF">
            <w:pPr>
              <w:pStyle w:val="71"/>
              <w:spacing w:before="24" w:after="24"/>
              <w:rPr>
                <w:rFonts w:cs="Times New Roman"/>
              </w:rPr>
            </w:pPr>
            <w:r>
              <w:rPr>
                <w:rFonts w:cs="Times New Roman"/>
              </w:rPr>
              <w:t>地下室内墙</w:t>
            </w:r>
          </w:p>
        </w:tc>
      </w:tr>
      <w:tr w14:paraId="63EBF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50824E66">
            <w:pPr>
              <w:pStyle w:val="71"/>
              <w:spacing w:before="24" w:after="24"/>
              <w:rPr>
                <w:rFonts w:cs="Times New Roman"/>
              </w:rPr>
            </w:pPr>
            <w:r>
              <w:rPr>
                <w:rFonts w:cs="Times New Roman"/>
              </w:rPr>
              <w:t>1</w:t>
            </w:r>
          </w:p>
        </w:tc>
        <w:tc>
          <w:tcPr>
            <w:tcW w:w="1595" w:type="dxa"/>
            <w:tcBorders>
              <w:top w:val="single" w:color="000000" w:sz="4" w:space="0"/>
              <w:left w:val="single" w:color="000000" w:sz="4" w:space="0"/>
              <w:bottom w:val="single" w:color="000000" w:sz="4" w:space="0"/>
              <w:right w:val="single" w:color="000000" w:sz="4" w:space="0"/>
            </w:tcBorders>
            <w:vAlign w:val="center"/>
          </w:tcPr>
          <w:p w14:paraId="320680FD">
            <w:pPr>
              <w:pStyle w:val="71"/>
              <w:spacing w:before="24" w:after="24"/>
              <w:rPr>
                <w:rFonts w:cs="Times New Roman"/>
              </w:rPr>
            </w:pPr>
            <w:r>
              <w:rPr>
                <w:rFonts w:cs="Times New Roman"/>
              </w:rPr>
              <w:t>内墙1（防霉无机涂料内墙）</w:t>
            </w:r>
          </w:p>
        </w:tc>
        <w:tc>
          <w:tcPr>
            <w:tcW w:w="1661" w:type="dxa"/>
            <w:tcBorders>
              <w:top w:val="single" w:color="000000" w:sz="4" w:space="0"/>
              <w:left w:val="single" w:color="000000" w:sz="4" w:space="0"/>
              <w:bottom w:val="single" w:color="000000" w:sz="4" w:space="0"/>
              <w:right w:val="single" w:color="000000" w:sz="4" w:space="0"/>
            </w:tcBorders>
            <w:vAlign w:val="center"/>
          </w:tcPr>
          <w:p w14:paraId="3E8F2CE5">
            <w:pPr>
              <w:pStyle w:val="71"/>
              <w:spacing w:before="24" w:after="24"/>
              <w:jc w:val="both"/>
              <w:rPr>
                <w:rFonts w:cs="Times New Roman"/>
              </w:rPr>
            </w:pPr>
            <w:r>
              <w:rPr>
                <w:rFonts w:cs="Times New Roman"/>
              </w:rPr>
              <w:t>机动车库、非机动车库、楼梯间</w:t>
            </w:r>
          </w:p>
        </w:tc>
        <w:tc>
          <w:tcPr>
            <w:tcW w:w="4249" w:type="dxa"/>
            <w:tcBorders>
              <w:top w:val="single" w:color="000000" w:sz="4" w:space="0"/>
              <w:left w:val="single" w:color="000000" w:sz="4" w:space="0"/>
              <w:bottom w:val="single" w:color="000000" w:sz="4" w:space="0"/>
              <w:right w:val="single" w:color="000000" w:sz="4" w:space="0"/>
            </w:tcBorders>
            <w:vAlign w:val="center"/>
          </w:tcPr>
          <w:p w14:paraId="15BA35DE">
            <w:pPr>
              <w:pStyle w:val="71"/>
              <w:spacing w:before="24" w:after="24"/>
              <w:jc w:val="both"/>
              <w:rPr>
                <w:rFonts w:cs="Times New Roman"/>
              </w:rPr>
            </w:pPr>
            <w:r>
              <w:rPr>
                <w:rFonts w:cs="Times New Roman"/>
              </w:rPr>
              <w:t>1）喷内墙防霉无机涂料两遍</w:t>
            </w:r>
          </w:p>
          <w:p w14:paraId="23B155F9">
            <w:pPr>
              <w:pStyle w:val="71"/>
              <w:spacing w:before="24" w:after="24"/>
              <w:jc w:val="both"/>
              <w:rPr>
                <w:rFonts w:cs="Times New Roman"/>
              </w:rPr>
            </w:pPr>
            <w:r>
              <w:rPr>
                <w:rFonts w:cs="Times New Roman"/>
              </w:rPr>
              <w:t>2）耐水腻子两遍</w:t>
            </w:r>
          </w:p>
          <w:p w14:paraId="653C0081">
            <w:pPr>
              <w:pStyle w:val="71"/>
              <w:spacing w:before="24" w:after="24"/>
              <w:jc w:val="both"/>
              <w:rPr>
                <w:rFonts w:cs="Times New Roman"/>
              </w:rPr>
            </w:pPr>
            <w:r>
              <w:rPr>
                <w:rFonts w:cs="Times New Roman"/>
              </w:rPr>
              <w:t>3）7厚 1:2.5 水泥砂浆罩面压光</w:t>
            </w:r>
          </w:p>
          <w:p w14:paraId="49EC46E7">
            <w:pPr>
              <w:pStyle w:val="71"/>
              <w:spacing w:before="24" w:after="24"/>
              <w:jc w:val="both"/>
              <w:rPr>
                <w:rFonts w:cs="Times New Roman"/>
              </w:rPr>
            </w:pPr>
            <w:r>
              <w:rPr>
                <w:rFonts w:cs="Times New Roman"/>
              </w:rPr>
              <w:t>4）8厚1:3水泥砂浆打底</w:t>
            </w:r>
          </w:p>
          <w:p w14:paraId="0868F74B">
            <w:pPr>
              <w:pStyle w:val="71"/>
              <w:spacing w:before="24" w:after="24"/>
              <w:jc w:val="both"/>
              <w:rPr>
                <w:rFonts w:cs="Times New Roman"/>
              </w:rPr>
            </w:pPr>
            <w:r>
              <w:rPr>
                <w:rFonts w:cs="Times New Roman"/>
              </w:rPr>
              <w:t>5）基层清理</w:t>
            </w:r>
          </w:p>
        </w:tc>
        <w:tc>
          <w:tcPr>
            <w:tcW w:w="1280" w:type="dxa"/>
            <w:tcBorders>
              <w:top w:val="single" w:color="000000" w:sz="4" w:space="0"/>
              <w:left w:val="single" w:color="000000" w:sz="4" w:space="0"/>
              <w:bottom w:val="single" w:color="000000" w:sz="4" w:space="0"/>
              <w:right w:val="single" w:color="000000" w:sz="4" w:space="0"/>
            </w:tcBorders>
            <w:vAlign w:val="center"/>
          </w:tcPr>
          <w:p w14:paraId="3DE3B6E3">
            <w:pPr>
              <w:pStyle w:val="71"/>
              <w:spacing w:before="24" w:after="24"/>
              <w:rPr>
                <w:rFonts w:cs="Times New Roman"/>
              </w:rPr>
            </w:pPr>
          </w:p>
        </w:tc>
      </w:tr>
      <w:tr w14:paraId="5BD4E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6E6097D6">
            <w:pPr>
              <w:pStyle w:val="71"/>
              <w:spacing w:before="24" w:after="24"/>
              <w:rPr>
                <w:rFonts w:cs="Times New Roman"/>
              </w:rPr>
            </w:pPr>
            <w:r>
              <w:rPr>
                <w:rFonts w:cs="Times New Roman"/>
              </w:rPr>
              <w:t>2</w:t>
            </w:r>
          </w:p>
        </w:tc>
        <w:tc>
          <w:tcPr>
            <w:tcW w:w="1595" w:type="dxa"/>
            <w:tcBorders>
              <w:top w:val="single" w:color="000000" w:sz="4" w:space="0"/>
              <w:left w:val="single" w:color="000000" w:sz="4" w:space="0"/>
              <w:bottom w:val="single" w:color="000000" w:sz="4" w:space="0"/>
              <w:right w:val="single" w:color="000000" w:sz="4" w:space="0"/>
            </w:tcBorders>
            <w:vAlign w:val="center"/>
          </w:tcPr>
          <w:p w14:paraId="0AADCC6E">
            <w:pPr>
              <w:pStyle w:val="71"/>
              <w:spacing w:before="24" w:after="24"/>
              <w:rPr>
                <w:rFonts w:cs="Times New Roman"/>
              </w:rPr>
            </w:pPr>
            <w:r>
              <w:rPr>
                <w:rFonts w:cs="Times New Roman"/>
              </w:rPr>
              <w:t>内墙2（耐水腻子内墙）</w:t>
            </w:r>
          </w:p>
        </w:tc>
        <w:tc>
          <w:tcPr>
            <w:tcW w:w="1661" w:type="dxa"/>
            <w:tcBorders>
              <w:top w:val="single" w:color="000000" w:sz="4" w:space="0"/>
              <w:left w:val="single" w:color="000000" w:sz="4" w:space="0"/>
              <w:bottom w:val="single" w:color="000000" w:sz="4" w:space="0"/>
              <w:right w:val="single" w:color="000000" w:sz="4" w:space="0"/>
            </w:tcBorders>
            <w:vAlign w:val="center"/>
          </w:tcPr>
          <w:p w14:paraId="488849CA">
            <w:pPr>
              <w:pStyle w:val="71"/>
              <w:spacing w:before="24" w:after="24"/>
              <w:jc w:val="both"/>
              <w:rPr>
                <w:rFonts w:cs="Times New Roman"/>
              </w:rPr>
            </w:pPr>
            <w:r>
              <w:rPr>
                <w:rFonts w:cs="Times New Roman"/>
              </w:rPr>
              <w:t>人防专用区域、排风机房、送风机房、储油间、消防控制室、弱电机房、专用变配电房、充电桩配电房、生活水泵房、柴油发电机房、消防水泵房</w:t>
            </w:r>
          </w:p>
        </w:tc>
        <w:tc>
          <w:tcPr>
            <w:tcW w:w="4249" w:type="dxa"/>
            <w:tcBorders>
              <w:top w:val="single" w:color="000000" w:sz="4" w:space="0"/>
              <w:left w:val="single" w:color="000000" w:sz="4" w:space="0"/>
              <w:bottom w:val="single" w:color="000000" w:sz="4" w:space="0"/>
              <w:right w:val="single" w:color="000000" w:sz="4" w:space="0"/>
            </w:tcBorders>
            <w:vAlign w:val="center"/>
          </w:tcPr>
          <w:p w14:paraId="2F839C35">
            <w:pPr>
              <w:pStyle w:val="71"/>
              <w:spacing w:before="24" w:after="24"/>
              <w:jc w:val="both"/>
              <w:rPr>
                <w:rFonts w:cs="Times New Roman"/>
              </w:rPr>
            </w:pPr>
            <w:r>
              <w:rPr>
                <w:rFonts w:cs="Times New Roman"/>
              </w:rPr>
              <w:t>1）耐水腻子两遍</w:t>
            </w:r>
          </w:p>
          <w:p w14:paraId="670C5E37">
            <w:pPr>
              <w:pStyle w:val="71"/>
              <w:spacing w:before="24" w:after="24"/>
              <w:jc w:val="both"/>
              <w:rPr>
                <w:rFonts w:cs="Times New Roman"/>
              </w:rPr>
            </w:pPr>
            <w:r>
              <w:rPr>
                <w:rFonts w:cs="Times New Roman"/>
              </w:rPr>
              <w:t>2）7厚 1:2.5 水泥砂浆罩面压光</w:t>
            </w:r>
          </w:p>
          <w:p w14:paraId="60875053">
            <w:pPr>
              <w:pStyle w:val="71"/>
              <w:spacing w:before="24" w:after="24"/>
              <w:jc w:val="both"/>
              <w:rPr>
                <w:rFonts w:cs="Times New Roman"/>
              </w:rPr>
            </w:pPr>
            <w:r>
              <w:rPr>
                <w:rFonts w:cs="Times New Roman"/>
              </w:rPr>
              <w:t>3）8厚1:3水泥砂浆打底</w:t>
            </w:r>
          </w:p>
          <w:p w14:paraId="42217305">
            <w:pPr>
              <w:pStyle w:val="71"/>
              <w:spacing w:before="24" w:after="24"/>
              <w:jc w:val="both"/>
              <w:rPr>
                <w:rFonts w:cs="Times New Roman"/>
              </w:rPr>
            </w:pPr>
            <w:r>
              <w:rPr>
                <w:rFonts w:cs="Times New Roman"/>
              </w:rPr>
              <w:t>4）基层清理</w:t>
            </w:r>
          </w:p>
        </w:tc>
        <w:tc>
          <w:tcPr>
            <w:tcW w:w="1280" w:type="dxa"/>
            <w:tcBorders>
              <w:top w:val="single" w:color="000000" w:sz="4" w:space="0"/>
              <w:left w:val="single" w:color="000000" w:sz="4" w:space="0"/>
              <w:bottom w:val="single" w:color="000000" w:sz="4" w:space="0"/>
              <w:right w:val="single" w:color="000000" w:sz="4" w:space="0"/>
            </w:tcBorders>
            <w:vAlign w:val="center"/>
          </w:tcPr>
          <w:p w14:paraId="18464BC1">
            <w:pPr>
              <w:pStyle w:val="71"/>
              <w:spacing w:before="24" w:after="24"/>
              <w:rPr>
                <w:rFonts w:cs="Times New Roman"/>
              </w:rPr>
            </w:pPr>
          </w:p>
        </w:tc>
      </w:tr>
      <w:tr w14:paraId="2DF0C6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110D114A">
            <w:pPr>
              <w:pStyle w:val="71"/>
              <w:spacing w:before="24" w:after="24"/>
              <w:rPr>
                <w:rFonts w:cs="Times New Roman"/>
              </w:rPr>
            </w:pPr>
            <w:r>
              <w:rPr>
                <w:rFonts w:cs="Times New Roman"/>
              </w:rPr>
              <w:t>3</w:t>
            </w:r>
          </w:p>
        </w:tc>
        <w:tc>
          <w:tcPr>
            <w:tcW w:w="1595" w:type="dxa"/>
            <w:tcBorders>
              <w:top w:val="single" w:color="000000" w:sz="4" w:space="0"/>
              <w:left w:val="single" w:color="000000" w:sz="4" w:space="0"/>
              <w:bottom w:val="single" w:color="000000" w:sz="4" w:space="0"/>
              <w:right w:val="single" w:color="000000" w:sz="4" w:space="0"/>
            </w:tcBorders>
            <w:vAlign w:val="center"/>
          </w:tcPr>
          <w:p w14:paraId="3D5CF64F">
            <w:pPr>
              <w:pStyle w:val="71"/>
              <w:spacing w:before="24" w:after="24"/>
              <w:rPr>
                <w:rFonts w:cs="Times New Roman"/>
              </w:rPr>
            </w:pPr>
            <w:r>
              <w:rPr>
                <w:rFonts w:cs="Times New Roman"/>
              </w:rPr>
              <w:t>内墙3（面砖内墙）</w:t>
            </w:r>
          </w:p>
        </w:tc>
        <w:tc>
          <w:tcPr>
            <w:tcW w:w="1661" w:type="dxa"/>
            <w:tcBorders>
              <w:top w:val="single" w:color="000000" w:sz="4" w:space="0"/>
              <w:left w:val="single" w:color="000000" w:sz="4" w:space="0"/>
              <w:bottom w:val="single" w:color="000000" w:sz="4" w:space="0"/>
              <w:right w:val="single" w:color="000000" w:sz="4" w:space="0"/>
            </w:tcBorders>
            <w:vAlign w:val="center"/>
          </w:tcPr>
          <w:p w14:paraId="326217E8">
            <w:pPr>
              <w:pStyle w:val="71"/>
              <w:spacing w:before="24" w:after="24"/>
              <w:jc w:val="both"/>
              <w:rPr>
                <w:rFonts w:cs="Times New Roman"/>
              </w:rPr>
            </w:pPr>
            <w:r>
              <w:rPr>
                <w:rFonts w:cs="Times New Roman"/>
              </w:rPr>
              <w:t>地下大堂、电梯厅</w:t>
            </w:r>
          </w:p>
        </w:tc>
        <w:tc>
          <w:tcPr>
            <w:tcW w:w="4249" w:type="dxa"/>
            <w:tcBorders>
              <w:top w:val="single" w:color="000000" w:sz="4" w:space="0"/>
              <w:left w:val="single" w:color="000000" w:sz="4" w:space="0"/>
              <w:bottom w:val="single" w:color="000000" w:sz="4" w:space="0"/>
              <w:right w:val="single" w:color="000000" w:sz="4" w:space="0"/>
            </w:tcBorders>
            <w:vAlign w:val="center"/>
          </w:tcPr>
          <w:p w14:paraId="783BE5A3">
            <w:pPr>
              <w:pStyle w:val="71"/>
              <w:spacing w:before="24" w:after="24"/>
              <w:jc w:val="both"/>
              <w:rPr>
                <w:rFonts w:cs="Times New Roman"/>
              </w:rPr>
            </w:pPr>
            <w:r>
              <w:rPr>
                <w:rFonts w:cs="Times New Roman"/>
              </w:rPr>
              <w:t>1）面砖（高度至吊顶以上100mm，水泥浆擦缝）</w:t>
            </w:r>
          </w:p>
          <w:p w14:paraId="2CE58D8F">
            <w:pPr>
              <w:pStyle w:val="71"/>
              <w:spacing w:before="24" w:after="24"/>
              <w:jc w:val="both"/>
              <w:rPr>
                <w:rFonts w:cs="Times New Roman"/>
              </w:rPr>
            </w:pPr>
            <w:r>
              <w:rPr>
                <w:rFonts w:cs="Times New Roman"/>
              </w:rPr>
              <w:t>2）5mm厚专用粘结砂浆</w:t>
            </w:r>
          </w:p>
          <w:p w14:paraId="7D747DCA">
            <w:pPr>
              <w:pStyle w:val="71"/>
              <w:spacing w:before="24" w:after="24"/>
              <w:jc w:val="both"/>
              <w:rPr>
                <w:rFonts w:cs="Times New Roman"/>
              </w:rPr>
            </w:pPr>
            <w:r>
              <w:rPr>
                <w:rFonts w:cs="Times New Roman"/>
              </w:rPr>
              <w:t>3）7厚 1:2.5 水泥砂浆罩面压光</w:t>
            </w:r>
          </w:p>
          <w:p w14:paraId="790A9C39">
            <w:pPr>
              <w:pStyle w:val="71"/>
              <w:spacing w:before="24" w:after="24"/>
              <w:jc w:val="both"/>
              <w:rPr>
                <w:rFonts w:cs="Times New Roman"/>
              </w:rPr>
            </w:pPr>
            <w:r>
              <w:rPr>
                <w:rFonts w:cs="Times New Roman"/>
              </w:rPr>
              <w:t>4）8厚1:3水泥砂浆打底</w:t>
            </w:r>
          </w:p>
          <w:p w14:paraId="27184200">
            <w:pPr>
              <w:pStyle w:val="71"/>
              <w:spacing w:before="24" w:after="24"/>
              <w:jc w:val="both"/>
              <w:rPr>
                <w:rFonts w:cs="Times New Roman"/>
              </w:rPr>
            </w:pPr>
            <w:r>
              <w:rPr>
                <w:rFonts w:cs="Times New Roman"/>
              </w:rPr>
              <w:t>5）基层清理</w:t>
            </w:r>
          </w:p>
        </w:tc>
        <w:tc>
          <w:tcPr>
            <w:tcW w:w="1280" w:type="dxa"/>
            <w:tcBorders>
              <w:top w:val="single" w:color="000000" w:sz="4" w:space="0"/>
              <w:left w:val="single" w:color="000000" w:sz="4" w:space="0"/>
              <w:bottom w:val="single" w:color="000000" w:sz="4" w:space="0"/>
              <w:right w:val="single" w:color="000000" w:sz="4" w:space="0"/>
            </w:tcBorders>
            <w:vAlign w:val="center"/>
          </w:tcPr>
          <w:p w14:paraId="68A8C740">
            <w:pPr>
              <w:pStyle w:val="71"/>
              <w:spacing w:before="24" w:after="24"/>
              <w:rPr>
                <w:rFonts w:cs="Times New Roman"/>
              </w:rPr>
            </w:pPr>
          </w:p>
        </w:tc>
      </w:tr>
      <w:tr w14:paraId="64BD9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08FC1E0E">
            <w:pPr>
              <w:pStyle w:val="71"/>
              <w:spacing w:before="24" w:after="24"/>
              <w:rPr>
                <w:rFonts w:cs="Times New Roman"/>
              </w:rPr>
            </w:pPr>
            <w:r>
              <w:rPr>
                <w:rFonts w:cs="Times New Roman"/>
              </w:rPr>
              <w:t>4</w:t>
            </w:r>
          </w:p>
        </w:tc>
        <w:tc>
          <w:tcPr>
            <w:tcW w:w="1595" w:type="dxa"/>
            <w:tcBorders>
              <w:top w:val="single" w:color="000000" w:sz="4" w:space="0"/>
              <w:left w:val="single" w:color="000000" w:sz="4" w:space="0"/>
              <w:bottom w:val="single" w:color="000000" w:sz="4" w:space="0"/>
              <w:right w:val="single" w:color="000000" w:sz="4" w:space="0"/>
            </w:tcBorders>
            <w:vAlign w:val="center"/>
          </w:tcPr>
          <w:p w14:paraId="4B19B4BC">
            <w:pPr>
              <w:pStyle w:val="71"/>
              <w:spacing w:before="24" w:after="24"/>
              <w:rPr>
                <w:rFonts w:cs="Times New Roman"/>
              </w:rPr>
            </w:pPr>
            <w:r>
              <w:rPr>
                <w:rFonts w:cs="Times New Roman"/>
              </w:rPr>
              <w:t>内墙4（基层内墙）</w:t>
            </w:r>
          </w:p>
          <w:p w14:paraId="34376C3C">
            <w:pPr>
              <w:pStyle w:val="71"/>
              <w:spacing w:before="24" w:after="24"/>
              <w:rPr>
                <w:rFonts w:cs="Times New Roman"/>
              </w:rPr>
            </w:pPr>
          </w:p>
        </w:tc>
        <w:tc>
          <w:tcPr>
            <w:tcW w:w="1661" w:type="dxa"/>
            <w:tcBorders>
              <w:top w:val="single" w:color="000000" w:sz="4" w:space="0"/>
              <w:left w:val="single" w:color="000000" w:sz="4" w:space="0"/>
              <w:bottom w:val="single" w:color="000000" w:sz="4" w:space="0"/>
              <w:right w:val="single" w:color="000000" w:sz="4" w:space="0"/>
            </w:tcBorders>
            <w:vAlign w:val="center"/>
          </w:tcPr>
          <w:p w14:paraId="4D400EC4">
            <w:pPr>
              <w:pStyle w:val="71"/>
              <w:spacing w:before="24" w:after="24"/>
              <w:jc w:val="both"/>
              <w:rPr>
                <w:rFonts w:cs="Times New Roman"/>
              </w:rPr>
            </w:pPr>
            <w:r>
              <w:rPr>
                <w:rFonts w:cs="Times New Roman"/>
              </w:rPr>
              <w:t>风井、电梯井道、强弱电井、水井、封闭空间</w:t>
            </w:r>
          </w:p>
        </w:tc>
        <w:tc>
          <w:tcPr>
            <w:tcW w:w="4249" w:type="dxa"/>
            <w:tcBorders>
              <w:top w:val="single" w:color="000000" w:sz="4" w:space="0"/>
              <w:left w:val="single" w:color="000000" w:sz="4" w:space="0"/>
              <w:bottom w:val="single" w:color="000000" w:sz="4" w:space="0"/>
              <w:right w:val="single" w:color="000000" w:sz="4" w:space="0"/>
            </w:tcBorders>
            <w:vAlign w:val="center"/>
          </w:tcPr>
          <w:p w14:paraId="2D834E4B">
            <w:pPr>
              <w:pStyle w:val="71"/>
              <w:spacing w:before="24" w:after="24"/>
              <w:jc w:val="both"/>
              <w:rPr>
                <w:rFonts w:cs="Times New Roman"/>
              </w:rPr>
            </w:pPr>
            <w:r>
              <w:rPr>
                <w:rFonts w:cs="Times New Roman"/>
              </w:rPr>
              <w:t>基层墙（柱）体（仅砌筑墙体随砌随抹）</w:t>
            </w:r>
          </w:p>
        </w:tc>
        <w:tc>
          <w:tcPr>
            <w:tcW w:w="1280" w:type="dxa"/>
            <w:tcBorders>
              <w:top w:val="single" w:color="000000" w:sz="4" w:space="0"/>
              <w:left w:val="single" w:color="000000" w:sz="4" w:space="0"/>
              <w:bottom w:val="single" w:color="000000" w:sz="4" w:space="0"/>
              <w:right w:val="single" w:color="000000" w:sz="4" w:space="0"/>
            </w:tcBorders>
            <w:vAlign w:val="center"/>
          </w:tcPr>
          <w:p w14:paraId="215F6BF7">
            <w:pPr>
              <w:pStyle w:val="71"/>
              <w:spacing w:before="24" w:after="24"/>
              <w:rPr>
                <w:rFonts w:cs="Times New Roman"/>
              </w:rPr>
            </w:pPr>
          </w:p>
        </w:tc>
      </w:tr>
      <w:tr w14:paraId="49ECD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347" w:type="dxa"/>
            <w:gridSpan w:val="5"/>
            <w:tcBorders>
              <w:top w:val="single" w:color="000000" w:sz="4" w:space="0"/>
              <w:left w:val="single" w:color="000000" w:sz="4" w:space="0"/>
              <w:bottom w:val="single" w:color="000000" w:sz="4" w:space="0"/>
              <w:right w:val="single" w:color="000000" w:sz="4" w:space="0"/>
            </w:tcBorders>
            <w:vAlign w:val="center"/>
          </w:tcPr>
          <w:p w14:paraId="58943CC9">
            <w:pPr>
              <w:pStyle w:val="71"/>
              <w:spacing w:before="24" w:after="24"/>
              <w:rPr>
                <w:rFonts w:cs="Times New Roman"/>
              </w:rPr>
            </w:pPr>
            <w:r>
              <w:rPr>
                <w:rFonts w:cs="Times New Roman"/>
              </w:rPr>
              <w:t>地下室顶棚</w:t>
            </w:r>
          </w:p>
        </w:tc>
      </w:tr>
      <w:tr w14:paraId="42A71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1E739920">
            <w:pPr>
              <w:pStyle w:val="71"/>
              <w:spacing w:before="24" w:after="24"/>
              <w:rPr>
                <w:rFonts w:cs="Times New Roman"/>
              </w:rPr>
            </w:pPr>
            <w:r>
              <w:rPr>
                <w:rFonts w:cs="Times New Roman"/>
              </w:rPr>
              <w:t>1</w:t>
            </w:r>
          </w:p>
        </w:tc>
        <w:tc>
          <w:tcPr>
            <w:tcW w:w="1595" w:type="dxa"/>
            <w:tcBorders>
              <w:top w:val="single" w:color="000000" w:sz="4" w:space="0"/>
              <w:left w:val="single" w:color="000000" w:sz="4" w:space="0"/>
              <w:bottom w:val="single" w:color="000000" w:sz="4" w:space="0"/>
              <w:right w:val="single" w:color="000000" w:sz="4" w:space="0"/>
            </w:tcBorders>
            <w:vAlign w:val="center"/>
          </w:tcPr>
          <w:p w14:paraId="53C62EC6">
            <w:pPr>
              <w:pStyle w:val="71"/>
              <w:spacing w:before="24" w:after="24"/>
              <w:rPr>
                <w:rFonts w:cs="Times New Roman"/>
              </w:rPr>
            </w:pPr>
            <w:r>
              <w:rPr>
                <w:rFonts w:cs="Times New Roman"/>
              </w:rPr>
              <w:t>顶棚1（无机涂料顶棚）</w:t>
            </w:r>
          </w:p>
        </w:tc>
        <w:tc>
          <w:tcPr>
            <w:tcW w:w="1661" w:type="dxa"/>
            <w:tcBorders>
              <w:top w:val="single" w:color="000000" w:sz="4" w:space="0"/>
              <w:left w:val="single" w:color="000000" w:sz="4" w:space="0"/>
              <w:bottom w:val="single" w:color="000000" w:sz="4" w:space="0"/>
              <w:right w:val="single" w:color="000000" w:sz="4" w:space="0"/>
            </w:tcBorders>
            <w:vAlign w:val="center"/>
          </w:tcPr>
          <w:p w14:paraId="74FD4D13">
            <w:pPr>
              <w:pStyle w:val="71"/>
              <w:spacing w:before="24" w:after="24"/>
              <w:jc w:val="both"/>
              <w:rPr>
                <w:rFonts w:cs="Times New Roman"/>
              </w:rPr>
            </w:pPr>
            <w:r>
              <w:rPr>
                <w:rFonts w:cs="Times New Roman"/>
              </w:rPr>
              <w:t>机动车库</w:t>
            </w:r>
          </w:p>
        </w:tc>
        <w:tc>
          <w:tcPr>
            <w:tcW w:w="4249" w:type="dxa"/>
            <w:tcBorders>
              <w:top w:val="single" w:color="000000" w:sz="4" w:space="0"/>
              <w:left w:val="single" w:color="000000" w:sz="4" w:space="0"/>
              <w:bottom w:val="single" w:color="000000" w:sz="4" w:space="0"/>
              <w:right w:val="single" w:color="000000" w:sz="4" w:space="0"/>
            </w:tcBorders>
            <w:vAlign w:val="center"/>
          </w:tcPr>
          <w:p w14:paraId="3482C85D">
            <w:pPr>
              <w:pStyle w:val="71"/>
              <w:spacing w:before="24" w:after="24"/>
              <w:jc w:val="both"/>
              <w:rPr>
                <w:rFonts w:cs="Times New Roman"/>
              </w:rPr>
            </w:pPr>
            <w:r>
              <w:rPr>
                <w:rFonts w:cs="Times New Roman"/>
              </w:rPr>
              <w:t>1）现浇钢筋混凝土结构板底面基层找补、清理</w:t>
            </w:r>
          </w:p>
          <w:p w14:paraId="184D785F">
            <w:pPr>
              <w:pStyle w:val="71"/>
              <w:spacing w:before="24" w:after="24"/>
              <w:jc w:val="both"/>
              <w:rPr>
                <w:rFonts w:cs="Times New Roman"/>
              </w:rPr>
            </w:pPr>
            <w:r>
              <w:rPr>
                <w:rFonts w:cs="Times New Roman"/>
              </w:rPr>
              <w:t>2）喷涂深色无机涂料一道，下翻至结构梁底</w:t>
            </w:r>
          </w:p>
        </w:tc>
        <w:tc>
          <w:tcPr>
            <w:tcW w:w="1280" w:type="dxa"/>
            <w:tcBorders>
              <w:top w:val="single" w:color="000000" w:sz="4" w:space="0"/>
              <w:left w:val="single" w:color="000000" w:sz="4" w:space="0"/>
              <w:bottom w:val="single" w:color="000000" w:sz="4" w:space="0"/>
              <w:right w:val="single" w:color="000000" w:sz="4" w:space="0"/>
            </w:tcBorders>
            <w:vAlign w:val="center"/>
          </w:tcPr>
          <w:p w14:paraId="6F0F8D28">
            <w:pPr>
              <w:pStyle w:val="71"/>
              <w:spacing w:before="24" w:after="24"/>
              <w:rPr>
                <w:rFonts w:cs="Times New Roman"/>
              </w:rPr>
            </w:pPr>
          </w:p>
        </w:tc>
      </w:tr>
      <w:tr w14:paraId="4B4BE4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2029A60D">
            <w:pPr>
              <w:pStyle w:val="71"/>
              <w:spacing w:before="24" w:after="24"/>
              <w:rPr>
                <w:rFonts w:cs="Times New Roman"/>
              </w:rPr>
            </w:pPr>
            <w:r>
              <w:rPr>
                <w:rFonts w:cs="Times New Roman"/>
              </w:rPr>
              <w:t>2</w:t>
            </w:r>
          </w:p>
        </w:tc>
        <w:tc>
          <w:tcPr>
            <w:tcW w:w="1595" w:type="dxa"/>
            <w:tcBorders>
              <w:top w:val="single" w:color="000000" w:sz="4" w:space="0"/>
              <w:left w:val="single" w:color="000000" w:sz="4" w:space="0"/>
              <w:bottom w:val="single" w:color="000000" w:sz="4" w:space="0"/>
              <w:right w:val="single" w:color="000000" w:sz="4" w:space="0"/>
            </w:tcBorders>
            <w:vAlign w:val="center"/>
          </w:tcPr>
          <w:p w14:paraId="78D40966">
            <w:pPr>
              <w:pStyle w:val="71"/>
              <w:spacing w:before="24" w:after="24"/>
              <w:rPr>
                <w:rFonts w:cs="Times New Roman"/>
              </w:rPr>
            </w:pPr>
            <w:r>
              <w:rPr>
                <w:rFonts w:cs="Times New Roman"/>
              </w:rPr>
              <w:t>顶棚2（防潮石膏板吊顶）</w:t>
            </w:r>
          </w:p>
        </w:tc>
        <w:tc>
          <w:tcPr>
            <w:tcW w:w="1661" w:type="dxa"/>
            <w:tcBorders>
              <w:top w:val="single" w:color="000000" w:sz="4" w:space="0"/>
              <w:left w:val="single" w:color="000000" w:sz="4" w:space="0"/>
              <w:bottom w:val="single" w:color="000000" w:sz="4" w:space="0"/>
              <w:right w:val="single" w:color="000000" w:sz="4" w:space="0"/>
            </w:tcBorders>
            <w:vAlign w:val="center"/>
          </w:tcPr>
          <w:p w14:paraId="79799599">
            <w:pPr>
              <w:pStyle w:val="71"/>
              <w:spacing w:before="24" w:after="24"/>
              <w:jc w:val="both"/>
              <w:rPr>
                <w:rFonts w:cs="Times New Roman"/>
              </w:rPr>
            </w:pPr>
            <w:r>
              <w:rPr>
                <w:rFonts w:cs="Times New Roman"/>
              </w:rPr>
              <w:t>地下大堂、电梯厅</w:t>
            </w:r>
          </w:p>
        </w:tc>
        <w:tc>
          <w:tcPr>
            <w:tcW w:w="4249" w:type="dxa"/>
            <w:tcBorders>
              <w:top w:val="single" w:color="000000" w:sz="4" w:space="0"/>
              <w:left w:val="single" w:color="000000" w:sz="4" w:space="0"/>
              <w:bottom w:val="single" w:color="000000" w:sz="4" w:space="0"/>
              <w:right w:val="single" w:color="000000" w:sz="4" w:space="0"/>
            </w:tcBorders>
            <w:vAlign w:val="center"/>
          </w:tcPr>
          <w:p w14:paraId="486CFF0D">
            <w:pPr>
              <w:pStyle w:val="71"/>
              <w:spacing w:before="24" w:after="24"/>
              <w:jc w:val="both"/>
              <w:rPr>
                <w:rFonts w:cs="Times New Roman"/>
              </w:rPr>
            </w:pPr>
            <w:r>
              <w:rPr>
                <w:rFonts w:cs="Times New Roman"/>
              </w:rPr>
              <w:t>1）现浇钢筋混凝土结构板底面基层找补、清理</w:t>
            </w:r>
          </w:p>
          <w:p w14:paraId="188161ED">
            <w:pPr>
              <w:pStyle w:val="71"/>
              <w:spacing w:before="24" w:after="24"/>
              <w:jc w:val="both"/>
              <w:rPr>
                <w:rFonts w:cs="Times New Roman"/>
              </w:rPr>
            </w:pPr>
            <w:r>
              <w:rPr>
                <w:rFonts w:cs="Times New Roman"/>
              </w:rPr>
              <w:t>2）配套龙骨</w:t>
            </w:r>
          </w:p>
          <w:p w14:paraId="36969086">
            <w:pPr>
              <w:pStyle w:val="71"/>
              <w:spacing w:before="24" w:after="24"/>
              <w:jc w:val="both"/>
              <w:rPr>
                <w:rFonts w:cs="Times New Roman"/>
              </w:rPr>
            </w:pPr>
            <w:r>
              <w:rPr>
                <w:rFonts w:cs="Times New Roman"/>
              </w:rPr>
              <w:t>3）石膏板吊顶</w:t>
            </w:r>
          </w:p>
        </w:tc>
        <w:tc>
          <w:tcPr>
            <w:tcW w:w="1280" w:type="dxa"/>
            <w:tcBorders>
              <w:top w:val="single" w:color="000000" w:sz="4" w:space="0"/>
              <w:left w:val="single" w:color="000000" w:sz="4" w:space="0"/>
              <w:bottom w:val="single" w:color="000000" w:sz="4" w:space="0"/>
              <w:right w:val="single" w:color="000000" w:sz="4" w:space="0"/>
            </w:tcBorders>
            <w:vAlign w:val="center"/>
          </w:tcPr>
          <w:p w14:paraId="49332CD6">
            <w:pPr>
              <w:pStyle w:val="71"/>
              <w:spacing w:before="24" w:after="24"/>
              <w:rPr>
                <w:rFonts w:cs="Times New Roman"/>
              </w:rPr>
            </w:pPr>
          </w:p>
        </w:tc>
      </w:tr>
      <w:tr w14:paraId="722B4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398A361B">
            <w:pPr>
              <w:pStyle w:val="71"/>
              <w:spacing w:before="24" w:after="24"/>
              <w:rPr>
                <w:rFonts w:cs="Times New Roman"/>
              </w:rPr>
            </w:pPr>
            <w:r>
              <w:rPr>
                <w:rFonts w:cs="Times New Roman"/>
              </w:rPr>
              <w:t>3</w:t>
            </w:r>
          </w:p>
        </w:tc>
        <w:tc>
          <w:tcPr>
            <w:tcW w:w="1595" w:type="dxa"/>
            <w:tcBorders>
              <w:top w:val="single" w:color="000000" w:sz="4" w:space="0"/>
              <w:left w:val="single" w:color="000000" w:sz="4" w:space="0"/>
              <w:bottom w:val="single" w:color="000000" w:sz="4" w:space="0"/>
              <w:right w:val="single" w:color="000000" w:sz="4" w:space="0"/>
            </w:tcBorders>
            <w:vAlign w:val="center"/>
          </w:tcPr>
          <w:p w14:paraId="064A6C59">
            <w:pPr>
              <w:pStyle w:val="71"/>
              <w:spacing w:before="24" w:after="24"/>
              <w:rPr>
                <w:rFonts w:cs="Times New Roman"/>
              </w:rPr>
            </w:pPr>
            <w:r>
              <w:rPr>
                <w:rFonts w:cs="Times New Roman"/>
              </w:rPr>
              <w:t>顶棚3（腻子顶棚）</w:t>
            </w:r>
          </w:p>
        </w:tc>
        <w:tc>
          <w:tcPr>
            <w:tcW w:w="1661" w:type="dxa"/>
            <w:tcBorders>
              <w:top w:val="single" w:color="000000" w:sz="4" w:space="0"/>
              <w:left w:val="single" w:color="000000" w:sz="4" w:space="0"/>
              <w:bottom w:val="single" w:color="000000" w:sz="4" w:space="0"/>
              <w:right w:val="single" w:color="000000" w:sz="4" w:space="0"/>
            </w:tcBorders>
            <w:vAlign w:val="center"/>
          </w:tcPr>
          <w:p w14:paraId="702B5132">
            <w:pPr>
              <w:pStyle w:val="71"/>
              <w:spacing w:before="24" w:after="24"/>
              <w:jc w:val="both"/>
              <w:rPr>
                <w:rFonts w:cs="Times New Roman"/>
              </w:rPr>
            </w:pPr>
            <w:r>
              <w:rPr>
                <w:rFonts w:cs="Times New Roman"/>
              </w:rPr>
              <w:t>专用人防区域、楼梯间</w:t>
            </w:r>
          </w:p>
        </w:tc>
        <w:tc>
          <w:tcPr>
            <w:tcW w:w="4249" w:type="dxa"/>
            <w:tcBorders>
              <w:top w:val="single" w:color="000000" w:sz="4" w:space="0"/>
              <w:left w:val="single" w:color="000000" w:sz="4" w:space="0"/>
              <w:bottom w:val="single" w:color="000000" w:sz="4" w:space="0"/>
              <w:right w:val="single" w:color="000000" w:sz="4" w:space="0"/>
            </w:tcBorders>
            <w:vAlign w:val="center"/>
          </w:tcPr>
          <w:p w14:paraId="48D6D437">
            <w:pPr>
              <w:pStyle w:val="71"/>
              <w:spacing w:before="24" w:after="24"/>
              <w:jc w:val="both"/>
              <w:rPr>
                <w:rFonts w:cs="Times New Roman"/>
              </w:rPr>
            </w:pPr>
            <w:r>
              <w:rPr>
                <w:rFonts w:cs="Times New Roman"/>
              </w:rPr>
              <w:t>1）现浇钢筋混凝土结构板底面基层找补、清理</w:t>
            </w:r>
          </w:p>
          <w:p w14:paraId="74980EEE">
            <w:pPr>
              <w:pStyle w:val="71"/>
              <w:spacing w:before="24" w:after="24"/>
              <w:jc w:val="both"/>
              <w:rPr>
                <w:rFonts w:cs="Times New Roman"/>
              </w:rPr>
            </w:pPr>
            <w:r>
              <w:rPr>
                <w:rFonts w:cs="Times New Roman"/>
              </w:rPr>
              <w:t>2）3厚防霉腻子分遍刮平</w:t>
            </w:r>
          </w:p>
        </w:tc>
        <w:tc>
          <w:tcPr>
            <w:tcW w:w="1280" w:type="dxa"/>
            <w:tcBorders>
              <w:top w:val="single" w:color="000000" w:sz="4" w:space="0"/>
              <w:left w:val="single" w:color="000000" w:sz="4" w:space="0"/>
              <w:bottom w:val="single" w:color="000000" w:sz="4" w:space="0"/>
              <w:right w:val="single" w:color="000000" w:sz="4" w:space="0"/>
            </w:tcBorders>
            <w:vAlign w:val="center"/>
          </w:tcPr>
          <w:p w14:paraId="0881AF35">
            <w:pPr>
              <w:pStyle w:val="71"/>
              <w:spacing w:before="24" w:after="24"/>
              <w:rPr>
                <w:rFonts w:cs="Times New Roman"/>
              </w:rPr>
            </w:pPr>
          </w:p>
        </w:tc>
      </w:tr>
      <w:tr w14:paraId="457D96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01B7B392">
            <w:pPr>
              <w:pStyle w:val="71"/>
              <w:spacing w:before="24" w:after="24"/>
              <w:rPr>
                <w:rFonts w:cs="Times New Roman"/>
              </w:rPr>
            </w:pPr>
            <w:r>
              <w:rPr>
                <w:rFonts w:cs="Times New Roman"/>
              </w:rPr>
              <w:t>4</w:t>
            </w:r>
          </w:p>
        </w:tc>
        <w:tc>
          <w:tcPr>
            <w:tcW w:w="1595" w:type="dxa"/>
            <w:tcBorders>
              <w:top w:val="single" w:color="000000" w:sz="4" w:space="0"/>
              <w:left w:val="single" w:color="000000" w:sz="4" w:space="0"/>
              <w:bottom w:val="single" w:color="000000" w:sz="4" w:space="0"/>
              <w:right w:val="single" w:color="000000" w:sz="4" w:space="0"/>
            </w:tcBorders>
            <w:vAlign w:val="center"/>
          </w:tcPr>
          <w:p w14:paraId="7F70A39A">
            <w:pPr>
              <w:pStyle w:val="71"/>
              <w:spacing w:before="24" w:after="24"/>
              <w:rPr>
                <w:rFonts w:cs="Times New Roman"/>
              </w:rPr>
            </w:pPr>
            <w:r>
              <w:rPr>
                <w:rFonts w:cs="Times New Roman"/>
              </w:rPr>
              <w:t>顶棚4（防水顶棚）</w:t>
            </w:r>
          </w:p>
        </w:tc>
        <w:tc>
          <w:tcPr>
            <w:tcW w:w="1661" w:type="dxa"/>
            <w:tcBorders>
              <w:top w:val="single" w:color="000000" w:sz="4" w:space="0"/>
              <w:left w:val="single" w:color="000000" w:sz="4" w:space="0"/>
              <w:bottom w:val="single" w:color="000000" w:sz="4" w:space="0"/>
              <w:right w:val="single" w:color="000000" w:sz="4" w:space="0"/>
            </w:tcBorders>
            <w:vAlign w:val="center"/>
          </w:tcPr>
          <w:p w14:paraId="1F415AAA">
            <w:pPr>
              <w:pStyle w:val="71"/>
              <w:spacing w:before="24" w:after="24"/>
              <w:jc w:val="both"/>
              <w:rPr>
                <w:rFonts w:cs="Times New Roman"/>
              </w:rPr>
            </w:pPr>
            <w:r>
              <w:rPr>
                <w:rFonts w:cs="Times New Roman"/>
              </w:rPr>
              <w:t>消防水池</w:t>
            </w:r>
          </w:p>
        </w:tc>
        <w:tc>
          <w:tcPr>
            <w:tcW w:w="4249" w:type="dxa"/>
            <w:tcBorders>
              <w:top w:val="single" w:color="000000" w:sz="4" w:space="0"/>
              <w:left w:val="single" w:color="000000" w:sz="4" w:space="0"/>
              <w:bottom w:val="single" w:color="000000" w:sz="4" w:space="0"/>
              <w:right w:val="single" w:color="000000" w:sz="4" w:space="0"/>
            </w:tcBorders>
            <w:vAlign w:val="center"/>
          </w:tcPr>
          <w:p w14:paraId="293FDEC9">
            <w:pPr>
              <w:pStyle w:val="71"/>
              <w:spacing w:before="24" w:after="24"/>
              <w:jc w:val="both"/>
              <w:rPr>
                <w:rFonts w:cs="Times New Roman"/>
              </w:rPr>
            </w:pPr>
            <w:r>
              <w:rPr>
                <w:rFonts w:cs="Times New Roman"/>
              </w:rPr>
              <w:t>1）现浇钢筋混凝土结构板底面基层找补、清理</w:t>
            </w:r>
          </w:p>
          <w:p w14:paraId="1252933F">
            <w:pPr>
              <w:pStyle w:val="71"/>
              <w:spacing w:before="24" w:after="24"/>
              <w:jc w:val="both"/>
              <w:rPr>
                <w:rFonts w:cs="Times New Roman"/>
              </w:rPr>
            </w:pPr>
            <w:r>
              <w:rPr>
                <w:rFonts w:cs="Times New Roman"/>
              </w:rPr>
              <w:t>2）1.0mm厚水泥基渗透结晶型防水涂料（用量≥1.5kg/㎡）</w:t>
            </w:r>
          </w:p>
        </w:tc>
        <w:tc>
          <w:tcPr>
            <w:tcW w:w="1280" w:type="dxa"/>
            <w:tcBorders>
              <w:top w:val="single" w:color="000000" w:sz="4" w:space="0"/>
              <w:left w:val="single" w:color="000000" w:sz="4" w:space="0"/>
              <w:bottom w:val="single" w:color="000000" w:sz="4" w:space="0"/>
              <w:right w:val="single" w:color="000000" w:sz="4" w:space="0"/>
            </w:tcBorders>
            <w:vAlign w:val="center"/>
          </w:tcPr>
          <w:p w14:paraId="04E7A3A5">
            <w:pPr>
              <w:pStyle w:val="71"/>
              <w:spacing w:before="24" w:after="24"/>
              <w:rPr>
                <w:rFonts w:cs="Times New Roman"/>
              </w:rPr>
            </w:pPr>
          </w:p>
        </w:tc>
      </w:tr>
      <w:tr w14:paraId="48473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62" w:type="dxa"/>
            <w:tcBorders>
              <w:top w:val="single" w:color="000000" w:sz="4" w:space="0"/>
              <w:left w:val="single" w:color="000000" w:sz="4" w:space="0"/>
              <w:bottom w:val="single" w:color="000000" w:sz="4" w:space="0"/>
              <w:right w:val="single" w:color="000000" w:sz="4" w:space="0"/>
            </w:tcBorders>
            <w:vAlign w:val="center"/>
          </w:tcPr>
          <w:p w14:paraId="7E05A677">
            <w:pPr>
              <w:pStyle w:val="71"/>
              <w:spacing w:before="24" w:after="24"/>
              <w:rPr>
                <w:rFonts w:cs="Times New Roman"/>
              </w:rPr>
            </w:pPr>
            <w:r>
              <w:rPr>
                <w:rFonts w:cs="Times New Roman"/>
              </w:rPr>
              <w:t>5</w:t>
            </w:r>
          </w:p>
        </w:tc>
        <w:tc>
          <w:tcPr>
            <w:tcW w:w="1595" w:type="dxa"/>
            <w:tcBorders>
              <w:top w:val="single" w:color="000000" w:sz="4" w:space="0"/>
              <w:left w:val="single" w:color="000000" w:sz="4" w:space="0"/>
              <w:bottom w:val="single" w:color="000000" w:sz="4" w:space="0"/>
              <w:right w:val="single" w:color="000000" w:sz="4" w:space="0"/>
            </w:tcBorders>
            <w:vAlign w:val="center"/>
          </w:tcPr>
          <w:p w14:paraId="39D01E1D">
            <w:pPr>
              <w:pStyle w:val="71"/>
              <w:spacing w:before="24" w:after="24"/>
              <w:rPr>
                <w:rFonts w:cs="Times New Roman"/>
              </w:rPr>
            </w:pPr>
            <w:r>
              <w:rPr>
                <w:rFonts w:cs="Times New Roman"/>
              </w:rPr>
              <w:t>顶棚5（钢筋混凝土顶棚）</w:t>
            </w:r>
          </w:p>
        </w:tc>
        <w:tc>
          <w:tcPr>
            <w:tcW w:w="1661" w:type="dxa"/>
            <w:tcBorders>
              <w:top w:val="single" w:color="000000" w:sz="4" w:space="0"/>
              <w:left w:val="single" w:color="000000" w:sz="4" w:space="0"/>
              <w:bottom w:val="single" w:color="000000" w:sz="4" w:space="0"/>
              <w:right w:val="single" w:color="000000" w:sz="4" w:space="0"/>
            </w:tcBorders>
            <w:vAlign w:val="center"/>
          </w:tcPr>
          <w:p w14:paraId="0020142F">
            <w:pPr>
              <w:pStyle w:val="71"/>
              <w:spacing w:before="24" w:after="24"/>
              <w:jc w:val="both"/>
              <w:rPr>
                <w:rFonts w:cs="Times New Roman"/>
              </w:rPr>
            </w:pPr>
            <w:r>
              <w:rPr>
                <w:rFonts w:cs="Times New Roman"/>
              </w:rPr>
              <w:t>非机动车库、水井、强弱电井、排风机房、送风机房、变配电房、柴发机房、消防水泵房、充电桩设备房、消防控制室等设备房</w:t>
            </w:r>
          </w:p>
        </w:tc>
        <w:tc>
          <w:tcPr>
            <w:tcW w:w="4249" w:type="dxa"/>
            <w:tcBorders>
              <w:top w:val="single" w:color="000000" w:sz="4" w:space="0"/>
              <w:left w:val="single" w:color="000000" w:sz="4" w:space="0"/>
              <w:bottom w:val="single" w:color="000000" w:sz="4" w:space="0"/>
              <w:right w:val="single" w:color="000000" w:sz="4" w:space="0"/>
            </w:tcBorders>
            <w:vAlign w:val="center"/>
          </w:tcPr>
          <w:p w14:paraId="69B2F3C9">
            <w:pPr>
              <w:pStyle w:val="71"/>
              <w:spacing w:before="24" w:after="24"/>
              <w:jc w:val="both"/>
              <w:rPr>
                <w:rFonts w:cs="Times New Roman"/>
              </w:rPr>
            </w:pPr>
            <w:r>
              <w:rPr>
                <w:rFonts w:cs="Times New Roman"/>
              </w:rPr>
              <w:t>1）现浇钢筋混凝土结构板底面基层找补、清理</w:t>
            </w:r>
          </w:p>
        </w:tc>
        <w:tc>
          <w:tcPr>
            <w:tcW w:w="1280" w:type="dxa"/>
            <w:tcBorders>
              <w:top w:val="single" w:color="000000" w:sz="4" w:space="0"/>
              <w:left w:val="single" w:color="000000" w:sz="4" w:space="0"/>
              <w:bottom w:val="single" w:color="000000" w:sz="4" w:space="0"/>
              <w:right w:val="single" w:color="000000" w:sz="4" w:space="0"/>
            </w:tcBorders>
            <w:vAlign w:val="center"/>
          </w:tcPr>
          <w:p w14:paraId="113F6660">
            <w:pPr>
              <w:pStyle w:val="71"/>
              <w:spacing w:before="24" w:after="24"/>
              <w:rPr>
                <w:rFonts w:cs="Times New Roman"/>
              </w:rPr>
            </w:pPr>
          </w:p>
        </w:tc>
      </w:tr>
    </w:tbl>
    <w:p w14:paraId="6F4F9F93">
      <w:pPr>
        <w:spacing w:before="24" w:after="24"/>
        <w:rPr>
          <w:rFonts w:ascii="Times New Roman" w:hAnsi="Times New Roman" w:cs="Times New Roman"/>
          <w:color w:val="000000"/>
          <w:szCs w:val="28"/>
          <w:lang w:bidi="ar"/>
        </w:rPr>
      </w:pPr>
      <w:r>
        <w:rPr>
          <w:rFonts w:ascii="Times New Roman" w:hAnsi="Times New Roman" w:cs="Times New Roman"/>
          <w:color w:val="000000"/>
          <w:szCs w:val="28"/>
          <w:lang w:bidi="ar"/>
        </w:rPr>
        <w:br w:type="page"/>
      </w:r>
    </w:p>
    <w:p w14:paraId="5CA9CE20">
      <w:pPr>
        <w:pStyle w:val="66"/>
        <w:rPr>
          <w:rFonts w:cs="Times New Roman"/>
          <w:lang w:bidi="ar"/>
        </w:rPr>
      </w:pPr>
      <w:r>
        <w:rPr>
          <w:rFonts w:cs="Times New Roman"/>
          <w:lang w:bidi="ar"/>
        </w:rPr>
        <w:t>2、办公用房土建构造做法</w:t>
      </w:r>
    </w:p>
    <w:p w14:paraId="7955880C">
      <w:pPr>
        <w:pStyle w:val="54"/>
        <w:spacing w:before="24" w:after="24"/>
      </w:pPr>
      <w:r>
        <w:t>适用范围：所有子项中涉及的办公类用房</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3"/>
        <w:gridCol w:w="1374"/>
        <w:gridCol w:w="1742"/>
        <w:gridCol w:w="4168"/>
        <w:gridCol w:w="1280"/>
      </w:tblGrid>
      <w:tr w14:paraId="45326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783"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6151402D">
            <w:pPr>
              <w:pStyle w:val="71"/>
              <w:spacing w:before="24" w:after="24"/>
              <w:rPr>
                <w:rFonts w:cs="Times New Roman"/>
              </w:rPr>
            </w:pPr>
            <w:r>
              <w:rPr>
                <w:rFonts w:cs="Times New Roman"/>
              </w:rPr>
              <w:t>序号</w:t>
            </w:r>
          </w:p>
        </w:tc>
        <w:tc>
          <w:tcPr>
            <w:tcW w:w="1374"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0517D618">
            <w:pPr>
              <w:pStyle w:val="71"/>
              <w:spacing w:before="24" w:after="24"/>
              <w:rPr>
                <w:rFonts w:cs="Times New Roman"/>
              </w:rPr>
            </w:pPr>
            <w:r>
              <w:rPr>
                <w:rFonts w:cs="Times New Roman"/>
              </w:rPr>
              <w:t>名称</w:t>
            </w:r>
          </w:p>
        </w:tc>
        <w:tc>
          <w:tcPr>
            <w:tcW w:w="1742"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7E7CFEBA">
            <w:pPr>
              <w:pStyle w:val="71"/>
              <w:spacing w:before="24" w:after="24"/>
              <w:rPr>
                <w:rFonts w:cs="Times New Roman"/>
              </w:rPr>
            </w:pPr>
            <w:r>
              <w:rPr>
                <w:rFonts w:cs="Times New Roman"/>
              </w:rPr>
              <w:t>部位</w:t>
            </w:r>
          </w:p>
        </w:tc>
        <w:tc>
          <w:tcPr>
            <w:tcW w:w="4168"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1C4525A0">
            <w:pPr>
              <w:pStyle w:val="71"/>
              <w:spacing w:before="24" w:after="24"/>
              <w:jc w:val="both"/>
              <w:rPr>
                <w:rFonts w:cs="Times New Roman"/>
              </w:rPr>
            </w:pPr>
            <w:r>
              <w:rPr>
                <w:rFonts w:cs="Times New Roman"/>
              </w:rPr>
              <w:t>面层做法/规格参数</w:t>
            </w:r>
          </w:p>
        </w:tc>
        <w:tc>
          <w:tcPr>
            <w:tcW w:w="1280"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23C12EF0">
            <w:pPr>
              <w:pStyle w:val="71"/>
              <w:spacing w:before="24" w:after="24"/>
              <w:rPr>
                <w:rFonts w:cs="Times New Roman"/>
              </w:rPr>
            </w:pPr>
            <w:r>
              <w:rPr>
                <w:rFonts w:cs="Times New Roman"/>
              </w:rPr>
              <w:t>备注</w:t>
            </w:r>
          </w:p>
        </w:tc>
      </w:tr>
      <w:tr w14:paraId="28C57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jc w:val="center"/>
        </w:trPr>
        <w:tc>
          <w:tcPr>
            <w:tcW w:w="9347" w:type="dxa"/>
            <w:gridSpan w:val="5"/>
            <w:tcBorders>
              <w:top w:val="single" w:color="000000" w:sz="4" w:space="0"/>
              <w:left w:val="single" w:color="000000" w:sz="4" w:space="0"/>
              <w:bottom w:val="single" w:color="000000" w:sz="4" w:space="0"/>
              <w:right w:val="single" w:color="000000" w:sz="4" w:space="0"/>
            </w:tcBorders>
            <w:vAlign w:val="center"/>
          </w:tcPr>
          <w:p w14:paraId="3AE971F4">
            <w:pPr>
              <w:pStyle w:val="71"/>
              <w:spacing w:before="24" w:after="24"/>
              <w:rPr>
                <w:rFonts w:cs="Times New Roman"/>
              </w:rPr>
            </w:pPr>
            <w:r>
              <w:rPr>
                <w:rFonts w:cs="Times New Roman"/>
              </w:rPr>
              <w:t>地面</w:t>
            </w:r>
          </w:p>
        </w:tc>
      </w:tr>
      <w:tr w14:paraId="2A2905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3985A6DE">
            <w:pPr>
              <w:pStyle w:val="71"/>
              <w:spacing w:before="24" w:after="24"/>
              <w:rPr>
                <w:rFonts w:cs="Times New Roman"/>
              </w:rPr>
            </w:pPr>
            <w:r>
              <w:rPr>
                <w:rFonts w:cs="Times New Roman"/>
              </w:rPr>
              <w:t>1</w:t>
            </w:r>
          </w:p>
        </w:tc>
        <w:tc>
          <w:tcPr>
            <w:tcW w:w="1374" w:type="dxa"/>
            <w:tcBorders>
              <w:top w:val="single" w:color="000000" w:sz="4" w:space="0"/>
              <w:left w:val="single" w:color="000000" w:sz="4" w:space="0"/>
              <w:bottom w:val="single" w:color="000000" w:sz="4" w:space="0"/>
              <w:right w:val="single" w:color="000000" w:sz="4" w:space="0"/>
            </w:tcBorders>
            <w:vAlign w:val="center"/>
          </w:tcPr>
          <w:p w14:paraId="575F5B2E">
            <w:pPr>
              <w:pStyle w:val="71"/>
              <w:spacing w:before="24" w:after="24"/>
              <w:rPr>
                <w:rFonts w:cs="Times New Roman"/>
              </w:rPr>
            </w:pPr>
            <w:r>
              <w:rPr>
                <w:rFonts w:cs="Times New Roman"/>
              </w:rPr>
              <w:t>地面一（防滑地砖楼面）</w:t>
            </w:r>
          </w:p>
          <w:p w14:paraId="0039C6F6">
            <w:pPr>
              <w:pStyle w:val="71"/>
              <w:spacing w:before="24" w:after="24"/>
              <w:rPr>
                <w:rFonts w:cs="Times New Roman"/>
              </w:rPr>
            </w:pPr>
          </w:p>
        </w:tc>
        <w:tc>
          <w:tcPr>
            <w:tcW w:w="1742" w:type="dxa"/>
            <w:tcBorders>
              <w:top w:val="single" w:color="000000" w:sz="4" w:space="0"/>
              <w:left w:val="single" w:color="000000" w:sz="4" w:space="0"/>
              <w:bottom w:val="single" w:color="000000" w:sz="4" w:space="0"/>
              <w:right w:val="single" w:color="000000" w:sz="4" w:space="0"/>
            </w:tcBorders>
            <w:vAlign w:val="center"/>
          </w:tcPr>
          <w:p w14:paraId="43927746">
            <w:pPr>
              <w:pStyle w:val="71"/>
              <w:spacing w:before="24" w:after="24"/>
              <w:rPr>
                <w:rFonts w:cs="Times New Roman"/>
              </w:rPr>
            </w:pPr>
            <w:r>
              <w:rPr>
                <w:rFonts w:cs="Times New Roman"/>
              </w:rPr>
              <w:t>会议室、办公室、洽谈室、接待室、门厅、公共大堂、楼梯间、电梯厅、餐厅</w:t>
            </w:r>
          </w:p>
        </w:tc>
        <w:tc>
          <w:tcPr>
            <w:tcW w:w="4168" w:type="dxa"/>
            <w:tcBorders>
              <w:top w:val="single" w:color="000000" w:sz="4" w:space="0"/>
              <w:left w:val="single" w:color="000000" w:sz="4" w:space="0"/>
              <w:bottom w:val="single" w:color="000000" w:sz="4" w:space="0"/>
              <w:right w:val="single" w:color="000000" w:sz="4" w:space="0"/>
            </w:tcBorders>
            <w:vAlign w:val="center"/>
          </w:tcPr>
          <w:p w14:paraId="64F6A334">
            <w:pPr>
              <w:pStyle w:val="71"/>
              <w:spacing w:before="24" w:after="24"/>
              <w:jc w:val="both"/>
              <w:rPr>
                <w:rFonts w:cs="Times New Roman"/>
              </w:rPr>
            </w:pPr>
            <w:r>
              <w:rPr>
                <w:rFonts w:cs="Times New Roman"/>
              </w:rPr>
              <w:t>1）防滑地砖</w:t>
            </w:r>
          </w:p>
          <w:p w14:paraId="64DFE3E5">
            <w:pPr>
              <w:pStyle w:val="71"/>
              <w:spacing w:before="24" w:after="24"/>
              <w:jc w:val="both"/>
              <w:rPr>
                <w:rFonts w:cs="Times New Roman"/>
              </w:rPr>
            </w:pPr>
            <w:r>
              <w:rPr>
                <w:rFonts w:cs="Times New Roman"/>
              </w:rPr>
              <w:t>2）</w:t>
            </w:r>
            <w:r>
              <w:rPr>
                <w:rFonts w:hint="eastAsia" w:cs="Times New Roman"/>
              </w:rPr>
              <w:t>2</w:t>
            </w:r>
            <w:r>
              <w:rPr>
                <w:rFonts w:cs="Times New Roman"/>
              </w:rPr>
              <w:t>0厚1:3干硬性水泥砂浆结合层，表面撒水泥粉</w:t>
            </w:r>
          </w:p>
          <w:p w14:paraId="7C36B881">
            <w:pPr>
              <w:pStyle w:val="71"/>
              <w:spacing w:before="24" w:after="24"/>
              <w:jc w:val="both"/>
              <w:rPr>
                <w:rFonts w:cs="Times New Roman"/>
              </w:rPr>
            </w:pPr>
            <w:r>
              <w:rPr>
                <w:rFonts w:cs="Times New Roman"/>
              </w:rPr>
              <w:t>3）防潮层（20厚1：3水泥砂浆，掺5%防水剂）</w:t>
            </w:r>
          </w:p>
          <w:p w14:paraId="5A5137C7">
            <w:pPr>
              <w:pStyle w:val="71"/>
              <w:spacing w:before="24" w:after="24"/>
              <w:jc w:val="both"/>
              <w:rPr>
                <w:rFonts w:cs="Times New Roman"/>
              </w:rPr>
            </w:pPr>
            <w:r>
              <w:rPr>
                <w:rFonts w:cs="Times New Roman"/>
              </w:rPr>
              <w:t>4）80厚C15混凝土垫层，随捣随抹光</w:t>
            </w:r>
          </w:p>
          <w:p w14:paraId="78D5C480">
            <w:pPr>
              <w:pStyle w:val="71"/>
              <w:spacing w:before="24" w:after="24"/>
              <w:jc w:val="both"/>
              <w:rPr>
                <w:rFonts w:cs="Times New Roman"/>
              </w:rPr>
            </w:pPr>
            <w:r>
              <w:rPr>
                <w:rFonts w:cs="Times New Roman"/>
              </w:rPr>
              <w:t>5）素土夯实，压实系数≥0.94</w:t>
            </w:r>
          </w:p>
        </w:tc>
        <w:tc>
          <w:tcPr>
            <w:tcW w:w="1280" w:type="dxa"/>
            <w:tcBorders>
              <w:top w:val="single" w:color="000000" w:sz="4" w:space="0"/>
              <w:left w:val="single" w:color="000000" w:sz="4" w:space="0"/>
              <w:bottom w:val="single" w:color="000000" w:sz="4" w:space="0"/>
              <w:right w:val="single" w:color="000000" w:sz="4" w:space="0"/>
            </w:tcBorders>
            <w:vAlign w:val="center"/>
          </w:tcPr>
          <w:p w14:paraId="3BE06254">
            <w:pPr>
              <w:pStyle w:val="71"/>
              <w:spacing w:before="24" w:after="24"/>
              <w:rPr>
                <w:rFonts w:cs="Times New Roman"/>
              </w:rPr>
            </w:pPr>
          </w:p>
        </w:tc>
      </w:tr>
      <w:tr w14:paraId="4D40B3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02D29E7E">
            <w:pPr>
              <w:pStyle w:val="71"/>
              <w:spacing w:before="24" w:after="24"/>
              <w:rPr>
                <w:rFonts w:cs="Times New Roman"/>
              </w:rPr>
            </w:pPr>
            <w:r>
              <w:rPr>
                <w:rFonts w:cs="Times New Roman"/>
              </w:rPr>
              <w:t>2</w:t>
            </w:r>
          </w:p>
        </w:tc>
        <w:tc>
          <w:tcPr>
            <w:tcW w:w="1374" w:type="dxa"/>
            <w:tcBorders>
              <w:top w:val="single" w:color="000000" w:sz="4" w:space="0"/>
              <w:left w:val="single" w:color="000000" w:sz="4" w:space="0"/>
              <w:bottom w:val="single" w:color="000000" w:sz="4" w:space="0"/>
              <w:right w:val="single" w:color="000000" w:sz="4" w:space="0"/>
            </w:tcBorders>
            <w:vAlign w:val="center"/>
          </w:tcPr>
          <w:p w14:paraId="65170BE2">
            <w:pPr>
              <w:pStyle w:val="71"/>
              <w:spacing w:before="24" w:after="24"/>
              <w:rPr>
                <w:rFonts w:cs="Times New Roman"/>
              </w:rPr>
            </w:pPr>
            <w:r>
              <w:rPr>
                <w:rFonts w:cs="Times New Roman"/>
              </w:rPr>
              <w:t>地面二（防滑地砖面层-无沉箱）</w:t>
            </w:r>
          </w:p>
          <w:p w14:paraId="402FBB37">
            <w:pPr>
              <w:pStyle w:val="71"/>
              <w:spacing w:before="24" w:after="24"/>
              <w:rPr>
                <w:rFonts w:cs="Times New Roman"/>
              </w:rPr>
            </w:pPr>
          </w:p>
        </w:tc>
        <w:tc>
          <w:tcPr>
            <w:tcW w:w="1742" w:type="dxa"/>
            <w:tcBorders>
              <w:top w:val="single" w:color="000000" w:sz="4" w:space="0"/>
              <w:left w:val="single" w:color="000000" w:sz="4" w:space="0"/>
              <w:bottom w:val="single" w:color="000000" w:sz="4" w:space="0"/>
              <w:right w:val="single" w:color="000000" w:sz="4" w:space="0"/>
            </w:tcBorders>
            <w:vAlign w:val="center"/>
          </w:tcPr>
          <w:p w14:paraId="022DFCDC">
            <w:pPr>
              <w:pStyle w:val="71"/>
              <w:spacing w:before="24" w:after="24"/>
              <w:rPr>
                <w:rFonts w:cs="Times New Roman"/>
              </w:rPr>
            </w:pPr>
            <w:r>
              <w:rPr>
                <w:rFonts w:cs="Times New Roman"/>
              </w:rPr>
              <w:t>非下沉式卫生间、厨房</w:t>
            </w:r>
          </w:p>
        </w:tc>
        <w:tc>
          <w:tcPr>
            <w:tcW w:w="4168" w:type="dxa"/>
            <w:tcBorders>
              <w:top w:val="single" w:color="000000" w:sz="4" w:space="0"/>
              <w:left w:val="single" w:color="000000" w:sz="4" w:space="0"/>
              <w:bottom w:val="single" w:color="000000" w:sz="4" w:space="0"/>
              <w:right w:val="single" w:color="000000" w:sz="4" w:space="0"/>
            </w:tcBorders>
            <w:vAlign w:val="center"/>
          </w:tcPr>
          <w:p w14:paraId="394A2929">
            <w:pPr>
              <w:pStyle w:val="71"/>
              <w:spacing w:before="24" w:after="24"/>
              <w:jc w:val="both"/>
              <w:rPr>
                <w:rFonts w:cs="Times New Roman"/>
              </w:rPr>
            </w:pPr>
            <w:r>
              <w:rPr>
                <w:rFonts w:cs="Times New Roman"/>
              </w:rPr>
              <w:t>1）防滑地砖，专用勾缝剂勾缝</w:t>
            </w:r>
          </w:p>
          <w:p w14:paraId="6D19EE4C">
            <w:pPr>
              <w:pStyle w:val="71"/>
              <w:spacing w:before="24" w:after="24"/>
              <w:jc w:val="both"/>
              <w:rPr>
                <w:rFonts w:cs="Times New Roman"/>
              </w:rPr>
            </w:pPr>
            <w:r>
              <w:rPr>
                <w:rFonts w:cs="Times New Roman"/>
              </w:rPr>
              <w:t>2）</w:t>
            </w:r>
            <w:r>
              <w:rPr>
                <w:rFonts w:hint="eastAsia" w:cs="Times New Roman"/>
              </w:rPr>
              <w:t>2</w:t>
            </w:r>
            <w:r>
              <w:rPr>
                <w:rFonts w:cs="Times New Roman"/>
              </w:rPr>
              <w:t>0厚1：3干硬水泥砂浆结合层，上洒1-2厚干水泥</w:t>
            </w:r>
          </w:p>
          <w:p w14:paraId="16D7D9BD">
            <w:pPr>
              <w:pStyle w:val="71"/>
              <w:spacing w:before="24" w:after="24"/>
              <w:jc w:val="both"/>
              <w:rPr>
                <w:rFonts w:cs="Times New Roman"/>
              </w:rPr>
            </w:pPr>
            <w:r>
              <w:rPr>
                <w:rFonts w:cs="Times New Roman"/>
              </w:rPr>
              <w:t>3）最薄处20mm厚1:2水泥砂浆找坡层（掺5%防水剂），向地漏找1%坡</w:t>
            </w:r>
          </w:p>
          <w:p w14:paraId="71C8F283">
            <w:pPr>
              <w:pStyle w:val="71"/>
              <w:spacing w:before="24" w:after="24"/>
              <w:jc w:val="both"/>
              <w:rPr>
                <w:rFonts w:cs="Times New Roman"/>
              </w:rPr>
            </w:pPr>
            <w:r>
              <w:rPr>
                <w:rFonts w:cs="Times New Roman"/>
              </w:rPr>
              <w:t>4）管道边及孔边四周300mm范围先刷1.5mm厚JS-II聚合物水泥防水涂料，再大面刷1.5mm厚JS-II聚合物水泥防水涂料，四周卷起建筑完成面300高（防水层向外延展的长度不应小于500mm，向两侧延展的宽度不应小于200mm）</w:t>
            </w:r>
          </w:p>
          <w:p w14:paraId="450C7709">
            <w:pPr>
              <w:pStyle w:val="71"/>
              <w:spacing w:before="24" w:after="24"/>
              <w:jc w:val="both"/>
              <w:rPr>
                <w:rFonts w:cs="Times New Roman"/>
              </w:rPr>
            </w:pPr>
            <w:r>
              <w:rPr>
                <w:rFonts w:cs="Times New Roman"/>
              </w:rPr>
              <w:t>5）阴角做1:2水泥砂浆50mm圆弧；</w:t>
            </w:r>
          </w:p>
          <w:p w14:paraId="0A3F8065">
            <w:pPr>
              <w:pStyle w:val="71"/>
              <w:spacing w:before="24" w:after="24"/>
              <w:jc w:val="both"/>
              <w:rPr>
                <w:rFonts w:cs="Times New Roman"/>
              </w:rPr>
            </w:pPr>
            <w:r>
              <w:rPr>
                <w:rFonts w:cs="Times New Roman"/>
              </w:rPr>
              <w:t>6）80厚C15混凝土垫层，随捣随抹光</w:t>
            </w:r>
          </w:p>
          <w:p w14:paraId="412D5A4A">
            <w:pPr>
              <w:pStyle w:val="71"/>
              <w:spacing w:before="24" w:after="24"/>
              <w:jc w:val="both"/>
              <w:rPr>
                <w:rFonts w:cs="Times New Roman"/>
              </w:rPr>
            </w:pPr>
            <w:r>
              <w:rPr>
                <w:rFonts w:cs="Times New Roman"/>
              </w:rPr>
              <w:t>7）素土夯实，压实系数≥0.94</w:t>
            </w:r>
          </w:p>
        </w:tc>
        <w:tc>
          <w:tcPr>
            <w:tcW w:w="1280" w:type="dxa"/>
            <w:tcBorders>
              <w:top w:val="single" w:color="000000" w:sz="4" w:space="0"/>
              <w:left w:val="single" w:color="000000" w:sz="4" w:space="0"/>
              <w:bottom w:val="single" w:color="000000" w:sz="4" w:space="0"/>
              <w:right w:val="single" w:color="000000" w:sz="4" w:space="0"/>
            </w:tcBorders>
            <w:vAlign w:val="center"/>
          </w:tcPr>
          <w:p w14:paraId="03ED9A2F">
            <w:pPr>
              <w:pStyle w:val="71"/>
              <w:spacing w:before="24" w:after="24"/>
              <w:rPr>
                <w:rFonts w:cs="Times New Roman"/>
              </w:rPr>
            </w:pPr>
          </w:p>
        </w:tc>
      </w:tr>
      <w:tr w14:paraId="63A5D4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7"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4637BD98">
            <w:pPr>
              <w:pStyle w:val="71"/>
              <w:spacing w:before="24" w:after="24"/>
              <w:rPr>
                <w:rFonts w:cs="Times New Roman"/>
              </w:rPr>
            </w:pPr>
            <w:r>
              <w:rPr>
                <w:rFonts w:cs="Times New Roman"/>
              </w:rPr>
              <w:t>3</w:t>
            </w:r>
          </w:p>
        </w:tc>
        <w:tc>
          <w:tcPr>
            <w:tcW w:w="1374" w:type="dxa"/>
            <w:tcBorders>
              <w:top w:val="single" w:color="000000" w:sz="4" w:space="0"/>
              <w:left w:val="single" w:color="000000" w:sz="4" w:space="0"/>
              <w:bottom w:val="single" w:color="000000" w:sz="4" w:space="0"/>
              <w:right w:val="single" w:color="000000" w:sz="4" w:space="0"/>
            </w:tcBorders>
            <w:vAlign w:val="center"/>
          </w:tcPr>
          <w:p w14:paraId="63713A19">
            <w:pPr>
              <w:pStyle w:val="71"/>
              <w:spacing w:before="24" w:after="24"/>
              <w:rPr>
                <w:rFonts w:cs="Times New Roman"/>
              </w:rPr>
            </w:pPr>
            <w:r>
              <w:rPr>
                <w:rFonts w:cs="Times New Roman"/>
              </w:rPr>
              <w:t>地面三（防滑地砖面层-有沉箱）</w:t>
            </w:r>
          </w:p>
          <w:p w14:paraId="09CEAEAC">
            <w:pPr>
              <w:pStyle w:val="71"/>
              <w:spacing w:before="24" w:after="24"/>
              <w:rPr>
                <w:rFonts w:cs="Times New Roman"/>
              </w:rPr>
            </w:pPr>
          </w:p>
        </w:tc>
        <w:tc>
          <w:tcPr>
            <w:tcW w:w="1742" w:type="dxa"/>
            <w:tcBorders>
              <w:top w:val="single" w:color="000000" w:sz="4" w:space="0"/>
              <w:left w:val="single" w:color="000000" w:sz="4" w:space="0"/>
              <w:bottom w:val="single" w:color="000000" w:sz="4" w:space="0"/>
              <w:right w:val="single" w:color="000000" w:sz="4" w:space="0"/>
            </w:tcBorders>
            <w:vAlign w:val="center"/>
          </w:tcPr>
          <w:p w14:paraId="590FAAF0">
            <w:pPr>
              <w:pStyle w:val="71"/>
              <w:spacing w:before="24" w:after="24"/>
              <w:rPr>
                <w:rFonts w:cs="Times New Roman"/>
              </w:rPr>
            </w:pPr>
            <w:r>
              <w:rPr>
                <w:rFonts w:cs="Times New Roman"/>
              </w:rPr>
              <w:t>下沉式卫生间</w:t>
            </w:r>
          </w:p>
          <w:p w14:paraId="491DAAB4">
            <w:pPr>
              <w:pStyle w:val="71"/>
              <w:spacing w:before="24" w:after="24"/>
              <w:rPr>
                <w:rFonts w:cs="Times New Roman"/>
              </w:rPr>
            </w:pPr>
          </w:p>
        </w:tc>
        <w:tc>
          <w:tcPr>
            <w:tcW w:w="4168" w:type="dxa"/>
            <w:tcBorders>
              <w:top w:val="single" w:color="000000" w:sz="4" w:space="0"/>
              <w:left w:val="single" w:color="000000" w:sz="4" w:space="0"/>
              <w:bottom w:val="single" w:color="000000" w:sz="4" w:space="0"/>
              <w:right w:val="single" w:color="000000" w:sz="4" w:space="0"/>
            </w:tcBorders>
            <w:vAlign w:val="center"/>
          </w:tcPr>
          <w:p w14:paraId="122A9C5A">
            <w:pPr>
              <w:pStyle w:val="71"/>
              <w:spacing w:before="24" w:after="24"/>
              <w:jc w:val="both"/>
              <w:rPr>
                <w:rFonts w:cs="Times New Roman"/>
              </w:rPr>
            </w:pPr>
            <w:r>
              <w:rPr>
                <w:rFonts w:cs="Times New Roman"/>
              </w:rPr>
              <w:t>1）防滑地砖，专用美缝剂美缝</w:t>
            </w:r>
          </w:p>
          <w:p w14:paraId="07BCDDD3">
            <w:pPr>
              <w:pStyle w:val="71"/>
              <w:spacing w:before="24" w:after="24"/>
              <w:jc w:val="both"/>
              <w:rPr>
                <w:rFonts w:cs="Times New Roman"/>
              </w:rPr>
            </w:pPr>
            <w:r>
              <w:rPr>
                <w:rFonts w:cs="Times New Roman"/>
              </w:rPr>
              <w:t>2）</w:t>
            </w:r>
            <w:r>
              <w:rPr>
                <w:rFonts w:hint="eastAsia" w:cs="Times New Roman"/>
              </w:rPr>
              <w:t>2</w:t>
            </w:r>
            <w:r>
              <w:rPr>
                <w:rFonts w:cs="Times New Roman"/>
              </w:rPr>
              <w:t>0厚1：3干硬水泥砂浆结合层，上洒1-2厚干水泥</w:t>
            </w:r>
          </w:p>
          <w:p w14:paraId="739692CF">
            <w:pPr>
              <w:pStyle w:val="71"/>
              <w:spacing w:before="24" w:after="24"/>
              <w:jc w:val="both"/>
              <w:rPr>
                <w:rFonts w:cs="Times New Roman"/>
              </w:rPr>
            </w:pPr>
            <w:r>
              <w:rPr>
                <w:rFonts w:cs="Times New Roman"/>
              </w:rPr>
              <w:t>3）最薄处20厚1：3水泥砂浆找坡层（掺5%防水剂），1%坡向地漏</w:t>
            </w:r>
          </w:p>
          <w:p w14:paraId="728B0103">
            <w:pPr>
              <w:pStyle w:val="71"/>
              <w:spacing w:before="24" w:after="24"/>
              <w:jc w:val="both"/>
              <w:rPr>
                <w:rFonts w:cs="Times New Roman"/>
              </w:rPr>
            </w:pPr>
            <w:r>
              <w:rPr>
                <w:rFonts w:cs="Times New Roman"/>
              </w:rPr>
              <w:t>4）陶粒混凝土回填（回填厚度以设计为准）</w:t>
            </w:r>
          </w:p>
          <w:p w14:paraId="59B2CCFE">
            <w:pPr>
              <w:pStyle w:val="71"/>
              <w:spacing w:before="24" w:after="24"/>
              <w:jc w:val="both"/>
              <w:rPr>
                <w:rFonts w:cs="Times New Roman"/>
              </w:rPr>
            </w:pPr>
            <w:r>
              <w:rPr>
                <w:rFonts w:cs="Times New Roman"/>
              </w:rPr>
              <w:t>5）1.5厚JS-Ⅱ型防水涂料，沿墙上翻至建筑完成面以上300mm（防水层向外延展的长度不应小于500mm，向两侧延展的宽度不应小于200mm）</w:t>
            </w:r>
          </w:p>
          <w:p w14:paraId="3B6F24AF">
            <w:pPr>
              <w:pStyle w:val="71"/>
              <w:spacing w:before="24" w:after="24"/>
              <w:jc w:val="both"/>
              <w:rPr>
                <w:rFonts w:cs="Times New Roman"/>
              </w:rPr>
            </w:pPr>
            <w:r>
              <w:rPr>
                <w:rFonts w:cs="Times New Roman"/>
              </w:rPr>
              <w:t>6）80厚C15混凝土垫层，随捣随抹光</w:t>
            </w:r>
          </w:p>
          <w:p w14:paraId="31DF2371">
            <w:pPr>
              <w:pStyle w:val="71"/>
              <w:spacing w:before="24" w:after="24"/>
              <w:jc w:val="both"/>
              <w:rPr>
                <w:rFonts w:cs="Times New Roman"/>
              </w:rPr>
            </w:pPr>
            <w:r>
              <w:rPr>
                <w:rFonts w:cs="Times New Roman"/>
              </w:rPr>
              <w:t>7）素土夯实，压实系数≥0.94</w:t>
            </w:r>
          </w:p>
        </w:tc>
        <w:tc>
          <w:tcPr>
            <w:tcW w:w="1280" w:type="dxa"/>
            <w:tcBorders>
              <w:top w:val="single" w:color="000000" w:sz="4" w:space="0"/>
              <w:left w:val="single" w:color="000000" w:sz="4" w:space="0"/>
              <w:bottom w:val="single" w:color="000000" w:sz="4" w:space="0"/>
              <w:right w:val="single" w:color="000000" w:sz="4" w:space="0"/>
            </w:tcBorders>
            <w:vAlign w:val="center"/>
          </w:tcPr>
          <w:p w14:paraId="585F8608">
            <w:pPr>
              <w:pStyle w:val="71"/>
              <w:spacing w:before="24" w:after="24"/>
              <w:rPr>
                <w:rFonts w:cs="Times New Roman"/>
              </w:rPr>
            </w:pPr>
          </w:p>
        </w:tc>
      </w:tr>
      <w:tr w14:paraId="53528B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347" w:type="dxa"/>
            <w:gridSpan w:val="5"/>
            <w:tcBorders>
              <w:top w:val="single" w:color="000000" w:sz="4" w:space="0"/>
              <w:left w:val="single" w:color="000000" w:sz="4" w:space="0"/>
              <w:bottom w:val="single" w:color="000000" w:sz="4" w:space="0"/>
              <w:right w:val="single" w:color="000000" w:sz="4" w:space="0"/>
            </w:tcBorders>
            <w:vAlign w:val="center"/>
          </w:tcPr>
          <w:p w14:paraId="6BE535EC">
            <w:pPr>
              <w:pStyle w:val="71"/>
              <w:spacing w:before="24" w:after="24"/>
              <w:rPr>
                <w:rFonts w:cs="Times New Roman"/>
              </w:rPr>
            </w:pPr>
            <w:r>
              <w:rPr>
                <w:rFonts w:cs="Times New Roman"/>
              </w:rPr>
              <w:t>楼面</w:t>
            </w:r>
          </w:p>
        </w:tc>
      </w:tr>
      <w:tr w14:paraId="7D67F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20C57040">
            <w:pPr>
              <w:pStyle w:val="71"/>
              <w:spacing w:before="24" w:after="24"/>
              <w:rPr>
                <w:rFonts w:cs="Times New Roman"/>
              </w:rPr>
            </w:pPr>
            <w:r>
              <w:rPr>
                <w:rFonts w:cs="Times New Roman"/>
              </w:rPr>
              <w:t>1</w:t>
            </w:r>
          </w:p>
        </w:tc>
        <w:tc>
          <w:tcPr>
            <w:tcW w:w="1374" w:type="dxa"/>
            <w:tcBorders>
              <w:top w:val="single" w:color="000000" w:sz="4" w:space="0"/>
              <w:left w:val="single" w:color="000000" w:sz="4" w:space="0"/>
              <w:bottom w:val="single" w:color="000000" w:sz="4" w:space="0"/>
              <w:right w:val="single" w:color="000000" w:sz="4" w:space="0"/>
            </w:tcBorders>
            <w:vAlign w:val="center"/>
          </w:tcPr>
          <w:p w14:paraId="516FF927">
            <w:pPr>
              <w:pStyle w:val="71"/>
              <w:spacing w:before="24" w:after="24"/>
              <w:rPr>
                <w:rFonts w:cs="Times New Roman"/>
              </w:rPr>
            </w:pPr>
            <w:r>
              <w:rPr>
                <w:rFonts w:cs="Times New Roman"/>
              </w:rPr>
              <w:t>楼面一（防滑地砖楼面）</w:t>
            </w:r>
          </w:p>
        </w:tc>
        <w:tc>
          <w:tcPr>
            <w:tcW w:w="1742" w:type="dxa"/>
            <w:tcBorders>
              <w:top w:val="single" w:color="000000" w:sz="4" w:space="0"/>
              <w:left w:val="single" w:color="000000" w:sz="4" w:space="0"/>
              <w:bottom w:val="single" w:color="000000" w:sz="4" w:space="0"/>
              <w:right w:val="single" w:color="000000" w:sz="4" w:space="0"/>
            </w:tcBorders>
            <w:vAlign w:val="center"/>
          </w:tcPr>
          <w:p w14:paraId="4FB625F5">
            <w:pPr>
              <w:pStyle w:val="71"/>
              <w:spacing w:before="24" w:after="24"/>
              <w:rPr>
                <w:rFonts w:cs="Times New Roman"/>
              </w:rPr>
            </w:pPr>
            <w:r>
              <w:rPr>
                <w:rFonts w:cs="Times New Roman"/>
              </w:rPr>
              <w:t>会议室、办公室、洽谈室、接待室、门厅、公共大堂、楼梯间、电梯厅、餐厅</w:t>
            </w:r>
          </w:p>
        </w:tc>
        <w:tc>
          <w:tcPr>
            <w:tcW w:w="4168" w:type="dxa"/>
            <w:tcBorders>
              <w:top w:val="single" w:color="000000" w:sz="4" w:space="0"/>
              <w:left w:val="single" w:color="000000" w:sz="4" w:space="0"/>
              <w:bottom w:val="single" w:color="000000" w:sz="4" w:space="0"/>
              <w:right w:val="single" w:color="000000" w:sz="4" w:space="0"/>
            </w:tcBorders>
            <w:vAlign w:val="center"/>
          </w:tcPr>
          <w:p w14:paraId="19DB0B36">
            <w:pPr>
              <w:pStyle w:val="71"/>
              <w:spacing w:before="24" w:after="24"/>
              <w:jc w:val="both"/>
              <w:rPr>
                <w:rFonts w:cs="Times New Roman"/>
              </w:rPr>
            </w:pPr>
            <w:r>
              <w:rPr>
                <w:rFonts w:cs="Times New Roman"/>
              </w:rPr>
              <w:t>1）防滑地砖，专用美缝剂美缝</w:t>
            </w:r>
          </w:p>
          <w:p w14:paraId="0349DCFB">
            <w:pPr>
              <w:pStyle w:val="71"/>
              <w:spacing w:before="24" w:after="24"/>
              <w:jc w:val="both"/>
              <w:rPr>
                <w:rFonts w:cs="Times New Roman"/>
              </w:rPr>
            </w:pPr>
            <w:r>
              <w:rPr>
                <w:rFonts w:cs="Times New Roman"/>
              </w:rPr>
              <w:t>2）</w:t>
            </w:r>
            <w:r>
              <w:rPr>
                <w:rFonts w:hint="eastAsia" w:cs="Times New Roman"/>
              </w:rPr>
              <w:t>2</w:t>
            </w:r>
            <w:r>
              <w:rPr>
                <w:rFonts w:cs="Times New Roman"/>
              </w:rPr>
              <w:t>0厚1:3干硬性水泥砂浆结合层，表面撒水泥粉</w:t>
            </w:r>
          </w:p>
          <w:p w14:paraId="43AF2BCD">
            <w:pPr>
              <w:pStyle w:val="71"/>
              <w:spacing w:before="24" w:after="24"/>
              <w:jc w:val="both"/>
              <w:rPr>
                <w:rFonts w:cs="Times New Roman"/>
              </w:rPr>
            </w:pPr>
            <w:r>
              <w:rPr>
                <w:rFonts w:cs="Times New Roman"/>
              </w:rPr>
              <w:t>3）钢筋混凝土楼板，打磨平整</w:t>
            </w:r>
          </w:p>
        </w:tc>
        <w:tc>
          <w:tcPr>
            <w:tcW w:w="1280" w:type="dxa"/>
            <w:tcBorders>
              <w:top w:val="single" w:color="000000" w:sz="4" w:space="0"/>
              <w:left w:val="single" w:color="000000" w:sz="4" w:space="0"/>
              <w:bottom w:val="single" w:color="000000" w:sz="4" w:space="0"/>
              <w:right w:val="single" w:color="000000" w:sz="4" w:space="0"/>
            </w:tcBorders>
            <w:vAlign w:val="center"/>
          </w:tcPr>
          <w:p w14:paraId="32302E2B">
            <w:pPr>
              <w:pStyle w:val="71"/>
              <w:spacing w:before="24" w:after="24"/>
              <w:rPr>
                <w:rFonts w:cs="Times New Roman"/>
              </w:rPr>
            </w:pPr>
          </w:p>
        </w:tc>
      </w:tr>
      <w:tr w14:paraId="2BF8B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18A86D94">
            <w:pPr>
              <w:pStyle w:val="71"/>
              <w:spacing w:before="24" w:after="24"/>
              <w:rPr>
                <w:rFonts w:cs="Times New Roman"/>
              </w:rPr>
            </w:pPr>
            <w:r>
              <w:rPr>
                <w:rFonts w:cs="Times New Roman"/>
              </w:rPr>
              <w:t>2</w:t>
            </w:r>
          </w:p>
        </w:tc>
        <w:tc>
          <w:tcPr>
            <w:tcW w:w="1374" w:type="dxa"/>
            <w:tcBorders>
              <w:top w:val="single" w:color="000000" w:sz="4" w:space="0"/>
              <w:left w:val="single" w:color="000000" w:sz="4" w:space="0"/>
              <w:bottom w:val="single" w:color="000000" w:sz="4" w:space="0"/>
              <w:right w:val="single" w:color="000000" w:sz="4" w:space="0"/>
            </w:tcBorders>
            <w:vAlign w:val="center"/>
          </w:tcPr>
          <w:p w14:paraId="1080863C">
            <w:pPr>
              <w:pStyle w:val="71"/>
              <w:spacing w:before="24" w:after="24"/>
              <w:rPr>
                <w:rFonts w:cs="Times New Roman"/>
              </w:rPr>
            </w:pPr>
            <w:r>
              <w:rPr>
                <w:rFonts w:cs="Times New Roman"/>
              </w:rPr>
              <w:t>楼面二（防滑地砖面层-无沉箱）</w:t>
            </w:r>
          </w:p>
        </w:tc>
        <w:tc>
          <w:tcPr>
            <w:tcW w:w="1742" w:type="dxa"/>
            <w:tcBorders>
              <w:top w:val="single" w:color="000000" w:sz="4" w:space="0"/>
              <w:left w:val="single" w:color="000000" w:sz="4" w:space="0"/>
              <w:bottom w:val="single" w:color="000000" w:sz="4" w:space="0"/>
              <w:right w:val="single" w:color="000000" w:sz="4" w:space="0"/>
            </w:tcBorders>
            <w:vAlign w:val="center"/>
          </w:tcPr>
          <w:p w14:paraId="2DAA5981">
            <w:pPr>
              <w:pStyle w:val="71"/>
              <w:spacing w:before="24" w:after="24"/>
              <w:rPr>
                <w:rFonts w:cs="Times New Roman"/>
              </w:rPr>
            </w:pPr>
            <w:r>
              <w:rPr>
                <w:rFonts w:cs="Times New Roman"/>
              </w:rPr>
              <w:t>非下沉式卫生间、厨房</w:t>
            </w:r>
          </w:p>
        </w:tc>
        <w:tc>
          <w:tcPr>
            <w:tcW w:w="4168" w:type="dxa"/>
            <w:tcBorders>
              <w:top w:val="single" w:color="000000" w:sz="4" w:space="0"/>
              <w:left w:val="single" w:color="000000" w:sz="4" w:space="0"/>
              <w:bottom w:val="single" w:color="000000" w:sz="4" w:space="0"/>
              <w:right w:val="single" w:color="000000" w:sz="4" w:space="0"/>
            </w:tcBorders>
            <w:vAlign w:val="center"/>
          </w:tcPr>
          <w:p w14:paraId="7B387C0E">
            <w:pPr>
              <w:pStyle w:val="71"/>
              <w:spacing w:before="24" w:after="24"/>
              <w:jc w:val="both"/>
              <w:rPr>
                <w:rFonts w:cs="Times New Roman"/>
              </w:rPr>
            </w:pPr>
            <w:r>
              <w:rPr>
                <w:rFonts w:cs="Times New Roman"/>
              </w:rPr>
              <w:t>1）防滑地砖，专用美缝剂美缝</w:t>
            </w:r>
          </w:p>
          <w:p w14:paraId="40FC2F41">
            <w:pPr>
              <w:pStyle w:val="71"/>
              <w:spacing w:before="24" w:after="24"/>
              <w:jc w:val="both"/>
              <w:rPr>
                <w:rFonts w:cs="Times New Roman"/>
              </w:rPr>
            </w:pPr>
            <w:r>
              <w:rPr>
                <w:rFonts w:cs="Times New Roman"/>
              </w:rPr>
              <w:t>2）30 厚1:3干硬性水泥砂浆结合层，表面撒水泥粉</w:t>
            </w:r>
          </w:p>
          <w:p w14:paraId="25ADA85B">
            <w:pPr>
              <w:pStyle w:val="71"/>
              <w:spacing w:before="24" w:after="24"/>
              <w:jc w:val="both"/>
              <w:rPr>
                <w:rFonts w:cs="Times New Roman"/>
              </w:rPr>
            </w:pPr>
            <w:r>
              <w:rPr>
                <w:rFonts w:cs="Times New Roman"/>
              </w:rPr>
              <w:t>3）最薄处20厚1：3水泥砂浆找坡兼找平层（掺5%防水剂），1%坡向地漏</w:t>
            </w:r>
          </w:p>
          <w:p w14:paraId="12207970">
            <w:pPr>
              <w:pStyle w:val="71"/>
              <w:spacing w:before="24" w:after="24"/>
              <w:jc w:val="both"/>
              <w:rPr>
                <w:rFonts w:cs="Times New Roman"/>
              </w:rPr>
            </w:pPr>
            <w:r>
              <w:rPr>
                <w:rFonts w:cs="Times New Roman"/>
              </w:rPr>
              <w:t>4）管道边及孔边四周300mm范围先刷1.5mm厚JS-II聚合物水泥防水涂料，再大面刷1.5mm厚JS-II聚合物水泥防水涂料，四周卷起建筑完成面300高（防水层向外延展的长度不应小于500mm，向两侧延展的宽度不应小于200mm）</w:t>
            </w:r>
          </w:p>
          <w:p w14:paraId="02DF7104">
            <w:pPr>
              <w:pStyle w:val="71"/>
              <w:spacing w:before="24" w:after="24"/>
              <w:jc w:val="both"/>
              <w:rPr>
                <w:rFonts w:cs="Times New Roman"/>
              </w:rPr>
            </w:pPr>
            <w:r>
              <w:rPr>
                <w:rFonts w:cs="Times New Roman"/>
              </w:rPr>
              <w:t>5）阴角做1:2水泥砂浆50mm圆弧；</w:t>
            </w:r>
          </w:p>
          <w:p w14:paraId="50FF6A30">
            <w:pPr>
              <w:pStyle w:val="71"/>
              <w:spacing w:before="24" w:after="24"/>
              <w:jc w:val="both"/>
              <w:rPr>
                <w:rFonts w:cs="Times New Roman"/>
              </w:rPr>
            </w:pPr>
            <w:r>
              <w:rPr>
                <w:rFonts w:cs="Times New Roman"/>
              </w:rPr>
              <w:t>6）现浇钢筋混凝土楼板,随捣随抹平</w:t>
            </w:r>
          </w:p>
        </w:tc>
        <w:tc>
          <w:tcPr>
            <w:tcW w:w="1280" w:type="dxa"/>
            <w:tcBorders>
              <w:top w:val="single" w:color="000000" w:sz="4" w:space="0"/>
              <w:left w:val="single" w:color="000000" w:sz="4" w:space="0"/>
              <w:bottom w:val="single" w:color="000000" w:sz="4" w:space="0"/>
              <w:right w:val="single" w:color="000000" w:sz="4" w:space="0"/>
            </w:tcBorders>
            <w:vAlign w:val="center"/>
          </w:tcPr>
          <w:p w14:paraId="71999512">
            <w:pPr>
              <w:pStyle w:val="71"/>
              <w:spacing w:before="24" w:after="24"/>
              <w:rPr>
                <w:rFonts w:cs="Times New Roman"/>
              </w:rPr>
            </w:pPr>
          </w:p>
        </w:tc>
      </w:tr>
      <w:tr w14:paraId="254C4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7FB8619E">
            <w:pPr>
              <w:pStyle w:val="71"/>
              <w:spacing w:before="24" w:after="24"/>
              <w:rPr>
                <w:rFonts w:cs="Times New Roman"/>
              </w:rPr>
            </w:pPr>
            <w:r>
              <w:rPr>
                <w:rFonts w:cs="Times New Roman"/>
              </w:rPr>
              <w:t>3</w:t>
            </w:r>
          </w:p>
        </w:tc>
        <w:tc>
          <w:tcPr>
            <w:tcW w:w="1374" w:type="dxa"/>
            <w:tcBorders>
              <w:top w:val="single" w:color="000000" w:sz="4" w:space="0"/>
              <w:left w:val="single" w:color="000000" w:sz="4" w:space="0"/>
              <w:bottom w:val="single" w:color="000000" w:sz="4" w:space="0"/>
              <w:right w:val="single" w:color="000000" w:sz="4" w:space="0"/>
            </w:tcBorders>
            <w:vAlign w:val="center"/>
          </w:tcPr>
          <w:p w14:paraId="5F85E761">
            <w:pPr>
              <w:pStyle w:val="71"/>
              <w:spacing w:before="24" w:after="24"/>
              <w:rPr>
                <w:rFonts w:cs="Times New Roman"/>
              </w:rPr>
            </w:pPr>
            <w:r>
              <w:rPr>
                <w:rFonts w:cs="Times New Roman"/>
              </w:rPr>
              <w:t>楼面三（防滑地砖面层-有沉箱）</w:t>
            </w:r>
          </w:p>
        </w:tc>
        <w:tc>
          <w:tcPr>
            <w:tcW w:w="1742" w:type="dxa"/>
            <w:tcBorders>
              <w:top w:val="single" w:color="000000" w:sz="4" w:space="0"/>
              <w:left w:val="single" w:color="000000" w:sz="4" w:space="0"/>
              <w:bottom w:val="single" w:color="000000" w:sz="4" w:space="0"/>
              <w:right w:val="single" w:color="000000" w:sz="4" w:space="0"/>
            </w:tcBorders>
            <w:vAlign w:val="center"/>
          </w:tcPr>
          <w:p w14:paraId="2F0A4D2E">
            <w:pPr>
              <w:pStyle w:val="71"/>
              <w:spacing w:before="24" w:after="24"/>
              <w:rPr>
                <w:rFonts w:cs="Times New Roman"/>
              </w:rPr>
            </w:pPr>
            <w:r>
              <w:rPr>
                <w:rFonts w:cs="Times New Roman"/>
              </w:rPr>
              <w:t>下沉式卫生间</w:t>
            </w:r>
          </w:p>
        </w:tc>
        <w:tc>
          <w:tcPr>
            <w:tcW w:w="4168" w:type="dxa"/>
            <w:tcBorders>
              <w:top w:val="single" w:color="000000" w:sz="4" w:space="0"/>
              <w:left w:val="single" w:color="000000" w:sz="4" w:space="0"/>
              <w:bottom w:val="single" w:color="000000" w:sz="4" w:space="0"/>
              <w:right w:val="single" w:color="000000" w:sz="4" w:space="0"/>
            </w:tcBorders>
            <w:vAlign w:val="center"/>
          </w:tcPr>
          <w:p w14:paraId="393FA87D">
            <w:pPr>
              <w:pStyle w:val="71"/>
              <w:spacing w:before="24" w:after="24"/>
              <w:jc w:val="both"/>
              <w:rPr>
                <w:rFonts w:cs="Times New Roman"/>
              </w:rPr>
            </w:pPr>
            <w:r>
              <w:rPr>
                <w:rFonts w:cs="Times New Roman"/>
              </w:rPr>
              <w:t>1）防滑地砖，专用美缝剂美缝</w:t>
            </w:r>
          </w:p>
          <w:p w14:paraId="5A2FA7E3">
            <w:pPr>
              <w:pStyle w:val="71"/>
              <w:spacing w:before="24" w:after="24"/>
              <w:jc w:val="both"/>
              <w:rPr>
                <w:rFonts w:cs="Times New Roman"/>
              </w:rPr>
            </w:pPr>
            <w:r>
              <w:rPr>
                <w:rFonts w:cs="Times New Roman"/>
              </w:rPr>
              <w:t>2）</w:t>
            </w:r>
            <w:r>
              <w:rPr>
                <w:rFonts w:hint="eastAsia" w:cs="Times New Roman"/>
              </w:rPr>
              <w:t>2</w:t>
            </w:r>
            <w:r>
              <w:rPr>
                <w:rFonts w:cs="Times New Roman"/>
              </w:rPr>
              <w:t>0厚1:3干硬性水泥砂浆结合层，表面撒水泥粉</w:t>
            </w:r>
          </w:p>
          <w:p w14:paraId="71489F8E">
            <w:pPr>
              <w:pStyle w:val="71"/>
              <w:spacing w:before="24" w:after="24"/>
              <w:jc w:val="both"/>
              <w:rPr>
                <w:rFonts w:cs="Times New Roman"/>
              </w:rPr>
            </w:pPr>
            <w:r>
              <w:rPr>
                <w:rFonts w:cs="Times New Roman"/>
              </w:rPr>
              <w:t>3）最薄处20厚1：3水泥砂浆找坡兼找平层（掺5%防水剂），1%坡向地漏</w:t>
            </w:r>
          </w:p>
          <w:p w14:paraId="0A1E009A">
            <w:pPr>
              <w:pStyle w:val="71"/>
              <w:spacing w:before="24" w:after="24"/>
              <w:jc w:val="both"/>
              <w:rPr>
                <w:rFonts w:cs="Times New Roman"/>
              </w:rPr>
            </w:pPr>
            <w:r>
              <w:rPr>
                <w:rFonts w:cs="Times New Roman"/>
              </w:rPr>
              <w:t>4）陶粒混凝土回填（回填厚度以设计为准）</w:t>
            </w:r>
          </w:p>
          <w:p w14:paraId="3C09CAB8">
            <w:pPr>
              <w:pStyle w:val="71"/>
              <w:spacing w:before="24" w:after="24"/>
              <w:jc w:val="both"/>
              <w:rPr>
                <w:rFonts w:cs="Times New Roman"/>
              </w:rPr>
            </w:pPr>
            <w:r>
              <w:rPr>
                <w:rFonts w:cs="Times New Roman"/>
              </w:rPr>
              <w:t>5）1.5厚JS-Ⅱ型防水涂料，沿墙上翻至建筑完成面以上300mm（防水层向外延展的长度不应小于500mm，向两侧延展的宽度不应小于200mm）</w:t>
            </w:r>
          </w:p>
          <w:p w14:paraId="5EB2C637">
            <w:pPr>
              <w:pStyle w:val="71"/>
              <w:spacing w:before="24" w:after="24"/>
              <w:jc w:val="both"/>
              <w:rPr>
                <w:rFonts w:cs="Times New Roman"/>
              </w:rPr>
            </w:pPr>
            <w:r>
              <w:rPr>
                <w:rFonts w:cs="Times New Roman"/>
              </w:rPr>
              <w:t>6）现浇钢筋混凝土楼板，原浆收光</w:t>
            </w:r>
          </w:p>
        </w:tc>
        <w:tc>
          <w:tcPr>
            <w:tcW w:w="1280" w:type="dxa"/>
            <w:tcBorders>
              <w:top w:val="single" w:color="000000" w:sz="4" w:space="0"/>
              <w:left w:val="single" w:color="000000" w:sz="4" w:space="0"/>
              <w:bottom w:val="single" w:color="000000" w:sz="4" w:space="0"/>
              <w:right w:val="single" w:color="000000" w:sz="4" w:space="0"/>
            </w:tcBorders>
            <w:vAlign w:val="center"/>
          </w:tcPr>
          <w:p w14:paraId="0B6B0FDD">
            <w:pPr>
              <w:pStyle w:val="71"/>
              <w:spacing w:before="24" w:after="24"/>
              <w:rPr>
                <w:rFonts w:cs="Times New Roman"/>
              </w:rPr>
            </w:pPr>
          </w:p>
        </w:tc>
      </w:tr>
      <w:tr w14:paraId="09D86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347" w:type="dxa"/>
            <w:gridSpan w:val="5"/>
            <w:tcBorders>
              <w:top w:val="single" w:color="000000" w:sz="4" w:space="0"/>
              <w:left w:val="single" w:color="000000" w:sz="4" w:space="0"/>
              <w:bottom w:val="single" w:color="000000" w:sz="4" w:space="0"/>
              <w:right w:val="single" w:color="000000" w:sz="4" w:space="0"/>
            </w:tcBorders>
            <w:vAlign w:val="center"/>
          </w:tcPr>
          <w:p w14:paraId="7AB1961A">
            <w:pPr>
              <w:pStyle w:val="71"/>
              <w:spacing w:before="24" w:after="24"/>
              <w:rPr>
                <w:rFonts w:cs="Times New Roman"/>
              </w:rPr>
            </w:pPr>
            <w:r>
              <w:rPr>
                <w:rFonts w:cs="Times New Roman"/>
              </w:rPr>
              <w:t>内墙</w:t>
            </w:r>
          </w:p>
        </w:tc>
      </w:tr>
      <w:tr w14:paraId="624ED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4D7C48BD">
            <w:pPr>
              <w:pStyle w:val="71"/>
              <w:spacing w:before="24" w:after="24"/>
              <w:rPr>
                <w:rFonts w:cs="Times New Roman"/>
              </w:rPr>
            </w:pPr>
            <w:r>
              <w:rPr>
                <w:rFonts w:cs="Times New Roman"/>
              </w:rPr>
              <w:t>1</w:t>
            </w:r>
          </w:p>
        </w:tc>
        <w:tc>
          <w:tcPr>
            <w:tcW w:w="1374" w:type="dxa"/>
            <w:tcBorders>
              <w:top w:val="single" w:color="000000" w:sz="4" w:space="0"/>
              <w:left w:val="single" w:color="000000" w:sz="4" w:space="0"/>
              <w:bottom w:val="single" w:color="000000" w:sz="4" w:space="0"/>
              <w:right w:val="single" w:color="000000" w:sz="4" w:space="0"/>
            </w:tcBorders>
            <w:vAlign w:val="center"/>
          </w:tcPr>
          <w:p w14:paraId="33FF55A0">
            <w:pPr>
              <w:pStyle w:val="71"/>
              <w:spacing w:before="24" w:after="24"/>
              <w:rPr>
                <w:rFonts w:cs="Times New Roman"/>
              </w:rPr>
            </w:pPr>
            <w:r>
              <w:rPr>
                <w:rFonts w:cs="Times New Roman"/>
              </w:rPr>
              <w:t>内墙一（涂料内墙）</w:t>
            </w:r>
          </w:p>
        </w:tc>
        <w:tc>
          <w:tcPr>
            <w:tcW w:w="1742" w:type="dxa"/>
            <w:tcBorders>
              <w:top w:val="single" w:color="000000" w:sz="4" w:space="0"/>
              <w:left w:val="single" w:color="000000" w:sz="4" w:space="0"/>
              <w:bottom w:val="single" w:color="000000" w:sz="4" w:space="0"/>
              <w:right w:val="single" w:color="000000" w:sz="4" w:space="0"/>
            </w:tcBorders>
            <w:vAlign w:val="center"/>
          </w:tcPr>
          <w:p w14:paraId="6584A23B">
            <w:pPr>
              <w:pStyle w:val="71"/>
              <w:spacing w:before="24" w:after="24"/>
              <w:rPr>
                <w:rFonts w:cs="Times New Roman"/>
              </w:rPr>
            </w:pPr>
            <w:r>
              <w:rPr>
                <w:rFonts w:cs="Times New Roman"/>
              </w:rPr>
              <w:t>会议室、办公室、洽谈室、接待室</w:t>
            </w:r>
          </w:p>
        </w:tc>
        <w:tc>
          <w:tcPr>
            <w:tcW w:w="4168" w:type="dxa"/>
            <w:tcBorders>
              <w:top w:val="single" w:color="000000" w:sz="4" w:space="0"/>
              <w:left w:val="single" w:color="000000" w:sz="4" w:space="0"/>
              <w:bottom w:val="single" w:color="000000" w:sz="4" w:space="0"/>
              <w:right w:val="single" w:color="000000" w:sz="4" w:space="0"/>
            </w:tcBorders>
            <w:vAlign w:val="center"/>
          </w:tcPr>
          <w:p w14:paraId="2C5099BC">
            <w:pPr>
              <w:pStyle w:val="71"/>
              <w:spacing w:before="24" w:after="24"/>
              <w:jc w:val="both"/>
              <w:rPr>
                <w:rFonts w:cs="Times New Roman"/>
              </w:rPr>
            </w:pPr>
            <w:r>
              <w:rPr>
                <w:rFonts w:cs="Times New Roman"/>
              </w:rPr>
              <w:t>1）乳胶漆，一底两面</w:t>
            </w:r>
          </w:p>
          <w:p w14:paraId="2B269525">
            <w:pPr>
              <w:pStyle w:val="71"/>
              <w:spacing w:before="24" w:after="24"/>
              <w:jc w:val="both"/>
              <w:rPr>
                <w:rFonts w:cs="Times New Roman"/>
              </w:rPr>
            </w:pPr>
            <w:r>
              <w:rPr>
                <w:rFonts w:cs="Times New Roman"/>
              </w:rPr>
              <w:t>2）普通腻子两遍</w:t>
            </w:r>
          </w:p>
          <w:p w14:paraId="023469BD">
            <w:pPr>
              <w:pStyle w:val="71"/>
              <w:spacing w:before="24" w:after="24"/>
              <w:jc w:val="both"/>
              <w:rPr>
                <w:rFonts w:cs="Times New Roman"/>
              </w:rPr>
            </w:pPr>
            <w:r>
              <w:rPr>
                <w:rFonts w:cs="Times New Roman"/>
              </w:rPr>
              <w:t>3）7厚 1:2.5 水泥砂浆罩面压光</w:t>
            </w:r>
          </w:p>
          <w:p w14:paraId="2FC91B1A">
            <w:pPr>
              <w:pStyle w:val="71"/>
              <w:spacing w:before="24" w:after="24"/>
              <w:jc w:val="both"/>
              <w:rPr>
                <w:rFonts w:cs="Times New Roman"/>
              </w:rPr>
            </w:pPr>
            <w:r>
              <w:rPr>
                <w:rFonts w:cs="Times New Roman"/>
              </w:rPr>
              <w:t>4）8厚1:3水泥砂浆打底</w:t>
            </w:r>
          </w:p>
          <w:p w14:paraId="51218B10">
            <w:pPr>
              <w:pStyle w:val="71"/>
              <w:spacing w:before="24" w:after="24"/>
              <w:jc w:val="both"/>
              <w:rPr>
                <w:rFonts w:cs="Times New Roman"/>
              </w:rPr>
            </w:pPr>
            <w:r>
              <w:rPr>
                <w:rFonts w:cs="Times New Roman"/>
              </w:rPr>
              <w:t>5）基层清理</w:t>
            </w:r>
          </w:p>
        </w:tc>
        <w:tc>
          <w:tcPr>
            <w:tcW w:w="1280" w:type="dxa"/>
            <w:tcBorders>
              <w:top w:val="single" w:color="000000" w:sz="4" w:space="0"/>
              <w:left w:val="single" w:color="000000" w:sz="4" w:space="0"/>
              <w:bottom w:val="single" w:color="000000" w:sz="4" w:space="0"/>
              <w:right w:val="single" w:color="000000" w:sz="4" w:space="0"/>
            </w:tcBorders>
            <w:vAlign w:val="center"/>
          </w:tcPr>
          <w:p w14:paraId="0EE0D4C2">
            <w:pPr>
              <w:pStyle w:val="71"/>
              <w:spacing w:before="24" w:after="24"/>
              <w:rPr>
                <w:rFonts w:cs="Times New Roman"/>
              </w:rPr>
            </w:pPr>
          </w:p>
        </w:tc>
      </w:tr>
      <w:tr w14:paraId="5BCC4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05C88EBF">
            <w:pPr>
              <w:pStyle w:val="71"/>
              <w:spacing w:before="24" w:after="24"/>
              <w:rPr>
                <w:rFonts w:cs="Times New Roman"/>
              </w:rPr>
            </w:pPr>
            <w:r>
              <w:rPr>
                <w:rFonts w:cs="Times New Roman"/>
              </w:rPr>
              <w:t>2</w:t>
            </w:r>
          </w:p>
        </w:tc>
        <w:tc>
          <w:tcPr>
            <w:tcW w:w="1374" w:type="dxa"/>
            <w:tcBorders>
              <w:top w:val="single" w:color="000000" w:sz="4" w:space="0"/>
              <w:left w:val="single" w:color="000000" w:sz="4" w:space="0"/>
              <w:bottom w:val="single" w:color="000000" w:sz="4" w:space="0"/>
              <w:right w:val="single" w:color="000000" w:sz="4" w:space="0"/>
            </w:tcBorders>
            <w:vAlign w:val="center"/>
          </w:tcPr>
          <w:p w14:paraId="7A18D8AD">
            <w:pPr>
              <w:pStyle w:val="71"/>
              <w:spacing w:before="24" w:after="24"/>
              <w:rPr>
                <w:rFonts w:cs="Times New Roman"/>
              </w:rPr>
            </w:pPr>
            <w:r>
              <w:rPr>
                <w:rFonts w:cs="Times New Roman"/>
              </w:rPr>
              <w:t>内墙二（无机涂料内墙）</w:t>
            </w:r>
          </w:p>
        </w:tc>
        <w:tc>
          <w:tcPr>
            <w:tcW w:w="1742" w:type="dxa"/>
            <w:tcBorders>
              <w:top w:val="single" w:color="000000" w:sz="4" w:space="0"/>
              <w:left w:val="single" w:color="000000" w:sz="4" w:space="0"/>
              <w:bottom w:val="single" w:color="000000" w:sz="4" w:space="0"/>
              <w:right w:val="single" w:color="000000" w:sz="4" w:space="0"/>
            </w:tcBorders>
            <w:vAlign w:val="center"/>
          </w:tcPr>
          <w:p w14:paraId="263D53E5">
            <w:pPr>
              <w:pStyle w:val="71"/>
              <w:spacing w:before="24" w:after="24"/>
              <w:rPr>
                <w:rFonts w:cs="Times New Roman"/>
              </w:rPr>
            </w:pPr>
            <w:r>
              <w:rPr>
                <w:rFonts w:cs="Times New Roman"/>
              </w:rPr>
              <w:t>楼梯间、前室</w:t>
            </w:r>
          </w:p>
        </w:tc>
        <w:tc>
          <w:tcPr>
            <w:tcW w:w="4168" w:type="dxa"/>
            <w:tcBorders>
              <w:top w:val="single" w:color="000000" w:sz="4" w:space="0"/>
              <w:left w:val="single" w:color="000000" w:sz="4" w:space="0"/>
              <w:bottom w:val="single" w:color="000000" w:sz="4" w:space="0"/>
              <w:right w:val="single" w:color="000000" w:sz="4" w:space="0"/>
            </w:tcBorders>
            <w:vAlign w:val="center"/>
          </w:tcPr>
          <w:p w14:paraId="19C8332A">
            <w:pPr>
              <w:pStyle w:val="71"/>
              <w:spacing w:before="24" w:after="24"/>
              <w:jc w:val="both"/>
              <w:rPr>
                <w:rFonts w:cs="Times New Roman"/>
              </w:rPr>
            </w:pPr>
            <w:r>
              <w:rPr>
                <w:rFonts w:cs="Times New Roman"/>
              </w:rPr>
              <w:t>1）无机涂料，一底两面</w:t>
            </w:r>
          </w:p>
          <w:p w14:paraId="305F83DD">
            <w:pPr>
              <w:pStyle w:val="71"/>
              <w:spacing w:before="24" w:after="24"/>
              <w:jc w:val="both"/>
              <w:rPr>
                <w:rFonts w:cs="Times New Roman"/>
              </w:rPr>
            </w:pPr>
            <w:r>
              <w:rPr>
                <w:rFonts w:cs="Times New Roman"/>
              </w:rPr>
              <w:t>2）普通腻子两遍</w:t>
            </w:r>
          </w:p>
          <w:p w14:paraId="5B527233">
            <w:pPr>
              <w:pStyle w:val="71"/>
              <w:spacing w:before="24" w:after="24"/>
              <w:jc w:val="both"/>
              <w:rPr>
                <w:rFonts w:cs="Times New Roman"/>
              </w:rPr>
            </w:pPr>
            <w:r>
              <w:rPr>
                <w:rFonts w:cs="Times New Roman"/>
              </w:rPr>
              <w:t>3）7厚 1:2.5 水泥砂浆罩面压光</w:t>
            </w:r>
          </w:p>
          <w:p w14:paraId="04F40238">
            <w:pPr>
              <w:pStyle w:val="71"/>
              <w:spacing w:before="24" w:after="24"/>
              <w:jc w:val="both"/>
              <w:rPr>
                <w:rFonts w:cs="Times New Roman"/>
              </w:rPr>
            </w:pPr>
            <w:r>
              <w:rPr>
                <w:rFonts w:cs="Times New Roman"/>
              </w:rPr>
              <w:t>4）8厚1:3水泥砂浆打底</w:t>
            </w:r>
          </w:p>
          <w:p w14:paraId="2005E335">
            <w:pPr>
              <w:pStyle w:val="71"/>
              <w:spacing w:before="24" w:after="24"/>
              <w:jc w:val="both"/>
              <w:rPr>
                <w:rFonts w:cs="Times New Roman"/>
              </w:rPr>
            </w:pPr>
            <w:r>
              <w:rPr>
                <w:rFonts w:cs="Times New Roman"/>
              </w:rPr>
              <w:t>5）基层清理</w:t>
            </w:r>
          </w:p>
        </w:tc>
        <w:tc>
          <w:tcPr>
            <w:tcW w:w="1280" w:type="dxa"/>
            <w:tcBorders>
              <w:top w:val="single" w:color="000000" w:sz="4" w:space="0"/>
              <w:left w:val="single" w:color="000000" w:sz="4" w:space="0"/>
              <w:bottom w:val="single" w:color="000000" w:sz="4" w:space="0"/>
              <w:right w:val="single" w:color="000000" w:sz="4" w:space="0"/>
            </w:tcBorders>
            <w:vAlign w:val="center"/>
          </w:tcPr>
          <w:p w14:paraId="1CEA18F6">
            <w:pPr>
              <w:pStyle w:val="71"/>
              <w:spacing w:before="24" w:after="24"/>
              <w:rPr>
                <w:rFonts w:cs="Times New Roman"/>
              </w:rPr>
            </w:pPr>
          </w:p>
        </w:tc>
      </w:tr>
      <w:tr w14:paraId="4D121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477513BE">
            <w:pPr>
              <w:pStyle w:val="71"/>
              <w:spacing w:before="24" w:after="24"/>
              <w:rPr>
                <w:rFonts w:cs="Times New Roman"/>
              </w:rPr>
            </w:pPr>
            <w:r>
              <w:rPr>
                <w:rFonts w:cs="Times New Roman"/>
              </w:rPr>
              <w:t>3</w:t>
            </w:r>
          </w:p>
        </w:tc>
        <w:tc>
          <w:tcPr>
            <w:tcW w:w="1374" w:type="dxa"/>
            <w:tcBorders>
              <w:top w:val="single" w:color="000000" w:sz="4" w:space="0"/>
              <w:left w:val="single" w:color="000000" w:sz="4" w:space="0"/>
              <w:bottom w:val="single" w:color="000000" w:sz="4" w:space="0"/>
              <w:right w:val="single" w:color="000000" w:sz="4" w:space="0"/>
            </w:tcBorders>
            <w:vAlign w:val="center"/>
          </w:tcPr>
          <w:p w14:paraId="718346BF">
            <w:pPr>
              <w:pStyle w:val="71"/>
              <w:spacing w:before="24" w:after="24"/>
              <w:rPr>
                <w:rFonts w:cs="Times New Roman"/>
              </w:rPr>
            </w:pPr>
            <w:r>
              <w:rPr>
                <w:rFonts w:cs="Times New Roman"/>
              </w:rPr>
              <w:t>内墙三（面砖内墙）</w:t>
            </w:r>
          </w:p>
        </w:tc>
        <w:tc>
          <w:tcPr>
            <w:tcW w:w="1742" w:type="dxa"/>
            <w:tcBorders>
              <w:top w:val="single" w:color="000000" w:sz="4" w:space="0"/>
              <w:left w:val="single" w:color="000000" w:sz="4" w:space="0"/>
              <w:bottom w:val="single" w:color="000000" w:sz="4" w:space="0"/>
              <w:right w:val="single" w:color="000000" w:sz="4" w:space="0"/>
            </w:tcBorders>
            <w:vAlign w:val="center"/>
          </w:tcPr>
          <w:p w14:paraId="543E0EB6">
            <w:pPr>
              <w:pStyle w:val="71"/>
              <w:spacing w:before="24" w:after="24"/>
              <w:rPr>
                <w:rFonts w:cs="Times New Roman"/>
              </w:rPr>
            </w:pPr>
            <w:r>
              <w:rPr>
                <w:rFonts w:cs="Times New Roman"/>
              </w:rPr>
              <w:t>门厅、公共大堂、电梯厅</w:t>
            </w:r>
          </w:p>
        </w:tc>
        <w:tc>
          <w:tcPr>
            <w:tcW w:w="4168" w:type="dxa"/>
            <w:tcBorders>
              <w:top w:val="single" w:color="000000" w:sz="4" w:space="0"/>
              <w:left w:val="single" w:color="000000" w:sz="4" w:space="0"/>
              <w:bottom w:val="single" w:color="000000" w:sz="4" w:space="0"/>
              <w:right w:val="single" w:color="000000" w:sz="4" w:space="0"/>
            </w:tcBorders>
            <w:vAlign w:val="center"/>
          </w:tcPr>
          <w:p w14:paraId="6BC749BC">
            <w:pPr>
              <w:pStyle w:val="71"/>
              <w:spacing w:before="24" w:after="24"/>
              <w:jc w:val="both"/>
              <w:rPr>
                <w:rFonts w:cs="Times New Roman"/>
              </w:rPr>
            </w:pPr>
            <w:r>
              <w:rPr>
                <w:rFonts w:cs="Times New Roman"/>
              </w:rPr>
              <w:t>1）面砖（高度至吊顶以上100mm，水泥浆擦缝）</w:t>
            </w:r>
          </w:p>
          <w:p w14:paraId="5764A788">
            <w:pPr>
              <w:pStyle w:val="71"/>
              <w:spacing w:before="24" w:after="24"/>
              <w:jc w:val="both"/>
              <w:rPr>
                <w:rFonts w:cs="Times New Roman"/>
              </w:rPr>
            </w:pPr>
            <w:r>
              <w:rPr>
                <w:rFonts w:cs="Times New Roman"/>
              </w:rPr>
              <w:t>2）5mm厚专用粘结砂浆</w:t>
            </w:r>
          </w:p>
          <w:p w14:paraId="4B7BFE86">
            <w:pPr>
              <w:pStyle w:val="71"/>
              <w:spacing w:before="24" w:after="24"/>
              <w:jc w:val="both"/>
              <w:rPr>
                <w:rFonts w:cs="Times New Roman"/>
              </w:rPr>
            </w:pPr>
            <w:r>
              <w:rPr>
                <w:rFonts w:cs="Times New Roman"/>
              </w:rPr>
              <w:t>3）7厚 1:2.5 水泥砂浆罩面压光</w:t>
            </w:r>
          </w:p>
          <w:p w14:paraId="6EE026A8">
            <w:pPr>
              <w:pStyle w:val="71"/>
              <w:spacing w:before="24" w:after="24"/>
              <w:jc w:val="both"/>
              <w:rPr>
                <w:rFonts w:cs="Times New Roman"/>
              </w:rPr>
            </w:pPr>
            <w:r>
              <w:rPr>
                <w:rFonts w:cs="Times New Roman"/>
              </w:rPr>
              <w:t>4）8厚1:3水泥砂浆打底</w:t>
            </w:r>
          </w:p>
          <w:p w14:paraId="2837DBEA">
            <w:pPr>
              <w:pStyle w:val="71"/>
              <w:spacing w:before="24" w:after="24"/>
              <w:jc w:val="both"/>
              <w:rPr>
                <w:rFonts w:cs="Times New Roman"/>
              </w:rPr>
            </w:pPr>
            <w:r>
              <w:rPr>
                <w:rFonts w:cs="Times New Roman"/>
              </w:rPr>
              <w:t>5）基层清理</w:t>
            </w:r>
          </w:p>
        </w:tc>
        <w:tc>
          <w:tcPr>
            <w:tcW w:w="1280" w:type="dxa"/>
            <w:tcBorders>
              <w:top w:val="single" w:color="000000" w:sz="4" w:space="0"/>
              <w:left w:val="single" w:color="000000" w:sz="4" w:space="0"/>
              <w:bottom w:val="single" w:color="000000" w:sz="4" w:space="0"/>
              <w:right w:val="single" w:color="000000" w:sz="4" w:space="0"/>
            </w:tcBorders>
            <w:vAlign w:val="center"/>
          </w:tcPr>
          <w:p w14:paraId="01FC749B">
            <w:pPr>
              <w:pStyle w:val="71"/>
              <w:spacing w:before="24" w:after="24"/>
              <w:rPr>
                <w:rFonts w:cs="Times New Roman"/>
              </w:rPr>
            </w:pPr>
          </w:p>
        </w:tc>
      </w:tr>
      <w:tr w14:paraId="4C30B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49AB78E9">
            <w:pPr>
              <w:pStyle w:val="71"/>
              <w:spacing w:before="24" w:after="24"/>
              <w:rPr>
                <w:rFonts w:cs="Times New Roman"/>
              </w:rPr>
            </w:pPr>
            <w:r>
              <w:rPr>
                <w:rFonts w:cs="Times New Roman"/>
              </w:rPr>
              <w:t>4</w:t>
            </w:r>
          </w:p>
        </w:tc>
        <w:tc>
          <w:tcPr>
            <w:tcW w:w="1374" w:type="dxa"/>
            <w:tcBorders>
              <w:top w:val="single" w:color="000000" w:sz="4" w:space="0"/>
              <w:left w:val="single" w:color="000000" w:sz="4" w:space="0"/>
              <w:bottom w:val="single" w:color="000000" w:sz="4" w:space="0"/>
              <w:right w:val="single" w:color="000000" w:sz="4" w:space="0"/>
            </w:tcBorders>
            <w:vAlign w:val="center"/>
          </w:tcPr>
          <w:p w14:paraId="524A4DA6">
            <w:pPr>
              <w:pStyle w:val="71"/>
              <w:spacing w:before="24" w:after="24"/>
              <w:rPr>
                <w:rFonts w:cs="Times New Roman"/>
              </w:rPr>
            </w:pPr>
            <w:r>
              <w:rPr>
                <w:rFonts w:cs="Times New Roman"/>
              </w:rPr>
              <w:t>内墙四（防水面砖内墙）</w:t>
            </w:r>
          </w:p>
        </w:tc>
        <w:tc>
          <w:tcPr>
            <w:tcW w:w="1742" w:type="dxa"/>
            <w:tcBorders>
              <w:top w:val="single" w:color="000000" w:sz="4" w:space="0"/>
              <w:left w:val="single" w:color="000000" w:sz="4" w:space="0"/>
              <w:bottom w:val="single" w:color="000000" w:sz="4" w:space="0"/>
              <w:right w:val="single" w:color="000000" w:sz="4" w:space="0"/>
            </w:tcBorders>
            <w:vAlign w:val="center"/>
          </w:tcPr>
          <w:p w14:paraId="0791AC54">
            <w:pPr>
              <w:pStyle w:val="71"/>
              <w:spacing w:before="24" w:after="24"/>
              <w:rPr>
                <w:rFonts w:cs="Times New Roman"/>
              </w:rPr>
            </w:pPr>
            <w:r>
              <w:rPr>
                <w:rFonts w:cs="Times New Roman"/>
              </w:rPr>
              <w:t>卫生间、厨房</w:t>
            </w:r>
          </w:p>
        </w:tc>
        <w:tc>
          <w:tcPr>
            <w:tcW w:w="4168" w:type="dxa"/>
            <w:tcBorders>
              <w:top w:val="single" w:color="000000" w:sz="4" w:space="0"/>
              <w:left w:val="single" w:color="000000" w:sz="4" w:space="0"/>
              <w:bottom w:val="single" w:color="000000" w:sz="4" w:space="0"/>
              <w:right w:val="single" w:color="000000" w:sz="4" w:space="0"/>
            </w:tcBorders>
            <w:vAlign w:val="center"/>
          </w:tcPr>
          <w:p w14:paraId="7A8CCFE1">
            <w:pPr>
              <w:pStyle w:val="71"/>
              <w:spacing w:before="24" w:after="24"/>
              <w:jc w:val="both"/>
              <w:rPr>
                <w:rFonts w:cs="Times New Roman"/>
              </w:rPr>
            </w:pPr>
            <w:r>
              <w:rPr>
                <w:rFonts w:cs="Times New Roman"/>
              </w:rPr>
              <w:t>1）面砖（高度至吊顶以上100mm，专用美缝剂美缝）</w:t>
            </w:r>
          </w:p>
          <w:p w14:paraId="070FE1E1">
            <w:pPr>
              <w:pStyle w:val="71"/>
              <w:spacing w:before="24" w:after="24"/>
              <w:jc w:val="both"/>
              <w:rPr>
                <w:rFonts w:cs="Times New Roman"/>
              </w:rPr>
            </w:pPr>
            <w:r>
              <w:rPr>
                <w:rFonts w:cs="Times New Roman"/>
              </w:rPr>
              <w:t>2）5mm厚专用粘结砂浆</w:t>
            </w:r>
          </w:p>
          <w:p w14:paraId="07592106">
            <w:pPr>
              <w:pStyle w:val="71"/>
              <w:spacing w:before="24" w:after="24"/>
              <w:jc w:val="both"/>
              <w:rPr>
                <w:rFonts w:cs="Times New Roman"/>
              </w:rPr>
            </w:pPr>
            <w:r>
              <w:rPr>
                <w:rFonts w:cs="Times New Roman"/>
              </w:rPr>
              <w:t>3）1.5mm厚JS-Ⅱ防水涂料（淋浴区上翻2000mm高，盥洗盆、洗菜盆等用水处区域上翻1200mm高，墙面其他部位泛水翻起高度不应小于250mm，上翻高度以建筑完成面往上）</w:t>
            </w:r>
          </w:p>
          <w:p w14:paraId="0154A412">
            <w:pPr>
              <w:pStyle w:val="71"/>
              <w:spacing w:before="24" w:after="24"/>
              <w:jc w:val="both"/>
              <w:rPr>
                <w:rFonts w:cs="Times New Roman"/>
              </w:rPr>
            </w:pPr>
            <w:r>
              <w:rPr>
                <w:rFonts w:cs="Times New Roman"/>
              </w:rPr>
              <w:t>4）7厚1:2.5水泥砂浆罩面压光</w:t>
            </w:r>
          </w:p>
          <w:p w14:paraId="2727058E">
            <w:pPr>
              <w:pStyle w:val="71"/>
              <w:spacing w:before="24" w:after="24"/>
              <w:jc w:val="both"/>
              <w:rPr>
                <w:rFonts w:cs="Times New Roman"/>
              </w:rPr>
            </w:pPr>
            <w:r>
              <w:rPr>
                <w:rFonts w:cs="Times New Roman"/>
              </w:rPr>
              <w:t>5）8厚1:3水泥砂浆打底</w:t>
            </w:r>
          </w:p>
          <w:p w14:paraId="1F0CE936">
            <w:pPr>
              <w:pStyle w:val="71"/>
              <w:spacing w:before="24" w:after="24"/>
              <w:jc w:val="both"/>
              <w:rPr>
                <w:rFonts w:cs="Times New Roman"/>
              </w:rPr>
            </w:pPr>
            <w:r>
              <w:rPr>
                <w:rFonts w:cs="Times New Roman"/>
              </w:rPr>
              <w:t>6）基层清理</w:t>
            </w:r>
          </w:p>
        </w:tc>
        <w:tc>
          <w:tcPr>
            <w:tcW w:w="1280" w:type="dxa"/>
            <w:tcBorders>
              <w:top w:val="single" w:color="000000" w:sz="4" w:space="0"/>
              <w:left w:val="single" w:color="000000" w:sz="4" w:space="0"/>
              <w:bottom w:val="single" w:color="000000" w:sz="4" w:space="0"/>
              <w:right w:val="single" w:color="000000" w:sz="4" w:space="0"/>
            </w:tcBorders>
            <w:vAlign w:val="center"/>
          </w:tcPr>
          <w:p w14:paraId="4D5B8CAD">
            <w:pPr>
              <w:pStyle w:val="71"/>
              <w:spacing w:before="24" w:after="24"/>
              <w:rPr>
                <w:rFonts w:cs="Times New Roman"/>
              </w:rPr>
            </w:pPr>
          </w:p>
        </w:tc>
      </w:tr>
      <w:tr w14:paraId="76894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347" w:type="dxa"/>
            <w:gridSpan w:val="5"/>
            <w:tcBorders>
              <w:top w:val="single" w:color="000000" w:sz="4" w:space="0"/>
              <w:left w:val="single" w:color="000000" w:sz="4" w:space="0"/>
              <w:bottom w:val="single" w:color="000000" w:sz="4" w:space="0"/>
              <w:right w:val="single" w:color="000000" w:sz="4" w:space="0"/>
            </w:tcBorders>
            <w:vAlign w:val="center"/>
          </w:tcPr>
          <w:p w14:paraId="043814F9">
            <w:pPr>
              <w:pStyle w:val="71"/>
              <w:spacing w:before="24" w:after="24"/>
              <w:rPr>
                <w:rFonts w:cs="Times New Roman"/>
              </w:rPr>
            </w:pPr>
            <w:r>
              <w:rPr>
                <w:rFonts w:cs="Times New Roman"/>
              </w:rPr>
              <w:t>顶棚</w:t>
            </w:r>
          </w:p>
        </w:tc>
      </w:tr>
      <w:tr w14:paraId="12F47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0AA2389F">
            <w:pPr>
              <w:pStyle w:val="71"/>
              <w:spacing w:before="24" w:after="24"/>
              <w:rPr>
                <w:rFonts w:cs="Times New Roman"/>
              </w:rPr>
            </w:pPr>
            <w:r>
              <w:rPr>
                <w:rFonts w:cs="Times New Roman"/>
              </w:rPr>
              <w:t>1</w:t>
            </w:r>
          </w:p>
        </w:tc>
        <w:tc>
          <w:tcPr>
            <w:tcW w:w="1374" w:type="dxa"/>
            <w:tcBorders>
              <w:top w:val="single" w:color="000000" w:sz="4" w:space="0"/>
              <w:left w:val="single" w:color="000000" w:sz="4" w:space="0"/>
              <w:bottom w:val="single" w:color="000000" w:sz="4" w:space="0"/>
              <w:right w:val="single" w:color="000000" w:sz="4" w:space="0"/>
            </w:tcBorders>
            <w:vAlign w:val="center"/>
          </w:tcPr>
          <w:p w14:paraId="0C62E7EF">
            <w:pPr>
              <w:pStyle w:val="71"/>
              <w:spacing w:before="24" w:after="24"/>
              <w:rPr>
                <w:rFonts w:cs="Times New Roman"/>
              </w:rPr>
            </w:pPr>
            <w:r>
              <w:rPr>
                <w:rFonts w:cs="Times New Roman"/>
              </w:rPr>
              <w:t>顶棚一（无机涂料顶棚）</w:t>
            </w:r>
          </w:p>
        </w:tc>
        <w:tc>
          <w:tcPr>
            <w:tcW w:w="1742" w:type="dxa"/>
            <w:tcBorders>
              <w:top w:val="single" w:color="000000" w:sz="4" w:space="0"/>
              <w:left w:val="single" w:color="000000" w:sz="4" w:space="0"/>
              <w:bottom w:val="single" w:color="000000" w:sz="4" w:space="0"/>
              <w:right w:val="single" w:color="000000" w:sz="4" w:space="0"/>
            </w:tcBorders>
            <w:vAlign w:val="center"/>
          </w:tcPr>
          <w:p w14:paraId="496869D4">
            <w:pPr>
              <w:pStyle w:val="71"/>
              <w:spacing w:before="24" w:after="24"/>
              <w:rPr>
                <w:rFonts w:cs="Times New Roman"/>
              </w:rPr>
            </w:pPr>
            <w:r>
              <w:rPr>
                <w:rFonts w:cs="Times New Roman"/>
              </w:rPr>
              <w:t>合用前室、楼梯间</w:t>
            </w:r>
          </w:p>
        </w:tc>
        <w:tc>
          <w:tcPr>
            <w:tcW w:w="4168" w:type="dxa"/>
            <w:tcBorders>
              <w:top w:val="single" w:color="000000" w:sz="4" w:space="0"/>
              <w:left w:val="single" w:color="000000" w:sz="4" w:space="0"/>
              <w:bottom w:val="single" w:color="000000" w:sz="4" w:space="0"/>
              <w:right w:val="single" w:color="000000" w:sz="4" w:space="0"/>
            </w:tcBorders>
            <w:vAlign w:val="center"/>
          </w:tcPr>
          <w:p w14:paraId="45B0D816">
            <w:pPr>
              <w:pStyle w:val="71"/>
              <w:spacing w:before="24" w:after="24"/>
              <w:jc w:val="both"/>
              <w:rPr>
                <w:rFonts w:cs="Times New Roman"/>
              </w:rPr>
            </w:pPr>
            <w:r>
              <w:rPr>
                <w:rFonts w:cs="Times New Roman"/>
              </w:rPr>
              <w:t>1）现浇钢筋混凝土结构板底面基层找补、清理</w:t>
            </w:r>
          </w:p>
          <w:p w14:paraId="2C5E9750">
            <w:pPr>
              <w:pStyle w:val="71"/>
              <w:spacing w:before="24" w:after="24"/>
              <w:jc w:val="both"/>
              <w:rPr>
                <w:rFonts w:cs="Times New Roman"/>
              </w:rPr>
            </w:pPr>
            <w:r>
              <w:rPr>
                <w:rFonts w:cs="Times New Roman"/>
              </w:rPr>
              <w:t>2）刮腻子粉两遍、打磨平整</w:t>
            </w:r>
          </w:p>
          <w:p w14:paraId="43DFB14D">
            <w:pPr>
              <w:pStyle w:val="71"/>
              <w:spacing w:before="24" w:after="24"/>
              <w:jc w:val="both"/>
              <w:rPr>
                <w:rFonts w:cs="Times New Roman"/>
              </w:rPr>
            </w:pPr>
            <w:r>
              <w:rPr>
                <w:rFonts w:cs="Times New Roman"/>
              </w:rPr>
              <w:t>3）无机涂料</w:t>
            </w:r>
          </w:p>
        </w:tc>
        <w:tc>
          <w:tcPr>
            <w:tcW w:w="1280" w:type="dxa"/>
            <w:tcBorders>
              <w:top w:val="single" w:color="000000" w:sz="4" w:space="0"/>
              <w:left w:val="single" w:color="000000" w:sz="4" w:space="0"/>
              <w:bottom w:val="single" w:color="000000" w:sz="4" w:space="0"/>
              <w:right w:val="single" w:color="000000" w:sz="4" w:space="0"/>
            </w:tcBorders>
            <w:vAlign w:val="center"/>
          </w:tcPr>
          <w:p w14:paraId="77A1BD9F">
            <w:pPr>
              <w:pStyle w:val="71"/>
              <w:spacing w:before="24" w:after="24"/>
              <w:rPr>
                <w:rFonts w:cs="Times New Roman"/>
              </w:rPr>
            </w:pPr>
          </w:p>
        </w:tc>
      </w:tr>
      <w:tr w14:paraId="5CDE6C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478AAB91">
            <w:pPr>
              <w:pStyle w:val="71"/>
              <w:spacing w:before="24" w:after="24"/>
              <w:rPr>
                <w:rFonts w:cs="Times New Roman"/>
              </w:rPr>
            </w:pPr>
            <w:r>
              <w:rPr>
                <w:rFonts w:cs="Times New Roman"/>
              </w:rPr>
              <w:t>2</w:t>
            </w:r>
          </w:p>
        </w:tc>
        <w:tc>
          <w:tcPr>
            <w:tcW w:w="1374" w:type="dxa"/>
            <w:tcBorders>
              <w:top w:val="single" w:color="000000" w:sz="4" w:space="0"/>
              <w:left w:val="single" w:color="000000" w:sz="4" w:space="0"/>
              <w:bottom w:val="single" w:color="000000" w:sz="4" w:space="0"/>
              <w:right w:val="single" w:color="000000" w:sz="4" w:space="0"/>
            </w:tcBorders>
            <w:vAlign w:val="center"/>
          </w:tcPr>
          <w:p w14:paraId="2DE4A235">
            <w:pPr>
              <w:pStyle w:val="71"/>
              <w:spacing w:before="24" w:after="24"/>
              <w:rPr>
                <w:rFonts w:cs="Times New Roman"/>
              </w:rPr>
            </w:pPr>
            <w:r>
              <w:rPr>
                <w:rFonts w:cs="Times New Roman"/>
              </w:rPr>
              <w:t>顶棚二（防潮顶棚）</w:t>
            </w:r>
          </w:p>
        </w:tc>
        <w:tc>
          <w:tcPr>
            <w:tcW w:w="1742" w:type="dxa"/>
            <w:tcBorders>
              <w:top w:val="single" w:color="000000" w:sz="4" w:space="0"/>
              <w:left w:val="single" w:color="000000" w:sz="4" w:space="0"/>
              <w:bottom w:val="single" w:color="000000" w:sz="4" w:space="0"/>
              <w:right w:val="single" w:color="000000" w:sz="4" w:space="0"/>
            </w:tcBorders>
            <w:vAlign w:val="center"/>
          </w:tcPr>
          <w:p w14:paraId="372F9E80">
            <w:pPr>
              <w:pStyle w:val="71"/>
              <w:spacing w:before="24" w:after="24"/>
              <w:rPr>
                <w:rFonts w:cs="Times New Roman"/>
              </w:rPr>
            </w:pPr>
            <w:r>
              <w:rPr>
                <w:rFonts w:cs="Times New Roman"/>
              </w:rPr>
              <w:t>厨房、卫生间、盥洗室、公共卫生间等用水房间</w:t>
            </w:r>
          </w:p>
        </w:tc>
        <w:tc>
          <w:tcPr>
            <w:tcW w:w="4168" w:type="dxa"/>
            <w:tcBorders>
              <w:top w:val="single" w:color="000000" w:sz="4" w:space="0"/>
              <w:left w:val="single" w:color="000000" w:sz="4" w:space="0"/>
              <w:bottom w:val="single" w:color="000000" w:sz="4" w:space="0"/>
              <w:right w:val="single" w:color="000000" w:sz="4" w:space="0"/>
            </w:tcBorders>
            <w:vAlign w:val="center"/>
          </w:tcPr>
          <w:p w14:paraId="38E066C6">
            <w:pPr>
              <w:pStyle w:val="71"/>
              <w:spacing w:before="24" w:after="24"/>
              <w:jc w:val="both"/>
              <w:rPr>
                <w:rFonts w:cs="Times New Roman"/>
              </w:rPr>
            </w:pPr>
            <w:r>
              <w:rPr>
                <w:rFonts w:cs="Times New Roman"/>
              </w:rPr>
              <w:t>1）现浇钢筋混凝土结构板修补平整</w:t>
            </w:r>
          </w:p>
          <w:p w14:paraId="13D37E58">
            <w:pPr>
              <w:pStyle w:val="71"/>
              <w:spacing w:before="24" w:after="24"/>
              <w:jc w:val="both"/>
              <w:rPr>
                <w:rFonts w:cs="Times New Roman"/>
              </w:rPr>
            </w:pPr>
            <w:r>
              <w:rPr>
                <w:rFonts w:cs="Times New Roman"/>
              </w:rPr>
              <w:t>2）铝合金轻型方板天棚龙骨,中龙骨直接吊挂骨架</w:t>
            </w:r>
          </w:p>
          <w:p w14:paraId="33A2A33A">
            <w:pPr>
              <w:pStyle w:val="71"/>
              <w:spacing w:before="24" w:after="24"/>
              <w:jc w:val="both"/>
              <w:rPr>
                <w:rFonts w:cs="Times New Roman"/>
              </w:rPr>
            </w:pPr>
            <w:r>
              <w:rPr>
                <w:rFonts w:cs="Times New Roman"/>
              </w:rPr>
              <w:t>3）0.8mm铝扣板，吊顶高度详见图纸</w:t>
            </w:r>
          </w:p>
        </w:tc>
        <w:tc>
          <w:tcPr>
            <w:tcW w:w="1280" w:type="dxa"/>
            <w:tcBorders>
              <w:top w:val="single" w:color="000000" w:sz="4" w:space="0"/>
              <w:left w:val="single" w:color="000000" w:sz="4" w:space="0"/>
              <w:bottom w:val="single" w:color="000000" w:sz="4" w:space="0"/>
              <w:right w:val="single" w:color="000000" w:sz="4" w:space="0"/>
            </w:tcBorders>
            <w:vAlign w:val="center"/>
          </w:tcPr>
          <w:p w14:paraId="015CB6D3">
            <w:pPr>
              <w:pStyle w:val="71"/>
              <w:spacing w:before="24" w:after="24"/>
              <w:rPr>
                <w:rFonts w:cs="Times New Roman"/>
              </w:rPr>
            </w:pPr>
          </w:p>
        </w:tc>
      </w:tr>
      <w:tr w14:paraId="64A2F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5BF399FF">
            <w:pPr>
              <w:pStyle w:val="71"/>
              <w:spacing w:before="24" w:after="24"/>
              <w:rPr>
                <w:rFonts w:cs="Times New Roman"/>
              </w:rPr>
            </w:pPr>
            <w:r>
              <w:rPr>
                <w:rFonts w:cs="Times New Roman"/>
              </w:rPr>
              <w:t>3</w:t>
            </w:r>
          </w:p>
        </w:tc>
        <w:tc>
          <w:tcPr>
            <w:tcW w:w="1374" w:type="dxa"/>
            <w:tcBorders>
              <w:top w:val="single" w:color="000000" w:sz="4" w:space="0"/>
              <w:left w:val="single" w:color="000000" w:sz="4" w:space="0"/>
              <w:bottom w:val="single" w:color="000000" w:sz="4" w:space="0"/>
              <w:right w:val="single" w:color="000000" w:sz="4" w:space="0"/>
            </w:tcBorders>
            <w:vAlign w:val="center"/>
          </w:tcPr>
          <w:p w14:paraId="2B67BA9B">
            <w:pPr>
              <w:pStyle w:val="71"/>
              <w:spacing w:before="24" w:after="24"/>
              <w:rPr>
                <w:rFonts w:cs="Times New Roman"/>
              </w:rPr>
            </w:pPr>
            <w:r>
              <w:rPr>
                <w:rFonts w:cs="Times New Roman"/>
              </w:rPr>
              <w:t>顶棚三（涂料顶棚）</w:t>
            </w:r>
          </w:p>
        </w:tc>
        <w:tc>
          <w:tcPr>
            <w:tcW w:w="1742" w:type="dxa"/>
            <w:tcBorders>
              <w:top w:val="single" w:color="000000" w:sz="4" w:space="0"/>
              <w:left w:val="single" w:color="000000" w:sz="4" w:space="0"/>
              <w:bottom w:val="single" w:color="000000" w:sz="4" w:space="0"/>
              <w:right w:val="single" w:color="000000" w:sz="4" w:space="0"/>
            </w:tcBorders>
            <w:vAlign w:val="center"/>
          </w:tcPr>
          <w:p w14:paraId="456EA686">
            <w:pPr>
              <w:pStyle w:val="71"/>
              <w:spacing w:before="24" w:after="24"/>
              <w:rPr>
                <w:rFonts w:cs="Times New Roman"/>
              </w:rPr>
            </w:pPr>
            <w:r>
              <w:rPr>
                <w:rFonts w:cs="Times New Roman"/>
              </w:rPr>
              <w:t>办公室</w:t>
            </w:r>
          </w:p>
        </w:tc>
        <w:tc>
          <w:tcPr>
            <w:tcW w:w="4168" w:type="dxa"/>
            <w:tcBorders>
              <w:top w:val="single" w:color="000000" w:sz="4" w:space="0"/>
              <w:left w:val="single" w:color="000000" w:sz="4" w:space="0"/>
              <w:bottom w:val="single" w:color="000000" w:sz="4" w:space="0"/>
              <w:right w:val="single" w:color="000000" w:sz="4" w:space="0"/>
            </w:tcBorders>
            <w:vAlign w:val="center"/>
          </w:tcPr>
          <w:p w14:paraId="40F730D5">
            <w:pPr>
              <w:pStyle w:val="71"/>
              <w:spacing w:before="24" w:after="24"/>
              <w:jc w:val="both"/>
              <w:rPr>
                <w:rFonts w:cs="Times New Roman"/>
              </w:rPr>
            </w:pPr>
            <w:r>
              <w:rPr>
                <w:rFonts w:cs="Times New Roman"/>
              </w:rPr>
              <w:t>1）现浇钢筋混凝土结构板底面基层找补、清理</w:t>
            </w:r>
          </w:p>
          <w:p w14:paraId="66192029">
            <w:pPr>
              <w:pStyle w:val="71"/>
              <w:spacing w:before="24" w:after="24"/>
              <w:jc w:val="both"/>
              <w:rPr>
                <w:rFonts w:cs="Times New Roman"/>
              </w:rPr>
            </w:pPr>
            <w:r>
              <w:rPr>
                <w:rFonts w:cs="Times New Roman"/>
              </w:rPr>
              <w:t>2）刮腻子粉两遍、打磨平整</w:t>
            </w:r>
          </w:p>
          <w:p w14:paraId="6CF3BB5B">
            <w:pPr>
              <w:pStyle w:val="71"/>
              <w:spacing w:before="24" w:after="24"/>
              <w:jc w:val="both"/>
              <w:rPr>
                <w:rFonts w:cs="Times New Roman"/>
              </w:rPr>
            </w:pPr>
            <w:r>
              <w:rPr>
                <w:rFonts w:cs="Times New Roman"/>
              </w:rPr>
              <w:t>3）无机涂料</w:t>
            </w:r>
          </w:p>
        </w:tc>
        <w:tc>
          <w:tcPr>
            <w:tcW w:w="1280" w:type="dxa"/>
            <w:tcBorders>
              <w:top w:val="single" w:color="000000" w:sz="4" w:space="0"/>
              <w:left w:val="single" w:color="000000" w:sz="4" w:space="0"/>
              <w:bottom w:val="single" w:color="000000" w:sz="4" w:space="0"/>
              <w:right w:val="single" w:color="000000" w:sz="4" w:space="0"/>
            </w:tcBorders>
            <w:vAlign w:val="center"/>
          </w:tcPr>
          <w:p w14:paraId="5D677291">
            <w:pPr>
              <w:pStyle w:val="71"/>
              <w:spacing w:before="24" w:after="24"/>
              <w:rPr>
                <w:rFonts w:cs="Times New Roman"/>
              </w:rPr>
            </w:pPr>
          </w:p>
        </w:tc>
      </w:tr>
      <w:tr w14:paraId="44619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5BC5E2BA">
            <w:pPr>
              <w:pStyle w:val="71"/>
              <w:spacing w:before="24" w:after="24"/>
              <w:rPr>
                <w:rFonts w:cs="Times New Roman"/>
              </w:rPr>
            </w:pPr>
            <w:r>
              <w:rPr>
                <w:rFonts w:cs="Times New Roman"/>
              </w:rPr>
              <w:t>4</w:t>
            </w:r>
          </w:p>
        </w:tc>
        <w:tc>
          <w:tcPr>
            <w:tcW w:w="1374" w:type="dxa"/>
            <w:tcBorders>
              <w:top w:val="single" w:color="000000" w:sz="4" w:space="0"/>
              <w:left w:val="single" w:color="000000" w:sz="4" w:space="0"/>
              <w:bottom w:val="single" w:color="000000" w:sz="4" w:space="0"/>
              <w:right w:val="single" w:color="000000" w:sz="4" w:space="0"/>
            </w:tcBorders>
            <w:vAlign w:val="center"/>
          </w:tcPr>
          <w:p w14:paraId="5197E923">
            <w:pPr>
              <w:pStyle w:val="71"/>
              <w:spacing w:before="24" w:after="24"/>
              <w:rPr>
                <w:rFonts w:cs="Times New Roman"/>
              </w:rPr>
            </w:pPr>
            <w:r>
              <w:rPr>
                <w:rFonts w:cs="Times New Roman"/>
              </w:rPr>
              <w:t>顶棚四（吊顶顶棚）</w:t>
            </w:r>
          </w:p>
        </w:tc>
        <w:tc>
          <w:tcPr>
            <w:tcW w:w="1742" w:type="dxa"/>
            <w:tcBorders>
              <w:top w:val="single" w:color="000000" w:sz="4" w:space="0"/>
              <w:left w:val="single" w:color="000000" w:sz="4" w:space="0"/>
              <w:bottom w:val="single" w:color="000000" w:sz="4" w:space="0"/>
              <w:right w:val="single" w:color="000000" w:sz="4" w:space="0"/>
            </w:tcBorders>
            <w:vAlign w:val="center"/>
          </w:tcPr>
          <w:p w14:paraId="4BD7CF50">
            <w:pPr>
              <w:pStyle w:val="71"/>
              <w:spacing w:before="24" w:after="24"/>
              <w:rPr>
                <w:rFonts w:cs="Times New Roman"/>
              </w:rPr>
            </w:pPr>
            <w:r>
              <w:rPr>
                <w:rFonts w:cs="Times New Roman"/>
              </w:rPr>
              <w:t>首层大堂、电梯厅、高标准会议室</w:t>
            </w:r>
          </w:p>
        </w:tc>
        <w:tc>
          <w:tcPr>
            <w:tcW w:w="4168" w:type="dxa"/>
            <w:tcBorders>
              <w:top w:val="single" w:color="000000" w:sz="4" w:space="0"/>
              <w:left w:val="single" w:color="000000" w:sz="4" w:space="0"/>
              <w:bottom w:val="single" w:color="000000" w:sz="4" w:space="0"/>
              <w:right w:val="single" w:color="000000" w:sz="4" w:space="0"/>
            </w:tcBorders>
            <w:vAlign w:val="center"/>
          </w:tcPr>
          <w:p w14:paraId="3139039C">
            <w:pPr>
              <w:pStyle w:val="71"/>
              <w:spacing w:before="24" w:after="24"/>
              <w:jc w:val="both"/>
              <w:rPr>
                <w:rFonts w:cs="Times New Roman"/>
              </w:rPr>
            </w:pPr>
            <w:r>
              <w:rPr>
                <w:rFonts w:cs="Times New Roman"/>
              </w:rPr>
              <w:t>1）现浇钢筋混凝土结构板底面基层找补、清理</w:t>
            </w:r>
          </w:p>
          <w:p w14:paraId="734C3F73">
            <w:pPr>
              <w:pStyle w:val="71"/>
              <w:spacing w:before="24" w:after="24"/>
              <w:jc w:val="both"/>
              <w:rPr>
                <w:rFonts w:cs="Times New Roman"/>
              </w:rPr>
            </w:pPr>
            <w:r>
              <w:rPr>
                <w:rFonts w:cs="Times New Roman"/>
              </w:rPr>
              <w:t>2）装饰吊顶（由精装选项确定）</w:t>
            </w:r>
          </w:p>
        </w:tc>
        <w:tc>
          <w:tcPr>
            <w:tcW w:w="1280" w:type="dxa"/>
            <w:tcBorders>
              <w:top w:val="single" w:color="000000" w:sz="4" w:space="0"/>
              <w:left w:val="single" w:color="000000" w:sz="4" w:space="0"/>
              <w:bottom w:val="single" w:color="000000" w:sz="4" w:space="0"/>
              <w:right w:val="single" w:color="000000" w:sz="4" w:space="0"/>
            </w:tcBorders>
            <w:vAlign w:val="center"/>
          </w:tcPr>
          <w:p w14:paraId="4F2B1F6E">
            <w:pPr>
              <w:pStyle w:val="71"/>
              <w:spacing w:before="24" w:after="24"/>
              <w:rPr>
                <w:rFonts w:cs="Times New Roman"/>
              </w:rPr>
            </w:pPr>
          </w:p>
        </w:tc>
      </w:tr>
    </w:tbl>
    <w:p w14:paraId="6E7D8A29">
      <w:pPr>
        <w:pStyle w:val="73"/>
        <w:spacing w:before="24" w:after="24"/>
        <w:ind w:firstLine="482"/>
        <w:rPr>
          <w:rFonts w:cs="Times New Roman"/>
        </w:rPr>
      </w:pPr>
      <w:r>
        <w:rPr>
          <w:rFonts w:cs="Times New Roman"/>
        </w:rPr>
        <w:t>备注：建筑装修材料选用按照《建筑内部装修设计防火规范》GB 50222-2017执行。</w:t>
      </w:r>
    </w:p>
    <w:p w14:paraId="612A399C">
      <w:pPr>
        <w:spacing w:before="24" w:after="24"/>
        <w:rPr>
          <w:rFonts w:ascii="Times New Roman" w:hAnsi="Times New Roman" w:cs="Times New Roman"/>
          <w:color w:val="000000"/>
          <w:szCs w:val="28"/>
          <w:lang w:bidi="ar"/>
        </w:rPr>
      </w:pPr>
      <w:r>
        <w:rPr>
          <w:rFonts w:ascii="Times New Roman" w:hAnsi="Times New Roman" w:cs="Times New Roman"/>
          <w:color w:val="000000"/>
          <w:szCs w:val="28"/>
          <w:lang w:bidi="ar"/>
        </w:rPr>
        <w:br w:type="page"/>
      </w:r>
    </w:p>
    <w:p w14:paraId="2BF0F31C">
      <w:pPr>
        <w:pStyle w:val="66"/>
        <w:rPr>
          <w:rFonts w:cs="Times New Roman"/>
          <w:lang w:bidi="ar"/>
        </w:rPr>
      </w:pPr>
      <w:r>
        <w:rPr>
          <w:rFonts w:cs="Times New Roman"/>
          <w:lang w:bidi="ar"/>
        </w:rPr>
        <w:t>3、中学教育用房土建构造做法</w:t>
      </w:r>
    </w:p>
    <w:p w14:paraId="55AB400E">
      <w:pPr>
        <w:pStyle w:val="54"/>
        <w:spacing w:before="24" w:after="24"/>
      </w:pPr>
      <w:r>
        <w:t>适用范围：中学二期</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5"/>
        <w:gridCol w:w="1415"/>
        <w:gridCol w:w="1720"/>
        <w:gridCol w:w="4181"/>
        <w:gridCol w:w="1277"/>
      </w:tblGrid>
      <w:tr w14:paraId="1E0DAC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25C52C7C">
            <w:pPr>
              <w:pStyle w:val="71"/>
              <w:spacing w:before="24" w:after="24"/>
              <w:rPr>
                <w:rFonts w:cs="Times New Roman"/>
              </w:rPr>
            </w:pPr>
            <w:r>
              <w:rPr>
                <w:rFonts w:cs="Times New Roman"/>
              </w:rPr>
              <w:t>序号</w:t>
            </w:r>
          </w:p>
        </w:tc>
        <w:tc>
          <w:tcPr>
            <w:tcW w:w="1415"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18484AE5">
            <w:pPr>
              <w:pStyle w:val="71"/>
              <w:spacing w:before="24" w:after="24"/>
              <w:rPr>
                <w:rFonts w:cs="Times New Roman"/>
              </w:rPr>
            </w:pPr>
            <w:r>
              <w:rPr>
                <w:rFonts w:cs="Times New Roman"/>
              </w:rPr>
              <w:t>名称</w:t>
            </w:r>
          </w:p>
        </w:tc>
        <w:tc>
          <w:tcPr>
            <w:tcW w:w="1720"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286DEF5C">
            <w:pPr>
              <w:pStyle w:val="71"/>
              <w:spacing w:before="24" w:after="24"/>
              <w:rPr>
                <w:rFonts w:cs="Times New Roman"/>
              </w:rPr>
            </w:pPr>
            <w:r>
              <w:rPr>
                <w:rFonts w:cs="Times New Roman"/>
              </w:rPr>
              <w:t>部位</w:t>
            </w:r>
          </w:p>
        </w:tc>
        <w:tc>
          <w:tcPr>
            <w:tcW w:w="4181"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1C8470CB">
            <w:pPr>
              <w:pStyle w:val="71"/>
              <w:spacing w:before="24" w:after="24"/>
              <w:jc w:val="both"/>
              <w:rPr>
                <w:rFonts w:cs="Times New Roman"/>
              </w:rPr>
            </w:pPr>
            <w:r>
              <w:rPr>
                <w:rFonts w:cs="Times New Roman"/>
              </w:rPr>
              <w:t>面层做法/规格参数</w:t>
            </w:r>
          </w:p>
        </w:tc>
        <w:tc>
          <w:tcPr>
            <w:tcW w:w="1277"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1FE7E374">
            <w:pPr>
              <w:pStyle w:val="71"/>
              <w:spacing w:before="24" w:after="24"/>
              <w:rPr>
                <w:rFonts w:cs="Times New Roman"/>
              </w:rPr>
            </w:pPr>
            <w:r>
              <w:rPr>
                <w:rFonts w:cs="Times New Roman"/>
              </w:rPr>
              <w:t>备注</w:t>
            </w:r>
          </w:p>
        </w:tc>
      </w:tr>
      <w:tr w14:paraId="02106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348" w:type="dxa"/>
            <w:gridSpan w:val="5"/>
            <w:tcBorders>
              <w:top w:val="single" w:color="000000" w:sz="4" w:space="0"/>
              <w:left w:val="single" w:color="000000" w:sz="4" w:space="0"/>
              <w:bottom w:val="single" w:color="000000" w:sz="4" w:space="0"/>
              <w:right w:val="single" w:color="000000" w:sz="4" w:space="0"/>
            </w:tcBorders>
            <w:vAlign w:val="center"/>
          </w:tcPr>
          <w:p w14:paraId="0D9E041C">
            <w:pPr>
              <w:pStyle w:val="71"/>
              <w:spacing w:before="24" w:after="24"/>
              <w:rPr>
                <w:rFonts w:cs="Times New Roman"/>
              </w:rPr>
            </w:pPr>
            <w:r>
              <w:rPr>
                <w:rFonts w:cs="Times New Roman"/>
              </w:rPr>
              <w:t>地面</w:t>
            </w:r>
          </w:p>
        </w:tc>
      </w:tr>
      <w:tr w14:paraId="3C5936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4A3790DD">
            <w:pPr>
              <w:pStyle w:val="71"/>
              <w:spacing w:before="24" w:after="24"/>
              <w:rPr>
                <w:rFonts w:cs="Times New Roman"/>
              </w:rPr>
            </w:pPr>
            <w:r>
              <w:rPr>
                <w:rFonts w:cs="Times New Roman"/>
              </w:rPr>
              <w:t>1</w:t>
            </w:r>
          </w:p>
        </w:tc>
        <w:tc>
          <w:tcPr>
            <w:tcW w:w="1415" w:type="dxa"/>
            <w:tcBorders>
              <w:top w:val="single" w:color="000000" w:sz="4" w:space="0"/>
              <w:left w:val="single" w:color="000000" w:sz="4" w:space="0"/>
              <w:bottom w:val="single" w:color="000000" w:sz="4" w:space="0"/>
              <w:right w:val="single" w:color="000000" w:sz="4" w:space="0"/>
            </w:tcBorders>
            <w:vAlign w:val="center"/>
          </w:tcPr>
          <w:p w14:paraId="50BD3984">
            <w:pPr>
              <w:pStyle w:val="71"/>
              <w:spacing w:before="24" w:after="24"/>
              <w:rPr>
                <w:rFonts w:cs="Times New Roman"/>
              </w:rPr>
            </w:pPr>
            <w:r>
              <w:rPr>
                <w:rFonts w:cs="Times New Roman"/>
              </w:rPr>
              <w:t>地面一（水磨石地面）</w:t>
            </w:r>
          </w:p>
        </w:tc>
        <w:tc>
          <w:tcPr>
            <w:tcW w:w="1720" w:type="dxa"/>
            <w:tcBorders>
              <w:top w:val="single" w:color="000000" w:sz="4" w:space="0"/>
              <w:left w:val="single" w:color="000000" w:sz="4" w:space="0"/>
              <w:bottom w:val="single" w:color="000000" w:sz="4" w:space="0"/>
              <w:right w:val="single" w:color="000000" w:sz="4" w:space="0"/>
            </w:tcBorders>
            <w:vAlign w:val="center"/>
          </w:tcPr>
          <w:p w14:paraId="06545586">
            <w:pPr>
              <w:pStyle w:val="71"/>
              <w:spacing w:before="24" w:after="24"/>
              <w:rPr>
                <w:rFonts w:cs="Times New Roman"/>
              </w:rPr>
            </w:pPr>
            <w:r>
              <w:rPr>
                <w:rFonts w:cs="Times New Roman"/>
              </w:rPr>
              <w:t>普通教室、办公室、多功能活动室、阅览室、内走道</w:t>
            </w:r>
          </w:p>
        </w:tc>
        <w:tc>
          <w:tcPr>
            <w:tcW w:w="4181" w:type="dxa"/>
            <w:tcBorders>
              <w:top w:val="single" w:color="000000" w:sz="4" w:space="0"/>
              <w:left w:val="single" w:color="000000" w:sz="4" w:space="0"/>
              <w:bottom w:val="single" w:color="000000" w:sz="4" w:space="0"/>
              <w:right w:val="single" w:color="000000" w:sz="4" w:space="0"/>
            </w:tcBorders>
            <w:vAlign w:val="center"/>
          </w:tcPr>
          <w:p w14:paraId="6C619D9D">
            <w:pPr>
              <w:pStyle w:val="71"/>
              <w:spacing w:before="24" w:after="24"/>
              <w:jc w:val="both"/>
              <w:rPr>
                <w:rFonts w:cs="Times New Roman"/>
              </w:rPr>
            </w:pPr>
            <w:r>
              <w:rPr>
                <w:rFonts w:cs="Times New Roman"/>
              </w:rPr>
              <w:t>1）表面草酸处理后打蜡上光</w:t>
            </w:r>
          </w:p>
          <w:p w14:paraId="77E8891E">
            <w:pPr>
              <w:pStyle w:val="71"/>
              <w:spacing w:before="24" w:after="24"/>
              <w:jc w:val="both"/>
              <w:rPr>
                <w:rFonts w:cs="Times New Roman"/>
              </w:rPr>
            </w:pPr>
            <w:r>
              <w:rPr>
                <w:rFonts w:cs="Times New Roman"/>
              </w:rPr>
              <w:t>2）15mm厚1:2.5水泥石粒普通水磨石面层</w:t>
            </w:r>
          </w:p>
          <w:p w14:paraId="2EE1321F">
            <w:pPr>
              <w:pStyle w:val="71"/>
              <w:spacing w:before="24" w:after="24"/>
              <w:jc w:val="both"/>
              <w:rPr>
                <w:rFonts w:cs="Times New Roman"/>
              </w:rPr>
            </w:pPr>
            <w:r>
              <w:rPr>
                <w:rFonts w:cs="Times New Roman"/>
              </w:rPr>
              <w:t>3）20mm厚1:3水泥砂浆结合层</w:t>
            </w:r>
          </w:p>
          <w:p w14:paraId="104C8A3C">
            <w:pPr>
              <w:pStyle w:val="71"/>
              <w:spacing w:before="24" w:after="24"/>
              <w:jc w:val="both"/>
              <w:rPr>
                <w:rFonts w:cs="Times New Roman"/>
              </w:rPr>
            </w:pPr>
            <w:r>
              <w:rPr>
                <w:rFonts w:cs="Times New Roman"/>
              </w:rPr>
              <w:t>4）界面剂1道</w:t>
            </w:r>
          </w:p>
          <w:p w14:paraId="635FD166">
            <w:pPr>
              <w:pStyle w:val="71"/>
              <w:spacing w:before="24" w:after="24"/>
              <w:jc w:val="both"/>
              <w:rPr>
                <w:rFonts w:cs="Times New Roman"/>
              </w:rPr>
            </w:pPr>
            <w:r>
              <w:rPr>
                <w:rFonts w:cs="Times New Roman"/>
              </w:rPr>
              <w:t>5）80厚C15混凝土垫层，随捣随抹光</w:t>
            </w:r>
          </w:p>
          <w:p w14:paraId="6DF11955">
            <w:pPr>
              <w:pStyle w:val="71"/>
              <w:spacing w:before="24" w:after="24"/>
              <w:jc w:val="both"/>
              <w:rPr>
                <w:rFonts w:cs="Times New Roman"/>
              </w:rPr>
            </w:pPr>
            <w:r>
              <w:rPr>
                <w:rFonts w:cs="Times New Roman"/>
              </w:rPr>
              <w:t>6）素土夯实，压实系数≥0.94</w:t>
            </w:r>
          </w:p>
        </w:tc>
        <w:tc>
          <w:tcPr>
            <w:tcW w:w="1277" w:type="dxa"/>
            <w:tcBorders>
              <w:top w:val="single" w:color="000000" w:sz="4" w:space="0"/>
              <w:left w:val="single" w:color="000000" w:sz="4" w:space="0"/>
              <w:bottom w:val="single" w:color="000000" w:sz="4" w:space="0"/>
              <w:right w:val="single" w:color="000000" w:sz="4" w:space="0"/>
            </w:tcBorders>
            <w:vAlign w:val="center"/>
          </w:tcPr>
          <w:p w14:paraId="5565C591">
            <w:pPr>
              <w:pStyle w:val="71"/>
              <w:spacing w:before="24" w:after="24"/>
              <w:rPr>
                <w:rFonts w:cs="Times New Roman"/>
              </w:rPr>
            </w:pPr>
          </w:p>
        </w:tc>
      </w:tr>
      <w:tr w14:paraId="36C954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459BEC9F">
            <w:pPr>
              <w:pStyle w:val="71"/>
              <w:spacing w:before="24" w:after="24"/>
              <w:rPr>
                <w:rFonts w:cs="Times New Roman"/>
              </w:rPr>
            </w:pPr>
            <w:r>
              <w:rPr>
                <w:rFonts w:cs="Times New Roman"/>
              </w:rPr>
              <w:t>2</w:t>
            </w:r>
          </w:p>
        </w:tc>
        <w:tc>
          <w:tcPr>
            <w:tcW w:w="1415" w:type="dxa"/>
            <w:tcBorders>
              <w:top w:val="single" w:color="000000" w:sz="4" w:space="0"/>
              <w:left w:val="single" w:color="000000" w:sz="4" w:space="0"/>
              <w:bottom w:val="single" w:color="000000" w:sz="4" w:space="0"/>
              <w:right w:val="single" w:color="000000" w:sz="4" w:space="0"/>
            </w:tcBorders>
            <w:vAlign w:val="center"/>
          </w:tcPr>
          <w:p w14:paraId="09D16C27">
            <w:pPr>
              <w:pStyle w:val="71"/>
              <w:spacing w:before="24" w:after="24"/>
              <w:rPr>
                <w:rFonts w:cs="Times New Roman"/>
              </w:rPr>
            </w:pPr>
            <w:r>
              <w:rPr>
                <w:rFonts w:cs="Times New Roman"/>
              </w:rPr>
              <w:t>地面二（防滑地砖地面）</w:t>
            </w:r>
          </w:p>
        </w:tc>
        <w:tc>
          <w:tcPr>
            <w:tcW w:w="1720" w:type="dxa"/>
            <w:tcBorders>
              <w:top w:val="single" w:color="000000" w:sz="4" w:space="0"/>
              <w:left w:val="single" w:color="000000" w:sz="4" w:space="0"/>
              <w:bottom w:val="single" w:color="000000" w:sz="4" w:space="0"/>
              <w:right w:val="single" w:color="000000" w:sz="4" w:space="0"/>
            </w:tcBorders>
            <w:vAlign w:val="center"/>
          </w:tcPr>
          <w:p w14:paraId="422EC638">
            <w:pPr>
              <w:pStyle w:val="71"/>
              <w:spacing w:before="24" w:after="24"/>
              <w:rPr>
                <w:rFonts w:cs="Times New Roman"/>
              </w:rPr>
            </w:pPr>
            <w:r>
              <w:rPr>
                <w:rFonts w:cs="Times New Roman"/>
              </w:rPr>
              <w:t>门厅、休息厅、宿舍、值班室、餐厅、加工间、电梯厅</w:t>
            </w:r>
          </w:p>
        </w:tc>
        <w:tc>
          <w:tcPr>
            <w:tcW w:w="4181" w:type="dxa"/>
            <w:tcBorders>
              <w:top w:val="single" w:color="000000" w:sz="4" w:space="0"/>
              <w:left w:val="single" w:color="000000" w:sz="4" w:space="0"/>
              <w:bottom w:val="single" w:color="000000" w:sz="4" w:space="0"/>
              <w:right w:val="single" w:color="000000" w:sz="4" w:space="0"/>
            </w:tcBorders>
            <w:vAlign w:val="center"/>
          </w:tcPr>
          <w:p w14:paraId="17773913">
            <w:pPr>
              <w:pStyle w:val="71"/>
              <w:spacing w:before="24" w:after="24"/>
              <w:jc w:val="both"/>
              <w:rPr>
                <w:rFonts w:cs="Times New Roman"/>
              </w:rPr>
            </w:pPr>
            <w:r>
              <w:rPr>
                <w:rFonts w:cs="Times New Roman"/>
              </w:rPr>
              <w:t>1）哑光防滑耐磨地砖面层</w:t>
            </w:r>
          </w:p>
          <w:p w14:paraId="53D54280">
            <w:pPr>
              <w:pStyle w:val="71"/>
              <w:spacing w:before="24" w:after="24"/>
              <w:jc w:val="both"/>
              <w:rPr>
                <w:rFonts w:cs="Times New Roman"/>
              </w:rPr>
            </w:pPr>
            <w:r>
              <w:rPr>
                <w:rFonts w:cs="Times New Roman"/>
              </w:rPr>
              <w:t>2）</w:t>
            </w:r>
            <w:r>
              <w:rPr>
                <w:rFonts w:hint="eastAsia" w:cs="Times New Roman"/>
              </w:rPr>
              <w:t>2</w:t>
            </w:r>
            <w:r>
              <w:rPr>
                <w:rFonts w:cs="Times New Roman"/>
              </w:rPr>
              <w:t>0厚1：3干硬水泥砂浆结合层，上洒1-2厚干水泥</w:t>
            </w:r>
          </w:p>
          <w:p w14:paraId="376515F9">
            <w:pPr>
              <w:pStyle w:val="71"/>
              <w:spacing w:before="24" w:after="24"/>
              <w:jc w:val="both"/>
              <w:rPr>
                <w:rFonts w:cs="Times New Roman"/>
              </w:rPr>
            </w:pPr>
            <w:r>
              <w:rPr>
                <w:rFonts w:cs="Times New Roman"/>
              </w:rPr>
              <w:t>3）80厚C15混凝土垫层，随捣随抹光</w:t>
            </w:r>
          </w:p>
          <w:p w14:paraId="3C08B365">
            <w:pPr>
              <w:pStyle w:val="71"/>
              <w:spacing w:before="24" w:after="24"/>
              <w:jc w:val="both"/>
              <w:rPr>
                <w:rFonts w:cs="Times New Roman"/>
              </w:rPr>
            </w:pPr>
            <w:r>
              <w:rPr>
                <w:rFonts w:cs="Times New Roman"/>
              </w:rPr>
              <w:t>4）素土夯实，压实系数≥0.94</w:t>
            </w:r>
          </w:p>
        </w:tc>
        <w:tc>
          <w:tcPr>
            <w:tcW w:w="1277" w:type="dxa"/>
            <w:tcBorders>
              <w:top w:val="single" w:color="000000" w:sz="4" w:space="0"/>
              <w:left w:val="single" w:color="000000" w:sz="4" w:space="0"/>
              <w:bottom w:val="single" w:color="000000" w:sz="4" w:space="0"/>
              <w:right w:val="single" w:color="000000" w:sz="4" w:space="0"/>
            </w:tcBorders>
            <w:vAlign w:val="center"/>
          </w:tcPr>
          <w:p w14:paraId="34D6FD8A">
            <w:pPr>
              <w:pStyle w:val="71"/>
              <w:spacing w:before="24" w:after="24"/>
              <w:rPr>
                <w:rFonts w:cs="Times New Roman"/>
              </w:rPr>
            </w:pPr>
          </w:p>
        </w:tc>
      </w:tr>
      <w:tr w14:paraId="52912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64B8A366">
            <w:pPr>
              <w:pStyle w:val="71"/>
              <w:spacing w:before="24" w:after="24"/>
              <w:rPr>
                <w:rFonts w:cs="Times New Roman"/>
              </w:rPr>
            </w:pPr>
            <w:r>
              <w:rPr>
                <w:rFonts w:cs="Times New Roman"/>
              </w:rPr>
              <w:t>3</w:t>
            </w:r>
          </w:p>
        </w:tc>
        <w:tc>
          <w:tcPr>
            <w:tcW w:w="1415" w:type="dxa"/>
            <w:tcBorders>
              <w:top w:val="single" w:color="000000" w:sz="4" w:space="0"/>
              <w:left w:val="single" w:color="000000" w:sz="4" w:space="0"/>
              <w:bottom w:val="single" w:color="000000" w:sz="4" w:space="0"/>
              <w:right w:val="single" w:color="000000" w:sz="4" w:space="0"/>
            </w:tcBorders>
            <w:vAlign w:val="center"/>
          </w:tcPr>
          <w:p w14:paraId="1A617D0A">
            <w:pPr>
              <w:pStyle w:val="71"/>
              <w:spacing w:before="24" w:after="24"/>
              <w:rPr>
                <w:rFonts w:cs="Times New Roman"/>
              </w:rPr>
            </w:pPr>
            <w:r>
              <w:rPr>
                <w:rFonts w:cs="Times New Roman"/>
              </w:rPr>
              <w:t>地面三（无沉箱防滑地砖地面）</w:t>
            </w:r>
          </w:p>
        </w:tc>
        <w:tc>
          <w:tcPr>
            <w:tcW w:w="1720" w:type="dxa"/>
            <w:tcBorders>
              <w:top w:val="single" w:color="000000" w:sz="4" w:space="0"/>
              <w:left w:val="single" w:color="000000" w:sz="4" w:space="0"/>
              <w:bottom w:val="single" w:color="000000" w:sz="4" w:space="0"/>
              <w:right w:val="single" w:color="000000" w:sz="4" w:space="0"/>
            </w:tcBorders>
            <w:vAlign w:val="center"/>
          </w:tcPr>
          <w:p w14:paraId="29069B36">
            <w:pPr>
              <w:pStyle w:val="71"/>
              <w:spacing w:before="24" w:after="24"/>
              <w:rPr>
                <w:rFonts w:cs="Times New Roman"/>
              </w:rPr>
            </w:pPr>
            <w:r>
              <w:rPr>
                <w:rFonts w:cs="Times New Roman"/>
              </w:rPr>
              <w:t>非下沉式卫生间、公共卫生间、厨房</w:t>
            </w:r>
          </w:p>
        </w:tc>
        <w:tc>
          <w:tcPr>
            <w:tcW w:w="4181" w:type="dxa"/>
            <w:tcBorders>
              <w:top w:val="single" w:color="000000" w:sz="4" w:space="0"/>
              <w:left w:val="single" w:color="000000" w:sz="4" w:space="0"/>
              <w:bottom w:val="single" w:color="000000" w:sz="4" w:space="0"/>
              <w:right w:val="single" w:color="000000" w:sz="4" w:space="0"/>
            </w:tcBorders>
            <w:vAlign w:val="center"/>
          </w:tcPr>
          <w:p w14:paraId="7D7D3164">
            <w:pPr>
              <w:pStyle w:val="71"/>
              <w:spacing w:before="24" w:after="24"/>
              <w:jc w:val="both"/>
              <w:rPr>
                <w:rFonts w:cs="Times New Roman"/>
              </w:rPr>
            </w:pPr>
            <w:r>
              <w:rPr>
                <w:rFonts w:cs="Times New Roman"/>
              </w:rPr>
              <w:t>1）防滑地砖，专用勾缝剂勾缝</w:t>
            </w:r>
          </w:p>
          <w:p w14:paraId="46DCD42C">
            <w:pPr>
              <w:pStyle w:val="71"/>
              <w:spacing w:before="24" w:after="24"/>
              <w:jc w:val="both"/>
              <w:rPr>
                <w:rFonts w:cs="Times New Roman"/>
              </w:rPr>
            </w:pPr>
            <w:r>
              <w:rPr>
                <w:rFonts w:cs="Times New Roman"/>
              </w:rPr>
              <w:t>2）</w:t>
            </w:r>
            <w:r>
              <w:rPr>
                <w:rFonts w:hint="eastAsia" w:cs="Times New Roman"/>
              </w:rPr>
              <w:t>2</w:t>
            </w:r>
            <w:r>
              <w:rPr>
                <w:rFonts w:cs="Times New Roman"/>
              </w:rPr>
              <w:t>0厚1：3干硬水泥砂浆结合层，上洒1-2厚干水泥</w:t>
            </w:r>
          </w:p>
          <w:p w14:paraId="20C465CA">
            <w:pPr>
              <w:pStyle w:val="71"/>
              <w:spacing w:before="24" w:after="24"/>
              <w:jc w:val="both"/>
              <w:rPr>
                <w:rFonts w:cs="Times New Roman"/>
              </w:rPr>
            </w:pPr>
            <w:r>
              <w:rPr>
                <w:rFonts w:cs="Times New Roman"/>
              </w:rPr>
              <w:t>3）最薄处20mm厚1:2水泥砂浆找坡层（掺5%防水剂），向地漏找1%坡</w:t>
            </w:r>
          </w:p>
          <w:p w14:paraId="2981CD00">
            <w:pPr>
              <w:pStyle w:val="71"/>
              <w:spacing w:before="24" w:after="24"/>
              <w:jc w:val="both"/>
              <w:rPr>
                <w:rFonts w:cs="Times New Roman"/>
              </w:rPr>
            </w:pPr>
            <w:r>
              <w:rPr>
                <w:rFonts w:cs="Times New Roman"/>
              </w:rPr>
              <w:t>4）管道边及孔边四周300mm范围先刷1.5mm厚JS-II聚合物水泥防水涂料，再大面刷1.5mm厚JS-II聚合物水泥防水涂料，四周卷起建筑完成面300高（防水层向外延展的长度不应小于500mm，向两侧延展的宽度不应小于200mm）</w:t>
            </w:r>
          </w:p>
          <w:p w14:paraId="73A251F0">
            <w:pPr>
              <w:pStyle w:val="71"/>
              <w:spacing w:before="24" w:after="24"/>
              <w:jc w:val="both"/>
              <w:rPr>
                <w:rFonts w:cs="Times New Roman"/>
              </w:rPr>
            </w:pPr>
            <w:r>
              <w:rPr>
                <w:rFonts w:cs="Times New Roman"/>
              </w:rPr>
              <w:t>5）阴角做1:2水泥砂浆50mm圆弧；</w:t>
            </w:r>
          </w:p>
          <w:p w14:paraId="352E5555">
            <w:pPr>
              <w:pStyle w:val="71"/>
              <w:spacing w:before="24" w:after="24"/>
              <w:jc w:val="both"/>
              <w:rPr>
                <w:rFonts w:cs="Times New Roman"/>
              </w:rPr>
            </w:pPr>
            <w:r>
              <w:rPr>
                <w:rFonts w:cs="Times New Roman"/>
              </w:rPr>
              <w:t>6）80厚C15混凝土垫层，随捣随抹光</w:t>
            </w:r>
          </w:p>
          <w:p w14:paraId="4D8C5C25">
            <w:pPr>
              <w:pStyle w:val="71"/>
              <w:spacing w:before="24" w:after="24"/>
              <w:jc w:val="both"/>
              <w:rPr>
                <w:rFonts w:cs="Times New Roman"/>
              </w:rPr>
            </w:pPr>
            <w:r>
              <w:rPr>
                <w:rFonts w:cs="Times New Roman"/>
              </w:rPr>
              <w:t>7）素土夯实，压实系数≥0.94</w:t>
            </w:r>
          </w:p>
        </w:tc>
        <w:tc>
          <w:tcPr>
            <w:tcW w:w="1277" w:type="dxa"/>
            <w:tcBorders>
              <w:top w:val="single" w:color="000000" w:sz="4" w:space="0"/>
              <w:left w:val="single" w:color="000000" w:sz="4" w:space="0"/>
              <w:bottom w:val="single" w:color="000000" w:sz="4" w:space="0"/>
              <w:right w:val="single" w:color="000000" w:sz="4" w:space="0"/>
            </w:tcBorders>
            <w:vAlign w:val="center"/>
          </w:tcPr>
          <w:p w14:paraId="1CB7CF1C">
            <w:pPr>
              <w:pStyle w:val="71"/>
              <w:spacing w:before="24" w:after="24"/>
              <w:rPr>
                <w:rFonts w:cs="Times New Roman"/>
              </w:rPr>
            </w:pPr>
          </w:p>
        </w:tc>
      </w:tr>
      <w:tr w14:paraId="41F42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26680794">
            <w:pPr>
              <w:pStyle w:val="71"/>
              <w:spacing w:before="24" w:after="24"/>
              <w:rPr>
                <w:rFonts w:cs="Times New Roman"/>
              </w:rPr>
            </w:pPr>
            <w:r>
              <w:rPr>
                <w:rFonts w:cs="Times New Roman"/>
              </w:rPr>
              <w:t>4</w:t>
            </w:r>
          </w:p>
        </w:tc>
        <w:tc>
          <w:tcPr>
            <w:tcW w:w="1415" w:type="dxa"/>
            <w:tcBorders>
              <w:top w:val="single" w:color="000000" w:sz="4" w:space="0"/>
              <w:left w:val="single" w:color="000000" w:sz="4" w:space="0"/>
              <w:bottom w:val="single" w:color="000000" w:sz="4" w:space="0"/>
              <w:right w:val="single" w:color="000000" w:sz="4" w:space="0"/>
            </w:tcBorders>
            <w:vAlign w:val="center"/>
          </w:tcPr>
          <w:p w14:paraId="7FF77C1F">
            <w:pPr>
              <w:pStyle w:val="71"/>
              <w:spacing w:before="24" w:after="24"/>
              <w:rPr>
                <w:rFonts w:cs="Times New Roman"/>
              </w:rPr>
            </w:pPr>
            <w:r>
              <w:rPr>
                <w:rFonts w:cs="Times New Roman"/>
              </w:rPr>
              <w:t>地面四（有沉箱防滑地砖地面）</w:t>
            </w:r>
          </w:p>
        </w:tc>
        <w:tc>
          <w:tcPr>
            <w:tcW w:w="1720" w:type="dxa"/>
            <w:tcBorders>
              <w:top w:val="single" w:color="000000" w:sz="4" w:space="0"/>
              <w:left w:val="single" w:color="000000" w:sz="4" w:space="0"/>
              <w:bottom w:val="single" w:color="000000" w:sz="4" w:space="0"/>
              <w:right w:val="single" w:color="000000" w:sz="4" w:space="0"/>
            </w:tcBorders>
            <w:vAlign w:val="center"/>
          </w:tcPr>
          <w:p w14:paraId="5461BCC7">
            <w:pPr>
              <w:pStyle w:val="71"/>
              <w:spacing w:before="24" w:after="24"/>
              <w:rPr>
                <w:rFonts w:cs="Times New Roman"/>
              </w:rPr>
            </w:pPr>
            <w:r>
              <w:rPr>
                <w:rFonts w:cs="Times New Roman"/>
              </w:rPr>
              <w:t>下沉式卫生间</w:t>
            </w:r>
          </w:p>
        </w:tc>
        <w:tc>
          <w:tcPr>
            <w:tcW w:w="4181" w:type="dxa"/>
            <w:tcBorders>
              <w:top w:val="single" w:color="000000" w:sz="4" w:space="0"/>
              <w:left w:val="single" w:color="000000" w:sz="4" w:space="0"/>
              <w:bottom w:val="single" w:color="000000" w:sz="4" w:space="0"/>
              <w:right w:val="single" w:color="000000" w:sz="4" w:space="0"/>
            </w:tcBorders>
            <w:vAlign w:val="center"/>
          </w:tcPr>
          <w:p w14:paraId="44940086">
            <w:pPr>
              <w:pStyle w:val="71"/>
              <w:spacing w:before="24" w:after="24"/>
              <w:jc w:val="both"/>
              <w:rPr>
                <w:rFonts w:cs="Times New Roman"/>
              </w:rPr>
            </w:pPr>
            <w:r>
              <w:rPr>
                <w:rFonts w:cs="Times New Roman"/>
              </w:rPr>
              <w:t>1）防滑地砖，专用美缝剂美缝</w:t>
            </w:r>
          </w:p>
          <w:p w14:paraId="7CE4F389">
            <w:pPr>
              <w:pStyle w:val="71"/>
              <w:spacing w:before="24" w:after="24"/>
              <w:jc w:val="both"/>
              <w:rPr>
                <w:rFonts w:cs="Times New Roman"/>
              </w:rPr>
            </w:pPr>
            <w:r>
              <w:rPr>
                <w:rFonts w:cs="Times New Roman"/>
              </w:rPr>
              <w:t>2）</w:t>
            </w:r>
            <w:r>
              <w:rPr>
                <w:rFonts w:hint="eastAsia" w:cs="Times New Roman"/>
              </w:rPr>
              <w:t>2</w:t>
            </w:r>
            <w:r>
              <w:rPr>
                <w:rFonts w:cs="Times New Roman"/>
              </w:rPr>
              <w:t>0厚1：3干硬水泥砂浆结合层，上洒1-2厚干水泥</w:t>
            </w:r>
          </w:p>
          <w:p w14:paraId="765FCD52">
            <w:pPr>
              <w:pStyle w:val="71"/>
              <w:spacing w:before="24" w:after="24"/>
              <w:jc w:val="both"/>
              <w:rPr>
                <w:rFonts w:cs="Times New Roman"/>
              </w:rPr>
            </w:pPr>
            <w:r>
              <w:rPr>
                <w:rFonts w:cs="Times New Roman"/>
              </w:rPr>
              <w:t>3）最薄处20厚1：3水泥砂浆找坡层（掺5%防水剂），1%坡向地漏</w:t>
            </w:r>
          </w:p>
          <w:p w14:paraId="5454BB0C">
            <w:pPr>
              <w:pStyle w:val="71"/>
              <w:spacing w:before="24" w:after="24"/>
              <w:jc w:val="both"/>
              <w:rPr>
                <w:rFonts w:cs="Times New Roman"/>
              </w:rPr>
            </w:pPr>
            <w:r>
              <w:rPr>
                <w:rFonts w:cs="Times New Roman"/>
              </w:rPr>
              <w:t>4）陶粒混凝土回填（回填厚度以设计为准）</w:t>
            </w:r>
          </w:p>
          <w:p w14:paraId="5198A9BA">
            <w:pPr>
              <w:pStyle w:val="71"/>
              <w:spacing w:before="24" w:after="24"/>
              <w:jc w:val="both"/>
              <w:rPr>
                <w:rFonts w:cs="Times New Roman"/>
              </w:rPr>
            </w:pPr>
            <w:r>
              <w:rPr>
                <w:rFonts w:cs="Times New Roman"/>
              </w:rPr>
              <w:t>5）1.5厚JS-Ⅱ型防水涂料，沿墙上翻至建筑完成面以上300mm（防水层向外延展的长度不应小于500mm，向两侧延展的宽度不应小于200mm）</w:t>
            </w:r>
          </w:p>
          <w:p w14:paraId="68B433C3">
            <w:pPr>
              <w:pStyle w:val="71"/>
              <w:spacing w:before="24" w:after="24"/>
              <w:jc w:val="both"/>
              <w:rPr>
                <w:rFonts w:cs="Times New Roman"/>
              </w:rPr>
            </w:pPr>
            <w:r>
              <w:rPr>
                <w:rFonts w:cs="Times New Roman"/>
              </w:rPr>
              <w:t>6）80厚C15混凝土垫层，随捣随抹光</w:t>
            </w:r>
          </w:p>
          <w:p w14:paraId="6432AEF5">
            <w:pPr>
              <w:pStyle w:val="71"/>
              <w:spacing w:before="24" w:after="24"/>
              <w:jc w:val="both"/>
              <w:rPr>
                <w:rFonts w:cs="Times New Roman"/>
              </w:rPr>
            </w:pPr>
            <w:r>
              <w:rPr>
                <w:rFonts w:cs="Times New Roman"/>
              </w:rPr>
              <w:t>7）素土夯实，压实系数≥0.94</w:t>
            </w:r>
          </w:p>
        </w:tc>
        <w:tc>
          <w:tcPr>
            <w:tcW w:w="1277" w:type="dxa"/>
            <w:tcBorders>
              <w:top w:val="single" w:color="000000" w:sz="4" w:space="0"/>
              <w:left w:val="single" w:color="000000" w:sz="4" w:space="0"/>
              <w:bottom w:val="single" w:color="000000" w:sz="4" w:space="0"/>
              <w:right w:val="single" w:color="000000" w:sz="4" w:space="0"/>
            </w:tcBorders>
            <w:vAlign w:val="center"/>
          </w:tcPr>
          <w:p w14:paraId="076ED528">
            <w:pPr>
              <w:pStyle w:val="71"/>
              <w:spacing w:before="24" w:after="24"/>
              <w:rPr>
                <w:rFonts w:cs="Times New Roman"/>
              </w:rPr>
            </w:pPr>
          </w:p>
        </w:tc>
      </w:tr>
      <w:tr w14:paraId="654401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4E4D2595">
            <w:pPr>
              <w:pStyle w:val="71"/>
              <w:spacing w:before="24" w:after="24"/>
              <w:rPr>
                <w:rFonts w:cs="Times New Roman"/>
              </w:rPr>
            </w:pPr>
            <w:r>
              <w:rPr>
                <w:rFonts w:cs="Times New Roman"/>
              </w:rPr>
              <w:t>5</w:t>
            </w:r>
          </w:p>
        </w:tc>
        <w:tc>
          <w:tcPr>
            <w:tcW w:w="1415" w:type="dxa"/>
            <w:tcBorders>
              <w:top w:val="single" w:color="000000" w:sz="4" w:space="0"/>
              <w:left w:val="single" w:color="000000" w:sz="4" w:space="0"/>
              <w:bottom w:val="single" w:color="000000" w:sz="4" w:space="0"/>
              <w:right w:val="single" w:color="000000" w:sz="4" w:space="0"/>
            </w:tcBorders>
            <w:vAlign w:val="center"/>
          </w:tcPr>
          <w:p w14:paraId="00A7B48D">
            <w:pPr>
              <w:pStyle w:val="71"/>
              <w:spacing w:before="24" w:after="24"/>
              <w:rPr>
                <w:rFonts w:cs="Times New Roman"/>
              </w:rPr>
            </w:pPr>
            <w:r>
              <w:rPr>
                <w:rFonts w:cs="Times New Roman"/>
              </w:rPr>
              <w:t>地面五（氯乙烯运动地板）</w:t>
            </w:r>
          </w:p>
        </w:tc>
        <w:tc>
          <w:tcPr>
            <w:tcW w:w="1720" w:type="dxa"/>
            <w:tcBorders>
              <w:top w:val="single" w:color="000000" w:sz="4" w:space="0"/>
              <w:left w:val="single" w:color="000000" w:sz="4" w:space="0"/>
              <w:bottom w:val="single" w:color="000000" w:sz="4" w:space="0"/>
              <w:right w:val="single" w:color="000000" w:sz="4" w:space="0"/>
            </w:tcBorders>
            <w:vAlign w:val="center"/>
          </w:tcPr>
          <w:p w14:paraId="3CC63C85">
            <w:pPr>
              <w:pStyle w:val="71"/>
              <w:spacing w:before="24" w:after="24"/>
              <w:rPr>
                <w:rFonts w:cs="Times New Roman"/>
              </w:rPr>
            </w:pPr>
            <w:r>
              <w:rPr>
                <w:rFonts w:cs="Times New Roman"/>
              </w:rPr>
              <w:t>室内篮球、排球、羽毛球、乒乓球场地</w:t>
            </w:r>
          </w:p>
        </w:tc>
        <w:tc>
          <w:tcPr>
            <w:tcW w:w="4181" w:type="dxa"/>
            <w:tcBorders>
              <w:top w:val="single" w:color="000000" w:sz="4" w:space="0"/>
              <w:left w:val="single" w:color="000000" w:sz="4" w:space="0"/>
              <w:bottom w:val="single" w:color="000000" w:sz="4" w:space="0"/>
              <w:right w:val="single" w:color="000000" w:sz="4" w:space="0"/>
            </w:tcBorders>
            <w:vAlign w:val="center"/>
          </w:tcPr>
          <w:p w14:paraId="1C0C961B">
            <w:pPr>
              <w:pStyle w:val="71"/>
              <w:spacing w:before="24" w:after="24"/>
              <w:jc w:val="both"/>
              <w:rPr>
                <w:rFonts w:cs="Times New Roman"/>
              </w:rPr>
            </w:pPr>
            <w:r>
              <w:rPr>
                <w:rFonts w:cs="Times New Roman"/>
              </w:rPr>
              <w:t>1）表面上保护蜡</w:t>
            </w:r>
          </w:p>
          <w:p w14:paraId="29E75C4E">
            <w:pPr>
              <w:pStyle w:val="71"/>
              <w:spacing w:before="24" w:after="24"/>
              <w:jc w:val="both"/>
              <w:rPr>
                <w:rFonts w:cs="Times New Roman"/>
              </w:rPr>
            </w:pPr>
            <w:r>
              <w:rPr>
                <w:rFonts w:cs="Times New Roman"/>
              </w:rPr>
              <w:t>2）4厚聚氯乙烯卷材面层，专用粘贴剂粘铺</w:t>
            </w:r>
          </w:p>
          <w:p w14:paraId="2BCCF5A7">
            <w:pPr>
              <w:pStyle w:val="71"/>
              <w:spacing w:before="24" w:after="24"/>
              <w:jc w:val="both"/>
              <w:rPr>
                <w:rFonts w:cs="Times New Roman"/>
              </w:rPr>
            </w:pPr>
            <w:r>
              <w:rPr>
                <w:rFonts w:cs="Times New Roman"/>
              </w:rPr>
              <w:t>3）3厚垫层水泥基自流平砂浆</w:t>
            </w:r>
          </w:p>
          <w:p w14:paraId="70F8CEEC">
            <w:pPr>
              <w:pStyle w:val="71"/>
              <w:spacing w:before="24" w:after="24"/>
              <w:jc w:val="both"/>
              <w:rPr>
                <w:rFonts w:cs="Times New Roman"/>
              </w:rPr>
            </w:pPr>
            <w:r>
              <w:rPr>
                <w:rFonts w:cs="Times New Roman"/>
              </w:rPr>
              <w:t>4）20厚1:2.5水泥砂浆找平层</w:t>
            </w:r>
          </w:p>
          <w:p w14:paraId="142729F9">
            <w:pPr>
              <w:pStyle w:val="71"/>
              <w:spacing w:before="24" w:after="24"/>
              <w:jc w:val="both"/>
              <w:rPr>
                <w:rFonts w:cs="Times New Roman"/>
              </w:rPr>
            </w:pPr>
            <w:r>
              <w:rPr>
                <w:rFonts w:cs="Times New Roman"/>
              </w:rPr>
              <w:t>5）界面剂1道</w:t>
            </w:r>
          </w:p>
          <w:p w14:paraId="3D820136">
            <w:pPr>
              <w:pStyle w:val="71"/>
              <w:spacing w:before="24" w:after="24"/>
              <w:jc w:val="both"/>
              <w:rPr>
                <w:rFonts w:cs="Times New Roman"/>
              </w:rPr>
            </w:pPr>
            <w:r>
              <w:rPr>
                <w:rFonts w:cs="Times New Roman"/>
              </w:rPr>
              <w:t>6）80厚C15混凝土垫层，随捣随抹光</w:t>
            </w:r>
          </w:p>
          <w:p w14:paraId="3F754098">
            <w:pPr>
              <w:pStyle w:val="71"/>
              <w:spacing w:before="24" w:after="24"/>
              <w:jc w:val="both"/>
              <w:rPr>
                <w:rFonts w:cs="Times New Roman"/>
              </w:rPr>
            </w:pPr>
            <w:r>
              <w:rPr>
                <w:rFonts w:cs="Times New Roman"/>
              </w:rPr>
              <w:t>7）素土夯实，压实系数≥0.94</w:t>
            </w:r>
          </w:p>
        </w:tc>
        <w:tc>
          <w:tcPr>
            <w:tcW w:w="1277" w:type="dxa"/>
            <w:tcBorders>
              <w:top w:val="single" w:color="000000" w:sz="4" w:space="0"/>
              <w:left w:val="single" w:color="000000" w:sz="4" w:space="0"/>
              <w:bottom w:val="single" w:color="000000" w:sz="4" w:space="0"/>
              <w:right w:val="single" w:color="000000" w:sz="4" w:space="0"/>
            </w:tcBorders>
            <w:vAlign w:val="center"/>
          </w:tcPr>
          <w:p w14:paraId="103BE81B">
            <w:pPr>
              <w:pStyle w:val="71"/>
              <w:spacing w:before="24" w:after="24"/>
              <w:rPr>
                <w:rFonts w:cs="Times New Roman"/>
              </w:rPr>
            </w:pPr>
          </w:p>
        </w:tc>
      </w:tr>
      <w:tr w14:paraId="29D22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7D0C365F">
            <w:pPr>
              <w:pStyle w:val="71"/>
              <w:spacing w:before="24" w:after="24"/>
              <w:rPr>
                <w:rFonts w:cs="Times New Roman"/>
              </w:rPr>
            </w:pPr>
            <w:r>
              <w:rPr>
                <w:rFonts w:cs="Times New Roman"/>
              </w:rPr>
              <w:t>6</w:t>
            </w:r>
          </w:p>
        </w:tc>
        <w:tc>
          <w:tcPr>
            <w:tcW w:w="1415" w:type="dxa"/>
            <w:tcBorders>
              <w:top w:val="single" w:color="000000" w:sz="4" w:space="0"/>
              <w:left w:val="single" w:color="000000" w:sz="4" w:space="0"/>
              <w:bottom w:val="single" w:color="000000" w:sz="4" w:space="0"/>
              <w:right w:val="single" w:color="000000" w:sz="4" w:space="0"/>
            </w:tcBorders>
            <w:vAlign w:val="center"/>
          </w:tcPr>
          <w:p w14:paraId="588ECBF4">
            <w:pPr>
              <w:pStyle w:val="71"/>
              <w:spacing w:before="24" w:after="24"/>
              <w:rPr>
                <w:rFonts w:cs="Times New Roman"/>
              </w:rPr>
            </w:pPr>
            <w:r>
              <w:rPr>
                <w:rFonts w:cs="Times New Roman"/>
              </w:rPr>
              <w:t>地面六（耐酸碱橡胶板面层）</w:t>
            </w:r>
          </w:p>
        </w:tc>
        <w:tc>
          <w:tcPr>
            <w:tcW w:w="1720" w:type="dxa"/>
            <w:tcBorders>
              <w:top w:val="single" w:color="000000" w:sz="4" w:space="0"/>
              <w:left w:val="single" w:color="000000" w:sz="4" w:space="0"/>
              <w:bottom w:val="single" w:color="000000" w:sz="4" w:space="0"/>
              <w:right w:val="single" w:color="000000" w:sz="4" w:space="0"/>
            </w:tcBorders>
            <w:vAlign w:val="center"/>
          </w:tcPr>
          <w:p w14:paraId="793329C7">
            <w:pPr>
              <w:pStyle w:val="71"/>
              <w:spacing w:before="24" w:after="24"/>
              <w:rPr>
                <w:rFonts w:cs="Times New Roman"/>
              </w:rPr>
            </w:pPr>
            <w:r>
              <w:rPr>
                <w:rFonts w:cs="Times New Roman"/>
              </w:rPr>
              <w:t>药品室、准备室、仪器室、化学实验室</w:t>
            </w:r>
          </w:p>
        </w:tc>
        <w:tc>
          <w:tcPr>
            <w:tcW w:w="4181" w:type="dxa"/>
            <w:tcBorders>
              <w:top w:val="single" w:color="000000" w:sz="4" w:space="0"/>
              <w:left w:val="single" w:color="000000" w:sz="4" w:space="0"/>
              <w:bottom w:val="single" w:color="000000" w:sz="4" w:space="0"/>
              <w:right w:val="single" w:color="000000" w:sz="4" w:space="0"/>
            </w:tcBorders>
            <w:vAlign w:val="center"/>
          </w:tcPr>
          <w:p w14:paraId="3AD6A4D7">
            <w:pPr>
              <w:pStyle w:val="71"/>
              <w:spacing w:before="24" w:after="24"/>
              <w:jc w:val="both"/>
              <w:rPr>
                <w:rFonts w:cs="Times New Roman"/>
              </w:rPr>
            </w:pPr>
            <w:r>
              <w:rPr>
                <w:rFonts w:cs="Times New Roman"/>
              </w:rPr>
              <w:t>1）3～30厚耐酸碱橡胶板板面层（材料的燃烧性能不低于B1级）</w:t>
            </w:r>
          </w:p>
          <w:p w14:paraId="577E9529">
            <w:pPr>
              <w:pStyle w:val="71"/>
              <w:spacing w:before="24" w:after="24"/>
              <w:jc w:val="both"/>
              <w:rPr>
                <w:rFonts w:cs="Times New Roman"/>
              </w:rPr>
            </w:pPr>
            <w:r>
              <w:rPr>
                <w:rFonts w:cs="Times New Roman"/>
              </w:rPr>
              <w:t>2）2厚环氧树脂胶粘剂，面层背面与基层同时涂胶</w:t>
            </w:r>
          </w:p>
          <w:p w14:paraId="2E2D238E">
            <w:pPr>
              <w:pStyle w:val="71"/>
              <w:spacing w:before="24" w:after="24"/>
              <w:jc w:val="both"/>
              <w:rPr>
                <w:rFonts w:cs="Times New Roman"/>
              </w:rPr>
            </w:pPr>
            <w:r>
              <w:rPr>
                <w:rFonts w:cs="Times New Roman"/>
              </w:rPr>
              <w:t>3）20厚1:3水泥砂浆找平层</w:t>
            </w:r>
          </w:p>
          <w:p w14:paraId="14B9DA60">
            <w:pPr>
              <w:pStyle w:val="71"/>
              <w:spacing w:before="24" w:after="24"/>
              <w:jc w:val="both"/>
              <w:rPr>
                <w:rFonts w:cs="Times New Roman"/>
              </w:rPr>
            </w:pPr>
            <w:r>
              <w:rPr>
                <w:rFonts w:cs="Times New Roman"/>
              </w:rPr>
              <w:t>4）1.5厚JS-Ⅱ型防水涂料，沿墙上翻至建筑完成面以上300mm</w:t>
            </w:r>
          </w:p>
          <w:p w14:paraId="38FB5BE8">
            <w:pPr>
              <w:pStyle w:val="71"/>
              <w:spacing w:before="24" w:after="24"/>
              <w:jc w:val="both"/>
              <w:rPr>
                <w:rFonts w:cs="Times New Roman"/>
              </w:rPr>
            </w:pPr>
            <w:r>
              <w:rPr>
                <w:rFonts w:cs="Times New Roman"/>
              </w:rPr>
              <w:t>5）C20细石混凝土敷管找坡抹平，最薄处50厚</w:t>
            </w:r>
          </w:p>
          <w:p w14:paraId="1E01B49E">
            <w:pPr>
              <w:pStyle w:val="71"/>
              <w:spacing w:before="24" w:after="24"/>
              <w:jc w:val="both"/>
              <w:rPr>
                <w:rFonts w:cs="Times New Roman"/>
              </w:rPr>
            </w:pPr>
            <w:r>
              <w:rPr>
                <w:rFonts w:cs="Times New Roman"/>
              </w:rPr>
              <w:t>6）80厚C15混凝土垫层，随捣随抹光</w:t>
            </w:r>
          </w:p>
          <w:p w14:paraId="427AC300">
            <w:pPr>
              <w:pStyle w:val="71"/>
              <w:spacing w:before="24" w:after="24"/>
              <w:jc w:val="both"/>
              <w:rPr>
                <w:rFonts w:cs="Times New Roman"/>
              </w:rPr>
            </w:pPr>
            <w:r>
              <w:rPr>
                <w:rFonts w:cs="Times New Roman"/>
              </w:rPr>
              <w:t>7）素土夯实，压实系数≥0.94</w:t>
            </w:r>
          </w:p>
        </w:tc>
        <w:tc>
          <w:tcPr>
            <w:tcW w:w="1277" w:type="dxa"/>
            <w:tcBorders>
              <w:top w:val="single" w:color="000000" w:sz="4" w:space="0"/>
              <w:left w:val="single" w:color="000000" w:sz="4" w:space="0"/>
              <w:bottom w:val="single" w:color="000000" w:sz="4" w:space="0"/>
              <w:right w:val="single" w:color="000000" w:sz="4" w:space="0"/>
            </w:tcBorders>
            <w:vAlign w:val="center"/>
          </w:tcPr>
          <w:p w14:paraId="7A97BA47">
            <w:pPr>
              <w:pStyle w:val="71"/>
              <w:spacing w:before="24" w:after="24"/>
              <w:rPr>
                <w:rFonts w:cs="Times New Roman"/>
              </w:rPr>
            </w:pPr>
          </w:p>
        </w:tc>
      </w:tr>
      <w:tr w14:paraId="42FF7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7E8E3EE7">
            <w:pPr>
              <w:pStyle w:val="71"/>
              <w:spacing w:before="24" w:after="24"/>
              <w:rPr>
                <w:rFonts w:cs="Times New Roman"/>
              </w:rPr>
            </w:pPr>
            <w:r>
              <w:rPr>
                <w:rFonts w:cs="Times New Roman"/>
              </w:rPr>
              <w:t>7</w:t>
            </w:r>
          </w:p>
        </w:tc>
        <w:tc>
          <w:tcPr>
            <w:tcW w:w="1415" w:type="dxa"/>
            <w:tcBorders>
              <w:top w:val="single" w:color="000000" w:sz="4" w:space="0"/>
              <w:left w:val="single" w:color="000000" w:sz="4" w:space="0"/>
              <w:bottom w:val="single" w:color="000000" w:sz="4" w:space="0"/>
              <w:right w:val="single" w:color="000000" w:sz="4" w:space="0"/>
            </w:tcBorders>
            <w:vAlign w:val="center"/>
          </w:tcPr>
          <w:p w14:paraId="32102159">
            <w:pPr>
              <w:pStyle w:val="71"/>
              <w:spacing w:before="24" w:after="24"/>
              <w:rPr>
                <w:rFonts w:cs="Times New Roman"/>
              </w:rPr>
            </w:pPr>
            <w:r>
              <w:rPr>
                <w:rFonts w:cs="Times New Roman"/>
              </w:rPr>
              <w:t>地面七（软木复合弹性地板）</w:t>
            </w:r>
          </w:p>
        </w:tc>
        <w:tc>
          <w:tcPr>
            <w:tcW w:w="1720" w:type="dxa"/>
            <w:tcBorders>
              <w:top w:val="single" w:color="000000" w:sz="4" w:space="0"/>
              <w:left w:val="single" w:color="000000" w:sz="4" w:space="0"/>
              <w:bottom w:val="single" w:color="000000" w:sz="4" w:space="0"/>
              <w:right w:val="single" w:color="000000" w:sz="4" w:space="0"/>
            </w:tcBorders>
            <w:vAlign w:val="center"/>
          </w:tcPr>
          <w:p w14:paraId="2FDC2FDF">
            <w:pPr>
              <w:pStyle w:val="71"/>
              <w:spacing w:before="24" w:after="24"/>
              <w:rPr>
                <w:rFonts w:cs="Times New Roman"/>
              </w:rPr>
            </w:pPr>
            <w:r>
              <w:rPr>
                <w:rFonts w:cs="Times New Roman"/>
              </w:rPr>
              <w:t>舞蹈教室、音乐教室</w:t>
            </w:r>
          </w:p>
        </w:tc>
        <w:tc>
          <w:tcPr>
            <w:tcW w:w="4181" w:type="dxa"/>
            <w:tcBorders>
              <w:top w:val="single" w:color="000000" w:sz="4" w:space="0"/>
              <w:left w:val="single" w:color="000000" w:sz="4" w:space="0"/>
              <w:bottom w:val="single" w:color="000000" w:sz="4" w:space="0"/>
              <w:right w:val="single" w:color="000000" w:sz="4" w:space="0"/>
            </w:tcBorders>
            <w:vAlign w:val="center"/>
          </w:tcPr>
          <w:p w14:paraId="2D253E01">
            <w:pPr>
              <w:pStyle w:val="71"/>
              <w:spacing w:before="24" w:after="24"/>
              <w:jc w:val="both"/>
              <w:rPr>
                <w:rFonts w:cs="Times New Roman"/>
              </w:rPr>
            </w:pPr>
            <w:r>
              <w:rPr>
                <w:rFonts w:cs="Times New Roman"/>
              </w:rPr>
              <w:t>1）表面UV漆或PUA高耐磨层打上光蜡（地板产品已带油漆者无此工序）</w:t>
            </w:r>
          </w:p>
          <w:p w14:paraId="08C8647D">
            <w:pPr>
              <w:pStyle w:val="71"/>
              <w:spacing w:before="24" w:after="24"/>
              <w:jc w:val="both"/>
              <w:rPr>
                <w:rFonts w:cs="Times New Roman"/>
              </w:rPr>
            </w:pPr>
            <w:r>
              <w:rPr>
                <w:rFonts w:cs="Times New Roman"/>
              </w:rPr>
              <w:t>2）13厚软木复合弹性地板，悬浮式铺装法，木地板条或铝合金条收边</w:t>
            </w:r>
          </w:p>
          <w:p w14:paraId="0AC3C4C3">
            <w:pPr>
              <w:pStyle w:val="71"/>
              <w:spacing w:before="24" w:after="24"/>
              <w:jc w:val="both"/>
              <w:rPr>
                <w:rFonts w:cs="Times New Roman"/>
              </w:rPr>
            </w:pPr>
            <w:r>
              <w:rPr>
                <w:rFonts w:cs="Times New Roman"/>
              </w:rPr>
              <w:t>3）5厚发泡橡胶或电子交联发泡聚乙烯减振垫层</w:t>
            </w:r>
          </w:p>
          <w:p w14:paraId="13602CE8">
            <w:pPr>
              <w:pStyle w:val="71"/>
              <w:spacing w:before="24" w:after="24"/>
              <w:jc w:val="both"/>
              <w:rPr>
                <w:rFonts w:cs="Times New Roman"/>
              </w:rPr>
            </w:pPr>
            <w:r>
              <w:rPr>
                <w:rFonts w:cs="Times New Roman"/>
              </w:rPr>
              <w:t>4）20厚1:3水泥砂浆找平层</w:t>
            </w:r>
          </w:p>
          <w:p w14:paraId="6BA77F5E">
            <w:pPr>
              <w:pStyle w:val="71"/>
              <w:spacing w:before="24" w:after="24"/>
              <w:jc w:val="both"/>
              <w:rPr>
                <w:rFonts w:cs="Times New Roman"/>
              </w:rPr>
            </w:pPr>
            <w:r>
              <w:rPr>
                <w:rFonts w:cs="Times New Roman"/>
              </w:rPr>
              <w:t>5）80厚C15混凝土垫层，随捣随抹光</w:t>
            </w:r>
          </w:p>
          <w:p w14:paraId="13CE371B">
            <w:pPr>
              <w:pStyle w:val="71"/>
              <w:spacing w:before="24" w:after="24"/>
              <w:jc w:val="both"/>
              <w:rPr>
                <w:rFonts w:cs="Times New Roman"/>
              </w:rPr>
            </w:pPr>
            <w:r>
              <w:rPr>
                <w:rFonts w:cs="Times New Roman"/>
              </w:rPr>
              <w:t>6）素土夯实，压实系数≥0.94</w:t>
            </w:r>
          </w:p>
        </w:tc>
        <w:tc>
          <w:tcPr>
            <w:tcW w:w="1277" w:type="dxa"/>
            <w:tcBorders>
              <w:top w:val="single" w:color="000000" w:sz="4" w:space="0"/>
              <w:left w:val="single" w:color="000000" w:sz="4" w:space="0"/>
              <w:bottom w:val="single" w:color="000000" w:sz="4" w:space="0"/>
              <w:right w:val="single" w:color="000000" w:sz="4" w:space="0"/>
            </w:tcBorders>
            <w:vAlign w:val="center"/>
          </w:tcPr>
          <w:p w14:paraId="6924C752">
            <w:pPr>
              <w:pStyle w:val="71"/>
              <w:spacing w:before="24" w:after="24"/>
              <w:rPr>
                <w:rFonts w:cs="Times New Roman"/>
              </w:rPr>
            </w:pPr>
          </w:p>
        </w:tc>
      </w:tr>
      <w:tr w14:paraId="5B536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5E85AE2A">
            <w:pPr>
              <w:pStyle w:val="71"/>
              <w:spacing w:before="24" w:after="24"/>
              <w:rPr>
                <w:rFonts w:cs="Times New Roman"/>
              </w:rPr>
            </w:pPr>
            <w:r>
              <w:rPr>
                <w:rFonts w:cs="Times New Roman"/>
              </w:rPr>
              <w:t>8</w:t>
            </w:r>
          </w:p>
        </w:tc>
        <w:tc>
          <w:tcPr>
            <w:tcW w:w="1415" w:type="dxa"/>
            <w:tcBorders>
              <w:top w:val="single" w:color="000000" w:sz="4" w:space="0"/>
              <w:left w:val="single" w:color="000000" w:sz="4" w:space="0"/>
              <w:bottom w:val="single" w:color="000000" w:sz="4" w:space="0"/>
              <w:right w:val="single" w:color="000000" w:sz="4" w:space="0"/>
            </w:tcBorders>
            <w:vAlign w:val="center"/>
          </w:tcPr>
          <w:p w14:paraId="49776A4F">
            <w:pPr>
              <w:pStyle w:val="71"/>
              <w:spacing w:before="24" w:after="24"/>
              <w:rPr>
                <w:rFonts w:cs="Times New Roman"/>
              </w:rPr>
            </w:pPr>
            <w:r>
              <w:rPr>
                <w:rFonts w:cs="Times New Roman"/>
              </w:rPr>
              <w:t>地面八（防静电地板）</w:t>
            </w:r>
          </w:p>
        </w:tc>
        <w:tc>
          <w:tcPr>
            <w:tcW w:w="1720" w:type="dxa"/>
            <w:tcBorders>
              <w:top w:val="single" w:color="000000" w:sz="4" w:space="0"/>
              <w:left w:val="single" w:color="000000" w:sz="4" w:space="0"/>
              <w:bottom w:val="single" w:color="000000" w:sz="4" w:space="0"/>
              <w:right w:val="single" w:color="000000" w:sz="4" w:space="0"/>
            </w:tcBorders>
            <w:vAlign w:val="center"/>
          </w:tcPr>
          <w:p w14:paraId="05362581">
            <w:pPr>
              <w:pStyle w:val="71"/>
              <w:spacing w:before="24" w:after="24"/>
              <w:jc w:val="both"/>
              <w:rPr>
                <w:rFonts w:cs="Times New Roman"/>
              </w:rPr>
            </w:pPr>
            <w:r>
              <w:rPr>
                <w:rFonts w:cs="Times New Roman"/>
              </w:rPr>
              <w:t>计算机教室及其辅助用房、安防、网络监控室</w:t>
            </w:r>
          </w:p>
        </w:tc>
        <w:tc>
          <w:tcPr>
            <w:tcW w:w="4181" w:type="dxa"/>
            <w:tcBorders>
              <w:top w:val="single" w:color="000000" w:sz="4" w:space="0"/>
              <w:left w:val="single" w:color="000000" w:sz="4" w:space="0"/>
              <w:bottom w:val="single" w:color="000000" w:sz="4" w:space="0"/>
              <w:right w:val="single" w:color="000000" w:sz="4" w:space="0"/>
            </w:tcBorders>
            <w:vAlign w:val="center"/>
          </w:tcPr>
          <w:p w14:paraId="09498050">
            <w:pPr>
              <w:pStyle w:val="71"/>
              <w:spacing w:before="24" w:after="24"/>
              <w:jc w:val="both"/>
              <w:rPr>
                <w:rFonts w:cs="Times New Roman"/>
              </w:rPr>
            </w:pPr>
            <w:r>
              <w:rPr>
                <w:rFonts w:cs="Times New Roman"/>
              </w:rPr>
              <w:t>1）150～200高架空防静电活动地板</w:t>
            </w:r>
          </w:p>
          <w:p w14:paraId="63CC2440">
            <w:pPr>
              <w:pStyle w:val="71"/>
              <w:spacing w:before="24" w:after="24"/>
              <w:jc w:val="both"/>
              <w:rPr>
                <w:rFonts w:cs="Times New Roman"/>
              </w:rPr>
            </w:pPr>
            <w:r>
              <w:rPr>
                <w:rFonts w:cs="Times New Roman"/>
              </w:rPr>
              <w:t>2）保护层界面剂一道</w:t>
            </w:r>
          </w:p>
          <w:p w14:paraId="29978504">
            <w:pPr>
              <w:pStyle w:val="71"/>
              <w:spacing w:before="24" w:after="24"/>
              <w:jc w:val="both"/>
              <w:rPr>
                <w:rFonts w:cs="Times New Roman"/>
              </w:rPr>
            </w:pPr>
            <w:r>
              <w:rPr>
                <w:rFonts w:cs="Times New Roman"/>
              </w:rPr>
              <w:t>3）20厚1:3水泥砂浆找平层</w:t>
            </w:r>
          </w:p>
          <w:p w14:paraId="34D6B528">
            <w:pPr>
              <w:pStyle w:val="71"/>
              <w:spacing w:before="24" w:after="24"/>
              <w:jc w:val="both"/>
              <w:rPr>
                <w:rFonts w:cs="Times New Roman"/>
              </w:rPr>
            </w:pPr>
            <w:r>
              <w:rPr>
                <w:rFonts w:cs="Times New Roman"/>
              </w:rPr>
              <w:t>4）80厚C15混凝土垫层，随捣随抹光</w:t>
            </w:r>
          </w:p>
          <w:p w14:paraId="2BF09D0B">
            <w:pPr>
              <w:pStyle w:val="71"/>
              <w:spacing w:before="24" w:after="24"/>
              <w:jc w:val="both"/>
              <w:rPr>
                <w:rFonts w:cs="Times New Roman"/>
              </w:rPr>
            </w:pPr>
            <w:r>
              <w:rPr>
                <w:rFonts w:cs="Times New Roman"/>
              </w:rPr>
              <w:t>5）素土夯实，压实系数≥0.94</w:t>
            </w:r>
          </w:p>
        </w:tc>
        <w:tc>
          <w:tcPr>
            <w:tcW w:w="1277" w:type="dxa"/>
            <w:tcBorders>
              <w:top w:val="single" w:color="000000" w:sz="4" w:space="0"/>
              <w:left w:val="single" w:color="000000" w:sz="4" w:space="0"/>
              <w:bottom w:val="single" w:color="000000" w:sz="4" w:space="0"/>
              <w:right w:val="single" w:color="000000" w:sz="4" w:space="0"/>
            </w:tcBorders>
            <w:vAlign w:val="center"/>
          </w:tcPr>
          <w:p w14:paraId="48C57CD9">
            <w:pPr>
              <w:pStyle w:val="71"/>
              <w:spacing w:before="24" w:after="24"/>
              <w:rPr>
                <w:rFonts w:cs="Times New Roman"/>
              </w:rPr>
            </w:pPr>
          </w:p>
        </w:tc>
      </w:tr>
      <w:tr w14:paraId="559FF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348" w:type="dxa"/>
            <w:gridSpan w:val="5"/>
            <w:tcBorders>
              <w:top w:val="single" w:color="000000" w:sz="4" w:space="0"/>
              <w:left w:val="single" w:color="000000" w:sz="4" w:space="0"/>
              <w:bottom w:val="single" w:color="000000" w:sz="4" w:space="0"/>
              <w:right w:val="single" w:color="000000" w:sz="4" w:space="0"/>
            </w:tcBorders>
            <w:vAlign w:val="center"/>
          </w:tcPr>
          <w:p w14:paraId="289ACC65">
            <w:pPr>
              <w:pStyle w:val="71"/>
              <w:spacing w:before="24" w:after="24"/>
              <w:rPr>
                <w:rFonts w:cs="Times New Roman"/>
              </w:rPr>
            </w:pPr>
            <w:r>
              <w:rPr>
                <w:rFonts w:cs="Times New Roman"/>
              </w:rPr>
              <w:t>楼面</w:t>
            </w:r>
          </w:p>
        </w:tc>
      </w:tr>
      <w:tr w14:paraId="12FFE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6" w:hRule="atLeast"/>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74E0845E">
            <w:pPr>
              <w:pStyle w:val="71"/>
              <w:spacing w:before="24" w:after="24"/>
              <w:rPr>
                <w:rFonts w:cs="Times New Roman"/>
              </w:rPr>
            </w:pPr>
            <w:r>
              <w:rPr>
                <w:rFonts w:cs="Times New Roman"/>
              </w:rPr>
              <w:t>1</w:t>
            </w:r>
          </w:p>
        </w:tc>
        <w:tc>
          <w:tcPr>
            <w:tcW w:w="1415" w:type="dxa"/>
            <w:tcBorders>
              <w:top w:val="single" w:color="000000" w:sz="4" w:space="0"/>
              <w:left w:val="single" w:color="000000" w:sz="4" w:space="0"/>
              <w:bottom w:val="single" w:color="000000" w:sz="4" w:space="0"/>
              <w:right w:val="single" w:color="000000" w:sz="4" w:space="0"/>
            </w:tcBorders>
            <w:vAlign w:val="center"/>
          </w:tcPr>
          <w:p w14:paraId="6442FA17">
            <w:pPr>
              <w:pStyle w:val="71"/>
              <w:spacing w:before="24" w:after="24"/>
              <w:rPr>
                <w:rFonts w:cs="Times New Roman"/>
              </w:rPr>
            </w:pPr>
            <w:r>
              <w:rPr>
                <w:rFonts w:cs="Times New Roman"/>
              </w:rPr>
              <w:t>楼面一（水磨石楼面）</w:t>
            </w:r>
          </w:p>
        </w:tc>
        <w:tc>
          <w:tcPr>
            <w:tcW w:w="1720" w:type="dxa"/>
            <w:tcBorders>
              <w:top w:val="single" w:color="000000" w:sz="4" w:space="0"/>
              <w:left w:val="single" w:color="000000" w:sz="4" w:space="0"/>
              <w:bottom w:val="single" w:color="000000" w:sz="4" w:space="0"/>
              <w:right w:val="single" w:color="000000" w:sz="4" w:space="0"/>
            </w:tcBorders>
            <w:vAlign w:val="center"/>
          </w:tcPr>
          <w:p w14:paraId="78812C94">
            <w:pPr>
              <w:pStyle w:val="71"/>
              <w:spacing w:before="24" w:after="24"/>
              <w:rPr>
                <w:rFonts w:cs="Times New Roman"/>
              </w:rPr>
            </w:pPr>
            <w:r>
              <w:rPr>
                <w:rFonts w:cs="Times New Roman"/>
              </w:rPr>
              <w:t>普通教室、办公室、多功能活动室、阅览室、内走道、楼梯间</w:t>
            </w:r>
          </w:p>
        </w:tc>
        <w:tc>
          <w:tcPr>
            <w:tcW w:w="4181" w:type="dxa"/>
            <w:tcBorders>
              <w:top w:val="single" w:color="000000" w:sz="4" w:space="0"/>
              <w:left w:val="single" w:color="000000" w:sz="4" w:space="0"/>
              <w:bottom w:val="single" w:color="000000" w:sz="4" w:space="0"/>
              <w:right w:val="single" w:color="000000" w:sz="4" w:space="0"/>
            </w:tcBorders>
            <w:vAlign w:val="center"/>
          </w:tcPr>
          <w:p w14:paraId="0E981D02">
            <w:pPr>
              <w:pStyle w:val="71"/>
              <w:spacing w:before="24" w:after="24"/>
              <w:jc w:val="both"/>
              <w:rPr>
                <w:rFonts w:cs="Times New Roman"/>
              </w:rPr>
            </w:pPr>
            <w:r>
              <w:rPr>
                <w:rFonts w:cs="Times New Roman"/>
              </w:rPr>
              <w:t>1）表面草酸处理后打蜡上光</w:t>
            </w:r>
          </w:p>
          <w:p w14:paraId="7C9D9749">
            <w:pPr>
              <w:pStyle w:val="71"/>
              <w:spacing w:before="24" w:after="24"/>
              <w:jc w:val="both"/>
              <w:rPr>
                <w:rFonts w:cs="Times New Roman"/>
              </w:rPr>
            </w:pPr>
            <w:r>
              <w:rPr>
                <w:rFonts w:cs="Times New Roman"/>
              </w:rPr>
              <w:t>2）15mm厚1:2.5水泥石粒普通水磨石面层</w:t>
            </w:r>
          </w:p>
          <w:p w14:paraId="44C1C940">
            <w:pPr>
              <w:pStyle w:val="71"/>
              <w:spacing w:before="24" w:after="24"/>
              <w:jc w:val="both"/>
              <w:rPr>
                <w:rFonts w:cs="Times New Roman"/>
              </w:rPr>
            </w:pPr>
            <w:r>
              <w:rPr>
                <w:rFonts w:cs="Times New Roman"/>
              </w:rPr>
              <w:t>3）20mm厚1:3水泥砂浆结合层</w:t>
            </w:r>
          </w:p>
          <w:p w14:paraId="59526E4C">
            <w:pPr>
              <w:pStyle w:val="71"/>
              <w:spacing w:before="24" w:after="24"/>
              <w:jc w:val="both"/>
              <w:rPr>
                <w:rFonts w:cs="Times New Roman"/>
              </w:rPr>
            </w:pPr>
            <w:r>
              <w:rPr>
                <w:rFonts w:cs="Times New Roman"/>
              </w:rPr>
              <w:t>4）界面剂1道</w:t>
            </w:r>
          </w:p>
          <w:p w14:paraId="4A5E2F7A">
            <w:pPr>
              <w:pStyle w:val="71"/>
              <w:spacing w:before="24" w:after="24"/>
              <w:jc w:val="both"/>
              <w:rPr>
                <w:rFonts w:cs="Times New Roman"/>
              </w:rPr>
            </w:pPr>
            <w:r>
              <w:rPr>
                <w:rFonts w:cs="Times New Roman"/>
              </w:rPr>
              <w:t>5）钢筋混凝土结构层打磨平整</w:t>
            </w:r>
          </w:p>
        </w:tc>
        <w:tc>
          <w:tcPr>
            <w:tcW w:w="1277" w:type="dxa"/>
            <w:tcBorders>
              <w:top w:val="single" w:color="000000" w:sz="4" w:space="0"/>
              <w:left w:val="single" w:color="000000" w:sz="4" w:space="0"/>
              <w:bottom w:val="single" w:color="000000" w:sz="4" w:space="0"/>
              <w:right w:val="single" w:color="000000" w:sz="4" w:space="0"/>
            </w:tcBorders>
            <w:vAlign w:val="center"/>
          </w:tcPr>
          <w:p w14:paraId="1A503B4E">
            <w:pPr>
              <w:pStyle w:val="71"/>
              <w:spacing w:before="24" w:after="24"/>
              <w:rPr>
                <w:rFonts w:cs="Times New Roman"/>
              </w:rPr>
            </w:pPr>
          </w:p>
        </w:tc>
      </w:tr>
      <w:tr w14:paraId="6EEB3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7F327A19">
            <w:pPr>
              <w:pStyle w:val="71"/>
              <w:spacing w:before="24" w:after="24"/>
              <w:rPr>
                <w:rFonts w:cs="Times New Roman"/>
              </w:rPr>
            </w:pPr>
            <w:r>
              <w:rPr>
                <w:rFonts w:cs="Times New Roman"/>
              </w:rPr>
              <w:t>2</w:t>
            </w:r>
          </w:p>
        </w:tc>
        <w:tc>
          <w:tcPr>
            <w:tcW w:w="1415" w:type="dxa"/>
            <w:tcBorders>
              <w:top w:val="single" w:color="000000" w:sz="4" w:space="0"/>
              <w:left w:val="single" w:color="000000" w:sz="4" w:space="0"/>
              <w:bottom w:val="single" w:color="000000" w:sz="4" w:space="0"/>
              <w:right w:val="single" w:color="000000" w:sz="4" w:space="0"/>
            </w:tcBorders>
            <w:vAlign w:val="center"/>
          </w:tcPr>
          <w:p w14:paraId="4E82FE07">
            <w:pPr>
              <w:pStyle w:val="71"/>
              <w:spacing w:before="24" w:after="24"/>
              <w:rPr>
                <w:rFonts w:cs="Times New Roman"/>
              </w:rPr>
            </w:pPr>
            <w:r>
              <w:rPr>
                <w:rFonts w:cs="Times New Roman"/>
              </w:rPr>
              <w:t>楼面二（水磨石楼面，单层防水）</w:t>
            </w:r>
          </w:p>
        </w:tc>
        <w:tc>
          <w:tcPr>
            <w:tcW w:w="1720" w:type="dxa"/>
            <w:tcBorders>
              <w:top w:val="single" w:color="000000" w:sz="4" w:space="0"/>
              <w:left w:val="single" w:color="000000" w:sz="4" w:space="0"/>
              <w:bottom w:val="single" w:color="000000" w:sz="4" w:space="0"/>
              <w:right w:val="single" w:color="000000" w:sz="4" w:space="0"/>
            </w:tcBorders>
            <w:vAlign w:val="center"/>
          </w:tcPr>
          <w:p w14:paraId="12583095">
            <w:pPr>
              <w:pStyle w:val="71"/>
              <w:spacing w:before="24" w:after="24"/>
              <w:rPr>
                <w:rFonts w:cs="Times New Roman"/>
              </w:rPr>
            </w:pPr>
            <w:r>
              <w:rPr>
                <w:rFonts w:cs="Times New Roman"/>
              </w:rPr>
              <w:t>阳台、室外连廊</w:t>
            </w:r>
          </w:p>
        </w:tc>
        <w:tc>
          <w:tcPr>
            <w:tcW w:w="4181" w:type="dxa"/>
            <w:tcBorders>
              <w:top w:val="single" w:color="000000" w:sz="4" w:space="0"/>
              <w:left w:val="single" w:color="000000" w:sz="4" w:space="0"/>
              <w:bottom w:val="single" w:color="000000" w:sz="4" w:space="0"/>
              <w:right w:val="single" w:color="000000" w:sz="4" w:space="0"/>
            </w:tcBorders>
            <w:vAlign w:val="center"/>
          </w:tcPr>
          <w:p w14:paraId="5C4C7608">
            <w:pPr>
              <w:pStyle w:val="71"/>
              <w:spacing w:before="24" w:after="24"/>
              <w:jc w:val="both"/>
              <w:rPr>
                <w:rFonts w:cs="Times New Roman"/>
              </w:rPr>
            </w:pPr>
            <w:r>
              <w:rPr>
                <w:rFonts w:cs="Times New Roman"/>
              </w:rPr>
              <w:t>1）表面草酸处理后打蜡上光</w:t>
            </w:r>
          </w:p>
          <w:p w14:paraId="7C58E9B1">
            <w:pPr>
              <w:pStyle w:val="71"/>
              <w:spacing w:before="24" w:after="24"/>
              <w:jc w:val="both"/>
              <w:rPr>
                <w:rFonts w:cs="Times New Roman"/>
              </w:rPr>
            </w:pPr>
            <w:r>
              <w:rPr>
                <w:rFonts w:cs="Times New Roman"/>
              </w:rPr>
              <w:t>2）15mm厚1:2.5水泥石粒普通水磨石面层</w:t>
            </w:r>
          </w:p>
          <w:p w14:paraId="7A0A34DE">
            <w:pPr>
              <w:pStyle w:val="71"/>
              <w:spacing w:before="24" w:after="24"/>
              <w:jc w:val="both"/>
              <w:rPr>
                <w:rFonts w:cs="Times New Roman"/>
              </w:rPr>
            </w:pPr>
            <w:r>
              <w:rPr>
                <w:rFonts w:cs="Times New Roman"/>
              </w:rPr>
              <w:t>3）</w:t>
            </w:r>
            <w:r>
              <w:rPr>
                <w:rFonts w:hint="eastAsia" w:cs="Times New Roman"/>
              </w:rPr>
              <w:t>2</w:t>
            </w:r>
            <w:r>
              <w:rPr>
                <w:rFonts w:cs="Times New Roman"/>
              </w:rPr>
              <w:t>0厚1:3干硬性水泥砂浆结合层，表面撒水泥粉</w:t>
            </w:r>
          </w:p>
          <w:p w14:paraId="749B155E">
            <w:pPr>
              <w:pStyle w:val="71"/>
              <w:spacing w:before="24" w:after="24"/>
              <w:jc w:val="both"/>
              <w:rPr>
                <w:rFonts w:cs="Times New Roman"/>
              </w:rPr>
            </w:pPr>
            <w:r>
              <w:rPr>
                <w:rFonts w:cs="Times New Roman"/>
              </w:rPr>
              <w:t>4）最薄处20厚1：3水泥砂浆找坡层兼找平层，1%坡向地漏</w:t>
            </w:r>
          </w:p>
          <w:p w14:paraId="7C8FA690">
            <w:pPr>
              <w:pStyle w:val="71"/>
              <w:spacing w:before="24" w:after="24"/>
              <w:jc w:val="both"/>
              <w:rPr>
                <w:rFonts w:cs="Times New Roman"/>
              </w:rPr>
            </w:pPr>
            <w:r>
              <w:rPr>
                <w:rFonts w:cs="Times New Roman"/>
              </w:rPr>
              <w:t>5）1.5厚JS-Ⅱ型防水涂料，沿墙上翻至建筑完成面以上300mm</w:t>
            </w:r>
          </w:p>
          <w:p w14:paraId="2DF5E66A">
            <w:pPr>
              <w:pStyle w:val="71"/>
              <w:spacing w:before="24" w:after="24"/>
              <w:jc w:val="both"/>
              <w:rPr>
                <w:rFonts w:cs="Times New Roman"/>
              </w:rPr>
            </w:pPr>
            <w:r>
              <w:rPr>
                <w:rFonts w:cs="Times New Roman"/>
              </w:rPr>
              <w:t>6）现浇钢筋混凝土楼板，原浆收光</w:t>
            </w:r>
          </w:p>
        </w:tc>
        <w:tc>
          <w:tcPr>
            <w:tcW w:w="1277" w:type="dxa"/>
            <w:tcBorders>
              <w:top w:val="single" w:color="000000" w:sz="4" w:space="0"/>
              <w:left w:val="single" w:color="000000" w:sz="4" w:space="0"/>
              <w:bottom w:val="single" w:color="000000" w:sz="4" w:space="0"/>
              <w:right w:val="single" w:color="000000" w:sz="4" w:space="0"/>
            </w:tcBorders>
            <w:vAlign w:val="center"/>
          </w:tcPr>
          <w:p w14:paraId="4D952CF9">
            <w:pPr>
              <w:pStyle w:val="71"/>
              <w:spacing w:before="24" w:after="24"/>
              <w:rPr>
                <w:rFonts w:cs="Times New Roman"/>
              </w:rPr>
            </w:pPr>
          </w:p>
        </w:tc>
      </w:tr>
      <w:tr w14:paraId="0C3F1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51847C9D">
            <w:pPr>
              <w:pStyle w:val="71"/>
              <w:spacing w:before="24" w:after="24"/>
              <w:rPr>
                <w:rFonts w:cs="Times New Roman"/>
              </w:rPr>
            </w:pPr>
            <w:r>
              <w:rPr>
                <w:rFonts w:cs="Times New Roman"/>
              </w:rPr>
              <w:t>3</w:t>
            </w:r>
          </w:p>
        </w:tc>
        <w:tc>
          <w:tcPr>
            <w:tcW w:w="1415" w:type="dxa"/>
            <w:tcBorders>
              <w:top w:val="single" w:color="000000" w:sz="4" w:space="0"/>
              <w:left w:val="single" w:color="000000" w:sz="4" w:space="0"/>
              <w:bottom w:val="single" w:color="000000" w:sz="4" w:space="0"/>
              <w:right w:val="single" w:color="000000" w:sz="4" w:space="0"/>
            </w:tcBorders>
            <w:vAlign w:val="center"/>
          </w:tcPr>
          <w:p w14:paraId="62AD67ED">
            <w:pPr>
              <w:pStyle w:val="71"/>
              <w:spacing w:before="24" w:after="24"/>
              <w:rPr>
                <w:rFonts w:cs="Times New Roman"/>
              </w:rPr>
            </w:pPr>
            <w:r>
              <w:rPr>
                <w:rFonts w:cs="Times New Roman"/>
              </w:rPr>
              <w:t>楼面三（防滑地砖楼面）</w:t>
            </w:r>
          </w:p>
        </w:tc>
        <w:tc>
          <w:tcPr>
            <w:tcW w:w="1720" w:type="dxa"/>
            <w:tcBorders>
              <w:top w:val="single" w:color="000000" w:sz="4" w:space="0"/>
              <w:left w:val="single" w:color="000000" w:sz="4" w:space="0"/>
              <w:bottom w:val="single" w:color="000000" w:sz="4" w:space="0"/>
              <w:right w:val="single" w:color="000000" w:sz="4" w:space="0"/>
            </w:tcBorders>
            <w:vAlign w:val="center"/>
          </w:tcPr>
          <w:p w14:paraId="3178E795">
            <w:pPr>
              <w:pStyle w:val="71"/>
              <w:spacing w:before="24" w:after="24"/>
              <w:rPr>
                <w:rFonts w:cs="Times New Roman"/>
              </w:rPr>
            </w:pPr>
            <w:r>
              <w:rPr>
                <w:rFonts w:cs="Times New Roman"/>
              </w:rPr>
              <w:t>门厅、休息厅、宿舍、值班室、餐厅、加工间、电梯厅</w:t>
            </w:r>
          </w:p>
        </w:tc>
        <w:tc>
          <w:tcPr>
            <w:tcW w:w="4181" w:type="dxa"/>
            <w:tcBorders>
              <w:top w:val="single" w:color="000000" w:sz="4" w:space="0"/>
              <w:left w:val="single" w:color="000000" w:sz="4" w:space="0"/>
              <w:bottom w:val="single" w:color="000000" w:sz="4" w:space="0"/>
              <w:right w:val="single" w:color="000000" w:sz="4" w:space="0"/>
            </w:tcBorders>
            <w:vAlign w:val="center"/>
          </w:tcPr>
          <w:p w14:paraId="06591BF8">
            <w:pPr>
              <w:pStyle w:val="71"/>
              <w:spacing w:before="24" w:after="24"/>
              <w:jc w:val="both"/>
              <w:rPr>
                <w:rFonts w:cs="Times New Roman"/>
              </w:rPr>
            </w:pPr>
            <w:r>
              <w:rPr>
                <w:rFonts w:cs="Times New Roman"/>
              </w:rPr>
              <w:t>1）哑光防滑耐磨地砖面层</w:t>
            </w:r>
          </w:p>
          <w:p w14:paraId="2392AE98">
            <w:pPr>
              <w:pStyle w:val="71"/>
              <w:spacing w:before="24" w:after="24"/>
              <w:jc w:val="both"/>
              <w:rPr>
                <w:rFonts w:cs="Times New Roman"/>
              </w:rPr>
            </w:pPr>
            <w:r>
              <w:rPr>
                <w:rFonts w:cs="Times New Roman"/>
              </w:rPr>
              <w:t>2）</w:t>
            </w:r>
            <w:r>
              <w:rPr>
                <w:rFonts w:hint="eastAsia" w:cs="Times New Roman"/>
              </w:rPr>
              <w:t>2</w:t>
            </w:r>
            <w:r>
              <w:rPr>
                <w:rFonts w:cs="Times New Roman"/>
              </w:rPr>
              <w:t>0厚1:3干硬性水泥砂浆结合层，表面撒水泥粉</w:t>
            </w:r>
          </w:p>
          <w:p w14:paraId="4D40CB38">
            <w:pPr>
              <w:pStyle w:val="71"/>
              <w:spacing w:before="24" w:after="24"/>
              <w:jc w:val="both"/>
              <w:rPr>
                <w:rFonts w:cs="Times New Roman"/>
              </w:rPr>
            </w:pPr>
            <w:r>
              <w:rPr>
                <w:rFonts w:cs="Times New Roman"/>
              </w:rPr>
              <w:t>3）现浇钢筋混凝土楼板</w:t>
            </w:r>
          </w:p>
        </w:tc>
        <w:tc>
          <w:tcPr>
            <w:tcW w:w="1277" w:type="dxa"/>
            <w:tcBorders>
              <w:top w:val="single" w:color="000000" w:sz="4" w:space="0"/>
              <w:left w:val="single" w:color="000000" w:sz="4" w:space="0"/>
              <w:bottom w:val="single" w:color="000000" w:sz="4" w:space="0"/>
              <w:right w:val="single" w:color="000000" w:sz="4" w:space="0"/>
            </w:tcBorders>
            <w:vAlign w:val="center"/>
          </w:tcPr>
          <w:p w14:paraId="49C1008E">
            <w:pPr>
              <w:pStyle w:val="71"/>
              <w:spacing w:before="24" w:after="24"/>
              <w:rPr>
                <w:rFonts w:cs="Times New Roman"/>
              </w:rPr>
            </w:pPr>
          </w:p>
        </w:tc>
      </w:tr>
      <w:tr w14:paraId="1EB8E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6CB8A6DB">
            <w:pPr>
              <w:pStyle w:val="71"/>
              <w:spacing w:before="24" w:after="24"/>
              <w:rPr>
                <w:rFonts w:cs="Times New Roman"/>
              </w:rPr>
            </w:pPr>
            <w:r>
              <w:rPr>
                <w:rFonts w:cs="Times New Roman"/>
              </w:rPr>
              <w:t>4</w:t>
            </w:r>
          </w:p>
        </w:tc>
        <w:tc>
          <w:tcPr>
            <w:tcW w:w="1415" w:type="dxa"/>
            <w:tcBorders>
              <w:top w:val="single" w:color="000000" w:sz="4" w:space="0"/>
              <w:left w:val="single" w:color="000000" w:sz="4" w:space="0"/>
              <w:bottom w:val="single" w:color="000000" w:sz="4" w:space="0"/>
              <w:right w:val="single" w:color="000000" w:sz="4" w:space="0"/>
            </w:tcBorders>
            <w:vAlign w:val="center"/>
          </w:tcPr>
          <w:p w14:paraId="02E5FEA6">
            <w:pPr>
              <w:pStyle w:val="71"/>
              <w:spacing w:before="24" w:after="24"/>
              <w:rPr>
                <w:rFonts w:cs="Times New Roman"/>
              </w:rPr>
            </w:pPr>
            <w:r>
              <w:rPr>
                <w:rFonts w:cs="Times New Roman"/>
              </w:rPr>
              <w:t>楼面四（防滑地砖面层（无沉箱，有防水））</w:t>
            </w:r>
          </w:p>
        </w:tc>
        <w:tc>
          <w:tcPr>
            <w:tcW w:w="1720" w:type="dxa"/>
            <w:tcBorders>
              <w:top w:val="single" w:color="000000" w:sz="4" w:space="0"/>
              <w:left w:val="single" w:color="000000" w:sz="4" w:space="0"/>
              <w:bottom w:val="single" w:color="000000" w:sz="4" w:space="0"/>
              <w:right w:val="single" w:color="000000" w:sz="4" w:space="0"/>
            </w:tcBorders>
            <w:vAlign w:val="center"/>
          </w:tcPr>
          <w:p w14:paraId="4C66C6C0">
            <w:pPr>
              <w:pStyle w:val="71"/>
              <w:spacing w:before="24" w:after="24"/>
              <w:rPr>
                <w:rFonts w:cs="Times New Roman"/>
              </w:rPr>
            </w:pPr>
            <w:r>
              <w:rPr>
                <w:rFonts w:cs="Times New Roman"/>
              </w:rPr>
              <w:t>非下沉式卫生间、厨房</w:t>
            </w:r>
          </w:p>
        </w:tc>
        <w:tc>
          <w:tcPr>
            <w:tcW w:w="4181" w:type="dxa"/>
            <w:tcBorders>
              <w:top w:val="single" w:color="000000" w:sz="4" w:space="0"/>
              <w:left w:val="single" w:color="000000" w:sz="4" w:space="0"/>
              <w:bottom w:val="single" w:color="000000" w:sz="4" w:space="0"/>
              <w:right w:val="single" w:color="000000" w:sz="4" w:space="0"/>
            </w:tcBorders>
            <w:vAlign w:val="center"/>
          </w:tcPr>
          <w:p w14:paraId="1DE3802E">
            <w:pPr>
              <w:pStyle w:val="71"/>
              <w:spacing w:before="24" w:after="24"/>
              <w:jc w:val="both"/>
              <w:rPr>
                <w:rFonts w:cs="Times New Roman"/>
              </w:rPr>
            </w:pPr>
            <w:r>
              <w:rPr>
                <w:rFonts w:cs="Times New Roman"/>
              </w:rPr>
              <w:t>1）防滑地砖，专用美缝剂美缝</w:t>
            </w:r>
          </w:p>
          <w:p w14:paraId="3BB939AE">
            <w:pPr>
              <w:pStyle w:val="71"/>
              <w:spacing w:before="24" w:after="24"/>
              <w:jc w:val="both"/>
              <w:rPr>
                <w:rFonts w:cs="Times New Roman"/>
              </w:rPr>
            </w:pPr>
            <w:r>
              <w:rPr>
                <w:rFonts w:cs="Times New Roman"/>
              </w:rPr>
              <w:t>2）</w:t>
            </w:r>
            <w:r>
              <w:rPr>
                <w:rFonts w:hint="eastAsia" w:cs="Times New Roman"/>
              </w:rPr>
              <w:t>2</w:t>
            </w:r>
            <w:r>
              <w:rPr>
                <w:rFonts w:cs="Times New Roman"/>
              </w:rPr>
              <w:t>0厚1:3干硬性水泥砂浆结合层，表面撒水泥粉</w:t>
            </w:r>
          </w:p>
          <w:p w14:paraId="4BE6A14D">
            <w:pPr>
              <w:pStyle w:val="71"/>
              <w:spacing w:before="24" w:after="24"/>
              <w:jc w:val="both"/>
              <w:rPr>
                <w:rFonts w:cs="Times New Roman"/>
              </w:rPr>
            </w:pPr>
            <w:r>
              <w:rPr>
                <w:rFonts w:cs="Times New Roman"/>
              </w:rPr>
              <w:t>3）最薄处20厚1：3水泥砂浆找坡兼找平层（掺5%防水剂），1%坡向地漏</w:t>
            </w:r>
          </w:p>
          <w:p w14:paraId="69C6DFAF">
            <w:pPr>
              <w:pStyle w:val="71"/>
              <w:spacing w:before="24" w:after="24"/>
              <w:jc w:val="both"/>
              <w:rPr>
                <w:rFonts w:cs="Times New Roman"/>
              </w:rPr>
            </w:pPr>
            <w:r>
              <w:rPr>
                <w:rFonts w:cs="Times New Roman"/>
              </w:rPr>
              <w:t>4）管道边及孔边四周300mm范围先刷1.5mm厚JS-II聚合物水泥防水涂料，再大面刷1.5mm厚JS-II聚合物水泥防水涂料，四周卷起建筑完成面300高（防水层向外延展的长度不应小于500mm，向两侧延展的宽度不应小于200mm）</w:t>
            </w:r>
          </w:p>
          <w:p w14:paraId="0D803F2D">
            <w:pPr>
              <w:pStyle w:val="71"/>
              <w:spacing w:before="24" w:after="24"/>
              <w:jc w:val="both"/>
              <w:rPr>
                <w:rFonts w:cs="Times New Roman"/>
              </w:rPr>
            </w:pPr>
            <w:r>
              <w:rPr>
                <w:rFonts w:cs="Times New Roman"/>
              </w:rPr>
              <w:t>5）阴角做1:2水泥砂浆50mm圆弧；</w:t>
            </w:r>
          </w:p>
          <w:p w14:paraId="0C046BD4">
            <w:pPr>
              <w:pStyle w:val="71"/>
              <w:spacing w:before="24" w:after="24"/>
              <w:jc w:val="both"/>
              <w:rPr>
                <w:rFonts w:cs="Times New Roman"/>
              </w:rPr>
            </w:pPr>
            <w:r>
              <w:rPr>
                <w:rFonts w:cs="Times New Roman"/>
              </w:rPr>
              <w:t>6）现浇钢筋混凝土楼板,随捣随抹平</w:t>
            </w:r>
          </w:p>
        </w:tc>
        <w:tc>
          <w:tcPr>
            <w:tcW w:w="1277" w:type="dxa"/>
            <w:tcBorders>
              <w:top w:val="single" w:color="000000" w:sz="4" w:space="0"/>
              <w:left w:val="single" w:color="000000" w:sz="4" w:space="0"/>
              <w:bottom w:val="single" w:color="000000" w:sz="4" w:space="0"/>
              <w:right w:val="single" w:color="000000" w:sz="4" w:space="0"/>
            </w:tcBorders>
            <w:vAlign w:val="center"/>
          </w:tcPr>
          <w:p w14:paraId="20A96CA0">
            <w:pPr>
              <w:pStyle w:val="71"/>
              <w:spacing w:before="24" w:after="24"/>
              <w:rPr>
                <w:rFonts w:cs="Times New Roman"/>
              </w:rPr>
            </w:pPr>
          </w:p>
        </w:tc>
      </w:tr>
      <w:tr w14:paraId="7F68E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36F4E9F9">
            <w:pPr>
              <w:pStyle w:val="71"/>
              <w:spacing w:before="24" w:after="24"/>
              <w:rPr>
                <w:rFonts w:cs="Times New Roman"/>
              </w:rPr>
            </w:pPr>
            <w:r>
              <w:rPr>
                <w:rFonts w:cs="Times New Roman"/>
              </w:rPr>
              <w:t>5</w:t>
            </w:r>
          </w:p>
        </w:tc>
        <w:tc>
          <w:tcPr>
            <w:tcW w:w="1415" w:type="dxa"/>
            <w:tcBorders>
              <w:top w:val="single" w:color="000000" w:sz="4" w:space="0"/>
              <w:left w:val="single" w:color="000000" w:sz="4" w:space="0"/>
              <w:bottom w:val="single" w:color="000000" w:sz="4" w:space="0"/>
              <w:right w:val="single" w:color="000000" w:sz="4" w:space="0"/>
            </w:tcBorders>
            <w:vAlign w:val="center"/>
          </w:tcPr>
          <w:p w14:paraId="6CC0BA3D">
            <w:pPr>
              <w:pStyle w:val="71"/>
              <w:spacing w:before="24" w:after="24"/>
              <w:rPr>
                <w:rFonts w:cs="Times New Roman"/>
              </w:rPr>
            </w:pPr>
            <w:r>
              <w:rPr>
                <w:rFonts w:cs="Times New Roman"/>
              </w:rPr>
              <w:t>楼面五（有沉箱））</w:t>
            </w:r>
          </w:p>
        </w:tc>
        <w:tc>
          <w:tcPr>
            <w:tcW w:w="1720" w:type="dxa"/>
            <w:tcBorders>
              <w:top w:val="single" w:color="000000" w:sz="4" w:space="0"/>
              <w:left w:val="single" w:color="000000" w:sz="4" w:space="0"/>
              <w:bottom w:val="single" w:color="000000" w:sz="4" w:space="0"/>
              <w:right w:val="single" w:color="000000" w:sz="4" w:space="0"/>
            </w:tcBorders>
            <w:vAlign w:val="center"/>
          </w:tcPr>
          <w:p w14:paraId="38B5AC9F">
            <w:pPr>
              <w:pStyle w:val="71"/>
              <w:spacing w:before="24" w:after="24"/>
              <w:rPr>
                <w:rFonts w:cs="Times New Roman"/>
              </w:rPr>
            </w:pPr>
            <w:r>
              <w:rPr>
                <w:rFonts w:cs="Times New Roman"/>
              </w:rPr>
              <w:t>下沉式卫生间</w:t>
            </w:r>
          </w:p>
        </w:tc>
        <w:tc>
          <w:tcPr>
            <w:tcW w:w="4181" w:type="dxa"/>
            <w:tcBorders>
              <w:top w:val="single" w:color="000000" w:sz="4" w:space="0"/>
              <w:left w:val="single" w:color="000000" w:sz="4" w:space="0"/>
              <w:bottom w:val="single" w:color="000000" w:sz="4" w:space="0"/>
              <w:right w:val="single" w:color="000000" w:sz="4" w:space="0"/>
            </w:tcBorders>
            <w:vAlign w:val="center"/>
          </w:tcPr>
          <w:p w14:paraId="2CAC3059">
            <w:pPr>
              <w:pStyle w:val="71"/>
              <w:spacing w:before="24" w:after="24"/>
              <w:jc w:val="both"/>
              <w:rPr>
                <w:rFonts w:cs="Times New Roman"/>
              </w:rPr>
            </w:pPr>
            <w:r>
              <w:rPr>
                <w:rFonts w:cs="Times New Roman"/>
              </w:rPr>
              <w:t>1）防滑地砖，专用美缝剂美缝</w:t>
            </w:r>
          </w:p>
          <w:p w14:paraId="64C77EFA">
            <w:pPr>
              <w:pStyle w:val="71"/>
              <w:spacing w:before="24" w:after="24"/>
              <w:jc w:val="both"/>
              <w:rPr>
                <w:rFonts w:cs="Times New Roman"/>
              </w:rPr>
            </w:pPr>
            <w:r>
              <w:rPr>
                <w:rFonts w:cs="Times New Roman"/>
              </w:rPr>
              <w:t>2）</w:t>
            </w:r>
            <w:r>
              <w:rPr>
                <w:rFonts w:hint="eastAsia" w:cs="Times New Roman"/>
              </w:rPr>
              <w:t>2</w:t>
            </w:r>
            <w:r>
              <w:rPr>
                <w:rFonts w:cs="Times New Roman"/>
              </w:rPr>
              <w:t>0厚1:3干硬性水泥砂浆结合层，表面撒水泥粉</w:t>
            </w:r>
          </w:p>
          <w:p w14:paraId="545F22F2">
            <w:pPr>
              <w:pStyle w:val="71"/>
              <w:spacing w:before="24" w:after="24"/>
              <w:jc w:val="both"/>
              <w:rPr>
                <w:rFonts w:cs="Times New Roman"/>
              </w:rPr>
            </w:pPr>
            <w:r>
              <w:rPr>
                <w:rFonts w:cs="Times New Roman"/>
              </w:rPr>
              <w:t>3）最薄处20厚1：3水泥砂浆找坡兼找平层（掺5%防水剂），1%坡向地漏</w:t>
            </w:r>
          </w:p>
          <w:p w14:paraId="60CC8DDB">
            <w:pPr>
              <w:pStyle w:val="71"/>
              <w:spacing w:before="24" w:after="24"/>
              <w:jc w:val="both"/>
              <w:rPr>
                <w:rFonts w:cs="Times New Roman"/>
              </w:rPr>
            </w:pPr>
            <w:r>
              <w:rPr>
                <w:rFonts w:cs="Times New Roman"/>
              </w:rPr>
              <w:t>4）陶粒混凝土回填（回填厚度以设计为准）</w:t>
            </w:r>
          </w:p>
          <w:p w14:paraId="226AF2A3">
            <w:pPr>
              <w:pStyle w:val="71"/>
              <w:spacing w:before="24" w:after="24"/>
              <w:jc w:val="both"/>
              <w:rPr>
                <w:rFonts w:cs="Times New Roman"/>
              </w:rPr>
            </w:pPr>
            <w:r>
              <w:rPr>
                <w:rFonts w:cs="Times New Roman"/>
              </w:rPr>
              <w:t>5）1.5厚JS-Ⅱ型防水涂料，沿墙上翻至建筑完成面以上300mm（防水层向外延展的长度不应小于500mm，向两侧延展的宽度不应小于200mm）</w:t>
            </w:r>
          </w:p>
          <w:p w14:paraId="7BEB1627">
            <w:pPr>
              <w:pStyle w:val="71"/>
              <w:spacing w:before="24" w:after="24"/>
              <w:jc w:val="both"/>
              <w:rPr>
                <w:rFonts w:cs="Times New Roman"/>
              </w:rPr>
            </w:pPr>
            <w:r>
              <w:rPr>
                <w:rFonts w:cs="Times New Roman"/>
              </w:rPr>
              <w:t>6）现浇钢筋混凝土楼板，原浆收光</w:t>
            </w:r>
          </w:p>
        </w:tc>
        <w:tc>
          <w:tcPr>
            <w:tcW w:w="1277" w:type="dxa"/>
            <w:tcBorders>
              <w:top w:val="single" w:color="000000" w:sz="4" w:space="0"/>
              <w:left w:val="single" w:color="000000" w:sz="4" w:space="0"/>
              <w:bottom w:val="single" w:color="000000" w:sz="4" w:space="0"/>
              <w:right w:val="single" w:color="000000" w:sz="4" w:space="0"/>
            </w:tcBorders>
            <w:vAlign w:val="center"/>
          </w:tcPr>
          <w:p w14:paraId="04BDC631">
            <w:pPr>
              <w:pStyle w:val="71"/>
              <w:spacing w:before="24" w:after="24"/>
              <w:rPr>
                <w:rFonts w:cs="Times New Roman"/>
              </w:rPr>
            </w:pPr>
          </w:p>
        </w:tc>
      </w:tr>
      <w:tr w14:paraId="5E455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76A087F3">
            <w:pPr>
              <w:pStyle w:val="71"/>
              <w:spacing w:before="24" w:after="24"/>
              <w:rPr>
                <w:rFonts w:cs="Times New Roman"/>
              </w:rPr>
            </w:pPr>
            <w:r>
              <w:rPr>
                <w:rFonts w:cs="Times New Roman"/>
              </w:rPr>
              <w:t>6</w:t>
            </w:r>
          </w:p>
        </w:tc>
        <w:tc>
          <w:tcPr>
            <w:tcW w:w="1415" w:type="dxa"/>
            <w:tcBorders>
              <w:top w:val="single" w:color="000000" w:sz="4" w:space="0"/>
              <w:left w:val="single" w:color="000000" w:sz="4" w:space="0"/>
              <w:bottom w:val="single" w:color="000000" w:sz="4" w:space="0"/>
              <w:right w:val="single" w:color="000000" w:sz="4" w:space="0"/>
            </w:tcBorders>
            <w:vAlign w:val="center"/>
          </w:tcPr>
          <w:p w14:paraId="078C61B4">
            <w:pPr>
              <w:pStyle w:val="71"/>
              <w:spacing w:before="24" w:after="24"/>
              <w:rPr>
                <w:rFonts w:cs="Times New Roman"/>
              </w:rPr>
            </w:pPr>
            <w:r>
              <w:rPr>
                <w:rFonts w:cs="Times New Roman"/>
              </w:rPr>
              <w:t>楼面六（聚氯乙烯运动地板楼面）</w:t>
            </w:r>
          </w:p>
        </w:tc>
        <w:tc>
          <w:tcPr>
            <w:tcW w:w="1720" w:type="dxa"/>
            <w:tcBorders>
              <w:top w:val="single" w:color="000000" w:sz="4" w:space="0"/>
              <w:left w:val="single" w:color="000000" w:sz="4" w:space="0"/>
              <w:bottom w:val="single" w:color="000000" w:sz="4" w:space="0"/>
              <w:right w:val="single" w:color="000000" w:sz="4" w:space="0"/>
            </w:tcBorders>
            <w:vAlign w:val="center"/>
          </w:tcPr>
          <w:p w14:paraId="2F8CE393">
            <w:pPr>
              <w:pStyle w:val="71"/>
              <w:spacing w:before="24" w:after="24"/>
              <w:rPr>
                <w:rFonts w:cs="Times New Roman"/>
              </w:rPr>
            </w:pPr>
            <w:r>
              <w:rPr>
                <w:rFonts w:cs="Times New Roman"/>
              </w:rPr>
              <w:t>室内篮球、排球、羽毛球、乒乓球场地</w:t>
            </w:r>
          </w:p>
        </w:tc>
        <w:tc>
          <w:tcPr>
            <w:tcW w:w="4181" w:type="dxa"/>
            <w:tcBorders>
              <w:top w:val="single" w:color="000000" w:sz="4" w:space="0"/>
              <w:left w:val="single" w:color="000000" w:sz="4" w:space="0"/>
              <w:bottom w:val="single" w:color="000000" w:sz="4" w:space="0"/>
              <w:right w:val="single" w:color="000000" w:sz="4" w:space="0"/>
            </w:tcBorders>
            <w:vAlign w:val="center"/>
          </w:tcPr>
          <w:p w14:paraId="4B03462F">
            <w:pPr>
              <w:pStyle w:val="71"/>
              <w:spacing w:before="24" w:after="24"/>
              <w:jc w:val="both"/>
              <w:rPr>
                <w:rFonts w:cs="Times New Roman"/>
              </w:rPr>
            </w:pPr>
            <w:r>
              <w:rPr>
                <w:rFonts w:cs="Times New Roman"/>
              </w:rPr>
              <w:t>1）表面上保护蜡</w:t>
            </w:r>
          </w:p>
          <w:p w14:paraId="57A8535D">
            <w:pPr>
              <w:pStyle w:val="71"/>
              <w:spacing w:before="24" w:after="24"/>
              <w:jc w:val="both"/>
              <w:rPr>
                <w:rFonts w:cs="Times New Roman"/>
              </w:rPr>
            </w:pPr>
            <w:r>
              <w:rPr>
                <w:rFonts w:cs="Times New Roman"/>
              </w:rPr>
              <w:t>2）4厚聚氯乙烯卷材面层，专用粘贴剂粘铺</w:t>
            </w:r>
          </w:p>
          <w:p w14:paraId="6F92EBE7">
            <w:pPr>
              <w:pStyle w:val="71"/>
              <w:spacing w:before="24" w:after="24"/>
              <w:jc w:val="both"/>
              <w:rPr>
                <w:rFonts w:cs="Times New Roman"/>
              </w:rPr>
            </w:pPr>
            <w:r>
              <w:rPr>
                <w:rFonts w:cs="Times New Roman"/>
              </w:rPr>
              <w:t>3）3厚垫层水泥基自流平砂浆</w:t>
            </w:r>
          </w:p>
          <w:p w14:paraId="7270E3F1">
            <w:pPr>
              <w:pStyle w:val="71"/>
              <w:spacing w:before="24" w:after="24"/>
              <w:jc w:val="both"/>
              <w:rPr>
                <w:rFonts w:cs="Times New Roman"/>
              </w:rPr>
            </w:pPr>
            <w:r>
              <w:rPr>
                <w:rFonts w:cs="Times New Roman"/>
              </w:rPr>
              <w:t>4）20厚1:2.5水泥砂浆找平层</w:t>
            </w:r>
          </w:p>
          <w:p w14:paraId="6FE58B76">
            <w:pPr>
              <w:pStyle w:val="71"/>
              <w:spacing w:before="24" w:after="24"/>
              <w:jc w:val="both"/>
              <w:rPr>
                <w:rFonts w:cs="Times New Roman"/>
              </w:rPr>
            </w:pPr>
            <w:r>
              <w:rPr>
                <w:rFonts w:cs="Times New Roman"/>
              </w:rPr>
              <w:t>5）界面剂1道</w:t>
            </w:r>
          </w:p>
          <w:p w14:paraId="542411E5">
            <w:pPr>
              <w:pStyle w:val="71"/>
              <w:spacing w:before="24" w:after="24"/>
              <w:jc w:val="both"/>
              <w:rPr>
                <w:rFonts w:cs="Times New Roman"/>
              </w:rPr>
            </w:pPr>
            <w:r>
              <w:rPr>
                <w:rFonts w:cs="Times New Roman"/>
              </w:rPr>
              <w:t>6）钢筋混凝土楼板</w:t>
            </w:r>
          </w:p>
        </w:tc>
        <w:tc>
          <w:tcPr>
            <w:tcW w:w="1277" w:type="dxa"/>
            <w:tcBorders>
              <w:top w:val="single" w:color="000000" w:sz="4" w:space="0"/>
              <w:left w:val="single" w:color="000000" w:sz="4" w:space="0"/>
              <w:bottom w:val="single" w:color="000000" w:sz="4" w:space="0"/>
              <w:right w:val="single" w:color="000000" w:sz="4" w:space="0"/>
            </w:tcBorders>
            <w:vAlign w:val="center"/>
          </w:tcPr>
          <w:p w14:paraId="06CF6AEB">
            <w:pPr>
              <w:pStyle w:val="71"/>
              <w:spacing w:before="24" w:after="24"/>
              <w:rPr>
                <w:rFonts w:cs="Times New Roman"/>
              </w:rPr>
            </w:pPr>
          </w:p>
        </w:tc>
      </w:tr>
      <w:tr w14:paraId="75EF6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25E6CF9B">
            <w:pPr>
              <w:pStyle w:val="71"/>
              <w:spacing w:before="24" w:after="24"/>
              <w:rPr>
                <w:rFonts w:cs="Times New Roman"/>
              </w:rPr>
            </w:pPr>
            <w:r>
              <w:rPr>
                <w:rFonts w:cs="Times New Roman"/>
              </w:rPr>
              <w:t>7</w:t>
            </w:r>
          </w:p>
        </w:tc>
        <w:tc>
          <w:tcPr>
            <w:tcW w:w="1415" w:type="dxa"/>
            <w:tcBorders>
              <w:top w:val="single" w:color="000000" w:sz="4" w:space="0"/>
              <w:left w:val="single" w:color="000000" w:sz="4" w:space="0"/>
              <w:bottom w:val="single" w:color="000000" w:sz="4" w:space="0"/>
              <w:right w:val="single" w:color="000000" w:sz="4" w:space="0"/>
            </w:tcBorders>
            <w:vAlign w:val="center"/>
          </w:tcPr>
          <w:p w14:paraId="22B726DB">
            <w:pPr>
              <w:pStyle w:val="71"/>
              <w:spacing w:before="24" w:after="24"/>
              <w:rPr>
                <w:rFonts w:cs="Times New Roman"/>
              </w:rPr>
            </w:pPr>
            <w:r>
              <w:rPr>
                <w:rFonts w:cs="Times New Roman"/>
              </w:rPr>
              <w:t>楼面七（耐酸碱橡胶板面层）</w:t>
            </w:r>
          </w:p>
        </w:tc>
        <w:tc>
          <w:tcPr>
            <w:tcW w:w="1720" w:type="dxa"/>
            <w:tcBorders>
              <w:top w:val="single" w:color="000000" w:sz="4" w:space="0"/>
              <w:left w:val="single" w:color="000000" w:sz="4" w:space="0"/>
              <w:bottom w:val="single" w:color="000000" w:sz="4" w:space="0"/>
              <w:right w:val="single" w:color="000000" w:sz="4" w:space="0"/>
            </w:tcBorders>
            <w:vAlign w:val="center"/>
          </w:tcPr>
          <w:p w14:paraId="675A6637">
            <w:pPr>
              <w:pStyle w:val="71"/>
              <w:spacing w:before="24" w:after="24"/>
              <w:rPr>
                <w:rFonts w:cs="Times New Roman"/>
              </w:rPr>
            </w:pPr>
            <w:r>
              <w:rPr>
                <w:rFonts w:cs="Times New Roman"/>
              </w:rPr>
              <w:t>药品室、准备室、仪器室、化学实验室</w:t>
            </w:r>
          </w:p>
        </w:tc>
        <w:tc>
          <w:tcPr>
            <w:tcW w:w="4181" w:type="dxa"/>
            <w:tcBorders>
              <w:top w:val="single" w:color="000000" w:sz="4" w:space="0"/>
              <w:left w:val="single" w:color="000000" w:sz="4" w:space="0"/>
              <w:bottom w:val="single" w:color="000000" w:sz="4" w:space="0"/>
              <w:right w:val="single" w:color="000000" w:sz="4" w:space="0"/>
            </w:tcBorders>
            <w:vAlign w:val="center"/>
          </w:tcPr>
          <w:p w14:paraId="121030D6">
            <w:pPr>
              <w:pStyle w:val="71"/>
              <w:spacing w:before="24" w:after="24"/>
              <w:jc w:val="both"/>
              <w:rPr>
                <w:rFonts w:cs="Times New Roman"/>
              </w:rPr>
            </w:pPr>
            <w:r>
              <w:rPr>
                <w:rFonts w:cs="Times New Roman"/>
              </w:rPr>
              <w:t>1）3～30厚耐酸碱橡胶板板面层（材料的燃烧性能不低于B1级）</w:t>
            </w:r>
          </w:p>
          <w:p w14:paraId="122E47F4">
            <w:pPr>
              <w:pStyle w:val="71"/>
              <w:spacing w:before="24" w:after="24"/>
              <w:jc w:val="both"/>
              <w:rPr>
                <w:rFonts w:cs="Times New Roman"/>
              </w:rPr>
            </w:pPr>
            <w:r>
              <w:rPr>
                <w:rFonts w:cs="Times New Roman"/>
              </w:rPr>
              <w:t>2）2厚环氧树脂胶粘剂，面层背面与基层同时涂胶</w:t>
            </w:r>
          </w:p>
          <w:p w14:paraId="148B16B0">
            <w:pPr>
              <w:pStyle w:val="71"/>
              <w:spacing w:before="24" w:after="24"/>
              <w:jc w:val="both"/>
              <w:rPr>
                <w:rFonts w:cs="Times New Roman"/>
              </w:rPr>
            </w:pPr>
            <w:r>
              <w:rPr>
                <w:rFonts w:cs="Times New Roman"/>
              </w:rPr>
              <w:t>3）20厚1:3水泥砂浆找平层</w:t>
            </w:r>
          </w:p>
          <w:p w14:paraId="36F21682">
            <w:pPr>
              <w:pStyle w:val="71"/>
              <w:spacing w:before="24" w:after="24"/>
              <w:jc w:val="both"/>
              <w:rPr>
                <w:rFonts w:cs="Times New Roman"/>
              </w:rPr>
            </w:pPr>
            <w:r>
              <w:rPr>
                <w:rFonts w:cs="Times New Roman"/>
              </w:rPr>
              <w:t>4）1.5厚JS-Ⅱ型防水涂料，沿墙上翻至建筑完成面以上300mm</w:t>
            </w:r>
          </w:p>
          <w:p w14:paraId="00565864">
            <w:pPr>
              <w:pStyle w:val="71"/>
              <w:spacing w:before="24" w:after="24"/>
              <w:jc w:val="both"/>
              <w:rPr>
                <w:rFonts w:cs="Times New Roman"/>
              </w:rPr>
            </w:pPr>
            <w:r>
              <w:rPr>
                <w:rFonts w:cs="Times New Roman"/>
              </w:rPr>
              <w:t>5）C20细石混凝土敷管找坡抹平，最薄处50厚</w:t>
            </w:r>
          </w:p>
          <w:p w14:paraId="0B899BAB">
            <w:pPr>
              <w:pStyle w:val="71"/>
              <w:spacing w:before="24" w:after="24"/>
              <w:jc w:val="both"/>
              <w:rPr>
                <w:rFonts w:cs="Times New Roman"/>
              </w:rPr>
            </w:pPr>
            <w:r>
              <w:rPr>
                <w:rFonts w:cs="Times New Roman"/>
              </w:rPr>
              <w:t>6）钢筋混凝土结构层打磨平整</w:t>
            </w:r>
          </w:p>
        </w:tc>
        <w:tc>
          <w:tcPr>
            <w:tcW w:w="1277" w:type="dxa"/>
            <w:tcBorders>
              <w:top w:val="single" w:color="000000" w:sz="4" w:space="0"/>
              <w:left w:val="single" w:color="000000" w:sz="4" w:space="0"/>
              <w:bottom w:val="single" w:color="000000" w:sz="4" w:space="0"/>
              <w:right w:val="single" w:color="000000" w:sz="4" w:space="0"/>
            </w:tcBorders>
            <w:vAlign w:val="center"/>
          </w:tcPr>
          <w:p w14:paraId="3925B076">
            <w:pPr>
              <w:pStyle w:val="71"/>
              <w:spacing w:before="24" w:after="24"/>
              <w:rPr>
                <w:rFonts w:cs="Times New Roman"/>
              </w:rPr>
            </w:pPr>
          </w:p>
        </w:tc>
      </w:tr>
      <w:tr w14:paraId="33468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7D9D3CEE">
            <w:pPr>
              <w:pStyle w:val="71"/>
              <w:spacing w:before="24" w:after="24"/>
              <w:rPr>
                <w:rFonts w:cs="Times New Roman"/>
              </w:rPr>
            </w:pPr>
            <w:r>
              <w:rPr>
                <w:rFonts w:cs="Times New Roman"/>
              </w:rPr>
              <w:t>8</w:t>
            </w:r>
          </w:p>
        </w:tc>
        <w:tc>
          <w:tcPr>
            <w:tcW w:w="1415" w:type="dxa"/>
            <w:tcBorders>
              <w:top w:val="single" w:color="000000" w:sz="4" w:space="0"/>
              <w:left w:val="single" w:color="000000" w:sz="4" w:space="0"/>
              <w:bottom w:val="single" w:color="000000" w:sz="4" w:space="0"/>
              <w:right w:val="single" w:color="000000" w:sz="4" w:space="0"/>
            </w:tcBorders>
            <w:vAlign w:val="center"/>
          </w:tcPr>
          <w:p w14:paraId="14377013">
            <w:pPr>
              <w:pStyle w:val="71"/>
              <w:spacing w:before="24" w:after="24"/>
              <w:rPr>
                <w:rFonts w:cs="Times New Roman"/>
              </w:rPr>
            </w:pPr>
            <w:r>
              <w:rPr>
                <w:rFonts w:cs="Times New Roman"/>
              </w:rPr>
              <w:t>楼面八（软木复合弹性地板楼面）</w:t>
            </w:r>
          </w:p>
        </w:tc>
        <w:tc>
          <w:tcPr>
            <w:tcW w:w="1720" w:type="dxa"/>
            <w:tcBorders>
              <w:top w:val="single" w:color="000000" w:sz="4" w:space="0"/>
              <w:left w:val="single" w:color="000000" w:sz="4" w:space="0"/>
              <w:bottom w:val="single" w:color="000000" w:sz="4" w:space="0"/>
              <w:right w:val="single" w:color="000000" w:sz="4" w:space="0"/>
            </w:tcBorders>
            <w:vAlign w:val="center"/>
          </w:tcPr>
          <w:p w14:paraId="2DD334E3">
            <w:pPr>
              <w:pStyle w:val="71"/>
              <w:spacing w:before="24" w:after="24"/>
              <w:rPr>
                <w:rFonts w:cs="Times New Roman"/>
              </w:rPr>
            </w:pPr>
            <w:r>
              <w:rPr>
                <w:rFonts w:cs="Times New Roman"/>
              </w:rPr>
              <w:t>舞蹈教室、音乐教室</w:t>
            </w:r>
          </w:p>
        </w:tc>
        <w:tc>
          <w:tcPr>
            <w:tcW w:w="4181" w:type="dxa"/>
            <w:tcBorders>
              <w:top w:val="single" w:color="000000" w:sz="4" w:space="0"/>
              <w:left w:val="single" w:color="000000" w:sz="4" w:space="0"/>
              <w:bottom w:val="single" w:color="000000" w:sz="4" w:space="0"/>
              <w:right w:val="single" w:color="000000" w:sz="4" w:space="0"/>
            </w:tcBorders>
            <w:vAlign w:val="center"/>
          </w:tcPr>
          <w:p w14:paraId="1AA0B3D8">
            <w:pPr>
              <w:pStyle w:val="71"/>
              <w:spacing w:before="24" w:after="24"/>
              <w:jc w:val="both"/>
              <w:rPr>
                <w:rFonts w:cs="Times New Roman"/>
              </w:rPr>
            </w:pPr>
            <w:r>
              <w:rPr>
                <w:rFonts w:cs="Times New Roman"/>
              </w:rPr>
              <w:t>1）表面UV漆或PUA高耐磨层打上光蜡（地板产品已带油漆者无此工序）</w:t>
            </w:r>
          </w:p>
          <w:p w14:paraId="222034F8">
            <w:pPr>
              <w:pStyle w:val="71"/>
              <w:spacing w:before="24" w:after="24"/>
              <w:jc w:val="both"/>
              <w:rPr>
                <w:rFonts w:cs="Times New Roman"/>
              </w:rPr>
            </w:pPr>
            <w:r>
              <w:rPr>
                <w:rFonts w:cs="Times New Roman"/>
              </w:rPr>
              <w:t>2）13厚软木复合弹性地板，悬浮式铺装法，木地板条或铝合金条收边</w:t>
            </w:r>
          </w:p>
          <w:p w14:paraId="489CDD38">
            <w:pPr>
              <w:pStyle w:val="71"/>
              <w:spacing w:before="24" w:after="24"/>
              <w:jc w:val="both"/>
              <w:rPr>
                <w:rFonts w:cs="Times New Roman"/>
              </w:rPr>
            </w:pPr>
            <w:r>
              <w:rPr>
                <w:rFonts w:cs="Times New Roman"/>
              </w:rPr>
              <w:t>3）5厚发泡橡胶或电子交联发泡聚乙烯减振垫层</w:t>
            </w:r>
          </w:p>
          <w:p w14:paraId="44DF7FFD">
            <w:pPr>
              <w:pStyle w:val="71"/>
              <w:spacing w:before="24" w:after="24"/>
              <w:jc w:val="both"/>
              <w:rPr>
                <w:rFonts w:cs="Times New Roman"/>
              </w:rPr>
            </w:pPr>
            <w:r>
              <w:rPr>
                <w:rFonts w:cs="Times New Roman"/>
              </w:rPr>
              <w:t>4）20厚1:3水泥砂浆找平层</w:t>
            </w:r>
          </w:p>
          <w:p w14:paraId="4D3DF429">
            <w:pPr>
              <w:pStyle w:val="71"/>
              <w:spacing w:before="24" w:after="24"/>
              <w:jc w:val="both"/>
              <w:rPr>
                <w:rFonts w:cs="Times New Roman"/>
              </w:rPr>
            </w:pPr>
            <w:r>
              <w:rPr>
                <w:rFonts w:cs="Times New Roman"/>
              </w:rPr>
              <w:t>5）钢筋混凝土楼板</w:t>
            </w:r>
          </w:p>
        </w:tc>
        <w:tc>
          <w:tcPr>
            <w:tcW w:w="1277" w:type="dxa"/>
            <w:tcBorders>
              <w:top w:val="single" w:color="000000" w:sz="4" w:space="0"/>
              <w:left w:val="single" w:color="000000" w:sz="4" w:space="0"/>
              <w:bottom w:val="single" w:color="000000" w:sz="4" w:space="0"/>
              <w:right w:val="single" w:color="000000" w:sz="4" w:space="0"/>
            </w:tcBorders>
            <w:vAlign w:val="center"/>
          </w:tcPr>
          <w:p w14:paraId="5CCCAE45">
            <w:pPr>
              <w:pStyle w:val="71"/>
              <w:spacing w:before="24" w:after="24"/>
              <w:rPr>
                <w:rFonts w:cs="Times New Roman"/>
              </w:rPr>
            </w:pPr>
          </w:p>
        </w:tc>
      </w:tr>
      <w:tr w14:paraId="0BF44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3344D1A5">
            <w:pPr>
              <w:pStyle w:val="71"/>
              <w:spacing w:before="24" w:after="24"/>
              <w:rPr>
                <w:rFonts w:cs="Times New Roman"/>
              </w:rPr>
            </w:pPr>
            <w:r>
              <w:rPr>
                <w:rFonts w:cs="Times New Roman"/>
              </w:rPr>
              <w:t>9</w:t>
            </w:r>
          </w:p>
        </w:tc>
        <w:tc>
          <w:tcPr>
            <w:tcW w:w="1415" w:type="dxa"/>
            <w:tcBorders>
              <w:top w:val="single" w:color="000000" w:sz="4" w:space="0"/>
              <w:left w:val="single" w:color="000000" w:sz="4" w:space="0"/>
              <w:bottom w:val="single" w:color="000000" w:sz="4" w:space="0"/>
              <w:right w:val="single" w:color="000000" w:sz="4" w:space="0"/>
            </w:tcBorders>
            <w:vAlign w:val="center"/>
          </w:tcPr>
          <w:p w14:paraId="722B887F">
            <w:pPr>
              <w:pStyle w:val="71"/>
              <w:spacing w:before="24" w:after="24"/>
              <w:rPr>
                <w:rFonts w:cs="Times New Roman"/>
              </w:rPr>
            </w:pPr>
            <w:r>
              <w:rPr>
                <w:rFonts w:cs="Times New Roman"/>
              </w:rPr>
              <w:t>楼面九（防静电地板楼面）</w:t>
            </w:r>
          </w:p>
        </w:tc>
        <w:tc>
          <w:tcPr>
            <w:tcW w:w="1720" w:type="dxa"/>
            <w:tcBorders>
              <w:top w:val="single" w:color="000000" w:sz="4" w:space="0"/>
              <w:left w:val="single" w:color="000000" w:sz="4" w:space="0"/>
              <w:bottom w:val="single" w:color="000000" w:sz="4" w:space="0"/>
              <w:right w:val="single" w:color="000000" w:sz="4" w:space="0"/>
            </w:tcBorders>
            <w:vAlign w:val="center"/>
          </w:tcPr>
          <w:p w14:paraId="0B205D03">
            <w:pPr>
              <w:pStyle w:val="71"/>
              <w:spacing w:before="24" w:after="24"/>
              <w:rPr>
                <w:rFonts w:cs="Times New Roman"/>
              </w:rPr>
            </w:pPr>
            <w:r>
              <w:rPr>
                <w:rFonts w:cs="Times New Roman"/>
              </w:rPr>
              <w:t>计算机教室及其辅助用房、安防、网络监控室</w:t>
            </w:r>
          </w:p>
        </w:tc>
        <w:tc>
          <w:tcPr>
            <w:tcW w:w="4181" w:type="dxa"/>
            <w:tcBorders>
              <w:top w:val="single" w:color="000000" w:sz="4" w:space="0"/>
              <w:left w:val="single" w:color="000000" w:sz="4" w:space="0"/>
              <w:bottom w:val="single" w:color="000000" w:sz="4" w:space="0"/>
              <w:right w:val="single" w:color="000000" w:sz="4" w:space="0"/>
            </w:tcBorders>
            <w:vAlign w:val="center"/>
          </w:tcPr>
          <w:p w14:paraId="739CECB7">
            <w:pPr>
              <w:pStyle w:val="71"/>
              <w:spacing w:before="24" w:after="24"/>
              <w:jc w:val="both"/>
              <w:rPr>
                <w:rFonts w:cs="Times New Roman"/>
              </w:rPr>
            </w:pPr>
            <w:r>
              <w:rPr>
                <w:rFonts w:cs="Times New Roman"/>
              </w:rPr>
              <w:t>1）150～200高架空防静电活动地板</w:t>
            </w:r>
          </w:p>
          <w:p w14:paraId="66322443">
            <w:pPr>
              <w:pStyle w:val="71"/>
              <w:spacing w:before="24" w:after="24"/>
              <w:jc w:val="both"/>
              <w:rPr>
                <w:rFonts w:cs="Times New Roman"/>
              </w:rPr>
            </w:pPr>
            <w:r>
              <w:rPr>
                <w:rFonts w:cs="Times New Roman"/>
              </w:rPr>
              <w:t>2）保护层界面剂一道</w:t>
            </w:r>
          </w:p>
          <w:p w14:paraId="2CA5FAE1">
            <w:pPr>
              <w:pStyle w:val="71"/>
              <w:spacing w:before="24" w:after="24"/>
              <w:jc w:val="both"/>
              <w:rPr>
                <w:rFonts w:cs="Times New Roman"/>
              </w:rPr>
            </w:pPr>
            <w:r>
              <w:rPr>
                <w:rFonts w:cs="Times New Roman"/>
              </w:rPr>
              <w:t>3）20厚1:3水泥砂浆找平层</w:t>
            </w:r>
          </w:p>
          <w:p w14:paraId="769649B9">
            <w:pPr>
              <w:pStyle w:val="71"/>
              <w:spacing w:before="24" w:after="24"/>
              <w:jc w:val="both"/>
              <w:rPr>
                <w:rFonts w:cs="Times New Roman"/>
              </w:rPr>
            </w:pPr>
            <w:r>
              <w:rPr>
                <w:rFonts w:cs="Times New Roman"/>
              </w:rPr>
              <w:t>4）钢筋混凝土结构板，原浆收光</w:t>
            </w:r>
          </w:p>
        </w:tc>
        <w:tc>
          <w:tcPr>
            <w:tcW w:w="1277" w:type="dxa"/>
            <w:tcBorders>
              <w:top w:val="single" w:color="000000" w:sz="4" w:space="0"/>
              <w:left w:val="single" w:color="000000" w:sz="4" w:space="0"/>
              <w:bottom w:val="single" w:color="000000" w:sz="4" w:space="0"/>
              <w:right w:val="single" w:color="000000" w:sz="4" w:space="0"/>
            </w:tcBorders>
            <w:vAlign w:val="center"/>
          </w:tcPr>
          <w:p w14:paraId="7E97430D">
            <w:pPr>
              <w:pStyle w:val="71"/>
              <w:spacing w:before="24" w:after="24"/>
              <w:rPr>
                <w:rFonts w:cs="Times New Roman"/>
              </w:rPr>
            </w:pPr>
          </w:p>
        </w:tc>
      </w:tr>
      <w:tr w14:paraId="0F333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348" w:type="dxa"/>
            <w:gridSpan w:val="5"/>
            <w:tcBorders>
              <w:top w:val="single" w:color="000000" w:sz="4" w:space="0"/>
              <w:left w:val="single" w:color="000000" w:sz="4" w:space="0"/>
              <w:bottom w:val="single" w:color="000000" w:sz="4" w:space="0"/>
              <w:right w:val="single" w:color="000000" w:sz="4" w:space="0"/>
            </w:tcBorders>
            <w:vAlign w:val="center"/>
          </w:tcPr>
          <w:p w14:paraId="360F977C">
            <w:pPr>
              <w:pStyle w:val="71"/>
              <w:spacing w:before="24" w:after="24"/>
              <w:rPr>
                <w:rFonts w:cs="Times New Roman"/>
              </w:rPr>
            </w:pPr>
            <w:r>
              <w:rPr>
                <w:rFonts w:cs="Times New Roman"/>
              </w:rPr>
              <w:t>内墙</w:t>
            </w:r>
          </w:p>
        </w:tc>
      </w:tr>
      <w:tr w14:paraId="129B28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00" w:hRule="atLeast"/>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3A116464">
            <w:pPr>
              <w:pStyle w:val="71"/>
              <w:spacing w:before="24" w:after="24"/>
              <w:rPr>
                <w:rFonts w:cs="Times New Roman"/>
              </w:rPr>
            </w:pPr>
            <w:r>
              <w:rPr>
                <w:rFonts w:cs="Times New Roman"/>
              </w:rPr>
              <w:t>1</w:t>
            </w:r>
          </w:p>
        </w:tc>
        <w:tc>
          <w:tcPr>
            <w:tcW w:w="1415" w:type="dxa"/>
            <w:tcBorders>
              <w:top w:val="single" w:color="000000" w:sz="4" w:space="0"/>
              <w:left w:val="single" w:color="000000" w:sz="4" w:space="0"/>
              <w:bottom w:val="single" w:color="000000" w:sz="4" w:space="0"/>
              <w:right w:val="single" w:color="000000" w:sz="4" w:space="0"/>
            </w:tcBorders>
            <w:vAlign w:val="center"/>
          </w:tcPr>
          <w:p w14:paraId="484533FC">
            <w:pPr>
              <w:pStyle w:val="71"/>
              <w:spacing w:before="24" w:after="24"/>
              <w:rPr>
                <w:rFonts w:cs="Times New Roman"/>
              </w:rPr>
            </w:pPr>
            <w:r>
              <w:rPr>
                <w:rFonts w:cs="Times New Roman"/>
              </w:rPr>
              <w:t>内墙1（涂料内墙）</w:t>
            </w:r>
          </w:p>
        </w:tc>
        <w:tc>
          <w:tcPr>
            <w:tcW w:w="1720" w:type="dxa"/>
            <w:tcBorders>
              <w:top w:val="single" w:color="000000" w:sz="4" w:space="0"/>
              <w:left w:val="single" w:color="000000" w:sz="4" w:space="0"/>
              <w:bottom w:val="single" w:color="000000" w:sz="4" w:space="0"/>
              <w:right w:val="single" w:color="000000" w:sz="4" w:space="0"/>
            </w:tcBorders>
            <w:vAlign w:val="center"/>
          </w:tcPr>
          <w:p w14:paraId="21E8145A">
            <w:pPr>
              <w:pStyle w:val="71"/>
              <w:spacing w:before="24" w:after="24"/>
              <w:rPr>
                <w:rFonts w:cs="Times New Roman"/>
              </w:rPr>
            </w:pPr>
            <w:r>
              <w:rPr>
                <w:rFonts w:cs="Times New Roman"/>
              </w:rPr>
              <w:t>普通教室、办公室、阅览室、内走道、休息厅、宿舍、值班室、餐厅、室内篮球、排球、羽毛球、乒乓球场地、药品室、准备室、仪器室、化学实验室</w:t>
            </w:r>
          </w:p>
        </w:tc>
        <w:tc>
          <w:tcPr>
            <w:tcW w:w="4181" w:type="dxa"/>
            <w:tcBorders>
              <w:top w:val="single" w:color="000000" w:sz="4" w:space="0"/>
              <w:left w:val="single" w:color="000000" w:sz="4" w:space="0"/>
              <w:bottom w:val="single" w:color="000000" w:sz="4" w:space="0"/>
              <w:right w:val="single" w:color="000000" w:sz="4" w:space="0"/>
            </w:tcBorders>
            <w:vAlign w:val="center"/>
          </w:tcPr>
          <w:p w14:paraId="5F619750">
            <w:pPr>
              <w:pStyle w:val="71"/>
              <w:spacing w:before="24" w:after="24"/>
              <w:jc w:val="both"/>
              <w:rPr>
                <w:rFonts w:cs="Times New Roman"/>
              </w:rPr>
            </w:pPr>
            <w:r>
              <w:rPr>
                <w:rFonts w:cs="Times New Roman"/>
              </w:rPr>
              <w:t>1）乳胶漆，一底两面</w:t>
            </w:r>
          </w:p>
          <w:p w14:paraId="3DF6B101">
            <w:pPr>
              <w:pStyle w:val="71"/>
              <w:spacing w:before="24" w:after="24"/>
              <w:jc w:val="both"/>
              <w:rPr>
                <w:rFonts w:cs="Times New Roman"/>
              </w:rPr>
            </w:pPr>
            <w:r>
              <w:rPr>
                <w:rFonts w:cs="Times New Roman"/>
              </w:rPr>
              <w:t>2）普通腻子两遍</w:t>
            </w:r>
          </w:p>
          <w:p w14:paraId="3BF13E24">
            <w:pPr>
              <w:pStyle w:val="71"/>
              <w:spacing w:before="24" w:after="24"/>
              <w:jc w:val="both"/>
              <w:rPr>
                <w:rFonts w:cs="Times New Roman"/>
              </w:rPr>
            </w:pPr>
            <w:r>
              <w:rPr>
                <w:rFonts w:cs="Times New Roman"/>
              </w:rPr>
              <w:t>3）7厚 1:2.5 水泥砂浆罩面压光</w:t>
            </w:r>
          </w:p>
          <w:p w14:paraId="30E9CF8F">
            <w:pPr>
              <w:pStyle w:val="71"/>
              <w:spacing w:before="24" w:after="24"/>
              <w:jc w:val="both"/>
              <w:rPr>
                <w:rFonts w:cs="Times New Roman"/>
              </w:rPr>
            </w:pPr>
            <w:r>
              <w:rPr>
                <w:rFonts w:cs="Times New Roman"/>
              </w:rPr>
              <w:t>4）8厚1:3水泥砂浆打底</w:t>
            </w:r>
          </w:p>
          <w:p w14:paraId="14CC6AAE">
            <w:pPr>
              <w:pStyle w:val="71"/>
              <w:spacing w:before="24" w:after="24"/>
              <w:jc w:val="both"/>
              <w:rPr>
                <w:rFonts w:cs="Times New Roman"/>
              </w:rPr>
            </w:pPr>
            <w:r>
              <w:rPr>
                <w:rFonts w:cs="Times New Roman"/>
              </w:rPr>
              <w:t>5）基层清理</w:t>
            </w:r>
          </w:p>
        </w:tc>
        <w:tc>
          <w:tcPr>
            <w:tcW w:w="1277" w:type="dxa"/>
            <w:tcBorders>
              <w:top w:val="single" w:color="000000" w:sz="4" w:space="0"/>
              <w:left w:val="single" w:color="000000" w:sz="4" w:space="0"/>
              <w:bottom w:val="single" w:color="000000" w:sz="4" w:space="0"/>
              <w:right w:val="single" w:color="000000" w:sz="4" w:space="0"/>
            </w:tcBorders>
            <w:vAlign w:val="center"/>
          </w:tcPr>
          <w:p w14:paraId="012564DD">
            <w:pPr>
              <w:pStyle w:val="71"/>
              <w:spacing w:before="24" w:after="24"/>
              <w:rPr>
                <w:rFonts w:cs="Times New Roman"/>
              </w:rPr>
            </w:pPr>
          </w:p>
        </w:tc>
      </w:tr>
      <w:tr w14:paraId="55DB4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04" w:hRule="atLeast"/>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658015F3">
            <w:pPr>
              <w:pStyle w:val="71"/>
              <w:spacing w:before="24" w:after="24"/>
              <w:rPr>
                <w:rFonts w:cs="Times New Roman"/>
              </w:rPr>
            </w:pPr>
            <w:r>
              <w:rPr>
                <w:rFonts w:cs="Times New Roman"/>
              </w:rPr>
              <w:t>2</w:t>
            </w:r>
          </w:p>
        </w:tc>
        <w:tc>
          <w:tcPr>
            <w:tcW w:w="1415" w:type="dxa"/>
            <w:tcBorders>
              <w:top w:val="single" w:color="000000" w:sz="4" w:space="0"/>
              <w:left w:val="single" w:color="000000" w:sz="4" w:space="0"/>
              <w:bottom w:val="single" w:color="000000" w:sz="4" w:space="0"/>
              <w:right w:val="single" w:color="000000" w:sz="4" w:space="0"/>
            </w:tcBorders>
            <w:vAlign w:val="center"/>
          </w:tcPr>
          <w:p w14:paraId="7DD6FEC7">
            <w:pPr>
              <w:pStyle w:val="71"/>
              <w:spacing w:before="24" w:after="24"/>
              <w:rPr>
                <w:rFonts w:cs="Times New Roman"/>
              </w:rPr>
            </w:pPr>
            <w:r>
              <w:rPr>
                <w:rFonts w:cs="Times New Roman"/>
              </w:rPr>
              <w:t>内墙2（面砖内墙）</w:t>
            </w:r>
          </w:p>
        </w:tc>
        <w:tc>
          <w:tcPr>
            <w:tcW w:w="1720" w:type="dxa"/>
            <w:tcBorders>
              <w:top w:val="single" w:color="000000" w:sz="4" w:space="0"/>
              <w:left w:val="single" w:color="000000" w:sz="4" w:space="0"/>
              <w:bottom w:val="single" w:color="000000" w:sz="4" w:space="0"/>
              <w:right w:val="single" w:color="000000" w:sz="4" w:space="0"/>
            </w:tcBorders>
            <w:vAlign w:val="center"/>
          </w:tcPr>
          <w:p w14:paraId="3BF9053D">
            <w:pPr>
              <w:pStyle w:val="71"/>
              <w:spacing w:before="24" w:after="24"/>
              <w:rPr>
                <w:rFonts w:cs="Times New Roman"/>
              </w:rPr>
            </w:pPr>
            <w:r>
              <w:rPr>
                <w:rFonts w:cs="Times New Roman"/>
              </w:rPr>
              <w:t>门厅、电梯厅</w:t>
            </w:r>
          </w:p>
        </w:tc>
        <w:tc>
          <w:tcPr>
            <w:tcW w:w="4181" w:type="dxa"/>
            <w:tcBorders>
              <w:top w:val="single" w:color="000000" w:sz="4" w:space="0"/>
              <w:left w:val="single" w:color="000000" w:sz="4" w:space="0"/>
              <w:bottom w:val="single" w:color="000000" w:sz="4" w:space="0"/>
              <w:right w:val="single" w:color="000000" w:sz="4" w:space="0"/>
            </w:tcBorders>
            <w:vAlign w:val="center"/>
          </w:tcPr>
          <w:p w14:paraId="5B4AD332">
            <w:pPr>
              <w:pStyle w:val="71"/>
              <w:spacing w:before="24" w:after="24"/>
              <w:jc w:val="both"/>
              <w:rPr>
                <w:rFonts w:cs="Times New Roman"/>
              </w:rPr>
            </w:pPr>
            <w:r>
              <w:rPr>
                <w:rFonts w:cs="Times New Roman"/>
              </w:rPr>
              <w:t>1）面砖（高度至吊顶以上100mm，专业美缝）</w:t>
            </w:r>
          </w:p>
          <w:p w14:paraId="6094FD6E">
            <w:pPr>
              <w:pStyle w:val="71"/>
              <w:spacing w:before="24" w:after="24"/>
              <w:jc w:val="both"/>
              <w:rPr>
                <w:rFonts w:cs="Times New Roman"/>
              </w:rPr>
            </w:pPr>
            <w:r>
              <w:rPr>
                <w:rFonts w:cs="Times New Roman"/>
              </w:rPr>
              <w:t>2）5mm厚专用粘结砂浆</w:t>
            </w:r>
          </w:p>
          <w:p w14:paraId="4ECB3DC0">
            <w:pPr>
              <w:pStyle w:val="71"/>
              <w:spacing w:before="24" w:after="24"/>
              <w:jc w:val="both"/>
              <w:rPr>
                <w:rFonts w:cs="Times New Roman"/>
              </w:rPr>
            </w:pPr>
            <w:r>
              <w:rPr>
                <w:rFonts w:cs="Times New Roman"/>
              </w:rPr>
              <w:t>3）7厚 1:2.5 水泥砂浆罩面压光</w:t>
            </w:r>
          </w:p>
          <w:p w14:paraId="660CD1F4">
            <w:pPr>
              <w:pStyle w:val="71"/>
              <w:spacing w:before="24" w:after="24"/>
              <w:jc w:val="both"/>
              <w:rPr>
                <w:rFonts w:cs="Times New Roman"/>
              </w:rPr>
            </w:pPr>
            <w:r>
              <w:rPr>
                <w:rFonts w:cs="Times New Roman"/>
              </w:rPr>
              <w:t>4）8厚1:3水泥砂浆打底</w:t>
            </w:r>
          </w:p>
          <w:p w14:paraId="14DF6A5D">
            <w:pPr>
              <w:pStyle w:val="71"/>
              <w:spacing w:before="24" w:after="24"/>
              <w:jc w:val="both"/>
              <w:rPr>
                <w:rFonts w:cs="Times New Roman"/>
              </w:rPr>
            </w:pPr>
            <w:r>
              <w:rPr>
                <w:rFonts w:cs="Times New Roman"/>
              </w:rPr>
              <w:t>5）基层清理</w:t>
            </w:r>
          </w:p>
        </w:tc>
        <w:tc>
          <w:tcPr>
            <w:tcW w:w="1277" w:type="dxa"/>
            <w:tcBorders>
              <w:top w:val="single" w:color="000000" w:sz="4" w:space="0"/>
              <w:left w:val="single" w:color="000000" w:sz="4" w:space="0"/>
              <w:bottom w:val="single" w:color="000000" w:sz="4" w:space="0"/>
              <w:right w:val="single" w:color="000000" w:sz="4" w:space="0"/>
            </w:tcBorders>
            <w:vAlign w:val="center"/>
          </w:tcPr>
          <w:p w14:paraId="5A003AC4">
            <w:pPr>
              <w:pStyle w:val="71"/>
              <w:spacing w:before="24" w:after="24"/>
              <w:rPr>
                <w:rFonts w:cs="Times New Roman"/>
              </w:rPr>
            </w:pPr>
          </w:p>
        </w:tc>
      </w:tr>
      <w:tr w14:paraId="38EBE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5861FC19">
            <w:pPr>
              <w:pStyle w:val="71"/>
              <w:spacing w:before="24" w:after="24"/>
              <w:rPr>
                <w:rFonts w:cs="Times New Roman"/>
              </w:rPr>
            </w:pPr>
            <w:r>
              <w:rPr>
                <w:rFonts w:cs="Times New Roman"/>
              </w:rPr>
              <w:t>3</w:t>
            </w:r>
          </w:p>
        </w:tc>
        <w:tc>
          <w:tcPr>
            <w:tcW w:w="1415" w:type="dxa"/>
            <w:tcBorders>
              <w:top w:val="single" w:color="000000" w:sz="4" w:space="0"/>
              <w:left w:val="single" w:color="000000" w:sz="4" w:space="0"/>
              <w:bottom w:val="single" w:color="000000" w:sz="4" w:space="0"/>
              <w:right w:val="single" w:color="000000" w:sz="4" w:space="0"/>
            </w:tcBorders>
            <w:vAlign w:val="center"/>
          </w:tcPr>
          <w:p w14:paraId="4211381A">
            <w:pPr>
              <w:pStyle w:val="71"/>
              <w:spacing w:before="24" w:after="24"/>
              <w:rPr>
                <w:rFonts w:cs="Times New Roman"/>
              </w:rPr>
            </w:pPr>
            <w:r>
              <w:rPr>
                <w:rFonts w:cs="Times New Roman"/>
              </w:rPr>
              <w:t>内墙3（防水面砖内墙）</w:t>
            </w:r>
          </w:p>
        </w:tc>
        <w:tc>
          <w:tcPr>
            <w:tcW w:w="1720" w:type="dxa"/>
            <w:tcBorders>
              <w:top w:val="single" w:color="000000" w:sz="4" w:space="0"/>
              <w:left w:val="single" w:color="000000" w:sz="4" w:space="0"/>
              <w:bottom w:val="single" w:color="000000" w:sz="4" w:space="0"/>
              <w:right w:val="single" w:color="000000" w:sz="4" w:space="0"/>
            </w:tcBorders>
            <w:vAlign w:val="center"/>
          </w:tcPr>
          <w:p w14:paraId="29A2224D">
            <w:pPr>
              <w:pStyle w:val="71"/>
              <w:spacing w:before="24" w:after="24"/>
              <w:rPr>
                <w:rFonts w:cs="Times New Roman"/>
              </w:rPr>
            </w:pPr>
            <w:r>
              <w:rPr>
                <w:rFonts w:cs="Times New Roman"/>
              </w:rPr>
              <w:t>卫生间、开水间、、厨房、洗衣房</w:t>
            </w:r>
          </w:p>
        </w:tc>
        <w:tc>
          <w:tcPr>
            <w:tcW w:w="4181" w:type="dxa"/>
            <w:tcBorders>
              <w:top w:val="single" w:color="000000" w:sz="4" w:space="0"/>
              <w:left w:val="single" w:color="000000" w:sz="4" w:space="0"/>
              <w:bottom w:val="single" w:color="000000" w:sz="4" w:space="0"/>
              <w:right w:val="single" w:color="000000" w:sz="4" w:space="0"/>
            </w:tcBorders>
            <w:vAlign w:val="center"/>
          </w:tcPr>
          <w:p w14:paraId="4C0AAA2E">
            <w:pPr>
              <w:pStyle w:val="71"/>
              <w:spacing w:before="24" w:after="24"/>
              <w:jc w:val="both"/>
              <w:rPr>
                <w:rFonts w:cs="Times New Roman"/>
              </w:rPr>
            </w:pPr>
            <w:r>
              <w:rPr>
                <w:rFonts w:cs="Times New Roman"/>
              </w:rPr>
              <w:t>1）面砖（高度至吊顶以上100mm，水泥浆擦缝）</w:t>
            </w:r>
          </w:p>
          <w:p w14:paraId="502F881E">
            <w:pPr>
              <w:pStyle w:val="71"/>
              <w:spacing w:before="24" w:after="24"/>
              <w:jc w:val="both"/>
              <w:rPr>
                <w:rFonts w:cs="Times New Roman"/>
              </w:rPr>
            </w:pPr>
            <w:r>
              <w:rPr>
                <w:rFonts w:cs="Times New Roman"/>
              </w:rPr>
              <w:t xml:space="preserve">2）5mm厚专用粘结砂浆                                              </w:t>
            </w:r>
          </w:p>
          <w:p w14:paraId="4A85C5D5">
            <w:pPr>
              <w:pStyle w:val="71"/>
              <w:spacing w:before="24" w:after="24"/>
              <w:jc w:val="both"/>
              <w:rPr>
                <w:rFonts w:cs="Times New Roman"/>
              </w:rPr>
            </w:pPr>
            <w:r>
              <w:rPr>
                <w:rFonts w:cs="Times New Roman"/>
              </w:rPr>
              <w:t>3）1.5mm厚JS-Ⅱ防水涂料（淋浴区上翻2000mm高，盥洗盆、洗菜盆等用水处区域上翻1200mm高，墙面其他部位泛水翻起高度不应小于250mm，上翻高度以建筑完成面往上）                                                               4）7厚 1:2.5 水泥砂浆罩面压光</w:t>
            </w:r>
          </w:p>
          <w:p w14:paraId="09035B8B">
            <w:pPr>
              <w:pStyle w:val="71"/>
              <w:spacing w:before="24" w:after="24"/>
              <w:jc w:val="both"/>
              <w:rPr>
                <w:rFonts w:cs="Times New Roman"/>
              </w:rPr>
            </w:pPr>
            <w:r>
              <w:rPr>
                <w:rFonts w:cs="Times New Roman"/>
              </w:rPr>
              <w:t>5）8厚1:3水泥砂浆打底</w:t>
            </w:r>
          </w:p>
          <w:p w14:paraId="60DB8AD5">
            <w:pPr>
              <w:pStyle w:val="71"/>
              <w:spacing w:before="24" w:after="24"/>
              <w:jc w:val="both"/>
              <w:rPr>
                <w:rFonts w:cs="Times New Roman"/>
              </w:rPr>
            </w:pPr>
            <w:r>
              <w:rPr>
                <w:rFonts w:cs="Times New Roman"/>
              </w:rPr>
              <w:t>6）基层清理</w:t>
            </w:r>
          </w:p>
        </w:tc>
        <w:tc>
          <w:tcPr>
            <w:tcW w:w="1277" w:type="dxa"/>
            <w:tcBorders>
              <w:top w:val="single" w:color="000000" w:sz="4" w:space="0"/>
              <w:left w:val="single" w:color="000000" w:sz="4" w:space="0"/>
              <w:bottom w:val="single" w:color="000000" w:sz="4" w:space="0"/>
              <w:right w:val="single" w:color="000000" w:sz="4" w:space="0"/>
            </w:tcBorders>
            <w:vAlign w:val="center"/>
          </w:tcPr>
          <w:p w14:paraId="6169F514">
            <w:pPr>
              <w:pStyle w:val="71"/>
              <w:spacing w:before="24" w:after="24"/>
              <w:rPr>
                <w:rFonts w:cs="Times New Roman"/>
              </w:rPr>
            </w:pPr>
          </w:p>
        </w:tc>
      </w:tr>
      <w:tr w14:paraId="05D93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4D59F59D">
            <w:pPr>
              <w:pStyle w:val="71"/>
              <w:spacing w:before="24" w:after="24"/>
              <w:rPr>
                <w:rFonts w:cs="Times New Roman"/>
              </w:rPr>
            </w:pPr>
            <w:r>
              <w:rPr>
                <w:rFonts w:cs="Times New Roman"/>
              </w:rPr>
              <w:t>4</w:t>
            </w:r>
          </w:p>
        </w:tc>
        <w:tc>
          <w:tcPr>
            <w:tcW w:w="1415" w:type="dxa"/>
            <w:tcBorders>
              <w:top w:val="single" w:color="000000" w:sz="4" w:space="0"/>
              <w:left w:val="single" w:color="000000" w:sz="4" w:space="0"/>
              <w:bottom w:val="single" w:color="000000" w:sz="4" w:space="0"/>
              <w:right w:val="single" w:color="000000" w:sz="4" w:space="0"/>
            </w:tcBorders>
            <w:vAlign w:val="center"/>
          </w:tcPr>
          <w:p w14:paraId="0F307535">
            <w:pPr>
              <w:pStyle w:val="71"/>
              <w:spacing w:before="24" w:after="24"/>
              <w:rPr>
                <w:rFonts w:cs="Times New Roman"/>
              </w:rPr>
            </w:pPr>
            <w:r>
              <w:rPr>
                <w:rFonts w:cs="Times New Roman"/>
              </w:rPr>
              <w:t>内墙4（隔声墙）</w:t>
            </w:r>
          </w:p>
        </w:tc>
        <w:tc>
          <w:tcPr>
            <w:tcW w:w="1720" w:type="dxa"/>
            <w:tcBorders>
              <w:top w:val="single" w:color="000000" w:sz="4" w:space="0"/>
              <w:left w:val="single" w:color="000000" w:sz="4" w:space="0"/>
              <w:bottom w:val="single" w:color="000000" w:sz="4" w:space="0"/>
              <w:right w:val="single" w:color="000000" w:sz="4" w:space="0"/>
            </w:tcBorders>
            <w:vAlign w:val="center"/>
          </w:tcPr>
          <w:p w14:paraId="510D3EAE">
            <w:pPr>
              <w:pStyle w:val="71"/>
              <w:spacing w:before="24" w:after="24"/>
              <w:rPr>
                <w:rFonts w:cs="Times New Roman"/>
              </w:rPr>
            </w:pPr>
            <w:r>
              <w:rPr>
                <w:rFonts w:cs="Times New Roman"/>
              </w:rPr>
              <w:t>舞蹈教室、多功能厅、美术教室、音乐教室</w:t>
            </w:r>
          </w:p>
        </w:tc>
        <w:tc>
          <w:tcPr>
            <w:tcW w:w="4181" w:type="dxa"/>
            <w:tcBorders>
              <w:top w:val="single" w:color="000000" w:sz="4" w:space="0"/>
              <w:left w:val="single" w:color="000000" w:sz="4" w:space="0"/>
              <w:bottom w:val="single" w:color="000000" w:sz="4" w:space="0"/>
              <w:right w:val="single" w:color="000000" w:sz="4" w:space="0"/>
            </w:tcBorders>
            <w:vAlign w:val="center"/>
          </w:tcPr>
          <w:p w14:paraId="042A7D8B">
            <w:pPr>
              <w:pStyle w:val="71"/>
              <w:spacing w:before="24" w:after="24"/>
              <w:jc w:val="both"/>
              <w:rPr>
                <w:rFonts w:cs="Times New Roman"/>
              </w:rPr>
            </w:pPr>
            <w:r>
              <w:rPr>
                <w:rFonts w:cs="Times New Roman"/>
              </w:rPr>
              <w:t>1）乳胶漆，一底两面</w:t>
            </w:r>
          </w:p>
          <w:p w14:paraId="6D1EF949">
            <w:pPr>
              <w:pStyle w:val="71"/>
              <w:spacing w:before="24" w:after="24"/>
              <w:jc w:val="both"/>
              <w:rPr>
                <w:rFonts w:cs="Times New Roman"/>
              </w:rPr>
            </w:pPr>
            <w:r>
              <w:rPr>
                <w:rFonts w:cs="Times New Roman"/>
              </w:rPr>
              <w:t xml:space="preserve">2）普通腻子两遍                                                                           </w:t>
            </w:r>
          </w:p>
          <w:p w14:paraId="584E63C6">
            <w:pPr>
              <w:pStyle w:val="71"/>
              <w:spacing w:before="24" w:after="24"/>
              <w:jc w:val="both"/>
              <w:rPr>
                <w:rFonts w:cs="Times New Roman"/>
              </w:rPr>
            </w:pPr>
            <w:r>
              <w:rPr>
                <w:rFonts w:cs="Times New Roman"/>
              </w:rPr>
              <w:t>3）12+12mm厚双层石膏板</w:t>
            </w:r>
          </w:p>
          <w:p w14:paraId="52567F51">
            <w:pPr>
              <w:pStyle w:val="71"/>
              <w:spacing w:before="24" w:after="24"/>
              <w:jc w:val="both"/>
              <w:rPr>
                <w:rFonts w:cs="Times New Roman"/>
              </w:rPr>
            </w:pPr>
            <w:r>
              <w:rPr>
                <w:rFonts w:cs="Times New Roman"/>
              </w:rPr>
              <w:t>4）50系列C型轻钢龙骨双向间距@500，中填50mm厚岩棉，用膨胀螺栓与墙体固定</w:t>
            </w:r>
          </w:p>
          <w:p w14:paraId="5B5F1ED7">
            <w:pPr>
              <w:pStyle w:val="71"/>
              <w:spacing w:before="24" w:after="24"/>
              <w:jc w:val="both"/>
              <w:rPr>
                <w:rFonts w:cs="Times New Roman"/>
              </w:rPr>
            </w:pPr>
            <w:r>
              <w:rPr>
                <w:rFonts w:cs="Times New Roman"/>
              </w:rPr>
              <w:t>5）基层清理</w:t>
            </w:r>
          </w:p>
        </w:tc>
        <w:tc>
          <w:tcPr>
            <w:tcW w:w="1277" w:type="dxa"/>
            <w:tcBorders>
              <w:top w:val="single" w:color="000000" w:sz="4" w:space="0"/>
              <w:left w:val="single" w:color="000000" w:sz="4" w:space="0"/>
              <w:bottom w:val="single" w:color="000000" w:sz="4" w:space="0"/>
              <w:right w:val="single" w:color="000000" w:sz="4" w:space="0"/>
            </w:tcBorders>
            <w:vAlign w:val="center"/>
          </w:tcPr>
          <w:p w14:paraId="6B2F04D4">
            <w:pPr>
              <w:pStyle w:val="71"/>
              <w:spacing w:before="24" w:after="24"/>
              <w:rPr>
                <w:rFonts w:cs="Times New Roman"/>
              </w:rPr>
            </w:pPr>
          </w:p>
        </w:tc>
      </w:tr>
      <w:tr w14:paraId="2FF19A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79A00939">
            <w:pPr>
              <w:pStyle w:val="71"/>
              <w:spacing w:before="24" w:after="24"/>
              <w:rPr>
                <w:rFonts w:cs="Times New Roman"/>
              </w:rPr>
            </w:pPr>
            <w:r>
              <w:rPr>
                <w:rFonts w:cs="Times New Roman"/>
              </w:rPr>
              <w:t>5</w:t>
            </w:r>
          </w:p>
        </w:tc>
        <w:tc>
          <w:tcPr>
            <w:tcW w:w="1415" w:type="dxa"/>
            <w:tcBorders>
              <w:top w:val="single" w:color="000000" w:sz="4" w:space="0"/>
              <w:left w:val="single" w:color="000000" w:sz="4" w:space="0"/>
              <w:bottom w:val="single" w:color="000000" w:sz="4" w:space="0"/>
              <w:right w:val="single" w:color="000000" w:sz="4" w:space="0"/>
            </w:tcBorders>
            <w:vAlign w:val="center"/>
          </w:tcPr>
          <w:p w14:paraId="0B8EC5F3">
            <w:pPr>
              <w:pStyle w:val="71"/>
              <w:spacing w:before="24" w:after="24"/>
              <w:rPr>
                <w:rFonts w:cs="Times New Roman"/>
              </w:rPr>
            </w:pPr>
            <w:r>
              <w:rPr>
                <w:rFonts w:cs="Times New Roman"/>
              </w:rPr>
              <w:t>内墙5（防潮涂料内墙）</w:t>
            </w:r>
          </w:p>
        </w:tc>
        <w:tc>
          <w:tcPr>
            <w:tcW w:w="1720" w:type="dxa"/>
            <w:tcBorders>
              <w:top w:val="single" w:color="000000" w:sz="4" w:space="0"/>
              <w:left w:val="single" w:color="000000" w:sz="4" w:space="0"/>
              <w:bottom w:val="single" w:color="000000" w:sz="4" w:space="0"/>
              <w:right w:val="single" w:color="000000" w:sz="4" w:space="0"/>
            </w:tcBorders>
            <w:vAlign w:val="center"/>
          </w:tcPr>
          <w:p w14:paraId="7F4CA0AA">
            <w:pPr>
              <w:pStyle w:val="71"/>
              <w:spacing w:before="24" w:after="24"/>
              <w:rPr>
                <w:rFonts w:cs="Times New Roman"/>
              </w:rPr>
            </w:pPr>
            <w:r>
              <w:rPr>
                <w:rFonts w:cs="Times New Roman"/>
              </w:rPr>
              <w:t>计算机教室</w:t>
            </w:r>
          </w:p>
        </w:tc>
        <w:tc>
          <w:tcPr>
            <w:tcW w:w="4181" w:type="dxa"/>
            <w:tcBorders>
              <w:top w:val="single" w:color="000000" w:sz="4" w:space="0"/>
              <w:left w:val="single" w:color="000000" w:sz="4" w:space="0"/>
              <w:bottom w:val="single" w:color="000000" w:sz="4" w:space="0"/>
              <w:right w:val="single" w:color="000000" w:sz="4" w:space="0"/>
            </w:tcBorders>
            <w:vAlign w:val="center"/>
          </w:tcPr>
          <w:p w14:paraId="39BC8C19">
            <w:pPr>
              <w:pStyle w:val="71"/>
              <w:spacing w:before="24" w:after="24"/>
              <w:jc w:val="both"/>
              <w:rPr>
                <w:rFonts w:cs="Times New Roman"/>
              </w:rPr>
            </w:pPr>
            <w:r>
              <w:rPr>
                <w:rFonts w:cs="Times New Roman"/>
              </w:rPr>
              <w:t>1）乳胶漆，一底两面</w:t>
            </w:r>
          </w:p>
          <w:p w14:paraId="11577C1E">
            <w:pPr>
              <w:pStyle w:val="71"/>
              <w:spacing w:before="24" w:after="24"/>
              <w:jc w:val="both"/>
              <w:rPr>
                <w:rFonts w:cs="Times New Roman"/>
              </w:rPr>
            </w:pPr>
            <w:r>
              <w:rPr>
                <w:rFonts w:cs="Times New Roman"/>
              </w:rPr>
              <w:t>2）普通腻子两遍</w:t>
            </w:r>
          </w:p>
          <w:p w14:paraId="644146FD">
            <w:pPr>
              <w:pStyle w:val="71"/>
              <w:spacing w:before="24" w:after="24"/>
              <w:jc w:val="both"/>
              <w:rPr>
                <w:rFonts w:cs="Times New Roman"/>
              </w:rPr>
            </w:pPr>
            <w:r>
              <w:rPr>
                <w:rFonts w:cs="Times New Roman"/>
              </w:rPr>
              <w:t>3）7厚 1:2.5 水泥砂浆罩面压光（掺5%防水剂）</w:t>
            </w:r>
          </w:p>
          <w:p w14:paraId="374D4BAD">
            <w:pPr>
              <w:pStyle w:val="71"/>
              <w:spacing w:before="24" w:after="24"/>
              <w:jc w:val="both"/>
              <w:rPr>
                <w:rFonts w:cs="Times New Roman"/>
              </w:rPr>
            </w:pPr>
            <w:r>
              <w:rPr>
                <w:rFonts w:cs="Times New Roman"/>
              </w:rPr>
              <w:t>4）8厚1:3水泥砂浆打底</w:t>
            </w:r>
          </w:p>
          <w:p w14:paraId="2B5CF7AD">
            <w:pPr>
              <w:pStyle w:val="71"/>
              <w:spacing w:before="24" w:after="24"/>
              <w:jc w:val="both"/>
              <w:rPr>
                <w:rFonts w:cs="Times New Roman"/>
              </w:rPr>
            </w:pPr>
            <w:r>
              <w:rPr>
                <w:rFonts w:cs="Times New Roman"/>
              </w:rPr>
              <w:t>5）基层清理</w:t>
            </w:r>
          </w:p>
        </w:tc>
        <w:tc>
          <w:tcPr>
            <w:tcW w:w="1277" w:type="dxa"/>
            <w:tcBorders>
              <w:top w:val="single" w:color="000000" w:sz="4" w:space="0"/>
              <w:left w:val="single" w:color="000000" w:sz="4" w:space="0"/>
              <w:bottom w:val="single" w:color="000000" w:sz="4" w:space="0"/>
              <w:right w:val="single" w:color="000000" w:sz="4" w:space="0"/>
            </w:tcBorders>
            <w:vAlign w:val="center"/>
          </w:tcPr>
          <w:p w14:paraId="28967ACC">
            <w:pPr>
              <w:pStyle w:val="71"/>
              <w:spacing w:before="24" w:after="24"/>
              <w:rPr>
                <w:rFonts w:cs="Times New Roman"/>
              </w:rPr>
            </w:pPr>
          </w:p>
        </w:tc>
      </w:tr>
      <w:tr w14:paraId="1E4CE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62C1421E">
            <w:pPr>
              <w:pStyle w:val="71"/>
              <w:spacing w:before="24" w:after="24"/>
              <w:rPr>
                <w:rFonts w:cs="Times New Roman"/>
              </w:rPr>
            </w:pPr>
            <w:r>
              <w:rPr>
                <w:rFonts w:cs="Times New Roman"/>
              </w:rPr>
              <w:t>6</w:t>
            </w:r>
          </w:p>
        </w:tc>
        <w:tc>
          <w:tcPr>
            <w:tcW w:w="1415" w:type="dxa"/>
            <w:tcBorders>
              <w:top w:val="single" w:color="000000" w:sz="4" w:space="0"/>
              <w:left w:val="single" w:color="000000" w:sz="4" w:space="0"/>
              <w:bottom w:val="single" w:color="000000" w:sz="4" w:space="0"/>
              <w:right w:val="single" w:color="000000" w:sz="4" w:space="0"/>
            </w:tcBorders>
            <w:vAlign w:val="center"/>
          </w:tcPr>
          <w:p w14:paraId="2B127162">
            <w:pPr>
              <w:pStyle w:val="71"/>
              <w:spacing w:before="24" w:after="24"/>
              <w:rPr>
                <w:rFonts w:cs="Times New Roman"/>
              </w:rPr>
            </w:pPr>
            <w:r>
              <w:rPr>
                <w:rFonts w:cs="Times New Roman"/>
              </w:rPr>
              <w:t>内墙6（无机涂料内墙）</w:t>
            </w:r>
          </w:p>
        </w:tc>
        <w:tc>
          <w:tcPr>
            <w:tcW w:w="1720" w:type="dxa"/>
            <w:tcBorders>
              <w:top w:val="single" w:color="000000" w:sz="4" w:space="0"/>
              <w:left w:val="single" w:color="000000" w:sz="4" w:space="0"/>
              <w:bottom w:val="single" w:color="000000" w:sz="4" w:space="0"/>
              <w:right w:val="single" w:color="000000" w:sz="4" w:space="0"/>
            </w:tcBorders>
            <w:vAlign w:val="center"/>
          </w:tcPr>
          <w:p w14:paraId="7D94996F">
            <w:pPr>
              <w:pStyle w:val="71"/>
              <w:spacing w:before="24" w:after="24"/>
              <w:rPr>
                <w:rFonts w:cs="Times New Roman"/>
              </w:rPr>
            </w:pPr>
            <w:r>
              <w:rPr>
                <w:rFonts w:cs="Times New Roman"/>
              </w:rPr>
              <w:t>楼梯间</w:t>
            </w:r>
          </w:p>
        </w:tc>
        <w:tc>
          <w:tcPr>
            <w:tcW w:w="4181" w:type="dxa"/>
            <w:tcBorders>
              <w:top w:val="single" w:color="000000" w:sz="4" w:space="0"/>
              <w:left w:val="single" w:color="000000" w:sz="4" w:space="0"/>
              <w:bottom w:val="single" w:color="000000" w:sz="4" w:space="0"/>
              <w:right w:val="single" w:color="000000" w:sz="4" w:space="0"/>
            </w:tcBorders>
            <w:vAlign w:val="center"/>
          </w:tcPr>
          <w:p w14:paraId="48CF398D">
            <w:pPr>
              <w:pStyle w:val="71"/>
              <w:spacing w:before="24" w:after="24"/>
              <w:jc w:val="both"/>
              <w:rPr>
                <w:rFonts w:cs="Times New Roman"/>
              </w:rPr>
            </w:pPr>
            <w:r>
              <w:rPr>
                <w:rFonts w:cs="Times New Roman"/>
              </w:rPr>
              <w:t>1）无机涂料，一底两面</w:t>
            </w:r>
          </w:p>
          <w:p w14:paraId="50DFA45F">
            <w:pPr>
              <w:pStyle w:val="71"/>
              <w:spacing w:before="24" w:after="24"/>
              <w:jc w:val="both"/>
              <w:rPr>
                <w:rFonts w:cs="Times New Roman"/>
              </w:rPr>
            </w:pPr>
            <w:r>
              <w:rPr>
                <w:rFonts w:cs="Times New Roman"/>
              </w:rPr>
              <w:t>2）普通腻子两遍</w:t>
            </w:r>
          </w:p>
          <w:p w14:paraId="2EB1BBA9">
            <w:pPr>
              <w:pStyle w:val="71"/>
              <w:spacing w:before="24" w:after="24"/>
              <w:jc w:val="both"/>
              <w:rPr>
                <w:rFonts w:cs="Times New Roman"/>
              </w:rPr>
            </w:pPr>
            <w:r>
              <w:rPr>
                <w:rFonts w:cs="Times New Roman"/>
              </w:rPr>
              <w:t>3）7厚1：2.5水泥砂浆罩面压光</w:t>
            </w:r>
          </w:p>
          <w:p w14:paraId="7379127D">
            <w:pPr>
              <w:pStyle w:val="71"/>
              <w:spacing w:before="24" w:after="24"/>
              <w:jc w:val="both"/>
              <w:rPr>
                <w:rFonts w:cs="Times New Roman"/>
              </w:rPr>
            </w:pPr>
            <w:r>
              <w:rPr>
                <w:rFonts w:cs="Times New Roman"/>
              </w:rPr>
              <w:t>4）8厚1：3水泥砂浆打底</w:t>
            </w:r>
          </w:p>
          <w:p w14:paraId="06C74C49">
            <w:pPr>
              <w:pStyle w:val="71"/>
              <w:spacing w:before="24" w:after="24"/>
              <w:jc w:val="both"/>
              <w:rPr>
                <w:rFonts w:cs="Times New Roman"/>
              </w:rPr>
            </w:pPr>
            <w:r>
              <w:rPr>
                <w:rFonts w:cs="Times New Roman"/>
              </w:rPr>
              <w:t>5）基层清理</w:t>
            </w:r>
          </w:p>
        </w:tc>
        <w:tc>
          <w:tcPr>
            <w:tcW w:w="1277" w:type="dxa"/>
            <w:tcBorders>
              <w:top w:val="single" w:color="000000" w:sz="4" w:space="0"/>
              <w:left w:val="single" w:color="000000" w:sz="4" w:space="0"/>
              <w:bottom w:val="single" w:color="000000" w:sz="4" w:space="0"/>
              <w:right w:val="single" w:color="000000" w:sz="4" w:space="0"/>
            </w:tcBorders>
            <w:vAlign w:val="center"/>
          </w:tcPr>
          <w:p w14:paraId="26C63E33">
            <w:pPr>
              <w:pStyle w:val="71"/>
              <w:spacing w:before="24" w:after="24"/>
              <w:rPr>
                <w:rFonts w:cs="Times New Roman"/>
              </w:rPr>
            </w:pPr>
          </w:p>
        </w:tc>
      </w:tr>
      <w:tr w14:paraId="54DFC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086321B7">
            <w:pPr>
              <w:pStyle w:val="71"/>
              <w:spacing w:before="24" w:after="24"/>
              <w:rPr>
                <w:rFonts w:cs="Times New Roman"/>
              </w:rPr>
            </w:pPr>
            <w:r>
              <w:rPr>
                <w:rFonts w:cs="Times New Roman"/>
              </w:rPr>
              <w:t>7</w:t>
            </w:r>
          </w:p>
        </w:tc>
        <w:tc>
          <w:tcPr>
            <w:tcW w:w="1415" w:type="dxa"/>
            <w:tcBorders>
              <w:top w:val="single" w:color="000000" w:sz="4" w:space="0"/>
              <w:left w:val="single" w:color="000000" w:sz="4" w:space="0"/>
              <w:bottom w:val="single" w:color="000000" w:sz="4" w:space="0"/>
              <w:right w:val="single" w:color="000000" w:sz="4" w:space="0"/>
            </w:tcBorders>
            <w:vAlign w:val="center"/>
          </w:tcPr>
          <w:p w14:paraId="5E112EB6">
            <w:pPr>
              <w:pStyle w:val="71"/>
              <w:spacing w:before="24" w:after="24"/>
              <w:rPr>
                <w:rFonts w:cs="Times New Roman"/>
              </w:rPr>
            </w:pPr>
            <w:r>
              <w:rPr>
                <w:rFonts w:cs="Times New Roman"/>
              </w:rPr>
              <w:t>内墙7（墙裙）</w:t>
            </w:r>
          </w:p>
        </w:tc>
        <w:tc>
          <w:tcPr>
            <w:tcW w:w="1720" w:type="dxa"/>
            <w:tcBorders>
              <w:top w:val="single" w:color="000000" w:sz="4" w:space="0"/>
              <w:left w:val="single" w:color="000000" w:sz="4" w:space="0"/>
              <w:bottom w:val="single" w:color="000000" w:sz="4" w:space="0"/>
              <w:right w:val="single" w:color="000000" w:sz="4" w:space="0"/>
            </w:tcBorders>
            <w:vAlign w:val="center"/>
          </w:tcPr>
          <w:p w14:paraId="5439F606">
            <w:pPr>
              <w:pStyle w:val="71"/>
              <w:spacing w:before="24" w:after="24"/>
              <w:rPr>
                <w:rFonts w:cs="Times New Roman"/>
              </w:rPr>
            </w:pPr>
            <w:r>
              <w:rPr>
                <w:rFonts w:cs="Times New Roman"/>
              </w:rPr>
              <w:t>教学用房及公共活动区域</w:t>
            </w:r>
          </w:p>
        </w:tc>
        <w:tc>
          <w:tcPr>
            <w:tcW w:w="4181" w:type="dxa"/>
            <w:tcBorders>
              <w:top w:val="single" w:color="000000" w:sz="4" w:space="0"/>
              <w:left w:val="single" w:color="000000" w:sz="4" w:space="0"/>
              <w:bottom w:val="single" w:color="000000" w:sz="4" w:space="0"/>
              <w:right w:val="single" w:color="000000" w:sz="4" w:space="0"/>
            </w:tcBorders>
            <w:vAlign w:val="center"/>
          </w:tcPr>
          <w:p w14:paraId="4EA03253">
            <w:pPr>
              <w:pStyle w:val="71"/>
              <w:spacing w:before="24" w:after="24"/>
              <w:jc w:val="both"/>
              <w:rPr>
                <w:rFonts w:cs="Times New Roman"/>
              </w:rPr>
            </w:pPr>
            <w:r>
              <w:rPr>
                <w:rFonts w:cs="Times New Roman"/>
              </w:rPr>
              <w:t>1）面砖（小学1.2米，中学1.4米，舞蹈教室、风雨操场2.1米）</w:t>
            </w:r>
          </w:p>
          <w:p w14:paraId="72B77470">
            <w:pPr>
              <w:pStyle w:val="71"/>
              <w:spacing w:before="24" w:after="24"/>
              <w:jc w:val="both"/>
              <w:rPr>
                <w:rFonts w:cs="Times New Roman"/>
              </w:rPr>
            </w:pPr>
            <w:r>
              <w:rPr>
                <w:rFonts w:cs="Times New Roman"/>
              </w:rPr>
              <w:t>2）5mm厚专用粘结砂浆</w:t>
            </w:r>
          </w:p>
          <w:p w14:paraId="02FAE82C">
            <w:pPr>
              <w:pStyle w:val="71"/>
              <w:spacing w:before="24" w:after="24"/>
              <w:jc w:val="both"/>
              <w:rPr>
                <w:rFonts w:cs="Times New Roman"/>
              </w:rPr>
            </w:pPr>
            <w:r>
              <w:rPr>
                <w:rFonts w:cs="Times New Roman"/>
              </w:rPr>
              <w:t>3）7厚 1:2.5 水泥砂浆罩面压光</w:t>
            </w:r>
          </w:p>
          <w:p w14:paraId="6EA9A0A5">
            <w:pPr>
              <w:pStyle w:val="71"/>
              <w:spacing w:before="24" w:after="24"/>
              <w:jc w:val="both"/>
              <w:rPr>
                <w:rFonts w:cs="Times New Roman"/>
              </w:rPr>
            </w:pPr>
            <w:r>
              <w:rPr>
                <w:rFonts w:cs="Times New Roman"/>
              </w:rPr>
              <w:t>4）8厚1:3水泥砂浆打底</w:t>
            </w:r>
          </w:p>
          <w:p w14:paraId="7C84D0C7">
            <w:pPr>
              <w:pStyle w:val="71"/>
              <w:spacing w:before="24" w:after="24"/>
              <w:jc w:val="both"/>
              <w:rPr>
                <w:rFonts w:cs="Times New Roman"/>
              </w:rPr>
            </w:pPr>
            <w:r>
              <w:rPr>
                <w:rFonts w:cs="Times New Roman"/>
              </w:rPr>
              <w:t>5）基层清理</w:t>
            </w:r>
          </w:p>
        </w:tc>
        <w:tc>
          <w:tcPr>
            <w:tcW w:w="1277" w:type="dxa"/>
            <w:tcBorders>
              <w:top w:val="single" w:color="000000" w:sz="4" w:space="0"/>
              <w:left w:val="single" w:color="000000" w:sz="4" w:space="0"/>
              <w:bottom w:val="single" w:color="000000" w:sz="4" w:space="0"/>
              <w:right w:val="single" w:color="000000" w:sz="4" w:space="0"/>
            </w:tcBorders>
            <w:vAlign w:val="center"/>
          </w:tcPr>
          <w:p w14:paraId="0E4A565C">
            <w:pPr>
              <w:pStyle w:val="71"/>
              <w:spacing w:before="24" w:after="24"/>
              <w:rPr>
                <w:rFonts w:cs="Times New Roman"/>
              </w:rPr>
            </w:pPr>
          </w:p>
        </w:tc>
      </w:tr>
      <w:tr w14:paraId="353D0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348" w:type="dxa"/>
            <w:gridSpan w:val="5"/>
            <w:tcBorders>
              <w:top w:val="single" w:color="000000" w:sz="4" w:space="0"/>
              <w:left w:val="single" w:color="000000" w:sz="4" w:space="0"/>
              <w:bottom w:val="single" w:color="000000" w:sz="4" w:space="0"/>
              <w:right w:val="single" w:color="000000" w:sz="4" w:space="0"/>
            </w:tcBorders>
            <w:vAlign w:val="center"/>
          </w:tcPr>
          <w:p w14:paraId="2828832C">
            <w:pPr>
              <w:pStyle w:val="71"/>
              <w:spacing w:before="24" w:after="24"/>
              <w:rPr>
                <w:rFonts w:cs="Times New Roman"/>
              </w:rPr>
            </w:pPr>
            <w:r>
              <w:rPr>
                <w:rFonts w:cs="Times New Roman"/>
              </w:rPr>
              <w:t>顶棚</w:t>
            </w:r>
          </w:p>
        </w:tc>
      </w:tr>
      <w:tr w14:paraId="23C53B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0193D7D0">
            <w:pPr>
              <w:pStyle w:val="71"/>
              <w:spacing w:before="24" w:after="24"/>
              <w:rPr>
                <w:rFonts w:cs="Times New Roman"/>
              </w:rPr>
            </w:pPr>
            <w:r>
              <w:rPr>
                <w:rFonts w:cs="Times New Roman"/>
              </w:rPr>
              <w:t>1</w:t>
            </w:r>
          </w:p>
        </w:tc>
        <w:tc>
          <w:tcPr>
            <w:tcW w:w="1415" w:type="dxa"/>
            <w:tcBorders>
              <w:top w:val="single" w:color="000000" w:sz="4" w:space="0"/>
              <w:left w:val="single" w:color="000000" w:sz="4" w:space="0"/>
              <w:bottom w:val="single" w:color="000000" w:sz="4" w:space="0"/>
              <w:right w:val="single" w:color="000000" w:sz="4" w:space="0"/>
            </w:tcBorders>
            <w:vAlign w:val="center"/>
          </w:tcPr>
          <w:p w14:paraId="1FCAE91B">
            <w:pPr>
              <w:pStyle w:val="71"/>
              <w:spacing w:before="24" w:after="24"/>
              <w:rPr>
                <w:rFonts w:cs="Times New Roman"/>
              </w:rPr>
            </w:pPr>
            <w:r>
              <w:rPr>
                <w:rFonts w:cs="Times New Roman"/>
              </w:rPr>
              <w:t>顶棚1（无机涂料顶棚）</w:t>
            </w:r>
          </w:p>
        </w:tc>
        <w:tc>
          <w:tcPr>
            <w:tcW w:w="1720" w:type="dxa"/>
            <w:tcBorders>
              <w:top w:val="single" w:color="000000" w:sz="4" w:space="0"/>
              <w:left w:val="single" w:color="000000" w:sz="4" w:space="0"/>
              <w:bottom w:val="single" w:color="000000" w:sz="4" w:space="0"/>
              <w:right w:val="single" w:color="000000" w:sz="4" w:space="0"/>
            </w:tcBorders>
            <w:vAlign w:val="center"/>
          </w:tcPr>
          <w:p w14:paraId="465D8089">
            <w:pPr>
              <w:pStyle w:val="71"/>
              <w:spacing w:before="24" w:after="24"/>
              <w:rPr>
                <w:rFonts w:cs="Times New Roman"/>
              </w:rPr>
            </w:pPr>
            <w:r>
              <w:rPr>
                <w:rFonts w:cs="Times New Roman"/>
              </w:rPr>
              <w:t>普通教室及附属用房、教师（行政、校务教务）办公室、会议室、舞蹈教室、书法教室、科学教室、劳动教室、语言教室、教具储藏室、卫生保健室、心理咨询室、体质测试室、德育展览室、文印档案室、设备操作间、广播站、财务室、更衣室、管理用房、教师休息室、门厅、内走道、商业、保卫室、楼梯间</w:t>
            </w:r>
          </w:p>
        </w:tc>
        <w:tc>
          <w:tcPr>
            <w:tcW w:w="4181" w:type="dxa"/>
            <w:tcBorders>
              <w:top w:val="single" w:color="000000" w:sz="4" w:space="0"/>
              <w:left w:val="single" w:color="000000" w:sz="4" w:space="0"/>
              <w:bottom w:val="single" w:color="000000" w:sz="4" w:space="0"/>
              <w:right w:val="single" w:color="000000" w:sz="4" w:space="0"/>
            </w:tcBorders>
            <w:vAlign w:val="center"/>
          </w:tcPr>
          <w:p w14:paraId="0C18D0F1">
            <w:pPr>
              <w:pStyle w:val="71"/>
              <w:spacing w:before="24" w:after="24"/>
              <w:jc w:val="both"/>
              <w:rPr>
                <w:rFonts w:cs="Times New Roman"/>
              </w:rPr>
            </w:pPr>
            <w:r>
              <w:rPr>
                <w:rFonts w:cs="Times New Roman"/>
              </w:rPr>
              <w:t>1）现浇钢筋混凝土结构板底面基层找补、清理</w:t>
            </w:r>
          </w:p>
          <w:p w14:paraId="2F145C28">
            <w:pPr>
              <w:pStyle w:val="71"/>
              <w:spacing w:before="24" w:after="24"/>
              <w:jc w:val="both"/>
              <w:rPr>
                <w:rFonts w:cs="Times New Roman"/>
              </w:rPr>
            </w:pPr>
            <w:r>
              <w:rPr>
                <w:rFonts w:cs="Times New Roman"/>
              </w:rPr>
              <w:t>2）刮腻子粉两遍、打磨平整</w:t>
            </w:r>
          </w:p>
          <w:p w14:paraId="3B20439F">
            <w:pPr>
              <w:pStyle w:val="71"/>
              <w:spacing w:before="24" w:after="24"/>
              <w:jc w:val="both"/>
              <w:rPr>
                <w:rFonts w:cs="Times New Roman"/>
              </w:rPr>
            </w:pPr>
            <w:r>
              <w:rPr>
                <w:rFonts w:cs="Times New Roman"/>
              </w:rPr>
              <w:t>3）无机涂料</w:t>
            </w:r>
          </w:p>
        </w:tc>
        <w:tc>
          <w:tcPr>
            <w:tcW w:w="1277" w:type="dxa"/>
            <w:tcBorders>
              <w:top w:val="single" w:color="000000" w:sz="4" w:space="0"/>
              <w:left w:val="single" w:color="000000" w:sz="4" w:space="0"/>
              <w:bottom w:val="single" w:color="000000" w:sz="4" w:space="0"/>
              <w:right w:val="single" w:color="000000" w:sz="4" w:space="0"/>
            </w:tcBorders>
            <w:vAlign w:val="center"/>
          </w:tcPr>
          <w:p w14:paraId="5FCF037A">
            <w:pPr>
              <w:pStyle w:val="71"/>
              <w:spacing w:before="24" w:after="24"/>
              <w:rPr>
                <w:rFonts w:cs="Times New Roman"/>
              </w:rPr>
            </w:pPr>
          </w:p>
        </w:tc>
      </w:tr>
      <w:tr w14:paraId="372C0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608AA76D">
            <w:pPr>
              <w:pStyle w:val="71"/>
              <w:spacing w:before="24" w:after="24"/>
              <w:rPr>
                <w:rFonts w:cs="Times New Roman"/>
              </w:rPr>
            </w:pPr>
            <w:r>
              <w:rPr>
                <w:rFonts w:cs="Times New Roman"/>
              </w:rPr>
              <w:t>2</w:t>
            </w:r>
          </w:p>
        </w:tc>
        <w:tc>
          <w:tcPr>
            <w:tcW w:w="1415" w:type="dxa"/>
            <w:tcBorders>
              <w:top w:val="single" w:color="000000" w:sz="4" w:space="0"/>
              <w:left w:val="single" w:color="000000" w:sz="4" w:space="0"/>
              <w:bottom w:val="single" w:color="000000" w:sz="4" w:space="0"/>
              <w:right w:val="single" w:color="000000" w:sz="4" w:space="0"/>
            </w:tcBorders>
            <w:vAlign w:val="center"/>
          </w:tcPr>
          <w:p w14:paraId="4245EF91">
            <w:pPr>
              <w:pStyle w:val="71"/>
              <w:spacing w:before="24" w:after="24"/>
              <w:rPr>
                <w:rFonts w:cs="Times New Roman"/>
              </w:rPr>
            </w:pPr>
            <w:r>
              <w:rPr>
                <w:rFonts w:cs="Times New Roman"/>
              </w:rPr>
              <w:t>顶棚2（白色防霉涂料顶棚）</w:t>
            </w:r>
          </w:p>
        </w:tc>
        <w:tc>
          <w:tcPr>
            <w:tcW w:w="1720" w:type="dxa"/>
            <w:tcBorders>
              <w:top w:val="single" w:color="000000" w:sz="4" w:space="0"/>
              <w:left w:val="single" w:color="000000" w:sz="4" w:space="0"/>
              <w:bottom w:val="single" w:color="000000" w:sz="4" w:space="0"/>
              <w:right w:val="single" w:color="000000" w:sz="4" w:space="0"/>
            </w:tcBorders>
            <w:vAlign w:val="center"/>
          </w:tcPr>
          <w:p w14:paraId="100467E5">
            <w:pPr>
              <w:pStyle w:val="71"/>
              <w:spacing w:before="24" w:after="24"/>
              <w:rPr>
                <w:rFonts w:cs="Times New Roman"/>
              </w:rPr>
            </w:pPr>
            <w:r>
              <w:rPr>
                <w:rFonts w:cs="Times New Roman"/>
              </w:rPr>
              <w:t>室外连廊</w:t>
            </w:r>
          </w:p>
        </w:tc>
        <w:tc>
          <w:tcPr>
            <w:tcW w:w="4181" w:type="dxa"/>
            <w:tcBorders>
              <w:top w:val="single" w:color="000000" w:sz="4" w:space="0"/>
              <w:left w:val="single" w:color="000000" w:sz="4" w:space="0"/>
              <w:bottom w:val="single" w:color="000000" w:sz="4" w:space="0"/>
              <w:right w:val="single" w:color="000000" w:sz="4" w:space="0"/>
            </w:tcBorders>
            <w:vAlign w:val="center"/>
          </w:tcPr>
          <w:p w14:paraId="141263FB">
            <w:pPr>
              <w:pStyle w:val="71"/>
              <w:spacing w:before="24" w:after="24"/>
              <w:jc w:val="both"/>
              <w:rPr>
                <w:rFonts w:cs="Times New Roman"/>
              </w:rPr>
            </w:pPr>
            <w:r>
              <w:rPr>
                <w:rFonts w:cs="Times New Roman"/>
              </w:rPr>
              <w:t>1）现浇钢筋混凝土结构板底面基层找补、清理</w:t>
            </w:r>
          </w:p>
          <w:p w14:paraId="209258F8">
            <w:pPr>
              <w:pStyle w:val="71"/>
              <w:spacing w:before="24" w:after="24"/>
              <w:jc w:val="both"/>
              <w:rPr>
                <w:rFonts w:cs="Times New Roman"/>
              </w:rPr>
            </w:pPr>
            <w:r>
              <w:rPr>
                <w:rFonts w:cs="Times New Roman"/>
              </w:rPr>
              <w:t>2）耐水腻子两遍、打磨平整</w:t>
            </w:r>
          </w:p>
          <w:p w14:paraId="296BF232">
            <w:pPr>
              <w:pStyle w:val="71"/>
              <w:spacing w:before="24" w:after="24"/>
              <w:jc w:val="both"/>
              <w:rPr>
                <w:rFonts w:cs="Times New Roman"/>
              </w:rPr>
            </w:pPr>
            <w:r>
              <w:rPr>
                <w:rFonts w:cs="Times New Roman"/>
              </w:rPr>
              <w:t>3）白色防霉涂料</w:t>
            </w:r>
          </w:p>
        </w:tc>
        <w:tc>
          <w:tcPr>
            <w:tcW w:w="1277" w:type="dxa"/>
            <w:tcBorders>
              <w:top w:val="single" w:color="000000" w:sz="4" w:space="0"/>
              <w:left w:val="single" w:color="000000" w:sz="4" w:space="0"/>
              <w:bottom w:val="single" w:color="000000" w:sz="4" w:space="0"/>
              <w:right w:val="single" w:color="000000" w:sz="4" w:space="0"/>
            </w:tcBorders>
            <w:vAlign w:val="center"/>
          </w:tcPr>
          <w:p w14:paraId="2D37224F">
            <w:pPr>
              <w:pStyle w:val="71"/>
              <w:spacing w:before="24" w:after="24"/>
              <w:rPr>
                <w:rFonts w:cs="Times New Roman"/>
              </w:rPr>
            </w:pPr>
          </w:p>
        </w:tc>
      </w:tr>
      <w:tr w14:paraId="4D556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2F5824E9">
            <w:pPr>
              <w:pStyle w:val="71"/>
              <w:spacing w:before="24" w:after="24"/>
              <w:rPr>
                <w:rFonts w:cs="Times New Roman"/>
              </w:rPr>
            </w:pPr>
            <w:r>
              <w:rPr>
                <w:rFonts w:cs="Times New Roman"/>
              </w:rPr>
              <w:t>3</w:t>
            </w:r>
          </w:p>
        </w:tc>
        <w:tc>
          <w:tcPr>
            <w:tcW w:w="1415" w:type="dxa"/>
            <w:tcBorders>
              <w:top w:val="single" w:color="000000" w:sz="4" w:space="0"/>
              <w:left w:val="single" w:color="000000" w:sz="4" w:space="0"/>
              <w:bottom w:val="single" w:color="000000" w:sz="4" w:space="0"/>
              <w:right w:val="single" w:color="000000" w:sz="4" w:space="0"/>
            </w:tcBorders>
            <w:vAlign w:val="center"/>
          </w:tcPr>
          <w:p w14:paraId="638CC7D9">
            <w:pPr>
              <w:pStyle w:val="71"/>
              <w:spacing w:before="24" w:after="24"/>
              <w:rPr>
                <w:rFonts w:cs="Times New Roman"/>
              </w:rPr>
            </w:pPr>
            <w:r>
              <w:rPr>
                <w:rFonts w:cs="Times New Roman"/>
              </w:rPr>
              <w:t>顶棚3（防潮顶棚1）</w:t>
            </w:r>
          </w:p>
        </w:tc>
        <w:tc>
          <w:tcPr>
            <w:tcW w:w="1720" w:type="dxa"/>
            <w:tcBorders>
              <w:top w:val="single" w:color="000000" w:sz="4" w:space="0"/>
              <w:left w:val="single" w:color="000000" w:sz="4" w:space="0"/>
              <w:bottom w:val="single" w:color="000000" w:sz="4" w:space="0"/>
              <w:right w:val="single" w:color="000000" w:sz="4" w:space="0"/>
            </w:tcBorders>
            <w:vAlign w:val="center"/>
          </w:tcPr>
          <w:p w14:paraId="2ADBBB6E">
            <w:pPr>
              <w:pStyle w:val="71"/>
              <w:spacing w:before="24" w:after="24"/>
              <w:rPr>
                <w:rFonts w:cs="Times New Roman"/>
              </w:rPr>
            </w:pPr>
            <w:r>
              <w:rPr>
                <w:rFonts w:cs="Times New Roman"/>
              </w:rPr>
              <w:t>卫生间、饮水间</w:t>
            </w:r>
          </w:p>
        </w:tc>
        <w:tc>
          <w:tcPr>
            <w:tcW w:w="4181" w:type="dxa"/>
            <w:tcBorders>
              <w:top w:val="single" w:color="000000" w:sz="4" w:space="0"/>
              <w:left w:val="single" w:color="000000" w:sz="4" w:space="0"/>
              <w:bottom w:val="single" w:color="000000" w:sz="4" w:space="0"/>
              <w:right w:val="single" w:color="000000" w:sz="4" w:space="0"/>
            </w:tcBorders>
            <w:vAlign w:val="center"/>
          </w:tcPr>
          <w:p w14:paraId="4AB23E81">
            <w:pPr>
              <w:pStyle w:val="71"/>
              <w:spacing w:before="24" w:after="24"/>
              <w:jc w:val="both"/>
              <w:rPr>
                <w:rFonts w:cs="Times New Roman"/>
              </w:rPr>
            </w:pPr>
            <w:r>
              <w:rPr>
                <w:rFonts w:cs="Times New Roman"/>
              </w:rPr>
              <w:t>1）现浇钢筋混凝土结构板修补平整</w:t>
            </w:r>
          </w:p>
          <w:p w14:paraId="3314C902">
            <w:pPr>
              <w:pStyle w:val="71"/>
              <w:spacing w:before="24" w:after="24"/>
              <w:jc w:val="both"/>
              <w:rPr>
                <w:rFonts w:cs="Times New Roman"/>
              </w:rPr>
            </w:pPr>
            <w:r>
              <w:rPr>
                <w:rFonts w:cs="Times New Roman"/>
              </w:rPr>
              <w:t>2）0.8mm铝扣板</w:t>
            </w:r>
          </w:p>
        </w:tc>
        <w:tc>
          <w:tcPr>
            <w:tcW w:w="1277" w:type="dxa"/>
            <w:tcBorders>
              <w:top w:val="single" w:color="000000" w:sz="4" w:space="0"/>
              <w:left w:val="single" w:color="000000" w:sz="4" w:space="0"/>
              <w:bottom w:val="single" w:color="000000" w:sz="4" w:space="0"/>
              <w:right w:val="single" w:color="000000" w:sz="4" w:space="0"/>
            </w:tcBorders>
            <w:vAlign w:val="center"/>
          </w:tcPr>
          <w:p w14:paraId="3F702C04">
            <w:pPr>
              <w:pStyle w:val="71"/>
              <w:spacing w:before="24" w:after="24"/>
              <w:rPr>
                <w:rFonts w:cs="Times New Roman"/>
              </w:rPr>
            </w:pPr>
          </w:p>
        </w:tc>
      </w:tr>
      <w:tr w14:paraId="13B22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60E64A10">
            <w:pPr>
              <w:pStyle w:val="71"/>
              <w:spacing w:before="24" w:after="24"/>
              <w:rPr>
                <w:rFonts w:cs="Times New Roman"/>
              </w:rPr>
            </w:pPr>
            <w:r>
              <w:rPr>
                <w:rFonts w:cs="Times New Roman"/>
              </w:rPr>
              <w:t>4</w:t>
            </w:r>
          </w:p>
        </w:tc>
        <w:tc>
          <w:tcPr>
            <w:tcW w:w="1415" w:type="dxa"/>
            <w:tcBorders>
              <w:top w:val="single" w:color="000000" w:sz="4" w:space="0"/>
              <w:left w:val="single" w:color="000000" w:sz="4" w:space="0"/>
              <w:bottom w:val="single" w:color="000000" w:sz="4" w:space="0"/>
              <w:right w:val="single" w:color="000000" w:sz="4" w:space="0"/>
            </w:tcBorders>
            <w:vAlign w:val="center"/>
          </w:tcPr>
          <w:p w14:paraId="7DB43EA5">
            <w:pPr>
              <w:pStyle w:val="71"/>
              <w:spacing w:before="24" w:after="24"/>
              <w:rPr>
                <w:rFonts w:cs="Times New Roman"/>
              </w:rPr>
            </w:pPr>
            <w:r>
              <w:rPr>
                <w:rFonts w:cs="Times New Roman"/>
              </w:rPr>
              <w:t>顶棚4（防潮顶棚2）</w:t>
            </w:r>
          </w:p>
        </w:tc>
        <w:tc>
          <w:tcPr>
            <w:tcW w:w="1720" w:type="dxa"/>
            <w:tcBorders>
              <w:top w:val="single" w:color="000000" w:sz="4" w:space="0"/>
              <w:left w:val="single" w:color="000000" w:sz="4" w:space="0"/>
              <w:bottom w:val="single" w:color="000000" w:sz="4" w:space="0"/>
              <w:right w:val="single" w:color="000000" w:sz="4" w:space="0"/>
            </w:tcBorders>
            <w:vAlign w:val="center"/>
          </w:tcPr>
          <w:p w14:paraId="06D4434B">
            <w:pPr>
              <w:pStyle w:val="71"/>
              <w:spacing w:before="24" w:after="24"/>
              <w:rPr>
                <w:rFonts w:cs="Times New Roman"/>
              </w:rPr>
            </w:pPr>
            <w:r>
              <w:rPr>
                <w:rFonts w:cs="Times New Roman"/>
              </w:rPr>
              <w:t>计算机教室及其辅助用房</w:t>
            </w:r>
          </w:p>
        </w:tc>
        <w:tc>
          <w:tcPr>
            <w:tcW w:w="4181" w:type="dxa"/>
            <w:tcBorders>
              <w:top w:val="single" w:color="000000" w:sz="4" w:space="0"/>
              <w:left w:val="single" w:color="000000" w:sz="4" w:space="0"/>
              <w:bottom w:val="single" w:color="000000" w:sz="4" w:space="0"/>
              <w:right w:val="single" w:color="000000" w:sz="4" w:space="0"/>
            </w:tcBorders>
            <w:vAlign w:val="center"/>
          </w:tcPr>
          <w:p w14:paraId="182657C2">
            <w:pPr>
              <w:pStyle w:val="71"/>
              <w:spacing w:before="24" w:after="24"/>
              <w:jc w:val="both"/>
              <w:rPr>
                <w:rFonts w:cs="Times New Roman"/>
              </w:rPr>
            </w:pPr>
            <w:r>
              <w:rPr>
                <w:rFonts w:cs="Times New Roman"/>
              </w:rPr>
              <w:t>1）现浇钢筋混凝土结构板底面基层找补、清理</w:t>
            </w:r>
          </w:p>
          <w:p w14:paraId="12017A35">
            <w:pPr>
              <w:pStyle w:val="71"/>
              <w:spacing w:before="24" w:after="24"/>
              <w:jc w:val="both"/>
              <w:rPr>
                <w:rFonts w:cs="Times New Roman"/>
              </w:rPr>
            </w:pPr>
            <w:r>
              <w:rPr>
                <w:rFonts w:cs="Times New Roman"/>
              </w:rPr>
              <w:t>2）1.0mm厚JS-Ⅱ型聚合物水泥防水涂料防潮层</w:t>
            </w:r>
          </w:p>
          <w:p w14:paraId="5DB9F6BA">
            <w:pPr>
              <w:pStyle w:val="71"/>
              <w:spacing w:before="24" w:after="24"/>
              <w:jc w:val="both"/>
              <w:rPr>
                <w:rFonts w:cs="Times New Roman"/>
              </w:rPr>
            </w:pPr>
            <w:r>
              <w:rPr>
                <w:rFonts w:cs="Times New Roman"/>
              </w:rPr>
              <w:t>3）耐水腻子两遍、打磨平整</w:t>
            </w:r>
          </w:p>
          <w:p w14:paraId="423B359B">
            <w:pPr>
              <w:pStyle w:val="71"/>
              <w:spacing w:before="24" w:after="24"/>
              <w:jc w:val="both"/>
              <w:rPr>
                <w:rFonts w:cs="Times New Roman"/>
              </w:rPr>
            </w:pPr>
            <w:r>
              <w:rPr>
                <w:rFonts w:cs="Times New Roman"/>
              </w:rPr>
              <w:t>4）白色涂料</w:t>
            </w:r>
          </w:p>
        </w:tc>
        <w:tc>
          <w:tcPr>
            <w:tcW w:w="1277" w:type="dxa"/>
            <w:tcBorders>
              <w:top w:val="single" w:color="000000" w:sz="4" w:space="0"/>
              <w:left w:val="single" w:color="000000" w:sz="4" w:space="0"/>
              <w:bottom w:val="single" w:color="000000" w:sz="4" w:space="0"/>
              <w:right w:val="single" w:color="000000" w:sz="4" w:space="0"/>
            </w:tcBorders>
            <w:vAlign w:val="center"/>
          </w:tcPr>
          <w:p w14:paraId="748454B2">
            <w:pPr>
              <w:pStyle w:val="71"/>
              <w:spacing w:before="24" w:after="24"/>
              <w:rPr>
                <w:rFonts w:cs="Times New Roman"/>
              </w:rPr>
            </w:pPr>
          </w:p>
        </w:tc>
      </w:tr>
      <w:tr w14:paraId="25B3D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344BFA5E">
            <w:pPr>
              <w:pStyle w:val="71"/>
              <w:spacing w:before="24" w:after="24"/>
              <w:rPr>
                <w:rFonts w:cs="Times New Roman"/>
              </w:rPr>
            </w:pPr>
            <w:r>
              <w:rPr>
                <w:rFonts w:cs="Times New Roman"/>
              </w:rPr>
              <w:t>5</w:t>
            </w:r>
          </w:p>
        </w:tc>
        <w:tc>
          <w:tcPr>
            <w:tcW w:w="1415" w:type="dxa"/>
            <w:tcBorders>
              <w:top w:val="single" w:color="000000" w:sz="4" w:space="0"/>
              <w:left w:val="single" w:color="000000" w:sz="4" w:space="0"/>
              <w:bottom w:val="single" w:color="000000" w:sz="4" w:space="0"/>
              <w:right w:val="single" w:color="000000" w:sz="4" w:space="0"/>
            </w:tcBorders>
            <w:vAlign w:val="center"/>
          </w:tcPr>
          <w:p w14:paraId="61D0B420">
            <w:pPr>
              <w:pStyle w:val="71"/>
              <w:spacing w:before="24" w:after="24"/>
              <w:rPr>
                <w:rFonts w:cs="Times New Roman"/>
              </w:rPr>
            </w:pPr>
            <w:r>
              <w:rPr>
                <w:rFonts w:cs="Times New Roman"/>
              </w:rPr>
              <w:t>顶棚5（混凝土顶棚）</w:t>
            </w:r>
          </w:p>
        </w:tc>
        <w:tc>
          <w:tcPr>
            <w:tcW w:w="1720" w:type="dxa"/>
            <w:tcBorders>
              <w:top w:val="single" w:color="000000" w:sz="4" w:space="0"/>
              <w:left w:val="single" w:color="000000" w:sz="4" w:space="0"/>
              <w:bottom w:val="single" w:color="000000" w:sz="4" w:space="0"/>
              <w:right w:val="single" w:color="000000" w:sz="4" w:space="0"/>
            </w:tcBorders>
            <w:vAlign w:val="center"/>
          </w:tcPr>
          <w:p w14:paraId="1E9B1082">
            <w:pPr>
              <w:pStyle w:val="71"/>
              <w:spacing w:before="24" w:after="24"/>
              <w:rPr>
                <w:rFonts w:cs="Times New Roman"/>
              </w:rPr>
            </w:pPr>
            <w:r>
              <w:rPr>
                <w:rFonts w:cs="Times New Roman"/>
              </w:rPr>
              <w:t>电梯间、水、电井、风井、电梯机房</w:t>
            </w:r>
          </w:p>
        </w:tc>
        <w:tc>
          <w:tcPr>
            <w:tcW w:w="4181" w:type="dxa"/>
            <w:tcBorders>
              <w:top w:val="single" w:color="000000" w:sz="4" w:space="0"/>
              <w:left w:val="single" w:color="000000" w:sz="4" w:space="0"/>
              <w:bottom w:val="single" w:color="000000" w:sz="4" w:space="0"/>
              <w:right w:val="single" w:color="000000" w:sz="4" w:space="0"/>
            </w:tcBorders>
            <w:vAlign w:val="center"/>
          </w:tcPr>
          <w:p w14:paraId="3DD51FBF">
            <w:pPr>
              <w:pStyle w:val="71"/>
              <w:spacing w:before="24" w:after="24"/>
              <w:jc w:val="both"/>
              <w:rPr>
                <w:rFonts w:cs="Times New Roman"/>
              </w:rPr>
            </w:pPr>
            <w:r>
              <w:rPr>
                <w:rFonts w:cs="Times New Roman"/>
              </w:rPr>
              <w:t>1）现浇钢筋混凝土结构板底面基层找补、清理</w:t>
            </w:r>
          </w:p>
        </w:tc>
        <w:tc>
          <w:tcPr>
            <w:tcW w:w="1277" w:type="dxa"/>
            <w:tcBorders>
              <w:top w:val="single" w:color="000000" w:sz="4" w:space="0"/>
              <w:left w:val="single" w:color="000000" w:sz="4" w:space="0"/>
              <w:bottom w:val="single" w:color="000000" w:sz="4" w:space="0"/>
              <w:right w:val="single" w:color="000000" w:sz="4" w:space="0"/>
            </w:tcBorders>
            <w:vAlign w:val="center"/>
          </w:tcPr>
          <w:p w14:paraId="342FB808">
            <w:pPr>
              <w:pStyle w:val="71"/>
              <w:spacing w:before="24" w:after="24"/>
              <w:rPr>
                <w:rFonts w:cs="Times New Roman"/>
              </w:rPr>
            </w:pPr>
          </w:p>
        </w:tc>
      </w:tr>
      <w:tr w14:paraId="5518F2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7F24FE88">
            <w:pPr>
              <w:pStyle w:val="71"/>
              <w:spacing w:before="24" w:after="24"/>
              <w:rPr>
                <w:rFonts w:cs="Times New Roman"/>
              </w:rPr>
            </w:pPr>
            <w:r>
              <w:rPr>
                <w:rFonts w:cs="Times New Roman"/>
              </w:rPr>
              <w:t>6</w:t>
            </w:r>
          </w:p>
        </w:tc>
        <w:tc>
          <w:tcPr>
            <w:tcW w:w="1415" w:type="dxa"/>
            <w:tcBorders>
              <w:top w:val="single" w:color="000000" w:sz="4" w:space="0"/>
              <w:left w:val="single" w:color="000000" w:sz="4" w:space="0"/>
              <w:bottom w:val="single" w:color="000000" w:sz="4" w:space="0"/>
              <w:right w:val="single" w:color="000000" w:sz="4" w:space="0"/>
            </w:tcBorders>
            <w:vAlign w:val="center"/>
          </w:tcPr>
          <w:p w14:paraId="4945AD61">
            <w:pPr>
              <w:pStyle w:val="71"/>
              <w:spacing w:before="24" w:after="24"/>
              <w:rPr>
                <w:rFonts w:cs="Times New Roman"/>
              </w:rPr>
            </w:pPr>
            <w:r>
              <w:rPr>
                <w:rFonts w:cs="Times New Roman"/>
              </w:rPr>
              <w:t>顶棚6（吸音顶）</w:t>
            </w:r>
          </w:p>
        </w:tc>
        <w:tc>
          <w:tcPr>
            <w:tcW w:w="1720" w:type="dxa"/>
            <w:tcBorders>
              <w:top w:val="single" w:color="000000" w:sz="4" w:space="0"/>
              <w:left w:val="single" w:color="000000" w:sz="4" w:space="0"/>
              <w:bottom w:val="single" w:color="000000" w:sz="4" w:space="0"/>
              <w:right w:val="single" w:color="000000" w:sz="4" w:space="0"/>
            </w:tcBorders>
            <w:vAlign w:val="center"/>
          </w:tcPr>
          <w:p w14:paraId="11193364">
            <w:pPr>
              <w:pStyle w:val="71"/>
              <w:spacing w:before="24" w:after="24"/>
              <w:rPr>
                <w:rFonts w:cs="Times New Roman"/>
              </w:rPr>
            </w:pPr>
            <w:r>
              <w:rPr>
                <w:rFonts w:cs="Times New Roman"/>
              </w:rPr>
              <w:t>美术教室、音乐教室、多功能厅</w:t>
            </w:r>
          </w:p>
        </w:tc>
        <w:tc>
          <w:tcPr>
            <w:tcW w:w="4181" w:type="dxa"/>
            <w:tcBorders>
              <w:top w:val="single" w:color="000000" w:sz="4" w:space="0"/>
              <w:left w:val="single" w:color="000000" w:sz="4" w:space="0"/>
              <w:bottom w:val="single" w:color="000000" w:sz="4" w:space="0"/>
              <w:right w:val="single" w:color="000000" w:sz="4" w:space="0"/>
            </w:tcBorders>
            <w:vAlign w:val="center"/>
          </w:tcPr>
          <w:p w14:paraId="0ED52BF1">
            <w:pPr>
              <w:pStyle w:val="71"/>
              <w:spacing w:before="24" w:after="24"/>
              <w:jc w:val="both"/>
              <w:rPr>
                <w:rFonts w:cs="Times New Roman"/>
              </w:rPr>
            </w:pPr>
            <w:r>
              <w:rPr>
                <w:rFonts w:cs="Times New Roman"/>
              </w:rPr>
              <w:t>1）现浇钢筋混凝土结构板底面基层找补、清理</w:t>
            </w:r>
          </w:p>
          <w:p w14:paraId="23038143">
            <w:pPr>
              <w:pStyle w:val="71"/>
              <w:spacing w:before="24" w:after="24"/>
              <w:jc w:val="both"/>
              <w:rPr>
                <w:rFonts w:cs="Times New Roman"/>
              </w:rPr>
            </w:pPr>
            <w:r>
              <w:rPr>
                <w:rFonts w:cs="Times New Roman"/>
              </w:rPr>
              <w:t>2）50系列C型轻钢龙骨双向间距@500，中填50mm厚岩棉，用膨胀螺丝与墙体固定</w:t>
            </w:r>
          </w:p>
          <w:p w14:paraId="5882B078">
            <w:pPr>
              <w:pStyle w:val="71"/>
              <w:spacing w:before="24" w:after="24"/>
              <w:jc w:val="both"/>
              <w:rPr>
                <w:rFonts w:cs="Times New Roman"/>
              </w:rPr>
            </w:pPr>
            <w:r>
              <w:rPr>
                <w:rFonts w:cs="Times New Roman"/>
              </w:rPr>
              <w:t>3）12+12mm厚穿孔石膏饰面板</w:t>
            </w:r>
          </w:p>
        </w:tc>
        <w:tc>
          <w:tcPr>
            <w:tcW w:w="1277" w:type="dxa"/>
            <w:tcBorders>
              <w:top w:val="single" w:color="000000" w:sz="4" w:space="0"/>
              <w:left w:val="single" w:color="000000" w:sz="4" w:space="0"/>
              <w:bottom w:val="single" w:color="000000" w:sz="4" w:space="0"/>
              <w:right w:val="single" w:color="000000" w:sz="4" w:space="0"/>
            </w:tcBorders>
            <w:vAlign w:val="center"/>
          </w:tcPr>
          <w:p w14:paraId="28B8D039">
            <w:pPr>
              <w:pStyle w:val="71"/>
              <w:spacing w:before="24" w:after="24"/>
              <w:rPr>
                <w:rFonts w:cs="Times New Roman"/>
              </w:rPr>
            </w:pPr>
          </w:p>
        </w:tc>
      </w:tr>
    </w:tbl>
    <w:p w14:paraId="39171448">
      <w:pPr>
        <w:spacing w:before="24" w:after="24"/>
        <w:rPr>
          <w:rFonts w:ascii="Times New Roman" w:hAnsi="Times New Roman" w:cs="Times New Roman"/>
        </w:rPr>
      </w:pPr>
      <w:r>
        <w:rPr>
          <w:rFonts w:ascii="Times New Roman" w:hAnsi="Times New Roman" w:cs="Times New Roman"/>
        </w:rPr>
        <w:br w:type="page"/>
      </w:r>
    </w:p>
    <w:p w14:paraId="4571EBF7">
      <w:pPr>
        <w:pStyle w:val="66"/>
        <w:rPr>
          <w:rFonts w:cs="Times New Roman"/>
        </w:rPr>
      </w:pPr>
      <w:r>
        <w:rPr>
          <w:rFonts w:cs="Times New Roman"/>
          <w:color w:val="000000"/>
          <w:lang w:bidi="ar"/>
          <w14:textFill>
            <w14:solidFill>
              <w14:srgbClr w14:val="000000">
                <w14:lumMod w14:val="95000"/>
                <w14:lumOff w14:val="5000"/>
              </w14:srgbClr>
            </w14:solidFill>
          </w14:textFill>
        </w:rPr>
        <w:t>4、养老院</w:t>
      </w:r>
      <w:r>
        <w:rPr>
          <w:rFonts w:cs="Times New Roman"/>
          <w:lang w:bidi="ar"/>
        </w:rPr>
        <w:t>土建构</w:t>
      </w:r>
      <w:r>
        <w:rPr>
          <w:rFonts w:cs="Times New Roman"/>
          <w:color w:val="000000"/>
          <w:lang w:bidi="ar"/>
          <w14:textFill>
            <w14:solidFill>
              <w14:srgbClr w14:val="000000">
                <w14:lumMod w14:val="95000"/>
                <w14:lumOff w14:val="5000"/>
              </w14:srgbClr>
            </w14:solidFill>
          </w14:textFill>
        </w:rPr>
        <w:t>造做法</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5"/>
        <w:gridCol w:w="1405"/>
        <w:gridCol w:w="1921"/>
        <w:gridCol w:w="3990"/>
        <w:gridCol w:w="1277"/>
      </w:tblGrid>
      <w:tr w14:paraId="3738A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3E764C74">
            <w:pPr>
              <w:pStyle w:val="71"/>
              <w:spacing w:before="24" w:after="24"/>
              <w:rPr>
                <w:rFonts w:cs="Times New Roman"/>
              </w:rPr>
            </w:pPr>
            <w:r>
              <w:rPr>
                <w:rFonts w:cs="Times New Roman"/>
              </w:rPr>
              <w:t>序号</w:t>
            </w:r>
          </w:p>
        </w:tc>
        <w:tc>
          <w:tcPr>
            <w:tcW w:w="1405"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5B5FE34B">
            <w:pPr>
              <w:pStyle w:val="71"/>
              <w:spacing w:before="24" w:after="24"/>
              <w:rPr>
                <w:rFonts w:cs="Times New Roman"/>
              </w:rPr>
            </w:pPr>
            <w:r>
              <w:rPr>
                <w:rFonts w:cs="Times New Roman"/>
              </w:rPr>
              <w:t>名称</w:t>
            </w:r>
          </w:p>
        </w:tc>
        <w:tc>
          <w:tcPr>
            <w:tcW w:w="1921"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089F9655">
            <w:pPr>
              <w:pStyle w:val="71"/>
              <w:spacing w:before="24" w:after="24"/>
              <w:rPr>
                <w:rFonts w:cs="Times New Roman"/>
              </w:rPr>
            </w:pPr>
            <w:r>
              <w:rPr>
                <w:rFonts w:cs="Times New Roman"/>
              </w:rPr>
              <w:t>部位</w:t>
            </w:r>
          </w:p>
        </w:tc>
        <w:tc>
          <w:tcPr>
            <w:tcW w:w="3990"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6D56E570">
            <w:pPr>
              <w:pStyle w:val="71"/>
              <w:spacing w:before="24" w:after="24"/>
              <w:jc w:val="both"/>
              <w:rPr>
                <w:rFonts w:cs="Times New Roman"/>
              </w:rPr>
            </w:pPr>
            <w:r>
              <w:rPr>
                <w:rFonts w:cs="Times New Roman"/>
              </w:rPr>
              <w:t>面层做法/规格参数</w:t>
            </w:r>
          </w:p>
        </w:tc>
        <w:tc>
          <w:tcPr>
            <w:tcW w:w="1277"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39ACDA1F">
            <w:pPr>
              <w:pStyle w:val="71"/>
              <w:spacing w:before="24" w:after="24"/>
              <w:rPr>
                <w:rFonts w:cs="Times New Roman"/>
              </w:rPr>
            </w:pPr>
            <w:r>
              <w:rPr>
                <w:rFonts w:cs="Times New Roman"/>
              </w:rPr>
              <w:t>备注</w:t>
            </w:r>
          </w:p>
        </w:tc>
      </w:tr>
      <w:tr w14:paraId="3895D0F9">
        <w:tblPrEx>
          <w:tblCellMar>
            <w:top w:w="0" w:type="dxa"/>
            <w:left w:w="108" w:type="dxa"/>
            <w:bottom w:w="0" w:type="dxa"/>
            <w:right w:w="108" w:type="dxa"/>
          </w:tblCellMar>
        </w:tblPrEx>
        <w:trPr>
          <w:jc w:val="center"/>
        </w:trPr>
        <w:tc>
          <w:tcPr>
            <w:tcW w:w="9348" w:type="dxa"/>
            <w:gridSpan w:val="5"/>
            <w:tcBorders>
              <w:top w:val="single" w:color="000000" w:sz="4" w:space="0"/>
              <w:left w:val="single" w:color="000000" w:sz="4" w:space="0"/>
              <w:bottom w:val="single" w:color="000000" w:sz="4" w:space="0"/>
              <w:right w:val="single" w:color="000000" w:sz="4" w:space="0"/>
            </w:tcBorders>
            <w:vAlign w:val="center"/>
          </w:tcPr>
          <w:p w14:paraId="13A1931F">
            <w:pPr>
              <w:pStyle w:val="71"/>
              <w:spacing w:before="24" w:after="24"/>
              <w:rPr>
                <w:rFonts w:cs="Times New Roman"/>
              </w:rPr>
            </w:pPr>
            <w:r>
              <w:rPr>
                <w:rFonts w:cs="Times New Roman"/>
              </w:rPr>
              <w:t>地面</w:t>
            </w:r>
          </w:p>
        </w:tc>
      </w:tr>
      <w:tr w14:paraId="106DE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667EA996">
            <w:pPr>
              <w:pStyle w:val="71"/>
              <w:spacing w:before="24" w:after="24"/>
              <w:rPr>
                <w:rFonts w:cs="Times New Roman"/>
              </w:rPr>
            </w:pPr>
            <w:r>
              <w:rPr>
                <w:rFonts w:cs="Times New Roman"/>
              </w:rPr>
              <w:t>1</w:t>
            </w:r>
          </w:p>
        </w:tc>
        <w:tc>
          <w:tcPr>
            <w:tcW w:w="1405" w:type="dxa"/>
            <w:tcBorders>
              <w:top w:val="single" w:color="000000" w:sz="4" w:space="0"/>
              <w:left w:val="single" w:color="000000" w:sz="4" w:space="0"/>
              <w:bottom w:val="single" w:color="000000" w:sz="4" w:space="0"/>
              <w:right w:val="single" w:color="000000" w:sz="4" w:space="0"/>
            </w:tcBorders>
            <w:vAlign w:val="center"/>
          </w:tcPr>
          <w:p w14:paraId="243CC41F">
            <w:pPr>
              <w:pStyle w:val="71"/>
              <w:spacing w:before="24" w:after="24"/>
              <w:jc w:val="left"/>
              <w:rPr>
                <w:rFonts w:cs="Times New Roman"/>
              </w:rPr>
            </w:pPr>
            <w:r>
              <w:rPr>
                <w:rFonts w:cs="Times New Roman"/>
              </w:rPr>
              <w:t>地面一（防滑地砖--无防水层）</w:t>
            </w:r>
          </w:p>
        </w:tc>
        <w:tc>
          <w:tcPr>
            <w:tcW w:w="1921" w:type="dxa"/>
            <w:tcBorders>
              <w:top w:val="single" w:color="000000" w:sz="4" w:space="0"/>
              <w:left w:val="single" w:color="000000" w:sz="4" w:space="0"/>
              <w:bottom w:val="single" w:color="000000" w:sz="4" w:space="0"/>
              <w:right w:val="single" w:color="000000" w:sz="4" w:space="0"/>
            </w:tcBorders>
            <w:vAlign w:val="center"/>
          </w:tcPr>
          <w:p w14:paraId="4A3CB0ED">
            <w:pPr>
              <w:pStyle w:val="71"/>
              <w:spacing w:before="24" w:after="24"/>
              <w:jc w:val="left"/>
              <w:rPr>
                <w:rFonts w:cs="Times New Roman"/>
              </w:rPr>
            </w:pPr>
            <w:r>
              <w:rPr>
                <w:rFonts w:cs="Times New Roman"/>
              </w:rPr>
              <w:t>治疗、办公区域、大厅、餐厅、居住区（配餐、办公室、污物电梯厅）、楼梯间</w:t>
            </w:r>
          </w:p>
        </w:tc>
        <w:tc>
          <w:tcPr>
            <w:tcW w:w="3990" w:type="dxa"/>
            <w:tcBorders>
              <w:top w:val="single" w:color="000000" w:sz="4" w:space="0"/>
              <w:left w:val="single" w:color="000000" w:sz="4" w:space="0"/>
              <w:bottom w:val="single" w:color="000000" w:sz="4" w:space="0"/>
              <w:right w:val="single" w:color="000000" w:sz="4" w:space="0"/>
            </w:tcBorders>
            <w:vAlign w:val="center"/>
          </w:tcPr>
          <w:p w14:paraId="155C61DF">
            <w:pPr>
              <w:pStyle w:val="71"/>
              <w:spacing w:before="24" w:after="24"/>
              <w:jc w:val="both"/>
              <w:rPr>
                <w:rFonts w:cs="Times New Roman"/>
              </w:rPr>
            </w:pPr>
            <w:r>
              <w:rPr>
                <w:rFonts w:cs="Times New Roman"/>
              </w:rPr>
              <w:t>1）防滑地砖</w:t>
            </w:r>
            <w:r>
              <w:rPr>
                <w:rFonts w:hint="eastAsia" w:cs="Times New Roman"/>
              </w:rPr>
              <w:t>，水泥浆擦缝</w:t>
            </w:r>
          </w:p>
          <w:p w14:paraId="14235F76">
            <w:pPr>
              <w:pStyle w:val="71"/>
              <w:spacing w:before="24" w:after="24"/>
              <w:jc w:val="both"/>
              <w:rPr>
                <w:rFonts w:cs="Times New Roman"/>
              </w:rPr>
            </w:pPr>
            <w:r>
              <w:rPr>
                <w:rFonts w:cs="Times New Roman"/>
              </w:rPr>
              <w:t>2）</w:t>
            </w:r>
            <w:r>
              <w:rPr>
                <w:rFonts w:hint="eastAsia" w:cs="Times New Roman"/>
              </w:rPr>
              <w:t>2</w:t>
            </w:r>
            <w:r>
              <w:rPr>
                <w:rFonts w:cs="Times New Roman"/>
              </w:rPr>
              <w:t>0厚1：3干硬水泥砂浆结合层，上洒1-2厚干水泥</w:t>
            </w:r>
          </w:p>
          <w:p w14:paraId="2C11F53B">
            <w:pPr>
              <w:pStyle w:val="71"/>
              <w:spacing w:before="24" w:after="24"/>
              <w:jc w:val="both"/>
              <w:rPr>
                <w:rFonts w:cs="Times New Roman"/>
              </w:rPr>
            </w:pPr>
            <w:r>
              <w:rPr>
                <w:rFonts w:cs="Times New Roman"/>
              </w:rPr>
              <w:t>3）80厚C15混凝土垫层，随捣随抹光</w:t>
            </w:r>
          </w:p>
          <w:p w14:paraId="47F99739">
            <w:pPr>
              <w:pStyle w:val="71"/>
              <w:spacing w:before="24" w:after="24"/>
              <w:jc w:val="both"/>
              <w:rPr>
                <w:rFonts w:cs="Times New Roman"/>
              </w:rPr>
            </w:pPr>
            <w:r>
              <w:rPr>
                <w:rFonts w:cs="Times New Roman"/>
              </w:rPr>
              <w:t>4）素土夯实，压实系数≥0.94</w:t>
            </w:r>
          </w:p>
        </w:tc>
        <w:tc>
          <w:tcPr>
            <w:tcW w:w="1277" w:type="dxa"/>
            <w:tcBorders>
              <w:top w:val="single" w:color="000000" w:sz="4" w:space="0"/>
              <w:left w:val="single" w:color="000000" w:sz="4" w:space="0"/>
              <w:bottom w:val="single" w:color="000000" w:sz="4" w:space="0"/>
              <w:right w:val="single" w:color="000000" w:sz="4" w:space="0"/>
            </w:tcBorders>
            <w:vAlign w:val="center"/>
          </w:tcPr>
          <w:p w14:paraId="4D2B47CA">
            <w:pPr>
              <w:pStyle w:val="71"/>
              <w:spacing w:before="24" w:after="24"/>
              <w:rPr>
                <w:rFonts w:cs="Times New Roman"/>
              </w:rPr>
            </w:pPr>
          </w:p>
        </w:tc>
      </w:tr>
      <w:tr w14:paraId="021DB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62694DC4">
            <w:pPr>
              <w:pStyle w:val="71"/>
              <w:spacing w:before="24" w:after="24"/>
              <w:rPr>
                <w:rFonts w:cs="Times New Roman"/>
              </w:rPr>
            </w:pPr>
            <w:r>
              <w:rPr>
                <w:rFonts w:cs="Times New Roman"/>
              </w:rPr>
              <w:t>2</w:t>
            </w:r>
          </w:p>
        </w:tc>
        <w:tc>
          <w:tcPr>
            <w:tcW w:w="1405" w:type="dxa"/>
            <w:tcBorders>
              <w:top w:val="single" w:color="000000" w:sz="4" w:space="0"/>
              <w:left w:val="single" w:color="000000" w:sz="4" w:space="0"/>
              <w:bottom w:val="single" w:color="000000" w:sz="4" w:space="0"/>
              <w:right w:val="single" w:color="000000" w:sz="4" w:space="0"/>
            </w:tcBorders>
            <w:vAlign w:val="center"/>
          </w:tcPr>
          <w:p w14:paraId="7CD94FA3">
            <w:pPr>
              <w:pStyle w:val="71"/>
              <w:spacing w:before="24" w:after="24"/>
              <w:jc w:val="left"/>
              <w:rPr>
                <w:rFonts w:cs="Times New Roman"/>
              </w:rPr>
            </w:pPr>
            <w:r>
              <w:rPr>
                <w:rFonts w:cs="Times New Roman"/>
              </w:rPr>
              <w:t>地面二（软木复合弹性地板）</w:t>
            </w:r>
          </w:p>
        </w:tc>
        <w:tc>
          <w:tcPr>
            <w:tcW w:w="1921" w:type="dxa"/>
            <w:tcBorders>
              <w:top w:val="single" w:color="000000" w:sz="4" w:space="0"/>
              <w:left w:val="single" w:color="000000" w:sz="4" w:space="0"/>
              <w:bottom w:val="single" w:color="000000" w:sz="4" w:space="0"/>
              <w:right w:val="single" w:color="000000" w:sz="4" w:space="0"/>
            </w:tcBorders>
            <w:vAlign w:val="center"/>
          </w:tcPr>
          <w:p w14:paraId="37D10E96">
            <w:pPr>
              <w:pStyle w:val="71"/>
              <w:spacing w:before="24" w:after="24"/>
              <w:jc w:val="left"/>
              <w:rPr>
                <w:rFonts w:cs="Times New Roman"/>
              </w:rPr>
            </w:pPr>
            <w:r>
              <w:rPr>
                <w:rFonts w:cs="Times New Roman"/>
              </w:rPr>
              <w:t>居住区未注明房间</w:t>
            </w:r>
          </w:p>
        </w:tc>
        <w:tc>
          <w:tcPr>
            <w:tcW w:w="3990" w:type="dxa"/>
            <w:tcBorders>
              <w:top w:val="single" w:color="000000" w:sz="4" w:space="0"/>
              <w:left w:val="single" w:color="000000" w:sz="4" w:space="0"/>
              <w:bottom w:val="single" w:color="000000" w:sz="4" w:space="0"/>
              <w:right w:val="single" w:color="000000" w:sz="4" w:space="0"/>
            </w:tcBorders>
            <w:vAlign w:val="center"/>
          </w:tcPr>
          <w:p w14:paraId="6A295965">
            <w:pPr>
              <w:pStyle w:val="71"/>
              <w:spacing w:before="24" w:after="24"/>
              <w:jc w:val="both"/>
              <w:rPr>
                <w:rFonts w:cs="Times New Roman"/>
              </w:rPr>
            </w:pPr>
            <w:r>
              <w:rPr>
                <w:rFonts w:cs="Times New Roman"/>
              </w:rPr>
              <w:t>1）软木复合弹性地板，悬浮式铺装法，木地板条或铝合金条收边</w:t>
            </w:r>
          </w:p>
          <w:p w14:paraId="4F576DC7">
            <w:pPr>
              <w:pStyle w:val="71"/>
              <w:spacing w:before="24" w:after="24"/>
              <w:jc w:val="both"/>
              <w:rPr>
                <w:rFonts w:cs="Times New Roman"/>
              </w:rPr>
            </w:pPr>
            <w:r>
              <w:rPr>
                <w:rFonts w:cs="Times New Roman"/>
              </w:rPr>
              <w:t>2）5厚发泡橡胶或电子交联发泡聚乙烯减振垫层</w:t>
            </w:r>
          </w:p>
          <w:p w14:paraId="681B4F52">
            <w:pPr>
              <w:pStyle w:val="71"/>
              <w:spacing w:before="24" w:after="24"/>
              <w:jc w:val="both"/>
              <w:rPr>
                <w:rFonts w:cs="Times New Roman"/>
              </w:rPr>
            </w:pPr>
            <w:r>
              <w:rPr>
                <w:rFonts w:cs="Times New Roman"/>
              </w:rPr>
              <w:t>3）20厚1:3水泥砂浆找平层，铁板压实赶光</w:t>
            </w:r>
          </w:p>
          <w:p w14:paraId="7ABEE96F">
            <w:pPr>
              <w:pStyle w:val="71"/>
              <w:spacing w:before="24" w:after="24"/>
              <w:jc w:val="both"/>
              <w:rPr>
                <w:rFonts w:cs="Times New Roman"/>
              </w:rPr>
            </w:pPr>
            <w:r>
              <w:rPr>
                <w:rFonts w:cs="Times New Roman"/>
              </w:rPr>
              <w:t>4）80厚C15混凝土垫层，随捣随抹光</w:t>
            </w:r>
          </w:p>
          <w:p w14:paraId="090E2FB4">
            <w:pPr>
              <w:pStyle w:val="71"/>
              <w:spacing w:before="24" w:after="24"/>
              <w:jc w:val="both"/>
              <w:rPr>
                <w:rFonts w:cs="Times New Roman"/>
              </w:rPr>
            </w:pPr>
            <w:r>
              <w:rPr>
                <w:rFonts w:cs="Times New Roman"/>
              </w:rPr>
              <w:t>5）素土夯实，压实系数≥0.94</w:t>
            </w:r>
          </w:p>
        </w:tc>
        <w:tc>
          <w:tcPr>
            <w:tcW w:w="1277" w:type="dxa"/>
            <w:tcBorders>
              <w:top w:val="single" w:color="000000" w:sz="4" w:space="0"/>
              <w:left w:val="single" w:color="000000" w:sz="4" w:space="0"/>
              <w:bottom w:val="single" w:color="000000" w:sz="4" w:space="0"/>
              <w:right w:val="single" w:color="000000" w:sz="4" w:space="0"/>
            </w:tcBorders>
            <w:vAlign w:val="center"/>
          </w:tcPr>
          <w:p w14:paraId="0048C0EB">
            <w:pPr>
              <w:pStyle w:val="71"/>
              <w:spacing w:before="24" w:after="24"/>
              <w:rPr>
                <w:rFonts w:cs="Times New Roman"/>
              </w:rPr>
            </w:pPr>
          </w:p>
        </w:tc>
      </w:tr>
      <w:tr w14:paraId="7405DF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4915E2A6">
            <w:pPr>
              <w:pStyle w:val="71"/>
              <w:spacing w:before="24" w:after="24"/>
              <w:rPr>
                <w:rFonts w:cs="Times New Roman"/>
              </w:rPr>
            </w:pPr>
            <w:r>
              <w:rPr>
                <w:rFonts w:cs="Times New Roman"/>
              </w:rPr>
              <w:t>3</w:t>
            </w:r>
          </w:p>
        </w:tc>
        <w:tc>
          <w:tcPr>
            <w:tcW w:w="1405" w:type="dxa"/>
            <w:tcBorders>
              <w:top w:val="single" w:color="000000" w:sz="4" w:space="0"/>
              <w:left w:val="single" w:color="000000" w:sz="4" w:space="0"/>
              <w:bottom w:val="single" w:color="000000" w:sz="4" w:space="0"/>
              <w:right w:val="single" w:color="000000" w:sz="4" w:space="0"/>
            </w:tcBorders>
            <w:vAlign w:val="center"/>
          </w:tcPr>
          <w:p w14:paraId="67A4DC26">
            <w:pPr>
              <w:pStyle w:val="71"/>
              <w:spacing w:before="24" w:after="24"/>
              <w:rPr>
                <w:rFonts w:cs="Times New Roman"/>
              </w:rPr>
            </w:pPr>
            <w:r>
              <w:rPr>
                <w:rFonts w:cs="Times New Roman"/>
              </w:rPr>
              <w:t>地面三（防滑地砖、单层防水）</w:t>
            </w:r>
          </w:p>
        </w:tc>
        <w:tc>
          <w:tcPr>
            <w:tcW w:w="1921" w:type="dxa"/>
            <w:tcBorders>
              <w:top w:val="single" w:color="000000" w:sz="4" w:space="0"/>
              <w:left w:val="single" w:color="000000" w:sz="4" w:space="0"/>
              <w:bottom w:val="single" w:color="000000" w:sz="4" w:space="0"/>
              <w:right w:val="single" w:color="000000" w:sz="4" w:space="0"/>
            </w:tcBorders>
            <w:vAlign w:val="center"/>
          </w:tcPr>
          <w:p w14:paraId="3A9E8043">
            <w:pPr>
              <w:pStyle w:val="71"/>
              <w:spacing w:before="24" w:after="24"/>
              <w:rPr>
                <w:rFonts w:cs="Times New Roman"/>
              </w:rPr>
            </w:pPr>
            <w:r>
              <w:rPr>
                <w:rFonts w:cs="Times New Roman"/>
              </w:rPr>
              <w:t>阳台、敞开式走廊</w:t>
            </w:r>
          </w:p>
        </w:tc>
        <w:tc>
          <w:tcPr>
            <w:tcW w:w="3990" w:type="dxa"/>
            <w:tcBorders>
              <w:top w:val="single" w:color="000000" w:sz="4" w:space="0"/>
              <w:left w:val="single" w:color="000000" w:sz="4" w:space="0"/>
              <w:bottom w:val="single" w:color="000000" w:sz="4" w:space="0"/>
              <w:right w:val="single" w:color="000000" w:sz="4" w:space="0"/>
            </w:tcBorders>
            <w:vAlign w:val="center"/>
          </w:tcPr>
          <w:p w14:paraId="6DAB57BD">
            <w:pPr>
              <w:pStyle w:val="71"/>
              <w:spacing w:before="24" w:after="24"/>
              <w:jc w:val="both"/>
              <w:rPr>
                <w:rFonts w:cs="Times New Roman"/>
              </w:rPr>
            </w:pPr>
            <w:r>
              <w:rPr>
                <w:rFonts w:cs="Times New Roman"/>
              </w:rPr>
              <w:t>1）防滑地砖，水泥浆擦缝</w:t>
            </w:r>
          </w:p>
          <w:p w14:paraId="6151DFD9">
            <w:pPr>
              <w:pStyle w:val="71"/>
              <w:spacing w:before="24" w:after="24"/>
              <w:jc w:val="both"/>
              <w:rPr>
                <w:rFonts w:cs="Times New Roman"/>
              </w:rPr>
            </w:pPr>
            <w:r>
              <w:rPr>
                <w:rFonts w:cs="Times New Roman"/>
              </w:rPr>
              <w:t>2）</w:t>
            </w:r>
            <w:r>
              <w:rPr>
                <w:rFonts w:hint="eastAsia" w:cs="Times New Roman"/>
              </w:rPr>
              <w:t>2</w:t>
            </w:r>
            <w:r>
              <w:rPr>
                <w:rFonts w:cs="Times New Roman"/>
              </w:rPr>
              <w:t>0厚1：3干硬水泥砂浆结合层，上洒1-2厚干水泥</w:t>
            </w:r>
          </w:p>
          <w:p w14:paraId="1D058125">
            <w:pPr>
              <w:pStyle w:val="71"/>
              <w:spacing w:before="24" w:after="24"/>
              <w:jc w:val="both"/>
              <w:rPr>
                <w:rFonts w:cs="Times New Roman"/>
              </w:rPr>
            </w:pPr>
            <w:r>
              <w:rPr>
                <w:rFonts w:cs="Times New Roman"/>
              </w:rPr>
              <w:t>3）最薄处20厚1：3水泥砂浆找坡层兼找平层，向地漏找1%坡</w:t>
            </w:r>
          </w:p>
          <w:p w14:paraId="77381ED6">
            <w:pPr>
              <w:pStyle w:val="71"/>
              <w:spacing w:before="24" w:after="24"/>
              <w:jc w:val="both"/>
              <w:rPr>
                <w:rFonts w:cs="Times New Roman"/>
              </w:rPr>
            </w:pPr>
            <w:r>
              <w:rPr>
                <w:rFonts w:cs="Times New Roman"/>
              </w:rPr>
              <w:t>4）1.5厚JS-Ⅱ型防水涂料，沿墙上翻至建筑完成面以上300mm</w:t>
            </w:r>
          </w:p>
          <w:p w14:paraId="3F03F300">
            <w:pPr>
              <w:pStyle w:val="71"/>
              <w:spacing w:before="24" w:after="24"/>
              <w:jc w:val="both"/>
              <w:rPr>
                <w:rFonts w:cs="Times New Roman"/>
              </w:rPr>
            </w:pPr>
            <w:r>
              <w:rPr>
                <w:rFonts w:cs="Times New Roman"/>
              </w:rPr>
              <w:t>5）80厚C15混凝土垫层，随捣随抹光</w:t>
            </w:r>
          </w:p>
          <w:p w14:paraId="158E1933">
            <w:pPr>
              <w:pStyle w:val="71"/>
              <w:spacing w:before="24" w:after="24"/>
              <w:jc w:val="both"/>
              <w:rPr>
                <w:rFonts w:cs="Times New Roman"/>
              </w:rPr>
            </w:pPr>
            <w:r>
              <w:rPr>
                <w:rFonts w:cs="Times New Roman"/>
              </w:rPr>
              <w:t>6）素土夯实，压实系数≥0.94</w:t>
            </w:r>
          </w:p>
        </w:tc>
        <w:tc>
          <w:tcPr>
            <w:tcW w:w="1277" w:type="dxa"/>
            <w:tcBorders>
              <w:top w:val="single" w:color="000000" w:sz="4" w:space="0"/>
              <w:left w:val="single" w:color="000000" w:sz="4" w:space="0"/>
              <w:bottom w:val="single" w:color="000000" w:sz="4" w:space="0"/>
              <w:right w:val="single" w:color="000000" w:sz="4" w:space="0"/>
            </w:tcBorders>
            <w:vAlign w:val="center"/>
          </w:tcPr>
          <w:p w14:paraId="076976F9">
            <w:pPr>
              <w:pStyle w:val="71"/>
              <w:spacing w:before="24" w:after="24"/>
              <w:rPr>
                <w:rFonts w:cs="Times New Roman"/>
              </w:rPr>
            </w:pPr>
          </w:p>
        </w:tc>
      </w:tr>
      <w:tr w14:paraId="684F7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2068E31F">
            <w:pPr>
              <w:pStyle w:val="71"/>
              <w:spacing w:before="24" w:after="24"/>
              <w:rPr>
                <w:rFonts w:cs="Times New Roman"/>
              </w:rPr>
            </w:pPr>
            <w:r>
              <w:rPr>
                <w:rFonts w:cs="Times New Roman"/>
              </w:rPr>
              <w:t>4</w:t>
            </w:r>
          </w:p>
        </w:tc>
        <w:tc>
          <w:tcPr>
            <w:tcW w:w="1405" w:type="dxa"/>
            <w:tcBorders>
              <w:top w:val="single" w:color="000000" w:sz="4" w:space="0"/>
              <w:left w:val="single" w:color="000000" w:sz="4" w:space="0"/>
              <w:bottom w:val="single" w:color="000000" w:sz="4" w:space="0"/>
              <w:right w:val="single" w:color="000000" w:sz="4" w:space="0"/>
            </w:tcBorders>
            <w:vAlign w:val="center"/>
          </w:tcPr>
          <w:p w14:paraId="72DDCFBC">
            <w:pPr>
              <w:pStyle w:val="71"/>
              <w:spacing w:before="24" w:after="24"/>
              <w:rPr>
                <w:rFonts w:cs="Times New Roman"/>
              </w:rPr>
            </w:pPr>
            <w:r>
              <w:rPr>
                <w:rFonts w:cs="Times New Roman"/>
              </w:rPr>
              <w:t>地面四（无沉箱防滑地砖地面）</w:t>
            </w:r>
          </w:p>
        </w:tc>
        <w:tc>
          <w:tcPr>
            <w:tcW w:w="1921" w:type="dxa"/>
            <w:tcBorders>
              <w:top w:val="single" w:color="000000" w:sz="4" w:space="0"/>
              <w:left w:val="single" w:color="000000" w:sz="4" w:space="0"/>
              <w:bottom w:val="single" w:color="000000" w:sz="4" w:space="0"/>
              <w:right w:val="single" w:color="000000" w:sz="4" w:space="0"/>
            </w:tcBorders>
            <w:vAlign w:val="center"/>
          </w:tcPr>
          <w:p w14:paraId="42775755">
            <w:pPr>
              <w:pStyle w:val="71"/>
              <w:spacing w:before="24" w:after="24"/>
              <w:rPr>
                <w:rFonts w:cs="Times New Roman"/>
              </w:rPr>
            </w:pPr>
            <w:r>
              <w:rPr>
                <w:rFonts w:cs="Times New Roman"/>
              </w:rPr>
              <w:t>非下沉式卫生间、厨房</w:t>
            </w:r>
          </w:p>
        </w:tc>
        <w:tc>
          <w:tcPr>
            <w:tcW w:w="3990" w:type="dxa"/>
            <w:tcBorders>
              <w:top w:val="single" w:color="000000" w:sz="4" w:space="0"/>
              <w:left w:val="single" w:color="000000" w:sz="4" w:space="0"/>
              <w:bottom w:val="single" w:color="000000" w:sz="4" w:space="0"/>
              <w:right w:val="single" w:color="000000" w:sz="4" w:space="0"/>
            </w:tcBorders>
            <w:vAlign w:val="center"/>
          </w:tcPr>
          <w:p w14:paraId="775E316A">
            <w:pPr>
              <w:pStyle w:val="71"/>
              <w:spacing w:before="24" w:after="24"/>
              <w:jc w:val="both"/>
              <w:rPr>
                <w:rFonts w:cs="Times New Roman"/>
              </w:rPr>
            </w:pPr>
            <w:r>
              <w:rPr>
                <w:rFonts w:cs="Times New Roman"/>
              </w:rPr>
              <w:t>1）防滑地砖，专用勾缝剂勾缝</w:t>
            </w:r>
          </w:p>
          <w:p w14:paraId="739AB208">
            <w:pPr>
              <w:pStyle w:val="71"/>
              <w:spacing w:before="24" w:after="24"/>
              <w:jc w:val="both"/>
              <w:rPr>
                <w:rFonts w:cs="Times New Roman"/>
              </w:rPr>
            </w:pPr>
            <w:r>
              <w:rPr>
                <w:rFonts w:cs="Times New Roman"/>
              </w:rPr>
              <w:t>2）</w:t>
            </w:r>
            <w:r>
              <w:rPr>
                <w:rFonts w:hint="eastAsia" w:cs="Times New Roman"/>
              </w:rPr>
              <w:t>2</w:t>
            </w:r>
            <w:r>
              <w:rPr>
                <w:rFonts w:cs="Times New Roman"/>
              </w:rPr>
              <w:t>0厚1：3干硬水泥砂浆结合层，上洒1-2厚干水泥</w:t>
            </w:r>
          </w:p>
          <w:p w14:paraId="10ACC6EF">
            <w:pPr>
              <w:pStyle w:val="71"/>
              <w:spacing w:before="24" w:after="24"/>
              <w:jc w:val="both"/>
              <w:rPr>
                <w:rFonts w:cs="Times New Roman"/>
              </w:rPr>
            </w:pPr>
            <w:r>
              <w:rPr>
                <w:rFonts w:cs="Times New Roman"/>
              </w:rPr>
              <w:t>3）最薄处20mm厚1:2水泥砂浆找坡层（掺5%防水剂），向地漏找1%坡</w:t>
            </w:r>
          </w:p>
          <w:p w14:paraId="4F587333">
            <w:pPr>
              <w:pStyle w:val="71"/>
              <w:spacing w:before="24" w:after="24"/>
              <w:jc w:val="both"/>
              <w:rPr>
                <w:rFonts w:cs="Times New Roman"/>
              </w:rPr>
            </w:pPr>
            <w:r>
              <w:rPr>
                <w:rFonts w:cs="Times New Roman"/>
              </w:rPr>
              <w:t>4）管道边及孔边四周300mm范围先刷1.5mm厚JS-II聚合物水泥防水涂料，再大面刷1.5mm厚JS-II聚合物水泥防水涂料，四周卷起建筑完成面300高（防水层向外延展的长度不应小于500mm，向两侧延展的宽度不应小于200mm）</w:t>
            </w:r>
          </w:p>
          <w:p w14:paraId="0F484419">
            <w:pPr>
              <w:pStyle w:val="71"/>
              <w:spacing w:before="24" w:after="24"/>
              <w:jc w:val="both"/>
              <w:rPr>
                <w:rFonts w:cs="Times New Roman"/>
              </w:rPr>
            </w:pPr>
            <w:r>
              <w:rPr>
                <w:rFonts w:cs="Times New Roman"/>
              </w:rPr>
              <w:t>5）阴角做1:2水泥砂浆50mm圆弧；</w:t>
            </w:r>
          </w:p>
          <w:p w14:paraId="62691B04">
            <w:pPr>
              <w:pStyle w:val="71"/>
              <w:spacing w:before="24" w:after="24"/>
              <w:jc w:val="both"/>
              <w:rPr>
                <w:rFonts w:cs="Times New Roman"/>
              </w:rPr>
            </w:pPr>
            <w:r>
              <w:rPr>
                <w:rFonts w:cs="Times New Roman"/>
              </w:rPr>
              <w:t>6）80厚C15混凝土垫层，随捣随抹光</w:t>
            </w:r>
          </w:p>
          <w:p w14:paraId="753E6189">
            <w:pPr>
              <w:pStyle w:val="71"/>
              <w:spacing w:before="24" w:after="24"/>
              <w:jc w:val="both"/>
              <w:rPr>
                <w:rFonts w:cs="Times New Roman"/>
              </w:rPr>
            </w:pPr>
            <w:r>
              <w:rPr>
                <w:rFonts w:cs="Times New Roman"/>
              </w:rPr>
              <w:t>7）素土夯实，压实系数≥0.94</w:t>
            </w:r>
          </w:p>
        </w:tc>
        <w:tc>
          <w:tcPr>
            <w:tcW w:w="1277" w:type="dxa"/>
            <w:tcBorders>
              <w:top w:val="single" w:color="000000" w:sz="4" w:space="0"/>
              <w:left w:val="single" w:color="000000" w:sz="4" w:space="0"/>
              <w:bottom w:val="single" w:color="000000" w:sz="4" w:space="0"/>
              <w:right w:val="single" w:color="000000" w:sz="4" w:space="0"/>
            </w:tcBorders>
            <w:vAlign w:val="center"/>
          </w:tcPr>
          <w:p w14:paraId="7530B2FC">
            <w:pPr>
              <w:pStyle w:val="71"/>
              <w:spacing w:before="24" w:after="24"/>
              <w:rPr>
                <w:rFonts w:cs="Times New Roman"/>
              </w:rPr>
            </w:pPr>
          </w:p>
        </w:tc>
      </w:tr>
      <w:tr w14:paraId="3EACE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4B51A390">
            <w:pPr>
              <w:pStyle w:val="71"/>
              <w:spacing w:before="24" w:after="24"/>
              <w:rPr>
                <w:rFonts w:cs="Times New Roman"/>
              </w:rPr>
            </w:pPr>
            <w:r>
              <w:rPr>
                <w:rFonts w:cs="Times New Roman"/>
              </w:rPr>
              <w:t>5</w:t>
            </w:r>
          </w:p>
        </w:tc>
        <w:tc>
          <w:tcPr>
            <w:tcW w:w="1405" w:type="dxa"/>
            <w:tcBorders>
              <w:top w:val="single" w:color="000000" w:sz="4" w:space="0"/>
              <w:left w:val="single" w:color="000000" w:sz="4" w:space="0"/>
              <w:bottom w:val="single" w:color="000000" w:sz="4" w:space="0"/>
              <w:right w:val="single" w:color="000000" w:sz="4" w:space="0"/>
            </w:tcBorders>
            <w:vAlign w:val="center"/>
          </w:tcPr>
          <w:p w14:paraId="15FCB590">
            <w:pPr>
              <w:pStyle w:val="71"/>
              <w:spacing w:before="24" w:after="24"/>
              <w:rPr>
                <w:rFonts w:cs="Times New Roman"/>
              </w:rPr>
            </w:pPr>
            <w:r>
              <w:rPr>
                <w:rFonts w:cs="Times New Roman"/>
              </w:rPr>
              <w:t>地面五（有沉箱防滑地砖地面）</w:t>
            </w:r>
          </w:p>
          <w:p w14:paraId="1ACE1E85">
            <w:pPr>
              <w:pStyle w:val="71"/>
              <w:spacing w:before="24" w:after="24"/>
              <w:rPr>
                <w:rFonts w:cs="Times New Roman"/>
              </w:rPr>
            </w:pPr>
          </w:p>
        </w:tc>
        <w:tc>
          <w:tcPr>
            <w:tcW w:w="1921" w:type="dxa"/>
            <w:tcBorders>
              <w:top w:val="single" w:color="000000" w:sz="4" w:space="0"/>
              <w:left w:val="single" w:color="000000" w:sz="4" w:space="0"/>
              <w:bottom w:val="single" w:color="000000" w:sz="4" w:space="0"/>
              <w:right w:val="single" w:color="000000" w:sz="4" w:space="0"/>
            </w:tcBorders>
            <w:vAlign w:val="center"/>
          </w:tcPr>
          <w:p w14:paraId="7075998C">
            <w:pPr>
              <w:pStyle w:val="71"/>
              <w:spacing w:before="24" w:after="24"/>
              <w:rPr>
                <w:rFonts w:cs="Times New Roman"/>
              </w:rPr>
            </w:pPr>
            <w:r>
              <w:rPr>
                <w:rFonts w:cs="Times New Roman"/>
              </w:rPr>
              <w:t>下沉式卫生间</w:t>
            </w:r>
          </w:p>
        </w:tc>
        <w:tc>
          <w:tcPr>
            <w:tcW w:w="3990" w:type="dxa"/>
            <w:tcBorders>
              <w:top w:val="single" w:color="000000" w:sz="4" w:space="0"/>
              <w:left w:val="single" w:color="000000" w:sz="4" w:space="0"/>
              <w:bottom w:val="single" w:color="000000" w:sz="4" w:space="0"/>
              <w:right w:val="single" w:color="000000" w:sz="4" w:space="0"/>
            </w:tcBorders>
            <w:vAlign w:val="center"/>
          </w:tcPr>
          <w:p w14:paraId="6A9089C4">
            <w:pPr>
              <w:pStyle w:val="71"/>
              <w:spacing w:before="24" w:after="24"/>
              <w:jc w:val="both"/>
              <w:rPr>
                <w:rFonts w:cs="Times New Roman"/>
              </w:rPr>
            </w:pPr>
            <w:r>
              <w:rPr>
                <w:rFonts w:cs="Times New Roman"/>
              </w:rPr>
              <w:t>1）防滑地砖，专用美缝剂美缝</w:t>
            </w:r>
          </w:p>
          <w:p w14:paraId="4602126C">
            <w:pPr>
              <w:pStyle w:val="71"/>
              <w:spacing w:before="24" w:after="24"/>
              <w:jc w:val="both"/>
              <w:rPr>
                <w:rFonts w:cs="Times New Roman"/>
              </w:rPr>
            </w:pPr>
            <w:r>
              <w:rPr>
                <w:rFonts w:cs="Times New Roman"/>
              </w:rPr>
              <w:t>2）</w:t>
            </w:r>
            <w:r>
              <w:rPr>
                <w:rFonts w:hint="eastAsia" w:cs="Times New Roman"/>
              </w:rPr>
              <w:t>2</w:t>
            </w:r>
            <w:r>
              <w:rPr>
                <w:rFonts w:cs="Times New Roman"/>
              </w:rPr>
              <w:t>0厚1：3干硬水泥砂浆结合层，上洒1-2厚干水泥</w:t>
            </w:r>
          </w:p>
          <w:p w14:paraId="58899A7D">
            <w:pPr>
              <w:pStyle w:val="71"/>
              <w:spacing w:before="24" w:after="24"/>
              <w:jc w:val="both"/>
              <w:rPr>
                <w:rFonts w:cs="Times New Roman"/>
              </w:rPr>
            </w:pPr>
            <w:r>
              <w:rPr>
                <w:rFonts w:cs="Times New Roman"/>
              </w:rPr>
              <w:t>3）最薄处20厚1：3水泥砂浆找坡层（掺5%防水剂），1%坡向地漏</w:t>
            </w:r>
          </w:p>
          <w:p w14:paraId="31F8A4C6">
            <w:pPr>
              <w:pStyle w:val="71"/>
              <w:spacing w:before="24" w:after="24"/>
              <w:jc w:val="both"/>
              <w:rPr>
                <w:rFonts w:cs="Times New Roman"/>
              </w:rPr>
            </w:pPr>
            <w:r>
              <w:rPr>
                <w:rFonts w:cs="Times New Roman"/>
              </w:rPr>
              <w:t>4）陶粒混凝土回填（回填厚度以设计为准）</w:t>
            </w:r>
          </w:p>
          <w:p w14:paraId="2AD600F8">
            <w:pPr>
              <w:pStyle w:val="71"/>
              <w:spacing w:before="24" w:after="24"/>
              <w:jc w:val="both"/>
              <w:rPr>
                <w:rFonts w:cs="Times New Roman"/>
              </w:rPr>
            </w:pPr>
            <w:r>
              <w:rPr>
                <w:rFonts w:cs="Times New Roman"/>
              </w:rPr>
              <w:t>5）1.5厚JS-Ⅱ型防水涂料，沿墙上翻至建筑完成面以上300mm（防水层向外延展的长度不应小于500mm，向两侧延展的宽度不应小于200mm）</w:t>
            </w:r>
          </w:p>
          <w:p w14:paraId="6EEFF70B">
            <w:pPr>
              <w:pStyle w:val="71"/>
              <w:spacing w:before="24" w:after="24"/>
              <w:jc w:val="both"/>
              <w:rPr>
                <w:rFonts w:cs="Times New Roman"/>
              </w:rPr>
            </w:pPr>
            <w:r>
              <w:rPr>
                <w:rFonts w:cs="Times New Roman"/>
              </w:rPr>
              <w:t>6）80厚C15混凝土垫层，随捣随抹光</w:t>
            </w:r>
          </w:p>
          <w:p w14:paraId="06E54FBE">
            <w:pPr>
              <w:pStyle w:val="71"/>
              <w:spacing w:before="24" w:after="24"/>
              <w:jc w:val="both"/>
              <w:rPr>
                <w:rFonts w:cs="Times New Roman"/>
              </w:rPr>
            </w:pPr>
            <w:r>
              <w:rPr>
                <w:rFonts w:cs="Times New Roman"/>
              </w:rPr>
              <w:t>7）素土夯实，压实系数≥0.94</w:t>
            </w:r>
          </w:p>
        </w:tc>
        <w:tc>
          <w:tcPr>
            <w:tcW w:w="1277" w:type="dxa"/>
            <w:tcBorders>
              <w:top w:val="single" w:color="000000" w:sz="4" w:space="0"/>
              <w:left w:val="single" w:color="000000" w:sz="4" w:space="0"/>
              <w:bottom w:val="single" w:color="000000" w:sz="4" w:space="0"/>
              <w:right w:val="single" w:color="000000" w:sz="4" w:space="0"/>
            </w:tcBorders>
            <w:vAlign w:val="center"/>
          </w:tcPr>
          <w:p w14:paraId="2630F17C">
            <w:pPr>
              <w:pStyle w:val="71"/>
              <w:spacing w:before="24" w:after="24"/>
              <w:rPr>
                <w:rFonts w:cs="Times New Roman"/>
              </w:rPr>
            </w:pPr>
          </w:p>
        </w:tc>
      </w:tr>
      <w:tr w14:paraId="11C8C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9348" w:type="dxa"/>
            <w:gridSpan w:val="5"/>
            <w:tcBorders>
              <w:top w:val="single" w:color="000000" w:sz="4" w:space="0"/>
              <w:left w:val="single" w:color="000000" w:sz="4" w:space="0"/>
              <w:bottom w:val="single" w:color="000000" w:sz="4" w:space="0"/>
              <w:right w:val="single" w:color="000000" w:sz="4" w:space="0"/>
            </w:tcBorders>
            <w:vAlign w:val="center"/>
          </w:tcPr>
          <w:p w14:paraId="09B8CE23">
            <w:pPr>
              <w:pStyle w:val="71"/>
              <w:spacing w:before="24" w:after="24"/>
              <w:rPr>
                <w:rFonts w:cs="Times New Roman"/>
              </w:rPr>
            </w:pPr>
            <w:r>
              <w:rPr>
                <w:rFonts w:cs="Times New Roman"/>
              </w:rPr>
              <w:t>楼面</w:t>
            </w:r>
          </w:p>
        </w:tc>
      </w:tr>
      <w:tr w14:paraId="0DE1D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6" w:hRule="atLeast"/>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5EF12EC1">
            <w:pPr>
              <w:pStyle w:val="71"/>
              <w:spacing w:before="24" w:after="24"/>
              <w:rPr>
                <w:rFonts w:cs="Times New Roman"/>
              </w:rPr>
            </w:pPr>
            <w:r>
              <w:rPr>
                <w:rFonts w:cs="Times New Roman"/>
              </w:rPr>
              <w:t>1</w:t>
            </w:r>
          </w:p>
        </w:tc>
        <w:tc>
          <w:tcPr>
            <w:tcW w:w="1405" w:type="dxa"/>
            <w:tcBorders>
              <w:top w:val="single" w:color="000000" w:sz="4" w:space="0"/>
              <w:left w:val="single" w:color="000000" w:sz="4" w:space="0"/>
              <w:bottom w:val="single" w:color="000000" w:sz="4" w:space="0"/>
              <w:right w:val="single" w:color="000000" w:sz="4" w:space="0"/>
            </w:tcBorders>
            <w:vAlign w:val="center"/>
          </w:tcPr>
          <w:p w14:paraId="659B980C">
            <w:pPr>
              <w:pStyle w:val="71"/>
              <w:spacing w:before="24" w:after="24"/>
              <w:jc w:val="left"/>
              <w:rPr>
                <w:rFonts w:cs="Times New Roman"/>
              </w:rPr>
            </w:pPr>
            <w:r>
              <w:rPr>
                <w:rFonts w:cs="Times New Roman"/>
              </w:rPr>
              <w:t>楼面一（防滑地砖--无防水层）</w:t>
            </w:r>
          </w:p>
        </w:tc>
        <w:tc>
          <w:tcPr>
            <w:tcW w:w="1921" w:type="dxa"/>
            <w:tcBorders>
              <w:top w:val="single" w:color="000000" w:sz="4" w:space="0"/>
              <w:left w:val="single" w:color="000000" w:sz="4" w:space="0"/>
              <w:bottom w:val="single" w:color="000000" w:sz="4" w:space="0"/>
              <w:right w:val="single" w:color="000000" w:sz="4" w:space="0"/>
            </w:tcBorders>
            <w:vAlign w:val="center"/>
          </w:tcPr>
          <w:p w14:paraId="1D2500D1">
            <w:pPr>
              <w:pStyle w:val="71"/>
              <w:spacing w:before="24" w:after="24"/>
              <w:rPr>
                <w:rFonts w:cs="Times New Roman"/>
              </w:rPr>
            </w:pPr>
            <w:r>
              <w:rPr>
                <w:rFonts w:cs="Times New Roman"/>
              </w:rPr>
              <w:t>治疗、办公区域、大厅、餐厅、居住区（配餐、办公室、污物电梯厅）、楼梯间</w:t>
            </w:r>
          </w:p>
        </w:tc>
        <w:tc>
          <w:tcPr>
            <w:tcW w:w="3990" w:type="dxa"/>
            <w:tcBorders>
              <w:top w:val="single" w:color="000000" w:sz="4" w:space="0"/>
              <w:left w:val="single" w:color="000000" w:sz="4" w:space="0"/>
              <w:bottom w:val="single" w:color="000000" w:sz="4" w:space="0"/>
              <w:right w:val="single" w:color="000000" w:sz="4" w:space="0"/>
            </w:tcBorders>
            <w:vAlign w:val="center"/>
          </w:tcPr>
          <w:p w14:paraId="2F9D2074">
            <w:pPr>
              <w:pStyle w:val="71"/>
              <w:spacing w:before="24" w:after="24"/>
              <w:jc w:val="both"/>
              <w:rPr>
                <w:rFonts w:cs="Times New Roman"/>
              </w:rPr>
            </w:pPr>
            <w:r>
              <w:rPr>
                <w:rFonts w:cs="Times New Roman"/>
              </w:rPr>
              <w:t>1）防滑地砖，专用美缝剂美缝</w:t>
            </w:r>
          </w:p>
          <w:p w14:paraId="39F2C367">
            <w:pPr>
              <w:pStyle w:val="71"/>
              <w:spacing w:before="24" w:after="24"/>
              <w:jc w:val="both"/>
              <w:rPr>
                <w:rFonts w:cs="Times New Roman"/>
              </w:rPr>
            </w:pPr>
            <w:r>
              <w:rPr>
                <w:rFonts w:cs="Times New Roman"/>
              </w:rPr>
              <w:t>2）</w:t>
            </w:r>
            <w:r>
              <w:rPr>
                <w:rFonts w:hint="eastAsia" w:cs="Times New Roman"/>
              </w:rPr>
              <w:t>2</w:t>
            </w:r>
            <w:r>
              <w:rPr>
                <w:rFonts w:cs="Times New Roman"/>
              </w:rPr>
              <w:t>0厚1:3干硬性水泥砂浆结合层，表面撒水泥粉</w:t>
            </w:r>
          </w:p>
          <w:p w14:paraId="313F2847">
            <w:pPr>
              <w:pStyle w:val="71"/>
              <w:spacing w:before="24" w:after="24"/>
              <w:jc w:val="both"/>
              <w:rPr>
                <w:rFonts w:cs="Times New Roman"/>
              </w:rPr>
            </w:pPr>
            <w:r>
              <w:rPr>
                <w:rFonts w:cs="Times New Roman"/>
              </w:rPr>
              <w:t>3）钢筋混凝土结构板</w:t>
            </w:r>
          </w:p>
        </w:tc>
        <w:tc>
          <w:tcPr>
            <w:tcW w:w="1277" w:type="dxa"/>
            <w:tcBorders>
              <w:top w:val="single" w:color="000000" w:sz="4" w:space="0"/>
              <w:left w:val="single" w:color="000000" w:sz="4" w:space="0"/>
              <w:bottom w:val="single" w:color="000000" w:sz="4" w:space="0"/>
              <w:right w:val="single" w:color="000000" w:sz="4" w:space="0"/>
            </w:tcBorders>
            <w:vAlign w:val="center"/>
          </w:tcPr>
          <w:p w14:paraId="5EF8E7CF">
            <w:pPr>
              <w:pStyle w:val="71"/>
              <w:spacing w:before="24" w:after="24"/>
              <w:rPr>
                <w:rFonts w:cs="Times New Roman"/>
              </w:rPr>
            </w:pPr>
          </w:p>
        </w:tc>
      </w:tr>
      <w:tr w14:paraId="4207D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2CE7F296">
            <w:pPr>
              <w:pStyle w:val="71"/>
              <w:spacing w:before="24" w:after="24"/>
              <w:rPr>
                <w:rFonts w:cs="Times New Roman"/>
              </w:rPr>
            </w:pPr>
            <w:r>
              <w:rPr>
                <w:rFonts w:cs="Times New Roman"/>
              </w:rPr>
              <w:t>2</w:t>
            </w:r>
          </w:p>
        </w:tc>
        <w:tc>
          <w:tcPr>
            <w:tcW w:w="1405" w:type="dxa"/>
            <w:tcBorders>
              <w:top w:val="single" w:color="000000" w:sz="4" w:space="0"/>
              <w:left w:val="single" w:color="000000" w:sz="4" w:space="0"/>
              <w:bottom w:val="single" w:color="000000" w:sz="4" w:space="0"/>
              <w:right w:val="single" w:color="000000" w:sz="4" w:space="0"/>
            </w:tcBorders>
            <w:vAlign w:val="center"/>
          </w:tcPr>
          <w:p w14:paraId="59523710">
            <w:pPr>
              <w:pStyle w:val="71"/>
              <w:spacing w:before="24" w:after="24"/>
              <w:jc w:val="left"/>
              <w:rPr>
                <w:rFonts w:cs="Times New Roman"/>
              </w:rPr>
            </w:pPr>
            <w:r>
              <w:rPr>
                <w:rFonts w:cs="Times New Roman"/>
              </w:rPr>
              <w:t>楼面二（软木复合弹性地板）</w:t>
            </w:r>
          </w:p>
        </w:tc>
        <w:tc>
          <w:tcPr>
            <w:tcW w:w="1921" w:type="dxa"/>
            <w:tcBorders>
              <w:top w:val="single" w:color="000000" w:sz="4" w:space="0"/>
              <w:left w:val="single" w:color="000000" w:sz="4" w:space="0"/>
              <w:bottom w:val="single" w:color="000000" w:sz="4" w:space="0"/>
              <w:right w:val="single" w:color="000000" w:sz="4" w:space="0"/>
            </w:tcBorders>
            <w:vAlign w:val="center"/>
          </w:tcPr>
          <w:p w14:paraId="42174118">
            <w:pPr>
              <w:pStyle w:val="71"/>
              <w:spacing w:before="24" w:after="24"/>
              <w:jc w:val="left"/>
              <w:rPr>
                <w:rFonts w:cs="Times New Roman"/>
              </w:rPr>
            </w:pPr>
            <w:r>
              <w:rPr>
                <w:rFonts w:cs="Times New Roman"/>
              </w:rPr>
              <w:t>居住区未注明房间</w:t>
            </w:r>
          </w:p>
        </w:tc>
        <w:tc>
          <w:tcPr>
            <w:tcW w:w="3990" w:type="dxa"/>
            <w:tcBorders>
              <w:top w:val="single" w:color="000000" w:sz="4" w:space="0"/>
              <w:left w:val="single" w:color="000000" w:sz="4" w:space="0"/>
              <w:bottom w:val="single" w:color="000000" w:sz="4" w:space="0"/>
              <w:right w:val="single" w:color="000000" w:sz="4" w:space="0"/>
            </w:tcBorders>
            <w:vAlign w:val="center"/>
          </w:tcPr>
          <w:p w14:paraId="11291F39">
            <w:pPr>
              <w:pStyle w:val="71"/>
              <w:spacing w:before="24" w:after="24"/>
              <w:jc w:val="both"/>
              <w:rPr>
                <w:rFonts w:cs="Times New Roman"/>
              </w:rPr>
            </w:pPr>
            <w:r>
              <w:rPr>
                <w:rFonts w:cs="Times New Roman"/>
              </w:rPr>
              <w:t>1）软木复合弹性地板，悬浮式铺装法，木地板条或铝合金条收边</w:t>
            </w:r>
          </w:p>
          <w:p w14:paraId="719F7797">
            <w:pPr>
              <w:pStyle w:val="71"/>
              <w:spacing w:before="24" w:after="24"/>
              <w:jc w:val="both"/>
              <w:rPr>
                <w:rFonts w:cs="Times New Roman"/>
              </w:rPr>
            </w:pPr>
            <w:r>
              <w:rPr>
                <w:rFonts w:cs="Times New Roman"/>
              </w:rPr>
              <w:t>2）5厚发泡橡胶或电子交联发泡聚乙烯减振垫层</w:t>
            </w:r>
          </w:p>
          <w:p w14:paraId="0DBBCA4E">
            <w:pPr>
              <w:pStyle w:val="71"/>
              <w:spacing w:before="24" w:after="24"/>
              <w:jc w:val="both"/>
              <w:rPr>
                <w:rFonts w:cs="Times New Roman"/>
              </w:rPr>
            </w:pPr>
            <w:r>
              <w:rPr>
                <w:rFonts w:cs="Times New Roman"/>
              </w:rPr>
              <w:t>3）20厚1:3水泥砂浆找平层</w:t>
            </w:r>
          </w:p>
          <w:p w14:paraId="784CBBEB">
            <w:pPr>
              <w:pStyle w:val="71"/>
              <w:spacing w:before="24" w:after="24"/>
              <w:jc w:val="both"/>
              <w:rPr>
                <w:rFonts w:cs="Times New Roman"/>
              </w:rPr>
            </w:pPr>
            <w:r>
              <w:rPr>
                <w:rFonts w:cs="Times New Roman"/>
              </w:rPr>
              <w:t>4）钢筋混凝土楼板</w:t>
            </w:r>
          </w:p>
        </w:tc>
        <w:tc>
          <w:tcPr>
            <w:tcW w:w="1277" w:type="dxa"/>
            <w:tcBorders>
              <w:top w:val="single" w:color="000000" w:sz="4" w:space="0"/>
              <w:left w:val="single" w:color="000000" w:sz="4" w:space="0"/>
              <w:bottom w:val="single" w:color="000000" w:sz="4" w:space="0"/>
              <w:right w:val="single" w:color="000000" w:sz="4" w:space="0"/>
            </w:tcBorders>
            <w:vAlign w:val="center"/>
          </w:tcPr>
          <w:p w14:paraId="32D21F4E">
            <w:pPr>
              <w:pStyle w:val="71"/>
              <w:spacing w:before="24" w:after="24"/>
              <w:rPr>
                <w:rFonts w:cs="Times New Roman"/>
              </w:rPr>
            </w:pPr>
          </w:p>
        </w:tc>
      </w:tr>
      <w:tr w14:paraId="2C17C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4153FDA4">
            <w:pPr>
              <w:pStyle w:val="71"/>
              <w:spacing w:before="24" w:after="24"/>
              <w:rPr>
                <w:rFonts w:cs="Times New Roman"/>
              </w:rPr>
            </w:pPr>
            <w:r>
              <w:rPr>
                <w:rFonts w:cs="Times New Roman"/>
              </w:rPr>
              <w:t>3</w:t>
            </w:r>
          </w:p>
        </w:tc>
        <w:tc>
          <w:tcPr>
            <w:tcW w:w="1405" w:type="dxa"/>
            <w:tcBorders>
              <w:top w:val="single" w:color="000000" w:sz="4" w:space="0"/>
              <w:left w:val="single" w:color="000000" w:sz="4" w:space="0"/>
              <w:bottom w:val="single" w:color="000000" w:sz="4" w:space="0"/>
              <w:right w:val="single" w:color="000000" w:sz="4" w:space="0"/>
            </w:tcBorders>
            <w:vAlign w:val="center"/>
          </w:tcPr>
          <w:p w14:paraId="4E364495">
            <w:pPr>
              <w:pStyle w:val="71"/>
              <w:spacing w:before="24" w:after="24"/>
              <w:rPr>
                <w:rFonts w:cs="Times New Roman"/>
              </w:rPr>
            </w:pPr>
            <w:r>
              <w:rPr>
                <w:rFonts w:cs="Times New Roman"/>
              </w:rPr>
              <w:t>地面三（防滑地砖、单层防水）</w:t>
            </w:r>
          </w:p>
        </w:tc>
        <w:tc>
          <w:tcPr>
            <w:tcW w:w="1921" w:type="dxa"/>
            <w:tcBorders>
              <w:top w:val="single" w:color="000000" w:sz="4" w:space="0"/>
              <w:left w:val="single" w:color="000000" w:sz="4" w:space="0"/>
              <w:bottom w:val="single" w:color="000000" w:sz="4" w:space="0"/>
              <w:right w:val="single" w:color="000000" w:sz="4" w:space="0"/>
            </w:tcBorders>
            <w:vAlign w:val="center"/>
          </w:tcPr>
          <w:p w14:paraId="12F1F753">
            <w:pPr>
              <w:pStyle w:val="71"/>
              <w:spacing w:before="24" w:after="24"/>
              <w:jc w:val="left"/>
              <w:rPr>
                <w:rFonts w:cs="Times New Roman"/>
              </w:rPr>
            </w:pPr>
            <w:r>
              <w:rPr>
                <w:rFonts w:cs="Times New Roman"/>
              </w:rPr>
              <w:t>阳台、敞开式走廊</w:t>
            </w:r>
          </w:p>
        </w:tc>
        <w:tc>
          <w:tcPr>
            <w:tcW w:w="3990" w:type="dxa"/>
            <w:tcBorders>
              <w:top w:val="single" w:color="000000" w:sz="4" w:space="0"/>
              <w:left w:val="single" w:color="000000" w:sz="4" w:space="0"/>
              <w:bottom w:val="single" w:color="000000" w:sz="4" w:space="0"/>
              <w:right w:val="single" w:color="000000" w:sz="4" w:space="0"/>
            </w:tcBorders>
            <w:vAlign w:val="center"/>
          </w:tcPr>
          <w:p w14:paraId="67A9F3E8">
            <w:pPr>
              <w:pStyle w:val="71"/>
              <w:spacing w:before="24" w:after="24"/>
              <w:jc w:val="both"/>
              <w:rPr>
                <w:rFonts w:cs="Times New Roman"/>
              </w:rPr>
            </w:pPr>
            <w:r>
              <w:rPr>
                <w:rFonts w:cs="Times New Roman"/>
              </w:rPr>
              <w:t>1）防滑地砖，水泥浆擦缝</w:t>
            </w:r>
          </w:p>
          <w:p w14:paraId="7DFEF36E">
            <w:pPr>
              <w:pStyle w:val="71"/>
              <w:spacing w:before="24" w:after="24"/>
              <w:jc w:val="both"/>
              <w:rPr>
                <w:rFonts w:cs="Times New Roman"/>
              </w:rPr>
            </w:pPr>
            <w:r>
              <w:rPr>
                <w:rFonts w:cs="Times New Roman"/>
              </w:rPr>
              <w:t>2）</w:t>
            </w:r>
            <w:r>
              <w:rPr>
                <w:rFonts w:hint="eastAsia" w:cs="Times New Roman"/>
              </w:rPr>
              <w:t>2</w:t>
            </w:r>
            <w:r>
              <w:rPr>
                <w:rFonts w:cs="Times New Roman"/>
              </w:rPr>
              <w:t>0厚1：3干硬水泥砂浆结合层，上洒1-2厚干水泥</w:t>
            </w:r>
          </w:p>
          <w:p w14:paraId="38CDAF3C">
            <w:pPr>
              <w:pStyle w:val="71"/>
              <w:spacing w:before="24" w:after="24"/>
              <w:jc w:val="left"/>
              <w:rPr>
                <w:rFonts w:cs="Times New Roman"/>
              </w:rPr>
            </w:pPr>
            <w:r>
              <w:rPr>
                <w:rFonts w:cs="Times New Roman"/>
              </w:rPr>
              <w:t>3）最薄处20厚1：3水泥砂浆找坡兼找平层（掺5%防水剂），1%坡向地漏</w:t>
            </w:r>
          </w:p>
          <w:p w14:paraId="45C85668">
            <w:pPr>
              <w:pStyle w:val="71"/>
              <w:spacing w:before="24" w:after="24"/>
              <w:jc w:val="left"/>
              <w:rPr>
                <w:rFonts w:cs="Times New Roman"/>
              </w:rPr>
            </w:pPr>
            <w:r>
              <w:rPr>
                <w:rFonts w:cs="Times New Roman"/>
              </w:rPr>
              <w:t>4）管道边及孔边四周300mm范围先刷1.5mm厚JS-II聚合物水泥防水涂料，再大面刷1.5mm厚JS-II聚合物水泥防水涂料，四周卷起建筑完成面300高（防水层向外延展的长度不应小于500mm，向两侧延展的宽度不应小于200mm）</w:t>
            </w:r>
          </w:p>
          <w:p w14:paraId="31A7A3CE">
            <w:pPr>
              <w:pStyle w:val="71"/>
              <w:spacing w:before="24" w:after="24"/>
              <w:rPr>
                <w:rFonts w:cs="Times New Roman"/>
              </w:rPr>
            </w:pPr>
            <w:r>
              <w:rPr>
                <w:rFonts w:cs="Times New Roman"/>
              </w:rPr>
              <w:t>5）阴角做1:2水泥砂浆50mm圆弧</w:t>
            </w:r>
          </w:p>
          <w:p w14:paraId="0743EF61">
            <w:pPr>
              <w:pStyle w:val="71"/>
              <w:spacing w:before="24" w:after="24"/>
              <w:rPr>
                <w:rFonts w:cs="Times New Roman"/>
              </w:rPr>
            </w:pPr>
            <w:r>
              <w:rPr>
                <w:rFonts w:cs="Times New Roman"/>
              </w:rPr>
              <w:t>6）现浇钢筋混凝土楼板,随捣随抹平</w:t>
            </w:r>
          </w:p>
        </w:tc>
        <w:tc>
          <w:tcPr>
            <w:tcW w:w="1277" w:type="dxa"/>
            <w:tcBorders>
              <w:top w:val="single" w:color="000000" w:sz="4" w:space="0"/>
              <w:left w:val="single" w:color="000000" w:sz="4" w:space="0"/>
              <w:bottom w:val="single" w:color="000000" w:sz="4" w:space="0"/>
              <w:right w:val="single" w:color="000000" w:sz="4" w:space="0"/>
            </w:tcBorders>
            <w:vAlign w:val="center"/>
          </w:tcPr>
          <w:p w14:paraId="54431209">
            <w:pPr>
              <w:pStyle w:val="71"/>
              <w:spacing w:before="24" w:after="24"/>
              <w:rPr>
                <w:rFonts w:cs="Times New Roman"/>
              </w:rPr>
            </w:pPr>
          </w:p>
        </w:tc>
      </w:tr>
      <w:tr w14:paraId="6CCFF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2825D12B">
            <w:pPr>
              <w:pStyle w:val="71"/>
              <w:spacing w:before="24" w:after="24"/>
              <w:rPr>
                <w:rFonts w:cs="Times New Roman"/>
              </w:rPr>
            </w:pPr>
            <w:r>
              <w:rPr>
                <w:rFonts w:cs="Times New Roman"/>
              </w:rPr>
              <w:t>4</w:t>
            </w:r>
          </w:p>
        </w:tc>
        <w:tc>
          <w:tcPr>
            <w:tcW w:w="1405" w:type="dxa"/>
            <w:tcBorders>
              <w:top w:val="single" w:color="000000" w:sz="4" w:space="0"/>
              <w:left w:val="single" w:color="000000" w:sz="4" w:space="0"/>
              <w:bottom w:val="single" w:color="000000" w:sz="4" w:space="0"/>
              <w:right w:val="single" w:color="000000" w:sz="4" w:space="0"/>
            </w:tcBorders>
            <w:vAlign w:val="center"/>
          </w:tcPr>
          <w:p w14:paraId="4DD63876">
            <w:pPr>
              <w:pStyle w:val="71"/>
              <w:spacing w:before="24" w:after="24"/>
              <w:rPr>
                <w:rFonts w:cs="Times New Roman"/>
              </w:rPr>
            </w:pPr>
            <w:r>
              <w:rPr>
                <w:rFonts w:cs="Times New Roman"/>
              </w:rPr>
              <w:t>楼面四（防滑地砖楼面，无沉箱）</w:t>
            </w:r>
          </w:p>
        </w:tc>
        <w:tc>
          <w:tcPr>
            <w:tcW w:w="1921" w:type="dxa"/>
            <w:tcBorders>
              <w:top w:val="single" w:color="000000" w:sz="4" w:space="0"/>
              <w:left w:val="single" w:color="000000" w:sz="4" w:space="0"/>
              <w:bottom w:val="single" w:color="000000" w:sz="4" w:space="0"/>
              <w:right w:val="single" w:color="000000" w:sz="4" w:space="0"/>
            </w:tcBorders>
            <w:vAlign w:val="center"/>
          </w:tcPr>
          <w:p w14:paraId="2E40D88A">
            <w:pPr>
              <w:pStyle w:val="71"/>
              <w:spacing w:before="24" w:after="24"/>
              <w:rPr>
                <w:rFonts w:cs="Times New Roman"/>
              </w:rPr>
            </w:pPr>
            <w:r>
              <w:rPr>
                <w:rFonts w:cs="Times New Roman"/>
              </w:rPr>
              <w:t>非下沉式卫生间</w:t>
            </w:r>
          </w:p>
        </w:tc>
        <w:tc>
          <w:tcPr>
            <w:tcW w:w="3990" w:type="dxa"/>
            <w:tcBorders>
              <w:top w:val="single" w:color="000000" w:sz="4" w:space="0"/>
              <w:left w:val="single" w:color="000000" w:sz="4" w:space="0"/>
              <w:bottom w:val="single" w:color="000000" w:sz="4" w:space="0"/>
              <w:right w:val="single" w:color="000000" w:sz="4" w:space="0"/>
            </w:tcBorders>
            <w:vAlign w:val="center"/>
          </w:tcPr>
          <w:p w14:paraId="08BFFF87">
            <w:pPr>
              <w:pStyle w:val="71"/>
              <w:spacing w:before="24" w:after="24"/>
              <w:jc w:val="both"/>
              <w:rPr>
                <w:rFonts w:cs="Times New Roman"/>
              </w:rPr>
            </w:pPr>
            <w:r>
              <w:rPr>
                <w:rFonts w:cs="Times New Roman"/>
              </w:rPr>
              <w:t>1）防滑地砖，专用勾缝剂勾缝</w:t>
            </w:r>
          </w:p>
          <w:p w14:paraId="48BA85E8">
            <w:pPr>
              <w:pStyle w:val="71"/>
              <w:spacing w:before="24" w:after="24"/>
              <w:jc w:val="both"/>
              <w:rPr>
                <w:rFonts w:cs="Times New Roman"/>
              </w:rPr>
            </w:pPr>
            <w:r>
              <w:rPr>
                <w:rFonts w:cs="Times New Roman"/>
              </w:rPr>
              <w:t>2）</w:t>
            </w:r>
            <w:r>
              <w:rPr>
                <w:rFonts w:hint="eastAsia" w:cs="Times New Roman"/>
              </w:rPr>
              <w:t>2</w:t>
            </w:r>
            <w:r>
              <w:rPr>
                <w:rFonts w:cs="Times New Roman"/>
              </w:rPr>
              <w:t>0厚1:3干硬性水泥砂浆结合层，表面撒水泥粉</w:t>
            </w:r>
          </w:p>
          <w:p w14:paraId="36AFE109">
            <w:pPr>
              <w:pStyle w:val="71"/>
              <w:spacing w:before="24" w:after="24"/>
              <w:jc w:val="both"/>
              <w:rPr>
                <w:rFonts w:cs="Times New Roman"/>
              </w:rPr>
            </w:pPr>
            <w:r>
              <w:rPr>
                <w:rFonts w:cs="Times New Roman"/>
              </w:rPr>
              <w:t>3）最薄处20厚1：3水泥砂浆找坡兼找平层（掺5%防水剂），1%坡向地漏</w:t>
            </w:r>
          </w:p>
          <w:p w14:paraId="1458E240">
            <w:pPr>
              <w:pStyle w:val="71"/>
              <w:spacing w:before="24" w:after="24"/>
              <w:jc w:val="both"/>
              <w:rPr>
                <w:rFonts w:cs="Times New Roman"/>
              </w:rPr>
            </w:pPr>
            <w:r>
              <w:rPr>
                <w:rFonts w:cs="Times New Roman"/>
              </w:rPr>
              <w:t>4）管道边及孔边四周300mm范围先刷1.5mm厚JS-II聚合物水泥防水涂料，再大面刷1.5mm厚JS-II聚合物水泥防水涂料，四周卷起建筑完成面300高（防水层向外延展的长度不应小于500mm，向两侧延展的宽度不应小于200mm）</w:t>
            </w:r>
          </w:p>
          <w:p w14:paraId="30EC6BC5">
            <w:pPr>
              <w:pStyle w:val="71"/>
              <w:spacing w:before="24" w:after="24"/>
              <w:jc w:val="both"/>
              <w:rPr>
                <w:rFonts w:cs="Times New Roman"/>
              </w:rPr>
            </w:pPr>
            <w:r>
              <w:rPr>
                <w:rFonts w:cs="Times New Roman"/>
              </w:rPr>
              <w:t>5）阴角做1:2水泥砂浆50mm圆弧；</w:t>
            </w:r>
          </w:p>
          <w:p w14:paraId="78EF3915">
            <w:pPr>
              <w:pStyle w:val="71"/>
              <w:spacing w:before="24" w:after="24"/>
              <w:jc w:val="both"/>
              <w:rPr>
                <w:rFonts w:cs="Times New Roman"/>
              </w:rPr>
            </w:pPr>
            <w:r>
              <w:rPr>
                <w:rFonts w:cs="Times New Roman"/>
              </w:rPr>
              <w:t>6）现浇钢筋混凝土楼板,随捣随抹平</w:t>
            </w:r>
          </w:p>
        </w:tc>
        <w:tc>
          <w:tcPr>
            <w:tcW w:w="1277" w:type="dxa"/>
            <w:tcBorders>
              <w:top w:val="single" w:color="000000" w:sz="4" w:space="0"/>
              <w:left w:val="single" w:color="000000" w:sz="4" w:space="0"/>
              <w:bottom w:val="single" w:color="000000" w:sz="4" w:space="0"/>
              <w:right w:val="single" w:color="000000" w:sz="4" w:space="0"/>
            </w:tcBorders>
            <w:vAlign w:val="center"/>
          </w:tcPr>
          <w:p w14:paraId="0C6DD6A4">
            <w:pPr>
              <w:pStyle w:val="71"/>
              <w:spacing w:before="24" w:after="24"/>
              <w:rPr>
                <w:rFonts w:cs="Times New Roman"/>
              </w:rPr>
            </w:pPr>
          </w:p>
        </w:tc>
      </w:tr>
      <w:tr w14:paraId="1D79E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012B551C">
            <w:pPr>
              <w:pStyle w:val="71"/>
              <w:spacing w:before="24" w:after="24"/>
              <w:rPr>
                <w:rFonts w:cs="Times New Roman"/>
              </w:rPr>
            </w:pPr>
            <w:r>
              <w:rPr>
                <w:rFonts w:cs="Times New Roman"/>
              </w:rPr>
              <w:t>5</w:t>
            </w:r>
          </w:p>
        </w:tc>
        <w:tc>
          <w:tcPr>
            <w:tcW w:w="1405" w:type="dxa"/>
            <w:tcBorders>
              <w:top w:val="single" w:color="000000" w:sz="4" w:space="0"/>
              <w:left w:val="single" w:color="000000" w:sz="4" w:space="0"/>
              <w:bottom w:val="single" w:color="000000" w:sz="4" w:space="0"/>
              <w:right w:val="single" w:color="000000" w:sz="4" w:space="0"/>
            </w:tcBorders>
            <w:vAlign w:val="center"/>
          </w:tcPr>
          <w:p w14:paraId="766CC871">
            <w:pPr>
              <w:pStyle w:val="71"/>
              <w:spacing w:before="24" w:after="24"/>
              <w:rPr>
                <w:rFonts w:cs="Times New Roman"/>
              </w:rPr>
            </w:pPr>
            <w:r>
              <w:rPr>
                <w:rFonts w:cs="Times New Roman"/>
              </w:rPr>
              <w:t>楼面五（防滑地砖楼面，有沉箱）</w:t>
            </w:r>
          </w:p>
        </w:tc>
        <w:tc>
          <w:tcPr>
            <w:tcW w:w="1921" w:type="dxa"/>
            <w:tcBorders>
              <w:top w:val="single" w:color="000000" w:sz="4" w:space="0"/>
              <w:left w:val="single" w:color="000000" w:sz="4" w:space="0"/>
              <w:bottom w:val="single" w:color="000000" w:sz="4" w:space="0"/>
              <w:right w:val="single" w:color="000000" w:sz="4" w:space="0"/>
            </w:tcBorders>
            <w:vAlign w:val="center"/>
          </w:tcPr>
          <w:p w14:paraId="46529CE0">
            <w:pPr>
              <w:pStyle w:val="71"/>
              <w:spacing w:before="24" w:after="24"/>
              <w:rPr>
                <w:rFonts w:cs="Times New Roman"/>
              </w:rPr>
            </w:pPr>
            <w:r>
              <w:rPr>
                <w:rFonts w:cs="Times New Roman"/>
              </w:rPr>
              <w:t>下沉式卫生间</w:t>
            </w:r>
          </w:p>
        </w:tc>
        <w:tc>
          <w:tcPr>
            <w:tcW w:w="3990" w:type="dxa"/>
            <w:tcBorders>
              <w:top w:val="single" w:color="000000" w:sz="4" w:space="0"/>
              <w:left w:val="single" w:color="000000" w:sz="4" w:space="0"/>
              <w:bottom w:val="single" w:color="000000" w:sz="4" w:space="0"/>
              <w:right w:val="single" w:color="000000" w:sz="4" w:space="0"/>
            </w:tcBorders>
            <w:vAlign w:val="center"/>
          </w:tcPr>
          <w:p w14:paraId="6A590C1F">
            <w:pPr>
              <w:pStyle w:val="71"/>
              <w:spacing w:before="24" w:after="24"/>
              <w:jc w:val="both"/>
              <w:rPr>
                <w:rFonts w:cs="Times New Roman"/>
              </w:rPr>
            </w:pPr>
            <w:r>
              <w:rPr>
                <w:rFonts w:cs="Times New Roman"/>
              </w:rPr>
              <w:t>1）防滑地砖，专用美缝剂美缝</w:t>
            </w:r>
          </w:p>
          <w:p w14:paraId="7532FDCA">
            <w:pPr>
              <w:pStyle w:val="71"/>
              <w:spacing w:before="24" w:after="24"/>
              <w:jc w:val="both"/>
              <w:rPr>
                <w:rFonts w:cs="Times New Roman"/>
              </w:rPr>
            </w:pPr>
            <w:r>
              <w:rPr>
                <w:rFonts w:cs="Times New Roman"/>
              </w:rPr>
              <w:t>2）</w:t>
            </w:r>
            <w:r>
              <w:rPr>
                <w:rFonts w:hint="eastAsia" w:cs="Times New Roman"/>
              </w:rPr>
              <w:t>2</w:t>
            </w:r>
            <w:r>
              <w:rPr>
                <w:rFonts w:cs="Times New Roman"/>
              </w:rPr>
              <w:t>0厚1:3干硬性水泥砂浆结合层，表面撒水泥粉</w:t>
            </w:r>
          </w:p>
          <w:p w14:paraId="403F2A3D">
            <w:pPr>
              <w:pStyle w:val="71"/>
              <w:spacing w:before="24" w:after="24"/>
              <w:jc w:val="both"/>
              <w:rPr>
                <w:rFonts w:cs="Times New Roman"/>
              </w:rPr>
            </w:pPr>
            <w:r>
              <w:rPr>
                <w:rFonts w:cs="Times New Roman"/>
              </w:rPr>
              <w:t>3）最薄处20厚1：3水泥砂浆找坡兼找平层（掺5%防水剂），1%坡向地漏</w:t>
            </w:r>
          </w:p>
          <w:p w14:paraId="524449BD">
            <w:pPr>
              <w:pStyle w:val="71"/>
              <w:spacing w:before="24" w:after="24"/>
              <w:jc w:val="both"/>
              <w:rPr>
                <w:rFonts w:cs="Times New Roman"/>
              </w:rPr>
            </w:pPr>
            <w:r>
              <w:rPr>
                <w:rFonts w:cs="Times New Roman"/>
              </w:rPr>
              <w:t>4）陶粒混凝土回填（回填厚度以设计为准）</w:t>
            </w:r>
          </w:p>
          <w:p w14:paraId="20CDC0DD">
            <w:pPr>
              <w:pStyle w:val="71"/>
              <w:spacing w:before="24" w:after="24"/>
              <w:jc w:val="both"/>
              <w:rPr>
                <w:rFonts w:cs="Times New Roman"/>
              </w:rPr>
            </w:pPr>
            <w:r>
              <w:rPr>
                <w:rFonts w:cs="Times New Roman"/>
              </w:rPr>
              <w:t>5）1.5厚JS-Ⅱ型防水涂料，沿墙上翻至建筑完成面以上300mm（防水层向外延展的长度不应小于500mm，向两侧延展的宽度不应小于200mm）</w:t>
            </w:r>
          </w:p>
          <w:p w14:paraId="106C92AA">
            <w:pPr>
              <w:pStyle w:val="71"/>
              <w:spacing w:before="24" w:after="24"/>
              <w:jc w:val="both"/>
              <w:rPr>
                <w:rFonts w:cs="Times New Roman"/>
              </w:rPr>
            </w:pPr>
            <w:r>
              <w:rPr>
                <w:rFonts w:cs="Times New Roman"/>
              </w:rPr>
              <w:t>6）现浇钢筋混凝土楼板，原浆收光</w:t>
            </w:r>
          </w:p>
        </w:tc>
        <w:tc>
          <w:tcPr>
            <w:tcW w:w="1277" w:type="dxa"/>
            <w:tcBorders>
              <w:top w:val="single" w:color="000000" w:sz="4" w:space="0"/>
              <w:left w:val="single" w:color="000000" w:sz="4" w:space="0"/>
              <w:bottom w:val="single" w:color="000000" w:sz="4" w:space="0"/>
              <w:right w:val="single" w:color="000000" w:sz="4" w:space="0"/>
            </w:tcBorders>
            <w:vAlign w:val="center"/>
          </w:tcPr>
          <w:p w14:paraId="304335F6">
            <w:pPr>
              <w:pStyle w:val="71"/>
              <w:spacing w:before="24" w:after="24"/>
              <w:rPr>
                <w:rFonts w:cs="Times New Roman"/>
              </w:rPr>
            </w:pPr>
          </w:p>
        </w:tc>
      </w:tr>
      <w:tr w14:paraId="6EB75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69792ED7">
            <w:pPr>
              <w:pStyle w:val="71"/>
              <w:spacing w:before="24" w:after="24"/>
              <w:rPr>
                <w:rFonts w:cs="Times New Roman"/>
              </w:rPr>
            </w:pPr>
            <w:r>
              <w:rPr>
                <w:rFonts w:cs="Times New Roman"/>
              </w:rPr>
              <w:t>6</w:t>
            </w:r>
          </w:p>
        </w:tc>
        <w:tc>
          <w:tcPr>
            <w:tcW w:w="1405" w:type="dxa"/>
            <w:tcBorders>
              <w:top w:val="single" w:color="000000" w:sz="4" w:space="0"/>
              <w:left w:val="single" w:color="000000" w:sz="4" w:space="0"/>
              <w:bottom w:val="single" w:color="000000" w:sz="4" w:space="0"/>
              <w:right w:val="single" w:color="000000" w:sz="4" w:space="0"/>
            </w:tcBorders>
            <w:vAlign w:val="center"/>
          </w:tcPr>
          <w:p w14:paraId="6906DC53">
            <w:pPr>
              <w:pStyle w:val="71"/>
              <w:spacing w:before="24" w:after="24"/>
              <w:jc w:val="left"/>
              <w:rPr>
                <w:rFonts w:cs="Times New Roman"/>
              </w:rPr>
            </w:pPr>
            <w:r>
              <w:rPr>
                <w:rFonts w:cs="Times New Roman"/>
              </w:rPr>
              <w:t>楼面七（防滑地砖楼面）</w:t>
            </w:r>
          </w:p>
        </w:tc>
        <w:tc>
          <w:tcPr>
            <w:tcW w:w="1921" w:type="dxa"/>
            <w:tcBorders>
              <w:top w:val="single" w:color="000000" w:sz="4" w:space="0"/>
              <w:left w:val="single" w:color="000000" w:sz="4" w:space="0"/>
              <w:bottom w:val="single" w:color="000000" w:sz="4" w:space="0"/>
              <w:right w:val="single" w:color="000000" w:sz="4" w:space="0"/>
            </w:tcBorders>
            <w:vAlign w:val="center"/>
          </w:tcPr>
          <w:p w14:paraId="473F3D69">
            <w:pPr>
              <w:pStyle w:val="71"/>
              <w:spacing w:before="24" w:after="24"/>
              <w:rPr>
                <w:rFonts w:cs="Times New Roman"/>
              </w:rPr>
            </w:pPr>
            <w:r>
              <w:rPr>
                <w:rFonts w:cs="Times New Roman"/>
              </w:rPr>
              <w:t>公共通道、公共大堂、电梯厅</w:t>
            </w:r>
          </w:p>
        </w:tc>
        <w:tc>
          <w:tcPr>
            <w:tcW w:w="3990" w:type="dxa"/>
            <w:tcBorders>
              <w:top w:val="single" w:color="000000" w:sz="4" w:space="0"/>
              <w:left w:val="single" w:color="000000" w:sz="4" w:space="0"/>
              <w:bottom w:val="single" w:color="000000" w:sz="4" w:space="0"/>
              <w:right w:val="single" w:color="000000" w:sz="4" w:space="0"/>
            </w:tcBorders>
            <w:vAlign w:val="center"/>
          </w:tcPr>
          <w:p w14:paraId="6023B624">
            <w:pPr>
              <w:pStyle w:val="71"/>
              <w:spacing w:before="24" w:after="24"/>
              <w:jc w:val="both"/>
              <w:rPr>
                <w:rFonts w:cs="Times New Roman"/>
              </w:rPr>
            </w:pPr>
            <w:r>
              <w:rPr>
                <w:rFonts w:cs="Times New Roman"/>
              </w:rPr>
              <w:t>1）防滑地砖，专用勾缝剂勾缝</w:t>
            </w:r>
          </w:p>
          <w:p w14:paraId="550F6A7A">
            <w:pPr>
              <w:pStyle w:val="71"/>
              <w:spacing w:before="24" w:after="24"/>
              <w:jc w:val="both"/>
              <w:rPr>
                <w:rFonts w:cs="Times New Roman"/>
              </w:rPr>
            </w:pPr>
            <w:r>
              <w:rPr>
                <w:rFonts w:cs="Times New Roman"/>
              </w:rPr>
              <w:t>2）</w:t>
            </w:r>
            <w:r>
              <w:rPr>
                <w:rFonts w:hint="eastAsia" w:cs="Times New Roman"/>
              </w:rPr>
              <w:t>2</w:t>
            </w:r>
            <w:r>
              <w:rPr>
                <w:rFonts w:cs="Times New Roman"/>
              </w:rPr>
              <w:t>0厚1:3干硬性水泥砂浆结合层，表面撒水泥粉</w:t>
            </w:r>
          </w:p>
          <w:p w14:paraId="4B74BDA2">
            <w:pPr>
              <w:pStyle w:val="71"/>
              <w:spacing w:before="24" w:after="24"/>
              <w:jc w:val="both"/>
              <w:rPr>
                <w:rFonts w:cs="Times New Roman"/>
              </w:rPr>
            </w:pPr>
            <w:r>
              <w:rPr>
                <w:rFonts w:cs="Times New Roman"/>
              </w:rPr>
              <w:t>3）钢筋混凝土底板</w:t>
            </w:r>
          </w:p>
        </w:tc>
        <w:tc>
          <w:tcPr>
            <w:tcW w:w="1277" w:type="dxa"/>
            <w:tcBorders>
              <w:top w:val="single" w:color="000000" w:sz="4" w:space="0"/>
              <w:left w:val="single" w:color="000000" w:sz="4" w:space="0"/>
              <w:bottom w:val="single" w:color="000000" w:sz="4" w:space="0"/>
              <w:right w:val="single" w:color="000000" w:sz="4" w:space="0"/>
            </w:tcBorders>
            <w:vAlign w:val="center"/>
          </w:tcPr>
          <w:p w14:paraId="589BDE98">
            <w:pPr>
              <w:pStyle w:val="71"/>
              <w:spacing w:before="24" w:after="24"/>
              <w:rPr>
                <w:rFonts w:cs="Times New Roman"/>
              </w:rPr>
            </w:pPr>
          </w:p>
        </w:tc>
      </w:tr>
      <w:tr w14:paraId="67D8DC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348" w:type="dxa"/>
            <w:gridSpan w:val="5"/>
            <w:tcBorders>
              <w:top w:val="single" w:color="000000" w:sz="4" w:space="0"/>
              <w:left w:val="single" w:color="000000" w:sz="4" w:space="0"/>
              <w:bottom w:val="single" w:color="000000" w:sz="4" w:space="0"/>
              <w:right w:val="single" w:color="000000" w:sz="4" w:space="0"/>
            </w:tcBorders>
            <w:vAlign w:val="center"/>
          </w:tcPr>
          <w:p w14:paraId="0AD9FD58">
            <w:pPr>
              <w:pStyle w:val="71"/>
              <w:spacing w:before="24" w:after="24"/>
              <w:rPr>
                <w:rFonts w:cs="Times New Roman"/>
              </w:rPr>
            </w:pPr>
            <w:r>
              <w:rPr>
                <w:rFonts w:cs="Times New Roman"/>
              </w:rPr>
              <w:t>内墙</w:t>
            </w:r>
          </w:p>
        </w:tc>
      </w:tr>
      <w:tr w14:paraId="33A27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00" w:hRule="atLeast"/>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0594E728">
            <w:pPr>
              <w:pStyle w:val="71"/>
              <w:spacing w:before="24" w:after="24"/>
              <w:rPr>
                <w:rFonts w:cs="Times New Roman"/>
              </w:rPr>
            </w:pPr>
            <w:r>
              <w:rPr>
                <w:rFonts w:cs="Times New Roman"/>
              </w:rPr>
              <w:t>1</w:t>
            </w:r>
          </w:p>
        </w:tc>
        <w:tc>
          <w:tcPr>
            <w:tcW w:w="1405" w:type="dxa"/>
            <w:tcBorders>
              <w:top w:val="single" w:color="000000" w:sz="4" w:space="0"/>
              <w:left w:val="single" w:color="000000" w:sz="4" w:space="0"/>
              <w:bottom w:val="single" w:color="000000" w:sz="4" w:space="0"/>
              <w:right w:val="single" w:color="000000" w:sz="4" w:space="0"/>
            </w:tcBorders>
            <w:vAlign w:val="center"/>
          </w:tcPr>
          <w:p w14:paraId="3C7494C4">
            <w:pPr>
              <w:pStyle w:val="71"/>
              <w:spacing w:before="24" w:after="24"/>
              <w:rPr>
                <w:rFonts w:cs="Times New Roman"/>
              </w:rPr>
            </w:pPr>
            <w:r>
              <w:rPr>
                <w:rFonts w:cs="Times New Roman"/>
              </w:rPr>
              <w:t>内墙1（无机涂料内墙）</w:t>
            </w:r>
          </w:p>
        </w:tc>
        <w:tc>
          <w:tcPr>
            <w:tcW w:w="1921" w:type="dxa"/>
            <w:tcBorders>
              <w:top w:val="single" w:color="000000" w:sz="4" w:space="0"/>
              <w:left w:val="single" w:color="000000" w:sz="4" w:space="0"/>
              <w:bottom w:val="single" w:color="000000" w:sz="4" w:space="0"/>
              <w:right w:val="single" w:color="000000" w:sz="4" w:space="0"/>
            </w:tcBorders>
            <w:vAlign w:val="center"/>
          </w:tcPr>
          <w:p w14:paraId="5F7BF59F">
            <w:pPr>
              <w:pStyle w:val="71"/>
              <w:spacing w:before="24" w:after="24"/>
              <w:rPr>
                <w:rFonts w:cs="Times New Roman"/>
              </w:rPr>
            </w:pPr>
            <w:r>
              <w:rPr>
                <w:rFonts w:cs="Times New Roman"/>
              </w:rPr>
              <w:t>楼梯间、各类未注明的库房及其他未注明区域</w:t>
            </w:r>
          </w:p>
        </w:tc>
        <w:tc>
          <w:tcPr>
            <w:tcW w:w="3990" w:type="dxa"/>
            <w:tcBorders>
              <w:top w:val="single" w:color="000000" w:sz="4" w:space="0"/>
              <w:left w:val="single" w:color="000000" w:sz="4" w:space="0"/>
              <w:bottom w:val="single" w:color="000000" w:sz="4" w:space="0"/>
              <w:right w:val="single" w:color="000000" w:sz="4" w:space="0"/>
            </w:tcBorders>
            <w:vAlign w:val="center"/>
          </w:tcPr>
          <w:p w14:paraId="318ACD79">
            <w:pPr>
              <w:pStyle w:val="71"/>
              <w:spacing w:before="24" w:after="24"/>
              <w:jc w:val="both"/>
              <w:rPr>
                <w:rFonts w:cs="Times New Roman"/>
              </w:rPr>
            </w:pPr>
            <w:r>
              <w:rPr>
                <w:rFonts w:cs="Times New Roman"/>
              </w:rPr>
              <w:t>1）无机涂料，一底两面</w:t>
            </w:r>
          </w:p>
          <w:p w14:paraId="34F96656">
            <w:pPr>
              <w:pStyle w:val="71"/>
              <w:spacing w:before="24" w:after="24"/>
              <w:jc w:val="both"/>
              <w:rPr>
                <w:rFonts w:cs="Times New Roman"/>
              </w:rPr>
            </w:pPr>
            <w:r>
              <w:rPr>
                <w:rFonts w:cs="Times New Roman"/>
              </w:rPr>
              <w:t>2）普通腻子两遍</w:t>
            </w:r>
          </w:p>
          <w:p w14:paraId="5ED7C0BD">
            <w:pPr>
              <w:pStyle w:val="71"/>
              <w:spacing w:before="24" w:after="24"/>
              <w:jc w:val="both"/>
              <w:rPr>
                <w:rFonts w:cs="Times New Roman"/>
              </w:rPr>
            </w:pPr>
            <w:r>
              <w:rPr>
                <w:rFonts w:cs="Times New Roman"/>
              </w:rPr>
              <w:t>3）7厚 1:2.5 水泥砂浆罩面压光</w:t>
            </w:r>
          </w:p>
          <w:p w14:paraId="160A0827">
            <w:pPr>
              <w:pStyle w:val="71"/>
              <w:spacing w:before="24" w:after="24"/>
              <w:jc w:val="both"/>
              <w:rPr>
                <w:rFonts w:cs="Times New Roman"/>
              </w:rPr>
            </w:pPr>
            <w:r>
              <w:rPr>
                <w:rFonts w:cs="Times New Roman"/>
              </w:rPr>
              <w:t>4）8厚1:3水泥砂浆打底</w:t>
            </w:r>
          </w:p>
          <w:p w14:paraId="19E76C74">
            <w:pPr>
              <w:pStyle w:val="71"/>
              <w:spacing w:before="24" w:after="24"/>
              <w:jc w:val="both"/>
              <w:rPr>
                <w:rFonts w:cs="Times New Roman"/>
              </w:rPr>
            </w:pPr>
            <w:r>
              <w:rPr>
                <w:rFonts w:cs="Times New Roman"/>
              </w:rPr>
              <w:t>5）基层清理</w:t>
            </w:r>
          </w:p>
        </w:tc>
        <w:tc>
          <w:tcPr>
            <w:tcW w:w="1277" w:type="dxa"/>
            <w:tcBorders>
              <w:top w:val="single" w:color="000000" w:sz="4" w:space="0"/>
              <w:left w:val="single" w:color="000000" w:sz="4" w:space="0"/>
              <w:bottom w:val="single" w:color="000000" w:sz="4" w:space="0"/>
              <w:right w:val="single" w:color="000000" w:sz="4" w:space="0"/>
            </w:tcBorders>
            <w:vAlign w:val="center"/>
          </w:tcPr>
          <w:p w14:paraId="5E385F07">
            <w:pPr>
              <w:pStyle w:val="71"/>
              <w:spacing w:before="24" w:after="24"/>
              <w:rPr>
                <w:rFonts w:cs="Times New Roman"/>
              </w:rPr>
            </w:pPr>
          </w:p>
        </w:tc>
      </w:tr>
      <w:tr w14:paraId="24FA8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7" w:hRule="atLeast"/>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7A6C525B">
            <w:pPr>
              <w:pStyle w:val="71"/>
              <w:spacing w:before="24" w:after="24"/>
              <w:rPr>
                <w:rFonts w:cs="Times New Roman"/>
              </w:rPr>
            </w:pPr>
            <w:r>
              <w:rPr>
                <w:rFonts w:cs="Times New Roman"/>
              </w:rPr>
              <w:t>2</w:t>
            </w:r>
          </w:p>
        </w:tc>
        <w:tc>
          <w:tcPr>
            <w:tcW w:w="1405" w:type="dxa"/>
            <w:tcBorders>
              <w:top w:val="single" w:color="000000" w:sz="4" w:space="0"/>
              <w:left w:val="single" w:color="000000" w:sz="4" w:space="0"/>
              <w:bottom w:val="single" w:color="000000" w:sz="4" w:space="0"/>
              <w:right w:val="single" w:color="000000" w:sz="4" w:space="0"/>
            </w:tcBorders>
            <w:vAlign w:val="center"/>
          </w:tcPr>
          <w:p w14:paraId="28A057FC">
            <w:pPr>
              <w:pStyle w:val="71"/>
              <w:spacing w:before="24" w:after="24"/>
              <w:rPr>
                <w:rFonts w:cs="Times New Roman"/>
              </w:rPr>
            </w:pPr>
            <w:r>
              <w:rPr>
                <w:rFonts w:cs="Times New Roman"/>
              </w:rPr>
              <w:t>内墙2（防水面砖内墙）</w:t>
            </w:r>
          </w:p>
        </w:tc>
        <w:tc>
          <w:tcPr>
            <w:tcW w:w="1921" w:type="dxa"/>
            <w:tcBorders>
              <w:top w:val="single" w:color="000000" w:sz="4" w:space="0"/>
              <w:left w:val="single" w:color="000000" w:sz="4" w:space="0"/>
              <w:bottom w:val="single" w:color="000000" w:sz="4" w:space="0"/>
              <w:right w:val="single" w:color="000000" w:sz="4" w:space="0"/>
            </w:tcBorders>
            <w:vAlign w:val="center"/>
          </w:tcPr>
          <w:p w14:paraId="2A5C19D1">
            <w:pPr>
              <w:pStyle w:val="71"/>
              <w:spacing w:before="24" w:after="24"/>
              <w:rPr>
                <w:rFonts w:cs="Times New Roman"/>
              </w:rPr>
            </w:pPr>
            <w:r>
              <w:rPr>
                <w:rFonts w:cs="Times New Roman"/>
              </w:rPr>
              <w:t>卫生间、厨房</w:t>
            </w:r>
          </w:p>
        </w:tc>
        <w:tc>
          <w:tcPr>
            <w:tcW w:w="3990" w:type="dxa"/>
            <w:tcBorders>
              <w:top w:val="single" w:color="000000" w:sz="4" w:space="0"/>
              <w:left w:val="single" w:color="000000" w:sz="4" w:space="0"/>
              <w:bottom w:val="single" w:color="000000" w:sz="4" w:space="0"/>
              <w:right w:val="single" w:color="000000" w:sz="4" w:space="0"/>
            </w:tcBorders>
            <w:vAlign w:val="center"/>
          </w:tcPr>
          <w:p w14:paraId="2A573467">
            <w:pPr>
              <w:pStyle w:val="71"/>
              <w:spacing w:before="24" w:after="24"/>
              <w:jc w:val="both"/>
              <w:rPr>
                <w:rFonts w:cs="Times New Roman"/>
              </w:rPr>
            </w:pPr>
            <w:r>
              <w:rPr>
                <w:rFonts w:cs="Times New Roman"/>
              </w:rPr>
              <w:t>1）面砖（高度至吊顶以上100mm，水泥浆擦缝）</w:t>
            </w:r>
          </w:p>
          <w:p w14:paraId="6E822636">
            <w:pPr>
              <w:pStyle w:val="71"/>
              <w:spacing w:before="24" w:after="24"/>
              <w:jc w:val="both"/>
              <w:rPr>
                <w:rFonts w:cs="Times New Roman"/>
              </w:rPr>
            </w:pPr>
            <w:r>
              <w:rPr>
                <w:rFonts w:cs="Times New Roman"/>
              </w:rPr>
              <w:t>2）5mm厚专用粘结砂浆</w:t>
            </w:r>
          </w:p>
          <w:p w14:paraId="1200DACF">
            <w:pPr>
              <w:pStyle w:val="71"/>
              <w:spacing w:before="24" w:after="24"/>
              <w:jc w:val="both"/>
              <w:rPr>
                <w:rFonts w:cs="Times New Roman"/>
              </w:rPr>
            </w:pPr>
            <w:r>
              <w:rPr>
                <w:rFonts w:cs="Times New Roman"/>
              </w:rPr>
              <w:t>3）1.5mm厚JS-Ⅱ防水涂料（淋浴区上翻2000mm高，盥洗盆、洗菜盆等用水处区域上翻1200mm高，墙面其他部位泛水翻起高度不应小于250mm，上翻高度以建筑完成面往上）</w:t>
            </w:r>
          </w:p>
          <w:p w14:paraId="45D6EDF9">
            <w:pPr>
              <w:pStyle w:val="71"/>
              <w:spacing w:before="24" w:after="24"/>
              <w:jc w:val="both"/>
              <w:rPr>
                <w:rFonts w:cs="Times New Roman"/>
              </w:rPr>
            </w:pPr>
            <w:r>
              <w:rPr>
                <w:rFonts w:cs="Times New Roman"/>
              </w:rPr>
              <w:t>4）7厚1:2.5水泥砂浆罩面压光</w:t>
            </w:r>
          </w:p>
          <w:p w14:paraId="61743AD4">
            <w:pPr>
              <w:pStyle w:val="71"/>
              <w:spacing w:before="24" w:after="24"/>
              <w:jc w:val="both"/>
              <w:rPr>
                <w:rFonts w:cs="Times New Roman"/>
              </w:rPr>
            </w:pPr>
            <w:r>
              <w:rPr>
                <w:rFonts w:cs="Times New Roman"/>
              </w:rPr>
              <w:t>5）8厚1:3水泥砂浆打底</w:t>
            </w:r>
          </w:p>
          <w:p w14:paraId="4301BAE5">
            <w:pPr>
              <w:pStyle w:val="71"/>
              <w:spacing w:before="24" w:after="24"/>
              <w:jc w:val="both"/>
              <w:rPr>
                <w:rFonts w:cs="Times New Roman"/>
              </w:rPr>
            </w:pPr>
            <w:r>
              <w:rPr>
                <w:rFonts w:cs="Times New Roman"/>
              </w:rPr>
              <w:t>6）基层清理</w:t>
            </w:r>
          </w:p>
        </w:tc>
        <w:tc>
          <w:tcPr>
            <w:tcW w:w="1277" w:type="dxa"/>
            <w:tcBorders>
              <w:top w:val="single" w:color="000000" w:sz="4" w:space="0"/>
              <w:left w:val="single" w:color="000000" w:sz="4" w:space="0"/>
              <w:bottom w:val="single" w:color="000000" w:sz="4" w:space="0"/>
              <w:right w:val="single" w:color="000000" w:sz="4" w:space="0"/>
            </w:tcBorders>
            <w:vAlign w:val="center"/>
          </w:tcPr>
          <w:p w14:paraId="346BC1E7">
            <w:pPr>
              <w:pStyle w:val="71"/>
              <w:spacing w:before="24" w:after="24"/>
              <w:rPr>
                <w:rFonts w:cs="Times New Roman"/>
              </w:rPr>
            </w:pPr>
          </w:p>
        </w:tc>
      </w:tr>
      <w:tr w14:paraId="0A162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39D3C30D">
            <w:pPr>
              <w:pStyle w:val="71"/>
              <w:spacing w:before="24" w:after="24"/>
              <w:rPr>
                <w:rFonts w:cs="Times New Roman"/>
              </w:rPr>
            </w:pPr>
            <w:r>
              <w:rPr>
                <w:rFonts w:cs="Times New Roman"/>
              </w:rPr>
              <w:t>3</w:t>
            </w:r>
          </w:p>
        </w:tc>
        <w:tc>
          <w:tcPr>
            <w:tcW w:w="1405" w:type="dxa"/>
            <w:tcBorders>
              <w:top w:val="single" w:color="000000" w:sz="4" w:space="0"/>
              <w:left w:val="single" w:color="000000" w:sz="4" w:space="0"/>
              <w:bottom w:val="single" w:color="000000" w:sz="4" w:space="0"/>
              <w:right w:val="single" w:color="000000" w:sz="4" w:space="0"/>
            </w:tcBorders>
            <w:vAlign w:val="center"/>
          </w:tcPr>
          <w:p w14:paraId="0BEE89F1">
            <w:pPr>
              <w:pStyle w:val="71"/>
              <w:spacing w:before="24" w:after="24"/>
              <w:rPr>
                <w:rFonts w:cs="Times New Roman"/>
              </w:rPr>
            </w:pPr>
            <w:r>
              <w:rPr>
                <w:rFonts w:cs="Times New Roman"/>
              </w:rPr>
              <w:t>内墙3（面砖内墙）</w:t>
            </w:r>
          </w:p>
        </w:tc>
        <w:tc>
          <w:tcPr>
            <w:tcW w:w="1921" w:type="dxa"/>
            <w:tcBorders>
              <w:top w:val="single" w:color="000000" w:sz="4" w:space="0"/>
              <w:left w:val="single" w:color="000000" w:sz="4" w:space="0"/>
              <w:bottom w:val="single" w:color="000000" w:sz="4" w:space="0"/>
              <w:right w:val="single" w:color="000000" w:sz="4" w:space="0"/>
            </w:tcBorders>
            <w:vAlign w:val="center"/>
          </w:tcPr>
          <w:p w14:paraId="592E8936">
            <w:pPr>
              <w:pStyle w:val="71"/>
              <w:spacing w:before="24" w:after="24"/>
              <w:rPr>
                <w:rFonts w:cs="Times New Roman"/>
              </w:rPr>
            </w:pPr>
            <w:r>
              <w:rPr>
                <w:rFonts w:cs="Times New Roman"/>
              </w:rPr>
              <w:t>门厅、电梯厅</w:t>
            </w:r>
          </w:p>
        </w:tc>
        <w:tc>
          <w:tcPr>
            <w:tcW w:w="3990" w:type="dxa"/>
            <w:tcBorders>
              <w:top w:val="single" w:color="000000" w:sz="4" w:space="0"/>
              <w:left w:val="single" w:color="000000" w:sz="4" w:space="0"/>
              <w:bottom w:val="single" w:color="000000" w:sz="4" w:space="0"/>
              <w:right w:val="single" w:color="000000" w:sz="4" w:space="0"/>
            </w:tcBorders>
            <w:vAlign w:val="center"/>
          </w:tcPr>
          <w:p w14:paraId="6952D254">
            <w:pPr>
              <w:pStyle w:val="71"/>
              <w:spacing w:before="24" w:after="24"/>
              <w:jc w:val="both"/>
              <w:rPr>
                <w:rFonts w:cs="Times New Roman"/>
              </w:rPr>
            </w:pPr>
            <w:r>
              <w:rPr>
                <w:rFonts w:cs="Times New Roman"/>
              </w:rPr>
              <w:t>1）面砖（高度至吊顶以上100mm，水泥浆擦缝）</w:t>
            </w:r>
          </w:p>
          <w:p w14:paraId="295BC811">
            <w:pPr>
              <w:pStyle w:val="71"/>
              <w:spacing w:before="24" w:after="24"/>
              <w:jc w:val="both"/>
              <w:rPr>
                <w:rFonts w:cs="Times New Roman"/>
              </w:rPr>
            </w:pPr>
            <w:r>
              <w:rPr>
                <w:rFonts w:cs="Times New Roman"/>
              </w:rPr>
              <w:t>2）5mm厚专用粘结砂浆</w:t>
            </w:r>
          </w:p>
          <w:p w14:paraId="41170F10">
            <w:pPr>
              <w:pStyle w:val="71"/>
              <w:spacing w:before="24" w:after="24"/>
              <w:jc w:val="both"/>
              <w:rPr>
                <w:rFonts w:cs="Times New Roman"/>
              </w:rPr>
            </w:pPr>
            <w:r>
              <w:rPr>
                <w:rFonts w:cs="Times New Roman"/>
              </w:rPr>
              <w:t>3）7厚 1:2.5 水泥砂浆罩面压光</w:t>
            </w:r>
          </w:p>
          <w:p w14:paraId="2CA9BF51">
            <w:pPr>
              <w:pStyle w:val="71"/>
              <w:spacing w:before="24" w:after="24"/>
              <w:jc w:val="both"/>
              <w:rPr>
                <w:rFonts w:cs="Times New Roman"/>
              </w:rPr>
            </w:pPr>
            <w:r>
              <w:rPr>
                <w:rFonts w:cs="Times New Roman"/>
              </w:rPr>
              <w:t>4）8厚1:3水泥砂浆打底</w:t>
            </w:r>
          </w:p>
          <w:p w14:paraId="071D4C7D">
            <w:pPr>
              <w:pStyle w:val="71"/>
              <w:spacing w:before="24" w:after="24"/>
              <w:jc w:val="both"/>
              <w:rPr>
                <w:rFonts w:cs="Times New Roman"/>
              </w:rPr>
            </w:pPr>
            <w:r>
              <w:rPr>
                <w:rFonts w:cs="Times New Roman"/>
              </w:rPr>
              <w:t>5）基层清理</w:t>
            </w:r>
          </w:p>
        </w:tc>
        <w:tc>
          <w:tcPr>
            <w:tcW w:w="1277" w:type="dxa"/>
            <w:tcBorders>
              <w:top w:val="single" w:color="000000" w:sz="4" w:space="0"/>
              <w:left w:val="single" w:color="000000" w:sz="4" w:space="0"/>
              <w:bottom w:val="single" w:color="000000" w:sz="4" w:space="0"/>
              <w:right w:val="single" w:color="000000" w:sz="4" w:space="0"/>
            </w:tcBorders>
            <w:vAlign w:val="center"/>
          </w:tcPr>
          <w:p w14:paraId="0A0C0485">
            <w:pPr>
              <w:pStyle w:val="71"/>
              <w:spacing w:before="24" w:after="24"/>
              <w:rPr>
                <w:rFonts w:cs="Times New Roman"/>
              </w:rPr>
            </w:pPr>
          </w:p>
        </w:tc>
      </w:tr>
      <w:tr w14:paraId="75AD2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348" w:type="dxa"/>
            <w:gridSpan w:val="5"/>
            <w:tcBorders>
              <w:top w:val="single" w:color="000000" w:sz="4" w:space="0"/>
              <w:left w:val="single" w:color="000000" w:sz="4" w:space="0"/>
              <w:bottom w:val="single" w:color="000000" w:sz="4" w:space="0"/>
              <w:right w:val="single" w:color="000000" w:sz="4" w:space="0"/>
            </w:tcBorders>
            <w:vAlign w:val="center"/>
          </w:tcPr>
          <w:p w14:paraId="0E4E8767">
            <w:pPr>
              <w:pStyle w:val="71"/>
              <w:spacing w:before="24" w:after="24"/>
              <w:rPr>
                <w:rFonts w:cs="Times New Roman"/>
              </w:rPr>
            </w:pPr>
            <w:r>
              <w:rPr>
                <w:rFonts w:cs="Times New Roman"/>
              </w:rPr>
              <w:t>顶棚</w:t>
            </w:r>
          </w:p>
        </w:tc>
      </w:tr>
      <w:tr w14:paraId="70E22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0F0304A9">
            <w:pPr>
              <w:pStyle w:val="71"/>
              <w:spacing w:before="24" w:after="24"/>
              <w:rPr>
                <w:rFonts w:cs="Times New Roman"/>
              </w:rPr>
            </w:pPr>
            <w:r>
              <w:rPr>
                <w:rFonts w:cs="Times New Roman"/>
              </w:rPr>
              <w:t>1</w:t>
            </w:r>
          </w:p>
        </w:tc>
        <w:tc>
          <w:tcPr>
            <w:tcW w:w="1405" w:type="dxa"/>
            <w:tcBorders>
              <w:top w:val="single" w:color="000000" w:sz="4" w:space="0"/>
              <w:left w:val="single" w:color="000000" w:sz="4" w:space="0"/>
              <w:bottom w:val="single" w:color="000000" w:sz="4" w:space="0"/>
              <w:right w:val="single" w:color="000000" w:sz="4" w:space="0"/>
            </w:tcBorders>
            <w:vAlign w:val="center"/>
          </w:tcPr>
          <w:p w14:paraId="01D68643">
            <w:pPr>
              <w:pStyle w:val="71"/>
              <w:spacing w:before="24" w:after="24"/>
              <w:rPr>
                <w:rFonts w:cs="Times New Roman"/>
              </w:rPr>
            </w:pPr>
            <w:r>
              <w:rPr>
                <w:rFonts w:cs="Times New Roman"/>
              </w:rPr>
              <w:t>顶棚1（防潮顶棚）</w:t>
            </w:r>
          </w:p>
        </w:tc>
        <w:tc>
          <w:tcPr>
            <w:tcW w:w="1921" w:type="dxa"/>
            <w:tcBorders>
              <w:top w:val="single" w:color="000000" w:sz="4" w:space="0"/>
              <w:left w:val="single" w:color="000000" w:sz="4" w:space="0"/>
              <w:bottom w:val="single" w:color="000000" w:sz="4" w:space="0"/>
              <w:right w:val="single" w:color="000000" w:sz="4" w:space="0"/>
            </w:tcBorders>
            <w:vAlign w:val="center"/>
          </w:tcPr>
          <w:p w14:paraId="1DE97B07">
            <w:pPr>
              <w:pStyle w:val="71"/>
              <w:spacing w:before="24" w:after="24"/>
              <w:jc w:val="left"/>
              <w:rPr>
                <w:rFonts w:cs="Times New Roman"/>
              </w:rPr>
            </w:pPr>
            <w:r>
              <w:rPr>
                <w:rFonts w:cs="Times New Roman"/>
              </w:rPr>
              <w:t>厨房、卫生间、洗衣房</w:t>
            </w:r>
          </w:p>
        </w:tc>
        <w:tc>
          <w:tcPr>
            <w:tcW w:w="3990" w:type="dxa"/>
            <w:tcBorders>
              <w:top w:val="single" w:color="000000" w:sz="4" w:space="0"/>
              <w:left w:val="single" w:color="000000" w:sz="4" w:space="0"/>
              <w:bottom w:val="single" w:color="000000" w:sz="4" w:space="0"/>
              <w:right w:val="single" w:color="000000" w:sz="4" w:space="0"/>
            </w:tcBorders>
            <w:vAlign w:val="center"/>
          </w:tcPr>
          <w:p w14:paraId="21218859">
            <w:pPr>
              <w:pStyle w:val="71"/>
              <w:spacing w:before="24" w:after="24"/>
              <w:jc w:val="both"/>
              <w:rPr>
                <w:rFonts w:cs="Times New Roman"/>
              </w:rPr>
            </w:pPr>
            <w:r>
              <w:rPr>
                <w:rFonts w:cs="Times New Roman"/>
              </w:rPr>
              <w:t>1）现浇钢筋混凝土结构板修补平整</w:t>
            </w:r>
          </w:p>
          <w:p w14:paraId="1E788FC8">
            <w:pPr>
              <w:pStyle w:val="71"/>
              <w:spacing w:before="24" w:after="24"/>
              <w:jc w:val="both"/>
              <w:rPr>
                <w:rFonts w:cs="Times New Roman"/>
              </w:rPr>
            </w:pPr>
            <w:r>
              <w:rPr>
                <w:rFonts w:cs="Times New Roman"/>
              </w:rPr>
              <w:t>2）0.8mm铝扣板</w:t>
            </w:r>
          </w:p>
        </w:tc>
        <w:tc>
          <w:tcPr>
            <w:tcW w:w="1277" w:type="dxa"/>
            <w:tcBorders>
              <w:top w:val="single" w:color="000000" w:sz="4" w:space="0"/>
              <w:left w:val="single" w:color="000000" w:sz="4" w:space="0"/>
              <w:bottom w:val="single" w:color="000000" w:sz="4" w:space="0"/>
              <w:right w:val="single" w:color="000000" w:sz="4" w:space="0"/>
            </w:tcBorders>
            <w:vAlign w:val="center"/>
          </w:tcPr>
          <w:p w14:paraId="1230B025">
            <w:pPr>
              <w:pStyle w:val="71"/>
              <w:spacing w:before="24" w:after="24"/>
              <w:rPr>
                <w:rFonts w:cs="Times New Roman"/>
              </w:rPr>
            </w:pPr>
          </w:p>
        </w:tc>
      </w:tr>
      <w:tr w14:paraId="7C348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304B7DC0">
            <w:pPr>
              <w:pStyle w:val="71"/>
              <w:spacing w:before="24" w:after="24"/>
              <w:rPr>
                <w:rFonts w:cs="Times New Roman"/>
              </w:rPr>
            </w:pPr>
            <w:r>
              <w:rPr>
                <w:rFonts w:cs="Times New Roman"/>
              </w:rPr>
              <w:t>2</w:t>
            </w:r>
          </w:p>
        </w:tc>
        <w:tc>
          <w:tcPr>
            <w:tcW w:w="1405" w:type="dxa"/>
            <w:tcBorders>
              <w:top w:val="single" w:color="000000" w:sz="4" w:space="0"/>
              <w:left w:val="single" w:color="000000" w:sz="4" w:space="0"/>
              <w:bottom w:val="single" w:color="000000" w:sz="4" w:space="0"/>
              <w:right w:val="single" w:color="000000" w:sz="4" w:space="0"/>
            </w:tcBorders>
            <w:vAlign w:val="center"/>
          </w:tcPr>
          <w:p w14:paraId="5B24054A">
            <w:pPr>
              <w:pStyle w:val="71"/>
              <w:spacing w:before="24" w:after="24"/>
              <w:rPr>
                <w:rFonts w:cs="Times New Roman"/>
              </w:rPr>
            </w:pPr>
            <w:r>
              <w:rPr>
                <w:rFonts w:cs="Times New Roman"/>
              </w:rPr>
              <w:t>顶棚2（无机涂料顶棚）</w:t>
            </w:r>
          </w:p>
        </w:tc>
        <w:tc>
          <w:tcPr>
            <w:tcW w:w="1921" w:type="dxa"/>
            <w:tcBorders>
              <w:top w:val="single" w:color="000000" w:sz="4" w:space="0"/>
              <w:left w:val="single" w:color="000000" w:sz="4" w:space="0"/>
              <w:bottom w:val="single" w:color="000000" w:sz="4" w:space="0"/>
              <w:right w:val="single" w:color="000000" w:sz="4" w:space="0"/>
            </w:tcBorders>
            <w:vAlign w:val="center"/>
          </w:tcPr>
          <w:p w14:paraId="0FEBE039">
            <w:pPr>
              <w:pStyle w:val="71"/>
              <w:spacing w:before="24" w:after="24"/>
              <w:jc w:val="left"/>
              <w:rPr>
                <w:rFonts w:cs="Times New Roman"/>
              </w:rPr>
            </w:pPr>
            <w:r>
              <w:rPr>
                <w:rFonts w:cs="Times New Roman"/>
              </w:rPr>
              <w:t>未注明的功能房间、楼梯间</w:t>
            </w:r>
          </w:p>
        </w:tc>
        <w:tc>
          <w:tcPr>
            <w:tcW w:w="3990" w:type="dxa"/>
            <w:tcBorders>
              <w:top w:val="single" w:color="000000" w:sz="4" w:space="0"/>
              <w:left w:val="single" w:color="000000" w:sz="4" w:space="0"/>
              <w:bottom w:val="single" w:color="000000" w:sz="4" w:space="0"/>
              <w:right w:val="single" w:color="000000" w:sz="4" w:space="0"/>
            </w:tcBorders>
            <w:vAlign w:val="center"/>
          </w:tcPr>
          <w:p w14:paraId="6705933E">
            <w:pPr>
              <w:pStyle w:val="71"/>
              <w:spacing w:before="24" w:after="24"/>
              <w:jc w:val="both"/>
              <w:rPr>
                <w:rFonts w:cs="Times New Roman"/>
              </w:rPr>
            </w:pPr>
            <w:r>
              <w:rPr>
                <w:rFonts w:cs="Times New Roman"/>
              </w:rPr>
              <w:t>1）现浇钢筋混凝土结构板底面基层找补、清理</w:t>
            </w:r>
          </w:p>
          <w:p w14:paraId="5BEE95A0">
            <w:pPr>
              <w:pStyle w:val="71"/>
              <w:spacing w:before="24" w:after="24"/>
              <w:jc w:val="both"/>
              <w:rPr>
                <w:rFonts w:cs="Times New Roman"/>
              </w:rPr>
            </w:pPr>
            <w:r>
              <w:rPr>
                <w:rFonts w:cs="Times New Roman"/>
              </w:rPr>
              <w:t>2）刮腻子粉两遍、打磨平整</w:t>
            </w:r>
          </w:p>
          <w:p w14:paraId="6AEF0EBD">
            <w:pPr>
              <w:pStyle w:val="71"/>
              <w:spacing w:before="24" w:after="24"/>
              <w:jc w:val="both"/>
              <w:rPr>
                <w:rFonts w:cs="Times New Roman"/>
              </w:rPr>
            </w:pPr>
            <w:r>
              <w:rPr>
                <w:rFonts w:cs="Times New Roman"/>
              </w:rPr>
              <w:t>3）无机涂料</w:t>
            </w:r>
          </w:p>
        </w:tc>
        <w:tc>
          <w:tcPr>
            <w:tcW w:w="1277" w:type="dxa"/>
            <w:tcBorders>
              <w:top w:val="single" w:color="000000" w:sz="4" w:space="0"/>
              <w:left w:val="single" w:color="000000" w:sz="4" w:space="0"/>
              <w:bottom w:val="single" w:color="000000" w:sz="4" w:space="0"/>
              <w:right w:val="single" w:color="000000" w:sz="4" w:space="0"/>
            </w:tcBorders>
            <w:vAlign w:val="center"/>
          </w:tcPr>
          <w:p w14:paraId="70154CE9">
            <w:pPr>
              <w:pStyle w:val="71"/>
              <w:spacing w:before="24" w:after="24"/>
              <w:rPr>
                <w:rFonts w:cs="Times New Roman"/>
              </w:rPr>
            </w:pPr>
          </w:p>
        </w:tc>
      </w:tr>
      <w:tr w14:paraId="0E10B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065F81FF">
            <w:pPr>
              <w:pStyle w:val="71"/>
              <w:spacing w:before="24" w:after="24"/>
              <w:rPr>
                <w:rFonts w:cs="Times New Roman"/>
              </w:rPr>
            </w:pPr>
            <w:r>
              <w:rPr>
                <w:rFonts w:cs="Times New Roman"/>
              </w:rPr>
              <w:t>3</w:t>
            </w:r>
          </w:p>
        </w:tc>
        <w:tc>
          <w:tcPr>
            <w:tcW w:w="1405" w:type="dxa"/>
            <w:tcBorders>
              <w:top w:val="single" w:color="000000" w:sz="4" w:space="0"/>
              <w:left w:val="single" w:color="000000" w:sz="4" w:space="0"/>
              <w:bottom w:val="single" w:color="000000" w:sz="4" w:space="0"/>
              <w:right w:val="single" w:color="000000" w:sz="4" w:space="0"/>
            </w:tcBorders>
            <w:vAlign w:val="center"/>
          </w:tcPr>
          <w:p w14:paraId="190AC804">
            <w:pPr>
              <w:pStyle w:val="71"/>
              <w:spacing w:before="24" w:after="24"/>
              <w:rPr>
                <w:rFonts w:cs="Times New Roman"/>
              </w:rPr>
            </w:pPr>
            <w:r>
              <w:rPr>
                <w:rFonts w:cs="Times New Roman"/>
              </w:rPr>
              <w:t>顶棚3（石膏板吊顶）</w:t>
            </w:r>
          </w:p>
        </w:tc>
        <w:tc>
          <w:tcPr>
            <w:tcW w:w="1921" w:type="dxa"/>
            <w:tcBorders>
              <w:top w:val="single" w:color="000000" w:sz="4" w:space="0"/>
              <w:left w:val="single" w:color="000000" w:sz="4" w:space="0"/>
              <w:bottom w:val="single" w:color="000000" w:sz="4" w:space="0"/>
              <w:right w:val="single" w:color="000000" w:sz="4" w:space="0"/>
            </w:tcBorders>
            <w:vAlign w:val="center"/>
          </w:tcPr>
          <w:p w14:paraId="4DA7F3A8">
            <w:pPr>
              <w:pStyle w:val="71"/>
              <w:spacing w:before="24" w:after="24"/>
              <w:jc w:val="left"/>
              <w:rPr>
                <w:rFonts w:cs="Times New Roman"/>
              </w:rPr>
            </w:pPr>
            <w:r>
              <w:rPr>
                <w:rFonts w:cs="Times New Roman"/>
              </w:rPr>
              <w:t>大厅、电梯厅、聊天天及餐厅及居住区走道</w:t>
            </w:r>
          </w:p>
        </w:tc>
        <w:tc>
          <w:tcPr>
            <w:tcW w:w="3990" w:type="dxa"/>
            <w:tcBorders>
              <w:top w:val="single" w:color="000000" w:sz="4" w:space="0"/>
              <w:left w:val="single" w:color="000000" w:sz="4" w:space="0"/>
              <w:bottom w:val="single" w:color="000000" w:sz="4" w:space="0"/>
              <w:right w:val="single" w:color="000000" w:sz="4" w:space="0"/>
            </w:tcBorders>
            <w:vAlign w:val="center"/>
          </w:tcPr>
          <w:p w14:paraId="3F3B4255">
            <w:pPr>
              <w:pStyle w:val="71"/>
              <w:spacing w:before="24" w:after="24"/>
              <w:jc w:val="both"/>
              <w:rPr>
                <w:rFonts w:cs="Times New Roman"/>
              </w:rPr>
            </w:pPr>
            <w:r>
              <w:rPr>
                <w:rFonts w:cs="Times New Roman"/>
              </w:rPr>
              <w:t>1）现浇钢筋混凝土结构板底面基层找补、清理</w:t>
            </w:r>
          </w:p>
          <w:p w14:paraId="5F6C8999">
            <w:pPr>
              <w:pStyle w:val="71"/>
              <w:spacing w:before="24" w:after="24"/>
              <w:jc w:val="both"/>
              <w:rPr>
                <w:rFonts w:cs="Times New Roman"/>
              </w:rPr>
            </w:pPr>
            <w:r>
              <w:rPr>
                <w:rFonts w:cs="Times New Roman"/>
              </w:rPr>
              <w:t>2）装饰石膏板吊顶专用龙骨，后切孔安装吊杆</w:t>
            </w:r>
          </w:p>
        </w:tc>
        <w:tc>
          <w:tcPr>
            <w:tcW w:w="1277" w:type="dxa"/>
            <w:tcBorders>
              <w:top w:val="single" w:color="000000" w:sz="4" w:space="0"/>
              <w:left w:val="single" w:color="000000" w:sz="4" w:space="0"/>
              <w:bottom w:val="single" w:color="000000" w:sz="4" w:space="0"/>
              <w:right w:val="single" w:color="000000" w:sz="4" w:space="0"/>
            </w:tcBorders>
            <w:vAlign w:val="center"/>
          </w:tcPr>
          <w:p w14:paraId="61E7A0CD">
            <w:pPr>
              <w:pStyle w:val="71"/>
              <w:spacing w:before="24" w:after="24"/>
              <w:rPr>
                <w:rFonts w:cs="Times New Roman"/>
              </w:rPr>
            </w:pPr>
          </w:p>
        </w:tc>
      </w:tr>
      <w:tr w14:paraId="07322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32B20BEF">
            <w:pPr>
              <w:pStyle w:val="71"/>
              <w:spacing w:before="24" w:after="24"/>
              <w:rPr>
                <w:rFonts w:cs="Times New Roman"/>
              </w:rPr>
            </w:pPr>
            <w:r>
              <w:rPr>
                <w:rFonts w:cs="Times New Roman"/>
              </w:rPr>
              <w:t>4</w:t>
            </w:r>
          </w:p>
        </w:tc>
        <w:tc>
          <w:tcPr>
            <w:tcW w:w="1405" w:type="dxa"/>
            <w:tcBorders>
              <w:top w:val="single" w:color="000000" w:sz="4" w:space="0"/>
              <w:left w:val="single" w:color="000000" w:sz="4" w:space="0"/>
              <w:bottom w:val="single" w:color="000000" w:sz="4" w:space="0"/>
              <w:right w:val="single" w:color="000000" w:sz="4" w:space="0"/>
            </w:tcBorders>
            <w:vAlign w:val="center"/>
          </w:tcPr>
          <w:p w14:paraId="738090DC">
            <w:pPr>
              <w:pStyle w:val="71"/>
              <w:spacing w:before="24" w:after="24"/>
              <w:rPr>
                <w:rFonts w:cs="Times New Roman"/>
              </w:rPr>
            </w:pPr>
            <w:r>
              <w:rPr>
                <w:rFonts w:cs="Times New Roman"/>
              </w:rPr>
              <w:t>顶棚4（混凝土顶棚）</w:t>
            </w:r>
          </w:p>
        </w:tc>
        <w:tc>
          <w:tcPr>
            <w:tcW w:w="1921" w:type="dxa"/>
            <w:tcBorders>
              <w:top w:val="single" w:color="000000" w:sz="4" w:space="0"/>
              <w:left w:val="single" w:color="000000" w:sz="4" w:space="0"/>
              <w:bottom w:val="single" w:color="000000" w:sz="4" w:space="0"/>
              <w:right w:val="single" w:color="000000" w:sz="4" w:space="0"/>
            </w:tcBorders>
            <w:vAlign w:val="center"/>
          </w:tcPr>
          <w:p w14:paraId="26423B3D">
            <w:pPr>
              <w:pStyle w:val="71"/>
              <w:spacing w:before="24" w:after="24"/>
              <w:rPr>
                <w:rFonts w:cs="Times New Roman"/>
              </w:rPr>
            </w:pPr>
            <w:r>
              <w:rPr>
                <w:rFonts w:cs="Times New Roman"/>
              </w:rPr>
              <w:t>电梯间、水、电井、风井、电梯机房</w:t>
            </w:r>
          </w:p>
        </w:tc>
        <w:tc>
          <w:tcPr>
            <w:tcW w:w="3990" w:type="dxa"/>
            <w:tcBorders>
              <w:top w:val="single" w:color="000000" w:sz="4" w:space="0"/>
              <w:left w:val="single" w:color="000000" w:sz="4" w:space="0"/>
              <w:bottom w:val="single" w:color="000000" w:sz="4" w:space="0"/>
              <w:right w:val="single" w:color="000000" w:sz="4" w:space="0"/>
            </w:tcBorders>
            <w:vAlign w:val="center"/>
          </w:tcPr>
          <w:p w14:paraId="55E75B9D">
            <w:pPr>
              <w:pStyle w:val="71"/>
              <w:spacing w:before="24" w:after="24"/>
              <w:jc w:val="both"/>
              <w:rPr>
                <w:rFonts w:cs="Times New Roman"/>
              </w:rPr>
            </w:pPr>
            <w:r>
              <w:rPr>
                <w:rFonts w:cs="Times New Roman"/>
              </w:rPr>
              <w:t>1）现浇钢筋混凝土结构板底面基层找补、清理</w:t>
            </w:r>
          </w:p>
        </w:tc>
        <w:tc>
          <w:tcPr>
            <w:tcW w:w="1277" w:type="dxa"/>
            <w:tcBorders>
              <w:top w:val="single" w:color="000000" w:sz="4" w:space="0"/>
              <w:left w:val="single" w:color="000000" w:sz="4" w:space="0"/>
              <w:bottom w:val="single" w:color="000000" w:sz="4" w:space="0"/>
              <w:right w:val="single" w:color="000000" w:sz="4" w:space="0"/>
            </w:tcBorders>
            <w:vAlign w:val="center"/>
          </w:tcPr>
          <w:p w14:paraId="27B288AD">
            <w:pPr>
              <w:pStyle w:val="71"/>
              <w:spacing w:before="24" w:after="24"/>
              <w:rPr>
                <w:rFonts w:cs="Times New Roman"/>
              </w:rPr>
            </w:pPr>
          </w:p>
        </w:tc>
      </w:tr>
    </w:tbl>
    <w:p w14:paraId="2AB1AD8F">
      <w:pPr>
        <w:spacing w:before="24" w:after="24"/>
        <w:rPr>
          <w:rFonts w:ascii="Times New Roman" w:hAnsi="Times New Roman" w:cs="Times New Roman"/>
        </w:rPr>
      </w:pPr>
      <w:r>
        <w:rPr>
          <w:rFonts w:ascii="Times New Roman" w:hAnsi="Times New Roman" w:cs="Times New Roman"/>
        </w:rPr>
        <w:br w:type="page"/>
      </w:r>
    </w:p>
    <w:p w14:paraId="7D5C1E16">
      <w:pPr>
        <w:pStyle w:val="66"/>
        <w:rPr>
          <w:rFonts w:cs="Times New Roman"/>
        </w:rPr>
      </w:pPr>
      <w:r>
        <w:rPr>
          <w:rFonts w:cs="Times New Roman"/>
        </w:rPr>
        <w:t>5、总图及室外工程土建构造做法</w:t>
      </w:r>
    </w:p>
    <w:p w14:paraId="51FB3BB6">
      <w:pPr>
        <w:pStyle w:val="54"/>
        <w:spacing w:before="24" w:after="24"/>
      </w:pPr>
      <w:r>
        <w:t>适用范围：各子项目室外工程</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
        <w:gridCol w:w="1396"/>
        <w:gridCol w:w="1901"/>
        <w:gridCol w:w="4000"/>
        <w:gridCol w:w="1291"/>
      </w:tblGrid>
      <w:tr w14:paraId="523568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Header/>
          <w:jc w:val="center"/>
        </w:trPr>
        <w:tc>
          <w:tcPr>
            <w:tcW w:w="789"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2E2E8990">
            <w:pPr>
              <w:pStyle w:val="71"/>
              <w:spacing w:before="24" w:after="24"/>
              <w:rPr>
                <w:rFonts w:cs="Times New Roman"/>
              </w:rPr>
            </w:pPr>
            <w:r>
              <w:rPr>
                <w:rFonts w:cs="Times New Roman"/>
              </w:rPr>
              <w:t>序号</w:t>
            </w:r>
          </w:p>
        </w:tc>
        <w:tc>
          <w:tcPr>
            <w:tcW w:w="1396"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4A6027FD">
            <w:pPr>
              <w:pStyle w:val="71"/>
              <w:spacing w:before="24" w:after="24"/>
              <w:rPr>
                <w:rFonts w:cs="Times New Roman"/>
              </w:rPr>
            </w:pPr>
            <w:r>
              <w:rPr>
                <w:rFonts w:cs="Times New Roman"/>
              </w:rPr>
              <w:t>名称</w:t>
            </w:r>
          </w:p>
        </w:tc>
        <w:tc>
          <w:tcPr>
            <w:tcW w:w="1901"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65EAE41B">
            <w:pPr>
              <w:pStyle w:val="71"/>
              <w:spacing w:before="24" w:after="24"/>
              <w:rPr>
                <w:rFonts w:cs="Times New Roman"/>
              </w:rPr>
            </w:pPr>
            <w:r>
              <w:rPr>
                <w:rFonts w:cs="Times New Roman"/>
              </w:rPr>
              <w:t>部位</w:t>
            </w:r>
          </w:p>
        </w:tc>
        <w:tc>
          <w:tcPr>
            <w:tcW w:w="4000"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7F3DDFC8">
            <w:pPr>
              <w:pStyle w:val="71"/>
              <w:spacing w:before="24" w:after="24"/>
              <w:rPr>
                <w:rFonts w:cs="Times New Roman"/>
              </w:rPr>
            </w:pPr>
            <w:r>
              <w:rPr>
                <w:rFonts w:cs="Times New Roman"/>
              </w:rPr>
              <w:t>面层做法/规格参数</w:t>
            </w:r>
          </w:p>
        </w:tc>
        <w:tc>
          <w:tcPr>
            <w:tcW w:w="1291"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03BF0527">
            <w:pPr>
              <w:pStyle w:val="71"/>
              <w:spacing w:before="24" w:after="24"/>
              <w:rPr>
                <w:rFonts w:cs="Times New Roman"/>
              </w:rPr>
            </w:pPr>
            <w:r>
              <w:rPr>
                <w:rFonts w:cs="Times New Roman"/>
              </w:rPr>
              <w:t>备注</w:t>
            </w:r>
          </w:p>
        </w:tc>
      </w:tr>
      <w:tr w14:paraId="0B3D4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8" w:hRule="atLeast"/>
          <w:jc w:val="center"/>
        </w:trPr>
        <w:tc>
          <w:tcPr>
            <w:tcW w:w="9377" w:type="dxa"/>
            <w:gridSpan w:val="5"/>
            <w:tcBorders>
              <w:top w:val="single" w:color="000000" w:sz="4" w:space="0"/>
              <w:left w:val="single" w:color="000000" w:sz="4" w:space="0"/>
              <w:bottom w:val="single" w:color="000000" w:sz="4" w:space="0"/>
              <w:right w:val="single" w:color="000000" w:sz="4" w:space="0"/>
            </w:tcBorders>
            <w:vAlign w:val="center"/>
          </w:tcPr>
          <w:p w14:paraId="65FBE2EB">
            <w:pPr>
              <w:pStyle w:val="71"/>
              <w:spacing w:before="24" w:after="24"/>
              <w:rPr>
                <w:rFonts w:cs="Times New Roman"/>
              </w:rPr>
            </w:pPr>
            <w:r>
              <w:rPr>
                <w:rFonts w:cs="Times New Roman"/>
              </w:rPr>
              <w:t>总图</w:t>
            </w:r>
          </w:p>
        </w:tc>
      </w:tr>
      <w:tr w14:paraId="347BF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9" w:type="dxa"/>
            <w:tcBorders>
              <w:top w:val="single" w:color="000000" w:sz="4" w:space="0"/>
              <w:left w:val="single" w:color="000000" w:sz="4" w:space="0"/>
              <w:bottom w:val="single" w:color="000000" w:sz="4" w:space="0"/>
              <w:right w:val="single" w:color="000000" w:sz="4" w:space="0"/>
            </w:tcBorders>
            <w:vAlign w:val="center"/>
          </w:tcPr>
          <w:p w14:paraId="494A1344">
            <w:pPr>
              <w:pStyle w:val="71"/>
              <w:spacing w:before="24" w:after="24"/>
              <w:rPr>
                <w:rFonts w:cs="Times New Roman"/>
              </w:rPr>
            </w:pPr>
            <w:r>
              <w:rPr>
                <w:rFonts w:cs="Times New Roman"/>
              </w:rPr>
              <w:t>1</w:t>
            </w:r>
          </w:p>
        </w:tc>
        <w:tc>
          <w:tcPr>
            <w:tcW w:w="1396" w:type="dxa"/>
            <w:tcBorders>
              <w:top w:val="single" w:color="000000" w:sz="4" w:space="0"/>
              <w:left w:val="single" w:color="000000" w:sz="4" w:space="0"/>
              <w:bottom w:val="single" w:color="000000" w:sz="4" w:space="0"/>
              <w:right w:val="single" w:color="000000" w:sz="4" w:space="0"/>
            </w:tcBorders>
            <w:vAlign w:val="center"/>
          </w:tcPr>
          <w:p w14:paraId="39D1EF72">
            <w:pPr>
              <w:pStyle w:val="71"/>
              <w:spacing w:before="24" w:after="24"/>
              <w:rPr>
                <w:rFonts w:cs="Times New Roman"/>
              </w:rPr>
            </w:pPr>
            <w:r>
              <w:rPr>
                <w:rFonts w:cs="Times New Roman"/>
              </w:rPr>
              <w:t>室外工程</w:t>
            </w:r>
          </w:p>
        </w:tc>
        <w:tc>
          <w:tcPr>
            <w:tcW w:w="1901" w:type="dxa"/>
            <w:tcBorders>
              <w:top w:val="single" w:color="000000" w:sz="4" w:space="0"/>
              <w:left w:val="single" w:color="000000" w:sz="4" w:space="0"/>
              <w:bottom w:val="single" w:color="000000" w:sz="4" w:space="0"/>
              <w:right w:val="single" w:color="000000" w:sz="4" w:space="0"/>
            </w:tcBorders>
            <w:vAlign w:val="center"/>
          </w:tcPr>
          <w:p w14:paraId="45DBB6CA">
            <w:pPr>
              <w:pStyle w:val="71"/>
              <w:spacing w:before="24" w:after="24"/>
              <w:rPr>
                <w:rFonts w:cs="Times New Roman"/>
              </w:rPr>
            </w:pPr>
            <w:r>
              <w:rPr>
                <w:rFonts w:cs="Times New Roman"/>
              </w:rPr>
              <w:t>车行沥青路面（消防车道、小区主车道）</w:t>
            </w:r>
          </w:p>
        </w:tc>
        <w:tc>
          <w:tcPr>
            <w:tcW w:w="4000" w:type="dxa"/>
            <w:tcBorders>
              <w:top w:val="single" w:color="000000" w:sz="4" w:space="0"/>
              <w:left w:val="single" w:color="000000" w:sz="4" w:space="0"/>
              <w:bottom w:val="single" w:color="000000" w:sz="4" w:space="0"/>
              <w:right w:val="single" w:color="000000" w:sz="4" w:space="0"/>
            </w:tcBorders>
            <w:vAlign w:val="center"/>
          </w:tcPr>
          <w:p w14:paraId="19003D13">
            <w:pPr>
              <w:pStyle w:val="71"/>
              <w:spacing w:before="24" w:after="24"/>
              <w:jc w:val="both"/>
              <w:rPr>
                <w:rFonts w:cs="Times New Roman"/>
              </w:rPr>
            </w:pPr>
            <w:r>
              <w:rPr>
                <w:rFonts w:cs="Times New Roman"/>
              </w:rPr>
              <w:t>1）40厚中（细）粒式沥青混凝土面层，碾压平整</w:t>
            </w:r>
          </w:p>
          <w:p w14:paraId="3933C5A3">
            <w:pPr>
              <w:pStyle w:val="71"/>
              <w:spacing w:before="24" w:after="24"/>
              <w:jc w:val="both"/>
              <w:rPr>
                <w:rFonts w:cs="Times New Roman"/>
              </w:rPr>
            </w:pPr>
            <w:r>
              <w:rPr>
                <w:rFonts w:cs="Times New Roman"/>
              </w:rPr>
              <w:t>2）80厚粗粒式沥青混凝土</w:t>
            </w:r>
          </w:p>
          <w:p w14:paraId="1231DFD9">
            <w:pPr>
              <w:pStyle w:val="71"/>
              <w:spacing w:before="24" w:after="24"/>
              <w:jc w:val="both"/>
              <w:rPr>
                <w:rFonts w:cs="Times New Roman"/>
              </w:rPr>
            </w:pPr>
            <w:r>
              <w:rPr>
                <w:rFonts w:cs="Times New Roman"/>
              </w:rPr>
              <w:t>3）基层做法以施工图设计为准</w:t>
            </w:r>
          </w:p>
          <w:p w14:paraId="1E65554F">
            <w:pPr>
              <w:pStyle w:val="71"/>
              <w:spacing w:before="24" w:after="24"/>
              <w:jc w:val="both"/>
              <w:rPr>
                <w:rFonts w:cs="Times New Roman"/>
              </w:rPr>
            </w:pPr>
            <w:r>
              <w:rPr>
                <w:rFonts w:cs="Times New Roman"/>
              </w:rPr>
              <w:t>4）路基碾压，压实度≥93%</w:t>
            </w:r>
          </w:p>
        </w:tc>
        <w:tc>
          <w:tcPr>
            <w:tcW w:w="1291" w:type="dxa"/>
            <w:tcBorders>
              <w:top w:val="single" w:color="000000" w:sz="4" w:space="0"/>
              <w:left w:val="single" w:color="000000" w:sz="4" w:space="0"/>
              <w:bottom w:val="single" w:color="000000" w:sz="4" w:space="0"/>
              <w:right w:val="single" w:color="000000" w:sz="4" w:space="0"/>
            </w:tcBorders>
            <w:vAlign w:val="center"/>
          </w:tcPr>
          <w:p w14:paraId="30868A7F">
            <w:pPr>
              <w:pStyle w:val="71"/>
              <w:spacing w:before="24" w:after="24"/>
              <w:rPr>
                <w:rFonts w:cs="Times New Roman"/>
              </w:rPr>
            </w:pPr>
            <w:r>
              <w:rPr>
                <w:rFonts w:cs="Times New Roman"/>
              </w:rPr>
              <w:t>消防车道荷载按30T考虑</w:t>
            </w:r>
          </w:p>
        </w:tc>
      </w:tr>
      <w:tr w14:paraId="2E5C9C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9" w:type="dxa"/>
            <w:tcBorders>
              <w:top w:val="single" w:color="000000" w:sz="4" w:space="0"/>
              <w:left w:val="single" w:color="000000" w:sz="4" w:space="0"/>
              <w:bottom w:val="single" w:color="000000" w:sz="4" w:space="0"/>
              <w:right w:val="single" w:color="000000" w:sz="4" w:space="0"/>
            </w:tcBorders>
            <w:vAlign w:val="center"/>
          </w:tcPr>
          <w:p w14:paraId="130AD282">
            <w:pPr>
              <w:pStyle w:val="71"/>
              <w:spacing w:before="24" w:after="24"/>
              <w:rPr>
                <w:rFonts w:cs="Times New Roman"/>
              </w:rPr>
            </w:pPr>
            <w:r>
              <w:rPr>
                <w:rFonts w:cs="Times New Roman"/>
              </w:rPr>
              <w:t>2</w:t>
            </w:r>
          </w:p>
        </w:tc>
        <w:tc>
          <w:tcPr>
            <w:tcW w:w="1396" w:type="dxa"/>
            <w:tcBorders>
              <w:top w:val="single" w:color="000000" w:sz="4" w:space="0"/>
              <w:left w:val="single" w:color="000000" w:sz="4" w:space="0"/>
              <w:bottom w:val="single" w:color="000000" w:sz="4" w:space="0"/>
              <w:right w:val="single" w:color="000000" w:sz="4" w:space="0"/>
            </w:tcBorders>
            <w:vAlign w:val="center"/>
          </w:tcPr>
          <w:p w14:paraId="213A703D">
            <w:pPr>
              <w:pStyle w:val="71"/>
              <w:spacing w:before="24" w:after="24"/>
              <w:rPr>
                <w:rFonts w:cs="Times New Roman"/>
              </w:rPr>
            </w:pPr>
            <w:r>
              <w:rPr>
                <w:rFonts w:cs="Times New Roman"/>
              </w:rPr>
              <w:t>室外工程</w:t>
            </w:r>
          </w:p>
        </w:tc>
        <w:tc>
          <w:tcPr>
            <w:tcW w:w="1901" w:type="dxa"/>
            <w:tcBorders>
              <w:top w:val="single" w:color="000000" w:sz="4" w:space="0"/>
              <w:left w:val="single" w:color="000000" w:sz="4" w:space="0"/>
              <w:bottom w:val="single" w:color="000000" w:sz="4" w:space="0"/>
              <w:right w:val="single" w:color="000000" w:sz="4" w:space="0"/>
            </w:tcBorders>
            <w:vAlign w:val="center"/>
          </w:tcPr>
          <w:p w14:paraId="59F091AD">
            <w:pPr>
              <w:pStyle w:val="71"/>
              <w:spacing w:before="24" w:after="24"/>
              <w:rPr>
                <w:rFonts w:cs="Times New Roman"/>
              </w:rPr>
            </w:pPr>
            <w:r>
              <w:rPr>
                <w:rFonts w:cs="Times New Roman"/>
              </w:rPr>
              <w:t>停车场透水砖（室外停车场）</w:t>
            </w:r>
          </w:p>
        </w:tc>
        <w:tc>
          <w:tcPr>
            <w:tcW w:w="4000" w:type="dxa"/>
            <w:tcBorders>
              <w:top w:val="single" w:color="000000" w:sz="4" w:space="0"/>
              <w:left w:val="single" w:color="000000" w:sz="4" w:space="0"/>
              <w:bottom w:val="single" w:color="000000" w:sz="4" w:space="0"/>
              <w:right w:val="single" w:color="000000" w:sz="4" w:space="0"/>
            </w:tcBorders>
            <w:vAlign w:val="center"/>
          </w:tcPr>
          <w:p w14:paraId="7D11788E">
            <w:pPr>
              <w:pStyle w:val="71"/>
              <w:spacing w:before="24" w:after="24"/>
              <w:jc w:val="both"/>
              <w:rPr>
                <w:rFonts w:cs="Times New Roman"/>
              </w:rPr>
            </w:pPr>
            <w:r>
              <w:rPr>
                <w:rFonts w:cs="Times New Roman"/>
              </w:rPr>
              <w:t>1）100厚透水砖，粗砂灌缝</w:t>
            </w:r>
          </w:p>
          <w:p w14:paraId="224AD035">
            <w:pPr>
              <w:pStyle w:val="71"/>
              <w:spacing w:before="24" w:after="24"/>
              <w:jc w:val="both"/>
              <w:rPr>
                <w:rFonts w:cs="Times New Roman"/>
              </w:rPr>
            </w:pPr>
            <w:r>
              <w:rPr>
                <w:rFonts w:cs="Times New Roman"/>
              </w:rPr>
              <w:t>2）30厚中砂找平层</w:t>
            </w:r>
          </w:p>
          <w:p w14:paraId="2B223508">
            <w:pPr>
              <w:pStyle w:val="71"/>
              <w:spacing w:before="24" w:after="24"/>
              <w:jc w:val="both"/>
              <w:rPr>
                <w:rFonts w:cs="Times New Roman"/>
              </w:rPr>
            </w:pPr>
            <w:r>
              <w:rPr>
                <w:rFonts w:cs="Times New Roman"/>
              </w:rPr>
              <w:t>3）200厚大粒径透水级配碎石，压实度≥95%</w:t>
            </w:r>
          </w:p>
          <w:p w14:paraId="5A593B16">
            <w:pPr>
              <w:pStyle w:val="71"/>
              <w:spacing w:before="24" w:after="24"/>
              <w:jc w:val="both"/>
              <w:rPr>
                <w:rFonts w:cs="Times New Roman"/>
              </w:rPr>
            </w:pPr>
            <w:r>
              <w:rPr>
                <w:rFonts w:cs="Times New Roman"/>
              </w:rPr>
              <w:t>4）素土夯实，压实度≥93%</w:t>
            </w:r>
          </w:p>
        </w:tc>
        <w:tc>
          <w:tcPr>
            <w:tcW w:w="1291" w:type="dxa"/>
            <w:tcBorders>
              <w:top w:val="single" w:color="000000" w:sz="4" w:space="0"/>
              <w:left w:val="single" w:color="000000" w:sz="4" w:space="0"/>
              <w:bottom w:val="single" w:color="000000" w:sz="4" w:space="0"/>
              <w:right w:val="single" w:color="000000" w:sz="4" w:space="0"/>
            </w:tcBorders>
            <w:vAlign w:val="center"/>
          </w:tcPr>
          <w:p w14:paraId="2C3CAA43">
            <w:pPr>
              <w:pStyle w:val="71"/>
              <w:spacing w:before="24" w:after="24"/>
              <w:rPr>
                <w:rFonts w:cs="Times New Roman"/>
              </w:rPr>
            </w:pPr>
            <w:r>
              <w:rPr>
                <w:rFonts w:cs="Times New Roman"/>
              </w:rPr>
              <w:t>透水砖规格、颜色由设计确定</w:t>
            </w:r>
          </w:p>
        </w:tc>
      </w:tr>
      <w:tr w14:paraId="267F74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9" w:type="dxa"/>
            <w:tcBorders>
              <w:top w:val="single" w:color="000000" w:sz="4" w:space="0"/>
              <w:left w:val="single" w:color="000000" w:sz="4" w:space="0"/>
              <w:bottom w:val="single" w:color="000000" w:sz="4" w:space="0"/>
              <w:right w:val="single" w:color="000000" w:sz="4" w:space="0"/>
            </w:tcBorders>
            <w:vAlign w:val="center"/>
          </w:tcPr>
          <w:p w14:paraId="31DBF5D8">
            <w:pPr>
              <w:pStyle w:val="71"/>
              <w:spacing w:before="24" w:after="24"/>
              <w:rPr>
                <w:rFonts w:cs="Times New Roman"/>
              </w:rPr>
            </w:pPr>
            <w:r>
              <w:rPr>
                <w:rFonts w:cs="Times New Roman"/>
              </w:rPr>
              <w:t>3</w:t>
            </w:r>
          </w:p>
        </w:tc>
        <w:tc>
          <w:tcPr>
            <w:tcW w:w="1396" w:type="dxa"/>
            <w:tcBorders>
              <w:top w:val="single" w:color="000000" w:sz="4" w:space="0"/>
              <w:left w:val="single" w:color="000000" w:sz="4" w:space="0"/>
              <w:bottom w:val="single" w:color="000000" w:sz="4" w:space="0"/>
              <w:right w:val="single" w:color="000000" w:sz="4" w:space="0"/>
            </w:tcBorders>
            <w:vAlign w:val="center"/>
          </w:tcPr>
          <w:p w14:paraId="5E7325C0">
            <w:pPr>
              <w:pStyle w:val="71"/>
              <w:spacing w:before="24" w:after="24"/>
              <w:rPr>
                <w:rFonts w:cs="Times New Roman"/>
              </w:rPr>
            </w:pPr>
            <w:r>
              <w:rPr>
                <w:rFonts w:cs="Times New Roman"/>
              </w:rPr>
              <w:t>室外工程</w:t>
            </w:r>
          </w:p>
        </w:tc>
        <w:tc>
          <w:tcPr>
            <w:tcW w:w="1901" w:type="dxa"/>
            <w:tcBorders>
              <w:top w:val="single" w:color="000000" w:sz="4" w:space="0"/>
              <w:left w:val="single" w:color="000000" w:sz="4" w:space="0"/>
              <w:bottom w:val="single" w:color="000000" w:sz="4" w:space="0"/>
              <w:right w:val="single" w:color="000000" w:sz="4" w:space="0"/>
            </w:tcBorders>
            <w:vAlign w:val="center"/>
          </w:tcPr>
          <w:p w14:paraId="027C1F21">
            <w:pPr>
              <w:pStyle w:val="71"/>
              <w:spacing w:before="24" w:after="24"/>
              <w:rPr>
                <w:rFonts w:cs="Times New Roman"/>
              </w:rPr>
            </w:pPr>
            <w:r>
              <w:rPr>
                <w:rFonts w:cs="Times New Roman"/>
              </w:rPr>
              <w:t>人行透水砖路面（人行道）</w:t>
            </w:r>
          </w:p>
        </w:tc>
        <w:tc>
          <w:tcPr>
            <w:tcW w:w="4000" w:type="dxa"/>
            <w:tcBorders>
              <w:top w:val="single" w:color="000000" w:sz="4" w:space="0"/>
              <w:left w:val="single" w:color="000000" w:sz="4" w:space="0"/>
              <w:bottom w:val="single" w:color="000000" w:sz="4" w:space="0"/>
              <w:right w:val="single" w:color="000000" w:sz="4" w:space="0"/>
            </w:tcBorders>
            <w:vAlign w:val="center"/>
          </w:tcPr>
          <w:p w14:paraId="6EC2E970">
            <w:pPr>
              <w:pStyle w:val="71"/>
              <w:spacing w:before="24" w:after="24"/>
              <w:jc w:val="both"/>
              <w:rPr>
                <w:rFonts w:cs="Times New Roman"/>
              </w:rPr>
            </w:pPr>
            <w:r>
              <w:rPr>
                <w:rFonts w:cs="Times New Roman"/>
              </w:rPr>
              <w:t>1）60厚透水砖，粗砂灌缝</w:t>
            </w:r>
          </w:p>
          <w:p w14:paraId="46824D39">
            <w:pPr>
              <w:pStyle w:val="71"/>
              <w:spacing w:before="24" w:after="24"/>
              <w:jc w:val="both"/>
              <w:rPr>
                <w:rFonts w:cs="Times New Roman"/>
              </w:rPr>
            </w:pPr>
            <w:r>
              <w:rPr>
                <w:rFonts w:cs="Times New Roman"/>
              </w:rPr>
              <w:t>2）30厚中砂找平层</w:t>
            </w:r>
          </w:p>
          <w:p w14:paraId="0FD964E4">
            <w:pPr>
              <w:pStyle w:val="71"/>
              <w:spacing w:before="24" w:after="24"/>
              <w:jc w:val="both"/>
              <w:rPr>
                <w:rFonts w:cs="Times New Roman"/>
              </w:rPr>
            </w:pPr>
            <w:r>
              <w:rPr>
                <w:rFonts w:cs="Times New Roman"/>
              </w:rPr>
              <w:t>3）150厚透水水泥混凝土（抗压强度≥20MPa）</w:t>
            </w:r>
          </w:p>
          <w:p w14:paraId="220048DC">
            <w:pPr>
              <w:pStyle w:val="71"/>
              <w:spacing w:before="24" w:after="24"/>
              <w:jc w:val="both"/>
              <w:rPr>
                <w:rFonts w:cs="Times New Roman"/>
              </w:rPr>
            </w:pPr>
            <w:r>
              <w:rPr>
                <w:rFonts w:cs="Times New Roman"/>
              </w:rPr>
              <w:t>4）80厚天然砂砾</w:t>
            </w:r>
          </w:p>
          <w:p w14:paraId="7FF7E514">
            <w:pPr>
              <w:pStyle w:val="71"/>
              <w:spacing w:before="24" w:after="24"/>
              <w:jc w:val="both"/>
              <w:rPr>
                <w:rFonts w:cs="Times New Roman"/>
              </w:rPr>
            </w:pPr>
            <w:r>
              <w:rPr>
                <w:rFonts w:cs="Times New Roman"/>
              </w:rPr>
              <w:t>5）素土夯实，压实度≥93%</w:t>
            </w:r>
          </w:p>
        </w:tc>
        <w:tc>
          <w:tcPr>
            <w:tcW w:w="1291" w:type="dxa"/>
            <w:tcBorders>
              <w:top w:val="single" w:color="000000" w:sz="4" w:space="0"/>
              <w:left w:val="single" w:color="000000" w:sz="4" w:space="0"/>
              <w:bottom w:val="single" w:color="000000" w:sz="4" w:space="0"/>
              <w:right w:val="single" w:color="000000" w:sz="4" w:space="0"/>
            </w:tcBorders>
            <w:vAlign w:val="center"/>
          </w:tcPr>
          <w:p w14:paraId="641C2334">
            <w:pPr>
              <w:pStyle w:val="71"/>
              <w:spacing w:before="24" w:after="24"/>
              <w:rPr>
                <w:rFonts w:cs="Times New Roman"/>
              </w:rPr>
            </w:pPr>
            <w:r>
              <w:rPr>
                <w:rFonts w:cs="Times New Roman"/>
              </w:rPr>
              <w:t>透水砖规格、颜色由设计确定</w:t>
            </w:r>
          </w:p>
        </w:tc>
      </w:tr>
      <w:tr w14:paraId="22BA8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9" w:type="dxa"/>
            <w:tcBorders>
              <w:top w:val="single" w:color="000000" w:sz="4" w:space="0"/>
              <w:left w:val="single" w:color="000000" w:sz="4" w:space="0"/>
              <w:bottom w:val="single" w:color="000000" w:sz="4" w:space="0"/>
              <w:right w:val="single" w:color="000000" w:sz="4" w:space="0"/>
            </w:tcBorders>
            <w:vAlign w:val="center"/>
          </w:tcPr>
          <w:p w14:paraId="029DBC31">
            <w:pPr>
              <w:pStyle w:val="71"/>
              <w:spacing w:before="24" w:after="24"/>
              <w:rPr>
                <w:rFonts w:cs="Times New Roman"/>
              </w:rPr>
            </w:pPr>
            <w:r>
              <w:rPr>
                <w:rFonts w:cs="Times New Roman"/>
              </w:rPr>
              <w:t>4</w:t>
            </w:r>
          </w:p>
        </w:tc>
        <w:tc>
          <w:tcPr>
            <w:tcW w:w="1396" w:type="dxa"/>
            <w:tcBorders>
              <w:top w:val="single" w:color="000000" w:sz="4" w:space="0"/>
              <w:left w:val="single" w:color="000000" w:sz="4" w:space="0"/>
              <w:bottom w:val="single" w:color="000000" w:sz="4" w:space="0"/>
              <w:right w:val="single" w:color="000000" w:sz="4" w:space="0"/>
            </w:tcBorders>
            <w:vAlign w:val="center"/>
          </w:tcPr>
          <w:p w14:paraId="78494DD5">
            <w:pPr>
              <w:pStyle w:val="71"/>
              <w:spacing w:before="24" w:after="24"/>
              <w:rPr>
                <w:rFonts w:cs="Times New Roman"/>
              </w:rPr>
            </w:pPr>
            <w:r>
              <w:rPr>
                <w:rFonts w:cs="Times New Roman"/>
              </w:rPr>
              <w:t>室外工程</w:t>
            </w:r>
          </w:p>
        </w:tc>
        <w:tc>
          <w:tcPr>
            <w:tcW w:w="1901" w:type="dxa"/>
            <w:tcBorders>
              <w:top w:val="single" w:color="000000" w:sz="4" w:space="0"/>
              <w:left w:val="single" w:color="000000" w:sz="4" w:space="0"/>
              <w:bottom w:val="single" w:color="000000" w:sz="4" w:space="0"/>
              <w:right w:val="single" w:color="000000" w:sz="4" w:space="0"/>
            </w:tcBorders>
            <w:vAlign w:val="center"/>
          </w:tcPr>
          <w:p w14:paraId="2F3BE0C3">
            <w:pPr>
              <w:pStyle w:val="71"/>
              <w:spacing w:before="24" w:after="24"/>
              <w:rPr>
                <w:rFonts w:cs="Times New Roman"/>
              </w:rPr>
            </w:pPr>
            <w:r>
              <w:rPr>
                <w:rFonts w:cs="Times New Roman"/>
              </w:rPr>
              <w:t>人行广场铺装（室外人行广场）</w:t>
            </w:r>
          </w:p>
        </w:tc>
        <w:tc>
          <w:tcPr>
            <w:tcW w:w="4000" w:type="dxa"/>
            <w:tcBorders>
              <w:top w:val="single" w:color="000000" w:sz="4" w:space="0"/>
              <w:left w:val="single" w:color="000000" w:sz="4" w:space="0"/>
              <w:bottom w:val="single" w:color="000000" w:sz="4" w:space="0"/>
              <w:right w:val="single" w:color="000000" w:sz="4" w:space="0"/>
            </w:tcBorders>
            <w:vAlign w:val="center"/>
          </w:tcPr>
          <w:p w14:paraId="272A777A">
            <w:pPr>
              <w:pStyle w:val="71"/>
              <w:spacing w:before="24" w:after="24"/>
              <w:jc w:val="both"/>
              <w:rPr>
                <w:rFonts w:cs="Times New Roman"/>
              </w:rPr>
            </w:pPr>
            <w:r>
              <w:rPr>
                <w:rFonts w:cs="Times New Roman"/>
              </w:rPr>
              <w:t>1）20厚花岗岩或青石板，水泥浆擦缝</w:t>
            </w:r>
          </w:p>
          <w:p w14:paraId="2336469C">
            <w:pPr>
              <w:pStyle w:val="71"/>
              <w:spacing w:before="24" w:after="24"/>
              <w:jc w:val="both"/>
              <w:rPr>
                <w:rFonts w:cs="Times New Roman"/>
              </w:rPr>
            </w:pPr>
            <w:r>
              <w:rPr>
                <w:rFonts w:cs="Times New Roman"/>
              </w:rPr>
              <w:t>2）素水泥面，撒适量清水</w:t>
            </w:r>
          </w:p>
          <w:p w14:paraId="743F867E">
            <w:pPr>
              <w:pStyle w:val="71"/>
              <w:spacing w:before="24" w:after="24"/>
              <w:jc w:val="both"/>
              <w:rPr>
                <w:rFonts w:cs="Times New Roman"/>
              </w:rPr>
            </w:pPr>
            <w:r>
              <w:rPr>
                <w:rFonts w:cs="Times New Roman"/>
              </w:rPr>
              <w:t>3）30厚M15地面砂浆（干硬性）结合层</w:t>
            </w:r>
          </w:p>
          <w:p w14:paraId="441775FA">
            <w:pPr>
              <w:pStyle w:val="71"/>
              <w:spacing w:before="24" w:after="24"/>
              <w:jc w:val="both"/>
              <w:rPr>
                <w:rFonts w:cs="Times New Roman"/>
              </w:rPr>
            </w:pPr>
            <w:r>
              <w:rPr>
                <w:rFonts w:cs="Times New Roman"/>
              </w:rPr>
              <w:t>4）100厚C15混凝土（分块捣制，随打随抹平，每6米设缝，热沥青浇缝）</w:t>
            </w:r>
          </w:p>
          <w:p w14:paraId="5315C85E">
            <w:pPr>
              <w:pStyle w:val="71"/>
              <w:spacing w:before="24" w:after="24"/>
              <w:jc w:val="both"/>
              <w:rPr>
                <w:rFonts w:cs="Times New Roman"/>
              </w:rPr>
            </w:pPr>
            <w:r>
              <w:rPr>
                <w:rFonts w:cs="Times New Roman"/>
              </w:rPr>
              <w:t>5）150厚碎石粉层，加7%水泥</w:t>
            </w:r>
          </w:p>
          <w:p w14:paraId="05B4A21B">
            <w:pPr>
              <w:pStyle w:val="71"/>
              <w:spacing w:before="24" w:after="24"/>
              <w:jc w:val="both"/>
              <w:rPr>
                <w:rFonts w:cs="Times New Roman"/>
              </w:rPr>
            </w:pPr>
            <w:r>
              <w:rPr>
                <w:rFonts w:cs="Times New Roman"/>
              </w:rPr>
              <w:t>6）路基压实，压实度≥93%</w:t>
            </w:r>
          </w:p>
        </w:tc>
        <w:tc>
          <w:tcPr>
            <w:tcW w:w="1291" w:type="dxa"/>
            <w:tcBorders>
              <w:top w:val="single" w:color="000000" w:sz="4" w:space="0"/>
              <w:left w:val="single" w:color="000000" w:sz="4" w:space="0"/>
              <w:bottom w:val="single" w:color="000000" w:sz="4" w:space="0"/>
              <w:right w:val="single" w:color="000000" w:sz="4" w:space="0"/>
            </w:tcBorders>
            <w:vAlign w:val="center"/>
          </w:tcPr>
          <w:p w14:paraId="7DBBA51F">
            <w:pPr>
              <w:pStyle w:val="71"/>
              <w:spacing w:before="24" w:after="24"/>
              <w:rPr>
                <w:rFonts w:cs="Times New Roman"/>
              </w:rPr>
            </w:pPr>
            <w:r>
              <w:rPr>
                <w:rFonts w:cs="Times New Roman"/>
              </w:rPr>
              <w:t>花岗岩规格、颜色由设计确定</w:t>
            </w:r>
          </w:p>
        </w:tc>
      </w:tr>
      <w:tr w14:paraId="0C0059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9" w:type="dxa"/>
            <w:tcBorders>
              <w:top w:val="single" w:color="000000" w:sz="4" w:space="0"/>
              <w:left w:val="single" w:color="000000" w:sz="4" w:space="0"/>
              <w:bottom w:val="single" w:color="000000" w:sz="4" w:space="0"/>
              <w:right w:val="single" w:color="000000" w:sz="4" w:space="0"/>
            </w:tcBorders>
            <w:vAlign w:val="center"/>
          </w:tcPr>
          <w:p w14:paraId="683726EA">
            <w:pPr>
              <w:pStyle w:val="71"/>
              <w:spacing w:before="24" w:after="24"/>
              <w:rPr>
                <w:rFonts w:cs="Times New Roman"/>
              </w:rPr>
            </w:pPr>
            <w:r>
              <w:rPr>
                <w:rFonts w:cs="Times New Roman"/>
              </w:rPr>
              <w:t>5</w:t>
            </w:r>
          </w:p>
        </w:tc>
        <w:tc>
          <w:tcPr>
            <w:tcW w:w="1396" w:type="dxa"/>
            <w:tcBorders>
              <w:top w:val="single" w:color="000000" w:sz="4" w:space="0"/>
              <w:left w:val="single" w:color="000000" w:sz="4" w:space="0"/>
              <w:bottom w:val="single" w:color="000000" w:sz="4" w:space="0"/>
              <w:right w:val="single" w:color="000000" w:sz="4" w:space="0"/>
            </w:tcBorders>
            <w:vAlign w:val="center"/>
          </w:tcPr>
          <w:p w14:paraId="26DCC211">
            <w:pPr>
              <w:pStyle w:val="71"/>
              <w:spacing w:before="24" w:after="24"/>
              <w:rPr>
                <w:rFonts w:cs="Times New Roman"/>
              </w:rPr>
            </w:pPr>
            <w:r>
              <w:rPr>
                <w:rFonts w:cs="Times New Roman"/>
              </w:rPr>
              <w:t>室外工程</w:t>
            </w:r>
          </w:p>
        </w:tc>
        <w:tc>
          <w:tcPr>
            <w:tcW w:w="1901" w:type="dxa"/>
            <w:tcBorders>
              <w:top w:val="single" w:color="000000" w:sz="4" w:space="0"/>
              <w:left w:val="single" w:color="000000" w:sz="4" w:space="0"/>
              <w:bottom w:val="single" w:color="000000" w:sz="4" w:space="0"/>
              <w:right w:val="single" w:color="000000" w:sz="4" w:space="0"/>
            </w:tcBorders>
            <w:vAlign w:val="center"/>
          </w:tcPr>
          <w:p w14:paraId="7E0DBE98">
            <w:pPr>
              <w:pStyle w:val="71"/>
              <w:spacing w:before="24" w:after="24"/>
              <w:rPr>
                <w:rFonts w:cs="Times New Roman"/>
              </w:rPr>
            </w:pPr>
            <w:r>
              <w:rPr>
                <w:rFonts w:cs="Times New Roman"/>
              </w:rPr>
              <w:t>室外台阶</w:t>
            </w:r>
          </w:p>
          <w:p w14:paraId="7055C4CD">
            <w:pPr>
              <w:pStyle w:val="71"/>
              <w:spacing w:before="24" w:after="24"/>
              <w:rPr>
                <w:rFonts w:cs="Times New Roman"/>
              </w:rPr>
            </w:pPr>
            <w:r>
              <w:rPr>
                <w:rFonts w:cs="Times New Roman"/>
              </w:rPr>
              <w:t>（防滑地砖）</w:t>
            </w:r>
          </w:p>
        </w:tc>
        <w:tc>
          <w:tcPr>
            <w:tcW w:w="4000" w:type="dxa"/>
            <w:tcBorders>
              <w:top w:val="single" w:color="000000" w:sz="4" w:space="0"/>
              <w:left w:val="single" w:color="000000" w:sz="4" w:space="0"/>
              <w:bottom w:val="single" w:color="000000" w:sz="4" w:space="0"/>
              <w:right w:val="single" w:color="000000" w:sz="4" w:space="0"/>
            </w:tcBorders>
            <w:vAlign w:val="center"/>
          </w:tcPr>
          <w:p w14:paraId="256BE8C8">
            <w:pPr>
              <w:pStyle w:val="71"/>
              <w:spacing w:before="24" w:after="24"/>
              <w:jc w:val="both"/>
              <w:rPr>
                <w:rFonts w:cs="Times New Roman"/>
              </w:rPr>
            </w:pPr>
            <w:r>
              <w:rPr>
                <w:rFonts w:cs="Times New Roman"/>
              </w:rPr>
              <w:t>1）防滑地砖面层，干水泥擦缝</w:t>
            </w:r>
          </w:p>
          <w:p w14:paraId="37CE0152">
            <w:pPr>
              <w:pStyle w:val="71"/>
              <w:spacing w:before="24" w:after="24"/>
              <w:jc w:val="both"/>
              <w:rPr>
                <w:rFonts w:cs="Times New Roman"/>
              </w:rPr>
            </w:pPr>
            <w:r>
              <w:rPr>
                <w:rFonts w:cs="Times New Roman"/>
              </w:rPr>
              <w:t>2）撒素水泥面</w:t>
            </w:r>
          </w:p>
          <w:p w14:paraId="75157742">
            <w:pPr>
              <w:pStyle w:val="71"/>
              <w:spacing w:before="24" w:after="24"/>
              <w:jc w:val="both"/>
              <w:rPr>
                <w:rFonts w:cs="Times New Roman"/>
              </w:rPr>
            </w:pPr>
            <w:r>
              <w:rPr>
                <w:rFonts w:cs="Times New Roman"/>
              </w:rPr>
              <w:t>3）30厚1:3干硬性水泥砂浆粘结层</w:t>
            </w:r>
          </w:p>
          <w:p w14:paraId="538D2253">
            <w:pPr>
              <w:pStyle w:val="71"/>
              <w:spacing w:before="24" w:after="24"/>
              <w:jc w:val="both"/>
              <w:rPr>
                <w:rFonts w:cs="Times New Roman"/>
              </w:rPr>
            </w:pPr>
            <w:r>
              <w:rPr>
                <w:rFonts w:cs="Times New Roman"/>
              </w:rPr>
              <w:t>4）素水泥浆结合层一道</w:t>
            </w:r>
          </w:p>
          <w:p w14:paraId="686AB406">
            <w:pPr>
              <w:pStyle w:val="71"/>
              <w:spacing w:before="24" w:after="24"/>
              <w:jc w:val="both"/>
              <w:rPr>
                <w:rFonts w:cs="Times New Roman"/>
              </w:rPr>
            </w:pPr>
            <w:r>
              <w:rPr>
                <w:rFonts w:cs="Times New Roman"/>
              </w:rPr>
              <w:t>5）60厚C15混凝土，台阶面向外坡1%</w:t>
            </w:r>
          </w:p>
        </w:tc>
        <w:tc>
          <w:tcPr>
            <w:tcW w:w="1291" w:type="dxa"/>
            <w:tcBorders>
              <w:top w:val="single" w:color="000000" w:sz="4" w:space="0"/>
              <w:left w:val="single" w:color="000000" w:sz="4" w:space="0"/>
              <w:bottom w:val="single" w:color="000000" w:sz="4" w:space="0"/>
              <w:right w:val="single" w:color="000000" w:sz="4" w:space="0"/>
            </w:tcBorders>
            <w:vAlign w:val="center"/>
          </w:tcPr>
          <w:p w14:paraId="60893D45">
            <w:pPr>
              <w:pStyle w:val="71"/>
              <w:spacing w:before="24" w:after="24"/>
              <w:rPr>
                <w:rFonts w:cs="Times New Roman"/>
              </w:rPr>
            </w:pPr>
            <w:r>
              <w:rPr>
                <w:rFonts w:cs="Times New Roman"/>
              </w:rPr>
              <w:t>踏步使用踏步砖</w:t>
            </w:r>
          </w:p>
        </w:tc>
      </w:tr>
      <w:tr w14:paraId="7114F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9" w:type="dxa"/>
            <w:tcBorders>
              <w:top w:val="single" w:color="000000" w:sz="4" w:space="0"/>
              <w:left w:val="single" w:color="000000" w:sz="4" w:space="0"/>
              <w:bottom w:val="single" w:color="000000" w:sz="4" w:space="0"/>
              <w:right w:val="single" w:color="000000" w:sz="4" w:space="0"/>
            </w:tcBorders>
            <w:vAlign w:val="center"/>
          </w:tcPr>
          <w:p w14:paraId="0485EAF5">
            <w:pPr>
              <w:pStyle w:val="71"/>
              <w:spacing w:before="24" w:after="24"/>
              <w:rPr>
                <w:rFonts w:cs="Times New Roman"/>
              </w:rPr>
            </w:pPr>
            <w:r>
              <w:rPr>
                <w:rFonts w:cs="Times New Roman"/>
              </w:rPr>
              <w:t>6</w:t>
            </w:r>
          </w:p>
        </w:tc>
        <w:tc>
          <w:tcPr>
            <w:tcW w:w="1396" w:type="dxa"/>
            <w:tcBorders>
              <w:top w:val="single" w:color="000000" w:sz="4" w:space="0"/>
              <w:left w:val="single" w:color="000000" w:sz="4" w:space="0"/>
              <w:bottom w:val="single" w:color="000000" w:sz="4" w:space="0"/>
              <w:right w:val="single" w:color="000000" w:sz="4" w:space="0"/>
            </w:tcBorders>
            <w:vAlign w:val="center"/>
          </w:tcPr>
          <w:p w14:paraId="20936C08">
            <w:pPr>
              <w:pStyle w:val="71"/>
              <w:spacing w:before="24" w:after="24"/>
              <w:rPr>
                <w:rFonts w:cs="Times New Roman"/>
              </w:rPr>
            </w:pPr>
            <w:r>
              <w:rPr>
                <w:rFonts w:cs="Times New Roman"/>
              </w:rPr>
              <w:t>室外工程</w:t>
            </w:r>
          </w:p>
        </w:tc>
        <w:tc>
          <w:tcPr>
            <w:tcW w:w="1901" w:type="dxa"/>
            <w:tcBorders>
              <w:top w:val="single" w:color="000000" w:sz="4" w:space="0"/>
              <w:left w:val="single" w:color="000000" w:sz="4" w:space="0"/>
              <w:bottom w:val="single" w:color="000000" w:sz="4" w:space="0"/>
              <w:right w:val="single" w:color="000000" w:sz="4" w:space="0"/>
            </w:tcBorders>
            <w:vAlign w:val="center"/>
          </w:tcPr>
          <w:p w14:paraId="52A43D21">
            <w:pPr>
              <w:pStyle w:val="71"/>
              <w:spacing w:before="24" w:after="24"/>
              <w:rPr>
                <w:rFonts w:cs="Times New Roman"/>
              </w:rPr>
            </w:pPr>
            <w:r>
              <w:rPr>
                <w:rFonts w:cs="Times New Roman"/>
              </w:rPr>
              <w:t>细石混凝土散水</w:t>
            </w:r>
          </w:p>
        </w:tc>
        <w:tc>
          <w:tcPr>
            <w:tcW w:w="4000" w:type="dxa"/>
            <w:tcBorders>
              <w:top w:val="single" w:color="000000" w:sz="4" w:space="0"/>
              <w:left w:val="single" w:color="000000" w:sz="4" w:space="0"/>
              <w:bottom w:val="single" w:color="000000" w:sz="4" w:space="0"/>
              <w:right w:val="single" w:color="000000" w:sz="4" w:space="0"/>
            </w:tcBorders>
            <w:vAlign w:val="center"/>
          </w:tcPr>
          <w:p w14:paraId="01CA0D1C">
            <w:pPr>
              <w:pStyle w:val="71"/>
              <w:spacing w:before="24" w:after="24"/>
              <w:jc w:val="both"/>
              <w:rPr>
                <w:rFonts w:cs="Times New Roman"/>
              </w:rPr>
            </w:pPr>
            <w:r>
              <w:rPr>
                <w:rFonts w:cs="Times New Roman"/>
              </w:rPr>
              <w:t>1）60厚C20细石混凝土提浆抹面</w:t>
            </w:r>
          </w:p>
          <w:p w14:paraId="3F6590C9">
            <w:pPr>
              <w:pStyle w:val="71"/>
              <w:spacing w:before="24" w:after="24"/>
              <w:jc w:val="both"/>
              <w:rPr>
                <w:rFonts w:cs="Times New Roman"/>
              </w:rPr>
            </w:pPr>
            <w:r>
              <w:rPr>
                <w:rFonts w:cs="Times New Roman"/>
              </w:rPr>
              <w:t>2）撒1:1水泥沙子压实赶光</w:t>
            </w:r>
          </w:p>
          <w:p w14:paraId="36704FE8">
            <w:pPr>
              <w:pStyle w:val="71"/>
              <w:spacing w:before="24" w:after="24"/>
              <w:jc w:val="both"/>
              <w:rPr>
                <w:rFonts w:cs="Times New Roman"/>
              </w:rPr>
            </w:pPr>
            <w:r>
              <w:rPr>
                <w:rFonts w:cs="Times New Roman"/>
              </w:rPr>
              <w:t>3）100厚C15混凝土垫层</w:t>
            </w:r>
          </w:p>
          <w:p w14:paraId="0DB63C72">
            <w:pPr>
              <w:pStyle w:val="71"/>
              <w:spacing w:before="24" w:after="24"/>
              <w:jc w:val="both"/>
              <w:rPr>
                <w:rFonts w:cs="Times New Roman"/>
              </w:rPr>
            </w:pPr>
            <w:r>
              <w:rPr>
                <w:rFonts w:cs="Times New Roman"/>
              </w:rPr>
              <w:t>4）素土夯实，向外坡5%</w:t>
            </w:r>
          </w:p>
        </w:tc>
        <w:tc>
          <w:tcPr>
            <w:tcW w:w="1291" w:type="dxa"/>
            <w:tcBorders>
              <w:top w:val="single" w:color="000000" w:sz="4" w:space="0"/>
              <w:left w:val="single" w:color="000000" w:sz="4" w:space="0"/>
              <w:bottom w:val="single" w:color="000000" w:sz="4" w:space="0"/>
              <w:right w:val="single" w:color="000000" w:sz="4" w:space="0"/>
            </w:tcBorders>
            <w:vAlign w:val="center"/>
          </w:tcPr>
          <w:p w14:paraId="233987A1">
            <w:pPr>
              <w:pStyle w:val="71"/>
              <w:spacing w:before="24" w:after="24"/>
              <w:rPr>
                <w:rFonts w:cs="Times New Roman"/>
              </w:rPr>
            </w:pPr>
            <w:r>
              <w:rPr>
                <w:rFonts w:cs="Times New Roman"/>
              </w:rPr>
              <w:t>大样做法详见建筑施工图</w:t>
            </w:r>
          </w:p>
        </w:tc>
      </w:tr>
      <w:tr w14:paraId="1B770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9" w:type="dxa"/>
            <w:tcBorders>
              <w:top w:val="single" w:color="000000" w:sz="4" w:space="0"/>
              <w:left w:val="single" w:color="000000" w:sz="4" w:space="0"/>
              <w:bottom w:val="single" w:color="000000" w:sz="4" w:space="0"/>
              <w:right w:val="single" w:color="000000" w:sz="4" w:space="0"/>
            </w:tcBorders>
            <w:vAlign w:val="center"/>
          </w:tcPr>
          <w:p w14:paraId="4C63913E">
            <w:pPr>
              <w:pStyle w:val="71"/>
              <w:spacing w:before="24" w:after="24"/>
              <w:rPr>
                <w:rFonts w:cs="Times New Roman"/>
              </w:rPr>
            </w:pPr>
            <w:r>
              <w:rPr>
                <w:rFonts w:cs="Times New Roman"/>
              </w:rPr>
              <w:t>7</w:t>
            </w:r>
          </w:p>
        </w:tc>
        <w:tc>
          <w:tcPr>
            <w:tcW w:w="1396" w:type="dxa"/>
            <w:tcBorders>
              <w:top w:val="single" w:color="000000" w:sz="4" w:space="0"/>
              <w:left w:val="single" w:color="000000" w:sz="4" w:space="0"/>
              <w:bottom w:val="single" w:color="000000" w:sz="4" w:space="0"/>
              <w:right w:val="single" w:color="000000" w:sz="4" w:space="0"/>
            </w:tcBorders>
            <w:vAlign w:val="center"/>
          </w:tcPr>
          <w:p w14:paraId="22C7D02A">
            <w:pPr>
              <w:pStyle w:val="71"/>
              <w:spacing w:before="24" w:after="24"/>
              <w:rPr>
                <w:rFonts w:cs="Times New Roman"/>
              </w:rPr>
            </w:pPr>
            <w:r>
              <w:rPr>
                <w:rFonts w:cs="Times New Roman"/>
              </w:rPr>
              <w:t>室外工程</w:t>
            </w:r>
          </w:p>
        </w:tc>
        <w:tc>
          <w:tcPr>
            <w:tcW w:w="1901" w:type="dxa"/>
            <w:tcBorders>
              <w:top w:val="single" w:color="000000" w:sz="4" w:space="0"/>
              <w:left w:val="single" w:color="000000" w:sz="4" w:space="0"/>
              <w:bottom w:val="single" w:color="000000" w:sz="4" w:space="0"/>
              <w:right w:val="single" w:color="000000" w:sz="4" w:space="0"/>
            </w:tcBorders>
            <w:vAlign w:val="center"/>
          </w:tcPr>
          <w:p w14:paraId="6689B086">
            <w:pPr>
              <w:pStyle w:val="71"/>
              <w:spacing w:before="24" w:after="24"/>
              <w:rPr>
                <w:rFonts w:cs="Times New Roman"/>
              </w:rPr>
            </w:pPr>
            <w:r>
              <w:rPr>
                <w:rFonts w:cs="Times New Roman"/>
              </w:rPr>
              <w:t>细石混凝土坡道（无障碍坡道）</w:t>
            </w:r>
          </w:p>
        </w:tc>
        <w:tc>
          <w:tcPr>
            <w:tcW w:w="4000" w:type="dxa"/>
            <w:tcBorders>
              <w:top w:val="single" w:color="000000" w:sz="4" w:space="0"/>
              <w:left w:val="single" w:color="000000" w:sz="4" w:space="0"/>
              <w:bottom w:val="single" w:color="000000" w:sz="4" w:space="0"/>
              <w:right w:val="single" w:color="000000" w:sz="4" w:space="0"/>
            </w:tcBorders>
            <w:vAlign w:val="center"/>
          </w:tcPr>
          <w:p w14:paraId="4B45F9A4">
            <w:pPr>
              <w:pStyle w:val="71"/>
              <w:spacing w:before="24" w:after="24"/>
              <w:jc w:val="both"/>
              <w:rPr>
                <w:rFonts w:cs="Times New Roman"/>
              </w:rPr>
            </w:pPr>
            <w:r>
              <w:rPr>
                <w:rFonts w:cs="Times New Roman"/>
              </w:rPr>
              <w:t>1）80厚C20细石混凝土提浆抹面</w:t>
            </w:r>
          </w:p>
          <w:p w14:paraId="5686F72C">
            <w:pPr>
              <w:pStyle w:val="71"/>
              <w:spacing w:before="24" w:after="24"/>
              <w:jc w:val="both"/>
              <w:rPr>
                <w:rFonts w:cs="Times New Roman"/>
              </w:rPr>
            </w:pPr>
            <w:r>
              <w:rPr>
                <w:rFonts w:cs="Times New Roman"/>
              </w:rPr>
              <w:t>2）100厚C15混凝土垫层</w:t>
            </w:r>
          </w:p>
          <w:p w14:paraId="12C530B9">
            <w:pPr>
              <w:pStyle w:val="71"/>
              <w:spacing w:before="24" w:after="24"/>
              <w:jc w:val="both"/>
              <w:rPr>
                <w:rFonts w:cs="Times New Roman"/>
              </w:rPr>
            </w:pPr>
            <w:r>
              <w:rPr>
                <w:rFonts w:cs="Times New Roman"/>
              </w:rPr>
              <w:t>3）素土夯实，压实度≥93%</w:t>
            </w:r>
          </w:p>
        </w:tc>
        <w:tc>
          <w:tcPr>
            <w:tcW w:w="1291" w:type="dxa"/>
            <w:tcBorders>
              <w:top w:val="single" w:color="000000" w:sz="4" w:space="0"/>
              <w:left w:val="single" w:color="000000" w:sz="4" w:space="0"/>
              <w:bottom w:val="single" w:color="000000" w:sz="4" w:space="0"/>
              <w:right w:val="single" w:color="000000" w:sz="4" w:space="0"/>
            </w:tcBorders>
            <w:vAlign w:val="center"/>
          </w:tcPr>
          <w:p w14:paraId="31EAE59A">
            <w:pPr>
              <w:pStyle w:val="71"/>
              <w:spacing w:before="24" w:after="24"/>
              <w:rPr>
                <w:rFonts w:cs="Times New Roman"/>
              </w:rPr>
            </w:pPr>
            <w:r>
              <w:rPr>
                <w:rFonts w:cs="Times New Roman"/>
              </w:rPr>
              <w:t>大样做法详见建筑施工图</w:t>
            </w:r>
          </w:p>
        </w:tc>
      </w:tr>
      <w:tr w14:paraId="0BA47E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9" w:type="dxa"/>
            <w:tcBorders>
              <w:top w:val="single" w:color="000000" w:sz="4" w:space="0"/>
              <w:left w:val="single" w:color="000000" w:sz="4" w:space="0"/>
              <w:bottom w:val="single" w:color="000000" w:sz="4" w:space="0"/>
              <w:right w:val="single" w:color="000000" w:sz="4" w:space="0"/>
            </w:tcBorders>
            <w:vAlign w:val="center"/>
          </w:tcPr>
          <w:p w14:paraId="40753E44">
            <w:pPr>
              <w:pStyle w:val="71"/>
              <w:spacing w:before="24" w:after="24"/>
              <w:rPr>
                <w:rFonts w:cs="Times New Roman"/>
              </w:rPr>
            </w:pPr>
            <w:r>
              <w:rPr>
                <w:rFonts w:cs="Times New Roman"/>
              </w:rPr>
              <w:t>8</w:t>
            </w:r>
          </w:p>
        </w:tc>
        <w:tc>
          <w:tcPr>
            <w:tcW w:w="1396" w:type="dxa"/>
            <w:tcBorders>
              <w:top w:val="single" w:color="000000" w:sz="4" w:space="0"/>
              <w:left w:val="single" w:color="000000" w:sz="4" w:space="0"/>
              <w:bottom w:val="single" w:color="000000" w:sz="4" w:space="0"/>
              <w:right w:val="single" w:color="000000" w:sz="4" w:space="0"/>
            </w:tcBorders>
            <w:vAlign w:val="center"/>
          </w:tcPr>
          <w:p w14:paraId="6CE28B25">
            <w:pPr>
              <w:pStyle w:val="71"/>
              <w:spacing w:before="24" w:after="24"/>
              <w:rPr>
                <w:rFonts w:cs="Times New Roman"/>
              </w:rPr>
            </w:pPr>
            <w:r>
              <w:rPr>
                <w:rFonts w:cs="Times New Roman"/>
              </w:rPr>
              <w:t>室外工程</w:t>
            </w:r>
          </w:p>
        </w:tc>
        <w:tc>
          <w:tcPr>
            <w:tcW w:w="1901" w:type="dxa"/>
            <w:tcBorders>
              <w:top w:val="single" w:color="000000" w:sz="4" w:space="0"/>
              <w:left w:val="single" w:color="000000" w:sz="4" w:space="0"/>
              <w:bottom w:val="single" w:color="000000" w:sz="4" w:space="0"/>
              <w:right w:val="single" w:color="000000" w:sz="4" w:space="0"/>
            </w:tcBorders>
            <w:vAlign w:val="center"/>
          </w:tcPr>
          <w:p w14:paraId="4A00FF7B">
            <w:pPr>
              <w:pStyle w:val="71"/>
              <w:spacing w:before="24" w:after="24"/>
              <w:rPr>
                <w:rFonts w:cs="Times New Roman"/>
              </w:rPr>
            </w:pPr>
            <w:r>
              <w:rPr>
                <w:rFonts w:cs="Times New Roman"/>
              </w:rPr>
              <w:t>室外栏杆、坡道、排水暗沟</w:t>
            </w:r>
          </w:p>
        </w:tc>
        <w:tc>
          <w:tcPr>
            <w:tcW w:w="4000" w:type="dxa"/>
            <w:tcBorders>
              <w:top w:val="single" w:color="000000" w:sz="4" w:space="0"/>
              <w:left w:val="single" w:color="000000" w:sz="4" w:space="0"/>
              <w:bottom w:val="single" w:color="000000" w:sz="4" w:space="0"/>
              <w:right w:val="single" w:color="000000" w:sz="4" w:space="0"/>
            </w:tcBorders>
            <w:vAlign w:val="center"/>
          </w:tcPr>
          <w:p w14:paraId="2355E109">
            <w:pPr>
              <w:pStyle w:val="71"/>
              <w:spacing w:before="24" w:after="24"/>
              <w:jc w:val="both"/>
              <w:rPr>
                <w:rFonts w:cs="Times New Roman"/>
              </w:rPr>
            </w:pPr>
            <w:r>
              <w:rPr>
                <w:rFonts w:cs="Times New Roman"/>
              </w:rPr>
              <w:t>做法详见建筑施工图，工程做法图集选用表</w:t>
            </w:r>
          </w:p>
        </w:tc>
        <w:tc>
          <w:tcPr>
            <w:tcW w:w="1291" w:type="dxa"/>
            <w:tcBorders>
              <w:top w:val="single" w:color="000000" w:sz="4" w:space="0"/>
              <w:left w:val="single" w:color="000000" w:sz="4" w:space="0"/>
              <w:bottom w:val="single" w:color="000000" w:sz="4" w:space="0"/>
              <w:right w:val="single" w:color="000000" w:sz="4" w:space="0"/>
            </w:tcBorders>
            <w:vAlign w:val="center"/>
          </w:tcPr>
          <w:p w14:paraId="30A6D775">
            <w:pPr>
              <w:pStyle w:val="71"/>
              <w:spacing w:before="24" w:after="24"/>
              <w:rPr>
                <w:rFonts w:cs="Times New Roman"/>
              </w:rPr>
            </w:pPr>
            <w:r>
              <w:rPr>
                <w:rFonts w:cs="Times New Roman"/>
              </w:rPr>
              <w:t>详见建筑施工图</w:t>
            </w:r>
          </w:p>
        </w:tc>
      </w:tr>
    </w:tbl>
    <w:p w14:paraId="4091A8D5">
      <w:pPr>
        <w:pStyle w:val="62"/>
      </w:pPr>
      <w:bookmarkStart w:id="215" w:name="_Toc221894236"/>
      <w:r>
        <w:t>（二）给排水专业设备参数清单表</w:t>
      </w:r>
      <w:bookmarkEnd w:id="215"/>
    </w:p>
    <w:p w14:paraId="2F06B970">
      <w:pPr>
        <w:spacing w:before="24" w:after="24"/>
        <w:ind w:firstLine="562" w:firstLineChars="200"/>
        <w:outlineLvl w:val="3"/>
        <w:rPr>
          <w:rFonts w:ascii="Times New Roman" w:hAnsi="Times New Roman" w:cs="Times New Roman"/>
          <w:b/>
        </w:rPr>
      </w:pPr>
      <w:r>
        <w:rPr>
          <w:rFonts w:ascii="Times New Roman" w:hAnsi="Times New Roman" w:cs="Times New Roman"/>
          <w:b/>
        </w:rPr>
        <w:t>1、室内生活给排水专业设备参数清单表</w:t>
      </w:r>
    </w:p>
    <w:tbl>
      <w:tblPr>
        <w:tblStyle w:val="31"/>
        <w:tblW w:w="49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3"/>
        <w:gridCol w:w="1115"/>
        <w:gridCol w:w="1961"/>
        <w:gridCol w:w="4582"/>
        <w:gridCol w:w="1061"/>
      </w:tblGrid>
      <w:tr w14:paraId="1AEF4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267" w:type="pct"/>
            <w:shd w:val="clear" w:color="auto" w:fill="D7D7D7"/>
            <w:vAlign w:val="center"/>
          </w:tcPr>
          <w:p w14:paraId="3004D129">
            <w:pPr>
              <w:spacing w:before="24" w:after="24" w:line="288" w:lineRule="auto"/>
              <w:jc w:val="center"/>
              <w:rPr>
                <w:rFonts w:ascii="Times New Roman" w:hAnsi="Times New Roman" w:cs="Times New Roman"/>
                <w:sz w:val="24"/>
              </w:rPr>
            </w:pPr>
            <w:r>
              <w:rPr>
                <w:rFonts w:ascii="Times New Roman" w:hAnsi="Times New Roman" w:cs="Times New Roman"/>
                <w:sz w:val="24"/>
              </w:rPr>
              <w:t>序号</w:t>
            </w:r>
          </w:p>
        </w:tc>
        <w:tc>
          <w:tcPr>
            <w:tcW w:w="605" w:type="pct"/>
            <w:shd w:val="clear" w:color="auto" w:fill="D7D7D7"/>
            <w:vAlign w:val="center"/>
          </w:tcPr>
          <w:p w14:paraId="43D8D2B5">
            <w:pPr>
              <w:spacing w:before="24" w:after="24" w:line="288" w:lineRule="auto"/>
              <w:jc w:val="center"/>
              <w:rPr>
                <w:rFonts w:ascii="Times New Roman" w:hAnsi="Times New Roman" w:cs="Times New Roman"/>
                <w:sz w:val="24"/>
              </w:rPr>
            </w:pPr>
            <w:r>
              <w:rPr>
                <w:rFonts w:ascii="Times New Roman" w:hAnsi="Times New Roman" w:cs="Times New Roman"/>
                <w:sz w:val="24"/>
              </w:rPr>
              <w:t>设备/系统</w:t>
            </w:r>
          </w:p>
        </w:tc>
        <w:tc>
          <w:tcPr>
            <w:tcW w:w="1063" w:type="pct"/>
            <w:shd w:val="clear" w:color="auto" w:fill="D7D7D7"/>
            <w:vAlign w:val="center"/>
          </w:tcPr>
          <w:p w14:paraId="70184829">
            <w:pPr>
              <w:spacing w:before="24" w:after="24" w:line="288" w:lineRule="auto"/>
              <w:jc w:val="center"/>
              <w:rPr>
                <w:rFonts w:ascii="Times New Roman" w:hAnsi="Times New Roman" w:cs="Times New Roman"/>
                <w:sz w:val="24"/>
              </w:rPr>
            </w:pPr>
            <w:r>
              <w:rPr>
                <w:rFonts w:ascii="Times New Roman" w:hAnsi="Times New Roman" w:cs="Times New Roman"/>
                <w:sz w:val="24"/>
              </w:rPr>
              <w:t>设备</w:t>
            </w:r>
          </w:p>
        </w:tc>
        <w:tc>
          <w:tcPr>
            <w:tcW w:w="2486" w:type="pct"/>
            <w:shd w:val="clear" w:color="auto" w:fill="D7D7D7"/>
            <w:vAlign w:val="center"/>
          </w:tcPr>
          <w:p w14:paraId="6E954800">
            <w:pPr>
              <w:spacing w:before="24" w:after="24" w:line="288" w:lineRule="auto"/>
              <w:jc w:val="center"/>
              <w:rPr>
                <w:rFonts w:ascii="Times New Roman" w:hAnsi="Times New Roman" w:cs="Times New Roman"/>
                <w:sz w:val="24"/>
              </w:rPr>
            </w:pPr>
            <w:r>
              <w:rPr>
                <w:rFonts w:ascii="Times New Roman" w:hAnsi="Times New Roman" w:cs="Times New Roman"/>
                <w:sz w:val="24"/>
              </w:rPr>
              <w:t>材质/规格、参数</w:t>
            </w:r>
          </w:p>
        </w:tc>
        <w:tc>
          <w:tcPr>
            <w:tcW w:w="576" w:type="pct"/>
            <w:shd w:val="clear" w:color="auto" w:fill="D7D7D7"/>
            <w:vAlign w:val="center"/>
          </w:tcPr>
          <w:p w14:paraId="6FF8129F">
            <w:pPr>
              <w:spacing w:before="24" w:after="24" w:line="288" w:lineRule="auto"/>
              <w:jc w:val="center"/>
              <w:rPr>
                <w:rFonts w:ascii="Times New Roman" w:hAnsi="Times New Roman" w:cs="Times New Roman"/>
                <w:sz w:val="24"/>
              </w:rPr>
            </w:pPr>
            <w:r>
              <w:rPr>
                <w:rFonts w:ascii="Times New Roman" w:hAnsi="Times New Roman" w:cs="Times New Roman"/>
                <w:sz w:val="24"/>
              </w:rPr>
              <w:t>备注</w:t>
            </w:r>
          </w:p>
        </w:tc>
      </w:tr>
      <w:tr w14:paraId="5D8BF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68F24122">
            <w:pPr>
              <w:spacing w:before="24" w:after="24" w:line="288" w:lineRule="auto"/>
              <w:jc w:val="center"/>
              <w:rPr>
                <w:rFonts w:ascii="Times New Roman" w:hAnsi="Times New Roman" w:cs="Times New Roman"/>
                <w:sz w:val="24"/>
              </w:rPr>
            </w:pPr>
            <w:r>
              <w:rPr>
                <w:rFonts w:ascii="Times New Roman" w:hAnsi="Times New Roman" w:cs="Times New Roman"/>
                <w:sz w:val="24"/>
              </w:rPr>
              <w:t>1</w:t>
            </w:r>
          </w:p>
        </w:tc>
        <w:tc>
          <w:tcPr>
            <w:tcW w:w="605" w:type="pct"/>
            <w:vMerge w:val="restart"/>
            <w:vAlign w:val="center"/>
          </w:tcPr>
          <w:p w14:paraId="30B9B3FB">
            <w:pPr>
              <w:spacing w:before="24" w:after="24" w:line="288" w:lineRule="auto"/>
              <w:jc w:val="center"/>
              <w:rPr>
                <w:rFonts w:ascii="Times New Roman" w:hAnsi="Times New Roman" w:cs="Times New Roman"/>
                <w:sz w:val="24"/>
              </w:rPr>
            </w:pPr>
            <w:r>
              <w:rPr>
                <w:rFonts w:ascii="Times New Roman" w:hAnsi="Times New Roman" w:cs="Times New Roman"/>
                <w:sz w:val="24"/>
              </w:rPr>
              <w:t>给水系统（再生水系统要求相同）</w:t>
            </w:r>
          </w:p>
        </w:tc>
        <w:tc>
          <w:tcPr>
            <w:tcW w:w="1063" w:type="pct"/>
            <w:vAlign w:val="center"/>
          </w:tcPr>
          <w:p w14:paraId="5F3A7CF9">
            <w:pPr>
              <w:spacing w:before="24" w:after="24" w:line="288" w:lineRule="auto"/>
              <w:jc w:val="center"/>
              <w:rPr>
                <w:rFonts w:ascii="Times New Roman" w:hAnsi="Times New Roman" w:cs="Times New Roman"/>
                <w:sz w:val="24"/>
              </w:rPr>
            </w:pPr>
            <w:r>
              <w:rPr>
                <w:rFonts w:ascii="Times New Roman" w:hAnsi="Times New Roman" w:cs="Times New Roman"/>
                <w:sz w:val="24"/>
              </w:rPr>
              <w:t>给水立管及主管</w:t>
            </w:r>
          </w:p>
        </w:tc>
        <w:tc>
          <w:tcPr>
            <w:tcW w:w="2486" w:type="pct"/>
            <w:vAlign w:val="center"/>
          </w:tcPr>
          <w:p w14:paraId="61D93FA9">
            <w:pPr>
              <w:spacing w:before="24" w:after="24" w:line="288" w:lineRule="auto"/>
              <w:jc w:val="left"/>
              <w:rPr>
                <w:rFonts w:ascii="Times New Roman" w:hAnsi="Times New Roman" w:cs="Times New Roman"/>
                <w:sz w:val="24"/>
              </w:rPr>
            </w:pPr>
            <w:r>
              <w:rPr>
                <w:rFonts w:ascii="Times New Roman" w:hAnsi="Times New Roman" w:cs="Times New Roman"/>
                <w:sz w:val="24"/>
              </w:rPr>
              <w:t>冷水用衬塑钢管/PN=1.6MPa/DN32～DN100</w:t>
            </w:r>
          </w:p>
        </w:tc>
        <w:tc>
          <w:tcPr>
            <w:tcW w:w="576" w:type="pct"/>
            <w:vAlign w:val="center"/>
          </w:tcPr>
          <w:p w14:paraId="666C231D">
            <w:pPr>
              <w:spacing w:before="24" w:after="24" w:line="288" w:lineRule="auto"/>
              <w:jc w:val="center"/>
              <w:rPr>
                <w:rFonts w:ascii="Times New Roman" w:hAnsi="Times New Roman" w:cs="Times New Roman"/>
                <w:sz w:val="24"/>
              </w:rPr>
            </w:pPr>
          </w:p>
        </w:tc>
      </w:tr>
      <w:tr w14:paraId="373E3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5EBDD46E">
            <w:pPr>
              <w:spacing w:before="24" w:after="24" w:line="288" w:lineRule="auto"/>
              <w:jc w:val="center"/>
              <w:rPr>
                <w:rFonts w:ascii="Times New Roman" w:hAnsi="Times New Roman" w:cs="Times New Roman"/>
                <w:sz w:val="24"/>
              </w:rPr>
            </w:pPr>
            <w:r>
              <w:rPr>
                <w:rFonts w:ascii="Times New Roman" w:hAnsi="Times New Roman" w:cs="Times New Roman"/>
                <w:sz w:val="24"/>
              </w:rPr>
              <w:t>2</w:t>
            </w:r>
          </w:p>
        </w:tc>
        <w:tc>
          <w:tcPr>
            <w:tcW w:w="605" w:type="pct"/>
            <w:vMerge w:val="continue"/>
            <w:vAlign w:val="center"/>
          </w:tcPr>
          <w:p w14:paraId="338B5FDF">
            <w:pPr>
              <w:spacing w:before="24" w:after="24" w:line="288" w:lineRule="auto"/>
              <w:jc w:val="center"/>
              <w:rPr>
                <w:rFonts w:ascii="Times New Roman" w:hAnsi="Times New Roman" w:cs="Times New Roman"/>
                <w:sz w:val="24"/>
              </w:rPr>
            </w:pPr>
          </w:p>
        </w:tc>
        <w:tc>
          <w:tcPr>
            <w:tcW w:w="1063" w:type="pct"/>
            <w:vAlign w:val="center"/>
          </w:tcPr>
          <w:p w14:paraId="04E9B4AC">
            <w:pPr>
              <w:spacing w:before="24" w:after="24" w:line="288" w:lineRule="auto"/>
              <w:jc w:val="center"/>
              <w:rPr>
                <w:rFonts w:ascii="Times New Roman" w:hAnsi="Times New Roman" w:cs="Times New Roman"/>
                <w:sz w:val="24"/>
              </w:rPr>
            </w:pPr>
            <w:r>
              <w:rPr>
                <w:rFonts w:ascii="Times New Roman" w:hAnsi="Times New Roman" w:cs="Times New Roman"/>
                <w:sz w:val="24"/>
              </w:rPr>
              <w:t>给水支管</w:t>
            </w:r>
          </w:p>
        </w:tc>
        <w:tc>
          <w:tcPr>
            <w:tcW w:w="2486" w:type="pct"/>
            <w:vAlign w:val="center"/>
          </w:tcPr>
          <w:p w14:paraId="14C4E8FA">
            <w:pPr>
              <w:spacing w:before="24" w:after="24" w:line="288" w:lineRule="auto"/>
              <w:jc w:val="left"/>
              <w:rPr>
                <w:rFonts w:ascii="Times New Roman" w:hAnsi="Times New Roman" w:cs="Times New Roman"/>
                <w:sz w:val="24"/>
              </w:rPr>
            </w:pPr>
            <w:r>
              <w:rPr>
                <w:rFonts w:ascii="Times New Roman" w:hAnsi="Times New Roman" w:cs="Times New Roman"/>
                <w:sz w:val="24"/>
              </w:rPr>
              <w:t>冷水用PPR管/PN=1.0MPa/DN15～DN25</w:t>
            </w:r>
          </w:p>
        </w:tc>
        <w:tc>
          <w:tcPr>
            <w:tcW w:w="576" w:type="pct"/>
            <w:vAlign w:val="center"/>
          </w:tcPr>
          <w:p w14:paraId="612A8507">
            <w:pPr>
              <w:spacing w:before="24" w:after="24" w:line="288" w:lineRule="auto"/>
              <w:jc w:val="center"/>
              <w:rPr>
                <w:rFonts w:ascii="Times New Roman" w:hAnsi="Times New Roman" w:cs="Times New Roman"/>
                <w:sz w:val="24"/>
              </w:rPr>
            </w:pPr>
          </w:p>
        </w:tc>
      </w:tr>
      <w:tr w14:paraId="0AFFE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6A01CF36">
            <w:pPr>
              <w:spacing w:before="24" w:after="24" w:line="288" w:lineRule="auto"/>
              <w:jc w:val="center"/>
              <w:rPr>
                <w:rFonts w:ascii="Times New Roman" w:hAnsi="Times New Roman" w:cs="Times New Roman"/>
                <w:sz w:val="24"/>
              </w:rPr>
            </w:pPr>
            <w:r>
              <w:rPr>
                <w:rFonts w:ascii="Times New Roman" w:hAnsi="Times New Roman" w:cs="Times New Roman"/>
                <w:sz w:val="24"/>
              </w:rPr>
              <w:t>3</w:t>
            </w:r>
          </w:p>
        </w:tc>
        <w:tc>
          <w:tcPr>
            <w:tcW w:w="605" w:type="pct"/>
            <w:vMerge w:val="continue"/>
            <w:vAlign w:val="center"/>
          </w:tcPr>
          <w:p w14:paraId="627729C6">
            <w:pPr>
              <w:spacing w:before="24" w:after="24" w:line="288" w:lineRule="auto"/>
              <w:jc w:val="center"/>
              <w:rPr>
                <w:rFonts w:ascii="Times New Roman" w:hAnsi="Times New Roman" w:cs="Times New Roman"/>
                <w:sz w:val="24"/>
              </w:rPr>
            </w:pPr>
          </w:p>
        </w:tc>
        <w:tc>
          <w:tcPr>
            <w:tcW w:w="1063" w:type="pct"/>
            <w:vAlign w:val="center"/>
          </w:tcPr>
          <w:p w14:paraId="108A84FF">
            <w:pPr>
              <w:spacing w:before="24" w:after="24" w:line="288" w:lineRule="auto"/>
              <w:jc w:val="center"/>
              <w:rPr>
                <w:rFonts w:ascii="Times New Roman" w:hAnsi="Times New Roman" w:cs="Times New Roman"/>
                <w:sz w:val="24"/>
              </w:rPr>
            </w:pPr>
            <w:r>
              <w:rPr>
                <w:rFonts w:ascii="Times New Roman" w:hAnsi="Times New Roman" w:cs="Times New Roman"/>
                <w:sz w:val="24"/>
              </w:rPr>
              <w:t>冷水表</w:t>
            </w:r>
          </w:p>
        </w:tc>
        <w:tc>
          <w:tcPr>
            <w:tcW w:w="2486" w:type="pct"/>
            <w:vAlign w:val="center"/>
          </w:tcPr>
          <w:p w14:paraId="2D1CEBFA">
            <w:pPr>
              <w:spacing w:before="24" w:after="24" w:line="288" w:lineRule="auto"/>
              <w:jc w:val="left"/>
              <w:rPr>
                <w:rFonts w:ascii="Times New Roman" w:hAnsi="Times New Roman" w:cs="Times New Roman"/>
                <w:sz w:val="24"/>
              </w:rPr>
            </w:pPr>
            <w:r>
              <w:rPr>
                <w:rFonts w:ascii="Times New Roman" w:hAnsi="Times New Roman" w:cs="Times New Roman"/>
                <w:sz w:val="24"/>
              </w:rPr>
              <w:t>旋翼式水表/PN=1.6MPa/DN15～DN40</w:t>
            </w:r>
          </w:p>
        </w:tc>
        <w:tc>
          <w:tcPr>
            <w:tcW w:w="576" w:type="pct"/>
            <w:vAlign w:val="center"/>
          </w:tcPr>
          <w:p w14:paraId="49959848">
            <w:pPr>
              <w:spacing w:before="24" w:after="24" w:line="288" w:lineRule="auto"/>
              <w:jc w:val="center"/>
              <w:rPr>
                <w:rFonts w:ascii="Times New Roman" w:hAnsi="Times New Roman" w:cs="Times New Roman"/>
                <w:sz w:val="24"/>
              </w:rPr>
            </w:pPr>
          </w:p>
        </w:tc>
      </w:tr>
      <w:tr w14:paraId="7ED7B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15512FAE">
            <w:pPr>
              <w:spacing w:before="24" w:after="24" w:line="288" w:lineRule="auto"/>
              <w:jc w:val="center"/>
              <w:rPr>
                <w:rFonts w:ascii="Times New Roman" w:hAnsi="Times New Roman" w:cs="Times New Roman"/>
                <w:sz w:val="24"/>
              </w:rPr>
            </w:pPr>
            <w:r>
              <w:rPr>
                <w:rFonts w:ascii="Times New Roman" w:hAnsi="Times New Roman" w:cs="Times New Roman"/>
                <w:sz w:val="24"/>
              </w:rPr>
              <w:t>4</w:t>
            </w:r>
          </w:p>
        </w:tc>
        <w:tc>
          <w:tcPr>
            <w:tcW w:w="605" w:type="pct"/>
            <w:vMerge w:val="continue"/>
            <w:vAlign w:val="center"/>
          </w:tcPr>
          <w:p w14:paraId="669EF2A3">
            <w:pPr>
              <w:spacing w:before="24" w:after="24" w:line="288" w:lineRule="auto"/>
              <w:jc w:val="center"/>
              <w:rPr>
                <w:rFonts w:ascii="Times New Roman" w:hAnsi="Times New Roman" w:cs="Times New Roman"/>
                <w:sz w:val="24"/>
              </w:rPr>
            </w:pPr>
          </w:p>
        </w:tc>
        <w:tc>
          <w:tcPr>
            <w:tcW w:w="1063" w:type="pct"/>
            <w:vAlign w:val="center"/>
          </w:tcPr>
          <w:p w14:paraId="7ACF3B8A">
            <w:pPr>
              <w:spacing w:before="24" w:after="24" w:line="288" w:lineRule="auto"/>
              <w:jc w:val="center"/>
              <w:rPr>
                <w:rFonts w:ascii="Times New Roman" w:hAnsi="Times New Roman" w:cs="Times New Roman"/>
                <w:sz w:val="24"/>
              </w:rPr>
            </w:pPr>
            <w:r>
              <w:rPr>
                <w:rFonts w:ascii="Times New Roman" w:hAnsi="Times New Roman" w:cs="Times New Roman"/>
                <w:sz w:val="24"/>
              </w:rPr>
              <w:t>冷水表</w:t>
            </w:r>
          </w:p>
        </w:tc>
        <w:tc>
          <w:tcPr>
            <w:tcW w:w="2486" w:type="pct"/>
            <w:vAlign w:val="center"/>
          </w:tcPr>
          <w:p w14:paraId="7B2C25A6">
            <w:pPr>
              <w:spacing w:before="24" w:after="24" w:line="288" w:lineRule="auto"/>
              <w:jc w:val="left"/>
              <w:rPr>
                <w:rFonts w:ascii="Times New Roman" w:hAnsi="Times New Roman" w:cs="Times New Roman"/>
                <w:sz w:val="24"/>
              </w:rPr>
            </w:pPr>
            <w:r>
              <w:rPr>
                <w:rFonts w:ascii="Times New Roman" w:hAnsi="Times New Roman" w:cs="Times New Roman"/>
                <w:sz w:val="24"/>
              </w:rPr>
              <w:t>螺翼式水表/PN=1.6MPa/DN50～DN100</w:t>
            </w:r>
          </w:p>
        </w:tc>
        <w:tc>
          <w:tcPr>
            <w:tcW w:w="576" w:type="pct"/>
            <w:vAlign w:val="center"/>
          </w:tcPr>
          <w:p w14:paraId="67AD4FB5">
            <w:pPr>
              <w:spacing w:before="24" w:after="24" w:line="288" w:lineRule="auto"/>
              <w:jc w:val="center"/>
              <w:rPr>
                <w:rFonts w:ascii="Times New Roman" w:hAnsi="Times New Roman" w:cs="Times New Roman"/>
                <w:sz w:val="24"/>
              </w:rPr>
            </w:pPr>
          </w:p>
        </w:tc>
      </w:tr>
      <w:tr w14:paraId="692D3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357D7871">
            <w:pPr>
              <w:spacing w:before="24" w:after="24" w:line="288" w:lineRule="auto"/>
              <w:jc w:val="center"/>
              <w:rPr>
                <w:rFonts w:ascii="Times New Roman" w:hAnsi="Times New Roman" w:cs="Times New Roman"/>
                <w:sz w:val="24"/>
              </w:rPr>
            </w:pPr>
            <w:r>
              <w:rPr>
                <w:rFonts w:ascii="Times New Roman" w:hAnsi="Times New Roman" w:cs="Times New Roman"/>
                <w:sz w:val="24"/>
              </w:rPr>
              <w:t>5</w:t>
            </w:r>
          </w:p>
        </w:tc>
        <w:tc>
          <w:tcPr>
            <w:tcW w:w="605" w:type="pct"/>
            <w:vMerge w:val="restart"/>
            <w:vAlign w:val="center"/>
          </w:tcPr>
          <w:p w14:paraId="29824851">
            <w:pPr>
              <w:spacing w:before="24" w:after="24" w:line="288" w:lineRule="auto"/>
              <w:jc w:val="center"/>
              <w:rPr>
                <w:rFonts w:ascii="Times New Roman" w:hAnsi="Times New Roman" w:cs="Times New Roman"/>
                <w:sz w:val="24"/>
              </w:rPr>
            </w:pPr>
            <w:r>
              <w:rPr>
                <w:rFonts w:ascii="Times New Roman" w:hAnsi="Times New Roman" w:cs="Times New Roman"/>
                <w:sz w:val="24"/>
              </w:rPr>
              <w:t>热水系统</w:t>
            </w:r>
          </w:p>
        </w:tc>
        <w:tc>
          <w:tcPr>
            <w:tcW w:w="1063" w:type="pct"/>
            <w:vAlign w:val="center"/>
          </w:tcPr>
          <w:p w14:paraId="061D06EC">
            <w:pPr>
              <w:spacing w:before="24" w:after="24" w:line="288" w:lineRule="auto"/>
              <w:jc w:val="center"/>
              <w:rPr>
                <w:rFonts w:ascii="Times New Roman" w:hAnsi="Times New Roman" w:cs="Times New Roman"/>
                <w:sz w:val="24"/>
              </w:rPr>
            </w:pPr>
            <w:r>
              <w:rPr>
                <w:rFonts w:ascii="Times New Roman" w:hAnsi="Times New Roman" w:cs="Times New Roman"/>
                <w:sz w:val="24"/>
              </w:rPr>
              <w:t>热水立管及主管</w:t>
            </w:r>
          </w:p>
        </w:tc>
        <w:tc>
          <w:tcPr>
            <w:tcW w:w="2486" w:type="pct"/>
            <w:vAlign w:val="center"/>
          </w:tcPr>
          <w:p w14:paraId="229F47C1">
            <w:pPr>
              <w:spacing w:before="24" w:after="24" w:line="288" w:lineRule="auto"/>
              <w:jc w:val="left"/>
              <w:rPr>
                <w:rFonts w:ascii="Times New Roman" w:hAnsi="Times New Roman" w:cs="Times New Roman"/>
                <w:sz w:val="24"/>
              </w:rPr>
            </w:pPr>
            <w:r>
              <w:rPr>
                <w:rFonts w:ascii="Times New Roman" w:hAnsi="Times New Roman" w:cs="Times New Roman"/>
                <w:sz w:val="24"/>
              </w:rPr>
              <w:t>热水用衬塑钢管/PN=1.6MPa/DN32～DN100</w:t>
            </w:r>
          </w:p>
        </w:tc>
        <w:tc>
          <w:tcPr>
            <w:tcW w:w="576" w:type="pct"/>
            <w:vAlign w:val="center"/>
          </w:tcPr>
          <w:p w14:paraId="53907D8C">
            <w:pPr>
              <w:spacing w:before="24" w:after="24" w:line="288" w:lineRule="auto"/>
              <w:jc w:val="center"/>
              <w:rPr>
                <w:rFonts w:ascii="Times New Roman" w:hAnsi="Times New Roman" w:cs="Times New Roman"/>
                <w:sz w:val="24"/>
              </w:rPr>
            </w:pPr>
          </w:p>
        </w:tc>
      </w:tr>
      <w:tr w14:paraId="6EAB6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06295EC6">
            <w:pPr>
              <w:spacing w:before="24" w:after="24" w:line="288" w:lineRule="auto"/>
              <w:jc w:val="center"/>
              <w:rPr>
                <w:rFonts w:ascii="Times New Roman" w:hAnsi="Times New Roman" w:cs="Times New Roman"/>
                <w:sz w:val="24"/>
              </w:rPr>
            </w:pPr>
            <w:r>
              <w:rPr>
                <w:rFonts w:ascii="Times New Roman" w:hAnsi="Times New Roman" w:cs="Times New Roman"/>
                <w:sz w:val="24"/>
              </w:rPr>
              <w:t>6</w:t>
            </w:r>
          </w:p>
        </w:tc>
        <w:tc>
          <w:tcPr>
            <w:tcW w:w="605" w:type="pct"/>
            <w:vMerge w:val="continue"/>
            <w:vAlign w:val="center"/>
          </w:tcPr>
          <w:p w14:paraId="7C258BD9">
            <w:pPr>
              <w:spacing w:before="24" w:after="24" w:line="288" w:lineRule="auto"/>
              <w:jc w:val="center"/>
              <w:rPr>
                <w:rFonts w:ascii="Times New Roman" w:hAnsi="Times New Roman" w:cs="Times New Roman"/>
                <w:sz w:val="24"/>
              </w:rPr>
            </w:pPr>
          </w:p>
        </w:tc>
        <w:tc>
          <w:tcPr>
            <w:tcW w:w="1063" w:type="pct"/>
            <w:vAlign w:val="center"/>
          </w:tcPr>
          <w:p w14:paraId="4772ED55">
            <w:pPr>
              <w:spacing w:before="24" w:after="24" w:line="288" w:lineRule="auto"/>
              <w:jc w:val="center"/>
              <w:rPr>
                <w:rFonts w:ascii="Times New Roman" w:hAnsi="Times New Roman" w:cs="Times New Roman"/>
                <w:sz w:val="24"/>
              </w:rPr>
            </w:pPr>
            <w:r>
              <w:rPr>
                <w:rFonts w:ascii="Times New Roman" w:hAnsi="Times New Roman" w:cs="Times New Roman"/>
                <w:sz w:val="24"/>
              </w:rPr>
              <w:t>热水支管</w:t>
            </w:r>
          </w:p>
        </w:tc>
        <w:tc>
          <w:tcPr>
            <w:tcW w:w="2486" w:type="pct"/>
            <w:vAlign w:val="center"/>
          </w:tcPr>
          <w:p w14:paraId="1F07A621">
            <w:pPr>
              <w:spacing w:before="24" w:after="24" w:line="288" w:lineRule="auto"/>
              <w:jc w:val="left"/>
              <w:rPr>
                <w:rFonts w:ascii="Times New Roman" w:hAnsi="Times New Roman" w:cs="Times New Roman"/>
                <w:sz w:val="24"/>
              </w:rPr>
            </w:pPr>
            <w:r>
              <w:rPr>
                <w:rFonts w:ascii="Times New Roman" w:hAnsi="Times New Roman" w:cs="Times New Roman"/>
                <w:sz w:val="24"/>
              </w:rPr>
              <w:t>热水用PPR管/PN=1.6MPa/DN15～DN25</w:t>
            </w:r>
          </w:p>
        </w:tc>
        <w:tc>
          <w:tcPr>
            <w:tcW w:w="576" w:type="pct"/>
            <w:vAlign w:val="center"/>
          </w:tcPr>
          <w:p w14:paraId="037D0813">
            <w:pPr>
              <w:spacing w:before="24" w:after="24" w:line="288" w:lineRule="auto"/>
              <w:jc w:val="center"/>
              <w:rPr>
                <w:rFonts w:ascii="Times New Roman" w:hAnsi="Times New Roman" w:cs="Times New Roman"/>
                <w:sz w:val="24"/>
              </w:rPr>
            </w:pPr>
          </w:p>
        </w:tc>
      </w:tr>
      <w:tr w14:paraId="1EA8A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411B503D">
            <w:pPr>
              <w:spacing w:before="24" w:after="24" w:line="288" w:lineRule="auto"/>
              <w:jc w:val="center"/>
              <w:rPr>
                <w:rFonts w:ascii="Times New Roman" w:hAnsi="Times New Roman" w:cs="Times New Roman"/>
                <w:sz w:val="24"/>
              </w:rPr>
            </w:pPr>
            <w:r>
              <w:rPr>
                <w:rFonts w:ascii="Times New Roman" w:hAnsi="Times New Roman" w:cs="Times New Roman"/>
                <w:sz w:val="24"/>
              </w:rPr>
              <w:t>7</w:t>
            </w:r>
          </w:p>
        </w:tc>
        <w:tc>
          <w:tcPr>
            <w:tcW w:w="605" w:type="pct"/>
            <w:vMerge w:val="continue"/>
            <w:vAlign w:val="center"/>
          </w:tcPr>
          <w:p w14:paraId="4FE21CAF">
            <w:pPr>
              <w:spacing w:before="24" w:after="24" w:line="288" w:lineRule="auto"/>
              <w:jc w:val="center"/>
              <w:rPr>
                <w:rFonts w:ascii="Times New Roman" w:hAnsi="Times New Roman" w:cs="Times New Roman"/>
                <w:sz w:val="24"/>
              </w:rPr>
            </w:pPr>
          </w:p>
        </w:tc>
        <w:tc>
          <w:tcPr>
            <w:tcW w:w="1063" w:type="pct"/>
            <w:vMerge w:val="restart"/>
            <w:vAlign w:val="center"/>
          </w:tcPr>
          <w:p w14:paraId="30734E53">
            <w:pPr>
              <w:spacing w:before="24" w:after="24" w:line="288" w:lineRule="auto"/>
              <w:jc w:val="center"/>
              <w:rPr>
                <w:rFonts w:ascii="Times New Roman" w:hAnsi="Times New Roman" w:cs="Times New Roman"/>
                <w:sz w:val="24"/>
              </w:rPr>
            </w:pPr>
            <w:r>
              <w:rPr>
                <w:rFonts w:ascii="Times New Roman" w:hAnsi="Times New Roman" w:cs="Times New Roman"/>
                <w:sz w:val="24"/>
              </w:rPr>
              <w:t>泡沫橡塑保温管壳</w:t>
            </w:r>
          </w:p>
        </w:tc>
        <w:tc>
          <w:tcPr>
            <w:tcW w:w="2486" w:type="pct"/>
            <w:vAlign w:val="center"/>
          </w:tcPr>
          <w:p w14:paraId="52909D71">
            <w:pPr>
              <w:spacing w:before="24" w:after="24" w:line="288" w:lineRule="auto"/>
              <w:jc w:val="left"/>
              <w:rPr>
                <w:rFonts w:ascii="Times New Roman" w:hAnsi="Times New Roman" w:cs="Times New Roman"/>
                <w:sz w:val="24"/>
              </w:rPr>
            </w:pPr>
            <w:r>
              <w:rPr>
                <w:rFonts w:ascii="Times New Roman" w:hAnsi="Times New Roman" w:cs="Times New Roman"/>
                <w:sz w:val="24"/>
              </w:rPr>
              <w:t>EPDM橡塑/DN15～DN25/厚度设计确定</w:t>
            </w:r>
          </w:p>
        </w:tc>
        <w:tc>
          <w:tcPr>
            <w:tcW w:w="576" w:type="pct"/>
            <w:vAlign w:val="center"/>
          </w:tcPr>
          <w:p w14:paraId="10F4E958">
            <w:pPr>
              <w:spacing w:before="24" w:after="24" w:line="288" w:lineRule="auto"/>
              <w:jc w:val="center"/>
              <w:rPr>
                <w:rFonts w:ascii="Times New Roman" w:hAnsi="Times New Roman" w:cs="Times New Roman"/>
                <w:sz w:val="24"/>
              </w:rPr>
            </w:pPr>
          </w:p>
        </w:tc>
      </w:tr>
      <w:tr w14:paraId="06F52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463624AB">
            <w:pPr>
              <w:spacing w:before="24" w:after="24" w:line="288" w:lineRule="auto"/>
              <w:jc w:val="center"/>
              <w:rPr>
                <w:rFonts w:ascii="Times New Roman" w:hAnsi="Times New Roman" w:cs="Times New Roman"/>
                <w:sz w:val="24"/>
              </w:rPr>
            </w:pPr>
            <w:r>
              <w:rPr>
                <w:rFonts w:ascii="Times New Roman" w:hAnsi="Times New Roman" w:cs="Times New Roman"/>
                <w:sz w:val="24"/>
              </w:rPr>
              <w:t>8</w:t>
            </w:r>
          </w:p>
        </w:tc>
        <w:tc>
          <w:tcPr>
            <w:tcW w:w="605" w:type="pct"/>
            <w:vMerge w:val="continue"/>
            <w:vAlign w:val="center"/>
          </w:tcPr>
          <w:p w14:paraId="26298485">
            <w:pPr>
              <w:spacing w:before="24" w:after="24" w:line="288" w:lineRule="auto"/>
              <w:jc w:val="center"/>
              <w:rPr>
                <w:rFonts w:ascii="Times New Roman" w:hAnsi="Times New Roman" w:cs="Times New Roman"/>
                <w:sz w:val="24"/>
              </w:rPr>
            </w:pPr>
          </w:p>
        </w:tc>
        <w:tc>
          <w:tcPr>
            <w:tcW w:w="1063" w:type="pct"/>
            <w:vMerge w:val="continue"/>
            <w:vAlign w:val="center"/>
          </w:tcPr>
          <w:p w14:paraId="21CDB856">
            <w:pPr>
              <w:spacing w:before="24" w:after="24" w:line="288" w:lineRule="auto"/>
              <w:jc w:val="center"/>
              <w:rPr>
                <w:rFonts w:ascii="Times New Roman" w:hAnsi="Times New Roman" w:cs="Times New Roman"/>
                <w:sz w:val="24"/>
              </w:rPr>
            </w:pPr>
          </w:p>
        </w:tc>
        <w:tc>
          <w:tcPr>
            <w:tcW w:w="2486" w:type="pct"/>
            <w:vAlign w:val="center"/>
          </w:tcPr>
          <w:p w14:paraId="6C2582CC">
            <w:pPr>
              <w:spacing w:before="24" w:after="24" w:line="288" w:lineRule="auto"/>
              <w:jc w:val="left"/>
              <w:rPr>
                <w:rFonts w:ascii="Times New Roman" w:hAnsi="Times New Roman" w:cs="Times New Roman"/>
                <w:sz w:val="24"/>
              </w:rPr>
            </w:pPr>
            <w:r>
              <w:rPr>
                <w:rFonts w:ascii="Times New Roman" w:hAnsi="Times New Roman" w:cs="Times New Roman"/>
                <w:sz w:val="24"/>
              </w:rPr>
              <w:t>EPDM橡塑/DN32～DN80/厚度设计确定</w:t>
            </w:r>
          </w:p>
        </w:tc>
        <w:tc>
          <w:tcPr>
            <w:tcW w:w="576" w:type="pct"/>
            <w:vAlign w:val="center"/>
          </w:tcPr>
          <w:p w14:paraId="7617B7DA">
            <w:pPr>
              <w:spacing w:before="24" w:after="24" w:line="288" w:lineRule="auto"/>
              <w:jc w:val="center"/>
              <w:rPr>
                <w:rFonts w:ascii="Times New Roman" w:hAnsi="Times New Roman" w:cs="Times New Roman"/>
                <w:sz w:val="24"/>
              </w:rPr>
            </w:pPr>
          </w:p>
        </w:tc>
      </w:tr>
      <w:tr w14:paraId="0CC8F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06F9DB5B">
            <w:pPr>
              <w:spacing w:before="24" w:after="24" w:line="288" w:lineRule="auto"/>
              <w:jc w:val="center"/>
              <w:rPr>
                <w:rFonts w:ascii="Times New Roman" w:hAnsi="Times New Roman" w:cs="Times New Roman"/>
                <w:sz w:val="24"/>
              </w:rPr>
            </w:pPr>
            <w:r>
              <w:rPr>
                <w:rFonts w:ascii="Times New Roman" w:hAnsi="Times New Roman" w:cs="Times New Roman"/>
                <w:sz w:val="24"/>
              </w:rPr>
              <w:t>9</w:t>
            </w:r>
          </w:p>
        </w:tc>
        <w:tc>
          <w:tcPr>
            <w:tcW w:w="605" w:type="pct"/>
            <w:vMerge w:val="continue"/>
            <w:vAlign w:val="center"/>
          </w:tcPr>
          <w:p w14:paraId="3A60E576">
            <w:pPr>
              <w:spacing w:before="24" w:after="24" w:line="288" w:lineRule="auto"/>
              <w:jc w:val="center"/>
              <w:rPr>
                <w:rFonts w:ascii="Times New Roman" w:hAnsi="Times New Roman" w:cs="Times New Roman"/>
                <w:sz w:val="24"/>
              </w:rPr>
            </w:pPr>
          </w:p>
        </w:tc>
        <w:tc>
          <w:tcPr>
            <w:tcW w:w="1063" w:type="pct"/>
            <w:vMerge w:val="continue"/>
            <w:vAlign w:val="center"/>
          </w:tcPr>
          <w:p w14:paraId="324FAA92">
            <w:pPr>
              <w:spacing w:before="24" w:after="24" w:line="288" w:lineRule="auto"/>
              <w:jc w:val="center"/>
              <w:rPr>
                <w:rFonts w:ascii="Times New Roman" w:hAnsi="Times New Roman" w:cs="Times New Roman"/>
                <w:sz w:val="24"/>
              </w:rPr>
            </w:pPr>
          </w:p>
        </w:tc>
        <w:tc>
          <w:tcPr>
            <w:tcW w:w="2486" w:type="pct"/>
            <w:vAlign w:val="center"/>
          </w:tcPr>
          <w:p w14:paraId="354F808D">
            <w:pPr>
              <w:spacing w:before="24" w:after="24" w:line="288" w:lineRule="auto"/>
              <w:jc w:val="left"/>
              <w:rPr>
                <w:rFonts w:ascii="Times New Roman" w:hAnsi="Times New Roman" w:cs="Times New Roman"/>
                <w:sz w:val="24"/>
              </w:rPr>
            </w:pPr>
            <w:r>
              <w:rPr>
                <w:rFonts w:ascii="Times New Roman" w:hAnsi="Times New Roman" w:cs="Times New Roman"/>
                <w:sz w:val="24"/>
              </w:rPr>
              <w:t>EPDM橡塑/DN100～DN200/厚度设计确定</w:t>
            </w:r>
          </w:p>
        </w:tc>
        <w:tc>
          <w:tcPr>
            <w:tcW w:w="576" w:type="pct"/>
            <w:vAlign w:val="center"/>
          </w:tcPr>
          <w:p w14:paraId="46036F13">
            <w:pPr>
              <w:spacing w:before="24" w:after="24" w:line="288" w:lineRule="auto"/>
              <w:jc w:val="center"/>
              <w:rPr>
                <w:rFonts w:ascii="Times New Roman" w:hAnsi="Times New Roman" w:cs="Times New Roman"/>
                <w:sz w:val="24"/>
              </w:rPr>
            </w:pPr>
          </w:p>
        </w:tc>
      </w:tr>
      <w:tr w14:paraId="596CE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1558CDEF">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c>
          <w:tcPr>
            <w:tcW w:w="605" w:type="pct"/>
            <w:vMerge w:val="continue"/>
            <w:vAlign w:val="center"/>
          </w:tcPr>
          <w:p w14:paraId="0AE10279">
            <w:pPr>
              <w:spacing w:before="24" w:after="24" w:line="288" w:lineRule="auto"/>
              <w:jc w:val="center"/>
              <w:rPr>
                <w:rFonts w:ascii="Times New Roman" w:hAnsi="Times New Roman" w:cs="Times New Roman"/>
                <w:sz w:val="24"/>
              </w:rPr>
            </w:pPr>
          </w:p>
        </w:tc>
        <w:tc>
          <w:tcPr>
            <w:tcW w:w="1063" w:type="pct"/>
            <w:vAlign w:val="center"/>
          </w:tcPr>
          <w:p w14:paraId="75289BB8">
            <w:pPr>
              <w:spacing w:before="24" w:after="24" w:line="288" w:lineRule="auto"/>
              <w:jc w:val="center"/>
              <w:rPr>
                <w:rFonts w:ascii="Times New Roman" w:hAnsi="Times New Roman" w:cs="Times New Roman"/>
                <w:sz w:val="24"/>
              </w:rPr>
            </w:pPr>
            <w:r>
              <w:rPr>
                <w:rFonts w:ascii="Times New Roman" w:hAnsi="Times New Roman" w:cs="Times New Roman"/>
                <w:sz w:val="24"/>
              </w:rPr>
              <w:t>开式储热水箱</w:t>
            </w:r>
          </w:p>
        </w:tc>
        <w:tc>
          <w:tcPr>
            <w:tcW w:w="2486" w:type="pct"/>
            <w:vAlign w:val="center"/>
          </w:tcPr>
          <w:p w14:paraId="31EAD1CA">
            <w:pPr>
              <w:spacing w:before="24" w:after="24" w:line="288" w:lineRule="auto"/>
              <w:jc w:val="left"/>
              <w:rPr>
                <w:rFonts w:ascii="Times New Roman" w:hAnsi="Times New Roman" w:cs="Times New Roman"/>
                <w:sz w:val="24"/>
              </w:rPr>
            </w:pPr>
            <w:r>
              <w:rPr>
                <w:rFonts w:ascii="Times New Roman" w:hAnsi="Times New Roman" w:cs="Times New Roman"/>
                <w:sz w:val="24"/>
              </w:rPr>
              <w:t>不锈钢水箱/1～5m³/75mm厚硬质聚氨酯泡沫保温层/不锈钢外壳</w:t>
            </w:r>
          </w:p>
        </w:tc>
        <w:tc>
          <w:tcPr>
            <w:tcW w:w="576" w:type="pct"/>
            <w:vAlign w:val="center"/>
          </w:tcPr>
          <w:p w14:paraId="187EF43F">
            <w:pPr>
              <w:spacing w:before="24" w:after="24" w:line="288" w:lineRule="auto"/>
              <w:jc w:val="center"/>
              <w:rPr>
                <w:rFonts w:ascii="Times New Roman" w:hAnsi="Times New Roman" w:cs="Times New Roman"/>
                <w:sz w:val="24"/>
              </w:rPr>
            </w:pPr>
          </w:p>
        </w:tc>
      </w:tr>
      <w:tr w14:paraId="7B0F5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411DDD9E">
            <w:pPr>
              <w:spacing w:before="24" w:after="24" w:line="288" w:lineRule="auto"/>
              <w:jc w:val="center"/>
              <w:rPr>
                <w:rFonts w:ascii="Times New Roman" w:hAnsi="Times New Roman" w:cs="Times New Roman"/>
                <w:sz w:val="24"/>
              </w:rPr>
            </w:pPr>
            <w:r>
              <w:rPr>
                <w:rFonts w:ascii="Times New Roman" w:hAnsi="Times New Roman" w:cs="Times New Roman"/>
                <w:sz w:val="24"/>
              </w:rPr>
              <w:t>11</w:t>
            </w:r>
          </w:p>
        </w:tc>
        <w:tc>
          <w:tcPr>
            <w:tcW w:w="605" w:type="pct"/>
            <w:vMerge w:val="continue"/>
            <w:vAlign w:val="center"/>
          </w:tcPr>
          <w:p w14:paraId="31CBBFD4">
            <w:pPr>
              <w:spacing w:before="24" w:after="24" w:line="288" w:lineRule="auto"/>
              <w:jc w:val="center"/>
              <w:rPr>
                <w:rFonts w:ascii="Times New Roman" w:hAnsi="Times New Roman" w:cs="Times New Roman"/>
                <w:sz w:val="24"/>
              </w:rPr>
            </w:pPr>
          </w:p>
        </w:tc>
        <w:tc>
          <w:tcPr>
            <w:tcW w:w="1063" w:type="pct"/>
            <w:vAlign w:val="center"/>
          </w:tcPr>
          <w:p w14:paraId="708B0227">
            <w:pPr>
              <w:spacing w:before="24" w:after="24" w:line="288" w:lineRule="auto"/>
              <w:jc w:val="center"/>
              <w:rPr>
                <w:rFonts w:ascii="Times New Roman" w:hAnsi="Times New Roman" w:cs="Times New Roman"/>
                <w:sz w:val="24"/>
              </w:rPr>
            </w:pPr>
            <w:r>
              <w:rPr>
                <w:rFonts w:ascii="Times New Roman" w:hAnsi="Times New Roman" w:cs="Times New Roman"/>
                <w:sz w:val="24"/>
              </w:rPr>
              <w:t>开式储热水箱</w:t>
            </w:r>
          </w:p>
        </w:tc>
        <w:tc>
          <w:tcPr>
            <w:tcW w:w="2486" w:type="pct"/>
            <w:vAlign w:val="center"/>
          </w:tcPr>
          <w:p w14:paraId="1FDE7FB7">
            <w:pPr>
              <w:spacing w:before="24" w:after="24" w:line="288" w:lineRule="auto"/>
              <w:jc w:val="left"/>
              <w:rPr>
                <w:rFonts w:ascii="Times New Roman" w:hAnsi="Times New Roman" w:cs="Times New Roman"/>
                <w:sz w:val="24"/>
              </w:rPr>
            </w:pPr>
            <w:r>
              <w:rPr>
                <w:rFonts w:ascii="Times New Roman" w:hAnsi="Times New Roman" w:cs="Times New Roman"/>
                <w:sz w:val="24"/>
              </w:rPr>
              <w:t>不锈钢水箱/</w:t>
            </w:r>
            <w:r>
              <w:rPr>
                <w:rFonts w:ascii="Times New Roman" w:hAnsi="Times New Roman" w:eastAsia="楷体" w:cs="Times New Roman"/>
                <w:sz w:val="24"/>
              </w:rPr>
              <w:t>＞</w:t>
            </w:r>
            <w:r>
              <w:rPr>
                <w:rFonts w:ascii="Times New Roman" w:hAnsi="Times New Roman" w:cs="Times New Roman"/>
                <w:sz w:val="24"/>
              </w:rPr>
              <w:t>5m³/100mm厚硬质聚氨酯泡沫保温层/不锈钢外壳</w:t>
            </w:r>
          </w:p>
        </w:tc>
        <w:tc>
          <w:tcPr>
            <w:tcW w:w="576" w:type="pct"/>
            <w:vAlign w:val="center"/>
          </w:tcPr>
          <w:p w14:paraId="35D65889">
            <w:pPr>
              <w:spacing w:before="24" w:after="24" w:line="288" w:lineRule="auto"/>
              <w:jc w:val="center"/>
              <w:rPr>
                <w:rFonts w:ascii="Times New Roman" w:hAnsi="Times New Roman" w:cs="Times New Roman"/>
                <w:sz w:val="24"/>
              </w:rPr>
            </w:pPr>
          </w:p>
        </w:tc>
      </w:tr>
      <w:tr w14:paraId="12F0A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178020C0">
            <w:pPr>
              <w:spacing w:before="24" w:after="24" w:line="288" w:lineRule="auto"/>
              <w:jc w:val="center"/>
              <w:rPr>
                <w:rFonts w:ascii="Times New Roman" w:hAnsi="Times New Roman" w:cs="Times New Roman"/>
                <w:sz w:val="24"/>
              </w:rPr>
            </w:pPr>
            <w:r>
              <w:rPr>
                <w:rFonts w:ascii="Times New Roman" w:hAnsi="Times New Roman" w:cs="Times New Roman"/>
                <w:sz w:val="24"/>
              </w:rPr>
              <w:t>12</w:t>
            </w:r>
          </w:p>
        </w:tc>
        <w:tc>
          <w:tcPr>
            <w:tcW w:w="605" w:type="pct"/>
            <w:vMerge w:val="continue"/>
            <w:vAlign w:val="center"/>
          </w:tcPr>
          <w:p w14:paraId="29752CDC">
            <w:pPr>
              <w:spacing w:before="24" w:after="24" w:line="288" w:lineRule="auto"/>
              <w:jc w:val="center"/>
              <w:rPr>
                <w:rFonts w:ascii="Times New Roman" w:hAnsi="Times New Roman" w:cs="Times New Roman"/>
                <w:sz w:val="24"/>
              </w:rPr>
            </w:pPr>
          </w:p>
        </w:tc>
        <w:tc>
          <w:tcPr>
            <w:tcW w:w="1063" w:type="pct"/>
            <w:vAlign w:val="center"/>
          </w:tcPr>
          <w:p w14:paraId="0F46B5DD">
            <w:pPr>
              <w:spacing w:before="24" w:after="24" w:line="288" w:lineRule="auto"/>
              <w:jc w:val="center"/>
              <w:rPr>
                <w:rFonts w:ascii="Times New Roman" w:hAnsi="Times New Roman" w:cs="Times New Roman"/>
                <w:sz w:val="24"/>
              </w:rPr>
            </w:pPr>
            <w:r>
              <w:rPr>
                <w:rFonts w:ascii="Times New Roman" w:hAnsi="Times New Roman" w:cs="Times New Roman"/>
                <w:sz w:val="24"/>
              </w:rPr>
              <w:t>平板集热器</w:t>
            </w:r>
          </w:p>
        </w:tc>
        <w:tc>
          <w:tcPr>
            <w:tcW w:w="2486" w:type="pct"/>
            <w:vAlign w:val="center"/>
          </w:tcPr>
          <w:p w14:paraId="26BB8CC5">
            <w:pPr>
              <w:spacing w:before="24" w:after="24" w:line="288" w:lineRule="auto"/>
              <w:jc w:val="left"/>
              <w:rPr>
                <w:rFonts w:ascii="Times New Roman" w:hAnsi="Times New Roman" w:cs="Times New Roman"/>
                <w:sz w:val="24"/>
              </w:rPr>
            </w:pPr>
            <w:r>
              <w:rPr>
                <w:rFonts w:ascii="Times New Roman" w:hAnsi="Times New Roman" w:cs="Times New Roman"/>
                <w:sz w:val="24"/>
              </w:rPr>
              <w:t>铜管+铜板/1000*2000*80</w:t>
            </w:r>
          </w:p>
        </w:tc>
        <w:tc>
          <w:tcPr>
            <w:tcW w:w="576" w:type="pct"/>
            <w:vAlign w:val="center"/>
          </w:tcPr>
          <w:p w14:paraId="04141EDD">
            <w:pPr>
              <w:spacing w:before="24" w:after="24" w:line="288" w:lineRule="auto"/>
              <w:jc w:val="center"/>
              <w:rPr>
                <w:rFonts w:ascii="Times New Roman" w:hAnsi="Times New Roman" w:cs="Times New Roman"/>
                <w:sz w:val="24"/>
              </w:rPr>
            </w:pPr>
            <w:r>
              <w:rPr>
                <w:rFonts w:ascii="Times New Roman" w:hAnsi="Times New Roman" w:cs="Times New Roman"/>
                <w:sz w:val="24"/>
              </w:rPr>
              <w:t>适用集中太阳能系统</w:t>
            </w:r>
          </w:p>
        </w:tc>
      </w:tr>
      <w:tr w14:paraId="1399C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355F6130">
            <w:pPr>
              <w:spacing w:before="24" w:after="24" w:line="288" w:lineRule="auto"/>
              <w:jc w:val="center"/>
              <w:rPr>
                <w:rFonts w:ascii="Times New Roman" w:hAnsi="Times New Roman" w:cs="Times New Roman"/>
                <w:sz w:val="24"/>
              </w:rPr>
            </w:pPr>
            <w:r>
              <w:rPr>
                <w:rFonts w:ascii="Times New Roman" w:hAnsi="Times New Roman" w:cs="Times New Roman"/>
                <w:sz w:val="24"/>
              </w:rPr>
              <w:t>13</w:t>
            </w:r>
          </w:p>
        </w:tc>
        <w:tc>
          <w:tcPr>
            <w:tcW w:w="605" w:type="pct"/>
            <w:vMerge w:val="continue"/>
            <w:vAlign w:val="center"/>
          </w:tcPr>
          <w:p w14:paraId="27204761">
            <w:pPr>
              <w:spacing w:before="24" w:after="24" w:line="288" w:lineRule="auto"/>
              <w:jc w:val="center"/>
              <w:rPr>
                <w:rFonts w:ascii="Times New Roman" w:hAnsi="Times New Roman" w:cs="Times New Roman"/>
                <w:sz w:val="24"/>
              </w:rPr>
            </w:pPr>
          </w:p>
        </w:tc>
        <w:tc>
          <w:tcPr>
            <w:tcW w:w="1063" w:type="pct"/>
            <w:vAlign w:val="center"/>
          </w:tcPr>
          <w:p w14:paraId="1C5F1F05">
            <w:pPr>
              <w:spacing w:before="24" w:after="24" w:line="288" w:lineRule="auto"/>
              <w:jc w:val="center"/>
              <w:rPr>
                <w:rFonts w:ascii="Times New Roman" w:hAnsi="Times New Roman" w:cs="Times New Roman"/>
                <w:sz w:val="24"/>
              </w:rPr>
            </w:pPr>
            <w:r>
              <w:rPr>
                <w:rFonts w:ascii="Times New Roman" w:hAnsi="Times New Roman" w:cs="Times New Roman"/>
                <w:sz w:val="24"/>
              </w:rPr>
              <w:t>太阳能真空管集热器</w:t>
            </w:r>
          </w:p>
        </w:tc>
        <w:tc>
          <w:tcPr>
            <w:tcW w:w="2486" w:type="pct"/>
            <w:vAlign w:val="center"/>
          </w:tcPr>
          <w:p w14:paraId="0835C0F0">
            <w:pPr>
              <w:spacing w:before="24" w:after="24" w:line="288" w:lineRule="auto"/>
              <w:jc w:val="left"/>
              <w:rPr>
                <w:rFonts w:ascii="Times New Roman" w:hAnsi="Times New Roman" w:cs="Times New Roman"/>
                <w:sz w:val="24"/>
              </w:rPr>
            </w:pPr>
            <w:r>
              <w:rPr>
                <w:rFonts w:ascii="Times New Roman" w:hAnsi="Times New Roman" w:cs="Times New Roman"/>
                <w:sz w:val="24"/>
              </w:rPr>
              <w:t>高硼硅玻璃/Φ47×1500 mm</w:t>
            </w:r>
          </w:p>
        </w:tc>
        <w:tc>
          <w:tcPr>
            <w:tcW w:w="576" w:type="pct"/>
            <w:vAlign w:val="center"/>
          </w:tcPr>
          <w:p w14:paraId="11375A8F">
            <w:pPr>
              <w:spacing w:before="24" w:after="24" w:line="288" w:lineRule="auto"/>
              <w:jc w:val="center"/>
              <w:rPr>
                <w:rFonts w:ascii="Times New Roman" w:hAnsi="Times New Roman" w:cs="Times New Roman"/>
                <w:sz w:val="24"/>
              </w:rPr>
            </w:pPr>
            <w:r>
              <w:rPr>
                <w:rFonts w:ascii="Times New Roman" w:hAnsi="Times New Roman" w:cs="Times New Roman"/>
                <w:sz w:val="24"/>
              </w:rPr>
              <w:t>适用分散太阳能系统</w:t>
            </w:r>
          </w:p>
        </w:tc>
      </w:tr>
      <w:tr w14:paraId="623C2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0DC9DFDC">
            <w:pPr>
              <w:spacing w:before="24" w:after="24" w:line="288" w:lineRule="auto"/>
              <w:jc w:val="center"/>
              <w:rPr>
                <w:rFonts w:ascii="Times New Roman" w:hAnsi="Times New Roman" w:cs="Times New Roman"/>
                <w:sz w:val="24"/>
              </w:rPr>
            </w:pPr>
            <w:r>
              <w:rPr>
                <w:rFonts w:ascii="Times New Roman" w:hAnsi="Times New Roman" w:cs="Times New Roman"/>
                <w:sz w:val="24"/>
              </w:rPr>
              <w:t>14</w:t>
            </w:r>
          </w:p>
        </w:tc>
        <w:tc>
          <w:tcPr>
            <w:tcW w:w="605" w:type="pct"/>
            <w:vMerge w:val="restart"/>
            <w:vAlign w:val="center"/>
          </w:tcPr>
          <w:p w14:paraId="149DC554">
            <w:pPr>
              <w:spacing w:before="24" w:after="24" w:line="288" w:lineRule="auto"/>
              <w:jc w:val="center"/>
              <w:rPr>
                <w:rFonts w:ascii="Times New Roman" w:hAnsi="Times New Roman" w:cs="Times New Roman"/>
                <w:sz w:val="24"/>
              </w:rPr>
            </w:pPr>
            <w:r>
              <w:rPr>
                <w:rFonts w:ascii="Times New Roman" w:hAnsi="Times New Roman" w:cs="Times New Roman"/>
                <w:sz w:val="24"/>
              </w:rPr>
              <w:t>给水系统、热水系统阀门及附件</w:t>
            </w:r>
          </w:p>
        </w:tc>
        <w:tc>
          <w:tcPr>
            <w:tcW w:w="1063" w:type="pct"/>
            <w:vAlign w:val="center"/>
          </w:tcPr>
          <w:p w14:paraId="03A7E928">
            <w:pPr>
              <w:spacing w:before="24" w:after="24" w:line="288" w:lineRule="auto"/>
              <w:jc w:val="center"/>
              <w:rPr>
                <w:rFonts w:ascii="Times New Roman" w:hAnsi="Times New Roman" w:cs="Times New Roman"/>
                <w:sz w:val="24"/>
              </w:rPr>
            </w:pPr>
            <w:r>
              <w:rPr>
                <w:rFonts w:ascii="Times New Roman" w:hAnsi="Times New Roman" w:cs="Times New Roman"/>
                <w:sz w:val="24"/>
              </w:rPr>
              <w:t>截止阀</w:t>
            </w:r>
          </w:p>
        </w:tc>
        <w:tc>
          <w:tcPr>
            <w:tcW w:w="2486" w:type="pct"/>
            <w:vAlign w:val="center"/>
          </w:tcPr>
          <w:p w14:paraId="5BA85B80">
            <w:pPr>
              <w:spacing w:before="24" w:after="24" w:line="288" w:lineRule="auto"/>
              <w:jc w:val="left"/>
              <w:rPr>
                <w:rFonts w:ascii="Times New Roman" w:hAnsi="Times New Roman" w:cs="Times New Roman"/>
                <w:sz w:val="24"/>
              </w:rPr>
            </w:pPr>
            <w:r>
              <w:rPr>
                <w:rFonts w:ascii="Times New Roman" w:hAnsi="Times New Roman" w:cs="Times New Roman"/>
                <w:sz w:val="24"/>
              </w:rPr>
              <w:t>不锈钢材质/PN=1.6MPa/DN15～DN50</w:t>
            </w:r>
          </w:p>
        </w:tc>
        <w:tc>
          <w:tcPr>
            <w:tcW w:w="576" w:type="pct"/>
            <w:vAlign w:val="center"/>
          </w:tcPr>
          <w:p w14:paraId="64CB31A3">
            <w:pPr>
              <w:spacing w:before="24" w:after="24" w:line="288" w:lineRule="auto"/>
              <w:jc w:val="center"/>
              <w:rPr>
                <w:rFonts w:ascii="Times New Roman" w:hAnsi="Times New Roman" w:cs="Times New Roman"/>
                <w:sz w:val="24"/>
              </w:rPr>
            </w:pPr>
          </w:p>
        </w:tc>
      </w:tr>
      <w:tr w14:paraId="4FCDE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38F94ACE">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c>
          <w:tcPr>
            <w:tcW w:w="605" w:type="pct"/>
            <w:vMerge w:val="continue"/>
            <w:vAlign w:val="center"/>
          </w:tcPr>
          <w:p w14:paraId="4EB79F78">
            <w:pPr>
              <w:spacing w:before="24" w:after="24" w:line="288" w:lineRule="auto"/>
              <w:jc w:val="center"/>
              <w:rPr>
                <w:rFonts w:ascii="Times New Roman" w:hAnsi="Times New Roman" w:cs="Times New Roman"/>
                <w:sz w:val="24"/>
              </w:rPr>
            </w:pPr>
          </w:p>
        </w:tc>
        <w:tc>
          <w:tcPr>
            <w:tcW w:w="1063" w:type="pct"/>
            <w:vAlign w:val="center"/>
          </w:tcPr>
          <w:p w14:paraId="756DA83D">
            <w:pPr>
              <w:spacing w:before="24" w:after="24" w:line="288" w:lineRule="auto"/>
              <w:jc w:val="center"/>
              <w:rPr>
                <w:rFonts w:ascii="Times New Roman" w:hAnsi="Times New Roman" w:cs="Times New Roman"/>
                <w:sz w:val="24"/>
              </w:rPr>
            </w:pPr>
            <w:r>
              <w:rPr>
                <w:rFonts w:ascii="Times New Roman" w:hAnsi="Times New Roman" w:cs="Times New Roman"/>
                <w:sz w:val="24"/>
              </w:rPr>
              <w:t>球阀</w:t>
            </w:r>
          </w:p>
        </w:tc>
        <w:tc>
          <w:tcPr>
            <w:tcW w:w="2486" w:type="pct"/>
            <w:vAlign w:val="center"/>
          </w:tcPr>
          <w:p w14:paraId="0ADC30B6">
            <w:pPr>
              <w:spacing w:before="24" w:after="24" w:line="288" w:lineRule="auto"/>
              <w:jc w:val="left"/>
              <w:rPr>
                <w:rFonts w:ascii="Times New Roman" w:hAnsi="Times New Roman" w:cs="Times New Roman"/>
                <w:sz w:val="24"/>
              </w:rPr>
            </w:pPr>
            <w:r>
              <w:rPr>
                <w:rFonts w:ascii="Times New Roman" w:hAnsi="Times New Roman" w:cs="Times New Roman"/>
                <w:sz w:val="24"/>
              </w:rPr>
              <w:t>不锈钢材质/PN=1.6MPa/DN15～DN50</w:t>
            </w:r>
          </w:p>
        </w:tc>
        <w:tc>
          <w:tcPr>
            <w:tcW w:w="576" w:type="pct"/>
            <w:vAlign w:val="center"/>
          </w:tcPr>
          <w:p w14:paraId="3C457608">
            <w:pPr>
              <w:spacing w:before="24" w:after="24" w:line="288" w:lineRule="auto"/>
              <w:jc w:val="center"/>
              <w:rPr>
                <w:rFonts w:ascii="Times New Roman" w:hAnsi="Times New Roman" w:cs="Times New Roman"/>
                <w:sz w:val="24"/>
              </w:rPr>
            </w:pPr>
          </w:p>
        </w:tc>
      </w:tr>
      <w:tr w14:paraId="0761E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295A5712">
            <w:pPr>
              <w:spacing w:before="24" w:after="24" w:line="288" w:lineRule="auto"/>
              <w:jc w:val="center"/>
              <w:rPr>
                <w:rFonts w:ascii="Times New Roman" w:hAnsi="Times New Roman" w:cs="Times New Roman"/>
                <w:sz w:val="24"/>
              </w:rPr>
            </w:pPr>
            <w:r>
              <w:rPr>
                <w:rFonts w:ascii="Times New Roman" w:hAnsi="Times New Roman" w:cs="Times New Roman"/>
                <w:sz w:val="24"/>
              </w:rPr>
              <w:t>16</w:t>
            </w:r>
          </w:p>
        </w:tc>
        <w:tc>
          <w:tcPr>
            <w:tcW w:w="605" w:type="pct"/>
            <w:vMerge w:val="continue"/>
            <w:vAlign w:val="center"/>
          </w:tcPr>
          <w:p w14:paraId="09CB0D3B">
            <w:pPr>
              <w:spacing w:before="24" w:after="24" w:line="288" w:lineRule="auto"/>
              <w:jc w:val="center"/>
              <w:rPr>
                <w:rFonts w:ascii="Times New Roman" w:hAnsi="Times New Roman" w:cs="Times New Roman"/>
                <w:sz w:val="24"/>
              </w:rPr>
            </w:pPr>
          </w:p>
        </w:tc>
        <w:tc>
          <w:tcPr>
            <w:tcW w:w="1063" w:type="pct"/>
            <w:vAlign w:val="center"/>
          </w:tcPr>
          <w:p w14:paraId="4DC7530B">
            <w:pPr>
              <w:spacing w:before="24" w:after="24" w:line="288" w:lineRule="auto"/>
              <w:jc w:val="center"/>
              <w:rPr>
                <w:rFonts w:ascii="Times New Roman" w:hAnsi="Times New Roman" w:cs="Times New Roman"/>
                <w:sz w:val="24"/>
              </w:rPr>
            </w:pPr>
            <w:r>
              <w:rPr>
                <w:rFonts w:ascii="Times New Roman" w:hAnsi="Times New Roman" w:cs="Times New Roman"/>
                <w:sz w:val="24"/>
              </w:rPr>
              <w:t>闸阀</w:t>
            </w:r>
          </w:p>
        </w:tc>
        <w:tc>
          <w:tcPr>
            <w:tcW w:w="2486" w:type="pct"/>
            <w:vAlign w:val="center"/>
          </w:tcPr>
          <w:p w14:paraId="72C9B931">
            <w:pPr>
              <w:spacing w:before="24" w:after="24" w:line="288" w:lineRule="auto"/>
              <w:jc w:val="left"/>
              <w:rPr>
                <w:rFonts w:ascii="Times New Roman" w:hAnsi="Times New Roman" w:cs="Times New Roman"/>
                <w:sz w:val="24"/>
              </w:rPr>
            </w:pPr>
            <w:r>
              <w:rPr>
                <w:rFonts w:ascii="Times New Roman" w:hAnsi="Times New Roman" w:cs="Times New Roman"/>
                <w:sz w:val="24"/>
              </w:rPr>
              <w:t>球墨铸铁/PN=1.6MPa/DN65～DN100</w:t>
            </w:r>
          </w:p>
        </w:tc>
        <w:tc>
          <w:tcPr>
            <w:tcW w:w="576" w:type="pct"/>
            <w:vAlign w:val="center"/>
          </w:tcPr>
          <w:p w14:paraId="3FD271BB">
            <w:pPr>
              <w:spacing w:before="24" w:after="24" w:line="288" w:lineRule="auto"/>
              <w:jc w:val="center"/>
              <w:rPr>
                <w:rFonts w:ascii="Times New Roman" w:hAnsi="Times New Roman" w:cs="Times New Roman"/>
                <w:sz w:val="24"/>
              </w:rPr>
            </w:pPr>
          </w:p>
        </w:tc>
      </w:tr>
      <w:tr w14:paraId="7A03E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50E24F54">
            <w:pPr>
              <w:spacing w:before="24" w:after="24" w:line="288" w:lineRule="auto"/>
              <w:jc w:val="center"/>
              <w:rPr>
                <w:rFonts w:ascii="Times New Roman" w:hAnsi="Times New Roman" w:cs="Times New Roman"/>
                <w:sz w:val="24"/>
              </w:rPr>
            </w:pPr>
            <w:r>
              <w:rPr>
                <w:rFonts w:ascii="Times New Roman" w:hAnsi="Times New Roman" w:cs="Times New Roman"/>
                <w:sz w:val="24"/>
              </w:rPr>
              <w:t>17</w:t>
            </w:r>
          </w:p>
        </w:tc>
        <w:tc>
          <w:tcPr>
            <w:tcW w:w="605" w:type="pct"/>
            <w:vMerge w:val="continue"/>
            <w:vAlign w:val="center"/>
          </w:tcPr>
          <w:p w14:paraId="150A24B5">
            <w:pPr>
              <w:spacing w:before="24" w:after="24" w:line="288" w:lineRule="auto"/>
              <w:jc w:val="center"/>
              <w:rPr>
                <w:rFonts w:ascii="Times New Roman" w:hAnsi="Times New Roman" w:cs="Times New Roman"/>
                <w:sz w:val="24"/>
              </w:rPr>
            </w:pPr>
          </w:p>
        </w:tc>
        <w:tc>
          <w:tcPr>
            <w:tcW w:w="1063" w:type="pct"/>
            <w:vAlign w:val="center"/>
          </w:tcPr>
          <w:p w14:paraId="412EE967">
            <w:pPr>
              <w:spacing w:before="24" w:after="24" w:line="288" w:lineRule="auto"/>
              <w:jc w:val="center"/>
              <w:rPr>
                <w:rFonts w:ascii="Times New Roman" w:hAnsi="Times New Roman" w:cs="Times New Roman"/>
                <w:sz w:val="24"/>
              </w:rPr>
            </w:pPr>
            <w:r>
              <w:rPr>
                <w:rFonts w:ascii="Times New Roman" w:hAnsi="Times New Roman" w:cs="Times New Roman"/>
                <w:sz w:val="24"/>
              </w:rPr>
              <w:t>缓闭消声止回阀</w:t>
            </w:r>
          </w:p>
        </w:tc>
        <w:tc>
          <w:tcPr>
            <w:tcW w:w="2486" w:type="pct"/>
            <w:vAlign w:val="center"/>
          </w:tcPr>
          <w:p w14:paraId="3FBCF05B">
            <w:pPr>
              <w:spacing w:before="24" w:after="24" w:line="288" w:lineRule="auto"/>
              <w:jc w:val="left"/>
              <w:rPr>
                <w:rFonts w:ascii="Times New Roman" w:hAnsi="Times New Roman" w:cs="Times New Roman"/>
                <w:sz w:val="24"/>
              </w:rPr>
            </w:pPr>
            <w:r>
              <w:rPr>
                <w:rFonts w:ascii="Times New Roman" w:hAnsi="Times New Roman" w:cs="Times New Roman"/>
                <w:sz w:val="24"/>
              </w:rPr>
              <w:t>球墨铸铁（橡胶密封）/PN=1.6MPa/DN65～DN100</w:t>
            </w:r>
          </w:p>
        </w:tc>
        <w:tc>
          <w:tcPr>
            <w:tcW w:w="576" w:type="pct"/>
            <w:vAlign w:val="center"/>
          </w:tcPr>
          <w:p w14:paraId="4E5DA807">
            <w:pPr>
              <w:spacing w:before="24" w:after="24" w:line="288" w:lineRule="auto"/>
              <w:jc w:val="center"/>
              <w:rPr>
                <w:rFonts w:ascii="Times New Roman" w:hAnsi="Times New Roman" w:cs="Times New Roman"/>
                <w:sz w:val="24"/>
              </w:rPr>
            </w:pPr>
            <w:r>
              <w:rPr>
                <w:rFonts w:ascii="Times New Roman" w:hAnsi="Times New Roman" w:cs="Times New Roman"/>
                <w:sz w:val="24"/>
              </w:rPr>
              <w:t>水泵出口</w:t>
            </w:r>
          </w:p>
        </w:tc>
      </w:tr>
      <w:tr w14:paraId="6C275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03C03892">
            <w:pPr>
              <w:spacing w:before="24" w:after="24" w:line="288" w:lineRule="auto"/>
              <w:jc w:val="center"/>
              <w:rPr>
                <w:rFonts w:ascii="Times New Roman" w:hAnsi="Times New Roman" w:cs="Times New Roman"/>
                <w:sz w:val="24"/>
              </w:rPr>
            </w:pPr>
            <w:r>
              <w:rPr>
                <w:rFonts w:ascii="Times New Roman" w:hAnsi="Times New Roman" w:cs="Times New Roman"/>
                <w:sz w:val="24"/>
              </w:rPr>
              <w:t>18</w:t>
            </w:r>
          </w:p>
        </w:tc>
        <w:tc>
          <w:tcPr>
            <w:tcW w:w="605" w:type="pct"/>
            <w:vMerge w:val="continue"/>
            <w:vAlign w:val="center"/>
          </w:tcPr>
          <w:p w14:paraId="0046EEEB">
            <w:pPr>
              <w:spacing w:before="24" w:after="24" w:line="288" w:lineRule="auto"/>
              <w:jc w:val="center"/>
              <w:rPr>
                <w:rFonts w:ascii="Times New Roman" w:hAnsi="Times New Roman" w:cs="Times New Roman"/>
                <w:sz w:val="24"/>
              </w:rPr>
            </w:pPr>
          </w:p>
        </w:tc>
        <w:tc>
          <w:tcPr>
            <w:tcW w:w="1063" w:type="pct"/>
            <w:vAlign w:val="center"/>
          </w:tcPr>
          <w:p w14:paraId="3C48517D">
            <w:pPr>
              <w:spacing w:before="24" w:after="24" w:line="288" w:lineRule="auto"/>
              <w:jc w:val="center"/>
              <w:rPr>
                <w:rFonts w:ascii="Times New Roman" w:hAnsi="Times New Roman" w:cs="Times New Roman"/>
                <w:sz w:val="24"/>
              </w:rPr>
            </w:pPr>
            <w:r>
              <w:rPr>
                <w:rFonts w:ascii="Times New Roman" w:hAnsi="Times New Roman" w:cs="Times New Roman"/>
                <w:sz w:val="24"/>
              </w:rPr>
              <w:t>旋启式止回阀</w:t>
            </w:r>
          </w:p>
        </w:tc>
        <w:tc>
          <w:tcPr>
            <w:tcW w:w="2486" w:type="pct"/>
            <w:vAlign w:val="center"/>
          </w:tcPr>
          <w:p w14:paraId="3D6AF105">
            <w:pPr>
              <w:spacing w:before="24" w:after="24" w:line="288" w:lineRule="auto"/>
              <w:jc w:val="left"/>
              <w:rPr>
                <w:rFonts w:ascii="Times New Roman" w:hAnsi="Times New Roman" w:cs="Times New Roman"/>
                <w:sz w:val="24"/>
              </w:rPr>
            </w:pPr>
            <w:r>
              <w:rPr>
                <w:rFonts w:ascii="Times New Roman" w:hAnsi="Times New Roman" w:cs="Times New Roman"/>
                <w:sz w:val="24"/>
              </w:rPr>
              <w:t>球墨铸铁/PN=1.6MPa/DN50～DN200</w:t>
            </w:r>
          </w:p>
        </w:tc>
        <w:tc>
          <w:tcPr>
            <w:tcW w:w="576" w:type="pct"/>
            <w:vAlign w:val="center"/>
          </w:tcPr>
          <w:p w14:paraId="4AAD0F0D">
            <w:pPr>
              <w:spacing w:before="24" w:after="24" w:line="288" w:lineRule="auto"/>
              <w:jc w:val="center"/>
              <w:rPr>
                <w:rFonts w:ascii="Times New Roman" w:hAnsi="Times New Roman" w:cs="Times New Roman"/>
                <w:sz w:val="24"/>
              </w:rPr>
            </w:pPr>
          </w:p>
        </w:tc>
      </w:tr>
      <w:tr w14:paraId="560A1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3C05A339">
            <w:pPr>
              <w:spacing w:before="24" w:after="24" w:line="288" w:lineRule="auto"/>
              <w:jc w:val="center"/>
              <w:rPr>
                <w:rFonts w:ascii="Times New Roman" w:hAnsi="Times New Roman" w:cs="Times New Roman"/>
                <w:sz w:val="24"/>
              </w:rPr>
            </w:pPr>
            <w:r>
              <w:rPr>
                <w:rFonts w:ascii="Times New Roman" w:hAnsi="Times New Roman" w:cs="Times New Roman"/>
                <w:sz w:val="24"/>
              </w:rPr>
              <w:t>19</w:t>
            </w:r>
          </w:p>
        </w:tc>
        <w:tc>
          <w:tcPr>
            <w:tcW w:w="605" w:type="pct"/>
            <w:vMerge w:val="continue"/>
            <w:vAlign w:val="center"/>
          </w:tcPr>
          <w:p w14:paraId="3F538D29">
            <w:pPr>
              <w:spacing w:before="24" w:after="24" w:line="288" w:lineRule="auto"/>
              <w:jc w:val="center"/>
              <w:rPr>
                <w:rFonts w:ascii="Times New Roman" w:hAnsi="Times New Roman" w:cs="Times New Roman"/>
                <w:sz w:val="24"/>
              </w:rPr>
            </w:pPr>
          </w:p>
        </w:tc>
        <w:tc>
          <w:tcPr>
            <w:tcW w:w="1063" w:type="pct"/>
            <w:vAlign w:val="center"/>
          </w:tcPr>
          <w:p w14:paraId="035B345E">
            <w:pPr>
              <w:spacing w:before="24" w:after="24" w:line="288" w:lineRule="auto"/>
              <w:jc w:val="center"/>
              <w:rPr>
                <w:rFonts w:ascii="Times New Roman" w:hAnsi="Times New Roman" w:cs="Times New Roman"/>
                <w:sz w:val="24"/>
              </w:rPr>
            </w:pPr>
            <w:r>
              <w:rPr>
                <w:rFonts w:ascii="Times New Roman" w:hAnsi="Times New Roman" w:cs="Times New Roman"/>
                <w:sz w:val="24"/>
              </w:rPr>
              <w:t>升降式止回阀</w:t>
            </w:r>
          </w:p>
        </w:tc>
        <w:tc>
          <w:tcPr>
            <w:tcW w:w="2486" w:type="pct"/>
            <w:vAlign w:val="center"/>
          </w:tcPr>
          <w:p w14:paraId="5CF49EC9">
            <w:pPr>
              <w:spacing w:before="24" w:after="24" w:line="288" w:lineRule="auto"/>
              <w:jc w:val="left"/>
              <w:rPr>
                <w:rFonts w:ascii="Times New Roman" w:hAnsi="Times New Roman" w:cs="Times New Roman"/>
                <w:sz w:val="24"/>
              </w:rPr>
            </w:pPr>
            <w:r>
              <w:rPr>
                <w:rFonts w:ascii="Times New Roman" w:hAnsi="Times New Roman" w:cs="Times New Roman"/>
                <w:sz w:val="24"/>
              </w:rPr>
              <w:t>铜质/PN=1.6MPa/DN15～DN40</w:t>
            </w:r>
          </w:p>
        </w:tc>
        <w:tc>
          <w:tcPr>
            <w:tcW w:w="576" w:type="pct"/>
            <w:vAlign w:val="center"/>
          </w:tcPr>
          <w:p w14:paraId="2F7C7E68">
            <w:pPr>
              <w:spacing w:before="24" w:after="24" w:line="288" w:lineRule="auto"/>
              <w:jc w:val="center"/>
              <w:rPr>
                <w:rFonts w:ascii="Times New Roman" w:hAnsi="Times New Roman" w:cs="Times New Roman"/>
                <w:sz w:val="24"/>
              </w:rPr>
            </w:pPr>
          </w:p>
        </w:tc>
      </w:tr>
      <w:tr w14:paraId="3B313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5C739793">
            <w:pPr>
              <w:spacing w:before="24" w:after="24" w:line="288" w:lineRule="auto"/>
              <w:jc w:val="center"/>
              <w:rPr>
                <w:rFonts w:ascii="Times New Roman" w:hAnsi="Times New Roman" w:cs="Times New Roman"/>
                <w:sz w:val="24"/>
              </w:rPr>
            </w:pPr>
            <w:r>
              <w:rPr>
                <w:rFonts w:ascii="Times New Roman" w:hAnsi="Times New Roman" w:cs="Times New Roman"/>
                <w:sz w:val="24"/>
              </w:rPr>
              <w:t>20</w:t>
            </w:r>
          </w:p>
        </w:tc>
        <w:tc>
          <w:tcPr>
            <w:tcW w:w="605" w:type="pct"/>
            <w:vMerge w:val="continue"/>
            <w:vAlign w:val="center"/>
          </w:tcPr>
          <w:p w14:paraId="598ADB43">
            <w:pPr>
              <w:spacing w:before="24" w:after="24" w:line="288" w:lineRule="auto"/>
              <w:jc w:val="center"/>
              <w:rPr>
                <w:rFonts w:ascii="Times New Roman" w:hAnsi="Times New Roman" w:cs="Times New Roman"/>
                <w:sz w:val="24"/>
              </w:rPr>
            </w:pPr>
          </w:p>
        </w:tc>
        <w:tc>
          <w:tcPr>
            <w:tcW w:w="1063" w:type="pct"/>
            <w:vAlign w:val="center"/>
          </w:tcPr>
          <w:p w14:paraId="3F0A72A8">
            <w:pPr>
              <w:spacing w:before="24" w:after="24" w:line="288" w:lineRule="auto"/>
              <w:jc w:val="center"/>
              <w:rPr>
                <w:rFonts w:ascii="Times New Roman" w:hAnsi="Times New Roman" w:cs="Times New Roman"/>
                <w:sz w:val="24"/>
              </w:rPr>
            </w:pPr>
            <w:r>
              <w:rPr>
                <w:rFonts w:ascii="Times New Roman" w:hAnsi="Times New Roman" w:cs="Times New Roman"/>
                <w:sz w:val="24"/>
              </w:rPr>
              <w:t>柔性橡胶接头</w:t>
            </w:r>
          </w:p>
        </w:tc>
        <w:tc>
          <w:tcPr>
            <w:tcW w:w="2486" w:type="pct"/>
            <w:vAlign w:val="center"/>
          </w:tcPr>
          <w:p w14:paraId="0EDD5E4B">
            <w:pPr>
              <w:spacing w:before="24" w:after="24" w:line="288" w:lineRule="auto"/>
              <w:jc w:val="left"/>
              <w:rPr>
                <w:rFonts w:ascii="Times New Roman" w:hAnsi="Times New Roman" w:cs="Times New Roman"/>
                <w:sz w:val="24"/>
              </w:rPr>
            </w:pPr>
            <w:r>
              <w:rPr>
                <w:rFonts w:ascii="Times New Roman" w:hAnsi="Times New Roman" w:cs="Times New Roman"/>
                <w:sz w:val="24"/>
              </w:rPr>
              <w:t>橡胶/PN=1.6MPa/DN25～DN150</w:t>
            </w:r>
          </w:p>
        </w:tc>
        <w:tc>
          <w:tcPr>
            <w:tcW w:w="576" w:type="pct"/>
            <w:vAlign w:val="center"/>
          </w:tcPr>
          <w:p w14:paraId="5D770CC1">
            <w:pPr>
              <w:spacing w:before="24" w:after="24" w:line="288" w:lineRule="auto"/>
              <w:jc w:val="center"/>
              <w:rPr>
                <w:rFonts w:ascii="Times New Roman" w:hAnsi="Times New Roman" w:cs="Times New Roman"/>
                <w:sz w:val="24"/>
              </w:rPr>
            </w:pPr>
          </w:p>
        </w:tc>
      </w:tr>
      <w:tr w14:paraId="43162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6A8DF5AB">
            <w:pPr>
              <w:spacing w:before="24" w:after="24" w:line="288" w:lineRule="auto"/>
              <w:jc w:val="center"/>
              <w:rPr>
                <w:rFonts w:ascii="Times New Roman" w:hAnsi="Times New Roman" w:cs="Times New Roman"/>
                <w:sz w:val="24"/>
              </w:rPr>
            </w:pPr>
            <w:r>
              <w:rPr>
                <w:rFonts w:ascii="Times New Roman" w:hAnsi="Times New Roman" w:cs="Times New Roman"/>
                <w:sz w:val="24"/>
              </w:rPr>
              <w:t>21</w:t>
            </w:r>
          </w:p>
        </w:tc>
        <w:tc>
          <w:tcPr>
            <w:tcW w:w="605" w:type="pct"/>
            <w:vMerge w:val="continue"/>
            <w:vAlign w:val="center"/>
          </w:tcPr>
          <w:p w14:paraId="63168A3E">
            <w:pPr>
              <w:spacing w:before="24" w:after="24" w:line="288" w:lineRule="auto"/>
              <w:jc w:val="center"/>
              <w:rPr>
                <w:rFonts w:ascii="Times New Roman" w:hAnsi="Times New Roman" w:cs="Times New Roman"/>
                <w:sz w:val="24"/>
              </w:rPr>
            </w:pPr>
          </w:p>
        </w:tc>
        <w:tc>
          <w:tcPr>
            <w:tcW w:w="1063" w:type="pct"/>
            <w:vAlign w:val="center"/>
          </w:tcPr>
          <w:p w14:paraId="72C266A7">
            <w:pPr>
              <w:spacing w:before="24" w:after="24" w:line="288" w:lineRule="auto"/>
              <w:jc w:val="center"/>
              <w:rPr>
                <w:rFonts w:ascii="Times New Roman" w:hAnsi="Times New Roman" w:cs="Times New Roman"/>
                <w:sz w:val="24"/>
              </w:rPr>
            </w:pPr>
            <w:r>
              <w:rPr>
                <w:rFonts w:ascii="Times New Roman" w:hAnsi="Times New Roman" w:cs="Times New Roman"/>
                <w:sz w:val="24"/>
              </w:rPr>
              <w:t>Y型过滤器</w:t>
            </w:r>
          </w:p>
        </w:tc>
        <w:tc>
          <w:tcPr>
            <w:tcW w:w="2486" w:type="pct"/>
            <w:vAlign w:val="center"/>
          </w:tcPr>
          <w:p w14:paraId="26E917B8">
            <w:pPr>
              <w:spacing w:before="24" w:after="24" w:line="288" w:lineRule="auto"/>
              <w:jc w:val="center"/>
              <w:rPr>
                <w:rFonts w:ascii="Times New Roman" w:hAnsi="Times New Roman" w:cs="Times New Roman"/>
                <w:sz w:val="24"/>
              </w:rPr>
            </w:pPr>
            <w:r>
              <w:rPr>
                <w:rFonts w:ascii="Times New Roman" w:hAnsi="Times New Roman" w:cs="Times New Roman"/>
                <w:sz w:val="24"/>
              </w:rPr>
              <w:t>铜质/PN=1.6MPa/DN15～DN50</w:t>
            </w:r>
          </w:p>
        </w:tc>
        <w:tc>
          <w:tcPr>
            <w:tcW w:w="576" w:type="pct"/>
            <w:vAlign w:val="center"/>
          </w:tcPr>
          <w:p w14:paraId="573FBBD8">
            <w:pPr>
              <w:spacing w:before="24" w:after="24" w:line="288" w:lineRule="auto"/>
              <w:jc w:val="center"/>
              <w:rPr>
                <w:rFonts w:ascii="Times New Roman" w:hAnsi="Times New Roman" w:cs="Times New Roman"/>
                <w:sz w:val="24"/>
              </w:rPr>
            </w:pPr>
          </w:p>
        </w:tc>
      </w:tr>
      <w:tr w14:paraId="3B9DD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44702D8D">
            <w:pPr>
              <w:spacing w:before="24" w:after="24" w:line="288" w:lineRule="auto"/>
              <w:jc w:val="center"/>
              <w:rPr>
                <w:rFonts w:ascii="Times New Roman" w:hAnsi="Times New Roman" w:cs="Times New Roman"/>
                <w:sz w:val="24"/>
              </w:rPr>
            </w:pPr>
            <w:r>
              <w:rPr>
                <w:rFonts w:ascii="Times New Roman" w:hAnsi="Times New Roman" w:cs="Times New Roman"/>
                <w:sz w:val="24"/>
              </w:rPr>
              <w:t>22</w:t>
            </w:r>
          </w:p>
        </w:tc>
        <w:tc>
          <w:tcPr>
            <w:tcW w:w="605" w:type="pct"/>
            <w:vMerge w:val="continue"/>
            <w:vAlign w:val="center"/>
          </w:tcPr>
          <w:p w14:paraId="1E9059FC">
            <w:pPr>
              <w:spacing w:before="24" w:after="24" w:line="288" w:lineRule="auto"/>
              <w:jc w:val="center"/>
              <w:rPr>
                <w:rFonts w:ascii="Times New Roman" w:hAnsi="Times New Roman" w:cs="Times New Roman"/>
                <w:sz w:val="24"/>
              </w:rPr>
            </w:pPr>
          </w:p>
        </w:tc>
        <w:tc>
          <w:tcPr>
            <w:tcW w:w="1063" w:type="pct"/>
            <w:vAlign w:val="center"/>
          </w:tcPr>
          <w:p w14:paraId="22D8D145">
            <w:pPr>
              <w:spacing w:before="24" w:after="24" w:line="288" w:lineRule="auto"/>
              <w:jc w:val="center"/>
              <w:rPr>
                <w:rFonts w:ascii="Times New Roman" w:hAnsi="Times New Roman" w:cs="Times New Roman"/>
                <w:sz w:val="24"/>
              </w:rPr>
            </w:pPr>
            <w:r>
              <w:rPr>
                <w:rFonts w:ascii="Times New Roman" w:hAnsi="Times New Roman" w:cs="Times New Roman"/>
                <w:sz w:val="24"/>
              </w:rPr>
              <w:t>Y型过滤器</w:t>
            </w:r>
          </w:p>
        </w:tc>
        <w:tc>
          <w:tcPr>
            <w:tcW w:w="2486" w:type="pct"/>
            <w:vAlign w:val="center"/>
          </w:tcPr>
          <w:p w14:paraId="72E10ACC">
            <w:pPr>
              <w:spacing w:before="24" w:after="24" w:line="288" w:lineRule="auto"/>
              <w:jc w:val="center"/>
              <w:rPr>
                <w:rFonts w:ascii="Times New Roman" w:hAnsi="Times New Roman" w:cs="Times New Roman"/>
                <w:sz w:val="24"/>
              </w:rPr>
            </w:pPr>
            <w:r>
              <w:rPr>
                <w:rFonts w:ascii="Times New Roman" w:hAnsi="Times New Roman" w:cs="Times New Roman"/>
                <w:sz w:val="24"/>
              </w:rPr>
              <w:t>球墨铸铁/PN=1.6MPa/DN65～DN150</w:t>
            </w:r>
          </w:p>
        </w:tc>
        <w:tc>
          <w:tcPr>
            <w:tcW w:w="576" w:type="pct"/>
            <w:vAlign w:val="center"/>
          </w:tcPr>
          <w:p w14:paraId="3E681FEE">
            <w:pPr>
              <w:spacing w:before="24" w:after="24" w:line="288" w:lineRule="auto"/>
              <w:jc w:val="center"/>
              <w:rPr>
                <w:rFonts w:ascii="Times New Roman" w:hAnsi="Times New Roman" w:cs="Times New Roman"/>
                <w:sz w:val="24"/>
              </w:rPr>
            </w:pPr>
          </w:p>
        </w:tc>
      </w:tr>
      <w:tr w14:paraId="530E2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31270D4C">
            <w:pPr>
              <w:spacing w:before="24" w:after="24" w:line="288" w:lineRule="auto"/>
              <w:jc w:val="center"/>
              <w:rPr>
                <w:rFonts w:ascii="Times New Roman" w:hAnsi="Times New Roman" w:cs="Times New Roman"/>
                <w:sz w:val="24"/>
              </w:rPr>
            </w:pPr>
            <w:r>
              <w:rPr>
                <w:rFonts w:ascii="Times New Roman" w:hAnsi="Times New Roman" w:cs="Times New Roman"/>
                <w:sz w:val="24"/>
              </w:rPr>
              <w:t>23</w:t>
            </w:r>
          </w:p>
        </w:tc>
        <w:tc>
          <w:tcPr>
            <w:tcW w:w="605" w:type="pct"/>
            <w:vMerge w:val="continue"/>
            <w:vAlign w:val="center"/>
          </w:tcPr>
          <w:p w14:paraId="4235F3E7">
            <w:pPr>
              <w:spacing w:before="24" w:after="24" w:line="288" w:lineRule="auto"/>
              <w:jc w:val="center"/>
              <w:rPr>
                <w:rFonts w:ascii="Times New Roman" w:hAnsi="Times New Roman" w:cs="Times New Roman"/>
                <w:sz w:val="24"/>
              </w:rPr>
            </w:pPr>
          </w:p>
        </w:tc>
        <w:tc>
          <w:tcPr>
            <w:tcW w:w="1063" w:type="pct"/>
            <w:vAlign w:val="center"/>
          </w:tcPr>
          <w:p w14:paraId="2ADAAFD9">
            <w:pPr>
              <w:spacing w:before="24" w:after="24" w:line="288" w:lineRule="auto"/>
              <w:jc w:val="center"/>
              <w:rPr>
                <w:rFonts w:ascii="Times New Roman" w:hAnsi="Times New Roman" w:cs="Times New Roman"/>
                <w:sz w:val="24"/>
              </w:rPr>
            </w:pPr>
            <w:r>
              <w:rPr>
                <w:rFonts w:ascii="Times New Roman" w:hAnsi="Times New Roman" w:cs="Times New Roman"/>
                <w:sz w:val="24"/>
              </w:rPr>
              <w:t>水龙头</w:t>
            </w:r>
          </w:p>
        </w:tc>
        <w:tc>
          <w:tcPr>
            <w:tcW w:w="2486" w:type="pct"/>
            <w:vAlign w:val="center"/>
          </w:tcPr>
          <w:p w14:paraId="2298E3E3">
            <w:pPr>
              <w:spacing w:before="24" w:after="24" w:line="288" w:lineRule="auto"/>
              <w:jc w:val="center"/>
              <w:rPr>
                <w:rFonts w:ascii="Times New Roman" w:hAnsi="Times New Roman" w:cs="Times New Roman"/>
                <w:sz w:val="24"/>
              </w:rPr>
            </w:pPr>
            <w:r>
              <w:rPr>
                <w:rFonts w:ascii="Times New Roman" w:hAnsi="Times New Roman" w:cs="Times New Roman"/>
                <w:sz w:val="24"/>
              </w:rPr>
              <w:t>不锈钢/DN15</w:t>
            </w:r>
          </w:p>
        </w:tc>
        <w:tc>
          <w:tcPr>
            <w:tcW w:w="576" w:type="pct"/>
            <w:vAlign w:val="center"/>
          </w:tcPr>
          <w:p w14:paraId="5E6B3CF3">
            <w:pPr>
              <w:spacing w:before="24" w:after="24" w:line="288" w:lineRule="auto"/>
              <w:jc w:val="center"/>
              <w:rPr>
                <w:rFonts w:ascii="Times New Roman" w:hAnsi="Times New Roman" w:cs="Times New Roman"/>
                <w:sz w:val="24"/>
              </w:rPr>
            </w:pPr>
          </w:p>
        </w:tc>
      </w:tr>
      <w:tr w14:paraId="122AB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61E2AEA6">
            <w:pPr>
              <w:spacing w:before="24" w:after="24" w:line="288" w:lineRule="auto"/>
              <w:jc w:val="center"/>
              <w:rPr>
                <w:rFonts w:ascii="Times New Roman" w:hAnsi="Times New Roman" w:cs="Times New Roman"/>
                <w:sz w:val="24"/>
              </w:rPr>
            </w:pPr>
            <w:r>
              <w:rPr>
                <w:rFonts w:ascii="Times New Roman" w:hAnsi="Times New Roman" w:cs="Times New Roman"/>
                <w:sz w:val="24"/>
              </w:rPr>
              <w:t>24</w:t>
            </w:r>
          </w:p>
        </w:tc>
        <w:tc>
          <w:tcPr>
            <w:tcW w:w="605" w:type="pct"/>
            <w:vMerge w:val="continue"/>
            <w:vAlign w:val="center"/>
          </w:tcPr>
          <w:p w14:paraId="50530439">
            <w:pPr>
              <w:spacing w:before="24" w:after="24" w:line="288" w:lineRule="auto"/>
              <w:jc w:val="center"/>
              <w:rPr>
                <w:rFonts w:ascii="Times New Roman" w:hAnsi="Times New Roman" w:cs="Times New Roman"/>
                <w:sz w:val="24"/>
              </w:rPr>
            </w:pPr>
          </w:p>
        </w:tc>
        <w:tc>
          <w:tcPr>
            <w:tcW w:w="1063" w:type="pct"/>
            <w:vAlign w:val="center"/>
          </w:tcPr>
          <w:p w14:paraId="1BD5EA75">
            <w:pPr>
              <w:spacing w:before="24" w:after="24" w:line="288" w:lineRule="auto"/>
              <w:jc w:val="center"/>
              <w:rPr>
                <w:rFonts w:ascii="Times New Roman" w:hAnsi="Times New Roman" w:cs="Times New Roman"/>
                <w:sz w:val="24"/>
              </w:rPr>
            </w:pPr>
            <w:r>
              <w:rPr>
                <w:rFonts w:ascii="Times New Roman" w:hAnsi="Times New Roman" w:cs="Times New Roman"/>
                <w:sz w:val="24"/>
              </w:rPr>
              <w:t>刚性防水套管</w:t>
            </w:r>
          </w:p>
        </w:tc>
        <w:tc>
          <w:tcPr>
            <w:tcW w:w="2486" w:type="pct"/>
            <w:vAlign w:val="center"/>
          </w:tcPr>
          <w:p w14:paraId="7890459F">
            <w:pPr>
              <w:spacing w:before="24" w:after="24" w:line="288" w:lineRule="auto"/>
              <w:jc w:val="center"/>
              <w:rPr>
                <w:rFonts w:ascii="Times New Roman" w:hAnsi="Times New Roman" w:cs="Times New Roman"/>
                <w:sz w:val="24"/>
              </w:rPr>
            </w:pPr>
            <w:r>
              <w:rPr>
                <w:rFonts w:ascii="Times New Roman" w:hAnsi="Times New Roman" w:cs="Times New Roman"/>
                <w:sz w:val="24"/>
              </w:rPr>
              <w:t>碳钢/DN50～DN150</w:t>
            </w:r>
          </w:p>
        </w:tc>
        <w:tc>
          <w:tcPr>
            <w:tcW w:w="576" w:type="pct"/>
            <w:vAlign w:val="center"/>
          </w:tcPr>
          <w:p w14:paraId="51CBCAAA">
            <w:pPr>
              <w:spacing w:before="24" w:after="24" w:line="288" w:lineRule="auto"/>
              <w:jc w:val="center"/>
              <w:rPr>
                <w:rFonts w:ascii="Times New Roman" w:hAnsi="Times New Roman" w:cs="Times New Roman"/>
                <w:sz w:val="24"/>
              </w:rPr>
            </w:pPr>
          </w:p>
        </w:tc>
      </w:tr>
      <w:tr w14:paraId="1B541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0BB37E30">
            <w:pPr>
              <w:spacing w:before="24" w:after="24" w:line="288" w:lineRule="auto"/>
              <w:jc w:val="center"/>
              <w:rPr>
                <w:rFonts w:ascii="Times New Roman" w:hAnsi="Times New Roman" w:cs="Times New Roman"/>
                <w:sz w:val="24"/>
              </w:rPr>
            </w:pPr>
            <w:r>
              <w:rPr>
                <w:rFonts w:ascii="Times New Roman" w:hAnsi="Times New Roman" w:cs="Times New Roman"/>
                <w:sz w:val="24"/>
              </w:rPr>
              <w:t>25</w:t>
            </w:r>
          </w:p>
        </w:tc>
        <w:tc>
          <w:tcPr>
            <w:tcW w:w="605" w:type="pct"/>
            <w:vMerge w:val="continue"/>
            <w:vAlign w:val="center"/>
          </w:tcPr>
          <w:p w14:paraId="7FFCB540">
            <w:pPr>
              <w:spacing w:before="24" w:after="24" w:line="288" w:lineRule="auto"/>
              <w:jc w:val="center"/>
              <w:rPr>
                <w:rFonts w:ascii="Times New Roman" w:hAnsi="Times New Roman" w:cs="Times New Roman"/>
                <w:sz w:val="24"/>
              </w:rPr>
            </w:pPr>
          </w:p>
        </w:tc>
        <w:tc>
          <w:tcPr>
            <w:tcW w:w="1063" w:type="pct"/>
            <w:vAlign w:val="center"/>
          </w:tcPr>
          <w:p w14:paraId="1CC252D6">
            <w:pPr>
              <w:spacing w:before="24" w:after="24" w:line="288" w:lineRule="auto"/>
              <w:jc w:val="center"/>
              <w:rPr>
                <w:rFonts w:ascii="Times New Roman" w:hAnsi="Times New Roman" w:cs="Times New Roman"/>
                <w:sz w:val="24"/>
              </w:rPr>
            </w:pPr>
            <w:r>
              <w:rPr>
                <w:rFonts w:ascii="Times New Roman" w:hAnsi="Times New Roman" w:cs="Times New Roman"/>
                <w:sz w:val="24"/>
              </w:rPr>
              <w:t>可调式减压阀</w:t>
            </w:r>
          </w:p>
        </w:tc>
        <w:tc>
          <w:tcPr>
            <w:tcW w:w="2486" w:type="pct"/>
            <w:vAlign w:val="center"/>
          </w:tcPr>
          <w:p w14:paraId="65F09583">
            <w:pPr>
              <w:spacing w:before="24" w:after="24" w:line="288" w:lineRule="auto"/>
              <w:jc w:val="center"/>
              <w:rPr>
                <w:rFonts w:ascii="Times New Roman" w:hAnsi="Times New Roman" w:cs="Times New Roman"/>
                <w:sz w:val="24"/>
              </w:rPr>
            </w:pPr>
            <w:r>
              <w:rPr>
                <w:rFonts w:ascii="Times New Roman" w:hAnsi="Times New Roman" w:cs="Times New Roman"/>
                <w:sz w:val="24"/>
              </w:rPr>
              <w:t>铜质/PN=1.6MPa/DN15～DN50</w:t>
            </w:r>
          </w:p>
        </w:tc>
        <w:tc>
          <w:tcPr>
            <w:tcW w:w="576" w:type="pct"/>
            <w:vAlign w:val="center"/>
          </w:tcPr>
          <w:p w14:paraId="59A49E27">
            <w:pPr>
              <w:spacing w:before="24" w:after="24" w:line="288" w:lineRule="auto"/>
              <w:jc w:val="center"/>
              <w:rPr>
                <w:rFonts w:ascii="Times New Roman" w:hAnsi="Times New Roman" w:cs="Times New Roman"/>
                <w:sz w:val="24"/>
              </w:rPr>
            </w:pPr>
          </w:p>
        </w:tc>
      </w:tr>
      <w:tr w14:paraId="141F7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03F618BB">
            <w:pPr>
              <w:spacing w:before="24" w:after="24" w:line="288" w:lineRule="auto"/>
              <w:jc w:val="center"/>
              <w:rPr>
                <w:rFonts w:ascii="Times New Roman" w:hAnsi="Times New Roman" w:cs="Times New Roman"/>
                <w:sz w:val="24"/>
              </w:rPr>
            </w:pPr>
            <w:r>
              <w:rPr>
                <w:rFonts w:ascii="Times New Roman" w:hAnsi="Times New Roman" w:cs="Times New Roman"/>
                <w:sz w:val="24"/>
              </w:rPr>
              <w:t>26</w:t>
            </w:r>
          </w:p>
        </w:tc>
        <w:tc>
          <w:tcPr>
            <w:tcW w:w="605" w:type="pct"/>
            <w:vMerge w:val="continue"/>
            <w:vAlign w:val="center"/>
          </w:tcPr>
          <w:p w14:paraId="131F6E6A">
            <w:pPr>
              <w:spacing w:before="24" w:after="24" w:line="288" w:lineRule="auto"/>
              <w:jc w:val="center"/>
              <w:rPr>
                <w:rFonts w:ascii="Times New Roman" w:hAnsi="Times New Roman" w:cs="Times New Roman"/>
                <w:sz w:val="24"/>
              </w:rPr>
            </w:pPr>
          </w:p>
        </w:tc>
        <w:tc>
          <w:tcPr>
            <w:tcW w:w="1063" w:type="pct"/>
            <w:vAlign w:val="center"/>
          </w:tcPr>
          <w:p w14:paraId="37DB9FFD">
            <w:pPr>
              <w:spacing w:before="24" w:after="24" w:line="288" w:lineRule="auto"/>
              <w:jc w:val="center"/>
              <w:rPr>
                <w:rFonts w:ascii="Times New Roman" w:hAnsi="Times New Roman" w:cs="Times New Roman"/>
                <w:sz w:val="24"/>
              </w:rPr>
            </w:pPr>
            <w:r>
              <w:rPr>
                <w:rFonts w:ascii="Times New Roman" w:hAnsi="Times New Roman" w:cs="Times New Roman"/>
                <w:sz w:val="24"/>
              </w:rPr>
              <w:t>可调式减压阀</w:t>
            </w:r>
          </w:p>
        </w:tc>
        <w:tc>
          <w:tcPr>
            <w:tcW w:w="2486" w:type="pct"/>
            <w:vAlign w:val="center"/>
          </w:tcPr>
          <w:p w14:paraId="7F9591AF">
            <w:pPr>
              <w:spacing w:before="24" w:after="24" w:line="288" w:lineRule="auto"/>
              <w:jc w:val="center"/>
              <w:rPr>
                <w:rFonts w:ascii="Times New Roman" w:hAnsi="Times New Roman" w:cs="Times New Roman"/>
                <w:sz w:val="24"/>
              </w:rPr>
            </w:pPr>
            <w:r>
              <w:rPr>
                <w:rFonts w:ascii="Times New Roman" w:hAnsi="Times New Roman" w:cs="Times New Roman"/>
                <w:sz w:val="24"/>
              </w:rPr>
              <w:t>球墨铸铁/PN=1.6MPa/DN65～DN150</w:t>
            </w:r>
          </w:p>
        </w:tc>
        <w:tc>
          <w:tcPr>
            <w:tcW w:w="576" w:type="pct"/>
            <w:vAlign w:val="center"/>
          </w:tcPr>
          <w:p w14:paraId="2802F28B">
            <w:pPr>
              <w:spacing w:before="24" w:after="24" w:line="288" w:lineRule="auto"/>
              <w:jc w:val="center"/>
              <w:rPr>
                <w:rFonts w:ascii="Times New Roman" w:hAnsi="Times New Roman" w:cs="Times New Roman"/>
                <w:sz w:val="24"/>
              </w:rPr>
            </w:pPr>
          </w:p>
        </w:tc>
      </w:tr>
      <w:tr w14:paraId="52819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17249AF5">
            <w:pPr>
              <w:spacing w:before="24" w:after="24" w:line="288" w:lineRule="auto"/>
              <w:jc w:val="center"/>
              <w:rPr>
                <w:rFonts w:ascii="Times New Roman" w:hAnsi="Times New Roman" w:cs="Times New Roman"/>
                <w:sz w:val="24"/>
              </w:rPr>
            </w:pPr>
            <w:r>
              <w:rPr>
                <w:rFonts w:ascii="Times New Roman" w:hAnsi="Times New Roman" w:cs="Times New Roman"/>
                <w:sz w:val="24"/>
              </w:rPr>
              <w:t>27</w:t>
            </w:r>
          </w:p>
        </w:tc>
        <w:tc>
          <w:tcPr>
            <w:tcW w:w="605" w:type="pct"/>
            <w:vMerge w:val="continue"/>
            <w:vAlign w:val="center"/>
          </w:tcPr>
          <w:p w14:paraId="72596552">
            <w:pPr>
              <w:spacing w:before="24" w:after="24" w:line="288" w:lineRule="auto"/>
              <w:jc w:val="center"/>
              <w:rPr>
                <w:rFonts w:ascii="Times New Roman" w:hAnsi="Times New Roman" w:cs="Times New Roman"/>
                <w:sz w:val="24"/>
              </w:rPr>
            </w:pPr>
          </w:p>
        </w:tc>
        <w:tc>
          <w:tcPr>
            <w:tcW w:w="1063" w:type="pct"/>
            <w:vAlign w:val="center"/>
          </w:tcPr>
          <w:p w14:paraId="6A90DD18">
            <w:pPr>
              <w:spacing w:before="24" w:after="24" w:line="288" w:lineRule="auto"/>
              <w:jc w:val="center"/>
              <w:rPr>
                <w:rFonts w:ascii="Times New Roman" w:hAnsi="Times New Roman" w:cs="Times New Roman"/>
                <w:sz w:val="24"/>
              </w:rPr>
            </w:pPr>
            <w:r>
              <w:rPr>
                <w:rFonts w:ascii="Times New Roman" w:hAnsi="Times New Roman" w:cs="Times New Roman"/>
                <w:sz w:val="24"/>
              </w:rPr>
              <w:t>自动排气阀</w:t>
            </w:r>
          </w:p>
        </w:tc>
        <w:tc>
          <w:tcPr>
            <w:tcW w:w="2486" w:type="pct"/>
            <w:vAlign w:val="center"/>
          </w:tcPr>
          <w:p w14:paraId="527EC78C">
            <w:pPr>
              <w:spacing w:before="24" w:after="24" w:line="288" w:lineRule="auto"/>
              <w:jc w:val="center"/>
              <w:rPr>
                <w:rFonts w:ascii="Times New Roman" w:hAnsi="Times New Roman" w:cs="Times New Roman"/>
                <w:sz w:val="24"/>
              </w:rPr>
            </w:pPr>
            <w:r>
              <w:rPr>
                <w:rFonts w:ascii="Times New Roman" w:hAnsi="Times New Roman" w:cs="Times New Roman"/>
                <w:sz w:val="24"/>
              </w:rPr>
              <w:t>黄铜阀体/ARVX15～25</w:t>
            </w:r>
          </w:p>
        </w:tc>
        <w:tc>
          <w:tcPr>
            <w:tcW w:w="576" w:type="pct"/>
            <w:vAlign w:val="center"/>
          </w:tcPr>
          <w:p w14:paraId="64BA19ED">
            <w:pPr>
              <w:spacing w:before="24" w:after="24" w:line="288" w:lineRule="auto"/>
              <w:jc w:val="center"/>
              <w:rPr>
                <w:rFonts w:ascii="Times New Roman" w:hAnsi="Times New Roman" w:cs="Times New Roman"/>
                <w:sz w:val="24"/>
              </w:rPr>
            </w:pPr>
          </w:p>
        </w:tc>
      </w:tr>
      <w:tr w14:paraId="7DC60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4FBDBDD6">
            <w:pPr>
              <w:spacing w:before="24" w:after="24" w:line="288" w:lineRule="auto"/>
              <w:jc w:val="center"/>
              <w:rPr>
                <w:rFonts w:ascii="Times New Roman" w:hAnsi="Times New Roman" w:cs="Times New Roman"/>
                <w:sz w:val="24"/>
              </w:rPr>
            </w:pPr>
            <w:r>
              <w:rPr>
                <w:rFonts w:ascii="Times New Roman" w:hAnsi="Times New Roman" w:cs="Times New Roman"/>
                <w:sz w:val="24"/>
              </w:rPr>
              <w:t>28</w:t>
            </w:r>
          </w:p>
        </w:tc>
        <w:tc>
          <w:tcPr>
            <w:tcW w:w="605" w:type="pct"/>
            <w:vMerge w:val="restart"/>
            <w:vAlign w:val="center"/>
          </w:tcPr>
          <w:p w14:paraId="3D28927C">
            <w:pPr>
              <w:spacing w:before="24" w:after="24" w:line="288" w:lineRule="auto"/>
              <w:jc w:val="center"/>
              <w:rPr>
                <w:rFonts w:ascii="Times New Roman" w:hAnsi="Times New Roman" w:cs="Times New Roman"/>
                <w:sz w:val="24"/>
              </w:rPr>
            </w:pPr>
            <w:r>
              <w:rPr>
                <w:rFonts w:ascii="Times New Roman" w:hAnsi="Times New Roman" w:cs="Times New Roman"/>
                <w:sz w:val="24"/>
              </w:rPr>
              <w:t>雨水系统</w:t>
            </w:r>
          </w:p>
        </w:tc>
        <w:tc>
          <w:tcPr>
            <w:tcW w:w="1063" w:type="pct"/>
            <w:vAlign w:val="center"/>
          </w:tcPr>
          <w:p w14:paraId="58886D6C">
            <w:pPr>
              <w:spacing w:before="24" w:after="24" w:line="288" w:lineRule="auto"/>
              <w:jc w:val="center"/>
              <w:rPr>
                <w:rFonts w:ascii="Times New Roman" w:hAnsi="Times New Roman" w:cs="Times New Roman"/>
                <w:sz w:val="24"/>
              </w:rPr>
            </w:pPr>
            <w:r>
              <w:rPr>
                <w:rFonts w:ascii="Times New Roman" w:hAnsi="Times New Roman" w:cs="Times New Roman"/>
                <w:sz w:val="24"/>
              </w:rPr>
              <w:t>雨水排水管</w:t>
            </w:r>
          </w:p>
        </w:tc>
        <w:tc>
          <w:tcPr>
            <w:tcW w:w="2486" w:type="pct"/>
            <w:vAlign w:val="center"/>
          </w:tcPr>
          <w:p w14:paraId="04DAA1ED">
            <w:pPr>
              <w:spacing w:before="24" w:after="24" w:line="288" w:lineRule="auto"/>
              <w:jc w:val="center"/>
              <w:rPr>
                <w:rFonts w:ascii="Times New Roman" w:hAnsi="Times New Roman" w:cs="Times New Roman"/>
                <w:sz w:val="24"/>
              </w:rPr>
            </w:pPr>
            <w:r>
              <w:rPr>
                <w:rFonts w:ascii="Times New Roman" w:hAnsi="Times New Roman" w:cs="Times New Roman"/>
                <w:sz w:val="24"/>
              </w:rPr>
              <w:t>UPVC承压塑料管/DN50～DN100</w:t>
            </w:r>
          </w:p>
        </w:tc>
        <w:tc>
          <w:tcPr>
            <w:tcW w:w="576" w:type="pct"/>
            <w:vAlign w:val="center"/>
          </w:tcPr>
          <w:p w14:paraId="5282C4D5">
            <w:pPr>
              <w:spacing w:before="24" w:after="24" w:line="288" w:lineRule="auto"/>
              <w:jc w:val="center"/>
              <w:rPr>
                <w:rFonts w:ascii="Times New Roman" w:hAnsi="Times New Roman" w:cs="Times New Roman"/>
                <w:sz w:val="24"/>
              </w:rPr>
            </w:pPr>
          </w:p>
        </w:tc>
      </w:tr>
      <w:tr w14:paraId="766D9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30219D91">
            <w:pPr>
              <w:spacing w:before="24" w:after="24" w:line="288" w:lineRule="auto"/>
              <w:jc w:val="center"/>
              <w:rPr>
                <w:rFonts w:ascii="Times New Roman" w:hAnsi="Times New Roman" w:cs="Times New Roman"/>
                <w:sz w:val="24"/>
              </w:rPr>
            </w:pPr>
            <w:r>
              <w:rPr>
                <w:rFonts w:ascii="Times New Roman" w:hAnsi="Times New Roman" w:cs="Times New Roman"/>
                <w:sz w:val="24"/>
              </w:rPr>
              <w:t>29</w:t>
            </w:r>
          </w:p>
        </w:tc>
        <w:tc>
          <w:tcPr>
            <w:tcW w:w="605" w:type="pct"/>
            <w:vMerge w:val="continue"/>
            <w:vAlign w:val="center"/>
          </w:tcPr>
          <w:p w14:paraId="14A696A0">
            <w:pPr>
              <w:spacing w:before="24" w:after="24" w:line="288" w:lineRule="auto"/>
              <w:jc w:val="center"/>
              <w:rPr>
                <w:rFonts w:ascii="Times New Roman" w:hAnsi="Times New Roman" w:cs="Times New Roman"/>
                <w:sz w:val="24"/>
              </w:rPr>
            </w:pPr>
          </w:p>
        </w:tc>
        <w:tc>
          <w:tcPr>
            <w:tcW w:w="1063" w:type="pct"/>
            <w:vAlign w:val="center"/>
          </w:tcPr>
          <w:p w14:paraId="55ED2E86">
            <w:pPr>
              <w:spacing w:before="24" w:after="24" w:line="288" w:lineRule="auto"/>
              <w:jc w:val="center"/>
              <w:rPr>
                <w:rFonts w:ascii="Times New Roman" w:hAnsi="Times New Roman" w:cs="Times New Roman"/>
                <w:sz w:val="24"/>
              </w:rPr>
            </w:pPr>
            <w:r>
              <w:rPr>
                <w:rFonts w:ascii="Times New Roman" w:hAnsi="Times New Roman" w:cs="Times New Roman"/>
                <w:sz w:val="24"/>
              </w:rPr>
              <w:t>87型雨水斗</w:t>
            </w:r>
          </w:p>
        </w:tc>
        <w:tc>
          <w:tcPr>
            <w:tcW w:w="2486" w:type="pct"/>
            <w:vAlign w:val="center"/>
          </w:tcPr>
          <w:p w14:paraId="071E9F94">
            <w:pPr>
              <w:spacing w:before="24" w:after="24" w:line="288" w:lineRule="auto"/>
              <w:jc w:val="center"/>
              <w:rPr>
                <w:rFonts w:ascii="Times New Roman" w:hAnsi="Times New Roman" w:cs="Times New Roman"/>
                <w:sz w:val="24"/>
              </w:rPr>
            </w:pPr>
            <w:r>
              <w:rPr>
                <w:rFonts w:ascii="Times New Roman" w:hAnsi="Times New Roman" w:cs="Times New Roman"/>
                <w:sz w:val="24"/>
              </w:rPr>
              <w:t>UPVC/DN50～DN100</w:t>
            </w:r>
          </w:p>
        </w:tc>
        <w:tc>
          <w:tcPr>
            <w:tcW w:w="576" w:type="pct"/>
            <w:vAlign w:val="center"/>
          </w:tcPr>
          <w:p w14:paraId="3CDC9C86">
            <w:pPr>
              <w:spacing w:before="24" w:after="24" w:line="288" w:lineRule="auto"/>
              <w:jc w:val="center"/>
              <w:rPr>
                <w:rFonts w:ascii="Times New Roman" w:hAnsi="Times New Roman" w:cs="Times New Roman"/>
                <w:sz w:val="24"/>
              </w:rPr>
            </w:pPr>
          </w:p>
        </w:tc>
      </w:tr>
      <w:tr w14:paraId="55ABE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6640ACD0">
            <w:pPr>
              <w:spacing w:before="24" w:after="24" w:line="288" w:lineRule="auto"/>
              <w:jc w:val="center"/>
              <w:rPr>
                <w:rFonts w:ascii="Times New Roman" w:hAnsi="Times New Roman" w:cs="Times New Roman"/>
                <w:sz w:val="24"/>
              </w:rPr>
            </w:pPr>
            <w:r>
              <w:rPr>
                <w:rFonts w:ascii="Times New Roman" w:hAnsi="Times New Roman" w:cs="Times New Roman"/>
                <w:sz w:val="24"/>
              </w:rPr>
              <w:t>30</w:t>
            </w:r>
          </w:p>
        </w:tc>
        <w:tc>
          <w:tcPr>
            <w:tcW w:w="605" w:type="pct"/>
            <w:vMerge w:val="restart"/>
            <w:vAlign w:val="center"/>
          </w:tcPr>
          <w:p w14:paraId="5A329C13">
            <w:pPr>
              <w:spacing w:before="24" w:after="24" w:line="288" w:lineRule="auto"/>
              <w:jc w:val="center"/>
              <w:rPr>
                <w:rFonts w:ascii="Times New Roman" w:hAnsi="Times New Roman" w:cs="Times New Roman"/>
                <w:sz w:val="24"/>
              </w:rPr>
            </w:pPr>
            <w:r>
              <w:rPr>
                <w:rFonts w:ascii="Times New Roman" w:hAnsi="Times New Roman" w:cs="Times New Roman"/>
                <w:sz w:val="24"/>
              </w:rPr>
              <w:t>污废水系统</w:t>
            </w:r>
          </w:p>
        </w:tc>
        <w:tc>
          <w:tcPr>
            <w:tcW w:w="1063" w:type="pct"/>
            <w:vAlign w:val="center"/>
          </w:tcPr>
          <w:p w14:paraId="629A700C">
            <w:pPr>
              <w:spacing w:before="24" w:after="24" w:line="288" w:lineRule="auto"/>
              <w:jc w:val="center"/>
              <w:rPr>
                <w:rFonts w:ascii="Times New Roman" w:hAnsi="Times New Roman" w:cs="Times New Roman"/>
                <w:sz w:val="24"/>
              </w:rPr>
            </w:pPr>
            <w:r>
              <w:rPr>
                <w:rFonts w:ascii="Times New Roman" w:hAnsi="Times New Roman" w:cs="Times New Roman"/>
                <w:sz w:val="24"/>
              </w:rPr>
              <w:t>污废水排水管</w:t>
            </w:r>
          </w:p>
        </w:tc>
        <w:tc>
          <w:tcPr>
            <w:tcW w:w="2486" w:type="pct"/>
            <w:vAlign w:val="center"/>
          </w:tcPr>
          <w:p w14:paraId="59C972D2">
            <w:pPr>
              <w:spacing w:before="24" w:after="24" w:line="288" w:lineRule="auto"/>
              <w:jc w:val="center"/>
              <w:rPr>
                <w:rFonts w:ascii="Times New Roman" w:hAnsi="Times New Roman" w:cs="Times New Roman"/>
                <w:sz w:val="24"/>
              </w:rPr>
            </w:pPr>
            <w:r>
              <w:rPr>
                <w:rFonts w:ascii="Times New Roman" w:hAnsi="Times New Roman" w:cs="Times New Roman"/>
                <w:sz w:val="24"/>
              </w:rPr>
              <w:t>UPVC实壁排水管/DN50～DN150</w:t>
            </w:r>
          </w:p>
        </w:tc>
        <w:tc>
          <w:tcPr>
            <w:tcW w:w="576" w:type="pct"/>
            <w:vAlign w:val="center"/>
          </w:tcPr>
          <w:p w14:paraId="2046C2CD">
            <w:pPr>
              <w:spacing w:before="24" w:after="24" w:line="288" w:lineRule="auto"/>
              <w:jc w:val="center"/>
              <w:rPr>
                <w:rFonts w:ascii="Times New Roman" w:hAnsi="Times New Roman" w:cs="Times New Roman"/>
                <w:sz w:val="24"/>
              </w:rPr>
            </w:pPr>
          </w:p>
        </w:tc>
      </w:tr>
      <w:tr w14:paraId="45BEE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3E5C700E">
            <w:pPr>
              <w:spacing w:before="24" w:after="24" w:line="288" w:lineRule="auto"/>
              <w:jc w:val="center"/>
              <w:rPr>
                <w:rFonts w:ascii="Times New Roman" w:hAnsi="Times New Roman" w:cs="Times New Roman"/>
                <w:sz w:val="24"/>
              </w:rPr>
            </w:pPr>
            <w:r>
              <w:rPr>
                <w:rFonts w:ascii="Times New Roman" w:hAnsi="Times New Roman" w:cs="Times New Roman"/>
                <w:sz w:val="24"/>
              </w:rPr>
              <w:t>31</w:t>
            </w:r>
          </w:p>
        </w:tc>
        <w:tc>
          <w:tcPr>
            <w:tcW w:w="605" w:type="pct"/>
            <w:vMerge w:val="continue"/>
            <w:vAlign w:val="center"/>
          </w:tcPr>
          <w:p w14:paraId="7B43924A">
            <w:pPr>
              <w:spacing w:before="24" w:after="24" w:line="288" w:lineRule="auto"/>
              <w:jc w:val="center"/>
              <w:rPr>
                <w:rFonts w:ascii="Times New Roman" w:hAnsi="Times New Roman" w:cs="Times New Roman"/>
                <w:sz w:val="24"/>
              </w:rPr>
            </w:pPr>
          </w:p>
        </w:tc>
        <w:tc>
          <w:tcPr>
            <w:tcW w:w="1063" w:type="pct"/>
            <w:vAlign w:val="center"/>
          </w:tcPr>
          <w:p w14:paraId="6A500C7A">
            <w:pPr>
              <w:spacing w:before="24" w:after="24" w:line="288" w:lineRule="auto"/>
              <w:jc w:val="center"/>
              <w:rPr>
                <w:rFonts w:ascii="Times New Roman" w:hAnsi="Times New Roman" w:cs="Times New Roman"/>
                <w:sz w:val="24"/>
              </w:rPr>
            </w:pPr>
            <w:r>
              <w:rPr>
                <w:rFonts w:ascii="Times New Roman" w:hAnsi="Times New Roman" w:cs="Times New Roman"/>
                <w:sz w:val="24"/>
              </w:rPr>
              <w:t>排水地漏</w:t>
            </w:r>
          </w:p>
        </w:tc>
        <w:tc>
          <w:tcPr>
            <w:tcW w:w="2486" w:type="pct"/>
            <w:vAlign w:val="center"/>
          </w:tcPr>
          <w:p w14:paraId="1BFB9E3B">
            <w:pPr>
              <w:spacing w:before="24" w:after="24" w:line="288" w:lineRule="auto"/>
              <w:jc w:val="center"/>
              <w:rPr>
                <w:rFonts w:ascii="Times New Roman" w:hAnsi="Times New Roman" w:cs="Times New Roman"/>
                <w:sz w:val="24"/>
              </w:rPr>
            </w:pPr>
            <w:r>
              <w:rPr>
                <w:rFonts w:ascii="Times New Roman" w:hAnsi="Times New Roman" w:cs="Times New Roman"/>
                <w:sz w:val="24"/>
              </w:rPr>
              <w:t>不锈钢/DN50/DN75</w:t>
            </w:r>
          </w:p>
        </w:tc>
        <w:tc>
          <w:tcPr>
            <w:tcW w:w="576" w:type="pct"/>
            <w:vAlign w:val="center"/>
          </w:tcPr>
          <w:p w14:paraId="1EF20538">
            <w:pPr>
              <w:spacing w:before="24" w:after="24" w:line="288" w:lineRule="auto"/>
              <w:jc w:val="center"/>
              <w:rPr>
                <w:rFonts w:ascii="Times New Roman" w:hAnsi="Times New Roman" w:cs="Times New Roman"/>
                <w:sz w:val="24"/>
              </w:rPr>
            </w:pPr>
          </w:p>
        </w:tc>
      </w:tr>
      <w:tr w14:paraId="24C5B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4807D12F">
            <w:pPr>
              <w:spacing w:before="24" w:after="24" w:line="288" w:lineRule="auto"/>
              <w:jc w:val="center"/>
              <w:rPr>
                <w:rFonts w:ascii="Times New Roman" w:hAnsi="Times New Roman" w:cs="Times New Roman"/>
                <w:sz w:val="24"/>
              </w:rPr>
            </w:pPr>
            <w:r>
              <w:rPr>
                <w:rFonts w:ascii="Times New Roman" w:hAnsi="Times New Roman" w:cs="Times New Roman"/>
                <w:sz w:val="24"/>
              </w:rPr>
              <w:t>32</w:t>
            </w:r>
          </w:p>
        </w:tc>
        <w:tc>
          <w:tcPr>
            <w:tcW w:w="605" w:type="pct"/>
            <w:vMerge w:val="continue"/>
            <w:vAlign w:val="center"/>
          </w:tcPr>
          <w:p w14:paraId="6EF0DF19">
            <w:pPr>
              <w:spacing w:before="24" w:after="24" w:line="288" w:lineRule="auto"/>
              <w:jc w:val="center"/>
              <w:rPr>
                <w:rFonts w:ascii="Times New Roman" w:hAnsi="Times New Roman" w:cs="Times New Roman"/>
                <w:sz w:val="24"/>
              </w:rPr>
            </w:pPr>
          </w:p>
        </w:tc>
        <w:tc>
          <w:tcPr>
            <w:tcW w:w="1063" w:type="pct"/>
            <w:vAlign w:val="center"/>
          </w:tcPr>
          <w:p w14:paraId="29ABB8EC">
            <w:pPr>
              <w:spacing w:before="24" w:after="24" w:line="288" w:lineRule="auto"/>
              <w:jc w:val="center"/>
              <w:rPr>
                <w:rFonts w:ascii="Times New Roman" w:hAnsi="Times New Roman" w:cs="Times New Roman"/>
                <w:sz w:val="24"/>
              </w:rPr>
            </w:pPr>
            <w:r>
              <w:rPr>
                <w:rFonts w:ascii="Times New Roman" w:hAnsi="Times New Roman" w:cs="Times New Roman"/>
                <w:sz w:val="24"/>
              </w:rPr>
              <w:t>压力排水管</w:t>
            </w:r>
          </w:p>
        </w:tc>
        <w:tc>
          <w:tcPr>
            <w:tcW w:w="2486" w:type="pct"/>
            <w:vAlign w:val="center"/>
          </w:tcPr>
          <w:p w14:paraId="3BE1EC82">
            <w:pPr>
              <w:spacing w:before="24" w:after="24" w:line="288" w:lineRule="auto"/>
              <w:jc w:val="center"/>
              <w:rPr>
                <w:rFonts w:ascii="Times New Roman" w:hAnsi="Times New Roman" w:cs="Times New Roman"/>
                <w:sz w:val="24"/>
              </w:rPr>
            </w:pPr>
            <w:r>
              <w:rPr>
                <w:rFonts w:ascii="Times New Roman" w:hAnsi="Times New Roman" w:cs="Times New Roman"/>
                <w:sz w:val="24"/>
              </w:rPr>
              <w:t>涂塑复合钢管/DN50～DN150</w:t>
            </w:r>
          </w:p>
        </w:tc>
        <w:tc>
          <w:tcPr>
            <w:tcW w:w="576" w:type="pct"/>
            <w:vAlign w:val="center"/>
          </w:tcPr>
          <w:p w14:paraId="653B0899">
            <w:pPr>
              <w:spacing w:before="24" w:after="24" w:line="288" w:lineRule="auto"/>
              <w:jc w:val="center"/>
              <w:rPr>
                <w:rFonts w:ascii="Times New Roman" w:hAnsi="Times New Roman" w:cs="Times New Roman"/>
                <w:sz w:val="24"/>
              </w:rPr>
            </w:pPr>
          </w:p>
        </w:tc>
      </w:tr>
      <w:tr w14:paraId="01A17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5068C293">
            <w:pPr>
              <w:spacing w:before="24" w:after="24" w:line="288" w:lineRule="auto"/>
              <w:jc w:val="center"/>
              <w:rPr>
                <w:rFonts w:ascii="Times New Roman" w:hAnsi="Times New Roman" w:cs="Times New Roman"/>
                <w:sz w:val="24"/>
              </w:rPr>
            </w:pPr>
            <w:r>
              <w:rPr>
                <w:rFonts w:ascii="Times New Roman" w:hAnsi="Times New Roman" w:cs="Times New Roman"/>
                <w:sz w:val="24"/>
              </w:rPr>
              <w:t>33</w:t>
            </w:r>
          </w:p>
        </w:tc>
        <w:tc>
          <w:tcPr>
            <w:tcW w:w="605" w:type="pct"/>
            <w:vMerge w:val="continue"/>
            <w:vAlign w:val="center"/>
          </w:tcPr>
          <w:p w14:paraId="5DFD7205">
            <w:pPr>
              <w:spacing w:before="24" w:after="24" w:line="288" w:lineRule="auto"/>
              <w:jc w:val="center"/>
              <w:rPr>
                <w:rFonts w:ascii="Times New Roman" w:hAnsi="Times New Roman" w:cs="Times New Roman"/>
                <w:sz w:val="24"/>
              </w:rPr>
            </w:pPr>
          </w:p>
        </w:tc>
        <w:tc>
          <w:tcPr>
            <w:tcW w:w="1063" w:type="pct"/>
            <w:vAlign w:val="center"/>
          </w:tcPr>
          <w:p w14:paraId="5F0C03E1">
            <w:pPr>
              <w:spacing w:before="24" w:after="24" w:line="288" w:lineRule="auto"/>
              <w:jc w:val="center"/>
              <w:rPr>
                <w:rFonts w:ascii="Times New Roman" w:hAnsi="Times New Roman" w:cs="Times New Roman"/>
                <w:sz w:val="24"/>
              </w:rPr>
            </w:pPr>
            <w:r>
              <w:rPr>
                <w:rFonts w:ascii="Times New Roman" w:hAnsi="Times New Roman" w:cs="Times New Roman"/>
                <w:sz w:val="24"/>
              </w:rPr>
              <w:t>潜污泵</w:t>
            </w:r>
          </w:p>
        </w:tc>
        <w:tc>
          <w:tcPr>
            <w:tcW w:w="2486" w:type="pct"/>
            <w:vAlign w:val="center"/>
          </w:tcPr>
          <w:p w14:paraId="6AFDB550">
            <w:pPr>
              <w:spacing w:before="24" w:after="24" w:line="288" w:lineRule="auto"/>
              <w:jc w:val="center"/>
              <w:rPr>
                <w:rFonts w:ascii="Times New Roman" w:hAnsi="Times New Roman" w:cs="Times New Roman"/>
                <w:sz w:val="24"/>
              </w:rPr>
            </w:pPr>
            <w:r>
              <w:rPr>
                <w:rFonts w:ascii="Times New Roman" w:hAnsi="Times New Roman" w:cs="Times New Roman"/>
                <w:sz w:val="24"/>
              </w:rPr>
              <w:t>自动搅匀型/型号参数由设计单位确定</w:t>
            </w:r>
          </w:p>
        </w:tc>
        <w:tc>
          <w:tcPr>
            <w:tcW w:w="576" w:type="pct"/>
            <w:vAlign w:val="center"/>
          </w:tcPr>
          <w:p w14:paraId="2221B174">
            <w:pPr>
              <w:spacing w:before="24" w:after="24" w:line="288" w:lineRule="auto"/>
              <w:jc w:val="center"/>
              <w:rPr>
                <w:rFonts w:ascii="Times New Roman" w:hAnsi="Times New Roman" w:cs="Times New Roman"/>
                <w:sz w:val="24"/>
              </w:rPr>
            </w:pPr>
          </w:p>
        </w:tc>
      </w:tr>
      <w:tr w14:paraId="2D39A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2B7E68F6">
            <w:pPr>
              <w:spacing w:before="24" w:after="24" w:line="288" w:lineRule="auto"/>
              <w:jc w:val="center"/>
              <w:rPr>
                <w:rFonts w:ascii="Times New Roman" w:hAnsi="Times New Roman" w:cs="Times New Roman"/>
                <w:sz w:val="24"/>
              </w:rPr>
            </w:pPr>
            <w:r>
              <w:rPr>
                <w:rFonts w:ascii="Times New Roman" w:hAnsi="Times New Roman" w:cs="Times New Roman"/>
                <w:sz w:val="24"/>
              </w:rPr>
              <w:t>34</w:t>
            </w:r>
          </w:p>
        </w:tc>
        <w:tc>
          <w:tcPr>
            <w:tcW w:w="605" w:type="pct"/>
            <w:vMerge w:val="continue"/>
            <w:vAlign w:val="center"/>
          </w:tcPr>
          <w:p w14:paraId="2B8D8042">
            <w:pPr>
              <w:spacing w:before="24" w:after="24" w:line="288" w:lineRule="auto"/>
              <w:jc w:val="center"/>
              <w:rPr>
                <w:rFonts w:ascii="Times New Roman" w:hAnsi="Times New Roman" w:cs="Times New Roman"/>
                <w:sz w:val="24"/>
              </w:rPr>
            </w:pPr>
          </w:p>
        </w:tc>
        <w:tc>
          <w:tcPr>
            <w:tcW w:w="1063" w:type="pct"/>
            <w:vAlign w:val="center"/>
          </w:tcPr>
          <w:p w14:paraId="6E7E2F9D">
            <w:pPr>
              <w:spacing w:before="24" w:after="24" w:line="288" w:lineRule="auto"/>
              <w:jc w:val="center"/>
              <w:rPr>
                <w:rFonts w:ascii="Times New Roman" w:hAnsi="Times New Roman" w:cs="Times New Roman"/>
                <w:sz w:val="24"/>
              </w:rPr>
            </w:pPr>
            <w:r>
              <w:rPr>
                <w:rFonts w:ascii="Times New Roman" w:hAnsi="Times New Roman" w:cs="Times New Roman"/>
                <w:sz w:val="24"/>
              </w:rPr>
              <w:t>橡胶瓣止回阀</w:t>
            </w:r>
          </w:p>
        </w:tc>
        <w:tc>
          <w:tcPr>
            <w:tcW w:w="2486" w:type="pct"/>
            <w:vAlign w:val="center"/>
          </w:tcPr>
          <w:p w14:paraId="79F5951A">
            <w:pPr>
              <w:spacing w:before="24" w:after="24" w:line="288" w:lineRule="auto"/>
              <w:jc w:val="center"/>
              <w:rPr>
                <w:rFonts w:ascii="Times New Roman" w:hAnsi="Times New Roman" w:cs="Times New Roman"/>
                <w:sz w:val="24"/>
              </w:rPr>
            </w:pPr>
            <w:r>
              <w:rPr>
                <w:rFonts w:ascii="Times New Roman" w:hAnsi="Times New Roman" w:cs="Times New Roman"/>
                <w:sz w:val="24"/>
              </w:rPr>
              <w:t>球墨铸铁//DN50～DN150</w:t>
            </w:r>
          </w:p>
        </w:tc>
        <w:tc>
          <w:tcPr>
            <w:tcW w:w="576" w:type="pct"/>
            <w:vAlign w:val="center"/>
          </w:tcPr>
          <w:p w14:paraId="5D6600CD">
            <w:pPr>
              <w:spacing w:before="24" w:after="24" w:line="288" w:lineRule="auto"/>
              <w:jc w:val="center"/>
              <w:rPr>
                <w:rFonts w:ascii="Times New Roman" w:hAnsi="Times New Roman" w:cs="Times New Roman"/>
                <w:sz w:val="24"/>
              </w:rPr>
            </w:pPr>
          </w:p>
        </w:tc>
      </w:tr>
      <w:tr w14:paraId="04AA0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 w:type="pct"/>
            <w:vAlign w:val="center"/>
          </w:tcPr>
          <w:p w14:paraId="1840EF9D">
            <w:pPr>
              <w:spacing w:before="24" w:after="24" w:line="288" w:lineRule="auto"/>
              <w:jc w:val="center"/>
              <w:rPr>
                <w:rFonts w:ascii="Times New Roman" w:hAnsi="Times New Roman" w:cs="Times New Roman"/>
                <w:sz w:val="24"/>
              </w:rPr>
            </w:pPr>
            <w:r>
              <w:rPr>
                <w:rFonts w:ascii="Times New Roman" w:hAnsi="Times New Roman" w:cs="Times New Roman"/>
                <w:sz w:val="24"/>
              </w:rPr>
              <w:t>35</w:t>
            </w:r>
          </w:p>
        </w:tc>
        <w:tc>
          <w:tcPr>
            <w:tcW w:w="605" w:type="pct"/>
            <w:vMerge w:val="continue"/>
            <w:vAlign w:val="center"/>
          </w:tcPr>
          <w:p w14:paraId="0E3506EC">
            <w:pPr>
              <w:spacing w:before="24" w:after="24" w:line="288" w:lineRule="auto"/>
              <w:jc w:val="center"/>
              <w:rPr>
                <w:rFonts w:ascii="Times New Roman" w:hAnsi="Times New Roman" w:cs="Times New Roman"/>
                <w:sz w:val="24"/>
              </w:rPr>
            </w:pPr>
          </w:p>
        </w:tc>
        <w:tc>
          <w:tcPr>
            <w:tcW w:w="1063" w:type="pct"/>
            <w:vAlign w:val="center"/>
          </w:tcPr>
          <w:p w14:paraId="235737A5">
            <w:pPr>
              <w:spacing w:before="24" w:after="24" w:line="288" w:lineRule="auto"/>
              <w:jc w:val="center"/>
              <w:rPr>
                <w:rFonts w:ascii="Times New Roman" w:hAnsi="Times New Roman" w:cs="Times New Roman"/>
                <w:sz w:val="24"/>
              </w:rPr>
            </w:pPr>
            <w:r>
              <w:rPr>
                <w:rFonts w:ascii="Times New Roman" w:hAnsi="Times New Roman" w:cs="Times New Roman"/>
                <w:sz w:val="24"/>
              </w:rPr>
              <w:t>明杆弹性座封闸阀</w:t>
            </w:r>
          </w:p>
        </w:tc>
        <w:tc>
          <w:tcPr>
            <w:tcW w:w="2486" w:type="pct"/>
            <w:vAlign w:val="center"/>
          </w:tcPr>
          <w:p w14:paraId="63FE7959">
            <w:pPr>
              <w:spacing w:before="24" w:after="24" w:line="288" w:lineRule="auto"/>
              <w:jc w:val="center"/>
              <w:rPr>
                <w:rFonts w:ascii="Times New Roman" w:hAnsi="Times New Roman" w:cs="Times New Roman"/>
                <w:sz w:val="24"/>
              </w:rPr>
            </w:pPr>
            <w:r>
              <w:rPr>
                <w:rFonts w:ascii="Times New Roman" w:hAnsi="Times New Roman" w:cs="Times New Roman"/>
                <w:sz w:val="24"/>
              </w:rPr>
              <w:t>球墨铸铁//DN50～DN150</w:t>
            </w:r>
          </w:p>
        </w:tc>
        <w:tc>
          <w:tcPr>
            <w:tcW w:w="576" w:type="pct"/>
            <w:vAlign w:val="center"/>
          </w:tcPr>
          <w:p w14:paraId="34824551">
            <w:pPr>
              <w:spacing w:before="24" w:after="24" w:line="288" w:lineRule="auto"/>
              <w:jc w:val="center"/>
              <w:rPr>
                <w:rFonts w:ascii="Times New Roman" w:hAnsi="Times New Roman" w:cs="Times New Roman"/>
                <w:sz w:val="24"/>
              </w:rPr>
            </w:pPr>
          </w:p>
        </w:tc>
      </w:tr>
    </w:tbl>
    <w:p w14:paraId="0948AB85">
      <w:pPr>
        <w:spacing w:before="24" w:after="24"/>
        <w:ind w:firstLine="562" w:firstLineChars="200"/>
        <w:outlineLvl w:val="3"/>
        <w:rPr>
          <w:rFonts w:ascii="Times New Roman" w:hAnsi="Times New Roman" w:cs="Times New Roman"/>
          <w:b/>
        </w:rPr>
      </w:pPr>
      <w:r>
        <w:rPr>
          <w:rFonts w:ascii="Times New Roman" w:hAnsi="Times New Roman" w:cs="Times New Roman"/>
          <w:b/>
        </w:rPr>
        <w:t>2、室内消防给排水专业设备参数清单表</w:t>
      </w:r>
    </w:p>
    <w:tbl>
      <w:tblPr>
        <w:tblStyle w:val="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6"/>
        <w:gridCol w:w="1151"/>
        <w:gridCol w:w="1950"/>
        <w:gridCol w:w="3649"/>
        <w:gridCol w:w="1860"/>
      </w:tblGrid>
      <w:tr w14:paraId="573A5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64" w:type="pct"/>
            <w:shd w:val="clear" w:color="auto" w:fill="D7D7D7"/>
            <w:vAlign w:val="center"/>
          </w:tcPr>
          <w:p w14:paraId="43E8BC72">
            <w:pPr>
              <w:pStyle w:val="71"/>
              <w:spacing w:before="24" w:after="24"/>
            </w:pPr>
            <w:r>
              <w:t>序号</w:t>
            </w:r>
          </w:p>
        </w:tc>
        <w:tc>
          <w:tcPr>
            <w:tcW w:w="620" w:type="pct"/>
            <w:shd w:val="clear" w:color="auto" w:fill="D7D7D7"/>
            <w:vAlign w:val="center"/>
          </w:tcPr>
          <w:p w14:paraId="529244EB">
            <w:pPr>
              <w:pStyle w:val="71"/>
              <w:spacing w:before="24" w:after="24"/>
            </w:pPr>
            <w:r>
              <w:t>设备/系统</w:t>
            </w:r>
          </w:p>
        </w:tc>
        <w:tc>
          <w:tcPr>
            <w:tcW w:w="1050" w:type="pct"/>
            <w:shd w:val="clear" w:color="auto" w:fill="D7D7D7"/>
            <w:vAlign w:val="center"/>
          </w:tcPr>
          <w:p w14:paraId="506ACD9A">
            <w:pPr>
              <w:pStyle w:val="71"/>
              <w:spacing w:before="24" w:after="24"/>
            </w:pPr>
            <w:r>
              <w:t>设备</w:t>
            </w:r>
          </w:p>
        </w:tc>
        <w:tc>
          <w:tcPr>
            <w:tcW w:w="1965" w:type="pct"/>
            <w:shd w:val="clear" w:color="auto" w:fill="D7D7D7"/>
            <w:vAlign w:val="center"/>
          </w:tcPr>
          <w:p w14:paraId="2C5E6BCE">
            <w:pPr>
              <w:pStyle w:val="71"/>
              <w:spacing w:before="24" w:after="24"/>
            </w:pPr>
            <w:r>
              <w:t>材质/规格、参数</w:t>
            </w:r>
          </w:p>
        </w:tc>
        <w:tc>
          <w:tcPr>
            <w:tcW w:w="1001" w:type="pct"/>
            <w:shd w:val="clear" w:color="auto" w:fill="D7D7D7"/>
            <w:vAlign w:val="center"/>
          </w:tcPr>
          <w:p w14:paraId="3D5A9607">
            <w:pPr>
              <w:pStyle w:val="71"/>
              <w:spacing w:before="24" w:after="24"/>
            </w:pPr>
            <w:r>
              <w:t>备注</w:t>
            </w:r>
          </w:p>
        </w:tc>
      </w:tr>
      <w:tr w14:paraId="176BE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74F6431C">
            <w:pPr>
              <w:pStyle w:val="71"/>
              <w:spacing w:before="24" w:after="24"/>
            </w:pPr>
            <w:r>
              <w:t>1</w:t>
            </w:r>
          </w:p>
        </w:tc>
        <w:tc>
          <w:tcPr>
            <w:tcW w:w="620" w:type="pct"/>
            <w:vMerge w:val="restart"/>
            <w:vAlign w:val="center"/>
          </w:tcPr>
          <w:p w14:paraId="26797585">
            <w:pPr>
              <w:pStyle w:val="71"/>
              <w:spacing w:before="24" w:after="24"/>
            </w:pPr>
            <w:r>
              <w:t>室内消火栓系统</w:t>
            </w:r>
          </w:p>
        </w:tc>
        <w:tc>
          <w:tcPr>
            <w:tcW w:w="1050" w:type="pct"/>
            <w:vAlign w:val="center"/>
          </w:tcPr>
          <w:p w14:paraId="1C9E3BF8">
            <w:pPr>
              <w:pStyle w:val="71"/>
              <w:spacing w:before="24" w:after="24"/>
            </w:pPr>
            <w:r>
              <w:t>消火栓给水管</w:t>
            </w:r>
          </w:p>
        </w:tc>
        <w:tc>
          <w:tcPr>
            <w:tcW w:w="1965" w:type="pct"/>
            <w:vAlign w:val="center"/>
          </w:tcPr>
          <w:p w14:paraId="7D6F6BF6">
            <w:pPr>
              <w:pStyle w:val="71"/>
              <w:spacing w:before="24" w:after="24"/>
            </w:pPr>
            <w:r>
              <w:t>内外壁热镀锌钢管</w:t>
            </w:r>
          </w:p>
          <w:p w14:paraId="368DB886">
            <w:pPr>
              <w:pStyle w:val="71"/>
              <w:spacing w:before="24" w:after="24"/>
            </w:pPr>
            <w:r>
              <w:t>/PN=1.6MPa/DN25～DN150</w:t>
            </w:r>
          </w:p>
        </w:tc>
        <w:tc>
          <w:tcPr>
            <w:tcW w:w="1001" w:type="pct"/>
            <w:vAlign w:val="center"/>
          </w:tcPr>
          <w:p w14:paraId="75ECC5C4">
            <w:pPr>
              <w:pStyle w:val="71"/>
              <w:spacing w:before="24" w:after="24"/>
            </w:pPr>
          </w:p>
        </w:tc>
      </w:tr>
      <w:tr w14:paraId="0B0FD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22C77965">
            <w:pPr>
              <w:pStyle w:val="71"/>
              <w:spacing w:before="24" w:after="24"/>
            </w:pPr>
            <w:r>
              <w:t>2</w:t>
            </w:r>
          </w:p>
        </w:tc>
        <w:tc>
          <w:tcPr>
            <w:tcW w:w="620" w:type="pct"/>
            <w:vMerge w:val="continue"/>
            <w:vAlign w:val="center"/>
          </w:tcPr>
          <w:p w14:paraId="5988E22B">
            <w:pPr>
              <w:pStyle w:val="71"/>
              <w:spacing w:before="24" w:after="24"/>
            </w:pPr>
          </w:p>
        </w:tc>
        <w:tc>
          <w:tcPr>
            <w:tcW w:w="1050" w:type="pct"/>
            <w:vAlign w:val="center"/>
          </w:tcPr>
          <w:p w14:paraId="73597A96">
            <w:pPr>
              <w:pStyle w:val="71"/>
              <w:spacing w:before="24" w:after="24"/>
            </w:pPr>
            <w:r>
              <w:t>止回阀</w:t>
            </w:r>
          </w:p>
        </w:tc>
        <w:tc>
          <w:tcPr>
            <w:tcW w:w="1965" w:type="pct"/>
            <w:vAlign w:val="center"/>
          </w:tcPr>
          <w:p w14:paraId="4AC0CD12">
            <w:pPr>
              <w:pStyle w:val="71"/>
              <w:spacing w:before="24" w:after="24"/>
            </w:pPr>
            <w:r>
              <w:t>球墨铸铁</w:t>
            </w:r>
          </w:p>
          <w:p w14:paraId="6187F9B0">
            <w:pPr>
              <w:pStyle w:val="71"/>
              <w:spacing w:before="24" w:after="24"/>
            </w:pPr>
            <w:r>
              <w:t>/HC41X-16Q/DN100</w:t>
            </w:r>
          </w:p>
        </w:tc>
        <w:tc>
          <w:tcPr>
            <w:tcW w:w="1001" w:type="pct"/>
            <w:vAlign w:val="center"/>
          </w:tcPr>
          <w:p w14:paraId="3882C016">
            <w:pPr>
              <w:pStyle w:val="71"/>
              <w:spacing w:before="24" w:after="24"/>
            </w:pPr>
          </w:p>
        </w:tc>
      </w:tr>
      <w:tr w14:paraId="1A55C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7A7B3EDC">
            <w:pPr>
              <w:pStyle w:val="71"/>
              <w:spacing w:before="24" w:after="24"/>
            </w:pPr>
            <w:r>
              <w:t>3</w:t>
            </w:r>
          </w:p>
        </w:tc>
        <w:tc>
          <w:tcPr>
            <w:tcW w:w="620" w:type="pct"/>
            <w:vMerge w:val="continue"/>
            <w:vAlign w:val="center"/>
          </w:tcPr>
          <w:p w14:paraId="65277C53">
            <w:pPr>
              <w:pStyle w:val="71"/>
              <w:spacing w:before="24" w:after="24"/>
            </w:pPr>
          </w:p>
        </w:tc>
        <w:tc>
          <w:tcPr>
            <w:tcW w:w="1050" w:type="pct"/>
            <w:vAlign w:val="center"/>
          </w:tcPr>
          <w:p w14:paraId="36D9667A">
            <w:pPr>
              <w:pStyle w:val="71"/>
              <w:spacing w:before="24" w:after="24"/>
            </w:pPr>
            <w:r>
              <w:t>蝶阀</w:t>
            </w:r>
          </w:p>
        </w:tc>
        <w:tc>
          <w:tcPr>
            <w:tcW w:w="1965" w:type="pct"/>
            <w:vAlign w:val="center"/>
          </w:tcPr>
          <w:p w14:paraId="4D3D267E">
            <w:pPr>
              <w:pStyle w:val="71"/>
              <w:spacing w:before="24" w:after="24"/>
            </w:pPr>
            <w:r>
              <w:t>铸钢</w:t>
            </w:r>
          </w:p>
          <w:p w14:paraId="3DFA9740">
            <w:pPr>
              <w:pStyle w:val="71"/>
              <w:spacing w:before="24" w:after="24"/>
            </w:pPr>
            <w:r>
              <w:t>/D71X-16DN65/DN100</w:t>
            </w:r>
          </w:p>
        </w:tc>
        <w:tc>
          <w:tcPr>
            <w:tcW w:w="1001" w:type="pct"/>
            <w:vAlign w:val="center"/>
          </w:tcPr>
          <w:p w14:paraId="5189462B">
            <w:pPr>
              <w:pStyle w:val="71"/>
              <w:spacing w:before="24" w:after="24"/>
            </w:pPr>
          </w:p>
        </w:tc>
      </w:tr>
      <w:tr w14:paraId="79582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4" w:type="pct"/>
            <w:vAlign w:val="center"/>
          </w:tcPr>
          <w:p w14:paraId="683C9891">
            <w:pPr>
              <w:pStyle w:val="71"/>
              <w:spacing w:before="24" w:after="24"/>
            </w:pPr>
            <w:r>
              <w:t>4</w:t>
            </w:r>
          </w:p>
        </w:tc>
        <w:tc>
          <w:tcPr>
            <w:tcW w:w="620" w:type="pct"/>
            <w:vMerge w:val="continue"/>
            <w:vAlign w:val="center"/>
          </w:tcPr>
          <w:p w14:paraId="77B5F007">
            <w:pPr>
              <w:pStyle w:val="71"/>
              <w:spacing w:before="24" w:after="24"/>
            </w:pPr>
          </w:p>
        </w:tc>
        <w:tc>
          <w:tcPr>
            <w:tcW w:w="1050" w:type="pct"/>
            <w:vAlign w:val="center"/>
          </w:tcPr>
          <w:p w14:paraId="19C63854">
            <w:pPr>
              <w:pStyle w:val="71"/>
              <w:spacing w:before="24" w:after="24"/>
            </w:pPr>
            <w:r>
              <w:t>自动排气阀</w:t>
            </w:r>
          </w:p>
        </w:tc>
        <w:tc>
          <w:tcPr>
            <w:tcW w:w="1965" w:type="pct"/>
            <w:vAlign w:val="center"/>
          </w:tcPr>
          <w:p w14:paraId="646BA4B0">
            <w:pPr>
              <w:pStyle w:val="71"/>
              <w:spacing w:before="24" w:after="24"/>
            </w:pPr>
            <w:r>
              <w:t>铸钢/ARVX20～25</w:t>
            </w:r>
          </w:p>
        </w:tc>
        <w:tc>
          <w:tcPr>
            <w:tcW w:w="1001" w:type="pct"/>
            <w:vAlign w:val="center"/>
          </w:tcPr>
          <w:p w14:paraId="1099DA4B">
            <w:pPr>
              <w:pStyle w:val="71"/>
              <w:spacing w:before="24" w:after="24"/>
            </w:pPr>
          </w:p>
        </w:tc>
      </w:tr>
      <w:tr w14:paraId="66C84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45EB1CDC">
            <w:pPr>
              <w:pStyle w:val="71"/>
              <w:spacing w:before="24" w:after="24"/>
            </w:pPr>
            <w:r>
              <w:t>5</w:t>
            </w:r>
          </w:p>
        </w:tc>
        <w:tc>
          <w:tcPr>
            <w:tcW w:w="620" w:type="pct"/>
            <w:vMerge w:val="continue"/>
            <w:vAlign w:val="center"/>
          </w:tcPr>
          <w:p w14:paraId="67BF0A59">
            <w:pPr>
              <w:pStyle w:val="71"/>
              <w:spacing w:before="24" w:after="24"/>
            </w:pPr>
          </w:p>
        </w:tc>
        <w:tc>
          <w:tcPr>
            <w:tcW w:w="1050" w:type="pct"/>
            <w:vAlign w:val="center"/>
          </w:tcPr>
          <w:p w14:paraId="26FCDDC9">
            <w:pPr>
              <w:pStyle w:val="71"/>
              <w:spacing w:before="24" w:after="24"/>
            </w:pPr>
            <w:r>
              <w:t>压力表</w:t>
            </w:r>
          </w:p>
        </w:tc>
        <w:tc>
          <w:tcPr>
            <w:tcW w:w="1965" w:type="pct"/>
            <w:vAlign w:val="center"/>
          </w:tcPr>
          <w:p w14:paraId="4DD53F9C">
            <w:pPr>
              <w:pStyle w:val="71"/>
              <w:spacing w:before="24" w:after="24"/>
            </w:pPr>
            <w:r>
              <w:t>Y-100/0～1.6MPa</w:t>
            </w:r>
          </w:p>
        </w:tc>
        <w:tc>
          <w:tcPr>
            <w:tcW w:w="1001" w:type="pct"/>
            <w:vAlign w:val="center"/>
          </w:tcPr>
          <w:p w14:paraId="08F62A7A">
            <w:pPr>
              <w:pStyle w:val="71"/>
              <w:spacing w:before="24" w:after="24"/>
            </w:pPr>
            <w:r>
              <w:rPr>
                <w:sz w:val="22"/>
                <w:szCs w:val="21"/>
              </w:rPr>
              <w:t>用于试验消火栓</w:t>
            </w:r>
          </w:p>
        </w:tc>
      </w:tr>
      <w:tr w14:paraId="7F53E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2C2DFED1">
            <w:pPr>
              <w:pStyle w:val="71"/>
              <w:spacing w:before="24" w:after="24"/>
            </w:pPr>
            <w:r>
              <w:t>6</w:t>
            </w:r>
          </w:p>
        </w:tc>
        <w:tc>
          <w:tcPr>
            <w:tcW w:w="620" w:type="pct"/>
            <w:vMerge w:val="continue"/>
            <w:vAlign w:val="center"/>
          </w:tcPr>
          <w:p w14:paraId="7B955A3C">
            <w:pPr>
              <w:pStyle w:val="71"/>
              <w:spacing w:before="24" w:after="24"/>
            </w:pPr>
          </w:p>
        </w:tc>
        <w:tc>
          <w:tcPr>
            <w:tcW w:w="1050" w:type="pct"/>
            <w:vAlign w:val="center"/>
          </w:tcPr>
          <w:p w14:paraId="2BB3A67C">
            <w:pPr>
              <w:pStyle w:val="71"/>
              <w:spacing w:before="24" w:after="24"/>
            </w:pPr>
            <w:r>
              <w:t>消火栓箱</w:t>
            </w:r>
          </w:p>
        </w:tc>
        <w:tc>
          <w:tcPr>
            <w:tcW w:w="1965" w:type="pct"/>
            <w:vAlign w:val="center"/>
          </w:tcPr>
          <w:p w14:paraId="2606B219">
            <w:pPr>
              <w:pStyle w:val="71"/>
              <w:spacing w:before="24" w:after="24"/>
            </w:pPr>
            <w:r>
              <w:t>钢-铝合金/1800x700x160</w:t>
            </w:r>
          </w:p>
        </w:tc>
        <w:tc>
          <w:tcPr>
            <w:tcW w:w="1001" w:type="pct"/>
            <w:vAlign w:val="center"/>
          </w:tcPr>
          <w:p w14:paraId="69EB34C2">
            <w:pPr>
              <w:pStyle w:val="71"/>
              <w:spacing w:before="24" w:after="24"/>
            </w:pPr>
          </w:p>
        </w:tc>
      </w:tr>
      <w:tr w14:paraId="57DDA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500C26D6">
            <w:pPr>
              <w:pStyle w:val="71"/>
              <w:spacing w:before="24" w:after="24"/>
            </w:pPr>
            <w:r>
              <w:t>7</w:t>
            </w:r>
          </w:p>
        </w:tc>
        <w:tc>
          <w:tcPr>
            <w:tcW w:w="620" w:type="pct"/>
            <w:vMerge w:val="continue"/>
            <w:vAlign w:val="center"/>
          </w:tcPr>
          <w:p w14:paraId="7D3AB3E2">
            <w:pPr>
              <w:pStyle w:val="71"/>
              <w:spacing w:before="24" w:after="24"/>
            </w:pPr>
          </w:p>
        </w:tc>
        <w:tc>
          <w:tcPr>
            <w:tcW w:w="1050" w:type="pct"/>
            <w:vAlign w:val="center"/>
          </w:tcPr>
          <w:p w14:paraId="5013E4A1">
            <w:pPr>
              <w:pStyle w:val="71"/>
              <w:spacing w:before="24" w:after="24"/>
            </w:pPr>
            <w:r>
              <w:t>普通型消火栓</w:t>
            </w:r>
          </w:p>
        </w:tc>
        <w:tc>
          <w:tcPr>
            <w:tcW w:w="1965" w:type="pct"/>
            <w:vAlign w:val="center"/>
          </w:tcPr>
          <w:p w14:paraId="2636D453">
            <w:pPr>
              <w:pStyle w:val="71"/>
              <w:spacing w:before="24" w:after="24"/>
            </w:pPr>
            <w:r>
              <w:t>碳钢/SN65</w:t>
            </w:r>
          </w:p>
        </w:tc>
        <w:tc>
          <w:tcPr>
            <w:tcW w:w="1001" w:type="pct"/>
            <w:vAlign w:val="center"/>
          </w:tcPr>
          <w:p w14:paraId="207C33D8">
            <w:pPr>
              <w:pStyle w:val="71"/>
              <w:spacing w:before="24" w:after="24"/>
            </w:pPr>
          </w:p>
        </w:tc>
      </w:tr>
      <w:tr w14:paraId="3C218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6D85F376">
            <w:pPr>
              <w:pStyle w:val="71"/>
              <w:spacing w:before="24" w:after="24"/>
            </w:pPr>
            <w:r>
              <w:t>8</w:t>
            </w:r>
          </w:p>
        </w:tc>
        <w:tc>
          <w:tcPr>
            <w:tcW w:w="620" w:type="pct"/>
            <w:vMerge w:val="continue"/>
            <w:vAlign w:val="center"/>
          </w:tcPr>
          <w:p w14:paraId="46D9DACC">
            <w:pPr>
              <w:pStyle w:val="71"/>
              <w:spacing w:before="24" w:after="24"/>
            </w:pPr>
          </w:p>
        </w:tc>
        <w:tc>
          <w:tcPr>
            <w:tcW w:w="1050" w:type="pct"/>
            <w:vAlign w:val="center"/>
          </w:tcPr>
          <w:p w14:paraId="2EAB915D">
            <w:pPr>
              <w:pStyle w:val="71"/>
              <w:spacing w:before="24" w:after="24"/>
            </w:pPr>
            <w:r>
              <w:t>减压稳压型消火栓</w:t>
            </w:r>
          </w:p>
        </w:tc>
        <w:tc>
          <w:tcPr>
            <w:tcW w:w="1965" w:type="pct"/>
            <w:vAlign w:val="center"/>
          </w:tcPr>
          <w:p w14:paraId="06F45AAE">
            <w:pPr>
              <w:pStyle w:val="71"/>
              <w:spacing w:before="24" w:after="24"/>
            </w:pPr>
            <w:r>
              <w:t>碳钢/SNW65</w:t>
            </w:r>
          </w:p>
        </w:tc>
        <w:tc>
          <w:tcPr>
            <w:tcW w:w="1001" w:type="pct"/>
            <w:vAlign w:val="center"/>
          </w:tcPr>
          <w:p w14:paraId="67477A09">
            <w:pPr>
              <w:pStyle w:val="71"/>
              <w:spacing w:before="24" w:after="24"/>
            </w:pPr>
          </w:p>
        </w:tc>
      </w:tr>
      <w:tr w14:paraId="36BE2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6D4FB117">
            <w:pPr>
              <w:pStyle w:val="71"/>
              <w:spacing w:before="24" w:after="24"/>
            </w:pPr>
            <w:r>
              <w:t>9</w:t>
            </w:r>
          </w:p>
        </w:tc>
        <w:tc>
          <w:tcPr>
            <w:tcW w:w="620" w:type="pct"/>
            <w:vMerge w:val="continue"/>
            <w:vAlign w:val="center"/>
          </w:tcPr>
          <w:p w14:paraId="2549BAB0">
            <w:pPr>
              <w:pStyle w:val="71"/>
              <w:spacing w:before="24" w:after="24"/>
            </w:pPr>
          </w:p>
        </w:tc>
        <w:tc>
          <w:tcPr>
            <w:tcW w:w="1050" w:type="pct"/>
            <w:vAlign w:val="center"/>
          </w:tcPr>
          <w:p w14:paraId="188BCB2E">
            <w:pPr>
              <w:pStyle w:val="71"/>
              <w:spacing w:before="24" w:after="24"/>
            </w:pPr>
            <w:r>
              <w:t>水枪</w:t>
            </w:r>
          </w:p>
        </w:tc>
        <w:tc>
          <w:tcPr>
            <w:tcW w:w="1965" w:type="pct"/>
            <w:vAlign w:val="center"/>
          </w:tcPr>
          <w:p w14:paraId="45FE6400">
            <w:pPr>
              <w:pStyle w:val="71"/>
              <w:spacing w:before="24" w:after="24"/>
            </w:pPr>
            <w:r>
              <w:t>铝合金/QZ3.5/7.5</w:t>
            </w:r>
          </w:p>
        </w:tc>
        <w:tc>
          <w:tcPr>
            <w:tcW w:w="1001" w:type="pct"/>
            <w:vAlign w:val="center"/>
          </w:tcPr>
          <w:p w14:paraId="4B4F27FF">
            <w:pPr>
              <w:pStyle w:val="71"/>
              <w:spacing w:before="24" w:after="24"/>
            </w:pPr>
          </w:p>
        </w:tc>
      </w:tr>
      <w:tr w14:paraId="724D9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38CC0236">
            <w:pPr>
              <w:pStyle w:val="71"/>
              <w:spacing w:before="24" w:after="24"/>
            </w:pPr>
            <w:r>
              <w:t>10</w:t>
            </w:r>
          </w:p>
        </w:tc>
        <w:tc>
          <w:tcPr>
            <w:tcW w:w="620" w:type="pct"/>
            <w:vMerge w:val="continue"/>
            <w:vAlign w:val="center"/>
          </w:tcPr>
          <w:p w14:paraId="057DA8FD">
            <w:pPr>
              <w:pStyle w:val="71"/>
              <w:spacing w:before="24" w:after="24"/>
            </w:pPr>
          </w:p>
        </w:tc>
        <w:tc>
          <w:tcPr>
            <w:tcW w:w="1050" w:type="pct"/>
            <w:vAlign w:val="center"/>
          </w:tcPr>
          <w:p w14:paraId="40C89D72">
            <w:pPr>
              <w:pStyle w:val="71"/>
              <w:spacing w:before="24" w:after="24"/>
            </w:pPr>
            <w:r>
              <w:t>水带</w:t>
            </w:r>
          </w:p>
        </w:tc>
        <w:tc>
          <w:tcPr>
            <w:tcW w:w="1965" w:type="pct"/>
            <w:vAlign w:val="center"/>
          </w:tcPr>
          <w:p w14:paraId="6B4CE658">
            <w:pPr>
              <w:pStyle w:val="71"/>
              <w:spacing w:before="24" w:after="24"/>
            </w:pPr>
            <w:r>
              <w:t>涤纶长丝-聚氨脂/DN65/L=25m</w:t>
            </w:r>
          </w:p>
        </w:tc>
        <w:tc>
          <w:tcPr>
            <w:tcW w:w="1001" w:type="pct"/>
            <w:vAlign w:val="center"/>
          </w:tcPr>
          <w:p w14:paraId="002DA633">
            <w:pPr>
              <w:pStyle w:val="71"/>
              <w:spacing w:before="24" w:after="24"/>
            </w:pPr>
          </w:p>
        </w:tc>
      </w:tr>
      <w:tr w14:paraId="3D7E7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25F7DC48">
            <w:pPr>
              <w:pStyle w:val="71"/>
              <w:spacing w:before="24" w:after="24"/>
            </w:pPr>
            <w:r>
              <w:t>11</w:t>
            </w:r>
          </w:p>
        </w:tc>
        <w:tc>
          <w:tcPr>
            <w:tcW w:w="620" w:type="pct"/>
            <w:vMerge w:val="continue"/>
            <w:vAlign w:val="center"/>
          </w:tcPr>
          <w:p w14:paraId="30CA89DA">
            <w:pPr>
              <w:pStyle w:val="71"/>
              <w:spacing w:before="24" w:after="24"/>
            </w:pPr>
          </w:p>
        </w:tc>
        <w:tc>
          <w:tcPr>
            <w:tcW w:w="1050" w:type="pct"/>
            <w:vAlign w:val="center"/>
          </w:tcPr>
          <w:p w14:paraId="651745E9">
            <w:pPr>
              <w:pStyle w:val="71"/>
              <w:spacing w:before="24" w:after="24"/>
            </w:pPr>
            <w:r>
              <w:t>消防软管卷盘</w:t>
            </w:r>
          </w:p>
        </w:tc>
        <w:tc>
          <w:tcPr>
            <w:tcW w:w="1965" w:type="pct"/>
            <w:vAlign w:val="center"/>
          </w:tcPr>
          <w:p w14:paraId="48E1F40E">
            <w:pPr>
              <w:pStyle w:val="71"/>
              <w:spacing w:before="24" w:after="24"/>
            </w:pPr>
            <w:r>
              <w:t>JPS1.6-19</w:t>
            </w:r>
          </w:p>
        </w:tc>
        <w:tc>
          <w:tcPr>
            <w:tcW w:w="1001" w:type="pct"/>
            <w:vAlign w:val="center"/>
          </w:tcPr>
          <w:p w14:paraId="1F5C92F5">
            <w:pPr>
              <w:pStyle w:val="71"/>
              <w:spacing w:before="24" w:after="24"/>
            </w:pPr>
          </w:p>
        </w:tc>
      </w:tr>
      <w:tr w14:paraId="605CE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383319C0">
            <w:pPr>
              <w:pStyle w:val="71"/>
              <w:spacing w:before="24" w:after="24"/>
            </w:pPr>
            <w:r>
              <w:t>12</w:t>
            </w:r>
          </w:p>
        </w:tc>
        <w:tc>
          <w:tcPr>
            <w:tcW w:w="620" w:type="pct"/>
            <w:vMerge w:val="continue"/>
            <w:vAlign w:val="center"/>
          </w:tcPr>
          <w:p w14:paraId="1B6FBB7C">
            <w:pPr>
              <w:pStyle w:val="71"/>
              <w:spacing w:before="24" w:after="24"/>
            </w:pPr>
          </w:p>
        </w:tc>
        <w:tc>
          <w:tcPr>
            <w:tcW w:w="1050" w:type="pct"/>
            <w:vAlign w:val="center"/>
          </w:tcPr>
          <w:p w14:paraId="28784AA2">
            <w:pPr>
              <w:pStyle w:val="71"/>
              <w:spacing w:before="24" w:after="24"/>
            </w:pPr>
            <w:r>
              <w:t>直流喷雾喷枪</w:t>
            </w:r>
          </w:p>
        </w:tc>
        <w:tc>
          <w:tcPr>
            <w:tcW w:w="1965" w:type="pct"/>
            <w:vAlign w:val="center"/>
          </w:tcPr>
          <w:p w14:paraId="29D3E060">
            <w:pPr>
              <w:pStyle w:val="71"/>
              <w:spacing w:before="24" w:after="24"/>
            </w:pPr>
            <w:r>
              <w:t>全铜/成品/当量喷嘴直径φ6</w:t>
            </w:r>
          </w:p>
        </w:tc>
        <w:tc>
          <w:tcPr>
            <w:tcW w:w="1001" w:type="pct"/>
            <w:vAlign w:val="center"/>
          </w:tcPr>
          <w:p w14:paraId="40538D34">
            <w:pPr>
              <w:pStyle w:val="71"/>
              <w:spacing w:before="24" w:after="24"/>
            </w:pPr>
          </w:p>
        </w:tc>
      </w:tr>
      <w:tr w14:paraId="66FBA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66C71430">
            <w:pPr>
              <w:pStyle w:val="71"/>
              <w:spacing w:before="24" w:after="24"/>
            </w:pPr>
            <w:r>
              <w:t>13</w:t>
            </w:r>
          </w:p>
        </w:tc>
        <w:tc>
          <w:tcPr>
            <w:tcW w:w="620" w:type="pct"/>
            <w:vMerge w:val="continue"/>
            <w:vAlign w:val="center"/>
          </w:tcPr>
          <w:p w14:paraId="7E5E6933">
            <w:pPr>
              <w:pStyle w:val="71"/>
              <w:spacing w:before="24" w:after="24"/>
            </w:pPr>
          </w:p>
        </w:tc>
        <w:tc>
          <w:tcPr>
            <w:tcW w:w="1050" w:type="pct"/>
            <w:vAlign w:val="center"/>
          </w:tcPr>
          <w:p w14:paraId="06F6BBB9">
            <w:pPr>
              <w:pStyle w:val="71"/>
              <w:spacing w:before="24" w:after="24"/>
            </w:pPr>
            <w:r>
              <w:t>快速接口</w:t>
            </w:r>
          </w:p>
        </w:tc>
        <w:tc>
          <w:tcPr>
            <w:tcW w:w="1965" w:type="pct"/>
            <w:vAlign w:val="center"/>
          </w:tcPr>
          <w:p w14:paraId="428C54CA">
            <w:pPr>
              <w:pStyle w:val="71"/>
              <w:spacing w:before="24" w:after="24"/>
            </w:pPr>
            <w:r>
              <w:t>全铜/成品</w:t>
            </w:r>
          </w:p>
        </w:tc>
        <w:tc>
          <w:tcPr>
            <w:tcW w:w="1001" w:type="pct"/>
            <w:vAlign w:val="center"/>
          </w:tcPr>
          <w:p w14:paraId="1C9DA626">
            <w:pPr>
              <w:pStyle w:val="71"/>
              <w:spacing w:before="24" w:after="24"/>
            </w:pPr>
          </w:p>
        </w:tc>
      </w:tr>
      <w:tr w14:paraId="05208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605BEB5D">
            <w:pPr>
              <w:pStyle w:val="71"/>
              <w:spacing w:before="24" w:after="24"/>
            </w:pPr>
            <w:r>
              <w:t>14</w:t>
            </w:r>
          </w:p>
        </w:tc>
        <w:tc>
          <w:tcPr>
            <w:tcW w:w="620" w:type="pct"/>
            <w:vMerge w:val="continue"/>
            <w:vAlign w:val="center"/>
          </w:tcPr>
          <w:p w14:paraId="41612B9F">
            <w:pPr>
              <w:pStyle w:val="71"/>
              <w:spacing w:before="24" w:after="24"/>
            </w:pPr>
          </w:p>
        </w:tc>
        <w:tc>
          <w:tcPr>
            <w:tcW w:w="1050" w:type="pct"/>
            <w:vAlign w:val="center"/>
          </w:tcPr>
          <w:p w14:paraId="47D34EA0">
            <w:pPr>
              <w:pStyle w:val="71"/>
              <w:spacing w:before="24" w:after="24"/>
            </w:pPr>
            <w:r>
              <w:t>快速接头</w:t>
            </w:r>
          </w:p>
        </w:tc>
        <w:tc>
          <w:tcPr>
            <w:tcW w:w="1965" w:type="pct"/>
            <w:vAlign w:val="center"/>
          </w:tcPr>
          <w:p w14:paraId="107C1E21">
            <w:pPr>
              <w:pStyle w:val="71"/>
              <w:spacing w:before="24" w:after="24"/>
            </w:pPr>
            <w:r>
              <w:t>铜质/DN25</w:t>
            </w:r>
          </w:p>
        </w:tc>
        <w:tc>
          <w:tcPr>
            <w:tcW w:w="1001" w:type="pct"/>
            <w:vAlign w:val="center"/>
          </w:tcPr>
          <w:p w14:paraId="049C8ED7">
            <w:pPr>
              <w:pStyle w:val="71"/>
              <w:spacing w:before="24" w:after="24"/>
            </w:pPr>
          </w:p>
        </w:tc>
      </w:tr>
      <w:tr w14:paraId="0612B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4ADE8563">
            <w:pPr>
              <w:pStyle w:val="71"/>
              <w:spacing w:before="24" w:after="24"/>
            </w:pPr>
            <w:r>
              <w:t>15</w:t>
            </w:r>
          </w:p>
        </w:tc>
        <w:tc>
          <w:tcPr>
            <w:tcW w:w="620" w:type="pct"/>
            <w:vMerge w:val="continue"/>
            <w:vAlign w:val="center"/>
          </w:tcPr>
          <w:p w14:paraId="55B0060C">
            <w:pPr>
              <w:pStyle w:val="71"/>
              <w:spacing w:before="24" w:after="24"/>
            </w:pPr>
          </w:p>
        </w:tc>
        <w:tc>
          <w:tcPr>
            <w:tcW w:w="1050" w:type="pct"/>
            <w:vAlign w:val="center"/>
          </w:tcPr>
          <w:p w14:paraId="5CE4E774">
            <w:pPr>
              <w:pStyle w:val="71"/>
              <w:spacing w:before="24" w:after="24"/>
            </w:pPr>
            <w:r>
              <w:t>球阀</w:t>
            </w:r>
          </w:p>
        </w:tc>
        <w:tc>
          <w:tcPr>
            <w:tcW w:w="1965" w:type="pct"/>
            <w:vAlign w:val="center"/>
          </w:tcPr>
          <w:p w14:paraId="549038F6">
            <w:pPr>
              <w:pStyle w:val="71"/>
              <w:spacing w:before="24" w:after="24"/>
            </w:pPr>
            <w:r>
              <w:t>铜质/DN25</w:t>
            </w:r>
          </w:p>
        </w:tc>
        <w:tc>
          <w:tcPr>
            <w:tcW w:w="1001" w:type="pct"/>
            <w:vAlign w:val="center"/>
          </w:tcPr>
          <w:p w14:paraId="3BE61DD1">
            <w:pPr>
              <w:pStyle w:val="71"/>
              <w:spacing w:before="24" w:after="24"/>
            </w:pPr>
          </w:p>
        </w:tc>
      </w:tr>
      <w:tr w14:paraId="06F17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17DE472B">
            <w:pPr>
              <w:pStyle w:val="71"/>
              <w:spacing w:before="24" w:after="24"/>
            </w:pPr>
            <w:r>
              <w:t>16</w:t>
            </w:r>
          </w:p>
        </w:tc>
        <w:tc>
          <w:tcPr>
            <w:tcW w:w="620" w:type="pct"/>
            <w:vMerge w:val="continue"/>
            <w:vAlign w:val="center"/>
          </w:tcPr>
          <w:p w14:paraId="455D072D">
            <w:pPr>
              <w:pStyle w:val="71"/>
              <w:spacing w:before="24" w:after="24"/>
            </w:pPr>
          </w:p>
        </w:tc>
        <w:tc>
          <w:tcPr>
            <w:tcW w:w="1050" w:type="pct"/>
            <w:vAlign w:val="center"/>
          </w:tcPr>
          <w:p w14:paraId="1CE918ED">
            <w:pPr>
              <w:pStyle w:val="71"/>
              <w:spacing w:before="24" w:after="24"/>
            </w:pPr>
            <w:r>
              <w:t>管套</w:t>
            </w:r>
          </w:p>
        </w:tc>
        <w:tc>
          <w:tcPr>
            <w:tcW w:w="1965" w:type="pct"/>
            <w:vAlign w:val="center"/>
          </w:tcPr>
          <w:p w14:paraId="356DEBD4">
            <w:pPr>
              <w:pStyle w:val="71"/>
              <w:spacing w:before="24" w:after="24"/>
            </w:pPr>
            <w:r>
              <w:t>钢（扣压成型）/成品</w:t>
            </w:r>
          </w:p>
        </w:tc>
        <w:tc>
          <w:tcPr>
            <w:tcW w:w="1001" w:type="pct"/>
            <w:vAlign w:val="center"/>
          </w:tcPr>
          <w:p w14:paraId="54FCF28A">
            <w:pPr>
              <w:pStyle w:val="71"/>
              <w:spacing w:before="24" w:after="24"/>
            </w:pPr>
          </w:p>
        </w:tc>
      </w:tr>
      <w:tr w14:paraId="2294E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79BF1754">
            <w:pPr>
              <w:pStyle w:val="71"/>
              <w:spacing w:before="24" w:after="24"/>
            </w:pPr>
            <w:r>
              <w:t>17</w:t>
            </w:r>
          </w:p>
        </w:tc>
        <w:tc>
          <w:tcPr>
            <w:tcW w:w="620" w:type="pct"/>
            <w:vMerge w:val="continue"/>
            <w:vAlign w:val="center"/>
          </w:tcPr>
          <w:p w14:paraId="32EEFA43">
            <w:pPr>
              <w:pStyle w:val="71"/>
              <w:spacing w:before="24" w:after="24"/>
            </w:pPr>
          </w:p>
        </w:tc>
        <w:tc>
          <w:tcPr>
            <w:tcW w:w="1050" w:type="pct"/>
            <w:vAlign w:val="center"/>
          </w:tcPr>
          <w:p w14:paraId="1503A2DA">
            <w:pPr>
              <w:pStyle w:val="71"/>
              <w:spacing w:before="24" w:after="24"/>
            </w:pPr>
            <w:r>
              <w:t>消防按钮</w:t>
            </w:r>
          </w:p>
        </w:tc>
        <w:tc>
          <w:tcPr>
            <w:tcW w:w="1965" w:type="pct"/>
            <w:vAlign w:val="center"/>
          </w:tcPr>
          <w:p w14:paraId="478B35C0">
            <w:pPr>
              <w:pStyle w:val="71"/>
              <w:spacing w:before="24" w:after="24"/>
            </w:pPr>
            <w:r>
              <w:t>成品</w:t>
            </w:r>
          </w:p>
        </w:tc>
        <w:tc>
          <w:tcPr>
            <w:tcW w:w="1001" w:type="pct"/>
            <w:vAlign w:val="center"/>
          </w:tcPr>
          <w:p w14:paraId="4299D533">
            <w:pPr>
              <w:pStyle w:val="71"/>
              <w:spacing w:before="24" w:after="24"/>
            </w:pPr>
          </w:p>
        </w:tc>
      </w:tr>
      <w:tr w14:paraId="0ECE8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454F7F0D">
            <w:pPr>
              <w:pStyle w:val="71"/>
              <w:spacing w:before="24" w:after="24"/>
            </w:pPr>
            <w:r>
              <w:t>18</w:t>
            </w:r>
          </w:p>
        </w:tc>
        <w:tc>
          <w:tcPr>
            <w:tcW w:w="620" w:type="pct"/>
            <w:vMerge w:val="restart"/>
            <w:vAlign w:val="center"/>
          </w:tcPr>
          <w:p w14:paraId="15C9F7BB">
            <w:pPr>
              <w:pStyle w:val="71"/>
              <w:spacing w:before="24" w:after="24"/>
            </w:pPr>
            <w:r>
              <w:t>自动喷水灭火系统</w:t>
            </w:r>
          </w:p>
        </w:tc>
        <w:tc>
          <w:tcPr>
            <w:tcW w:w="1050" w:type="pct"/>
            <w:vAlign w:val="center"/>
          </w:tcPr>
          <w:p w14:paraId="00318AE4">
            <w:pPr>
              <w:pStyle w:val="71"/>
              <w:spacing w:before="24" w:after="24"/>
            </w:pPr>
            <w:r>
              <w:t>自动喷淋给水管</w:t>
            </w:r>
          </w:p>
        </w:tc>
        <w:tc>
          <w:tcPr>
            <w:tcW w:w="1965" w:type="pct"/>
            <w:vAlign w:val="center"/>
          </w:tcPr>
          <w:p w14:paraId="07AA0B06">
            <w:pPr>
              <w:pStyle w:val="71"/>
              <w:spacing w:before="24" w:after="24"/>
            </w:pPr>
            <w:r>
              <w:t>内外壁热镀锌钢管</w:t>
            </w:r>
          </w:p>
          <w:p w14:paraId="21758F85">
            <w:pPr>
              <w:pStyle w:val="71"/>
              <w:spacing w:before="24" w:after="24"/>
            </w:pPr>
            <w:r>
              <w:t>/PN=1.6MPa/DN25～DN150</w:t>
            </w:r>
          </w:p>
        </w:tc>
        <w:tc>
          <w:tcPr>
            <w:tcW w:w="1001" w:type="pct"/>
            <w:vAlign w:val="center"/>
          </w:tcPr>
          <w:p w14:paraId="360F94DC">
            <w:pPr>
              <w:pStyle w:val="71"/>
              <w:spacing w:before="24" w:after="24"/>
            </w:pPr>
          </w:p>
        </w:tc>
      </w:tr>
      <w:tr w14:paraId="5A0C0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23DD37DD">
            <w:pPr>
              <w:pStyle w:val="71"/>
              <w:spacing w:before="24" w:after="24"/>
            </w:pPr>
            <w:r>
              <w:t>19</w:t>
            </w:r>
          </w:p>
        </w:tc>
        <w:tc>
          <w:tcPr>
            <w:tcW w:w="620" w:type="pct"/>
            <w:vMerge w:val="continue"/>
            <w:vAlign w:val="center"/>
          </w:tcPr>
          <w:p w14:paraId="78B4DF0A">
            <w:pPr>
              <w:pStyle w:val="71"/>
              <w:spacing w:before="24" w:after="24"/>
            </w:pPr>
          </w:p>
        </w:tc>
        <w:tc>
          <w:tcPr>
            <w:tcW w:w="1050" w:type="pct"/>
            <w:vAlign w:val="center"/>
          </w:tcPr>
          <w:p w14:paraId="4DDD86F5">
            <w:pPr>
              <w:pStyle w:val="71"/>
              <w:spacing w:before="24" w:after="24"/>
            </w:pPr>
            <w:r>
              <w:t>直立型喷头</w:t>
            </w:r>
          </w:p>
        </w:tc>
        <w:tc>
          <w:tcPr>
            <w:tcW w:w="1965" w:type="pct"/>
            <w:vAlign w:val="center"/>
          </w:tcPr>
          <w:p w14:paraId="468F3673">
            <w:pPr>
              <w:pStyle w:val="71"/>
              <w:spacing w:before="24" w:after="24"/>
            </w:pPr>
            <w:r>
              <w:t>ZSTZ-15K=80</w:t>
            </w:r>
          </w:p>
        </w:tc>
        <w:tc>
          <w:tcPr>
            <w:tcW w:w="1001" w:type="pct"/>
            <w:vAlign w:val="center"/>
          </w:tcPr>
          <w:p w14:paraId="7F28C49F">
            <w:pPr>
              <w:pStyle w:val="71"/>
              <w:spacing w:before="24" w:after="24"/>
            </w:pPr>
          </w:p>
        </w:tc>
      </w:tr>
      <w:tr w14:paraId="6ADFD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1AB71F30">
            <w:pPr>
              <w:pStyle w:val="71"/>
              <w:spacing w:before="24" w:after="24"/>
            </w:pPr>
            <w:r>
              <w:t>20</w:t>
            </w:r>
          </w:p>
        </w:tc>
        <w:tc>
          <w:tcPr>
            <w:tcW w:w="620" w:type="pct"/>
            <w:vMerge w:val="continue"/>
            <w:vAlign w:val="center"/>
          </w:tcPr>
          <w:p w14:paraId="7E342B95">
            <w:pPr>
              <w:pStyle w:val="71"/>
              <w:spacing w:before="24" w:after="24"/>
            </w:pPr>
          </w:p>
        </w:tc>
        <w:tc>
          <w:tcPr>
            <w:tcW w:w="1050" w:type="pct"/>
            <w:vAlign w:val="center"/>
          </w:tcPr>
          <w:p w14:paraId="3278E758">
            <w:pPr>
              <w:pStyle w:val="71"/>
              <w:spacing w:before="24" w:after="24"/>
            </w:pPr>
            <w:r>
              <w:t>信号蝶阀</w:t>
            </w:r>
          </w:p>
        </w:tc>
        <w:tc>
          <w:tcPr>
            <w:tcW w:w="1965" w:type="pct"/>
            <w:vAlign w:val="center"/>
          </w:tcPr>
          <w:p w14:paraId="634FEA51">
            <w:pPr>
              <w:pStyle w:val="71"/>
              <w:spacing w:before="24" w:after="24"/>
            </w:pPr>
            <w:r>
              <w:t>铸钢</w:t>
            </w:r>
          </w:p>
          <w:p w14:paraId="0BDD0CFB">
            <w:pPr>
              <w:pStyle w:val="71"/>
              <w:spacing w:before="24" w:after="24"/>
            </w:pPr>
            <w:r>
              <w:t>/XD371X-16/DN150</w:t>
            </w:r>
          </w:p>
        </w:tc>
        <w:tc>
          <w:tcPr>
            <w:tcW w:w="1001" w:type="pct"/>
            <w:vAlign w:val="center"/>
          </w:tcPr>
          <w:p w14:paraId="3A47ADB6">
            <w:pPr>
              <w:pStyle w:val="71"/>
              <w:spacing w:before="24" w:after="24"/>
            </w:pPr>
          </w:p>
        </w:tc>
      </w:tr>
      <w:tr w14:paraId="4715C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2984AD09">
            <w:pPr>
              <w:pStyle w:val="71"/>
              <w:spacing w:before="24" w:after="24"/>
            </w:pPr>
            <w:r>
              <w:t>21</w:t>
            </w:r>
          </w:p>
        </w:tc>
        <w:tc>
          <w:tcPr>
            <w:tcW w:w="620" w:type="pct"/>
            <w:vMerge w:val="continue"/>
            <w:vAlign w:val="center"/>
          </w:tcPr>
          <w:p w14:paraId="61EF05D0">
            <w:pPr>
              <w:pStyle w:val="71"/>
              <w:spacing w:before="24" w:after="24"/>
            </w:pPr>
          </w:p>
        </w:tc>
        <w:tc>
          <w:tcPr>
            <w:tcW w:w="1050" w:type="pct"/>
            <w:vAlign w:val="center"/>
          </w:tcPr>
          <w:p w14:paraId="29BEEAB5">
            <w:pPr>
              <w:pStyle w:val="71"/>
              <w:spacing w:before="24" w:after="24"/>
            </w:pPr>
            <w:r>
              <w:t>水流指示器</w:t>
            </w:r>
          </w:p>
        </w:tc>
        <w:tc>
          <w:tcPr>
            <w:tcW w:w="1965" w:type="pct"/>
            <w:vAlign w:val="center"/>
          </w:tcPr>
          <w:p w14:paraId="1C3EFC0C">
            <w:pPr>
              <w:pStyle w:val="71"/>
              <w:spacing w:before="24" w:after="24"/>
            </w:pPr>
            <w:r>
              <w:t>ZSJZDN150</w:t>
            </w:r>
          </w:p>
        </w:tc>
        <w:tc>
          <w:tcPr>
            <w:tcW w:w="1001" w:type="pct"/>
            <w:vAlign w:val="center"/>
          </w:tcPr>
          <w:p w14:paraId="3758071E">
            <w:pPr>
              <w:pStyle w:val="71"/>
              <w:spacing w:before="24" w:after="24"/>
            </w:pPr>
          </w:p>
        </w:tc>
      </w:tr>
      <w:tr w14:paraId="47F4A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2A08C6CA">
            <w:pPr>
              <w:pStyle w:val="71"/>
              <w:spacing w:before="24" w:after="24"/>
            </w:pPr>
            <w:r>
              <w:t>22</w:t>
            </w:r>
          </w:p>
        </w:tc>
        <w:tc>
          <w:tcPr>
            <w:tcW w:w="620" w:type="pct"/>
            <w:vMerge w:val="continue"/>
            <w:vAlign w:val="center"/>
          </w:tcPr>
          <w:p w14:paraId="2DBEEA02">
            <w:pPr>
              <w:pStyle w:val="71"/>
              <w:spacing w:before="24" w:after="24"/>
            </w:pPr>
          </w:p>
        </w:tc>
        <w:tc>
          <w:tcPr>
            <w:tcW w:w="1050" w:type="pct"/>
            <w:vAlign w:val="center"/>
          </w:tcPr>
          <w:p w14:paraId="1024122A">
            <w:pPr>
              <w:pStyle w:val="71"/>
              <w:spacing w:before="24" w:after="24"/>
            </w:pPr>
            <w:r>
              <w:t>减压孔板</w:t>
            </w:r>
          </w:p>
        </w:tc>
        <w:tc>
          <w:tcPr>
            <w:tcW w:w="1965" w:type="pct"/>
            <w:vAlign w:val="center"/>
          </w:tcPr>
          <w:p w14:paraId="52D99B04">
            <w:pPr>
              <w:pStyle w:val="71"/>
              <w:spacing w:before="24" w:after="24"/>
            </w:pPr>
            <w:r>
              <w:t>不锈钢板制作/厚度6mm</w:t>
            </w:r>
          </w:p>
        </w:tc>
        <w:tc>
          <w:tcPr>
            <w:tcW w:w="1001" w:type="pct"/>
            <w:vAlign w:val="center"/>
          </w:tcPr>
          <w:p w14:paraId="011CC66B">
            <w:pPr>
              <w:pStyle w:val="71"/>
              <w:spacing w:before="24" w:after="24"/>
            </w:pPr>
          </w:p>
        </w:tc>
      </w:tr>
      <w:tr w14:paraId="10402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0EF038C0">
            <w:pPr>
              <w:pStyle w:val="71"/>
              <w:spacing w:before="24" w:after="24"/>
            </w:pPr>
            <w:r>
              <w:t>23</w:t>
            </w:r>
          </w:p>
        </w:tc>
        <w:tc>
          <w:tcPr>
            <w:tcW w:w="620" w:type="pct"/>
            <w:vMerge w:val="continue"/>
            <w:vAlign w:val="center"/>
          </w:tcPr>
          <w:p w14:paraId="30BDE5AF">
            <w:pPr>
              <w:pStyle w:val="71"/>
              <w:spacing w:before="24" w:after="24"/>
            </w:pPr>
          </w:p>
        </w:tc>
        <w:tc>
          <w:tcPr>
            <w:tcW w:w="1050" w:type="pct"/>
            <w:vAlign w:val="center"/>
          </w:tcPr>
          <w:p w14:paraId="00212C71">
            <w:pPr>
              <w:pStyle w:val="71"/>
              <w:spacing w:before="24" w:after="24"/>
            </w:pPr>
            <w:r>
              <w:t>末端试水装置</w:t>
            </w:r>
          </w:p>
        </w:tc>
        <w:tc>
          <w:tcPr>
            <w:tcW w:w="1965" w:type="pct"/>
            <w:vAlign w:val="center"/>
          </w:tcPr>
          <w:p w14:paraId="13B29191">
            <w:pPr>
              <w:pStyle w:val="71"/>
              <w:spacing w:before="24" w:after="24"/>
            </w:pPr>
            <w:r>
              <w:t>ZSPM-80/1.2-S/DN25</w:t>
            </w:r>
          </w:p>
        </w:tc>
        <w:tc>
          <w:tcPr>
            <w:tcW w:w="1001" w:type="pct"/>
            <w:vAlign w:val="center"/>
          </w:tcPr>
          <w:p w14:paraId="44872917">
            <w:pPr>
              <w:pStyle w:val="71"/>
              <w:spacing w:before="24" w:after="24"/>
            </w:pPr>
          </w:p>
        </w:tc>
      </w:tr>
      <w:tr w14:paraId="65BB6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095DC862">
            <w:pPr>
              <w:pStyle w:val="71"/>
              <w:spacing w:before="24" w:after="24"/>
            </w:pPr>
            <w:r>
              <w:t>24</w:t>
            </w:r>
          </w:p>
        </w:tc>
        <w:tc>
          <w:tcPr>
            <w:tcW w:w="620" w:type="pct"/>
            <w:vMerge w:val="continue"/>
            <w:vAlign w:val="center"/>
          </w:tcPr>
          <w:p w14:paraId="6DDD0994">
            <w:pPr>
              <w:pStyle w:val="71"/>
              <w:spacing w:before="24" w:after="24"/>
            </w:pPr>
          </w:p>
        </w:tc>
        <w:tc>
          <w:tcPr>
            <w:tcW w:w="1050" w:type="pct"/>
            <w:vAlign w:val="center"/>
          </w:tcPr>
          <w:p w14:paraId="53C55286">
            <w:pPr>
              <w:pStyle w:val="71"/>
              <w:spacing w:before="24" w:after="24"/>
            </w:pPr>
            <w:r>
              <w:t>球阀</w:t>
            </w:r>
          </w:p>
        </w:tc>
        <w:tc>
          <w:tcPr>
            <w:tcW w:w="1965" w:type="pct"/>
            <w:vAlign w:val="center"/>
          </w:tcPr>
          <w:p w14:paraId="53FBBDEA">
            <w:pPr>
              <w:pStyle w:val="71"/>
              <w:spacing w:before="24" w:after="24"/>
            </w:pPr>
            <w:r>
              <w:t>铜质/Q11F-16T/DN25</w:t>
            </w:r>
          </w:p>
        </w:tc>
        <w:tc>
          <w:tcPr>
            <w:tcW w:w="1001" w:type="pct"/>
            <w:vAlign w:val="center"/>
          </w:tcPr>
          <w:p w14:paraId="7BB18EAC">
            <w:pPr>
              <w:pStyle w:val="71"/>
              <w:spacing w:before="24" w:after="24"/>
            </w:pPr>
            <w:r>
              <w:t>用于试水阀</w:t>
            </w:r>
          </w:p>
        </w:tc>
      </w:tr>
      <w:tr w14:paraId="06D3A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61554CDF">
            <w:pPr>
              <w:pStyle w:val="71"/>
              <w:spacing w:before="24" w:after="24"/>
            </w:pPr>
            <w:r>
              <w:t>25</w:t>
            </w:r>
          </w:p>
        </w:tc>
        <w:tc>
          <w:tcPr>
            <w:tcW w:w="620" w:type="pct"/>
            <w:vMerge w:val="continue"/>
            <w:vAlign w:val="center"/>
          </w:tcPr>
          <w:p w14:paraId="2072E8B8">
            <w:pPr>
              <w:pStyle w:val="71"/>
              <w:spacing w:before="24" w:after="24"/>
            </w:pPr>
          </w:p>
        </w:tc>
        <w:tc>
          <w:tcPr>
            <w:tcW w:w="1050" w:type="pct"/>
            <w:vAlign w:val="center"/>
          </w:tcPr>
          <w:p w14:paraId="7356AF49">
            <w:pPr>
              <w:pStyle w:val="71"/>
              <w:spacing w:before="24" w:after="24"/>
            </w:pPr>
            <w:r>
              <w:t>自动排气阀</w:t>
            </w:r>
          </w:p>
        </w:tc>
        <w:tc>
          <w:tcPr>
            <w:tcW w:w="1965" w:type="pct"/>
            <w:vAlign w:val="center"/>
          </w:tcPr>
          <w:p w14:paraId="5F8F788E">
            <w:pPr>
              <w:pStyle w:val="71"/>
              <w:spacing w:before="24" w:after="24"/>
            </w:pPr>
            <w:r>
              <w:t>铸钢/ARVX20</w:t>
            </w:r>
          </w:p>
        </w:tc>
        <w:tc>
          <w:tcPr>
            <w:tcW w:w="1001" w:type="pct"/>
            <w:vAlign w:val="center"/>
          </w:tcPr>
          <w:p w14:paraId="1E10D54D">
            <w:pPr>
              <w:pStyle w:val="71"/>
              <w:spacing w:before="24" w:after="24"/>
            </w:pPr>
          </w:p>
        </w:tc>
      </w:tr>
      <w:tr w14:paraId="20E49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01807BC9">
            <w:pPr>
              <w:pStyle w:val="71"/>
              <w:spacing w:before="24" w:after="24"/>
            </w:pPr>
            <w:r>
              <w:t>26</w:t>
            </w:r>
          </w:p>
        </w:tc>
        <w:tc>
          <w:tcPr>
            <w:tcW w:w="620" w:type="pct"/>
            <w:vMerge w:val="continue"/>
            <w:vAlign w:val="center"/>
          </w:tcPr>
          <w:p w14:paraId="39198E29">
            <w:pPr>
              <w:pStyle w:val="71"/>
              <w:spacing w:before="24" w:after="24"/>
            </w:pPr>
          </w:p>
        </w:tc>
        <w:tc>
          <w:tcPr>
            <w:tcW w:w="1050" w:type="pct"/>
            <w:vAlign w:val="center"/>
          </w:tcPr>
          <w:p w14:paraId="246F80F5">
            <w:pPr>
              <w:pStyle w:val="71"/>
              <w:spacing w:before="24" w:after="24"/>
            </w:pPr>
            <w:r>
              <w:t>蝶阀</w:t>
            </w:r>
          </w:p>
        </w:tc>
        <w:tc>
          <w:tcPr>
            <w:tcW w:w="1965" w:type="pct"/>
            <w:vAlign w:val="center"/>
          </w:tcPr>
          <w:p w14:paraId="64B2EF93">
            <w:pPr>
              <w:pStyle w:val="71"/>
              <w:spacing w:before="24" w:after="24"/>
            </w:pPr>
            <w:r>
              <w:t>铸钢D71X-16/DN65～DN150</w:t>
            </w:r>
          </w:p>
        </w:tc>
        <w:tc>
          <w:tcPr>
            <w:tcW w:w="1001" w:type="pct"/>
            <w:vAlign w:val="center"/>
          </w:tcPr>
          <w:p w14:paraId="3F9DB990">
            <w:pPr>
              <w:pStyle w:val="71"/>
              <w:spacing w:before="24" w:after="24"/>
            </w:pPr>
          </w:p>
        </w:tc>
      </w:tr>
      <w:tr w14:paraId="1E245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7C8235CA">
            <w:pPr>
              <w:pStyle w:val="71"/>
              <w:spacing w:before="24" w:after="24"/>
            </w:pPr>
            <w:r>
              <w:t>27</w:t>
            </w:r>
          </w:p>
        </w:tc>
        <w:tc>
          <w:tcPr>
            <w:tcW w:w="620" w:type="pct"/>
            <w:vMerge w:val="continue"/>
            <w:vAlign w:val="center"/>
          </w:tcPr>
          <w:p w14:paraId="2A566F36">
            <w:pPr>
              <w:pStyle w:val="71"/>
              <w:spacing w:before="24" w:after="24"/>
            </w:pPr>
          </w:p>
        </w:tc>
        <w:tc>
          <w:tcPr>
            <w:tcW w:w="1050" w:type="pct"/>
            <w:vAlign w:val="center"/>
          </w:tcPr>
          <w:p w14:paraId="50F52297">
            <w:pPr>
              <w:pStyle w:val="71"/>
              <w:spacing w:before="24" w:after="24"/>
            </w:pPr>
            <w:r>
              <w:t>湿式报警阀</w:t>
            </w:r>
          </w:p>
        </w:tc>
        <w:tc>
          <w:tcPr>
            <w:tcW w:w="1965" w:type="pct"/>
            <w:vAlign w:val="center"/>
          </w:tcPr>
          <w:p w14:paraId="673CC8A1">
            <w:pPr>
              <w:pStyle w:val="71"/>
              <w:spacing w:before="24" w:after="24"/>
            </w:pPr>
            <w:r>
              <w:t>球墨铸铁/ZSFZ150</w:t>
            </w:r>
          </w:p>
        </w:tc>
        <w:tc>
          <w:tcPr>
            <w:tcW w:w="1001" w:type="pct"/>
            <w:vAlign w:val="center"/>
          </w:tcPr>
          <w:p w14:paraId="21E9B729">
            <w:pPr>
              <w:pStyle w:val="71"/>
              <w:spacing w:before="24" w:after="24"/>
            </w:pPr>
          </w:p>
        </w:tc>
      </w:tr>
      <w:tr w14:paraId="62D0D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7440026E">
            <w:pPr>
              <w:pStyle w:val="71"/>
              <w:spacing w:before="24" w:after="24"/>
            </w:pPr>
            <w:r>
              <w:t>28</w:t>
            </w:r>
          </w:p>
        </w:tc>
        <w:tc>
          <w:tcPr>
            <w:tcW w:w="620" w:type="pct"/>
            <w:vMerge w:val="restart"/>
            <w:vAlign w:val="center"/>
          </w:tcPr>
          <w:p w14:paraId="56AA1F9C">
            <w:pPr>
              <w:pStyle w:val="71"/>
              <w:spacing w:before="24" w:after="24"/>
            </w:pPr>
            <w:r>
              <w:t>消防泵房及高位水箱</w:t>
            </w:r>
          </w:p>
        </w:tc>
        <w:tc>
          <w:tcPr>
            <w:tcW w:w="1050" w:type="pct"/>
            <w:vAlign w:val="center"/>
          </w:tcPr>
          <w:p w14:paraId="578B8201">
            <w:pPr>
              <w:pStyle w:val="71"/>
              <w:spacing w:before="24" w:after="24"/>
            </w:pPr>
            <w:r>
              <w:t>高位消防水箱</w:t>
            </w:r>
          </w:p>
        </w:tc>
        <w:tc>
          <w:tcPr>
            <w:tcW w:w="1965" w:type="pct"/>
            <w:vAlign w:val="center"/>
          </w:tcPr>
          <w:p w14:paraId="1E075481">
            <w:pPr>
              <w:pStyle w:val="71"/>
              <w:spacing w:before="24" w:after="24"/>
            </w:pPr>
            <w:r>
              <w:t>不锈钢成品水箱</w:t>
            </w:r>
          </w:p>
        </w:tc>
        <w:tc>
          <w:tcPr>
            <w:tcW w:w="1001" w:type="pct"/>
            <w:vAlign w:val="center"/>
          </w:tcPr>
          <w:p w14:paraId="1A41A12C">
            <w:pPr>
              <w:pStyle w:val="71"/>
              <w:spacing w:before="24" w:after="24"/>
            </w:pPr>
          </w:p>
        </w:tc>
      </w:tr>
      <w:tr w14:paraId="0DF4C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0047F5CA">
            <w:pPr>
              <w:pStyle w:val="71"/>
              <w:spacing w:before="24" w:after="24"/>
            </w:pPr>
            <w:r>
              <w:t>29</w:t>
            </w:r>
          </w:p>
        </w:tc>
        <w:tc>
          <w:tcPr>
            <w:tcW w:w="620" w:type="pct"/>
            <w:vMerge w:val="continue"/>
            <w:vAlign w:val="center"/>
          </w:tcPr>
          <w:p w14:paraId="63AD09AB">
            <w:pPr>
              <w:pStyle w:val="71"/>
              <w:spacing w:before="24" w:after="24"/>
            </w:pPr>
          </w:p>
        </w:tc>
        <w:tc>
          <w:tcPr>
            <w:tcW w:w="1050" w:type="pct"/>
            <w:vAlign w:val="center"/>
          </w:tcPr>
          <w:p w14:paraId="0058C350">
            <w:pPr>
              <w:pStyle w:val="71"/>
              <w:spacing w:before="24" w:after="24"/>
            </w:pPr>
            <w:r>
              <w:t>稳压设备</w:t>
            </w:r>
          </w:p>
        </w:tc>
        <w:tc>
          <w:tcPr>
            <w:tcW w:w="1965" w:type="pct"/>
            <w:vAlign w:val="center"/>
          </w:tcPr>
          <w:p w14:paraId="68497BEC">
            <w:pPr>
              <w:pStyle w:val="71"/>
              <w:spacing w:before="24" w:after="24"/>
            </w:pPr>
            <w:r>
              <w:t>型号由设计单位确定</w:t>
            </w:r>
          </w:p>
        </w:tc>
        <w:tc>
          <w:tcPr>
            <w:tcW w:w="1001" w:type="pct"/>
            <w:vAlign w:val="center"/>
          </w:tcPr>
          <w:p w14:paraId="6623FEDA">
            <w:pPr>
              <w:pStyle w:val="71"/>
              <w:spacing w:before="24" w:after="24"/>
            </w:pPr>
          </w:p>
        </w:tc>
      </w:tr>
      <w:tr w14:paraId="31616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0332090A">
            <w:pPr>
              <w:pStyle w:val="71"/>
              <w:spacing w:before="24" w:after="24"/>
            </w:pPr>
            <w:r>
              <w:t>30</w:t>
            </w:r>
          </w:p>
        </w:tc>
        <w:tc>
          <w:tcPr>
            <w:tcW w:w="620" w:type="pct"/>
            <w:vMerge w:val="continue"/>
            <w:vAlign w:val="center"/>
          </w:tcPr>
          <w:p w14:paraId="3191812D">
            <w:pPr>
              <w:pStyle w:val="71"/>
              <w:spacing w:before="24" w:after="24"/>
            </w:pPr>
          </w:p>
        </w:tc>
        <w:tc>
          <w:tcPr>
            <w:tcW w:w="1050" w:type="pct"/>
            <w:vAlign w:val="center"/>
          </w:tcPr>
          <w:p w14:paraId="36156C33">
            <w:pPr>
              <w:pStyle w:val="71"/>
              <w:spacing w:before="24" w:after="24"/>
            </w:pPr>
            <w:r>
              <w:t>室内消火栓泵</w:t>
            </w:r>
          </w:p>
        </w:tc>
        <w:tc>
          <w:tcPr>
            <w:tcW w:w="1965" w:type="pct"/>
            <w:vAlign w:val="center"/>
          </w:tcPr>
          <w:p w14:paraId="6EE4AAA1">
            <w:pPr>
              <w:pStyle w:val="71"/>
              <w:spacing w:before="24" w:after="24"/>
            </w:pPr>
            <w:r>
              <w:t>型号由设计单位确定</w:t>
            </w:r>
          </w:p>
        </w:tc>
        <w:tc>
          <w:tcPr>
            <w:tcW w:w="1001" w:type="pct"/>
            <w:vAlign w:val="center"/>
          </w:tcPr>
          <w:p w14:paraId="5572D4FA">
            <w:pPr>
              <w:pStyle w:val="71"/>
              <w:spacing w:before="24" w:after="24"/>
            </w:pPr>
          </w:p>
        </w:tc>
      </w:tr>
      <w:tr w14:paraId="78D54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011E84DC">
            <w:pPr>
              <w:pStyle w:val="71"/>
              <w:spacing w:before="24" w:after="24"/>
            </w:pPr>
            <w:r>
              <w:t>31</w:t>
            </w:r>
          </w:p>
        </w:tc>
        <w:tc>
          <w:tcPr>
            <w:tcW w:w="620" w:type="pct"/>
            <w:vMerge w:val="continue"/>
            <w:vAlign w:val="center"/>
          </w:tcPr>
          <w:p w14:paraId="0ADB9BF4">
            <w:pPr>
              <w:pStyle w:val="71"/>
              <w:spacing w:before="24" w:after="24"/>
            </w:pPr>
          </w:p>
        </w:tc>
        <w:tc>
          <w:tcPr>
            <w:tcW w:w="1050" w:type="pct"/>
            <w:vAlign w:val="center"/>
          </w:tcPr>
          <w:p w14:paraId="25FAA3AE">
            <w:pPr>
              <w:pStyle w:val="71"/>
              <w:spacing w:before="24" w:after="24"/>
            </w:pPr>
            <w:r>
              <w:t>缓闭消声止回阀</w:t>
            </w:r>
          </w:p>
        </w:tc>
        <w:tc>
          <w:tcPr>
            <w:tcW w:w="1965" w:type="pct"/>
            <w:vAlign w:val="center"/>
          </w:tcPr>
          <w:p w14:paraId="1B66067E">
            <w:pPr>
              <w:pStyle w:val="71"/>
              <w:spacing w:before="24" w:after="24"/>
            </w:pPr>
            <w:r>
              <w:t>球墨铸铁（金属密封）/PN=1.6MPa/DN65～DN200</w:t>
            </w:r>
          </w:p>
        </w:tc>
        <w:tc>
          <w:tcPr>
            <w:tcW w:w="1001" w:type="pct"/>
            <w:vAlign w:val="center"/>
          </w:tcPr>
          <w:p w14:paraId="3413DB6A">
            <w:pPr>
              <w:pStyle w:val="71"/>
              <w:spacing w:before="24" w:after="24"/>
            </w:pPr>
            <w:r>
              <w:t>水泵出口</w:t>
            </w:r>
          </w:p>
        </w:tc>
      </w:tr>
      <w:tr w14:paraId="6B629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28F37FDD">
            <w:pPr>
              <w:pStyle w:val="71"/>
              <w:spacing w:before="24" w:after="24"/>
            </w:pPr>
            <w:r>
              <w:t>31</w:t>
            </w:r>
          </w:p>
        </w:tc>
        <w:tc>
          <w:tcPr>
            <w:tcW w:w="620" w:type="pct"/>
            <w:vMerge w:val="restart"/>
            <w:vAlign w:val="center"/>
          </w:tcPr>
          <w:p w14:paraId="207D1548">
            <w:pPr>
              <w:pStyle w:val="71"/>
              <w:spacing w:before="24" w:after="24"/>
            </w:pPr>
            <w:r>
              <w:t>建筑灭火器</w:t>
            </w:r>
          </w:p>
        </w:tc>
        <w:tc>
          <w:tcPr>
            <w:tcW w:w="1050" w:type="pct"/>
            <w:vAlign w:val="center"/>
          </w:tcPr>
          <w:p w14:paraId="79A63662">
            <w:pPr>
              <w:pStyle w:val="71"/>
              <w:spacing w:before="24" w:after="24"/>
            </w:pPr>
            <w:r>
              <w:t>推车式水基型灭火器</w:t>
            </w:r>
          </w:p>
        </w:tc>
        <w:tc>
          <w:tcPr>
            <w:tcW w:w="1965" w:type="pct"/>
            <w:vAlign w:val="center"/>
          </w:tcPr>
          <w:p w14:paraId="78813586">
            <w:pPr>
              <w:pStyle w:val="71"/>
              <w:spacing w:before="24" w:after="24"/>
            </w:pPr>
            <w:r>
              <w:t>MSTZ/60</w:t>
            </w:r>
          </w:p>
        </w:tc>
        <w:tc>
          <w:tcPr>
            <w:tcW w:w="1001" w:type="pct"/>
            <w:vAlign w:val="center"/>
          </w:tcPr>
          <w:p w14:paraId="0FEF537D">
            <w:pPr>
              <w:pStyle w:val="71"/>
              <w:spacing w:before="24" w:after="24"/>
            </w:pPr>
            <w:r>
              <w:t>充电车位</w:t>
            </w:r>
          </w:p>
        </w:tc>
      </w:tr>
      <w:tr w14:paraId="4D76A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3FFA78B0">
            <w:pPr>
              <w:pStyle w:val="71"/>
              <w:spacing w:before="24" w:after="24"/>
            </w:pPr>
            <w:r>
              <w:t>32</w:t>
            </w:r>
          </w:p>
        </w:tc>
        <w:tc>
          <w:tcPr>
            <w:tcW w:w="620" w:type="pct"/>
            <w:vMerge w:val="continue"/>
            <w:vAlign w:val="center"/>
          </w:tcPr>
          <w:p w14:paraId="06F4DC92">
            <w:pPr>
              <w:pStyle w:val="71"/>
              <w:spacing w:before="24" w:after="24"/>
            </w:pPr>
          </w:p>
        </w:tc>
        <w:tc>
          <w:tcPr>
            <w:tcW w:w="1050" w:type="pct"/>
            <w:vMerge w:val="restart"/>
            <w:vAlign w:val="center"/>
          </w:tcPr>
          <w:p w14:paraId="7ABE7E57">
            <w:pPr>
              <w:pStyle w:val="71"/>
              <w:spacing w:before="24" w:after="24"/>
            </w:pPr>
            <w:r>
              <w:t>手提式磷酸铵盐干粉灭火器</w:t>
            </w:r>
          </w:p>
        </w:tc>
        <w:tc>
          <w:tcPr>
            <w:tcW w:w="1965" w:type="pct"/>
            <w:vAlign w:val="center"/>
          </w:tcPr>
          <w:p w14:paraId="7901BD5F">
            <w:pPr>
              <w:pStyle w:val="71"/>
              <w:spacing w:before="24" w:after="24"/>
            </w:pPr>
            <w:r>
              <w:t>MF/ABC3</w:t>
            </w:r>
          </w:p>
        </w:tc>
        <w:tc>
          <w:tcPr>
            <w:tcW w:w="1001" w:type="pct"/>
            <w:vAlign w:val="center"/>
          </w:tcPr>
          <w:p w14:paraId="52CAE9C2">
            <w:pPr>
              <w:pStyle w:val="71"/>
              <w:spacing w:before="24" w:after="24"/>
            </w:pPr>
          </w:p>
        </w:tc>
      </w:tr>
      <w:tr w14:paraId="3FCE3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5C213A86">
            <w:pPr>
              <w:pStyle w:val="71"/>
              <w:spacing w:before="24" w:after="24"/>
            </w:pPr>
            <w:r>
              <w:t>33</w:t>
            </w:r>
          </w:p>
        </w:tc>
        <w:tc>
          <w:tcPr>
            <w:tcW w:w="620" w:type="pct"/>
            <w:vMerge w:val="continue"/>
            <w:vAlign w:val="center"/>
          </w:tcPr>
          <w:p w14:paraId="01CF0505">
            <w:pPr>
              <w:pStyle w:val="71"/>
              <w:spacing w:before="24" w:after="24"/>
            </w:pPr>
          </w:p>
        </w:tc>
        <w:tc>
          <w:tcPr>
            <w:tcW w:w="1050" w:type="pct"/>
            <w:vMerge w:val="continue"/>
            <w:vAlign w:val="center"/>
          </w:tcPr>
          <w:p w14:paraId="7E00383A">
            <w:pPr>
              <w:pStyle w:val="71"/>
              <w:spacing w:before="24" w:after="24"/>
            </w:pPr>
          </w:p>
        </w:tc>
        <w:tc>
          <w:tcPr>
            <w:tcW w:w="1965" w:type="pct"/>
            <w:vAlign w:val="center"/>
          </w:tcPr>
          <w:p w14:paraId="6979F7BD">
            <w:pPr>
              <w:pStyle w:val="71"/>
              <w:spacing w:before="24" w:after="24"/>
            </w:pPr>
            <w:r>
              <w:t>MF/ABC4</w:t>
            </w:r>
          </w:p>
        </w:tc>
        <w:tc>
          <w:tcPr>
            <w:tcW w:w="1001" w:type="pct"/>
            <w:vAlign w:val="center"/>
          </w:tcPr>
          <w:p w14:paraId="0722095F">
            <w:pPr>
              <w:pStyle w:val="71"/>
              <w:spacing w:before="24" w:after="24"/>
            </w:pPr>
            <w:r>
              <w:t>车库等</w:t>
            </w:r>
          </w:p>
        </w:tc>
      </w:tr>
      <w:tr w14:paraId="2DDBB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642FC6F4">
            <w:pPr>
              <w:pStyle w:val="71"/>
              <w:spacing w:before="24" w:after="24"/>
            </w:pPr>
            <w:r>
              <w:t>34</w:t>
            </w:r>
          </w:p>
        </w:tc>
        <w:tc>
          <w:tcPr>
            <w:tcW w:w="620" w:type="pct"/>
            <w:vMerge w:val="continue"/>
            <w:vAlign w:val="center"/>
          </w:tcPr>
          <w:p w14:paraId="17F05CC1">
            <w:pPr>
              <w:pStyle w:val="71"/>
              <w:spacing w:before="24" w:after="24"/>
            </w:pPr>
          </w:p>
        </w:tc>
        <w:tc>
          <w:tcPr>
            <w:tcW w:w="1050" w:type="pct"/>
            <w:vMerge w:val="continue"/>
            <w:vAlign w:val="center"/>
          </w:tcPr>
          <w:p w14:paraId="7B2310FB">
            <w:pPr>
              <w:pStyle w:val="71"/>
              <w:spacing w:before="24" w:after="24"/>
            </w:pPr>
          </w:p>
        </w:tc>
        <w:tc>
          <w:tcPr>
            <w:tcW w:w="1965" w:type="pct"/>
            <w:vAlign w:val="center"/>
          </w:tcPr>
          <w:p w14:paraId="0B4F6838">
            <w:pPr>
              <w:pStyle w:val="71"/>
              <w:spacing w:before="24" w:after="24"/>
            </w:pPr>
            <w:r>
              <w:t>MF/ABC5</w:t>
            </w:r>
          </w:p>
        </w:tc>
        <w:tc>
          <w:tcPr>
            <w:tcW w:w="1001" w:type="pct"/>
            <w:vAlign w:val="center"/>
          </w:tcPr>
          <w:p w14:paraId="005DE9B7">
            <w:pPr>
              <w:pStyle w:val="71"/>
              <w:spacing w:before="24" w:after="24"/>
            </w:pPr>
          </w:p>
        </w:tc>
      </w:tr>
      <w:tr w14:paraId="116C0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4" w:type="pct"/>
            <w:vAlign w:val="center"/>
          </w:tcPr>
          <w:p w14:paraId="61C3EC53">
            <w:pPr>
              <w:pStyle w:val="71"/>
              <w:spacing w:before="24" w:after="24"/>
            </w:pPr>
            <w:r>
              <w:t>35</w:t>
            </w:r>
          </w:p>
        </w:tc>
        <w:tc>
          <w:tcPr>
            <w:tcW w:w="620" w:type="pct"/>
            <w:vAlign w:val="center"/>
          </w:tcPr>
          <w:p w14:paraId="344E13DB">
            <w:pPr>
              <w:pStyle w:val="71"/>
              <w:spacing w:before="24" w:after="24"/>
            </w:pPr>
            <w:r>
              <w:t>抗震支吊架</w:t>
            </w:r>
          </w:p>
        </w:tc>
        <w:tc>
          <w:tcPr>
            <w:tcW w:w="1050" w:type="pct"/>
            <w:vAlign w:val="center"/>
          </w:tcPr>
          <w:p w14:paraId="325C7B05">
            <w:pPr>
              <w:pStyle w:val="71"/>
              <w:spacing w:before="24" w:after="24"/>
            </w:pPr>
            <w:r>
              <w:t>给排水及消防系统</w:t>
            </w:r>
          </w:p>
        </w:tc>
        <w:tc>
          <w:tcPr>
            <w:tcW w:w="1965" w:type="pct"/>
            <w:vAlign w:val="center"/>
          </w:tcPr>
          <w:p w14:paraId="20E84D14">
            <w:pPr>
              <w:pStyle w:val="71"/>
              <w:spacing w:before="24" w:after="24"/>
            </w:pPr>
            <w:r>
              <w:t>热镀锌钢板</w:t>
            </w:r>
          </w:p>
        </w:tc>
        <w:tc>
          <w:tcPr>
            <w:tcW w:w="1001" w:type="pct"/>
            <w:vAlign w:val="center"/>
          </w:tcPr>
          <w:p w14:paraId="0AE1BF14">
            <w:pPr>
              <w:pStyle w:val="71"/>
              <w:spacing w:before="24" w:after="24"/>
            </w:pPr>
            <w:r>
              <w:t>厂家根据图纸参数配置后报送甲方审定</w:t>
            </w:r>
          </w:p>
        </w:tc>
      </w:tr>
    </w:tbl>
    <w:p w14:paraId="788862D7">
      <w:pPr>
        <w:spacing w:before="24" w:after="24"/>
        <w:rPr>
          <w:rFonts w:ascii="Times New Roman" w:hAnsi="Times New Roman" w:cs="Times New Roman"/>
        </w:rPr>
      </w:pPr>
    </w:p>
    <w:p w14:paraId="2344DAA0">
      <w:pPr>
        <w:spacing w:before="24" w:after="24"/>
        <w:ind w:firstLine="562" w:firstLineChars="200"/>
        <w:outlineLvl w:val="3"/>
        <w:rPr>
          <w:rFonts w:ascii="Times New Roman" w:hAnsi="Times New Roman" w:cs="Times New Roman"/>
          <w:b/>
        </w:rPr>
      </w:pPr>
      <w:r>
        <w:rPr>
          <w:rFonts w:ascii="Times New Roman" w:hAnsi="Times New Roman" w:cs="Times New Roman"/>
          <w:b/>
        </w:rPr>
        <w:t>3、室外给排水专业设备参数清单表</w:t>
      </w:r>
    </w:p>
    <w:tbl>
      <w:tblPr>
        <w:tblStyle w:val="31"/>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2"/>
        <w:gridCol w:w="1171"/>
        <w:gridCol w:w="1992"/>
        <w:gridCol w:w="4319"/>
        <w:gridCol w:w="1123"/>
      </w:tblGrid>
      <w:tr w14:paraId="2E429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62" w:type="pct"/>
            <w:shd w:val="clear" w:color="auto" w:fill="D7D7D7"/>
            <w:vAlign w:val="center"/>
          </w:tcPr>
          <w:p w14:paraId="2384042B">
            <w:pPr>
              <w:spacing w:before="24" w:after="24" w:line="288" w:lineRule="auto"/>
              <w:jc w:val="center"/>
              <w:rPr>
                <w:rFonts w:ascii="Times New Roman" w:hAnsi="Times New Roman" w:cs="Times New Roman"/>
                <w:sz w:val="24"/>
              </w:rPr>
            </w:pPr>
            <w:r>
              <w:rPr>
                <w:rFonts w:ascii="Times New Roman" w:hAnsi="Times New Roman" w:cs="Times New Roman"/>
                <w:sz w:val="24"/>
              </w:rPr>
              <w:t>序号</w:t>
            </w:r>
          </w:p>
        </w:tc>
        <w:tc>
          <w:tcPr>
            <w:tcW w:w="631" w:type="pct"/>
            <w:shd w:val="clear" w:color="auto" w:fill="D7D7D7"/>
            <w:vAlign w:val="center"/>
          </w:tcPr>
          <w:p w14:paraId="1AA0A982">
            <w:pPr>
              <w:spacing w:before="24" w:after="24" w:line="288" w:lineRule="auto"/>
              <w:jc w:val="center"/>
              <w:rPr>
                <w:rFonts w:ascii="Times New Roman" w:hAnsi="Times New Roman" w:cs="Times New Roman"/>
                <w:sz w:val="24"/>
              </w:rPr>
            </w:pPr>
            <w:r>
              <w:rPr>
                <w:rFonts w:ascii="Times New Roman" w:hAnsi="Times New Roman" w:cs="Times New Roman"/>
                <w:sz w:val="24"/>
              </w:rPr>
              <w:t>设备/系统</w:t>
            </w:r>
          </w:p>
        </w:tc>
        <w:tc>
          <w:tcPr>
            <w:tcW w:w="1073" w:type="pct"/>
            <w:shd w:val="clear" w:color="auto" w:fill="D7D7D7"/>
            <w:vAlign w:val="center"/>
          </w:tcPr>
          <w:p w14:paraId="2093A96F">
            <w:pPr>
              <w:spacing w:before="24" w:after="24" w:line="288" w:lineRule="auto"/>
              <w:jc w:val="center"/>
              <w:rPr>
                <w:rFonts w:ascii="Times New Roman" w:hAnsi="Times New Roman" w:cs="Times New Roman"/>
                <w:sz w:val="24"/>
              </w:rPr>
            </w:pPr>
            <w:r>
              <w:rPr>
                <w:rFonts w:ascii="Times New Roman" w:hAnsi="Times New Roman" w:cs="Times New Roman"/>
                <w:sz w:val="24"/>
              </w:rPr>
              <w:t>设备</w:t>
            </w:r>
          </w:p>
        </w:tc>
        <w:tc>
          <w:tcPr>
            <w:tcW w:w="2327" w:type="pct"/>
            <w:shd w:val="clear" w:color="auto" w:fill="D7D7D7"/>
            <w:vAlign w:val="center"/>
          </w:tcPr>
          <w:p w14:paraId="5BD7CC8E">
            <w:pPr>
              <w:spacing w:before="24" w:after="24" w:line="288" w:lineRule="auto"/>
              <w:jc w:val="center"/>
              <w:rPr>
                <w:rFonts w:ascii="Times New Roman" w:hAnsi="Times New Roman" w:cs="Times New Roman"/>
                <w:sz w:val="24"/>
              </w:rPr>
            </w:pPr>
            <w:r>
              <w:rPr>
                <w:rFonts w:ascii="Times New Roman" w:hAnsi="Times New Roman" w:cs="Times New Roman"/>
                <w:sz w:val="24"/>
              </w:rPr>
              <w:t>材质/规格、参数</w:t>
            </w:r>
          </w:p>
        </w:tc>
        <w:tc>
          <w:tcPr>
            <w:tcW w:w="605" w:type="pct"/>
            <w:shd w:val="clear" w:color="auto" w:fill="D7D7D7"/>
            <w:vAlign w:val="center"/>
          </w:tcPr>
          <w:p w14:paraId="00CF5D80">
            <w:pPr>
              <w:spacing w:before="24" w:after="24" w:line="288" w:lineRule="auto"/>
              <w:jc w:val="center"/>
              <w:rPr>
                <w:rFonts w:ascii="Times New Roman" w:hAnsi="Times New Roman" w:cs="Times New Roman"/>
                <w:sz w:val="24"/>
              </w:rPr>
            </w:pPr>
            <w:r>
              <w:rPr>
                <w:rFonts w:ascii="Times New Roman" w:hAnsi="Times New Roman" w:cs="Times New Roman"/>
                <w:sz w:val="24"/>
              </w:rPr>
              <w:t>备注</w:t>
            </w:r>
          </w:p>
        </w:tc>
      </w:tr>
      <w:tr w14:paraId="43D76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4BF149A9">
            <w:pPr>
              <w:spacing w:before="24" w:after="24" w:line="288" w:lineRule="auto"/>
              <w:jc w:val="center"/>
              <w:rPr>
                <w:rFonts w:ascii="Times New Roman" w:hAnsi="Times New Roman" w:cs="Times New Roman"/>
                <w:sz w:val="24"/>
              </w:rPr>
            </w:pPr>
            <w:r>
              <w:rPr>
                <w:rFonts w:ascii="Times New Roman" w:hAnsi="Times New Roman" w:cs="Times New Roman"/>
                <w:sz w:val="24"/>
              </w:rPr>
              <w:t>1</w:t>
            </w:r>
          </w:p>
        </w:tc>
        <w:tc>
          <w:tcPr>
            <w:tcW w:w="631" w:type="pct"/>
            <w:vMerge w:val="restart"/>
            <w:vAlign w:val="center"/>
          </w:tcPr>
          <w:p w14:paraId="02A3B905">
            <w:pPr>
              <w:spacing w:before="24" w:after="24" w:line="288" w:lineRule="auto"/>
              <w:jc w:val="center"/>
              <w:rPr>
                <w:rFonts w:ascii="Times New Roman" w:hAnsi="Times New Roman" w:cs="Times New Roman"/>
                <w:sz w:val="24"/>
              </w:rPr>
            </w:pPr>
            <w:r>
              <w:rPr>
                <w:rFonts w:ascii="Times New Roman" w:hAnsi="Times New Roman" w:cs="Times New Roman"/>
                <w:sz w:val="24"/>
              </w:rPr>
              <w:t>给水系统</w:t>
            </w:r>
          </w:p>
        </w:tc>
        <w:tc>
          <w:tcPr>
            <w:tcW w:w="1073" w:type="pct"/>
            <w:vAlign w:val="center"/>
          </w:tcPr>
          <w:p w14:paraId="5DFD9DBA">
            <w:pPr>
              <w:spacing w:before="24" w:after="24" w:line="288" w:lineRule="auto"/>
              <w:jc w:val="center"/>
              <w:rPr>
                <w:rFonts w:ascii="Times New Roman" w:hAnsi="Times New Roman" w:cs="Times New Roman"/>
                <w:sz w:val="24"/>
              </w:rPr>
            </w:pPr>
            <w:r>
              <w:rPr>
                <w:rFonts w:ascii="Times New Roman" w:hAnsi="Times New Roman" w:cs="Times New Roman"/>
                <w:sz w:val="24"/>
              </w:rPr>
              <w:t>给水主管</w:t>
            </w:r>
          </w:p>
        </w:tc>
        <w:tc>
          <w:tcPr>
            <w:tcW w:w="2327" w:type="pct"/>
            <w:vAlign w:val="center"/>
          </w:tcPr>
          <w:p w14:paraId="6598C927">
            <w:pPr>
              <w:spacing w:before="24" w:after="24" w:line="288" w:lineRule="auto"/>
              <w:jc w:val="left"/>
              <w:rPr>
                <w:rFonts w:ascii="Times New Roman" w:hAnsi="Times New Roman" w:cs="Times New Roman"/>
                <w:sz w:val="24"/>
              </w:rPr>
            </w:pPr>
            <w:r>
              <w:rPr>
                <w:rFonts w:ascii="Times New Roman" w:hAnsi="Times New Roman" w:cs="Times New Roman"/>
                <w:sz w:val="24"/>
              </w:rPr>
              <w:t>冷水用钢丝网骨架复合管/PN=1.6MPa/DN50～DN250</w:t>
            </w:r>
          </w:p>
        </w:tc>
        <w:tc>
          <w:tcPr>
            <w:tcW w:w="605" w:type="pct"/>
            <w:vAlign w:val="center"/>
          </w:tcPr>
          <w:p w14:paraId="3169D32E">
            <w:pPr>
              <w:spacing w:before="24" w:after="24" w:line="288" w:lineRule="auto"/>
              <w:jc w:val="center"/>
              <w:rPr>
                <w:rFonts w:ascii="Times New Roman" w:hAnsi="Times New Roman" w:cs="Times New Roman"/>
                <w:sz w:val="24"/>
              </w:rPr>
            </w:pPr>
          </w:p>
        </w:tc>
      </w:tr>
      <w:tr w14:paraId="191BC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39DB3E56">
            <w:pPr>
              <w:spacing w:before="24" w:after="24" w:line="288" w:lineRule="auto"/>
              <w:jc w:val="center"/>
              <w:rPr>
                <w:rFonts w:ascii="Times New Roman" w:hAnsi="Times New Roman" w:cs="Times New Roman"/>
                <w:sz w:val="24"/>
              </w:rPr>
            </w:pPr>
            <w:r>
              <w:rPr>
                <w:rFonts w:ascii="Times New Roman" w:hAnsi="Times New Roman" w:cs="Times New Roman"/>
                <w:sz w:val="24"/>
              </w:rPr>
              <w:t>2</w:t>
            </w:r>
          </w:p>
        </w:tc>
        <w:tc>
          <w:tcPr>
            <w:tcW w:w="631" w:type="pct"/>
            <w:vMerge w:val="continue"/>
            <w:vAlign w:val="center"/>
          </w:tcPr>
          <w:p w14:paraId="2AF32AE2">
            <w:pPr>
              <w:spacing w:before="24" w:after="24" w:line="288" w:lineRule="auto"/>
              <w:jc w:val="center"/>
              <w:rPr>
                <w:rFonts w:ascii="Times New Roman" w:hAnsi="Times New Roman" w:cs="Times New Roman"/>
                <w:sz w:val="24"/>
              </w:rPr>
            </w:pPr>
          </w:p>
        </w:tc>
        <w:tc>
          <w:tcPr>
            <w:tcW w:w="1073" w:type="pct"/>
            <w:vAlign w:val="center"/>
          </w:tcPr>
          <w:p w14:paraId="4DC0D813">
            <w:pPr>
              <w:spacing w:before="24" w:after="24" w:line="288" w:lineRule="auto"/>
              <w:jc w:val="center"/>
              <w:rPr>
                <w:rFonts w:ascii="Times New Roman" w:hAnsi="Times New Roman" w:cs="Times New Roman"/>
                <w:sz w:val="24"/>
              </w:rPr>
            </w:pPr>
            <w:r>
              <w:rPr>
                <w:rFonts w:ascii="Times New Roman" w:hAnsi="Times New Roman" w:cs="Times New Roman"/>
                <w:sz w:val="24"/>
              </w:rPr>
              <w:t>冷水表</w:t>
            </w:r>
          </w:p>
        </w:tc>
        <w:tc>
          <w:tcPr>
            <w:tcW w:w="2327" w:type="pct"/>
            <w:vAlign w:val="center"/>
          </w:tcPr>
          <w:p w14:paraId="7A2E1EAD">
            <w:pPr>
              <w:spacing w:before="24" w:after="24" w:line="288" w:lineRule="auto"/>
              <w:rPr>
                <w:rFonts w:ascii="Times New Roman" w:hAnsi="Times New Roman" w:cs="Times New Roman"/>
                <w:sz w:val="24"/>
              </w:rPr>
            </w:pPr>
            <w:r>
              <w:rPr>
                <w:rFonts w:ascii="Times New Roman" w:hAnsi="Times New Roman" w:cs="Times New Roman"/>
                <w:sz w:val="24"/>
              </w:rPr>
              <w:t>螺翼式水表/PN=1.6MPa/DN50～DN200</w:t>
            </w:r>
          </w:p>
        </w:tc>
        <w:tc>
          <w:tcPr>
            <w:tcW w:w="605" w:type="pct"/>
            <w:vAlign w:val="center"/>
          </w:tcPr>
          <w:p w14:paraId="565BC184">
            <w:pPr>
              <w:spacing w:before="24" w:after="24" w:line="288" w:lineRule="auto"/>
              <w:jc w:val="center"/>
              <w:rPr>
                <w:rFonts w:ascii="Times New Roman" w:hAnsi="Times New Roman" w:cs="Times New Roman"/>
                <w:sz w:val="24"/>
              </w:rPr>
            </w:pPr>
          </w:p>
        </w:tc>
      </w:tr>
      <w:tr w14:paraId="3FDA3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5A16F089">
            <w:pPr>
              <w:spacing w:before="24" w:after="24" w:line="288" w:lineRule="auto"/>
              <w:jc w:val="center"/>
              <w:rPr>
                <w:rFonts w:ascii="Times New Roman" w:hAnsi="Times New Roman" w:cs="Times New Roman"/>
                <w:sz w:val="24"/>
              </w:rPr>
            </w:pPr>
            <w:r>
              <w:rPr>
                <w:rFonts w:ascii="Times New Roman" w:hAnsi="Times New Roman" w:cs="Times New Roman"/>
                <w:sz w:val="24"/>
              </w:rPr>
              <w:t>3</w:t>
            </w:r>
          </w:p>
        </w:tc>
        <w:tc>
          <w:tcPr>
            <w:tcW w:w="631" w:type="pct"/>
            <w:vMerge w:val="continue"/>
            <w:vAlign w:val="center"/>
          </w:tcPr>
          <w:p w14:paraId="3D169D4C">
            <w:pPr>
              <w:spacing w:before="24" w:after="24" w:line="288" w:lineRule="auto"/>
              <w:jc w:val="center"/>
              <w:rPr>
                <w:rFonts w:ascii="Times New Roman" w:hAnsi="Times New Roman" w:cs="Times New Roman"/>
                <w:sz w:val="24"/>
              </w:rPr>
            </w:pPr>
          </w:p>
        </w:tc>
        <w:tc>
          <w:tcPr>
            <w:tcW w:w="1073" w:type="pct"/>
            <w:vAlign w:val="center"/>
          </w:tcPr>
          <w:p w14:paraId="279D4B2C">
            <w:pPr>
              <w:spacing w:before="24" w:after="24" w:line="288" w:lineRule="auto"/>
              <w:jc w:val="center"/>
              <w:rPr>
                <w:rFonts w:ascii="Times New Roman" w:hAnsi="Times New Roman" w:cs="Times New Roman"/>
                <w:sz w:val="24"/>
              </w:rPr>
            </w:pPr>
            <w:r>
              <w:rPr>
                <w:rFonts w:ascii="Times New Roman" w:hAnsi="Times New Roman" w:cs="Times New Roman"/>
                <w:sz w:val="24"/>
              </w:rPr>
              <w:t>明杆软密封闸阀</w:t>
            </w:r>
          </w:p>
        </w:tc>
        <w:tc>
          <w:tcPr>
            <w:tcW w:w="2327" w:type="pct"/>
            <w:vAlign w:val="center"/>
          </w:tcPr>
          <w:p w14:paraId="5859934D">
            <w:pPr>
              <w:spacing w:before="24" w:after="24" w:line="288" w:lineRule="auto"/>
              <w:rPr>
                <w:rFonts w:ascii="Times New Roman" w:hAnsi="Times New Roman" w:cs="Times New Roman"/>
                <w:sz w:val="24"/>
              </w:rPr>
            </w:pPr>
            <w:r>
              <w:rPr>
                <w:rFonts w:ascii="Times New Roman" w:hAnsi="Times New Roman" w:cs="Times New Roman"/>
                <w:sz w:val="24"/>
              </w:rPr>
              <w:t>球墨铸铁/PN=1.6MPa/DN50～DN200</w:t>
            </w:r>
          </w:p>
        </w:tc>
        <w:tc>
          <w:tcPr>
            <w:tcW w:w="605" w:type="pct"/>
            <w:vAlign w:val="center"/>
          </w:tcPr>
          <w:p w14:paraId="7F74D346">
            <w:pPr>
              <w:spacing w:before="24" w:after="24" w:line="288" w:lineRule="auto"/>
              <w:jc w:val="center"/>
              <w:rPr>
                <w:rFonts w:ascii="Times New Roman" w:hAnsi="Times New Roman" w:cs="Times New Roman"/>
                <w:sz w:val="24"/>
              </w:rPr>
            </w:pPr>
          </w:p>
        </w:tc>
      </w:tr>
      <w:tr w14:paraId="69B30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308817E8">
            <w:pPr>
              <w:spacing w:before="24" w:after="24" w:line="288" w:lineRule="auto"/>
              <w:jc w:val="center"/>
              <w:rPr>
                <w:rFonts w:ascii="Times New Roman" w:hAnsi="Times New Roman" w:cs="Times New Roman"/>
                <w:sz w:val="24"/>
              </w:rPr>
            </w:pPr>
            <w:r>
              <w:rPr>
                <w:rFonts w:ascii="Times New Roman" w:hAnsi="Times New Roman" w:cs="Times New Roman"/>
                <w:sz w:val="24"/>
              </w:rPr>
              <w:t>4</w:t>
            </w:r>
          </w:p>
        </w:tc>
        <w:tc>
          <w:tcPr>
            <w:tcW w:w="631" w:type="pct"/>
            <w:vMerge w:val="continue"/>
            <w:vAlign w:val="center"/>
          </w:tcPr>
          <w:p w14:paraId="7009F871">
            <w:pPr>
              <w:spacing w:before="24" w:after="24" w:line="288" w:lineRule="auto"/>
              <w:jc w:val="center"/>
              <w:rPr>
                <w:rFonts w:ascii="Times New Roman" w:hAnsi="Times New Roman" w:cs="Times New Roman"/>
                <w:sz w:val="24"/>
              </w:rPr>
            </w:pPr>
          </w:p>
        </w:tc>
        <w:tc>
          <w:tcPr>
            <w:tcW w:w="1073" w:type="pct"/>
            <w:vAlign w:val="center"/>
          </w:tcPr>
          <w:p w14:paraId="498D0D19">
            <w:pPr>
              <w:spacing w:before="24" w:after="24" w:line="288" w:lineRule="auto"/>
              <w:jc w:val="center"/>
              <w:rPr>
                <w:rFonts w:ascii="Times New Roman" w:hAnsi="Times New Roman" w:cs="Times New Roman"/>
                <w:sz w:val="24"/>
              </w:rPr>
            </w:pPr>
            <w:r>
              <w:rPr>
                <w:rFonts w:ascii="Times New Roman" w:hAnsi="Times New Roman" w:cs="Times New Roman"/>
                <w:sz w:val="24"/>
              </w:rPr>
              <w:t>旋启式止回阀</w:t>
            </w:r>
          </w:p>
        </w:tc>
        <w:tc>
          <w:tcPr>
            <w:tcW w:w="2327" w:type="pct"/>
            <w:vAlign w:val="center"/>
          </w:tcPr>
          <w:p w14:paraId="433C5046">
            <w:pPr>
              <w:spacing w:before="24" w:after="24" w:line="288" w:lineRule="auto"/>
              <w:jc w:val="left"/>
              <w:rPr>
                <w:rFonts w:ascii="Times New Roman" w:hAnsi="Times New Roman" w:cs="Times New Roman"/>
                <w:sz w:val="24"/>
              </w:rPr>
            </w:pPr>
            <w:r>
              <w:rPr>
                <w:rFonts w:ascii="Times New Roman" w:hAnsi="Times New Roman" w:cs="Times New Roman"/>
                <w:sz w:val="24"/>
              </w:rPr>
              <w:t>球墨铸铁/PN=1.6MPa/DN50～DN200</w:t>
            </w:r>
          </w:p>
        </w:tc>
        <w:tc>
          <w:tcPr>
            <w:tcW w:w="605" w:type="pct"/>
            <w:vAlign w:val="center"/>
          </w:tcPr>
          <w:p w14:paraId="7BE05F40">
            <w:pPr>
              <w:spacing w:before="24" w:after="24" w:line="288" w:lineRule="auto"/>
              <w:jc w:val="center"/>
              <w:rPr>
                <w:rFonts w:ascii="Times New Roman" w:hAnsi="Times New Roman" w:cs="Times New Roman"/>
                <w:sz w:val="24"/>
              </w:rPr>
            </w:pPr>
          </w:p>
        </w:tc>
      </w:tr>
      <w:tr w14:paraId="5B8FE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135050D4">
            <w:pPr>
              <w:spacing w:before="24" w:after="24" w:line="288" w:lineRule="auto"/>
              <w:jc w:val="center"/>
              <w:rPr>
                <w:rFonts w:ascii="Times New Roman" w:hAnsi="Times New Roman" w:cs="Times New Roman"/>
                <w:sz w:val="24"/>
              </w:rPr>
            </w:pPr>
            <w:r>
              <w:rPr>
                <w:rFonts w:ascii="Times New Roman" w:hAnsi="Times New Roman" w:cs="Times New Roman"/>
                <w:sz w:val="24"/>
              </w:rPr>
              <w:t>5</w:t>
            </w:r>
          </w:p>
        </w:tc>
        <w:tc>
          <w:tcPr>
            <w:tcW w:w="631" w:type="pct"/>
            <w:vMerge w:val="continue"/>
            <w:vAlign w:val="center"/>
          </w:tcPr>
          <w:p w14:paraId="0B398220">
            <w:pPr>
              <w:spacing w:before="24" w:after="24" w:line="288" w:lineRule="auto"/>
              <w:jc w:val="center"/>
              <w:rPr>
                <w:rFonts w:ascii="Times New Roman" w:hAnsi="Times New Roman" w:cs="Times New Roman"/>
                <w:sz w:val="24"/>
              </w:rPr>
            </w:pPr>
          </w:p>
        </w:tc>
        <w:tc>
          <w:tcPr>
            <w:tcW w:w="1073" w:type="pct"/>
            <w:vAlign w:val="center"/>
          </w:tcPr>
          <w:p w14:paraId="3841C670">
            <w:pPr>
              <w:spacing w:before="24" w:after="24" w:line="288" w:lineRule="auto"/>
              <w:jc w:val="center"/>
              <w:rPr>
                <w:rFonts w:ascii="Times New Roman" w:hAnsi="Times New Roman" w:cs="Times New Roman"/>
                <w:sz w:val="24"/>
              </w:rPr>
            </w:pPr>
            <w:r>
              <w:rPr>
                <w:rFonts w:ascii="Times New Roman" w:hAnsi="Times New Roman" w:cs="Times New Roman"/>
                <w:sz w:val="24"/>
              </w:rPr>
              <w:t>倒流防止器</w:t>
            </w:r>
          </w:p>
        </w:tc>
        <w:tc>
          <w:tcPr>
            <w:tcW w:w="2327" w:type="pct"/>
            <w:vAlign w:val="center"/>
          </w:tcPr>
          <w:p w14:paraId="4E669519">
            <w:pPr>
              <w:spacing w:before="24" w:after="24" w:line="288" w:lineRule="auto"/>
              <w:jc w:val="left"/>
              <w:rPr>
                <w:rFonts w:ascii="Times New Roman" w:hAnsi="Times New Roman" w:cs="Times New Roman"/>
                <w:sz w:val="24"/>
              </w:rPr>
            </w:pPr>
            <w:r>
              <w:rPr>
                <w:rFonts w:ascii="Times New Roman" w:hAnsi="Times New Roman" w:cs="Times New Roman"/>
                <w:sz w:val="24"/>
              </w:rPr>
              <w:t>球墨铸铁/PN=1.6MPa/DN50～DN200</w:t>
            </w:r>
          </w:p>
        </w:tc>
        <w:tc>
          <w:tcPr>
            <w:tcW w:w="605" w:type="pct"/>
            <w:vAlign w:val="center"/>
          </w:tcPr>
          <w:p w14:paraId="5072B4D3">
            <w:pPr>
              <w:spacing w:before="24" w:after="24" w:line="288" w:lineRule="auto"/>
              <w:jc w:val="center"/>
              <w:rPr>
                <w:rFonts w:ascii="Times New Roman" w:hAnsi="Times New Roman" w:cs="Times New Roman"/>
                <w:sz w:val="24"/>
              </w:rPr>
            </w:pPr>
          </w:p>
        </w:tc>
      </w:tr>
      <w:tr w14:paraId="1AD5B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3B8BA29B">
            <w:pPr>
              <w:spacing w:before="24" w:after="24" w:line="288" w:lineRule="auto"/>
              <w:jc w:val="center"/>
              <w:rPr>
                <w:rFonts w:ascii="Times New Roman" w:hAnsi="Times New Roman" w:cs="Times New Roman"/>
                <w:sz w:val="24"/>
              </w:rPr>
            </w:pPr>
            <w:r>
              <w:rPr>
                <w:rFonts w:ascii="Times New Roman" w:hAnsi="Times New Roman" w:cs="Times New Roman"/>
                <w:sz w:val="24"/>
              </w:rPr>
              <w:t>6</w:t>
            </w:r>
          </w:p>
        </w:tc>
        <w:tc>
          <w:tcPr>
            <w:tcW w:w="631" w:type="pct"/>
            <w:vMerge w:val="restart"/>
            <w:vAlign w:val="center"/>
          </w:tcPr>
          <w:p w14:paraId="76E9EF6B">
            <w:pPr>
              <w:spacing w:before="24" w:after="24" w:line="288" w:lineRule="auto"/>
              <w:jc w:val="center"/>
              <w:rPr>
                <w:rFonts w:ascii="Times New Roman" w:hAnsi="Times New Roman" w:cs="Times New Roman"/>
                <w:sz w:val="24"/>
              </w:rPr>
            </w:pPr>
            <w:r>
              <w:rPr>
                <w:rFonts w:ascii="Times New Roman" w:hAnsi="Times New Roman" w:cs="Times New Roman"/>
                <w:sz w:val="24"/>
              </w:rPr>
              <w:t>再生水系统</w:t>
            </w:r>
          </w:p>
        </w:tc>
        <w:tc>
          <w:tcPr>
            <w:tcW w:w="1073" w:type="pct"/>
            <w:vAlign w:val="center"/>
          </w:tcPr>
          <w:p w14:paraId="0792D748">
            <w:pPr>
              <w:spacing w:before="24" w:after="24" w:line="288" w:lineRule="auto"/>
              <w:jc w:val="center"/>
              <w:rPr>
                <w:rFonts w:ascii="Times New Roman" w:hAnsi="Times New Roman" w:cs="Times New Roman"/>
                <w:sz w:val="24"/>
              </w:rPr>
            </w:pPr>
            <w:r>
              <w:rPr>
                <w:rFonts w:ascii="Times New Roman" w:hAnsi="Times New Roman" w:cs="Times New Roman"/>
                <w:sz w:val="24"/>
              </w:rPr>
              <w:t>再生水管</w:t>
            </w:r>
          </w:p>
        </w:tc>
        <w:tc>
          <w:tcPr>
            <w:tcW w:w="2327" w:type="pct"/>
            <w:vAlign w:val="center"/>
          </w:tcPr>
          <w:p w14:paraId="27599EEE">
            <w:pPr>
              <w:spacing w:before="24" w:after="24" w:line="288" w:lineRule="auto"/>
              <w:jc w:val="left"/>
              <w:rPr>
                <w:rFonts w:ascii="Times New Roman" w:hAnsi="Times New Roman" w:cs="Times New Roman"/>
                <w:sz w:val="24"/>
              </w:rPr>
            </w:pPr>
            <w:r>
              <w:rPr>
                <w:rFonts w:ascii="Times New Roman" w:hAnsi="Times New Roman" w:cs="Times New Roman"/>
                <w:sz w:val="24"/>
              </w:rPr>
              <w:t>PE80给水管/PN=1.6MPa/DN25～DN100</w:t>
            </w:r>
          </w:p>
        </w:tc>
        <w:tc>
          <w:tcPr>
            <w:tcW w:w="605" w:type="pct"/>
            <w:vAlign w:val="center"/>
          </w:tcPr>
          <w:p w14:paraId="3432C5A9">
            <w:pPr>
              <w:spacing w:before="24" w:after="24" w:line="288" w:lineRule="auto"/>
              <w:jc w:val="center"/>
              <w:rPr>
                <w:rFonts w:ascii="Times New Roman" w:hAnsi="Times New Roman" w:cs="Times New Roman"/>
                <w:sz w:val="24"/>
              </w:rPr>
            </w:pPr>
          </w:p>
        </w:tc>
      </w:tr>
      <w:tr w14:paraId="72F9D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14BC17CD">
            <w:pPr>
              <w:spacing w:before="24" w:after="24" w:line="288" w:lineRule="auto"/>
              <w:jc w:val="center"/>
              <w:rPr>
                <w:rFonts w:ascii="Times New Roman" w:hAnsi="Times New Roman" w:cs="Times New Roman"/>
                <w:sz w:val="24"/>
              </w:rPr>
            </w:pPr>
            <w:r>
              <w:rPr>
                <w:rFonts w:ascii="Times New Roman" w:hAnsi="Times New Roman" w:cs="Times New Roman"/>
                <w:sz w:val="24"/>
              </w:rPr>
              <w:t>7</w:t>
            </w:r>
          </w:p>
        </w:tc>
        <w:tc>
          <w:tcPr>
            <w:tcW w:w="631" w:type="pct"/>
            <w:vMerge w:val="continue"/>
            <w:vAlign w:val="center"/>
          </w:tcPr>
          <w:p w14:paraId="0EE9C3F4">
            <w:pPr>
              <w:spacing w:before="24" w:after="24" w:line="288" w:lineRule="auto"/>
              <w:jc w:val="center"/>
              <w:rPr>
                <w:rFonts w:ascii="Times New Roman" w:hAnsi="Times New Roman" w:cs="Times New Roman"/>
                <w:sz w:val="24"/>
              </w:rPr>
            </w:pPr>
          </w:p>
        </w:tc>
        <w:tc>
          <w:tcPr>
            <w:tcW w:w="1073" w:type="pct"/>
            <w:vAlign w:val="center"/>
          </w:tcPr>
          <w:p w14:paraId="390F2F1F">
            <w:pPr>
              <w:spacing w:before="24" w:after="24" w:line="288" w:lineRule="auto"/>
              <w:jc w:val="center"/>
              <w:rPr>
                <w:rFonts w:ascii="Times New Roman" w:hAnsi="Times New Roman" w:cs="Times New Roman"/>
                <w:sz w:val="24"/>
              </w:rPr>
            </w:pPr>
            <w:r>
              <w:rPr>
                <w:rFonts w:ascii="Times New Roman" w:hAnsi="Times New Roman" w:cs="Times New Roman"/>
                <w:sz w:val="24"/>
              </w:rPr>
              <w:t>绿化洒水栓</w:t>
            </w:r>
          </w:p>
        </w:tc>
        <w:tc>
          <w:tcPr>
            <w:tcW w:w="2327" w:type="pct"/>
            <w:vAlign w:val="center"/>
          </w:tcPr>
          <w:p w14:paraId="168F9D0B">
            <w:pPr>
              <w:spacing w:before="24" w:after="24" w:line="288" w:lineRule="auto"/>
              <w:jc w:val="center"/>
              <w:rPr>
                <w:rFonts w:ascii="Times New Roman" w:hAnsi="Times New Roman" w:cs="Times New Roman"/>
                <w:sz w:val="24"/>
              </w:rPr>
            </w:pPr>
            <w:r>
              <w:rPr>
                <w:rFonts w:ascii="Times New Roman" w:hAnsi="Times New Roman" w:cs="Times New Roman"/>
                <w:sz w:val="24"/>
              </w:rPr>
              <w:t>球墨铸铁/DN25/配套Φ300塑料阀门井</w:t>
            </w:r>
          </w:p>
        </w:tc>
        <w:tc>
          <w:tcPr>
            <w:tcW w:w="605" w:type="pct"/>
            <w:vAlign w:val="center"/>
          </w:tcPr>
          <w:p w14:paraId="1E886E3D">
            <w:pPr>
              <w:spacing w:before="24" w:after="24" w:line="288" w:lineRule="auto"/>
              <w:jc w:val="center"/>
              <w:rPr>
                <w:rFonts w:ascii="Times New Roman" w:hAnsi="Times New Roman" w:cs="Times New Roman"/>
                <w:sz w:val="24"/>
              </w:rPr>
            </w:pPr>
          </w:p>
        </w:tc>
      </w:tr>
      <w:tr w14:paraId="282EA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761323B5">
            <w:pPr>
              <w:spacing w:before="24" w:after="24" w:line="288" w:lineRule="auto"/>
              <w:jc w:val="center"/>
              <w:rPr>
                <w:rFonts w:ascii="Times New Roman" w:hAnsi="Times New Roman" w:cs="Times New Roman"/>
                <w:sz w:val="24"/>
              </w:rPr>
            </w:pPr>
            <w:r>
              <w:rPr>
                <w:rFonts w:ascii="Times New Roman" w:hAnsi="Times New Roman" w:cs="Times New Roman"/>
                <w:sz w:val="24"/>
              </w:rPr>
              <w:t>8</w:t>
            </w:r>
          </w:p>
        </w:tc>
        <w:tc>
          <w:tcPr>
            <w:tcW w:w="631" w:type="pct"/>
            <w:vMerge w:val="continue"/>
            <w:vAlign w:val="center"/>
          </w:tcPr>
          <w:p w14:paraId="574DDFF2">
            <w:pPr>
              <w:spacing w:before="24" w:after="24" w:line="288" w:lineRule="auto"/>
              <w:jc w:val="center"/>
              <w:rPr>
                <w:rFonts w:ascii="Times New Roman" w:hAnsi="Times New Roman" w:cs="Times New Roman"/>
                <w:sz w:val="24"/>
              </w:rPr>
            </w:pPr>
          </w:p>
        </w:tc>
        <w:tc>
          <w:tcPr>
            <w:tcW w:w="1073" w:type="pct"/>
            <w:vAlign w:val="center"/>
          </w:tcPr>
          <w:p w14:paraId="6195373B">
            <w:pPr>
              <w:spacing w:before="24" w:after="24" w:line="288" w:lineRule="auto"/>
              <w:jc w:val="center"/>
              <w:rPr>
                <w:rFonts w:ascii="Times New Roman" w:hAnsi="Times New Roman" w:cs="Times New Roman"/>
                <w:sz w:val="24"/>
              </w:rPr>
            </w:pPr>
            <w:r>
              <w:rPr>
                <w:rFonts w:ascii="Times New Roman" w:hAnsi="Times New Roman" w:cs="Times New Roman"/>
                <w:sz w:val="24"/>
              </w:rPr>
              <w:t>明杆软密封闸阀</w:t>
            </w:r>
          </w:p>
        </w:tc>
        <w:tc>
          <w:tcPr>
            <w:tcW w:w="2327" w:type="pct"/>
            <w:vAlign w:val="center"/>
          </w:tcPr>
          <w:p w14:paraId="3474B6FD">
            <w:pPr>
              <w:spacing w:before="24" w:after="24" w:line="288" w:lineRule="auto"/>
              <w:rPr>
                <w:rFonts w:ascii="Times New Roman" w:hAnsi="Times New Roman" w:cs="Times New Roman"/>
                <w:sz w:val="24"/>
              </w:rPr>
            </w:pPr>
            <w:r>
              <w:rPr>
                <w:rFonts w:ascii="Times New Roman" w:hAnsi="Times New Roman" w:cs="Times New Roman"/>
                <w:sz w:val="24"/>
              </w:rPr>
              <w:t>球墨铸铁/PN=1.6MPa/DN50～DN200</w:t>
            </w:r>
          </w:p>
        </w:tc>
        <w:tc>
          <w:tcPr>
            <w:tcW w:w="605" w:type="pct"/>
            <w:vAlign w:val="center"/>
          </w:tcPr>
          <w:p w14:paraId="7C9CD89B">
            <w:pPr>
              <w:spacing w:before="24" w:after="24" w:line="288" w:lineRule="auto"/>
              <w:jc w:val="center"/>
              <w:rPr>
                <w:rFonts w:ascii="Times New Roman" w:hAnsi="Times New Roman" w:cs="Times New Roman"/>
                <w:sz w:val="24"/>
              </w:rPr>
            </w:pPr>
          </w:p>
        </w:tc>
      </w:tr>
      <w:tr w14:paraId="57008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205E15F7">
            <w:pPr>
              <w:spacing w:before="24" w:after="24" w:line="288" w:lineRule="auto"/>
              <w:jc w:val="center"/>
              <w:rPr>
                <w:rFonts w:ascii="Times New Roman" w:hAnsi="Times New Roman" w:cs="Times New Roman"/>
                <w:sz w:val="24"/>
              </w:rPr>
            </w:pPr>
            <w:r>
              <w:rPr>
                <w:rFonts w:ascii="Times New Roman" w:hAnsi="Times New Roman" w:cs="Times New Roman"/>
                <w:sz w:val="24"/>
              </w:rPr>
              <w:t>9</w:t>
            </w:r>
          </w:p>
        </w:tc>
        <w:tc>
          <w:tcPr>
            <w:tcW w:w="631" w:type="pct"/>
            <w:vMerge w:val="continue"/>
            <w:vAlign w:val="center"/>
          </w:tcPr>
          <w:p w14:paraId="547D6B9D">
            <w:pPr>
              <w:spacing w:before="24" w:after="24" w:line="288" w:lineRule="auto"/>
              <w:jc w:val="center"/>
              <w:rPr>
                <w:rFonts w:ascii="Times New Roman" w:hAnsi="Times New Roman" w:cs="Times New Roman"/>
                <w:sz w:val="24"/>
              </w:rPr>
            </w:pPr>
          </w:p>
        </w:tc>
        <w:tc>
          <w:tcPr>
            <w:tcW w:w="1073" w:type="pct"/>
            <w:vAlign w:val="center"/>
          </w:tcPr>
          <w:p w14:paraId="6A96396E">
            <w:pPr>
              <w:spacing w:before="24" w:after="24" w:line="288" w:lineRule="auto"/>
              <w:jc w:val="center"/>
              <w:rPr>
                <w:rFonts w:ascii="Times New Roman" w:hAnsi="Times New Roman" w:cs="Times New Roman"/>
                <w:sz w:val="24"/>
              </w:rPr>
            </w:pPr>
            <w:r>
              <w:rPr>
                <w:rFonts w:ascii="Times New Roman" w:hAnsi="Times New Roman" w:cs="Times New Roman"/>
                <w:sz w:val="24"/>
              </w:rPr>
              <w:t>旋启式止回阀</w:t>
            </w:r>
          </w:p>
        </w:tc>
        <w:tc>
          <w:tcPr>
            <w:tcW w:w="2327" w:type="pct"/>
            <w:vAlign w:val="center"/>
          </w:tcPr>
          <w:p w14:paraId="2026112C">
            <w:pPr>
              <w:spacing w:before="24" w:after="24" w:line="288" w:lineRule="auto"/>
              <w:jc w:val="left"/>
              <w:rPr>
                <w:rFonts w:ascii="Times New Roman" w:hAnsi="Times New Roman" w:cs="Times New Roman"/>
                <w:sz w:val="24"/>
              </w:rPr>
            </w:pPr>
            <w:r>
              <w:rPr>
                <w:rFonts w:ascii="Times New Roman" w:hAnsi="Times New Roman" w:cs="Times New Roman"/>
                <w:sz w:val="24"/>
              </w:rPr>
              <w:t>球墨铸铁/PN=1.6MPa/DN50～DN200</w:t>
            </w:r>
          </w:p>
        </w:tc>
        <w:tc>
          <w:tcPr>
            <w:tcW w:w="605" w:type="pct"/>
            <w:vAlign w:val="center"/>
          </w:tcPr>
          <w:p w14:paraId="6F6D8126">
            <w:pPr>
              <w:spacing w:before="24" w:after="24" w:line="288" w:lineRule="auto"/>
              <w:jc w:val="center"/>
              <w:rPr>
                <w:rFonts w:ascii="Times New Roman" w:hAnsi="Times New Roman" w:cs="Times New Roman"/>
                <w:sz w:val="24"/>
              </w:rPr>
            </w:pPr>
          </w:p>
        </w:tc>
      </w:tr>
      <w:tr w14:paraId="7AFE5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4AA93AFD">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c>
          <w:tcPr>
            <w:tcW w:w="631" w:type="pct"/>
            <w:vMerge w:val="continue"/>
            <w:vAlign w:val="center"/>
          </w:tcPr>
          <w:p w14:paraId="5948DD2A">
            <w:pPr>
              <w:spacing w:before="24" w:after="24" w:line="288" w:lineRule="auto"/>
              <w:jc w:val="center"/>
              <w:rPr>
                <w:rFonts w:ascii="Times New Roman" w:hAnsi="Times New Roman" w:cs="Times New Roman"/>
                <w:sz w:val="24"/>
              </w:rPr>
            </w:pPr>
          </w:p>
        </w:tc>
        <w:tc>
          <w:tcPr>
            <w:tcW w:w="1073" w:type="pct"/>
            <w:vAlign w:val="center"/>
          </w:tcPr>
          <w:p w14:paraId="5B598B9E">
            <w:pPr>
              <w:spacing w:before="24" w:after="24" w:line="288" w:lineRule="auto"/>
              <w:jc w:val="center"/>
              <w:rPr>
                <w:rFonts w:ascii="Times New Roman" w:hAnsi="Times New Roman" w:cs="Times New Roman"/>
                <w:sz w:val="24"/>
              </w:rPr>
            </w:pPr>
            <w:r>
              <w:rPr>
                <w:rFonts w:ascii="Times New Roman" w:hAnsi="Times New Roman" w:cs="Times New Roman"/>
                <w:sz w:val="24"/>
              </w:rPr>
              <w:t>倒流防止器</w:t>
            </w:r>
          </w:p>
        </w:tc>
        <w:tc>
          <w:tcPr>
            <w:tcW w:w="2327" w:type="pct"/>
            <w:vAlign w:val="center"/>
          </w:tcPr>
          <w:p w14:paraId="154E13CD">
            <w:pPr>
              <w:spacing w:before="24" w:after="24" w:line="288" w:lineRule="auto"/>
              <w:jc w:val="left"/>
              <w:rPr>
                <w:rFonts w:ascii="Times New Roman" w:hAnsi="Times New Roman" w:cs="Times New Roman"/>
                <w:sz w:val="24"/>
              </w:rPr>
            </w:pPr>
            <w:r>
              <w:rPr>
                <w:rFonts w:ascii="Times New Roman" w:hAnsi="Times New Roman" w:cs="Times New Roman"/>
                <w:sz w:val="24"/>
              </w:rPr>
              <w:t>球墨铸铁/PN=1.6MPa/DN50～DN200</w:t>
            </w:r>
          </w:p>
        </w:tc>
        <w:tc>
          <w:tcPr>
            <w:tcW w:w="605" w:type="pct"/>
            <w:vAlign w:val="center"/>
          </w:tcPr>
          <w:p w14:paraId="6F5A6C6C">
            <w:pPr>
              <w:spacing w:before="24" w:after="24" w:line="288" w:lineRule="auto"/>
              <w:jc w:val="center"/>
              <w:rPr>
                <w:rFonts w:ascii="Times New Roman" w:hAnsi="Times New Roman" w:cs="Times New Roman"/>
                <w:sz w:val="24"/>
              </w:rPr>
            </w:pPr>
          </w:p>
        </w:tc>
      </w:tr>
      <w:tr w14:paraId="08B0F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0ACEB7A5">
            <w:pPr>
              <w:spacing w:before="24" w:after="24" w:line="288" w:lineRule="auto"/>
              <w:jc w:val="center"/>
              <w:rPr>
                <w:rFonts w:ascii="Times New Roman" w:hAnsi="Times New Roman" w:cs="Times New Roman"/>
                <w:sz w:val="24"/>
              </w:rPr>
            </w:pPr>
            <w:r>
              <w:rPr>
                <w:rFonts w:ascii="Times New Roman" w:hAnsi="Times New Roman" w:cs="Times New Roman"/>
                <w:sz w:val="24"/>
              </w:rPr>
              <w:t>11</w:t>
            </w:r>
          </w:p>
        </w:tc>
        <w:tc>
          <w:tcPr>
            <w:tcW w:w="631" w:type="pct"/>
            <w:vMerge w:val="continue"/>
            <w:vAlign w:val="center"/>
          </w:tcPr>
          <w:p w14:paraId="3767F71B">
            <w:pPr>
              <w:spacing w:before="24" w:after="24" w:line="288" w:lineRule="auto"/>
              <w:jc w:val="center"/>
              <w:rPr>
                <w:rFonts w:ascii="Times New Roman" w:hAnsi="Times New Roman" w:cs="Times New Roman"/>
                <w:sz w:val="24"/>
              </w:rPr>
            </w:pPr>
          </w:p>
        </w:tc>
        <w:tc>
          <w:tcPr>
            <w:tcW w:w="1073" w:type="pct"/>
            <w:vAlign w:val="center"/>
          </w:tcPr>
          <w:p w14:paraId="2A7F8932">
            <w:pPr>
              <w:spacing w:before="24" w:after="24" w:line="288" w:lineRule="auto"/>
              <w:jc w:val="center"/>
              <w:rPr>
                <w:rFonts w:ascii="Times New Roman" w:hAnsi="Times New Roman" w:cs="Times New Roman"/>
                <w:sz w:val="24"/>
              </w:rPr>
            </w:pPr>
            <w:r>
              <w:rPr>
                <w:rFonts w:ascii="Times New Roman" w:hAnsi="Times New Roman" w:cs="Times New Roman"/>
                <w:sz w:val="24"/>
              </w:rPr>
              <w:t>冷水表</w:t>
            </w:r>
          </w:p>
        </w:tc>
        <w:tc>
          <w:tcPr>
            <w:tcW w:w="2327" w:type="pct"/>
            <w:vAlign w:val="center"/>
          </w:tcPr>
          <w:p w14:paraId="79BF1A74">
            <w:pPr>
              <w:spacing w:before="24" w:after="24" w:line="288" w:lineRule="auto"/>
              <w:rPr>
                <w:rFonts w:ascii="Times New Roman" w:hAnsi="Times New Roman" w:cs="Times New Roman"/>
                <w:sz w:val="24"/>
              </w:rPr>
            </w:pPr>
            <w:r>
              <w:rPr>
                <w:rFonts w:ascii="Times New Roman" w:hAnsi="Times New Roman" w:cs="Times New Roman"/>
                <w:sz w:val="24"/>
              </w:rPr>
              <w:t>螺翼式水表/PN=1.6MPa/DN50～DN200</w:t>
            </w:r>
          </w:p>
        </w:tc>
        <w:tc>
          <w:tcPr>
            <w:tcW w:w="605" w:type="pct"/>
            <w:vAlign w:val="center"/>
          </w:tcPr>
          <w:p w14:paraId="3366C56F">
            <w:pPr>
              <w:spacing w:before="24" w:after="24" w:line="288" w:lineRule="auto"/>
              <w:jc w:val="center"/>
              <w:rPr>
                <w:rFonts w:ascii="Times New Roman" w:hAnsi="Times New Roman" w:cs="Times New Roman"/>
                <w:sz w:val="24"/>
              </w:rPr>
            </w:pPr>
          </w:p>
        </w:tc>
      </w:tr>
      <w:tr w14:paraId="0F41E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0941EDBB">
            <w:pPr>
              <w:spacing w:before="24" w:after="24" w:line="288" w:lineRule="auto"/>
              <w:jc w:val="center"/>
              <w:rPr>
                <w:rFonts w:ascii="Times New Roman" w:hAnsi="Times New Roman" w:cs="Times New Roman"/>
                <w:sz w:val="24"/>
              </w:rPr>
            </w:pPr>
            <w:r>
              <w:rPr>
                <w:rFonts w:ascii="Times New Roman" w:hAnsi="Times New Roman" w:cs="Times New Roman"/>
                <w:sz w:val="24"/>
              </w:rPr>
              <w:t>12</w:t>
            </w:r>
          </w:p>
        </w:tc>
        <w:tc>
          <w:tcPr>
            <w:tcW w:w="631" w:type="pct"/>
            <w:vMerge w:val="restart"/>
            <w:vAlign w:val="center"/>
          </w:tcPr>
          <w:p w14:paraId="4149C8F8">
            <w:pPr>
              <w:spacing w:before="24" w:after="24" w:line="288" w:lineRule="auto"/>
              <w:jc w:val="center"/>
              <w:rPr>
                <w:rFonts w:ascii="Times New Roman" w:hAnsi="Times New Roman" w:cs="Times New Roman"/>
                <w:sz w:val="24"/>
              </w:rPr>
            </w:pPr>
            <w:r>
              <w:rPr>
                <w:rFonts w:ascii="Times New Roman" w:hAnsi="Times New Roman" w:cs="Times New Roman"/>
                <w:sz w:val="24"/>
              </w:rPr>
              <w:t>室外消防系统</w:t>
            </w:r>
          </w:p>
        </w:tc>
        <w:tc>
          <w:tcPr>
            <w:tcW w:w="1073" w:type="pct"/>
            <w:vAlign w:val="center"/>
          </w:tcPr>
          <w:p w14:paraId="46AFA81D">
            <w:pPr>
              <w:spacing w:before="24" w:after="24" w:line="288" w:lineRule="auto"/>
              <w:jc w:val="center"/>
              <w:rPr>
                <w:rFonts w:ascii="Times New Roman" w:hAnsi="Times New Roman" w:cs="Times New Roman"/>
                <w:sz w:val="24"/>
              </w:rPr>
            </w:pPr>
            <w:r>
              <w:rPr>
                <w:rFonts w:ascii="Times New Roman" w:hAnsi="Times New Roman" w:cs="Times New Roman"/>
                <w:sz w:val="24"/>
              </w:rPr>
              <w:t>埋地消防管</w:t>
            </w:r>
          </w:p>
        </w:tc>
        <w:tc>
          <w:tcPr>
            <w:tcW w:w="2327" w:type="pct"/>
            <w:vAlign w:val="center"/>
          </w:tcPr>
          <w:p w14:paraId="5BD12817">
            <w:pPr>
              <w:spacing w:before="24" w:after="24" w:line="288" w:lineRule="auto"/>
              <w:rPr>
                <w:rFonts w:ascii="Times New Roman" w:hAnsi="Times New Roman" w:cs="Times New Roman"/>
                <w:sz w:val="24"/>
              </w:rPr>
            </w:pPr>
            <w:r>
              <w:rPr>
                <w:rFonts w:ascii="Times New Roman" w:hAnsi="Times New Roman" w:cs="Times New Roman"/>
                <w:sz w:val="24"/>
              </w:rPr>
              <w:t>冷水用钢丝网骨架复合管</w:t>
            </w:r>
          </w:p>
          <w:p w14:paraId="01FBE61B">
            <w:pPr>
              <w:spacing w:before="24" w:after="24" w:line="288" w:lineRule="auto"/>
              <w:rPr>
                <w:rFonts w:ascii="Times New Roman" w:hAnsi="Times New Roman" w:cs="Times New Roman"/>
                <w:sz w:val="24"/>
              </w:rPr>
            </w:pPr>
            <w:r>
              <w:rPr>
                <w:rFonts w:ascii="Times New Roman" w:hAnsi="Times New Roman" w:cs="Times New Roman"/>
                <w:sz w:val="24"/>
              </w:rPr>
              <w:t>/PN=1.6MPa/DN100～DN200</w:t>
            </w:r>
          </w:p>
        </w:tc>
        <w:tc>
          <w:tcPr>
            <w:tcW w:w="605" w:type="pct"/>
            <w:vAlign w:val="center"/>
          </w:tcPr>
          <w:p w14:paraId="37B754EE">
            <w:pPr>
              <w:spacing w:before="24" w:after="24" w:line="288" w:lineRule="auto"/>
              <w:jc w:val="center"/>
              <w:rPr>
                <w:rFonts w:ascii="Times New Roman" w:hAnsi="Times New Roman" w:cs="Times New Roman"/>
                <w:sz w:val="24"/>
              </w:rPr>
            </w:pPr>
          </w:p>
        </w:tc>
      </w:tr>
      <w:tr w14:paraId="10807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6F54680A">
            <w:pPr>
              <w:spacing w:before="24" w:after="24" w:line="288" w:lineRule="auto"/>
              <w:jc w:val="center"/>
              <w:rPr>
                <w:rFonts w:ascii="Times New Roman" w:hAnsi="Times New Roman" w:cs="Times New Roman"/>
                <w:sz w:val="24"/>
              </w:rPr>
            </w:pPr>
            <w:r>
              <w:rPr>
                <w:rFonts w:ascii="Times New Roman" w:hAnsi="Times New Roman" w:cs="Times New Roman"/>
                <w:sz w:val="24"/>
              </w:rPr>
              <w:t>13</w:t>
            </w:r>
          </w:p>
        </w:tc>
        <w:tc>
          <w:tcPr>
            <w:tcW w:w="631" w:type="pct"/>
            <w:vMerge w:val="continue"/>
            <w:vAlign w:val="center"/>
          </w:tcPr>
          <w:p w14:paraId="14283302">
            <w:pPr>
              <w:spacing w:before="24" w:after="24" w:line="288" w:lineRule="auto"/>
              <w:jc w:val="center"/>
              <w:rPr>
                <w:rFonts w:ascii="Times New Roman" w:hAnsi="Times New Roman" w:cs="Times New Roman"/>
                <w:sz w:val="24"/>
              </w:rPr>
            </w:pPr>
          </w:p>
        </w:tc>
        <w:tc>
          <w:tcPr>
            <w:tcW w:w="1073" w:type="pct"/>
            <w:vAlign w:val="center"/>
          </w:tcPr>
          <w:p w14:paraId="65399271">
            <w:pPr>
              <w:spacing w:before="24" w:after="24" w:line="288" w:lineRule="auto"/>
              <w:jc w:val="center"/>
              <w:rPr>
                <w:rFonts w:ascii="Times New Roman" w:hAnsi="Times New Roman" w:cs="Times New Roman"/>
                <w:sz w:val="24"/>
              </w:rPr>
            </w:pPr>
            <w:r>
              <w:rPr>
                <w:rFonts w:ascii="Times New Roman" w:hAnsi="Times New Roman" w:cs="Times New Roman"/>
                <w:sz w:val="24"/>
              </w:rPr>
              <w:t>室外消火栓</w:t>
            </w:r>
          </w:p>
        </w:tc>
        <w:tc>
          <w:tcPr>
            <w:tcW w:w="2327" w:type="pct"/>
            <w:vAlign w:val="center"/>
          </w:tcPr>
          <w:p w14:paraId="6CB3D429">
            <w:pPr>
              <w:spacing w:before="24" w:after="24" w:line="288" w:lineRule="auto"/>
              <w:rPr>
                <w:rFonts w:ascii="Times New Roman" w:hAnsi="Times New Roman" w:cs="Times New Roman"/>
                <w:sz w:val="24"/>
              </w:rPr>
            </w:pPr>
            <w:r>
              <w:rPr>
                <w:rFonts w:ascii="Times New Roman" w:hAnsi="Times New Roman" w:cs="Times New Roman"/>
                <w:sz w:val="24"/>
              </w:rPr>
              <w:t>球墨铸铁/SS150/65-1.6</w:t>
            </w:r>
          </w:p>
        </w:tc>
        <w:tc>
          <w:tcPr>
            <w:tcW w:w="605" w:type="pct"/>
            <w:vAlign w:val="center"/>
          </w:tcPr>
          <w:p w14:paraId="49DF244D">
            <w:pPr>
              <w:spacing w:before="24" w:after="24" w:line="288" w:lineRule="auto"/>
              <w:jc w:val="center"/>
              <w:rPr>
                <w:rFonts w:ascii="Times New Roman" w:hAnsi="Times New Roman" w:cs="Times New Roman"/>
                <w:sz w:val="24"/>
              </w:rPr>
            </w:pPr>
          </w:p>
        </w:tc>
      </w:tr>
      <w:tr w14:paraId="0B96C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2C72AD5F">
            <w:pPr>
              <w:spacing w:before="24" w:after="24" w:line="288" w:lineRule="auto"/>
              <w:jc w:val="center"/>
              <w:rPr>
                <w:rFonts w:ascii="Times New Roman" w:hAnsi="Times New Roman" w:cs="Times New Roman"/>
                <w:sz w:val="24"/>
              </w:rPr>
            </w:pPr>
            <w:r>
              <w:rPr>
                <w:rFonts w:ascii="Times New Roman" w:hAnsi="Times New Roman" w:cs="Times New Roman"/>
                <w:sz w:val="24"/>
              </w:rPr>
              <w:t>14</w:t>
            </w:r>
          </w:p>
        </w:tc>
        <w:tc>
          <w:tcPr>
            <w:tcW w:w="631" w:type="pct"/>
            <w:vMerge w:val="continue"/>
            <w:vAlign w:val="center"/>
          </w:tcPr>
          <w:p w14:paraId="4671EE01">
            <w:pPr>
              <w:spacing w:before="24" w:after="24" w:line="288" w:lineRule="auto"/>
              <w:jc w:val="center"/>
              <w:rPr>
                <w:rFonts w:ascii="Times New Roman" w:hAnsi="Times New Roman" w:cs="Times New Roman"/>
                <w:sz w:val="24"/>
              </w:rPr>
            </w:pPr>
          </w:p>
        </w:tc>
        <w:tc>
          <w:tcPr>
            <w:tcW w:w="1073" w:type="pct"/>
            <w:vAlign w:val="center"/>
          </w:tcPr>
          <w:p w14:paraId="1BC463B3">
            <w:pPr>
              <w:spacing w:before="24" w:after="24" w:line="288" w:lineRule="auto"/>
              <w:jc w:val="center"/>
              <w:rPr>
                <w:rFonts w:ascii="Times New Roman" w:hAnsi="Times New Roman" w:cs="Times New Roman"/>
                <w:sz w:val="24"/>
              </w:rPr>
            </w:pPr>
            <w:r>
              <w:rPr>
                <w:rFonts w:ascii="Times New Roman" w:hAnsi="Times New Roman" w:cs="Times New Roman"/>
                <w:sz w:val="24"/>
              </w:rPr>
              <w:t>地上式水泵接合器</w:t>
            </w:r>
          </w:p>
        </w:tc>
        <w:tc>
          <w:tcPr>
            <w:tcW w:w="2327" w:type="pct"/>
            <w:vAlign w:val="center"/>
          </w:tcPr>
          <w:p w14:paraId="58317A81">
            <w:pPr>
              <w:spacing w:before="24" w:after="24" w:line="288" w:lineRule="auto"/>
              <w:jc w:val="center"/>
              <w:rPr>
                <w:rFonts w:ascii="Times New Roman" w:hAnsi="Times New Roman" w:cs="Times New Roman"/>
                <w:sz w:val="24"/>
              </w:rPr>
            </w:pPr>
            <w:r>
              <w:rPr>
                <w:rFonts w:ascii="Times New Roman" w:hAnsi="Times New Roman" w:cs="Times New Roman"/>
                <w:sz w:val="24"/>
              </w:rPr>
              <w:t>球墨铸铁/SQS150-16</w:t>
            </w:r>
          </w:p>
        </w:tc>
        <w:tc>
          <w:tcPr>
            <w:tcW w:w="605" w:type="pct"/>
            <w:vAlign w:val="center"/>
          </w:tcPr>
          <w:p w14:paraId="7D3594B4">
            <w:pPr>
              <w:spacing w:before="24" w:after="24" w:line="288" w:lineRule="auto"/>
              <w:jc w:val="center"/>
              <w:rPr>
                <w:rFonts w:ascii="Times New Roman" w:hAnsi="Times New Roman" w:cs="Times New Roman"/>
                <w:sz w:val="24"/>
              </w:rPr>
            </w:pPr>
          </w:p>
        </w:tc>
      </w:tr>
      <w:tr w14:paraId="61CAE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3297EF16">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c>
          <w:tcPr>
            <w:tcW w:w="631" w:type="pct"/>
            <w:vMerge w:val="continue"/>
            <w:vAlign w:val="center"/>
          </w:tcPr>
          <w:p w14:paraId="09BBE521">
            <w:pPr>
              <w:spacing w:before="24" w:after="24" w:line="288" w:lineRule="auto"/>
              <w:jc w:val="center"/>
              <w:rPr>
                <w:rFonts w:ascii="Times New Roman" w:hAnsi="Times New Roman" w:cs="Times New Roman"/>
                <w:sz w:val="24"/>
              </w:rPr>
            </w:pPr>
          </w:p>
        </w:tc>
        <w:tc>
          <w:tcPr>
            <w:tcW w:w="1073" w:type="pct"/>
            <w:vAlign w:val="center"/>
          </w:tcPr>
          <w:p w14:paraId="0851D711">
            <w:pPr>
              <w:spacing w:before="24" w:after="24" w:line="288" w:lineRule="auto"/>
              <w:jc w:val="center"/>
              <w:rPr>
                <w:rFonts w:ascii="Times New Roman" w:hAnsi="Times New Roman" w:cs="Times New Roman"/>
                <w:sz w:val="24"/>
              </w:rPr>
            </w:pPr>
            <w:r>
              <w:rPr>
                <w:rFonts w:ascii="Times New Roman" w:hAnsi="Times New Roman" w:cs="Times New Roman"/>
                <w:sz w:val="24"/>
              </w:rPr>
              <w:t>地上式水泵接合器</w:t>
            </w:r>
          </w:p>
        </w:tc>
        <w:tc>
          <w:tcPr>
            <w:tcW w:w="2327" w:type="pct"/>
            <w:vAlign w:val="center"/>
          </w:tcPr>
          <w:p w14:paraId="46B463DE">
            <w:pPr>
              <w:spacing w:before="24" w:after="24" w:line="288" w:lineRule="auto"/>
              <w:jc w:val="center"/>
              <w:rPr>
                <w:rFonts w:ascii="Times New Roman" w:hAnsi="Times New Roman" w:cs="Times New Roman"/>
                <w:sz w:val="24"/>
              </w:rPr>
            </w:pPr>
            <w:r>
              <w:rPr>
                <w:rFonts w:ascii="Times New Roman" w:hAnsi="Times New Roman" w:cs="Times New Roman"/>
                <w:sz w:val="24"/>
              </w:rPr>
              <w:t>球墨铸铁/SQS100-16</w:t>
            </w:r>
          </w:p>
        </w:tc>
        <w:tc>
          <w:tcPr>
            <w:tcW w:w="605" w:type="pct"/>
            <w:vAlign w:val="center"/>
          </w:tcPr>
          <w:p w14:paraId="11681A70">
            <w:pPr>
              <w:spacing w:before="24" w:after="24" w:line="288" w:lineRule="auto"/>
              <w:jc w:val="center"/>
              <w:rPr>
                <w:rFonts w:ascii="Times New Roman" w:hAnsi="Times New Roman" w:cs="Times New Roman"/>
                <w:sz w:val="24"/>
              </w:rPr>
            </w:pPr>
          </w:p>
        </w:tc>
      </w:tr>
      <w:tr w14:paraId="03A61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3FD501CD">
            <w:pPr>
              <w:spacing w:before="24" w:after="24" w:line="288" w:lineRule="auto"/>
              <w:jc w:val="center"/>
              <w:rPr>
                <w:rFonts w:ascii="Times New Roman" w:hAnsi="Times New Roman" w:cs="Times New Roman"/>
                <w:sz w:val="24"/>
              </w:rPr>
            </w:pPr>
            <w:r>
              <w:rPr>
                <w:rFonts w:ascii="Times New Roman" w:hAnsi="Times New Roman" w:cs="Times New Roman"/>
                <w:sz w:val="24"/>
              </w:rPr>
              <w:t>16</w:t>
            </w:r>
          </w:p>
        </w:tc>
        <w:tc>
          <w:tcPr>
            <w:tcW w:w="631" w:type="pct"/>
            <w:vMerge w:val="continue"/>
            <w:vAlign w:val="center"/>
          </w:tcPr>
          <w:p w14:paraId="69B2FC6C">
            <w:pPr>
              <w:spacing w:before="24" w:after="24" w:line="288" w:lineRule="auto"/>
              <w:jc w:val="center"/>
              <w:rPr>
                <w:rFonts w:ascii="Times New Roman" w:hAnsi="Times New Roman" w:cs="Times New Roman"/>
                <w:sz w:val="24"/>
              </w:rPr>
            </w:pPr>
          </w:p>
        </w:tc>
        <w:tc>
          <w:tcPr>
            <w:tcW w:w="1073" w:type="pct"/>
            <w:vAlign w:val="center"/>
          </w:tcPr>
          <w:p w14:paraId="128AAB1B">
            <w:pPr>
              <w:spacing w:before="24" w:after="24" w:line="288" w:lineRule="auto"/>
              <w:jc w:val="center"/>
              <w:rPr>
                <w:rFonts w:ascii="Times New Roman" w:hAnsi="Times New Roman" w:cs="Times New Roman"/>
                <w:sz w:val="24"/>
              </w:rPr>
            </w:pPr>
            <w:r>
              <w:rPr>
                <w:rFonts w:ascii="Times New Roman" w:hAnsi="Times New Roman" w:cs="Times New Roman"/>
                <w:sz w:val="24"/>
              </w:rPr>
              <w:t>明杆软密封闸阀</w:t>
            </w:r>
          </w:p>
        </w:tc>
        <w:tc>
          <w:tcPr>
            <w:tcW w:w="2327" w:type="pct"/>
            <w:vAlign w:val="center"/>
          </w:tcPr>
          <w:p w14:paraId="6CD2E58D">
            <w:pPr>
              <w:spacing w:before="24" w:after="24" w:line="288" w:lineRule="auto"/>
              <w:rPr>
                <w:rFonts w:ascii="Times New Roman" w:hAnsi="Times New Roman" w:cs="Times New Roman"/>
                <w:sz w:val="24"/>
              </w:rPr>
            </w:pPr>
            <w:r>
              <w:rPr>
                <w:rFonts w:ascii="Times New Roman" w:hAnsi="Times New Roman" w:cs="Times New Roman"/>
                <w:sz w:val="24"/>
              </w:rPr>
              <w:t>球墨铸铁/PN=1.6MPa/DN50～DN200</w:t>
            </w:r>
          </w:p>
        </w:tc>
        <w:tc>
          <w:tcPr>
            <w:tcW w:w="605" w:type="pct"/>
            <w:vAlign w:val="center"/>
          </w:tcPr>
          <w:p w14:paraId="71BD3BA5">
            <w:pPr>
              <w:spacing w:before="24" w:after="24" w:line="288" w:lineRule="auto"/>
              <w:jc w:val="center"/>
              <w:rPr>
                <w:rFonts w:ascii="Times New Roman" w:hAnsi="Times New Roman" w:cs="Times New Roman"/>
                <w:sz w:val="24"/>
              </w:rPr>
            </w:pPr>
          </w:p>
        </w:tc>
      </w:tr>
      <w:tr w14:paraId="67453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160CDEA5">
            <w:pPr>
              <w:spacing w:before="24" w:after="24" w:line="288" w:lineRule="auto"/>
              <w:jc w:val="center"/>
              <w:rPr>
                <w:rFonts w:ascii="Times New Roman" w:hAnsi="Times New Roman" w:cs="Times New Roman"/>
                <w:sz w:val="24"/>
              </w:rPr>
            </w:pPr>
            <w:r>
              <w:rPr>
                <w:rFonts w:ascii="Times New Roman" w:hAnsi="Times New Roman" w:cs="Times New Roman"/>
                <w:sz w:val="24"/>
              </w:rPr>
              <w:t>17</w:t>
            </w:r>
          </w:p>
        </w:tc>
        <w:tc>
          <w:tcPr>
            <w:tcW w:w="631" w:type="pct"/>
            <w:vMerge w:val="continue"/>
            <w:vAlign w:val="center"/>
          </w:tcPr>
          <w:p w14:paraId="06C60BDA">
            <w:pPr>
              <w:spacing w:before="24" w:after="24" w:line="288" w:lineRule="auto"/>
              <w:jc w:val="center"/>
              <w:rPr>
                <w:rFonts w:ascii="Times New Roman" w:hAnsi="Times New Roman" w:cs="Times New Roman"/>
                <w:sz w:val="24"/>
              </w:rPr>
            </w:pPr>
          </w:p>
        </w:tc>
        <w:tc>
          <w:tcPr>
            <w:tcW w:w="1073" w:type="pct"/>
            <w:vAlign w:val="center"/>
          </w:tcPr>
          <w:p w14:paraId="76C16E9A">
            <w:pPr>
              <w:spacing w:before="24" w:after="24" w:line="288" w:lineRule="auto"/>
              <w:jc w:val="center"/>
              <w:rPr>
                <w:rFonts w:ascii="Times New Roman" w:hAnsi="Times New Roman" w:cs="Times New Roman"/>
                <w:sz w:val="24"/>
              </w:rPr>
            </w:pPr>
            <w:r>
              <w:rPr>
                <w:rFonts w:ascii="Times New Roman" w:hAnsi="Times New Roman" w:cs="Times New Roman"/>
                <w:sz w:val="24"/>
              </w:rPr>
              <w:t>旋启式止回阀</w:t>
            </w:r>
          </w:p>
        </w:tc>
        <w:tc>
          <w:tcPr>
            <w:tcW w:w="2327" w:type="pct"/>
            <w:vAlign w:val="center"/>
          </w:tcPr>
          <w:p w14:paraId="75BD03ED">
            <w:pPr>
              <w:spacing w:before="24" w:after="24" w:line="288" w:lineRule="auto"/>
              <w:jc w:val="left"/>
              <w:rPr>
                <w:rFonts w:ascii="Times New Roman" w:hAnsi="Times New Roman" w:cs="Times New Roman"/>
                <w:sz w:val="24"/>
              </w:rPr>
            </w:pPr>
            <w:r>
              <w:rPr>
                <w:rFonts w:ascii="Times New Roman" w:hAnsi="Times New Roman" w:cs="Times New Roman"/>
                <w:sz w:val="24"/>
              </w:rPr>
              <w:t>球墨铸铁/PN=1.6MPa/DN50～DN200</w:t>
            </w:r>
          </w:p>
        </w:tc>
        <w:tc>
          <w:tcPr>
            <w:tcW w:w="605" w:type="pct"/>
            <w:vAlign w:val="center"/>
          </w:tcPr>
          <w:p w14:paraId="6F4C9035">
            <w:pPr>
              <w:spacing w:before="24" w:after="24" w:line="288" w:lineRule="auto"/>
              <w:jc w:val="center"/>
              <w:rPr>
                <w:rFonts w:ascii="Times New Roman" w:hAnsi="Times New Roman" w:cs="Times New Roman"/>
                <w:sz w:val="24"/>
              </w:rPr>
            </w:pPr>
          </w:p>
        </w:tc>
      </w:tr>
      <w:tr w14:paraId="67572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6662FD75">
            <w:pPr>
              <w:spacing w:before="24" w:after="24" w:line="288" w:lineRule="auto"/>
              <w:jc w:val="center"/>
              <w:rPr>
                <w:rFonts w:ascii="Times New Roman" w:hAnsi="Times New Roman" w:cs="Times New Roman"/>
                <w:sz w:val="24"/>
              </w:rPr>
            </w:pPr>
            <w:r>
              <w:rPr>
                <w:rFonts w:ascii="Times New Roman" w:hAnsi="Times New Roman" w:cs="Times New Roman"/>
                <w:sz w:val="24"/>
              </w:rPr>
              <w:t>18</w:t>
            </w:r>
          </w:p>
        </w:tc>
        <w:tc>
          <w:tcPr>
            <w:tcW w:w="631" w:type="pct"/>
            <w:vMerge w:val="restart"/>
            <w:vAlign w:val="center"/>
          </w:tcPr>
          <w:p w14:paraId="7EA257DA">
            <w:pPr>
              <w:spacing w:before="24" w:after="24" w:line="288" w:lineRule="auto"/>
              <w:jc w:val="center"/>
              <w:rPr>
                <w:rFonts w:ascii="Times New Roman" w:hAnsi="Times New Roman" w:cs="Times New Roman"/>
                <w:sz w:val="24"/>
              </w:rPr>
            </w:pPr>
            <w:r>
              <w:rPr>
                <w:rFonts w:ascii="Times New Roman" w:hAnsi="Times New Roman" w:cs="Times New Roman"/>
                <w:sz w:val="24"/>
              </w:rPr>
              <w:t>雨水系统</w:t>
            </w:r>
          </w:p>
        </w:tc>
        <w:tc>
          <w:tcPr>
            <w:tcW w:w="1073" w:type="pct"/>
            <w:vAlign w:val="center"/>
          </w:tcPr>
          <w:p w14:paraId="35114B0B">
            <w:pPr>
              <w:spacing w:before="24" w:after="24" w:line="288" w:lineRule="auto"/>
              <w:jc w:val="center"/>
              <w:rPr>
                <w:rFonts w:ascii="Times New Roman" w:hAnsi="Times New Roman" w:cs="Times New Roman"/>
                <w:sz w:val="24"/>
              </w:rPr>
            </w:pPr>
            <w:r>
              <w:rPr>
                <w:rFonts w:ascii="Times New Roman" w:hAnsi="Times New Roman" w:cs="Times New Roman"/>
                <w:sz w:val="24"/>
              </w:rPr>
              <w:t>雨水管</w:t>
            </w:r>
          </w:p>
        </w:tc>
        <w:tc>
          <w:tcPr>
            <w:tcW w:w="2327" w:type="pct"/>
            <w:vAlign w:val="center"/>
          </w:tcPr>
          <w:p w14:paraId="7378C0C8">
            <w:pPr>
              <w:spacing w:before="24" w:after="24" w:line="288" w:lineRule="auto"/>
              <w:jc w:val="center"/>
              <w:rPr>
                <w:rFonts w:ascii="Times New Roman" w:hAnsi="Times New Roman" w:cs="Times New Roman"/>
                <w:sz w:val="24"/>
              </w:rPr>
            </w:pPr>
            <w:r>
              <w:rPr>
                <w:rFonts w:ascii="Times New Roman" w:hAnsi="Times New Roman" w:cs="Times New Roman"/>
                <w:sz w:val="24"/>
              </w:rPr>
              <w:t>HDPE塑料排水管/SN8/DN200～DN600</w:t>
            </w:r>
          </w:p>
        </w:tc>
        <w:tc>
          <w:tcPr>
            <w:tcW w:w="605" w:type="pct"/>
            <w:vAlign w:val="center"/>
          </w:tcPr>
          <w:p w14:paraId="7A88A60C">
            <w:pPr>
              <w:spacing w:before="24" w:after="24" w:line="288" w:lineRule="auto"/>
              <w:jc w:val="center"/>
              <w:rPr>
                <w:rFonts w:ascii="Times New Roman" w:hAnsi="Times New Roman" w:cs="Times New Roman"/>
                <w:sz w:val="24"/>
              </w:rPr>
            </w:pPr>
          </w:p>
        </w:tc>
      </w:tr>
      <w:tr w14:paraId="60815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14C24B21">
            <w:pPr>
              <w:spacing w:before="24" w:after="24" w:line="288" w:lineRule="auto"/>
              <w:jc w:val="center"/>
              <w:rPr>
                <w:rFonts w:ascii="Times New Roman" w:hAnsi="Times New Roman" w:cs="Times New Roman"/>
                <w:sz w:val="24"/>
              </w:rPr>
            </w:pPr>
            <w:r>
              <w:rPr>
                <w:rFonts w:ascii="Times New Roman" w:hAnsi="Times New Roman" w:cs="Times New Roman"/>
                <w:sz w:val="24"/>
              </w:rPr>
              <w:t>19</w:t>
            </w:r>
          </w:p>
        </w:tc>
        <w:tc>
          <w:tcPr>
            <w:tcW w:w="631" w:type="pct"/>
            <w:vMerge w:val="continue"/>
            <w:vAlign w:val="center"/>
          </w:tcPr>
          <w:p w14:paraId="7CC8F4DF">
            <w:pPr>
              <w:spacing w:before="24" w:after="24" w:line="288" w:lineRule="auto"/>
              <w:jc w:val="center"/>
              <w:rPr>
                <w:rFonts w:ascii="Times New Roman" w:hAnsi="Times New Roman" w:cs="Times New Roman"/>
                <w:sz w:val="24"/>
              </w:rPr>
            </w:pPr>
          </w:p>
        </w:tc>
        <w:tc>
          <w:tcPr>
            <w:tcW w:w="1073" w:type="pct"/>
            <w:vAlign w:val="center"/>
          </w:tcPr>
          <w:p w14:paraId="4466FE94">
            <w:pPr>
              <w:spacing w:before="24" w:after="24" w:line="288" w:lineRule="auto"/>
              <w:jc w:val="center"/>
              <w:rPr>
                <w:rFonts w:ascii="Times New Roman" w:hAnsi="Times New Roman" w:cs="Times New Roman"/>
                <w:sz w:val="24"/>
              </w:rPr>
            </w:pPr>
            <w:r>
              <w:rPr>
                <w:rFonts w:ascii="Times New Roman" w:hAnsi="Times New Roman" w:cs="Times New Roman"/>
                <w:sz w:val="24"/>
              </w:rPr>
              <w:t>检查井</w:t>
            </w:r>
          </w:p>
        </w:tc>
        <w:tc>
          <w:tcPr>
            <w:tcW w:w="2327" w:type="pct"/>
            <w:vAlign w:val="center"/>
          </w:tcPr>
          <w:p w14:paraId="3E415F70">
            <w:pPr>
              <w:spacing w:before="24" w:after="24" w:line="288" w:lineRule="auto"/>
              <w:jc w:val="left"/>
              <w:rPr>
                <w:rFonts w:ascii="Times New Roman" w:hAnsi="Times New Roman" w:cs="Times New Roman"/>
                <w:sz w:val="24"/>
              </w:rPr>
            </w:pPr>
            <w:r>
              <w:rPr>
                <w:rFonts w:ascii="Times New Roman" w:hAnsi="Times New Roman" w:cs="Times New Roman"/>
                <w:sz w:val="24"/>
              </w:rPr>
              <w:t>圆形塑料检查井（DN200～DN400）/</w:t>
            </w:r>
            <w:r>
              <w:rPr>
                <w:rFonts w:ascii="Times New Roman" w:hAnsi="Times New Roman" w:eastAsia="楷体" w:cs="Times New Roman"/>
                <w:sz w:val="24"/>
              </w:rPr>
              <w:t>Φ</w:t>
            </w:r>
            <w:r>
              <w:rPr>
                <w:rFonts w:ascii="Times New Roman" w:hAnsi="Times New Roman" w:cs="Times New Roman"/>
                <w:sz w:val="24"/>
              </w:rPr>
              <w:t>700</w:t>
            </w:r>
          </w:p>
        </w:tc>
        <w:tc>
          <w:tcPr>
            <w:tcW w:w="605" w:type="pct"/>
            <w:vAlign w:val="center"/>
          </w:tcPr>
          <w:p w14:paraId="6CF72633">
            <w:pPr>
              <w:spacing w:before="24" w:after="24" w:line="288" w:lineRule="auto"/>
              <w:jc w:val="center"/>
              <w:rPr>
                <w:rFonts w:ascii="Times New Roman" w:hAnsi="Times New Roman" w:cs="Times New Roman"/>
                <w:sz w:val="24"/>
              </w:rPr>
            </w:pPr>
          </w:p>
        </w:tc>
      </w:tr>
      <w:tr w14:paraId="4B84A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5DC867F6">
            <w:pPr>
              <w:spacing w:before="24" w:after="24" w:line="288" w:lineRule="auto"/>
              <w:jc w:val="center"/>
              <w:rPr>
                <w:rFonts w:ascii="Times New Roman" w:hAnsi="Times New Roman" w:cs="Times New Roman"/>
                <w:sz w:val="24"/>
              </w:rPr>
            </w:pPr>
            <w:r>
              <w:rPr>
                <w:rFonts w:ascii="Times New Roman" w:hAnsi="Times New Roman" w:cs="Times New Roman"/>
                <w:sz w:val="24"/>
              </w:rPr>
              <w:t>20</w:t>
            </w:r>
          </w:p>
        </w:tc>
        <w:tc>
          <w:tcPr>
            <w:tcW w:w="631" w:type="pct"/>
            <w:vMerge w:val="continue"/>
            <w:vAlign w:val="center"/>
          </w:tcPr>
          <w:p w14:paraId="6C4920EE">
            <w:pPr>
              <w:spacing w:before="24" w:after="24" w:line="288" w:lineRule="auto"/>
              <w:jc w:val="center"/>
              <w:rPr>
                <w:rFonts w:ascii="Times New Roman" w:hAnsi="Times New Roman" w:cs="Times New Roman"/>
                <w:sz w:val="24"/>
              </w:rPr>
            </w:pPr>
          </w:p>
        </w:tc>
        <w:tc>
          <w:tcPr>
            <w:tcW w:w="1073" w:type="pct"/>
            <w:vAlign w:val="center"/>
          </w:tcPr>
          <w:p w14:paraId="4C813F20">
            <w:pPr>
              <w:spacing w:before="24" w:after="24" w:line="288" w:lineRule="auto"/>
              <w:jc w:val="center"/>
              <w:rPr>
                <w:rFonts w:ascii="Times New Roman" w:hAnsi="Times New Roman" w:cs="Times New Roman"/>
                <w:sz w:val="24"/>
              </w:rPr>
            </w:pPr>
            <w:r>
              <w:rPr>
                <w:rFonts w:ascii="Times New Roman" w:hAnsi="Times New Roman" w:cs="Times New Roman"/>
                <w:sz w:val="24"/>
              </w:rPr>
              <w:t>检查井</w:t>
            </w:r>
          </w:p>
        </w:tc>
        <w:tc>
          <w:tcPr>
            <w:tcW w:w="2327" w:type="pct"/>
            <w:vAlign w:val="center"/>
          </w:tcPr>
          <w:p w14:paraId="155F816C">
            <w:pPr>
              <w:spacing w:before="24" w:after="24" w:line="288" w:lineRule="auto"/>
              <w:jc w:val="left"/>
              <w:rPr>
                <w:rFonts w:ascii="Times New Roman" w:hAnsi="Times New Roman" w:cs="Times New Roman"/>
                <w:sz w:val="24"/>
              </w:rPr>
            </w:pPr>
            <w:r>
              <w:rPr>
                <w:rFonts w:ascii="Times New Roman" w:hAnsi="Times New Roman" w:cs="Times New Roman"/>
                <w:sz w:val="24"/>
              </w:rPr>
              <w:t>圆形塑料检查井（DN500～DN600）/Φ1000</w:t>
            </w:r>
          </w:p>
        </w:tc>
        <w:tc>
          <w:tcPr>
            <w:tcW w:w="605" w:type="pct"/>
            <w:vAlign w:val="center"/>
          </w:tcPr>
          <w:p w14:paraId="0BF4DB10">
            <w:pPr>
              <w:spacing w:before="24" w:after="24" w:line="288" w:lineRule="auto"/>
              <w:jc w:val="center"/>
              <w:rPr>
                <w:rFonts w:ascii="Times New Roman" w:hAnsi="Times New Roman" w:cs="Times New Roman"/>
                <w:sz w:val="24"/>
              </w:rPr>
            </w:pPr>
          </w:p>
        </w:tc>
      </w:tr>
      <w:tr w14:paraId="62869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3BB76ADD">
            <w:pPr>
              <w:spacing w:before="24" w:after="24" w:line="288" w:lineRule="auto"/>
              <w:jc w:val="center"/>
              <w:rPr>
                <w:rFonts w:ascii="Times New Roman" w:hAnsi="Times New Roman" w:cs="Times New Roman"/>
                <w:sz w:val="24"/>
              </w:rPr>
            </w:pPr>
            <w:r>
              <w:rPr>
                <w:rFonts w:ascii="Times New Roman" w:hAnsi="Times New Roman" w:cs="Times New Roman"/>
                <w:sz w:val="24"/>
              </w:rPr>
              <w:t>21</w:t>
            </w:r>
          </w:p>
        </w:tc>
        <w:tc>
          <w:tcPr>
            <w:tcW w:w="631" w:type="pct"/>
            <w:vMerge w:val="continue"/>
            <w:vAlign w:val="center"/>
          </w:tcPr>
          <w:p w14:paraId="068B842B">
            <w:pPr>
              <w:spacing w:before="24" w:after="24" w:line="288" w:lineRule="auto"/>
              <w:jc w:val="center"/>
              <w:rPr>
                <w:rFonts w:ascii="Times New Roman" w:hAnsi="Times New Roman" w:cs="Times New Roman"/>
                <w:sz w:val="24"/>
              </w:rPr>
            </w:pPr>
          </w:p>
        </w:tc>
        <w:tc>
          <w:tcPr>
            <w:tcW w:w="1073" w:type="pct"/>
            <w:vAlign w:val="center"/>
          </w:tcPr>
          <w:p w14:paraId="315A1DF8">
            <w:pPr>
              <w:spacing w:before="24" w:after="24" w:line="288" w:lineRule="auto"/>
              <w:jc w:val="center"/>
              <w:rPr>
                <w:rFonts w:ascii="Times New Roman" w:hAnsi="Times New Roman" w:cs="Times New Roman"/>
                <w:sz w:val="24"/>
              </w:rPr>
            </w:pPr>
            <w:r>
              <w:rPr>
                <w:rFonts w:ascii="Times New Roman" w:hAnsi="Times New Roman" w:cs="Times New Roman"/>
                <w:sz w:val="24"/>
              </w:rPr>
              <w:t>防坠网</w:t>
            </w:r>
          </w:p>
        </w:tc>
        <w:tc>
          <w:tcPr>
            <w:tcW w:w="2327" w:type="pct"/>
            <w:vAlign w:val="center"/>
          </w:tcPr>
          <w:p w14:paraId="693C7D58">
            <w:pPr>
              <w:spacing w:before="24" w:after="24" w:line="288" w:lineRule="auto"/>
              <w:jc w:val="center"/>
              <w:rPr>
                <w:rFonts w:ascii="Times New Roman" w:hAnsi="Times New Roman" w:cs="Times New Roman"/>
                <w:sz w:val="24"/>
              </w:rPr>
            </w:pPr>
            <w:r>
              <w:rPr>
                <w:rFonts w:ascii="Times New Roman" w:hAnsi="Times New Roman" w:cs="Times New Roman"/>
                <w:sz w:val="24"/>
              </w:rPr>
              <w:t>HDPE/承重≥300kg</w:t>
            </w:r>
          </w:p>
        </w:tc>
        <w:tc>
          <w:tcPr>
            <w:tcW w:w="605" w:type="pct"/>
            <w:vAlign w:val="center"/>
          </w:tcPr>
          <w:p w14:paraId="50A19965">
            <w:pPr>
              <w:spacing w:before="24" w:after="24" w:line="288" w:lineRule="auto"/>
              <w:jc w:val="center"/>
              <w:rPr>
                <w:rFonts w:ascii="Times New Roman" w:hAnsi="Times New Roman" w:cs="Times New Roman"/>
                <w:sz w:val="24"/>
              </w:rPr>
            </w:pPr>
          </w:p>
        </w:tc>
      </w:tr>
      <w:tr w14:paraId="5C17D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61728A17">
            <w:pPr>
              <w:spacing w:before="24" w:after="24" w:line="288" w:lineRule="auto"/>
              <w:jc w:val="center"/>
              <w:rPr>
                <w:rFonts w:ascii="Times New Roman" w:hAnsi="Times New Roman" w:cs="Times New Roman"/>
                <w:sz w:val="24"/>
              </w:rPr>
            </w:pPr>
            <w:r>
              <w:rPr>
                <w:rFonts w:ascii="Times New Roman" w:hAnsi="Times New Roman" w:cs="Times New Roman"/>
                <w:sz w:val="24"/>
              </w:rPr>
              <w:t>22</w:t>
            </w:r>
          </w:p>
        </w:tc>
        <w:tc>
          <w:tcPr>
            <w:tcW w:w="631" w:type="pct"/>
            <w:vMerge w:val="continue"/>
            <w:vAlign w:val="center"/>
          </w:tcPr>
          <w:p w14:paraId="02288A12">
            <w:pPr>
              <w:spacing w:before="24" w:after="24" w:line="288" w:lineRule="auto"/>
              <w:jc w:val="center"/>
              <w:rPr>
                <w:rFonts w:ascii="Times New Roman" w:hAnsi="Times New Roman" w:cs="Times New Roman"/>
                <w:sz w:val="24"/>
              </w:rPr>
            </w:pPr>
          </w:p>
        </w:tc>
        <w:tc>
          <w:tcPr>
            <w:tcW w:w="1073" w:type="pct"/>
            <w:vAlign w:val="center"/>
          </w:tcPr>
          <w:p w14:paraId="684595B9">
            <w:pPr>
              <w:spacing w:before="24" w:after="24" w:line="288" w:lineRule="auto"/>
              <w:jc w:val="center"/>
              <w:rPr>
                <w:rFonts w:ascii="Times New Roman" w:hAnsi="Times New Roman" w:cs="Times New Roman"/>
                <w:sz w:val="24"/>
              </w:rPr>
            </w:pPr>
            <w:r>
              <w:rPr>
                <w:rFonts w:ascii="Times New Roman" w:hAnsi="Times New Roman" w:cs="Times New Roman"/>
                <w:sz w:val="24"/>
              </w:rPr>
              <w:t>井盖</w:t>
            </w:r>
          </w:p>
        </w:tc>
        <w:tc>
          <w:tcPr>
            <w:tcW w:w="2327" w:type="pct"/>
            <w:vAlign w:val="center"/>
          </w:tcPr>
          <w:p w14:paraId="508DDB76">
            <w:pPr>
              <w:spacing w:before="24" w:after="24" w:line="288" w:lineRule="auto"/>
              <w:jc w:val="center"/>
              <w:rPr>
                <w:rFonts w:ascii="Times New Roman" w:hAnsi="Times New Roman" w:cs="Times New Roman"/>
                <w:sz w:val="24"/>
              </w:rPr>
            </w:pPr>
            <w:r>
              <w:rPr>
                <w:rFonts w:ascii="Times New Roman" w:hAnsi="Times New Roman" w:cs="Times New Roman"/>
                <w:sz w:val="24"/>
              </w:rPr>
              <w:t>球墨铸铁/Φ700/D400型</w:t>
            </w:r>
          </w:p>
        </w:tc>
        <w:tc>
          <w:tcPr>
            <w:tcW w:w="605" w:type="pct"/>
            <w:vAlign w:val="center"/>
          </w:tcPr>
          <w:p w14:paraId="6D291502">
            <w:pPr>
              <w:spacing w:before="24" w:after="24" w:line="288" w:lineRule="auto"/>
              <w:jc w:val="center"/>
              <w:rPr>
                <w:rFonts w:ascii="Times New Roman" w:hAnsi="Times New Roman" w:cs="Times New Roman"/>
                <w:sz w:val="24"/>
              </w:rPr>
            </w:pPr>
            <w:r>
              <w:rPr>
                <w:rFonts w:ascii="Times New Roman" w:hAnsi="Times New Roman" w:cs="Times New Roman"/>
                <w:sz w:val="24"/>
              </w:rPr>
              <w:t>适用于车行道下</w:t>
            </w:r>
          </w:p>
        </w:tc>
      </w:tr>
      <w:tr w14:paraId="56B82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18BCE713">
            <w:pPr>
              <w:spacing w:before="24" w:after="24" w:line="288" w:lineRule="auto"/>
              <w:jc w:val="center"/>
              <w:rPr>
                <w:rFonts w:ascii="Times New Roman" w:hAnsi="Times New Roman" w:cs="Times New Roman"/>
                <w:sz w:val="24"/>
              </w:rPr>
            </w:pPr>
            <w:r>
              <w:rPr>
                <w:rFonts w:ascii="Times New Roman" w:hAnsi="Times New Roman" w:cs="Times New Roman"/>
                <w:sz w:val="24"/>
              </w:rPr>
              <w:t>23</w:t>
            </w:r>
          </w:p>
        </w:tc>
        <w:tc>
          <w:tcPr>
            <w:tcW w:w="631" w:type="pct"/>
            <w:vMerge w:val="continue"/>
            <w:vAlign w:val="center"/>
          </w:tcPr>
          <w:p w14:paraId="21F99294">
            <w:pPr>
              <w:spacing w:before="24" w:after="24" w:line="288" w:lineRule="auto"/>
              <w:jc w:val="center"/>
              <w:rPr>
                <w:rFonts w:ascii="Times New Roman" w:hAnsi="Times New Roman" w:cs="Times New Roman"/>
                <w:sz w:val="24"/>
              </w:rPr>
            </w:pPr>
          </w:p>
        </w:tc>
        <w:tc>
          <w:tcPr>
            <w:tcW w:w="1073" w:type="pct"/>
            <w:vAlign w:val="center"/>
          </w:tcPr>
          <w:p w14:paraId="7E7906F6">
            <w:pPr>
              <w:spacing w:before="24" w:after="24" w:line="288" w:lineRule="auto"/>
              <w:jc w:val="center"/>
              <w:rPr>
                <w:rFonts w:ascii="Times New Roman" w:hAnsi="Times New Roman" w:cs="Times New Roman"/>
                <w:sz w:val="24"/>
              </w:rPr>
            </w:pPr>
            <w:r>
              <w:rPr>
                <w:rFonts w:ascii="Times New Roman" w:hAnsi="Times New Roman" w:cs="Times New Roman"/>
                <w:sz w:val="24"/>
              </w:rPr>
              <w:t>井盖</w:t>
            </w:r>
          </w:p>
        </w:tc>
        <w:tc>
          <w:tcPr>
            <w:tcW w:w="2327" w:type="pct"/>
            <w:vAlign w:val="center"/>
          </w:tcPr>
          <w:p w14:paraId="040D0B59">
            <w:pPr>
              <w:spacing w:before="24" w:after="24" w:line="288" w:lineRule="auto"/>
              <w:jc w:val="center"/>
              <w:rPr>
                <w:rFonts w:ascii="Times New Roman" w:hAnsi="Times New Roman" w:cs="Times New Roman"/>
                <w:sz w:val="24"/>
              </w:rPr>
            </w:pPr>
            <w:r>
              <w:rPr>
                <w:rFonts w:ascii="Times New Roman" w:hAnsi="Times New Roman" w:cs="Times New Roman"/>
                <w:sz w:val="24"/>
              </w:rPr>
              <w:t>球墨铸铁/Φ700/B125型</w:t>
            </w:r>
          </w:p>
        </w:tc>
        <w:tc>
          <w:tcPr>
            <w:tcW w:w="605" w:type="pct"/>
            <w:vAlign w:val="center"/>
          </w:tcPr>
          <w:p w14:paraId="0379121A">
            <w:pPr>
              <w:spacing w:before="24" w:after="24" w:line="288" w:lineRule="auto"/>
              <w:jc w:val="center"/>
              <w:rPr>
                <w:rFonts w:ascii="Times New Roman" w:hAnsi="Times New Roman" w:cs="Times New Roman"/>
                <w:sz w:val="24"/>
              </w:rPr>
            </w:pPr>
            <w:r>
              <w:rPr>
                <w:rFonts w:ascii="Times New Roman" w:hAnsi="Times New Roman" w:cs="Times New Roman"/>
                <w:sz w:val="24"/>
              </w:rPr>
              <w:t>适用于人行道和绿化带下</w:t>
            </w:r>
          </w:p>
        </w:tc>
      </w:tr>
      <w:tr w14:paraId="66AD8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72E994D7">
            <w:pPr>
              <w:spacing w:before="24" w:after="24" w:line="288" w:lineRule="auto"/>
              <w:jc w:val="center"/>
              <w:rPr>
                <w:rFonts w:ascii="Times New Roman" w:hAnsi="Times New Roman" w:cs="Times New Roman"/>
                <w:sz w:val="24"/>
              </w:rPr>
            </w:pPr>
            <w:r>
              <w:rPr>
                <w:rFonts w:ascii="Times New Roman" w:hAnsi="Times New Roman" w:cs="Times New Roman"/>
                <w:sz w:val="24"/>
              </w:rPr>
              <w:t>24</w:t>
            </w:r>
          </w:p>
        </w:tc>
        <w:tc>
          <w:tcPr>
            <w:tcW w:w="631" w:type="pct"/>
            <w:vMerge w:val="continue"/>
            <w:vAlign w:val="center"/>
          </w:tcPr>
          <w:p w14:paraId="05FFF8CA">
            <w:pPr>
              <w:spacing w:before="24" w:after="24" w:line="288" w:lineRule="auto"/>
              <w:jc w:val="center"/>
              <w:rPr>
                <w:rFonts w:ascii="Times New Roman" w:hAnsi="Times New Roman" w:cs="Times New Roman"/>
                <w:sz w:val="24"/>
              </w:rPr>
            </w:pPr>
          </w:p>
        </w:tc>
        <w:tc>
          <w:tcPr>
            <w:tcW w:w="1073" w:type="pct"/>
            <w:vAlign w:val="center"/>
          </w:tcPr>
          <w:p w14:paraId="47F81A73">
            <w:pPr>
              <w:spacing w:before="24" w:after="24" w:line="288" w:lineRule="auto"/>
              <w:jc w:val="center"/>
              <w:rPr>
                <w:rFonts w:ascii="Times New Roman" w:hAnsi="Times New Roman" w:cs="Times New Roman"/>
                <w:sz w:val="24"/>
              </w:rPr>
            </w:pPr>
            <w:r>
              <w:rPr>
                <w:rFonts w:ascii="Times New Roman" w:hAnsi="Times New Roman" w:cs="Times New Roman"/>
                <w:sz w:val="24"/>
              </w:rPr>
              <w:t>雨水口</w:t>
            </w:r>
          </w:p>
        </w:tc>
        <w:tc>
          <w:tcPr>
            <w:tcW w:w="2327" w:type="pct"/>
            <w:vAlign w:val="center"/>
          </w:tcPr>
          <w:p w14:paraId="141B890B">
            <w:pPr>
              <w:spacing w:before="24" w:after="24" w:line="288" w:lineRule="auto"/>
              <w:jc w:val="center"/>
              <w:rPr>
                <w:rFonts w:ascii="Times New Roman" w:hAnsi="Times New Roman" w:cs="Times New Roman"/>
                <w:sz w:val="24"/>
              </w:rPr>
            </w:pPr>
            <w:r>
              <w:rPr>
                <w:rFonts w:ascii="Times New Roman" w:hAnsi="Times New Roman" w:cs="Times New Roman"/>
                <w:sz w:val="24"/>
              </w:rPr>
              <w:t>砖砌平箅式雨水口/680×380×800</w:t>
            </w:r>
          </w:p>
        </w:tc>
        <w:tc>
          <w:tcPr>
            <w:tcW w:w="605" w:type="pct"/>
            <w:vAlign w:val="center"/>
          </w:tcPr>
          <w:p w14:paraId="7F65279C">
            <w:pPr>
              <w:spacing w:before="24" w:after="24" w:line="288" w:lineRule="auto"/>
              <w:jc w:val="center"/>
              <w:rPr>
                <w:rFonts w:ascii="Times New Roman" w:hAnsi="Times New Roman" w:cs="Times New Roman"/>
                <w:sz w:val="24"/>
              </w:rPr>
            </w:pPr>
          </w:p>
        </w:tc>
      </w:tr>
      <w:tr w14:paraId="649B6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2A8E458A">
            <w:pPr>
              <w:spacing w:before="24" w:after="24" w:line="288" w:lineRule="auto"/>
              <w:jc w:val="center"/>
              <w:rPr>
                <w:rFonts w:ascii="Times New Roman" w:hAnsi="Times New Roman" w:cs="Times New Roman"/>
                <w:sz w:val="24"/>
              </w:rPr>
            </w:pPr>
            <w:r>
              <w:rPr>
                <w:rFonts w:ascii="Times New Roman" w:hAnsi="Times New Roman" w:cs="Times New Roman"/>
                <w:sz w:val="24"/>
              </w:rPr>
              <w:t>25</w:t>
            </w:r>
          </w:p>
        </w:tc>
        <w:tc>
          <w:tcPr>
            <w:tcW w:w="631" w:type="pct"/>
            <w:vMerge w:val="continue"/>
            <w:vAlign w:val="center"/>
          </w:tcPr>
          <w:p w14:paraId="2F0E94B4">
            <w:pPr>
              <w:spacing w:before="24" w:after="24" w:line="288" w:lineRule="auto"/>
              <w:jc w:val="center"/>
              <w:rPr>
                <w:rFonts w:ascii="Times New Roman" w:hAnsi="Times New Roman" w:cs="Times New Roman"/>
                <w:sz w:val="24"/>
              </w:rPr>
            </w:pPr>
          </w:p>
        </w:tc>
        <w:tc>
          <w:tcPr>
            <w:tcW w:w="1073" w:type="pct"/>
            <w:vAlign w:val="center"/>
          </w:tcPr>
          <w:p w14:paraId="5D6B8180">
            <w:pPr>
              <w:spacing w:before="24" w:after="24" w:line="288" w:lineRule="auto"/>
              <w:jc w:val="center"/>
              <w:rPr>
                <w:rFonts w:ascii="Times New Roman" w:hAnsi="Times New Roman" w:cs="Times New Roman"/>
                <w:sz w:val="24"/>
              </w:rPr>
            </w:pPr>
            <w:r>
              <w:rPr>
                <w:rFonts w:ascii="Times New Roman" w:hAnsi="Times New Roman" w:cs="Times New Roman"/>
                <w:sz w:val="24"/>
              </w:rPr>
              <w:t>雨水箅子</w:t>
            </w:r>
          </w:p>
        </w:tc>
        <w:tc>
          <w:tcPr>
            <w:tcW w:w="2327" w:type="pct"/>
            <w:vAlign w:val="center"/>
          </w:tcPr>
          <w:p w14:paraId="0053E99D">
            <w:pPr>
              <w:spacing w:before="24" w:after="24" w:line="288" w:lineRule="auto"/>
              <w:jc w:val="center"/>
              <w:rPr>
                <w:rFonts w:ascii="Times New Roman" w:hAnsi="Times New Roman" w:cs="Times New Roman"/>
                <w:sz w:val="24"/>
              </w:rPr>
            </w:pPr>
            <w:r>
              <w:rPr>
                <w:rFonts w:ascii="Times New Roman" w:hAnsi="Times New Roman" w:cs="Times New Roman"/>
                <w:sz w:val="24"/>
              </w:rPr>
              <w:t>球墨铸铁/D400型</w:t>
            </w:r>
          </w:p>
        </w:tc>
        <w:tc>
          <w:tcPr>
            <w:tcW w:w="605" w:type="pct"/>
            <w:vAlign w:val="center"/>
          </w:tcPr>
          <w:p w14:paraId="2E35E4E8">
            <w:pPr>
              <w:spacing w:before="24" w:after="24" w:line="288" w:lineRule="auto"/>
              <w:jc w:val="center"/>
              <w:rPr>
                <w:rFonts w:ascii="Times New Roman" w:hAnsi="Times New Roman" w:cs="Times New Roman"/>
                <w:sz w:val="24"/>
              </w:rPr>
            </w:pPr>
            <w:r>
              <w:rPr>
                <w:rFonts w:ascii="Times New Roman" w:hAnsi="Times New Roman" w:cs="Times New Roman"/>
                <w:sz w:val="24"/>
              </w:rPr>
              <w:t>适用于车行道下</w:t>
            </w:r>
          </w:p>
        </w:tc>
      </w:tr>
      <w:tr w14:paraId="69EFC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362" w:type="pct"/>
            <w:vAlign w:val="center"/>
          </w:tcPr>
          <w:p w14:paraId="39AF983E">
            <w:pPr>
              <w:spacing w:before="24" w:after="24" w:line="288" w:lineRule="auto"/>
              <w:jc w:val="center"/>
              <w:rPr>
                <w:rFonts w:ascii="Times New Roman" w:hAnsi="Times New Roman" w:cs="Times New Roman"/>
                <w:sz w:val="24"/>
              </w:rPr>
            </w:pPr>
            <w:r>
              <w:rPr>
                <w:rFonts w:ascii="Times New Roman" w:hAnsi="Times New Roman" w:cs="Times New Roman"/>
                <w:sz w:val="24"/>
              </w:rPr>
              <w:t>26</w:t>
            </w:r>
          </w:p>
        </w:tc>
        <w:tc>
          <w:tcPr>
            <w:tcW w:w="631" w:type="pct"/>
            <w:vMerge w:val="continue"/>
            <w:vAlign w:val="center"/>
          </w:tcPr>
          <w:p w14:paraId="207066EE">
            <w:pPr>
              <w:spacing w:before="24" w:after="24" w:line="288" w:lineRule="auto"/>
              <w:jc w:val="center"/>
              <w:rPr>
                <w:rFonts w:ascii="Times New Roman" w:hAnsi="Times New Roman" w:cs="Times New Roman"/>
                <w:sz w:val="24"/>
              </w:rPr>
            </w:pPr>
          </w:p>
        </w:tc>
        <w:tc>
          <w:tcPr>
            <w:tcW w:w="1073" w:type="pct"/>
            <w:vAlign w:val="center"/>
          </w:tcPr>
          <w:p w14:paraId="13297B3A">
            <w:pPr>
              <w:spacing w:before="24" w:after="24" w:line="288" w:lineRule="auto"/>
              <w:jc w:val="center"/>
              <w:rPr>
                <w:rFonts w:ascii="Times New Roman" w:hAnsi="Times New Roman" w:cs="Times New Roman"/>
                <w:sz w:val="24"/>
              </w:rPr>
            </w:pPr>
            <w:r>
              <w:rPr>
                <w:rFonts w:ascii="Times New Roman" w:hAnsi="Times New Roman" w:cs="Times New Roman"/>
                <w:sz w:val="24"/>
              </w:rPr>
              <w:t>雨水箅子</w:t>
            </w:r>
          </w:p>
        </w:tc>
        <w:tc>
          <w:tcPr>
            <w:tcW w:w="2327" w:type="pct"/>
            <w:vAlign w:val="center"/>
          </w:tcPr>
          <w:p w14:paraId="39690D7A">
            <w:pPr>
              <w:spacing w:before="24" w:after="24" w:line="288" w:lineRule="auto"/>
              <w:jc w:val="center"/>
              <w:rPr>
                <w:rFonts w:ascii="Times New Roman" w:hAnsi="Times New Roman" w:cs="Times New Roman"/>
                <w:sz w:val="24"/>
              </w:rPr>
            </w:pPr>
            <w:r>
              <w:rPr>
                <w:rFonts w:ascii="Times New Roman" w:hAnsi="Times New Roman" w:cs="Times New Roman"/>
                <w:sz w:val="24"/>
              </w:rPr>
              <w:t>球墨铸铁/D125型</w:t>
            </w:r>
          </w:p>
        </w:tc>
        <w:tc>
          <w:tcPr>
            <w:tcW w:w="605" w:type="pct"/>
            <w:vAlign w:val="center"/>
          </w:tcPr>
          <w:p w14:paraId="0E36DE03">
            <w:pPr>
              <w:spacing w:before="24" w:after="24" w:line="288" w:lineRule="auto"/>
              <w:jc w:val="center"/>
              <w:rPr>
                <w:rFonts w:ascii="Times New Roman" w:hAnsi="Times New Roman" w:cs="Times New Roman"/>
                <w:sz w:val="24"/>
              </w:rPr>
            </w:pPr>
            <w:r>
              <w:rPr>
                <w:rFonts w:ascii="Times New Roman" w:hAnsi="Times New Roman" w:cs="Times New Roman"/>
                <w:sz w:val="24"/>
              </w:rPr>
              <w:t>适用于人行道和绿化带下</w:t>
            </w:r>
          </w:p>
        </w:tc>
      </w:tr>
      <w:tr w14:paraId="3BE57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2DBE9CE9">
            <w:pPr>
              <w:spacing w:before="24" w:after="24" w:line="288" w:lineRule="auto"/>
              <w:jc w:val="center"/>
              <w:rPr>
                <w:rFonts w:ascii="Times New Roman" w:hAnsi="Times New Roman" w:cs="Times New Roman"/>
                <w:sz w:val="24"/>
              </w:rPr>
            </w:pPr>
            <w:r>
              <w:rPr>
                <w:rFonts w:ascii="Times New Roman" w:hAnsi="Times New Roman" w:cs="Times New Roman"/>
                <w:sz w:val="24"/>
              </w:rPr>
              <w:t>27</w:t>
            </w:r>
          </w:p>
        </w:tc>
        <w:tc>
          <w:tcPr>
            <w:tcW w:w="631" w:type="pct"/>
            <w:vMerge w:val="restart"/>
            <w:vAlign w:val="center"/>
          </w:tcPr>
          <w:p w14:paraId="0496731C">
            <w:pPr>
              <w:spacing w:before="24" w:after="24" w:line="288" w:lineRule="auto"/>
              <w:jc w:val="center"/>
              <w:rPr>
                <w:rFonts w:ascii="Times New Roman" w:hAnsi="Times New Roman" w:cs="Times New Roman"/>
                <w:sz w:val="24"/>
              </w:rPr>
            </w:pPr>
            <w:r>
              <w:rPr>
                <w:rFonts w:ascii="Times New Roman" w:hAnsi="Times New Roman" w:cs="Times New Roman"/>
                <w:sz w:val="24"/>
              </w:rPr>
              <w:t>污水系统</w:t>
            </w:r>
          </w:p>
        </w:tc>
        <w:tc>
          <w:tcPr>
            <w:tcW w:w="1073" w:type="pct"/>
            <w:vAlign w:val="center"/>
          </w:tcPr>
          <w:p w14:paraId="1ACAB232">
            <w:pPr>
              <w:spacing w:before="24" w:after="24" w:line="288" w:lineRule="auto"/>
              <w:jc w:val="center"/>
              <w:rPr>
                <w:rFonts w:ascii="Times New Roman" w:hAnsi="Times New Roman" w:cs="Times New Roman"/>
                <w:sz w:val="24"/>
              </w:rPr>
            </w:pPr>
            <w:r>
              <w:rPr>
                <w:rFonts w:ascii="Times New Roman" w:hAnsi="Times New Roman" w:cs="Times New Roman"/>
                <w:sz w:val="24"/>
              </w:rPr>
              <w:t>污水管</w:t>
            </w:r>
          </w:p>
        </w:tc>
        <w:tc>
          <w:tcPr>
            <w:tcW w:w="2327" w:type="pct"/>
            <w:vAlign w:val="center"/>
          </w:tcPr>
          <w:p w14:paraId="6D22E467">
            <w:pPr>
              <w:spacing w:before="24" w:after="24" w:line="288" w:lineRule="auto"/>
              <w:jc w:val="center"/>
              <w:rPr>
                <w:rFonts w:ascii="Times New Roman" w:hAnsi="Times New Roman" w:cs="Times New Roman"/>
                <w:sz w:val="24"/>
              </w:rPr>
            </w:pPr>
            <w:r>
              <w:rPr>
                <w:rFonts w:ascii="Times New Roman" w:hAnsi="Times New Roman" w:cs="Times New Roman"/>
                <w:sz w:val="24"/>
              </w:rPr>
              <w:t>HDPE塑料排水管/SN8/DN200～DN600</w:t>
            </w:r>
          </w:p>
        </w:tc>
        <w:tc>
          <w:tcPr>
            <w:tcW w:w="605" w:type="pct"/>
            <w:vAlign w:val="center"/>
          </w:tcPr>
          <w:p w14:paraId="6EA1451E">
            <w:pPr>
              <w:spacing w:before="24" w:after="24" w:line="288" w:lineRule="auto"/>
              <w:jc w:val="center"/>
              <w:rPr>
                <w:rFonts w:ascii="Times New Roman" w:hAnsi="Times New Roman" w:cs="Times New Roman"/>
                <w:sz w:val="24"/>
              </w:rPr>
            </w:pPr>
          </w:p>
        </w:tc>
      </w:tr>
      <w:tr w14:paraId="1EDBB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6D832D78">
            <w:pPr>
              <w:spacing w:before="24" w:after="24" w:line="288" w:lineRule="auto"/>
              <w:jc w:val="center"/>
              <w:rPr>
                <w:rFonts w:ascii="Times New Roman" w:hAnsi="Times New Roman" w:cs="Times New Roman"/>
                <w:sz w:val="24"/>
              </w:rPr>
            </w:pPr>
            <w:r>
              <w:rPr>
                <w:rFonts w:ascii="Times New Roman" w:hAnsi="Times New Roman" w:cs="Times New Roman"/>
                <w:sz w:val="24"/>
              </w:rPr>
              <w:t>28</w:t>
            </w:r>
          </w:p>
        </w:tc>
        <w:tc>
          <w:tcPr>
            <w:tcW w:w="631" w:type="pct"/>
            <w:vMerge w:val="continue"/>
            <w:vAlign w:val="center"/>
          </w:tcPr>
          <w:p w14:paraId="5C745385">
            <w:pPr>
              <w:spacing w:before="24" w:after="24" w:line="288" w:lineRule="auto"/>
              <w:jc w:val="center"/>
              <w:rPr>
                <w:rFonts w:ascii="Times New Roman" w:hAnsi="Times New Roman" w:cs="Times New Roman"/>
                <w:sz w:val="24"/>
              </w:rPr>
            </w:pPr>
          </w:p>
        </w:tc>
        <w:tc>
          <w:tcPr>
            <w:tcW w:w="1073" w:type="pct"/>
            <w:vAlign w:val="center"/>
          </w:tcPr>
          <w:p w14:paraId="75B50A20">
            <w:pPr>
              <w:spacing w:before="24" w:after="24" w:line="288" w:lineRule="auto"/>
              <w:jc w:val="center"/>
              <w:rPr>
                <w:rFonts w:ascii="Times New Roman" w:hAnsi="Times New Roman" w:cs="Times New Roman"/>
                <w:sz w:val="24"/>
              </w:rPr>
            </w:pPr>
            <w:r>
              <w:rPr>
                <w:rFonts w:ascii="Times New Roman" w:hAnsi="Times New Roman" w:cs="Times New Roman"/>
                <w:sz w:val="24"/>
              </w:rPr>
              <w:t>检查井</w:t>
            </w:r>
          </w:p>
        </w:tc>
        <w:tc>
          <w:tcPr>
            <w:tcW w:w="2327" w:type="pct"/>
            <w:vAlign w:val="center"/>
          </w:tcPr>
          <w:p w14:paraId="3D5274A5">
            <w:pPr>
              <w:spacing w:before="24" w:after="24" w:line="288" w:lineRule="auto"/>
              <w:jc w:val="left"/>
              <w:rPr>
                <w:rFonts w:ascii="Times New Roman" w:hAnsi="Times New Roman" w:cs="Times New Roman"/>
                <w:sz w:val="24"/>
              </w:rPr>
            </w:pPr>
            <w:r>
              <w:rPr>
                <w:rFonts w:ascii="Times New Roman" w:hAnsi="Times New Roman" w:cs="Times New Roman"/>
                <w:sz w:val="24"/>
              </w:rPr>
              <w:t>圆形塑料检查井（DN200～DN400）/</w:t>
            </w:r>
            <w:r>
              <w:rPr>
                <w:rFonts w:ascii="Times New Roman" w:hAnsi="Times New Roman" w:eastAsia="楷体" w:cs="Times New Roman"/>
                <w:sz w:val="24"/>
              </w:rPr>
              <w:t>Φ</w:t>
            </w:r>
            <w:r>
              <w:rPr>
                <w:rFonts w:ascii="Times New Roman" w:hAnsi="Times New Roman" w:cs="Times New Roman"/>
                <w:sz w:val="24"/>
              </w:rPr>
              <w:t>700</w:t>
            </w:r>
          </w:p>
        </w:tc>
        <w:tc>
          <w:tcPr>
            <w:tcW w:w="605" w:type="pct"/>
            <w:vAlign w:val="center"/>
          </w:tcPr>
          <w:p w14:paraId="1F51C412">
            <w:pPr>
              <w:spacing w:before="24" w:after="24" w:line="288" w:lineRule="auto"/>
              <w:jc w:val="center"/>
              <w:rPr>
                <w:rFonts w:ascii="Times New Roman" w:hAnsi="Times New Roman" w:cs="Times New Roman"/>
                <w:sz w:val="24"/>
              </w:rPr>
            </w:pPr>
          </w:p>
        </w:tc>
      </w:tr>
      <w:tr w14:paraId="256B8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6D0056F9">
            <w:pPr>
              <w:spacing w:before="24" w:after="24" w:line="288" w:lineRule="auto"/>
              <w:jc w:val="center"/>
              <w:rPr>
                <w:rFonts w:ascii="Times New Roman" w:hAnsi="Times New Roman" w:cs="Times New Roman"/>
                <w:sz w:val="24"/>
              </w:rPr>
            </w:pPr>
            <w:r>
              <w:rPr>
                <w:rFonts w:ascii="Times New Roman" w:hAnsi="Times New Roman" w:cs="Times New Roman"/>
                <w:sz w:val="24"/>
              </w:rPr>
              <w:t>29</w:t>
            </w:r>
          </w:p>
        </w:tc>
        <w:tc>
          <w:tcPr>
            <w:tcW w:w="631" w:type="pct"/>
            <w:vMerge w:val="continue"/>
            <w:vAlign w:val="center"/>
          </w:tcPr>
          <w:p w14:paraId="411573C3">
            <w:pPr>
              <w:spacing w:before="24" w:after="24" w:line="288" w:lineRule="auto"/>
              <w:jc w:val="center"/>
              <w:rPr>
                <w:rFonts w:ascii="Times New Roman" w:hAnsi="Times New Roman" w:cs="Times New Roman"/>
                <w:sz w:val="24"/>
              </w:rPr>
            </w:pPr>
          </w:p>
        </w:tc>
        <w:tc>
          <w:tcPr>
            <w:tcW w:w="1073" w:type="pct"/>
            <w:vAlign w:val="center"/>
          </w:tcPr>
          <w:p w14:paraId="6F06C97E">
            <w:pPr>
              <w:spacing w:before="24" w:after="24" w:line="288" w:lineRule="auto"/>
              <w:jc w:val="center"/>
              <w:rPr>
                <w:rFonts w:ascii="Times New Roman" w:hAnsi="Times New Roman" w:cs="Times New Roman"/>
                <w:sz w:val="24"/>
              </w:rPr>
            </w:pPr>
            <w:r>
              <w:rPr>
                <w:rFonts w:ascii="Times New Roman" w:hAnsi="Times New Roman" w:cs="Times New Roman"/>
                <w:sz w:val="24"/>
              </w:rPr>
              <w:t>检查井</w:t>
            </w:r>
          </w:p>
        </w:tc>
        <w:tc>
          <w:tcPr>
            <w:tcW w:w="2327" w:type="pct"/>
            <w:vAlign w:val="center"/>
          </w:tcPr>
          <w:p w14:paraId="726CD5D0">
            <w:pPr>
              <w:spacing w:before="24" w:after="24" w:line="288" w:lineRule="auto"/>
              <w:jc w:val="left"/>
              <w:rPr>
                <w:rFonts w:ascii="Times New Roman" w:hAnsi="Times New Roman" w:cs="Times New Roman"/>
                <w:sz w:val="24"/>
              </w:rPr>
            </w:pPr>
            <w:r>
              <w:rPr>
                <w:rFonts w:ascii="Times New Roman" w:hAnsi="Times New Roman" w:cs="Times New Roman"/>
                <w:sz w:val="24"/>
              </w:rPr>
              <w:t>圆形塑料检查井（DN500～DN600）/Φ1000</w:t>
            </w:r>
          </w:p>
        </w:tc>
        <w:tc>
          <w:tcPr>
            <w:tcW w:w="605" w:type="pct"/>
            <w:vAlign w:val="center"/>
          </w:tcPr>
          <w:p w14:paraId="54539442">
            <w:pPr>
              <w:spacing w:before="24" w:after="24" w:line="288" w:lineRule="auto"/>
              <w:jc w:val="center"/>
              <w:rPr>
                <w:rFonts w:ascii="Times New Roman" w:hAnsi="Times New Roman" w:cs="Times New Roman"/>
                <w:sz w:val="24"/>
              </w:rPr>
            </w:pPr>
          </w:p>
        </w:tc>
      </w:tr>
      <w:tr w14:paraId="206F8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281B03B4">
            <w:pPr>
              <w:spacing w:before="24" w:after="24" w:line="288" w:lineRule="auto"/>
              <w:jc w:val="center"/>
              <w:rPr>
                <w:rFonts w:ascii="Times New Roman" w:hAnsi="Times New Roman" w:cs="Times New Roman"/>
                <w:sz w:val="24"/>
              </w:rPr>
            </w:pPr>
            <w:r>
              <w:rPr>
                <w:rFonts w:ascii="Times New Roman" w:hAnsi="Times New Roman" w:cs="Times New Roman"/>
                <w:sz w:val="24"/>
              </w:rPr>
              <w:t>30</w:t>
            </w:r>
          </w:p>
        </w:tc>
        <w:tc>
          <w:tcPr>
            <w:tcW w:w="631" w:type="pct"/>
            <w:vMerge w:val="continue"/>
            <w:vAlign w:val="center"/>
          </w:tcPr>
          <w:p w14:paraId="2F69D999">
            <w:pPr>
              <w:spacing w:before="24" w:after="24" w:line="288" w:lineRule="auto"/>
              <w:jc w:val="center"/>
              <w:rPr>
                <w:rFonts w:ascii="Times New Roman" w:hAnsi="Times New Roman" w:cs="Times New Roman"/>
                <w:sz w:val="24"/>
              </w:rPr>
            </w:pPr>
          </w:p>
        </w:tc>
        <w:tc>
          <w:tcPr>
            <w:tcW w:w="1073" w:type="pct"/>
            <w:vAlign w:val="center"/>
          </w:tcPr>
          <w:p w14:paraId="0ACD87D2">
            <w:pPr>
              <w:spacing w:before="24" w:after="24" w:line="288" w:lineRule="auto"/>
              <w:jc w:val="center"/>
              <w:rPr>
                <w:rFonts w:ascii="Times New Roman" w:hAnsi="Times New Roman" w:cs="Times New Roman"/>
                <w:sz w:val="24"/>
              </w:rPr>
            </w:pPr>
            <w:r>
              <w:rPr>
                <w:rFonts w:ascii="Times New Roman" w:hAnsi="Times New Roman" w:cs="Times New Roman"/>
                <w:sz w:val="24"/>
              </w:rPr>
              <w:t>防坠网</w:t>
            </w:r>
          </w:p>
        </w:tc>
        <w:tc>
          <w:tcPr>
            <w:tcW w:w="2327" w:type="pct"/>
            <w:vAlign w:val="center"/>
          </w:tcPr>
          <w:p w14:paraId="09E03079">
            <w:pPr>
              <w:spacing w:before="24" w:after="24" w:line="288" w:lineRule="auto"/>
              <w:jc w:val="center"/>
              <w:rPr>
                <w:rFonts w:ascii="Times New Roman" w:hAnsi="Times New Roman" w:cs="Times New Roman"/>
                <w:sz w:val="24"/>
              </w:rPr>
            </w:pPr>
            <w:r>
              <w:rPr>
                <w:rFonts w:ascii="Times New Roman" w:hAnsi="Times New Roman" w:cs="Times New Roman"/>
                <w:sz w:val="24"/>
              </w:rPr>
              <w:t>HDPE/承重≥300kg</w:t>
            </w:r>
          </w:p>
        </w:tc>
        <w:tc>
          <w:tcPr>
            <w:tcW w:w="605" w:type="pct"/>
            <w:vAlign w:val="center"/>
          </w:tcPr>
          <w:p w14:paraId="78B059BC">
            <w:pPr>
              <w:spacing w:before="24" w:after="24" w:line="288" w:lineRule="auto"/>
              <w:jc w:val="center"/>
              <w:rPr>
                <w:rFonts w:ascii="Times New Roman" w:hAnsi="Times New Roman" w:cs="Times New Roman"/>
                <w:sz w:val="24"/>
              </w:rPr>
            </w:pPr>
          </w:p>
        </w:tc>
      </w:tr>
      <w:tr w14:paraId="62517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70D91C78">
            <w:pPr>
              <w:spacing w:before="24" w:after="24" w:line="288" w:lineRule="auto"/>
              <w:jc w:val="center"/>
              <w:rPr>
                <w:rFonts w:ascii="Times New Roman" w:hAnsi="Times New Roman" w:cs="Times New Roman"/>
                <w:sz w:val="24"/>
              </w:rPr>
            </w:pPr>
            <w:r>
              <w:rPr>
                <w:rFonts w:ascii="Times New Roman" w:hAnsi="Times New Roman" w:cs="Times New Roman"/>
                <w:sz w:val="24"/>
              </w:rPr>
              <w:t>31</w:t>
            </w:r>
          </w:p>
        </w:tc>
        <w:tc>
          <w:tcPr>
            <w:tcW w:w="631" w:type="pct"/>
            <w:vMerge w:val="continue"/>
            <w:vAlign w:val="center"/>
          </w:tcPr>
          <w:p w14:paraId="54261596">
            <w:pPr>
              <w:spacing w:before="24" w:after="24" w:line="288" w:lineRule="auto"/>
              <w:jc w:val="center"/>
              <w:rPr>
                <w:rFonts w:ascii="Times New Roman" w:hAnsi="Times New Roman" w:cs="Times New Roman"/>
                <w:sz w:val="24"/>
              </w:rPr>
            </w:pPr>
          </w:p>
        </w:tc>
        <w:tc>
          <w:tcPr>
            <w:tcW w:w="1073" w:type="pct"/>
            <w:vAlign w:val="center"/>
          </w:tcPr>
          <w:p w14:paraId="54170E35">
            <w:pPr>
              <w:spacing w:before="24" w:after="24" w:line="288" w:lineRule="auto"/>
              <w:jc w:val="center"/>
              <w:rPr>
                <w:rFonts w:ascii="Times New Roman" w:hAnsi="Times New Roman" w:cs="Times New Roman"/>
                <w:sz w:val="24"/>
              </w:rPr>
            </w:pPr>
            <w:r>
              <w:rPr>
                <w:rFonts w:ascii="Times New Roman" w:hAnsi="Times New Roman" w:cs="Times New Roman"/>
                <w:sz w:val="24"/>
              </w:rPr>
              <w:t>球墨铸铁井盖</w:t>
            </w:r>
          </w:p>
        </w:tc>
        <w:tc>
          <w:tcPr>
            <w:tcW w:w="2327" w:type="pct"/>
            <w:vAlign w:val="center"/>
          </w:tcPr>
          <w:p w14:paraId="1388E49E">
            <w:pPr>
              <w:spacing w:before="24" w:after="24" w:line="288" w:lineRule="auto"/>
              <w:jc w:val="center"/>
              <w:rPr>
                <w:rFonts w:ascii="Times New Roman" w:hAnsi="Times New Roman" w:cs="Times New Roman"/>
                <w:sz w:val="24"/>
              </w:rPr>
            </w:pPr>
            <w:r>
              <w:rPr>
                <w:rFonts w:ascii="Times New Roman" w:hAnsi="Times New Roman" w:cs="Times New Roman"/>
                <w:sz w:val="24"/>
              </w:rPr>
              <w:t>D400型</w:t>
            </w:r>
          </w:p>
        </w:tc>
        <w:tc>
          <w:tcPr>
            <w:tcW w:w="605" w:type="pct"/>
            <w:vAlign w:val="center"/>
          </w:tcPr>
          <w:p w14:paraId="05B74151">
            <w:pPr>
              <w:spacing w:before="24" w:after="24" w:line="288" w:lineRule="auto"/>
              <w:jc w:val="center"/>
              <w:rPr>
                <w:rFonts w:ascii="Times New Roman" w:hAnsi="Times New Roman" w:cs="Times New Roman"/>
                <w:sz w:val="24"/>
              </w:rPr>
            </w:pPr>
            <w:r>
              <w:rPr>
                <w:rFonts w:ascii="Times New Roman" w:hAnsi="Times New Roman" w:cs="Times New Roman"/>
                <w:sz w:val="24"/>
              </w:rPr>
              <w:t>适用于车行道下</w:t>
            </w:r>
          </w:p>
        </w:tc>
      </w:tr>
      <w:tr w14:paraId="5772C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697F1A99">
            <w:pPr>
              <w:spacing w:before="24" w:after="24" w:line="288" w:lineRule="auto"/>
              <w:jc w:val="center"/>
              <w:rPr>
                <w:rFonts w:ascii="Times New Roman" w:hAnsi="Times New Roman" w:cs="Times New Roman"/>
                <w:sz w:val="24"/>
              </w:rPr>
            </w:pPr>
            <w:r>
              <w:rPr>
                <w:rFonts w:ascii="Times New Roman" w:hAnsi="Times New Roman" w:cs="Times New Roman"/>
                <w:sz w:val="24"/>
              </w:rPr>
              <w:t>32</w:t>
            </w:r>
          </w:p>
        </w:tc>
        <w:tc>
          <w:tcPr>
            <w:tcW w:w="631" w:type="pct"/>
            <w:vMerge w:val="continue"/>
            <w:vAlign w:val="center"/>
          </w:tcPr>
          <w:p w14:paraId="4C2C45A2">
            <w:pPr>
              <w:spacing w:before="24" w:after="24" w:line="288" w:lineRule="auto"/>
              <w:jc w:val="center"/>
              <w:rPr>
                <w:rFonts w:ascii="Times New Roman" w:hAnsi="Times New Roman" w:cs="Times New Roman"/>
                <w:sz w:val="24"/>
              </w:rPr>
            </w:pPr>
          </w:p>
        </w:tc>
        <w:tc>
          <w:tcPr>
            <w:tcW w:w="1073" w:type="pct"/>
            <w:vAlign w:val="center"/>
          </w:tcPr>
          <w:p w14:paraId="597840D3">
            <w:pPr>
              <w:spacing w:before="24" w:after="24" w:line="288" w:lineRule="auto"/>
              <w:jc w:val="center"/>
              <w:rPr>
                <w:rFonts w:ascii="Times New Roman" w:hAnsi="Times New Roman" w:cs="Times New Roman"/>
                <w:sz w:val="24"/>
              </w:rPr>
            </w:pPr>
            <w:r>
              <w:rPr>
                <w:rFonts w:ascii="Times New Roman" w:hAnsi="Times New Roman" w:cs="Times New Roman"/>
                <w:sz w:val="24"/>
              </w:rPr>
              <w:t>球墨铸铁井盖</w:t>
            </w:r>
          </w:p>
        </w:tc>
        <w:tc>
          <w:tcPr>
            <w:tcW w:w="2327" w:type="pct"/>
            <w:vAlign w:val="center"/>
          </w:tcPr>
          <w:p w14:paraId="755BCAD9">
            <w:pPr>
              <w:spacing w:before="24" w:after="24" w:line="288" w:lineRule="auto"/>
              <w:jc w:val="center"/>
              <w:rPr>
                <w:rFonts w:ascii="Times New Roman" w:hAnsi="Times New Roman" w:cs="Times New Roman"/>
                <w:sz w:val="24"/>
              </w:rPr>
            </w:pPr>
            <w:r>
              <w:rPr>
                <w:rFonts w:ascii="Times New Roman" w:hAnsi="Times New Roman" w:cs="Times New Roman"/>
                <w:sz w:val="24"/>
              </w:rPr>
              <w:t>B125型</w:t>
            </w:r>
          </w:p>
        </w:tc>
        <w:tc>
          <w:tcPr>
            <w:tcW w:w="605" w:type="pct"/>
            <w:vAlign w:val="center"/>
          </w:tcPr>
          <w:p w14:paraId="5D81CBC2">
            <w:pPr>
              <w:spacing w:before="24" w:after="24" w:line="288" w:lineRule="auto"/>
              <w:jc w:val="center"/>
              <w:rPr>
                <w:rFonts w:ascii="Times New Roman" w:hAnsi="Times New Roman" w:cs="Times New Roman"/>
                <w:sz w:val="24"/>
              </w:rPr>
            </w:pPr>
            <w:r>
              <w:rPr>
                <w:rFonts w:ascii="Times New Roman" w:hAnsi="Times New Roman" w:cs="Times New Roman"/>
                <w:sz w:val="24"/>
              </w:rPr>
              <w:t>适用于人行道和绿化带下</w:t>
            </w:r>
          </w:p>
        </w:tc>
      </w:tr>
      <w:tr w14:paraId="522EC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68FFE79B">
            <w:pPr>
              <w:spacing w:before="24" w:after="24" w:line="288" w:lineRule="auto"/>
              <w:jc w:val="center"/>
              <w:rPr>
                <w:rFonts w:ascii="Times New Roman" w:hAnsi="Times New Roman" w:cs="Times New Roman"/>
                <w:sz w:val="24"/>
              </w:rPr>
            </w:pPr>
            <w:r>
              <w:rPr>
                <w:rFonts w:ascii="Times New Roman" w:hAnsi="Times New Roman" w:cs="Times New Roman"/>
                <w:sz w:val="24"/>
              </w:rPr>
              <w:t>33</w:t>
            </w:r>
          </w:p>
        </w:tc>
        <w:tc>
          <w:tcPr>
            <w:tcW w:w="631" w:type="pct"/>
            <w:vMerge w:val="continue"/>
            <w:vAlign w:val="center"/>
          </w:tcPr>
          <w:p w14:paraId="3C6526DC">
            <w:pPr>
              <w:spacing w:before="24" w:after="24" w:line="288" w:lineRule="auto"/>
              <w:jc w:val="center"/>
              <w:rPr>
                <w:rFonts w:ascii="Times New Roman" w:hAnsi="Times New Roman" w:cs="Times New Roman"/>
                <w:sz w:val="24"/>
              </w:rPr>
            </w:pPr>
          </w:p>
        </w:tc>
        <w:tc>
          <w:tcPr>
            <w:tcW w:w="1073" w:type="pct"/>
            <w:vAlign w:val="center"/>
          </w:tcPr>
          <w:p w14:paraId="0F90A1F0">
            <w:pPr>
              <w:spacing w:before="24" w:after="24" w:line="288" w:lineRule="auto"/>
              <w:jc w:val="center"/>
              <w:rPr>
                <w:rFonts w:ascii="Times New Roman" w:hAnsi="Times New Roman" w:cs="Times New Roman"/>
                <w:sz w:val="24"/>
              </w:rPr>
            </w:pPr>
            <w:r>
              <w:rPr>
                <w:rFonts w:ascii="Times New Roman" w:hAnsi="Times New Roman" w:cs="Times New Roman"/>
                <w:sz w:val="24"/>
              </w:rPr>
              <w:t>化粪池</w:t>
            </w:r>
          </w:p>
        </w:tc>
        <w:tc>
          <w:tcPr>
            <w:tcW w:w="2327" w:type="pct"/>
            <w:vAlign w:val="center"/>
          </w:tcPr>
          <w:p w14:paraId="3AA129C3">
            <w:pPr>
              <w:spacing w:before="24" w:after="24" w:line="288" w:lineRule="auto"/>
              <w:jc w:val="center"/>
              <w:rPr>
                <w:rFonts w:ascii="Times New Roman" w:hAnsi="Times New Roman" w:cs="Times New Roman"/>
                <w:sz w:val="24"/>
              </w:rPr>
            </w:pPr>
            <w:r>
              <w:rPr>
                <w:rFonts w:ascii="Times New Roman" w:hAnsi="Times New Roman" w:cs="Times New Roman"/>
                <w:sz w:val="24"/>
              </w:rPr>
              <w:t>成品玻璃钢化粪池</w:t>
            </w:r>
          </w:p>
        </w:tc>
        <w:tc>
          <w:tcPr>
            <w:tcW w:w="605" w:type="pct"/>
            <w:vAlign w:val="center"/>
          </w:tcPr>
          <w:p w14:paraId="53CBF2CF">
            <w:pPr>
              <w:spacing w:before="24" w:after="24" w:line="288" w:lineRule="auto"/>
              <w:jc w:val="center"/>
              <w:rPr>
                <w:rFonts w:ascii="Times New Roman" w:hAnsi="Times New Roman" w:cs="Times New Roman"/>
                <w:sz w:val="24"/>
              </w:rPr>
            </w:pPr>
            <w:r>
              <w:rPr>
                <w:rFonts w:ascii="Times New Roman" w:hAnsi="Times New Roman" w:cs="Times New Roman"/>
                <w:sz w:val="24"/>
              </w:rPr>
              <w:t>适用于绿化带和人行道下</w:t>
            </w:r>
          </w:p>
        </w:tc>
      </w:tr>
      <w:tr w14:paraId="511F4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 w:type="pct"/>
            <w:vAlign w:val="center"/>
          </w:tcPr>
          <w:p w14:paraId="67C69799">
            <w:pPr>
              <w:spacing w:before="24" w:after="24" w:line="288" w:lineRule="auto"/>
              <w:jc w:val="center"/>
              <w:rPr>
                <w:rFonts w:ascii="Times New Roman" w:hAnsi="Times New Roman" w:cs="Times New Roman"/>
                <w:sz w:val="24"/>
              </w:rPr>
            </w:pPr>
            <w:r>
              <w:rPr>
                <w:rFonts w:ascii="Times New Roman" w:hAnsi="Times New Roman" w:cs="Times New Roman"/>
                <w:sz w:val="24"/>
              </w:rPr>
              <w:t>34</w:t>
            </w:r>
          </w:p>
        </w:tc>
        <w:tc>
          <w:tcPr>
            <w:tcW w:w="631" w:type="pct"/>
            <w:vMerge w:val="continue"/>
            <w:vAlign w:val="center"/>
          </w:tcPr>
          <w:p w14:paraId="48B2A4D2">
            <w:pPr>
              <w:spacing w:before="24" w:after="24" w:line="288" w:lineRule="auto"/>
              <w:jc w:val="center"/>
              <w:rPr>
                <w:rFonts w:ascii="Times New Roman" w:hAnsi="Times New Roman" w:cs="Times New Roman"/>
                <w:sz w:val="24"/>
              </w:rPr>
            </w:pPr>
          </w:p>
        </w:tc>
        <w:tc>
          <w:tcPr>
            <w:tcW w:w="1073" w:type="pct"/>
            <w:vAlign w:val="center"/>
          </w:tcPr>
          <w:p w14:paraId="0869D6C6">
            <w:pPr>
              <w:spacing w:before="24" w:after="24" w:line="288" w:lineRule="auto"/>
              <w:jc w:val="center"/>
              <w:rPr>
                <w:rFonts w:ascii="Times New Roman" w:hAnsi="Times New Roman" w:cs="Times New Roman"/>
                <w:sz w:val="24"/>
              </w:rPr>
            </w:pPr>
            <w:r>
              <w:rPr>
                <w:rFonts w:ascii="Times New Roman" w:hAnsi="Times New Roman" w:cs="Times New Roman"/>
                <w:sz w:val="24"/>
              </w:rPr>
              <w:t>化粪池</w:t>
            </w:r>
          </w:p>
        </w:tc>
        <w:tc>
          <w:tcPr>
            <w:tcW w:w="2327" w:type="pct"/>
            <w:vAlign w:val="center"/>
          </w:tcPr>
          <w:p w14:paraId="5F610C2C">
            <w:pPr>
              <w:spacing w:before="24" w:after="24" w:line="288" w:lineRule="auto"/>
              <w:jc w:val="center"/>
              <w:rPr>
                <w:rFonts w:ascii="Times New Roman" w:hAnsi="Times New Roman" w:cs="Times New Roman"/>
                <w:sz w:val="24"/>
              </w:rPr>
            </w:pPr>
            <w:r>
              <w:rPr>
                <w:rFonts w:ascii="Times New Roman" w:hAnsi="Times New Roman" w:cs="Times New Roman"/>
                <w:sz w:val="24"/>
              </w:rPr>
              <w:t>钢筋混凝土化粪池</w:t>
            </w:r>
          </w:p>
        </w:tc>
        <w:tc>
          <w:tcPr>
            <w:tcW w:w="605" w:type="pct"/>
            <w:vAlign w:val="center"/>
          </w:tcPr>
          <w:p w14:paraId="291CCE33">
            <w:pPr>
              <w:spacing w:before="24" w:after="24" w:line="288" w:lineRule="auto"/>
              <w:jc w:val="center"/>
              <w:rPr>
                <w:rFonts w:ascii="Times New Roman" w:hAnsi="Times New Roman" w:cs="Times New Roman"/>
                <w:sz w:val="24"/>
              </w:rPr>
            </w:pPr>
            <w:r>
              <w:rPr>
                <w:rFonts w:ascii="Times New Roman" w:hAnsi="Times New Roman" w:cs="Times New Roman"/>
                <w:sz w:val="24"/>
              </w:rPr>
              <w:t>适用于车行道下</w:t>
            </w:r>
          </w:p>
        </w:tc>
      </w:tr>
    </w:tbl>
    <w:p w14:paraId="3833FFFF">
      <w:pPr>
        <w:spacing w:before="24" w:after="24"/>
        <w:ind w:firstLine="560" w:firstLineChars="200"/>
        <w:rPr>
          <w:rFonts w:ascii="Times New Roman" w:hAnsi="Times New Roman" w:cs="Times New Roman"/>
        </w:rPr>
      </w:pPr>
    </w:p>
    <w:p w14:paraId="3DF0A9BC">
      <w:pPr>
        <w:spacing w:before="24" w:after="24"/>
        <w:ind w:firstLine="562" w:firstLineChars="200"/>
        <w:outlineLvl w:val="3"/>
        <w:rPr>
          <w:rFonts w:ascii="Times New Roman" w:hAnsi="Times New Roman" w:cs="Times New Roman"/>
          <w:b/>
        </w:rPr>
      </w:pPr>
      <w:r>
        <w:rPr>
          <w:rFonts w:ascii="Times New Roman" w:hAnsi="Times New Roman" w:cs="Times New Roman"/>
          <w:b/>
        </w:rPr>
        <w:t>4、市政给排水专业设备参数清单表</w:t>
      </w:r>
    </w:p>
    <w:tbl>
      <w:tblPr>
        <w:tblStyle w:val="30"/>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5"/>
        <w:gridCol w:w="1162"/>
        <w:gridCol w:w="1982"/>
        <w:gridCol w:w="4297"/>
        <w:gridCol w:w="1094"/>
      </w:tblGrid>
      <w:tr w14:paraId="1C8CE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45" w:type="dxa"/>
            <w:shd w:val="clear" w:color="auto" w:fill="D7D7D7"/>
            <w:vAlign w:val="center"/>
          </w:tcPr>
          <w:p w14:paraId="54AC71CE">
            <w:pPr>
              <w:spacing w:before="24" w:after="24" w:line="288" w:lineRule="auto"/>
              <w:jc w:val="center"/>
              <w:rPr>
                <w:rFonts w:ascii="Times New Roman" w:hAnsi="Times New Roman" w:cs="Times New Roman"/>
                <w:sz w:val="24"/>
              </w:rPr>
            </w:pPr>
            <w:r>
              <w:rPr>
                <w:rFonts w:ascii="Times New Roman" w:hAnsi="Times New Roman" w:cs="Times New Roman"/>
                <w:sz w:val="24"/>
              </w:rPr>
              <w:t>序号</w:t>
            </w:r>
          </w:p>
        </w:tc>
        <w:tc>
          <w:tcPr>
            <w:tcW w:w="1162" w:type="dxa"/>
            <w:shd w:val="clear" w:color="auto" w:fill="D7D7D7"/>
            <w:vAlign w:val="center"/>
          </w:tcPr>
          <w:p w14:paraId="7696C3E0">
            <w:pPr>
              <w:spacing w:before="24" w:after="24" w:line="288" w:lineRule="auto"/>
              <w:jc w:val="center"/>
              <w:rPr>
                <w:rFonts w:ascii="Times New Roman" w:hAnsi="Times New Roman" w:cs="Times New Roman"/>
                <w:sz w:val="24"/>
              </w:rPr>
            </w:pPr>
            <w:r>
              <w:rPr>
                <w:rFonts w:ascii="Times New Roman" w:hAnsi="Times New Roman" w:cs="Times New Roman"/>
                <w:sz w:val="24"/>
              </w:rPr>
              <w:t>设备/系统</w:t>
            </w:r>
          </w:p>
        </w:tc>
        <w:tc>
          <w:tcPr>
            <w:tcW w:w="1982" w:type="dxa"/>
            <w:shd w:val="clear" w:color="auto" w:fill="D7D7D7"/>
            <w:vAlign w:val="center"/>
          </w:tcPr>
          <w:p w14:paraId="10E552A0">
            <w:pPr>
              <w:spacing w:before="24" w:after="24" w:line="288" w:lineRule="auto"/>
              <w:jc w:val="center"/>
              <w:rPr>
                <w:rFonts w:ascii="Times New Roman" w:hAnsi="Times New Roman" w:cs="Times New Roman"/>
                <w:sz w:val="24"/>
              </w:rPr>
            </w:pPr>
            <w:r>
              <w:rPr>
                <w:rFonts w:ascii="Times New Roman" w:hAnsi="Times New Roman" w:cs="Times New Roman"/>
                <w:sz w:val="24"/>
              </w:rPr>
              <w:t>设备</w:t>
            </w:r>
          </w:p>
        </w:tc>
        <w:tc>
          <w:tcPr>
            <w:tcW w:w="4297" w:type="dxa"/>
            <w:shd w:val="clear" w:color="auto" w:fill="D7D7D7"/>
            <w:vAlign w:val="center"/>
          </w:tcPr>
          <w:p w14:paraId="489F8D7B">
            <w:pPr>
              <w:spacing w:before="24" w:after="24" w:line="288" w:lineRule="auto"/>
              <w:jc w:val="center"/>
              <w:rPr>
                <w:rFonts w:ascii="Times New Roman" w:hAnsi="Times New Roman" w:cs="Times New Roman"/>
                <w:sz w:val="24"/>
              </w:rPr>
            </w:pPr>
            <w:r>
              <w:rPr>
                <w:rFonts w:ascii="Times New Roman" w:hAnsi="Times New Roman" w:cs="Times New Roman"/>
                <w:sz w:val="24"/>
              </w:rPr>
              <w:t>材质/规格、参数</w:t>
            </w:r>
          </w:p>
        </w:tc>
        <w:tc>
          <w:tcPr>
            <w:tcW w:w="1094" w:type="dxa"/>
            <w:shd w:val="clear" w:color="auto" w:fill="D7D7D7"/>
            <w:vAlign w:val="center"/>
          </w:tcPr>
          <w:p w14:paraId="2C037ADB">
            <w:pPr>
              <w:spacing w:before="24" w:after="24" w:line="288" w:lineRule="auto"/>
              <w:jc w:val="center"/>
              <w:rPr>
                <w:rFonts w:ascii="Times New Roman" w:hAnsi="Times New Roman" w:cs="Times New Roman"/>
                <w:sz w:val="24"/>
              </w:rPr>
            </w:pPr>
            <w:r>
              <w:rPr>
                <w:rFonts w:ascii="Times New Roman" w:hAnsi="Times New Roman" w:cs="Times New Roman"/>
                <w:sz w:val="24"/>
              </w:rPr>
              <w:t>备注</w:t>
            </w:r>
          </w:p>
        </w:tc>
      </w:tr>
      <w:tr w14:paraId="3BD78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65B45CD0">
            <w:pPr>
              <w:spacing w:before="24" w:after="24" w:line="288" w:lineRule="auto"/>
              <w:jc w:val="center"/>
              <w:rPr>
                <w:rFonts w:ascii="Times New Roman" w:hAnsi="Times New Roman" w:cs="Times New Roman"/>
                <w:sz w:val="24"/>
              </w:rPr>
            </w:pPr>
            <w:r>
              <w:rPr>
                <w:rFonts w:ascii="Times New Roman" w:hAnsi="Times New Roman" w:cs="Times New Roman"/>
                <w:sz w:val="24"/>
              </w:rPr>
              <w:t>1</w:t>
            </w:r>
          </w:p>
        </w:tc>
        <w:tc>
          <w:tcPr>
            <w:tcW w:w="1162" w:type="dxa"/>
            <w:vMerge w:val="restart"/>
            <w:vAlign w:val="center"/>
          </w:tcPr>
          <w:p w14:paraId="5359912C">
            <w:pPr>
              <w:spacing w:before="24" w:after="24" w:line="288" w:lineRule="auto"/>
              <w:jc w:val="center"/>
              <w:rPr>
                <w:rFonts w:ascii="Times New Roman" w:hAnsi="Times New Roman" w:cs="Times New Roman"/>
                <w:sz w:val="24"/>
              </w:rPr>
            </w:pPr>
            <w:r>
              <w:rPr>
                <w:rFonts w:ascii="Times New Roman" w:hAnsi="Times New Roman" w:cs="Times New Roman"/>
                <w:sz w:val="24"/>
              </w:rPr>
              <w:t>给水管道工程</w:t>
            </w:r>
          </w:p>
        </w:tc>
        <w:tc>
          <w:tcPr>
            <w:tcW w:w="1982" w:type="dxa"/>
            <w:vAlign w:val="center"/>
          </w:tcPr>
          <w:p w14:paraId="2E231742">
            <w:pPr>
              <w:spacing w:before="24" w:after="24" w:line="288" w:lineRule="auto"/>
              <w:jc w:val="center"/>
              <w:rPr>
                <w:rFonts w:ascii="Times New Roman" w:hAnsi="Times New Roman" w:cs="Times New Roman"/>
                <w:sz w:val="24"/>
              </w:rPr>
            </w:pPr>
            <w:r>
              <w:rPr>
                <w:rFonts w:ascii="Times New Roman" w:hAnsi="Times New Roman" w:cs="Times New Roman"/>
                <w:sz w:val="24"/>
              </w:rPr>
              <w:t>给水管</w:t>
            </w:r>
          </w:p>
        </w:tc>
        <w:tc>
          <w:tcPr>
            <w:tcW w:w="4297" w:type="dxa"/>
            <w:vAlign w:val="center"/>
          </w:tcPr>
          <w:p w14:paraId="13400364">
            <w:pPr>
              <w:spacing w:before="24" w:after="24" w:line="288" w:lineRule="auto"/>
              <w:jc w:val="left"/>
              <w:rPr>
                <w:rFonts w:ascii="Times New Roman" w:hAnsi="Times New Roman" w:cs="Times New Roman"/>
                <w:sz w:val="24"/>
              </w:rPr>
            </w:pPr>
            <w:r>
              <w:rPr>
                <w:rFonts w:ascii="Times New Roman" w:hAnsi="Times New Roman" w:cs="Times New Roman"/>
                <w:sz w:val="24"/>
              </w:rPr>
              <w:t>类型：球墨铸铁给水管</w:t>
            </w:r>
          </w:p>
          <w:p w14:paraId="19CEC096">
            <w:pPr>
              <w:spacing w:before="24" w:after="24" w:line="288" w:lineRule="auto"/>
              <w:jc w:val="left"/>
              <w:rPr>
                <w:rFonts w:ascii="Times New Roman" w:hAnsi="Times New Roman" w:cs="Times New Roman"/>
                <w:sz w:val="24"/>
              </w:rPr>
            </w:pPr>
            <w:r>
              <w:rPr>
                <w:rFonts w:ascii="Times New Roman" w:hAnsi="Times New Roman" w:cs="Times New Roman"/>
                <w:sz w:val="24"/>
              </w:rPr>
              <w:t>材质：球墨铸铁</w:t>
            </w:r>
          </w:p>
          <w:p w14:paraId="2BBF093E">
            <w:pPr>
              <w:spacing w:before="24" w:after="24" w:line="288" w:lineRule="auto"/>
              <w:jc w:val="left"/>
              <w:rPr>
                <w:rFonts w:ascii="Times New Roman" w:hAnsi="Times New Roman" w:cs="Times New Roman"/>
                <w:sz w:val="24"/>
              </w:rPr>
            </w:pPr>
            <w:r>
              <w:rPr>
                <w:rFonts w:ascii="Times New Roman" w:hAnsi="Times New Roman" w:cs="Times New Roman"/>
                <w:sz w:val="24"/>
              </w:rPr>
              <w:t>连接方式：T型接口</w:t>
            </w:r>
          </w:p>
          <w:p w14:paraId="5AD265B1">
            <w:pPr>
              <w:spacing w:before="24" w:after="24" w:line="288" w:lineRule="auto"/>
              <w:jc w:val="left"/>
              <w:rPr>
                <w:rFonts w:ascii="Times New Roman" w:hAnsi="Times New Roman" w:cs="Times New Roman"/>
                <w:sz w:val="24"/>
              </w:rPr>
            </w:pPr>
            <w:r>
              <w:rPr>
                <w:rFonts w:ascii="Times New Roman" w:hAnsi="Times New Roman" w:cs="Times New Roman"/>
                <w:sz w:val="24"/>
              </w:rPr>
              <w:t>公称压力等级：1.6MPa</w:t>
            </w:r>
          </w:p>
          <w:p w14:paraId="54940CCB">
            <w:pPr>
              <w:spacing w:before="24" w:after="24" w:line="288" w:lineRule="auto"/>
              <w:jc w:val="left"/>
              <w:rPr>
                <w:rFonts w:ascii="Times New Roman" w:hAnsi="Times New Roman" w:cs="Times New Roman"/>
                <w:sz w:val="24"/>
              </w:rPr>
            </w:pPr>
            <w:r>
              <w:rPr>
                <w:rFonts w:ascii="Times New Roman" w:hAnsi="Times New Roman" w:cs="Times New Roman"/>
                <w:sz w:val="24"/>
              </w:rPr>
              <w:t>壁厚级别系数：K9</w:t>
            </w:r>
          </w:p>
          <w:p w14:paraId="4EBBAB40">
            <w:pPr>
              <w:spacing w:before="24" w:after="24" w:line="288" w:lineRule="auto"/>
              <w:jc w:val="left"/>
              <w:rPr>
                <w:rFonts w:ascii="Times New Roman" w:hAnsi="Times New Roman" w:cs="Times New Roman"/>
                <w:sz w:val="24"/>
              </w:rPr>
            </w:pPr>
            <w:r>
              <w:rPr>
                <w:rFonts w:ascii="Times New Roman" w:hAnsi="Times New Roman" w:cs="Times New Roman"/>
                <w:sz w:val="24"/>
              </w:rPr>
              <w:t>公称直径范围：DN100-DN500</w:t>
            </w:r>
          </w:p>
        </w:tc>
        <w:tc>
          <w:tcPr>
            <w:tcW w:w="1094" w:type="dxa"/>
            <w:vAlign w:val="center"/>
          </w:tcPr>
          <w:p w14:paraId="10A5987C">
            <w:pPr>
              <w:spacing w:before="24" w:after="24" w:line="288" w:lineRule="auto"/>
              <w:jc w:val="center"/>
              <w:rPr>
                <w:rFonts w:ascii="Times New Roman" w:hAnsi="Times New Roman" w:cs="Times New Roman"/>
                <w:sz w:val="24"/>
              </w:rPr>
            </w:pPr>
          </w:p>
        </w:tc>
      </w:tr>
      <w:tr w14:paraId="63D30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562AFDB0">
            <w:pPr>
              <w:spacing w:before="24" w:after="24" w:line="288" w:lineRule="auto"/>
              <w:jc w:val="center"/>
              <w:rPr>
                <w:rFonts w:ascii="Times New Roman" w:hAnsi="Times New Roman" w:cs="Times New Roman"/>
                <w:sz w:val="24"/>
              </w:rPr>
            </w:pPr>
            <w:r>
              <w:rPr>
                <w:rFonts w:ascii="Times New Roman" w:hAnsi="Times New Roman" w:cs="Times New Roman"/>
                <w:sz w:val="24"/>
              </w:rPr>
              <w:t>2</w:t>
            </w:r>
          </w:p>
        </w:tc>
        <w:tc>
          <w:tcPr>
            <w:tcW w:w="1162" w:type="dxa"/>
            <w:vMerge w:val="continue"/>
            <w:vAlign w:val="center"/>
          </w:tcPr>
          <w:p w14:paraId="4A531AC2">
            <w:pPr>
              <w:spacing w:before="24" w:after="24" w:line="288" w:lineRule="auto"/>
              <w:jc w:val="center"/>
              <w:rPr>
                <w:rFonts w:ascii="Times New Roman" w:hAnsi="Times New Roman" w:cs="Times New Roman"/>
                <w:sz w:val="24"/>
              </w:rPr>
            </w:pPr>
          </w:p>
        </w:tc>
        <w:tc>
          <w:tcPr>
            <w:tcW w:w="1982" w:type="dxa"/>
            <w:vAlign w:val="center"/>
          </w:tcPr>
          <w:p w14:paraId="71366BCD">
            <w:pPr>
              <w:spacing w:before="24" w:after="24" w:line="288" w:lineRule="auto"/>
              <w:jc w:val="center"/>
              <w:rPr>
                <w:rFonts w:ascii="Times New Roman" w:hAnsi="Times New Roman" w:cs="Times New Roman"/>
                <w:sz w:val="24"/>
              </w:rPr>
            </w:pPr>
            <w:r>
              <w:rPr>
                <w:rFonts w:ascii="Times New Roman" w:hAnsi="Times New Roman" w:cs="Times New Roman"/>
                <w:sz w:val="24"/>
              </w:rPr>
              <w:t>焊接钢管</w:t>
            </w:r>
          </w:p>
        </w:tc>
        <w:tc>
          <w:tcPr>
            <w:tcW w:w="4297" w:type="dxa"/>
            <w:vAlign w:val="center"/>
          </w:tcPr>
          <w:p w14:paraId="4FD283D1">
            <w:pPr>
              <w:spacing w:before="24" w:after="24" w:line="288" w:lineRule="auto"/>
              <w:jc w:val="left"/>
              <w:rPr>
                <w:rFonts w:ascii="Times New Roman" w:hAnsi="Times New Roman" w:cs="Times New Roman"/>
                <w:sz w:val="24"/>
              </w:rPr>
            </w:pPr>
            <w:r>
              <w:rPr>
                <w:rFonts w:ascii="Times New Roman" w:hAnsi="Times New Roman" w:cs="Times New Roman"/>
                <w:sz w:val="24"/>
              </w:rPr>
              <w:t>类型：低压流体输送用焊接钢管</w:t>
            </w:r>
          </w:p>
          <w:p w14:paraId="5A17DBF0">
            <w:pPr>
              <w:spacing w:before="24" w:after="24" w:line="288" w:lineRule="auto"/>
              <w:jc w:val="left"/>
              <w:rPr>
                <w:rFonts w:ascii="Times New Roman" w:hAnsi="Times New Roman" w:cs="Times New Roman"/>
                <w:sz w:val="24"/>
              </w:rPr>
            </w:pPr>
            <w:r>
              <w:rPr>
                <w:rFonts w:ascii="Times New Roman" w:hAnsi="Times New Roman" w:cs="Times New Roman"/>
                <w:sz w:val="24"/>
              </w:rPr>
              <w:t>材质：Q235B碳素结构钢</w:t>
            </w:r>
          </w:p>
          <w:p w14:paraId="605D7F6B">
            <w:pPr>
              <w:spacing w:before="24" w:after="24" w:line="288" w:lineRule="auto"/>
              <w:jc w:val="left"/>
              <w:rPr>
                <w:rFonts w:ascii="Times New Roman" w:hAnsi="Times New Roman" w:cs="Times New Roman"/>
                <w:sz w:val="24"/>
              </w:rPr>
            </w:pPr>
            <w:r>
              <w:rPr>
                <w:rFonts w:ascii="Times New Roman" w:hAnsi="Times New Roman" w:cs="Times New Roman"/>
                <w:sz w:val="24"/>
              </w:rPr>
              <w:t>连接方式：焊接</w:t>
            </w:r>
          </w:p>
          <w:p w14:paraId="7DEE2806">
            <w:pPr>
              <w:spacing w:before="24" w:after="24" w:line="288" w:lineRule="auto"/>
              <w:jc w:val="left"/>
              <w:rPr>
                <w:rFonts w:ascii="Times New Roman" w:hAnsi="Times New Roman" w:cs="Times New Roman"/>
                <w:sz w:val="24"/>
              </w:rPr>
            </w:pPr>
            <w:r>
              <w:rPr>
                <w:rFonts w:ascii="Times New Roman" w:hAnsi="Times New Roman" w:cs="Times New Roman"/>
                <w:sz w:val="24"/>
              </w:rPr>
              <w:t>公称压力等级：1.6MPa</w:t>
            </w:r>
          </w:p>
          <w:p w14:paraId="34826D8F">
            <w:pPr>
              <w:spacing w:before="24" w:after="24" w:line="288" w:lineRule="auto"/>
              <w:jc w:val="left"/>
              <w:rPr>
                <w:rFonts w:ascii="Times New Roman" w:hAnsi="Times New Roman" w:cs="Times New Roman"/>
                <w:sz w:val="24"/>
              </w:rPr>
            </w:pPr>
            <w:r>
              <w:rPr>
                <w:rFonts w:ascii="Times New Roman" w:hAnsi="Times New Roman" w:cs="Times New Roman"/>
                <w:sz w:val="24"/>
              </w:rPr>
              <w:t>公称直径范围：DN15-DN200</w:t>
            </w:r>
          </w:p>
        </w:tc>
        <w:tc>
          <w:tcPr>
            <w:tcW w:w="1094" w:type="dxa"/>
            <w:vAlign w:val="center"/>
          </w:tcPr>
          <w:p w14:paraId="0AB1D8B3">
            <w:pPr>
              <w:spacing w:before="24" w:after="24" w:line="288" w:lineRule="auto"/>
              <w:jc w:val="center"/>
              <w:rPr>
                <w:rFonts w:ascii="Times New Roman" w:hAnsi="Times New Roman" w:cs="Times New Roman"/>
                <w:sz w:val="24"/>
              </w:rPr>
            </w:pPr>
            <w:r>
              <w:rPr>
                <w:rFonts w:ascii="Times New Roman" w:hAnsi="Times New Roman" w:cs="Times New Roman"/>
                <w:sz w:val="24"/>
              </w:rPr>
              <w:t>适用于过河等特殊管段</w:t>
            </w:r>
          </w:p>
        </w:tc>
      </w:tr>
      <w:tr w14:paraId="426E3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31748149">
            <w:pPr>
              <w:spacing w:before="24" w:after="24" w:line="288" w:lineRule="auto"/>
              <w:jc w:val="center"/>
              <w:rPr>
                <w:rFonts w:ascii="Times New Roman" w:hAnsi="Times New Roman" w:cs="Times New Roman"/>
                <w:sz w:val="24"/>
              </w:rPr>
            </w:pPr>
            <w:r>
              <w:rPr>
                <w:rFonts w:ascii="Times New Roman" w:hAnsi="Times New Roman" w:cs="Times New Roman"/>
                <w:sz w:val="24"/>
              </w:rPr>
              <w:t>3</w:t>
            </w:r>
          </w:p>
        </w:tc>
        <w:tc>
          <w:tcPr>
            <w:tcW w:w="1162" w:type="dxa"/>
            <w:vMerge w:val="continue"/>
            <w:vAlign w:val="center"/>
          </w:tcPr>
          <w:p w14:paraId="5D9099A5">
            <w:pPr>
              <w:spacing w:before="24" w:after="24" w:line="288" w:lineRule="auto"/>
              <w:jc w:val="center"/>
              <w:rPr>
                <w:rFonts w:ascii="Times New Roman" w:hAnsi="Times New Roman" w:cs="Times New Roman"/>
                <w:sz w:val="24"/>
              </w:rPr>
            </w:pPr>
          </w:p>
        </w:tc>
        <w:tc>
          <w:tcPr>
            <w:tcW w:w="1982" w:type="dxa"/>
            <w:vAlign w:val="center"/>
          </w:tcPr>
          <w:p w14:paraId="0F633DC3">
            <w:pPr>
              <w:spacing w:before="24" w:after="24" w:line="288" w:lineRule="auto"/>
              <w:jc w:val="center"/>
              <w:rPr>
                <w:rFonts w:ascii="Times New Roman" w:hAnsi="Times New Roman" w:cs="Times New Roman"/>
                <w:sz w:val="24"/>
              </w:rPr>
            </w:pPr>
            <w:r>
              <w:rPr>
                <w:rFonts w:ascii="Times New Roman" w:hAnsi="Times New Roman" w:cs="Times New Roman"/>
                <w:sz w:val="24"/>
              </w:rPr>
              <w:t>螺旋焊管</w:t>
            </w:r>
          </w:p>
        </w:tc>
        <w:tc>
          <w:tcPr>
            <w:tcW w:w="4297" w:type="dxa"/>
            <w:vAlign w:val="center"/>
          </w:tcPr>
          <w:p w14:paraId="6D452E1D">
            <w:pPr>
              <w:spacing w:before="24" w:after="24" w:line="288" w:lineRule="auto"/>
              <w:jc w:val="left"/>
              <w:rPr>
                <w:rFonts w:ascii="Times New Roman" w:hAnsi="Times New Roman" w:cs="Times New Roman"/>
                <w:sz w:val="24"/>
              </w:rPr>
            </w:pPr>
            <w:r>
              <w:rPr>
                <w:rFonts w:ascii="Times New Roman" w:hAnsi="Times New Roman" w:cs="Times New Roman"/>
                <w:sz w:val="24"/>
              </w:rPr>
              <w:t>类型：普通流体输送螺旋焊管</w:t>
            </w:r>
          </w:p>
          <w:p w14:paraId="12070B4B">
            <w:pPr>
              <w:spacing w:before="24" w:after="24" w:line="288" w:lineRule="auto"/>
              <w:jc w:val="left"/>
              <w:rPr>
                <w:rFonts w:ascii="Times New Roman" w:hAnsi="Times New Roman" w:cs="Times New Roman"/>
                <w:sz w:val="24"/>
              </w:rPr>
            </w:pPr>
            <w:r>
              <w:rPr>
                <w:rFonts w:ascii="Times New Roman" w:hAnsi="Times New Roman" w:cs="Times New Roman"/>
                <w:sz w:val="24"/>
              </w:rPr>
              <w:t>材质：Q235B碳素结构钢</w:t>
            </w:r>
          </w:p>
          <w:p w14:paraId="3349005B">
            <w:pPr>
              <w:spacing w:before="24" w:after="24" w:line="288" w:lineRule="auto"/>
              <w:jc w:val="left"/>
              <w:rPr>
                <w:rFonts w:ascii="Times New Roman" w:hAnsi="Times New Roman" w:cs="Times New Roman"/>
                <w:sz w:val="24"/>
              </w:rPr>
            </w:pPr>
            <w:r>
              <w:rPr>
                <w:rFonts w:ascii="Times New Roman" w:hAnsi="Times New Roman" w:cs="Times New Roman"/>
                <w:sz w:val="24"/>
              </w:rPr>
              <w:t>连接方式：焊接</w:t>
            </w:r>
          </w:p>
          <w:p w14:paraId="129F812C">
            <w:pPr>
              <w:spacing w:before="24" w:after="24" w:line="288" w:lineRule="auto"/>
              <w:jc w:val="left"/>
              <w:rPr>
                <w:rFonts w:ascii="Times New Roman" w:hAnsi="Times New Roman" w:cs="Times New Roman"/>
                <w:sz w:val="24"/>
              </w:rPr>
            </w:pPr>
            <w:r>
              <w:rPr>
                <w:rFonts w:ascii="Times New Roman" w:hAnsi="Times New Roman" w:cs="Times New Roman"/>
                <w:sz w:val="24"/>
              </w:rPr>
              <w:t>公称压力等级：1.6MPa</w:t>
            </w:r>
          </w:p>
          <w:p w14:paraId="0C2B2DDC">
            <w:pPr>
              <w:spacing w:before="24" w:after="24" w:line="288" w:lineRule="auto"/>
              <w:jc w:val="left"/>
              <w:rPr>
                <w:rFonts w:ascii="Times New Roman" w:hAnsi="Times New Roman" w:cs="Times New Roman"/>
                <w:sz w:val="24"/>
              </w:rPr>
            </w:pPr>
            <w:r>
              <w:rPr>
                <w:rFonts w:ascii="Times New Roman" w:hAnsi="Times New Roman" w:cs="Times New Roman"/>
                <w:sz w:val="24"/>
              </w:rPr>
              <w:t>公称直径范围：DN200-DN3600</w:t>
            </w:r>
          </w:p>
        </w:tc>
        <w:tc>
          <w:tcPr>
            <w:tcW w:w="1094" w:type="dxa"/>
            <w:vAlign w:val="center"/>
          </w:tcPr>
          <w:p w14:paraId="6F8AFF3A">
            <w:pPr>
              <w:spacing w:before="24" w:after="24" w:line="288" w:lineRule="auto"/>
              <w:jc w:val="center"/>
              <w:rPr>
                <w:rFonts w:ascii="Times New Roman" w:hAnsi="Times New Roman" w:cs="Times New Roman"/>
                <w:sz w:val="24"/>
              </w:rPr>
            </w:pPr>
            <w:r>
              <w:rPr>
                <w:rFonts w:ascii="Times New Roman" w:hAnsi="Times New Roman" w:cs="Times New Roman"/>
                <w:sz w:val="24"/>
              </w:rPr>
              <w:t>适用于过河等特殊管段</w:t>
            </w:r>
          </w:p>
        </w:tc>
      </w:tr>
      <w:tr w14:paraId="04C9F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1959C495">
            <w:pPr>
              <w:spacing w:before="24" w:after="24" w:line="288" w:lineRule="auto"/>
              <w:jc w:val="center"/>
              <w:rPr>
                <w:rFonts w:ascii="Times New Roman" w:hAnsi="Times New Roman" w:cs="Times New Roman"/>
                <w:sz w:val="24"/>
              </w:rPr>
            </w:pPr>
            <w:r>
              <w:rPr>
                <w:rFonts w:ascii="Times New Roman" w:hAnsi="Times New Roman" w:cs="Times New Roman"/>
                <w:sz w:val="24"/>
              </w:rPr>
              <w:t>4</w:t>
            </w:r>
          </w:p>
        </w:tc>
        <w:tc>
          <w:tcPr>
            <w:tcW w:w="1162" w:type="dxa"/>
            <w:vMerge w:val="continue"/>
            <w:vAlign w:val="center"/>
          </w:tcPr>
          <w:p w14:paraId="23D74379">
            <w:pPr>
              <w:spacing w:before="24" w:after="24" w:line="288" w:lineRule="auto"/>
              <w:jc w:val="center"/>
              <w:rPr>
                <w:rFonts w:ascii="Times New Roman" w:hAnsi="Times New Roman" w:cs="Times New Roman"/>
                <w:sz w:val="24"/>
              </w:rPr>
            </w:pPr>
          </w:p>
        </w:tc>
        <w:tc>
          <w:tcPr>
            <w:tcW w:w="1982" w:type="dxa"/>
            <w:vAlign w:val="center"/>
          </w:tcPr>
          <w:p w14:paraId="14444D67">
            <w:pPr>
              <w:spacing w:before="24" w:after="24" w:line="288" w:lineRule="auto"/>
              <w:jc w:val="center"/>
              <w:rPr>
                <w:rFonts w:ascii="Times New Roman" w:hAnsi="Times New Roman" w:cs="Times New Roman"/>
                <w:sz w:val="24"/>
              </w:rPr>
            </w:pPr>
            <w:r>
              <w:rPr>
                <w:rFonts w:ascii="Times New Roman" w:hAnsi="Times New Roman" w:cs="Times New Roman"/>
                <w:sz w:val="24"/>
              </w:rPr>
              <w:t>闸阀</w:t>
            </w:r>
          </w:p>
        </w:tc>
        <w:tc>
          <w:tcPr>
            <w:tcW w:w="4297" w:type="dxa"/>
            <w:vAlign w:val="center"/>
          </w:tcPr>
          <w:p w14:paraId="1B5A3718">
            <w:pPr>
              <w:spacing w:before="24" w:after="24" w:line="288" w:lineRule="auto"/>
              <w:jc w:val="left"/>
              <w:rPr>
                <w:rFonts w:ascii="Times New Roman" w:hAnsi="Times New Roman" w:cs="Times New Roman"/>
                <w:sz w:val="24"/>
              </w:rPr>
            </w:pPr>
            <w:r>
              <w:rPr>
                <w:rFonts w:ascii="Times New Roman" w:hAnsi="Times New Roman" w:cs="Times New Roman"/>
                <w:sz w:val="24"/>
              </w:rPr>
              <w:t>类型：软密封暗杆闸阀</w:t>
            </w:r>
          </w:p>
          <w:p w14:paraId="6F0062EA">
            <w:pPr>
              <w:spacing w:before="24" w:after="24" w:line="288" w:lineRule="auto"/>
              <w:jc w:val="left"/>
              <w:rPr>
                <w:rFonts w:ascii="Times New Roman" w:hAnsi="Times New Roman" w:cs="Times New Roman"/>
                <w:sz w:val="24"/>
              </w:rPr>
            </w:pPr>
            <w:r>
              <w:rPr>
                <w:rFonts w:ascii="Times New Roman" w:hAnsi="Times New Roman" w:cs="Times New Roman"/>
                <w:sz w:val="24"/>
              </w:rPr>
              <w:t>阀体材质：球墨铸铁（QT450-10）</w:t>
            </w:r>
          </w:p>
          <w:p w14:paraId="7CDFAAFB">
            <w:pPr>
              <w:spacing w:before="24" w:after="24" w:line="288" w:lineRule="auto"/>
              <w:jc w:val="left"/>
              <w:rPr>
                <w:rFonts w:ascii="Times New Roman" w:hAnsi="Times New Roman" w:cs="Times New Roman"/>
                <w:sz w:val="24"/>
              </w:rPr>
            </w:pPr>
            <w:r>
              <w:rPr>
                <w:rFonts w:ascii="Times New Roman" w:hAnsi="Times New Roman" w:cs="Times New Roman"/>
                <w:sz w:val="24"/>
              </w:rPr>
              <w:t>连接方式：法兰连接</w:t>
            </w:r>
          </w:p>
          <w:p w14:paraId="2BAF68AE">
            <w:pPr>
              <w:spacing w:before="24" w:after="24" w:line="288" w:lineRule="auto"/>
              <w:jc w:val="left"/>
              <w:rPr>
                <w:rFonts w:ascii="Times New Roman" w:hAnsi="Times New Roman" w:cs="Times New Roman"/>
                <w:sz w:val="24"/>
              </w:rPr>
            </w:pPr>
            <w:r>
              <w:rPr>
                <w:rFonts w:ascii="Times New Roman" w:hAnsi="Times New Roman" w:cs="Times New Roman"/>
                <w:sz w:val="24"/>
              </w:rPr>
              <w:t>密封材料：食品级EPDM（三元乙丙橡胶）</w:t>
            </w:r>
          </w:p>
          <w:p w14:paraId="034F9AAE">
            <w:pPr>
              <w:spacing w:before="24" w:after="24" w:line="288" w:lineRule="auto"/>
              <w:jc w:val="left"/>
              <w:rPr>
                <w:rFonts w:ascii="Times New Roman" w:hAnsi="Times New Roman" w:cs="Times New Roman"/>
                <w:sz w:val="24"/>
              </w:rPr>
            </w:pPr>
            <w:r>
              <w:rPr>
                <w:rFonts w:ascii="Times New Roman" w:hAnsi="Times New Roman" w:cs="Times New Roman"/>
                <w:sz w:val="24"/>
              </w:rPr>
              <w:t>耐温范围：-40～120℃</w:t>
            </w:r>
          </w:p>
          <w:p w14:paraId="1FEDB2EB">
            <w:pPr>
              <w:spacing w:before="24" w:after="24" w:line="288" w:lineRule="auto"/>
              <w:jc w:val="left"/>
              <w:rPr>
                <w:rFonts w:ascii="Times New Roman" w:hAnsi="Times New Roman" w:cs="Times New Roman"/>
                <w:sz w:val="24"/>
              </w:rPr>
            </w:pPr>
            <w:r>
              <w:rPr>
                <w:rFonts w:ascii="Times New Roman" w:hAnsi="Times New Roman" w:cs="Times New Roman"/>
                <w:sz w:val="24"/>
              </w:rPr>
              <w:t>公称压力等级：1.6MPa</w:t>
            </w:r>
          </w:p>
          <w:p w14:paraId="7CF5B391">
            <w:pPr>
              <w:spacing w:before="24" w:after="24" w:line="288" w:lineRule="auto"/>
              <w:jc w:val="left"/>
              <w:rPr>
                <w:rFonts w:ascii="Times New Roman" w:hAnsi="Times New Roman" w:cs="Times New Roman"/>
                <w:sz w:val="24"/>
              </w:rPr>
            </w:pPr>
            <w:r>
              <w:rPr>
                <w:rFonts w:ascii="Times New Roman" w:hAnsi="Times New Roman" w:cs="Times New Roman"/>
                <w:sz w:val="24"/>
              </w:rPr>
              <w:t>防腐：内外环氧喷涂（饮用水级）</w:t>
            </w:r>
          </w:p>
          <w:p w14:paraId="78F6BC7B">
            <w:pPr>
              <w:spacing w:before="24" w:after="24" w:line="288" w:lineRule="auto"/>
              <w:jc w:val="left"/>
              <w:rPr>
                <w:rFonts w:ascii="Times New Roman" w:hAnsi="Times New Roman" w:cs="Times New Roman"/>
                <w:sz w:val="24"/>
              </w:rPr>
            </w:pPr>
            <w:r>
              <w:rPr>
                <w:rFonts w:ascii="Times New Roman" w:hAnsi="Times New Roman" w:cs="Times New Roman"/>
                <w:sz w:val="24"/>
              </w:rPr>
              <w:t>公称直径范围：DN50～DN1200</w:t>
            </w:r>
          </w:p>
        </w:tc>
        <w:tc>
          <w:tcPr>
            <w:tcW w:w="1094" w:type="dxa"/>
            <w:vAlign w:val="center"/>
          </w:tcPr>
          <w:p w14:paraId="2CA9AFCC">
            <w:pPr>
              <w:spacing w:before="24" w:after="24" w:line="288" w:lineRule="auto"/>
              <w:jc w:val="center"/>
              <w:rPr>
                <w:rFonts w:ascii="Times New Roman" w:hAnsi="Times New Roman" w:cs="Times New Roman"/>
                <w:sz w:val="24"/>
              </w:rPr>
            </w:pPr>
          </w:p>
        </w:tc>
      </w:tr>
      <w:tr w14:paraId="5186D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53BC8828">
            <w:pPr>
              <w:spacing w:before="24" w:after="24" w:line="288" w:lineRule="auto"/>
              <w:jc w:val="center"/>
              <w:rPr>
                <w:rFonts w:ascii="Times New Roman" w:hAnsi="Times New Roman" w:cs="Times New Roman"/>
                <w:sz w:val="24"/>
              </w:rPr>
            </w:pPr>
            <w:r>
              <w:rPr>
                <w:rFonts w:ascii="Times New Roman" w:hAnsi="Times New Roman" w:cs="Times New Roman"/>
                <w:sz w:val="24"/>
              </w:rPr>
              <w:t>5</w:t>
            </w:r>
          </w:p>
        </w:tc>
        <w:tc>
          <w:tcPr>
            <w:tcW w:w="1162" w:type="dxa"/>
            <w:vMerge w:val="continue"/>
            <w:vAlign w:val="center"/>
          </w:tcPr>
          <w:p w14:paraId="02C045EB">
            <w:pPr>
              <w:spacing w:before="24" w:after="24" w:line="288" w:lineRule="auto"/>
              <w:jc w:val="center"/>
              <w:rPr>
                <w:rFonts w:ascii="Times New Roman" w:hAnsi="Times New Roman" w:cs="Times New Roman"/>
                <w:sz w:val="24"/>
              </w:rPr>
            </w:pPr>
          </w:p>
        </w:tc>
        <w:tc>
          <w:tcPr>
            <w:tcW w:w="1982" w:type="dxa"/>
            <w:vAlign w:val="center"/>
          </w:tcPr>
          <w:p w14:paraId="2547049E">
            <w:pPr>
              <w:spacing w:before="24" w:after="24" w:line="288" w:lineRule="auto"/>
              <w:jc w:val="center"/>
              <w:rPr>
                <w:rFonts w:ascii="Times New Roman" w:hAnsi="Times New Roman" w:cs="Times New Roman"/>
                <w:sz w:val="24"/>
              </w:rPr>
            </w:pPr>
            <w:r>
              <w:rPr>
                <w:rFonts w:ascii="Times New Roman" w:hAnsi="Times New Roman" w:cs="Times New Roman"/>
                <w:sz w:val="24"/>
              </w:rPr>
              <w:t>蝶阀</w:t>
            </w:r>
          </w:p>
        </w:tc>
        <w:tc>
          <w:tcPr>
            <w:tcW w:w="4297" w:type="dxa"/>
            <w:vAlign w:val="center"/>
          </w:tcPr>
          <w:p w14:paraId="3088D660">
            <w:pPr>
              <w:spacing w:before="24" w:after="24" w:line="288" w:lineRule="auto"/>
              <w:jc w:val="left"/>
              <w:rPr>
                <w:rFonts w:ascii="Times New Roman" w:hAnsi="Times New Roman" w:cs="Times New Roman"/>
                <w:sz w:val="24"/>
              </w:rPr>
            </w:pPr>
            <w:r>
              <w:rPr>
                <w:rFonts w:ascii="Times New Roman" w:hAnsi="Times New Roman" w:cs="Times New Roman"/>
                <w:sz w:val="24"/>
              </w:rPr>
              <w:t>类型：双偏心蝶阀</w:t>
            </w:r>
          </w:p>
          <w:p w14:paraId="0C94FB77">
            <w:pPr>
              <w:spacing w:before="24" w:after="24" w:line="288" w:lineRule="auto"/>
              <w:jc w:val="left"/>
              <w:rPr>
                <w:rFonts w:ascii="Times New Roman" w:hAnsi="Times New Roman" w:cs="Times New Roman"/>
                <w:sz w:val="24"/>
              </w:rPr>
            </w:pPr>
            <w:r>
              <w:rPr>
                <w:rFonts w:ascii="Times New Roman" w:hAnsi="Times New Roman" w:cs="Times New Roman"/>
                <w:sz w:val="24"/>
              </w:rPr>
              <w:t>阀体材质：球墨铸铁（QT450-10）</w:t>
            </w:r>
          </w:p>
          <w:p w14:paraId="4A7FCEDC">
            <w:pPr>
              <w:spacing w:before="24" w:after="24" w:line="288" w:lineRule="auto"/>
              <w:jc w:val="left"/>
              <w:rPr>
                <w:rFonts w:ascii="Times New Roman" w:hAnsi="Times New Roman" w:cs="Times New Roman"/>
                <w:sz w:val="24"/>
              </w:rPr>
            </w:pPr>
            <w:r>
              <w:rPr>
                <w:rFonts w:ascii="Times New Roman" w:hAnsi="Times New Roman" w:cs="Times New Roman"/>
                <w:sz w:val="24"/>
              </w:rPr>
              <w:t>连接方式：法兰连接</w:t>
            </w:r>
          </w:p>
          <w:p w14:paraId="242FA477">
            <w:pPr>
              <w:spacing w:before="24" w:after="24" w:line="288" w:lineRule="auto"/>
              <w:jc w:val="left"/>
              <w:rPr>
                <w:rFonts w:ascii="Times New Roman" w:hAnsi="Times New Roman" w:cs="Times New Roman"/>
                <w:sz w:val="24"/>
              </w:rPr>
            </w:pPr>
            <w:r>
              <w:rPr>
                <w:rFonts w:ascii="Times New Roman" w:hAnsi="Times New Roman" w:cs="Times New Roman"/>
                <w:sz w:val="24"/>
              </w:rPr>
              <w:t>密封材料：食品级EPDM（三元乙丙橡胶）</w:t>
            </w:r>
          </w:p>
          <w:p w14:paraId="52C53B34">
            <w:pPr>
              <w:spacing w:before="24" w:after="24" w:line="288" w:lineRule="auto"/>
              <w:jc w:val="left"/>
              <w:rPr>
                <w:rFonts w:ascii="Times New Roman" w:hAnsi="Times New Roman" w:cs="Times New Roman"/>
                <w:sz w:val="24"/>
              </w:rPr>
            </w:pPr>
            <w:r>
              <w:rPr>
                <w:rFonts w:ascii="Times New Roman" w:hAnsi="Times New Roman" w:cs="Times New Roman"/>
                <w:sz w:val="24"/>
              </w:rPr>
              <w:t>耐温范围：-40～120℃</w:t>
            </w:r>
          </w:p>
          <w:p w14:paraId="737D08CA">
            <w:pPr>
              <w:spacing w:before="24" w:after="24" w:line="288" w:lineRule="auto"/>
              <w:jc w:val="left"/>
              <w:rPr>
                <w:rFonts w:ascii="Times New Roman" w:hAnsi="Times New Roman" w:cs="Times New Roman"/>
                <w:sz w:val="24"/>
              </w:rPr>
            </w:pPr>
            <w:r>
              <w:rPr>
                <w:rFonts w:ascii="Times New Roman" w:hAnsi="Times New Roman" w:cs="Times New Roman"/>
                <w:sz w:val="24"/>
              </w:rPr>
              <w:t>公称压力等级：1.6MPa</w:t>
            </w:r>
          </w:p>
          <w:p w14:paraId="1EC7117D">
            <w:pPr>
              <w:spacing w:before="24" w:after="24" w:line="288" w:lineRule="auto"/>
              <w:jc w:val="left"/>
              <w:rPr>
                <w:rFonts w:ascii="Times New Roman" w:hAnsi="Times New Roman" w:cs="Times New Roman"/>
                <w:sz w:val="24"/>
              </w:rPr>
            </w:pPr>
            <w:r>
              <w:rPr>
                <w:rFonts w:ascii="Times New Roman" w:hAnsi="Times New Roman" w:cs="Times New Roman"/>
                <w:sz w:val="24"/>
              </w:rPr>
              <w:t>防腐：内外环氧喷涂（饮用水级）</w:t>
            </w:r>
          </w:p>
          <w:p w14:paraId="55F6B5A9">
            <w:pPr>
              <w:spacing w:before="24" w:after="24" w:line="288" w:lineRule="auto"/>
              <w:jc w:val="left"/>
              <w:rPr>
                <w:rFonts w:ascii="Times New Roman" w:hAnsi="Times New Roman" w:cs="Times New Roman"/>
                <w:sz w:val="24"/>
              </w:rPr>
            </w:pPr>
            <w:r>
              <w:rPr>
                <w:rFonts w:ascii="Times New Roman" w:hAnsi="Times New Roman" w:cs="Times New Roman"/>
                <w:sz w:val="24"/>
              </w:rPr>
              <w:t>公称直径范围：DN100～DN1200</w:t>
            </w:r>
          </w:p>
        </w:tc>
        <w:tc>
          <w:tcPr>
            <w:tcW w:w="1094" w:type="dxa"/>
            <w:vAlign w:val="center"/>
          </w:tcPr>
          <w:p w14:paraId="74A3F8A5">
            <w:pPr>
              <w:spacing w:before="24" w:after="24" w:line="288" w:lineRule="auto"/>
              <w:jc w:val="center"/>
              <w:rPr>
                <w:rFonts w:ascii="Times New Roman" w:hAnsi="Times New Roman" w:cs="Times New Roman"/>
                <w:sz w:val="24"/>
              </w:rPr>
            </w:pPr>
          </w:p>
        </w:tc>
      </w:tr>
      <w:tr w14:paraId="11392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3C6C64DC">
            <w:pPr>
              <w:spacing w:before="24" w:after="24" w:line="288" w:lineRule="auto"/>
              <w:jc w:val="center"/>
              <w:rPr>
                <w:rFonts w:ascii="Times New Roman" w:hAnsi="Times New Roman" w:cs="Times New Roman"/>
                <w:sz w:val="24"/>
              </w:rPr>
            </w:pPr>
            <w:r>
              <w:rPr>
                <w:rFonts w:ascii="Times New Roman" w:hAnsi="Times New Roman" w:cs="Times New Roman"/>
                <w:sz w:val="24"/>
              </w:rPr>
              <w:t>6</w:t>
            </w:r>
          </w:p>
        </w:tc>
        <w:tc>
          <w:tcPr>
            <w:tcW w:w="1162" w:type="dxa"/>
            <w:vMerge w:val="continue"/>
            <w:vAlign w:val="center"/>
          </w:tcPr>
          <w:p w14:paraId="25662ED4">
            <w:pPr>
              <w:spacing w:before="24" w:after="24" w:line="288" w:lineRule="auto"/>
              <w:jc w:val="center"/>
              <w:rPr>
                <w:rFonts w:ascii="Times New Roman" w:hAnsi="Times New Roman" w:cs="Times New Roman"/>
                <w:sz w:val="24"/>
              </w:rPr>
            </w:pPr>
          </w:p>
        </w:tc>
        <w:tc>
          <w:tcPr>
            <w:tcW w:w="1982" w:type="dxa"/>
            <w:vAlign w:val="center"/>
          </w:tcPr>
          <w:p w14:paraId="5C1F4BDD">
            <w:pPr>
              <w:spacing w:before="24" w:after="24" w:line="288" w:lineRule="auto"/>
              <w:jc w:val="center"/>
              <w:rPr>
                <w:rFonts w:ascii="Times New Roman" w:hAnsi="Times New Roman" w:cs="Times New Roman"/>
                <w:sz w:val="24"/>
              </w:rPr>
            </w:pPr>
            <w:r>
              <w:rPr>
                <w:rFonts w:ascii="Times New Roman" w:hAnsi="Times New Roman" w:cs="Times New Roman"/>
                <w:sz w:val="24"/>
              </w:rPr>
              <w:t>蝶阀伸缩节</w:t>
            </w:r>
          </w:p>
        </w:tc>
        <w:tc>
          <w:tcPr>
            <w:tcW w:w="4297" w:type="dxa"/>
            <w:vAlign w:val="center"/>
          </w:tcPr>
          <w:p w14:paraId="37AE36C0">
            <w:pPr>
              <w:spacing w:before="24" w:after="24" w:line="288" w:lineRule="auto"/>
              <w:jc w:val="left"/>
              <w:rPr>
                <w:rFonts w:ascii="Times New Roman" w:hAnsi="Times New Roman" w:cs="Times New Roman"/>
                <w:sz w:val="24"/>
              </w:rPr>
            </w:pPr>
            <w:r>
              <w:rPr>
                <w:rFonts w:ascii="Times New Roman" w:hAnsi="Times New Roman" w:cs="Times New Roman"/>
                <w:sz w:val="24"/>
              </w:rPr>
              <w:t>类型：双法兰限位伸缩接头</w:t>
            </w:r>
          </w:p>
          <w:p w14:paraId="317738F2">
            <w:pPr>
              <w:spacing w:before="24" w:after="24" w:line="288" w:lineRule="auto"/>
              <w:jc w:val="left"/>
              <w:rPr>
                <w:rFonts w:ascii="Times New Roman" w:hAnsi="Times New Roman" w:cs="Times New Roman"/>
                <w:sz w:val="24"/>
              </w:rPr>
            </w:pPr>
            <w:r>
              <w:rPr>
                <w:rFonts w:ascii="Times New Roman" w:hAnsi="Times New Roman" w:cs="Times New Roman"/>
                <w:sz w:val="24"/>
              </w:rPr>
              <w:t>筒体材质：球墨铸铁（QT450-10）</w:t>
            </w:r>
          </w:p>
          <w:p w14:paraId="45D0638C">
            <w:pPr>
              <w:spacing w:before="24" w:after="24" w:line="288" w:lineRule="auto"/>
              <w:jc w:val="left"/>
              <w:rPr>
                <w:rFonts w:ascii="Times New Roman" w:hAnsi="Times New Roman" w:cs="Times New Roman"/>
                <w:sz w:val="24"/>
              </w:rPr>
            </w:pPr>
            <w:r>
              <w:rPr>
                <w:rFonts w:ascii="Times New Roman" w:hAnsi="Times New Roman" w:cs="Times New Roman"/>
                <w:sz w:val="24"/>
              </w:rPr>
              <w:t>连接方式：法兰连接</w:t>
            </w:r>
          </w:p>
          <w:p w14:paraId="6687BE36">
            <w:pPr>
              <w:spacing w:before="24" w:after="24" w:line="288" w:lineRule="auto"/>
              <w:jc w:val="left"/>
              <w:rPr>
                <w:rFonts w:ascii="Times New Roman" w:hAnsi="Times New Roman" w:cs="Times New Roman"/>
                <w:sz w:val="24"/>
              </w:rPr>
            </w:pPr>
            <w:r>
              <w:rPr>
                <w:rFonts w:ascii="Times New Roman" w:hAnsi="Times New Roman" w:cs="Times New Roman"/>
                <w:sz w:val="24"/>
              </w:rPr>
              <w:t>密封材料：食品级EPDM（三元乙丙橡胶）</w:t>
            </w:r>
          </w:p>
          <w:p w14:paraId="0098FAFB">
            <w:pPr>
              <w:spacing w:before="24" w:after="24" w:line="288" w:lineRule="auto"/>
              <w:jc w:val="left"/>
              <w:rPr>
                <w:rFonts w:ascii="Times New Roman" w:hAnsi="Times New Roman" w:cs="Times New Roman"/>
                <w:sz w:val="24"/>
              </w:rPr>
            </w:pPr>
            <w:r>
              <w:rPr>
                <w:rFonts w:ascii="Times New Roman" w:hAnsi="Times New Roman" w:cs="Times New Roman"/>
                <w:sz w:val="24"/>
              </w:rPr>
              <w:t>耐温范围：-40～120℃</w:t>
            </w:r>
          </w:p>
          <w:p w14:paraId="07E12F1A">
            <w:pPr>
              <w:spacing w:before="24" w:after="24" w:line="288" w:lineRule="auto"/>
              <w:jc w:val="left"/>
              <w:rPr>
                <w:rFonts w:ascii="Times New Roman" w:hAnsi="Times New Roman" w:cs="Times New Roman"/>
                <w:sz w:val="24"/>
              </w:rPr>
            </w:pPr>
            <w:r>
              <w:rPr>
                <w:rFonts w:ascii="Times New Roman" w:hAnsi="Times New Roman" w:cs="Times New Roman"/>
                <w:sz w:val="24"/>
              </w:rPr>
              <w:t>公称压力等级：1.6MPa</w:t>
            </w:r>
          </w:p>
          <w:p w14:paraId="64D8A999">
            <w:pPr>
              <w:spacing w:before="24" w:after="24" w:line="288" w:lineRule="auto"/>
              <w:jc w:val="left"/>
              <w:rPr>
                <w:rFonts w:ascii="Times New Roman" w:hAnsi="Times New Roman" w:cs="Times New Roman"/>
                <w:sz w:val="24"/>
              </w:rPr>
            </w:pPr>
            <w:r>
              <w:rPr>
                <w:rFonts w:ascii="Times New Roman" w:hAnsi="Times New Roman" w:cs="Times New Roman"/>
                <w:sz w:val="24"/>
              </w:rPr>
              <w:t>防腐：内外环氧喷涂（饮用水级）</w:t>
            </w:r>
          </w:p>
          <w:p w14:paraId="66EF3DEA">
            <w:pPr>
              <w:spacing w:before="24" w:after="24" w:line="288" w:lineRule="auto"/>
              <w:jc w:val="left"/>
              <w:rPr>
                <w:rFonts w:ascii="Times New Roman" w:hAnsi="Times New Roman" w:cs="Times New Roman"/>
                <w:sz w:val="24"/>
              </w:rPr>
            </w:pPr>
            <w:r>
              <w:rPr>
                <w:rFonts w:ascii="Times New Roman" w:hAnsi="Times New Roman" w:cs="Times New Roman"/>
                <w:sz w:val="24"/>
              </w:rPr>
              <w:t>公称直径范围：DN50～DN1200</w:t>
            </w:r>
          </w:p>
        </w:tc>
        <w:tc>
          <w:tcPr>
            <w:tcW w:w="1094" w:type="dxa"/>
            <w:vAlign w:val="center"/>
          </w:tcPr>
          <w:p w14:paraId="03272EC0">
            <w:pPr>
              <w:spacing w:before="24" w:after="24" w:line="288" w:lineRule="auto"/>
              <w:jc w:val="center"/>
              <w:rPr>
                <w:rFonts w:ascii="Times New Roman" w:hAnsi="Times New Roman" w:cs="Times New Roman"/>
                <w:sz w:val="24"/>
              </w:rPr>
            </w:pPr>
          </w:p>
        </w:tc>
      </w:tr>
      <w:tr w14:paraId="5E439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59CFD600">
            <w:pPr>
              <w:spacing w:before="24" w:after="24" w:line="288" w:lineRule="auto"/>
              <w:jc w:val="center"/>
              <w:rPr>
                <w:rFonts w:ascii="Times New Roman" w:hAnsi="Times New Roman" w:cs="Times New Roman"/>
                <w:sz w:val="24"/>
              </w:rPr>
            </w:pPr>
            <w:r>
              <w:rPr>
                <w:rFonts w:ascii="Times New Roman" w:hAnsi="Times New Roman" w:cs="Times New Roman"/>
                <w:sz w:val="24"/>
              </w:rPr>
              <w:t>7</w:t>
            </w:r>
          </w:p>
        </w:tc>
        <w:tc>
          <w:tcPr>
            <w:tcW w:w="1162" w:type="dxa"/>
            <w:vMerge w:val="continue"/>
            <w:vAlign w:val="center"/>
          </w:tcPr>
          <w:p w14:paraId="1551B6A3">
            <w:pPr>
              <w:spacing w:before="24" w:after="24" w:line="288" w:lineRule="auto"/>
              <w:jc w:val="center"/>
              <w:rPr>
                <w:rFonts w:ascii="Times New Roman" w:hAnsi="Times New Roman" w:cs="Times New Roman"/>
                <w:sz w:val="24"/>
              </w:rPr>
            </w:pPr>
          </w:p>
        </w:tc>
        <w:tc>
          <w:tcPr>
            <w:tcW w:w="1982" w:type="dxa"/>
            <w:vAlign w:val="center"/>
          </w:tcPr>
          <w:p w14:paraId="7AD84F9F">
            <w:pPr>
              <w:spacing w:before="24" w:after="24" w:line="288" w:lineRule="auto"/>
              <w:jc w:val="center"/>
              <w:rPr>
                <w:rFonts w:ascii="Times New Roman" w:hAnsi="Times New Roman" w:cs="Times New Roman"/>
                <w:sz w:val="24"/>
              </w:rPr>
            </w:pPr>
            <w:r>
              <w:rPr>
                <w:rFonts w:ascii="Times New Roman" w:hAnsi="Times New Roman" w:cs="Times New Roman"/>
                <w:sz w:val="24"/>
              </w:rPr>
              <w:t>减压阀</w:t>
            </w:r>
          </w:p>
        </w:tc>
        <w:tc>
          <w:tcPr>
            <w:tcW w:w="4297" w:type="dxa"/>
            <w:vAlign w:val="center"/>
          </w:tcPr>
          <w:p w14:paraId="577380BE">
            <w:pPr>
              <w:spacing w:before="24" w:after="24" w:line="288" w:lineRule="auto"/>
              <w:jc w:val="left"/>
              <w:rPr>
                <w:rFonts w:ascii="Times New Roman" w:hAnsi="Times New Roman" w:cs="Times New Roman"/>
                <w:sz w:val="24"/>
              </w:rPr>
            </w:pPr>
            <w:r>
              <w:rPr>
                <w:rFonts w:ascii="Times New Roman" w:hAnsi="Times New Roman" w:cs="Times New Roman"/>
                <w:sz w:val="24"/>
              </w:rPr>
              <w:t>类型：先导式减压阀</w:t>
            </w:r>
          </w:p>
          <w:p w14:paraId="051EEE24">
            <w:pPr>
              <w:spacing w:before="24" w:after="24" w:line="288" w:lineRule="auto"/>
              <w:jc w:val="left"/>
              <w:rPr>
                <w:rFonts w:ascii="Times New Roman" w:hAnsi="Times New Roman" w:cs="Times New Roman"/>
                <w:sz w:val="24"/>
              </w:rPr>
            </w:pPr>
            <w:r>
              <w:rPr>
                <w:rFonts w:ascii="Times New Roman" w:hAnsi="Times New Roman" w:cs="Times New Roman"/>
                <w:sz w:val="24"/>
              </w:rPr>
              <w:t>阀体材质：球墨铸铁（QT450-10）</w:t>
            </w:r>
          </w:p>
          <w:p w14:paraId="0EA28AE3">
            <w:pPr>
              <w:spacing w:before="24" w:after="24" w:line="288" w:lineRule="auto"/>
              <w:jc w:val="left"/>
              <w:rPr>
                <w:rFonts w:ascii="Times New Roman" w:hAnsi="Times New Roman" w:cs="Times New Roman"/>
                <w:sz w:val="24"/>
              </w:rPr>
            </w:pPr>
            <w:r>
              <w:rPr>
                <w:rFonts w:ascii="Times New Roman" w:hAnsi="Times New Roman" w:cs="Times New Roman"/>
                <w:sz w:val="24"/>
              </w:rPr>
              <w:t>连接方式：法兰连接</w:t>
            </w:r>
          </w:p>
          <w:p w14:paraId="0CB6D599">
            <w:pPr>
              <w:spacing w:before="24" w:after="24" w:line="288" w:lineRule="auto"/>
              <w:jc w:val="left"/>
              <w:rPr>
                <w:rFonts w:ascii="Times New Roman" w:hAnsi="Times New Roman" w:cs="Times New Roman"/>
                <w:sz w:val="24"/>
              </w:rPr>
            </w:pPr>
            <w:r>
              <w:rPr>
                <w:rFonts w:ascii="Times New Roman" w:hAnsi="Times New Roman" w:cs="Times New Roman"/>
                <w:sz w:val="24"/>
              </w:rPr>
              <w:t>密封材料：食品级EPDM（三元乙丙橡胶）</w:t>
            </w:r>
          </w:p>
          <w:p w14:paraId="5D2D0BB9">
            <w:pPr>
              <w:spacing w:before="24" w:after="24" w:line="288" w:lineRule="auto"/>
              <w:jc w:val="left"/>
              <w:rPr>
                <w:rFonts w:ascii="Times New Roman" w:hAnsi="Times New Roman" w:cs="Times New Roman"/>
                <w:sz w:val="24"/>
              </w:rPr>
            </w:pPr>
            <w:r>
              <w:rPr>
                <w:rFonts w:ascii="Times New Roman" w:hAnsi="Times New Roman" w:cs="Times New Roman"/>
                <w:sz w:val="24"/>
              </w:rPr>
              <w:t>耐温范围：-40～120℃</w:t>
            </w:r>
          </w:p>
          <w:p w14:paraId="24279A71">
            <w:pPr>
              <w:spacing w:before="24" w:after="24" w:line="288" w:lineRule="auto"/>
              <w:jc w:val="left"/>
              <w:rPr>
                <w:rFonts w:ascii="Times New Roman" w:hAnsi="Times New Roman" w:cs="Times New Roman"/>
                <w:sz w:val="24"/>
              </w:rPr>
            </w:pPr>
            <w:r>
              <w:rPr>
                <w:rFonts w:ascii="Times New Roman" w:hAnsi="Times New Roman" w:cs="Times New Roman"/>
                <w:sz w:val="24"/>
              </w:rPr>
              <w:t>公称压力等级：1.6MPa</w:t>
            </w:r>
          </w:p>
          <w:p w14:paraId="1E5C998D">
            <w:pPr>
              <w:spacing w:before="24" w:after="24" w:line="288" w:lineRule="auto"/>
              <w:jc w:val="left"/>
              <w:rPr>
                <w:rFonts w:ascii="Times New Roman" w:hAnsi="Times New Roman" w:cs="Times New Roman"/>
                <w:sz w:val="24"/>
              </w:rPr>
            </w:pPr>
            <w:r>
              <w:rPr>
                <w:rFonts w:ascii="Times New Roman" w:hAnsi="Times New Roman" w:cs="Times New Roman"/>
                <w:sz w:val="24"/>
              </w:rPr>
              <w:t>防腐：内外环氧喷涂（饮用水级）</w:t>
            </w:r>
          </w:p>
          <w:p w14:paraId="617B680C">
            <w:pPr>
              <w:spacing w:before="24" w:after="24" w:line="288" w:lineRule="auto"/>
              <w:jc w:val="left"/>
              <w:rPr>
                <w:rFonts w:ascii="Times New Roman" w:hAnsi="Times New Roman" w:cs="Times New Roman"/>
                <w:sz w:val="24"/>
              </w:rPr>
            </w:pPr>
            <w:r>
              <w:rPr>
                <w:rFonts w:ascii="Times New Roman" w:hAnsi="Times New Roman" w:cs="Times New Roman"/>
                <w:sz w:val="24"/>
              </w:rPr>
              <w:t>公称直径范围：DN50～DN600</w:t>
            </w:r>
          </w:p>
        </w:tc>
        <w:tc>
          <w:tcPr>
            <w:tcW w:w="1094" w:type="dxa"/>
            <w:vAlign w:val="center"/>
          </w:tcPr>
          <w:p w14:paraId="56538C8B">
            <w:pPr>
              <w:spacing w:before="24" w:after="24" w:line="288" w:lineRule="auto"/>
              <w:jc w:val="center"/>
              <w:rPr>
                <w:rFonts w:ascii="Times New Roman" w:hAnsi="Times New Roman" w:cs="Times New Roman"/>
                <w:sz w:val="24"/>
              </w:rPr>
            </w:pPr>
          </w:p>
        </w:tc>
      </w:tr>
      <w:tr w14:paraId="76722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62243FA2">
            <w:pPr>
              <w:spacing w:before="24" w:after="24" w:line="288" w:lineRule="auto"/>
              <w:jc w:val="center"/>
              <w:rPr>
                <w:rFonts w:ascii="Times New Roman" w:hAnsi="Times New Roman" w:cs="Times New Roman"/>
                <w:sz w:val="24"/>
              </w:rPr>
            </w:pPr>
            <w:r>
              <w:rPr>
                <w:rFonts w:ascii="Times New Roman" w:hAnsi="Times New Roman" w:cs="Times New Roman"/>
                <w:sz w:val="24"/>
              </w:rPr>
              <w:t>8</w:t>
            </w:r>
          </w:p>
        </w:tc>
        <w:tc>
          <w:tcPr>
            <w:tcW w:w="1162" w:type="dxa"/>
            <w:vMerge w:val="continue"/>
            <w:vAlign w:val="center"/>
          </w:tcPr>
          <w:p w14:paraId="23AA1CB8">
            <w:pPr>
              <w:spacing w:before="24" w:after="24" w:line="288" w:lineRule="auto"/>
              <w:jc w:val="center"/>
              <w:rPr>
                <w:rFonts w:ascii="Times New Roman" w:hAnsi="Times New Roman" w:cs="Times New Roman"/>
                <w:sz w:val="24"/>
              </w:rPr>
            </w:pPr>
          </w:p>
        </w:tc>
        <w:tc>
          <w:tcPr>
            <w:tcW w:w="1982" w:type="dxa"/>
            <w:vAlign w:val="center"/>
          </w:tcPr>
          <w:p w14:paraId="501C83C7">
            <w:pPr>
              <w:spacing w:before="24" w:after="24" w:line="288" w:lineRule="auto"/>
              <w:jc w:val="center"/>
              <w:rPr>
                <w:rFonts w:ascii="Times New Roman" w:hAnsi="Times New Roman" w:cs="Times New Roman"/>
                <w:sz w:val="24"/>
              </w:rPr>
            </w:pPr>
            <w:r>
              <w:rPr>
                <w:rFonts w:ascii="Times New Roman" w:hAnsi="Times New Roman" w:cs="Times New Roman"/>
                <w:sz w:val="24"/>
              </w:rPr>
              <w:t>市政消火栓</w:t>
            </w:r>
          </w:p>
        </w:tc>
        <w:tc>
          <w:tcPr>
            <w:tcW w:w="4297" w:type="dxa"/>
            <w:vAlign w:val="center"/>
          </w:tcPr>
          <w:p w14:paraId="70F84753">
            <w:pPr>
              <w:spacing w:before="24" w:after="24" w:line="288" w:lineRule="auto"/>
              <w:jc w:val="left"/>
              <w:rPr>
                <w:rFonts w:ascii="Times New Roman" w:hAnsi="Times New Roman" w:cs="Times New Roman"/>
                <w:sz w:val="24"/>
              </w:rPr>
            </w:pPr>
            <w:r>
              <w:rPr>
                <w:rFonts w:ascii="Times New Roman" w:hAnsi="Times New Roman" w:cs="Times New Roman"/>
                <w:sz w:val="24"/>
              </w:rPr>
              <w:t>类型：地上式消火栓</w:t>
            </w:r>
          </w:p>
          <w:p w14:paraId="7FD539C7">
            <w:pPr>
              <w:spacing w:before="24" w:after="24" w:line="288" w:lineRule="auto"/>
              <w:jc w:val="left"/>
              <w:rPr>
                <w:rFonts w:ascii="Times New Roman" w:hAnsi="Times New Roman" w:cs="Times New Roman"/>
                <w:sz w:val="24"/>
              </w:rPr>
            </w:pPr>
            <w:r>
              <w:rPr>
                <w:rFonts w:ascii="Times New Roman" w:hAnsi="Times New Roman" w:cs="Times New Roman"/>
                <w:sz w:val="24"/>
              </w:rPr>
              <w:t>栓体材质：球墨铸铁（QT450-10）</w:t>
            </w:r>
          </w:p>
          <w:p w14:paraId="32168699">
            <w:pPr>
              <w:spacing w:before="24" w:after="24" w:line="288" w:lineRule="auto"/>
              <w:jc w:val="left"/>
              <w:rPr>
                <w:rFonts w:ascii="Times New Roman" w:hAnsi="Times New Roman" w:cs="Times New Roman"/>
                <w:sz w:val="24"/>
              </w:rPr>
            </w:pPr>
            <w:r>
              <w:rPr>
                <w:rFonts w:ascii="Times New Roman" w:hAnsi="Times New Roman" w:cs="Times New Roman"/>
                <w:sz w:val="24"/>
              </w:rPr>
              <w:t>连接方式：法兰连接</w:t>
            </w:r>
          </w:p>
          <w:p w14:paraId="25366670">
            <w:pPr>
              <w:spacing w:before="24" w:after="24" w:line="288" w:lineRule="auto"/>
              <w:jc w:val="left"/>
              <w:rPr>
                <w:rFonts w:ascii="Times New Roman" w:hAnsi="Times New Roman" w:cs="Times New Roman"/>
                <w:sz w:val="24"/>
              </w:rPr>
            </w:pPr>
            <w:r>
              <w:rPr>
                <w:rFonts w:ascii="Times New Roman" w:hAnsi="Times New Roman" w:cs="Times New Roman"/>
                <w:sz w:val="24"/>
              </w:rPr>
              <w:t>密封材料：食品级EPDM（三元乙丙橡胶）</w:t>
            </w:r>
          </w:p>
          <w:p w14:paraId="33049BC6">
            <w:pPr>
              <w:spacing w:before="24" w:after="24" w:line="288" w:lineRule="auto"/>
              <w:jc w:val="left"/>
              <w:rPr>
                <w:rFonts w:ascii="Times New Roman" w:hAnsi="Times New Roman" w:cs="Times New Roman"/>
                <w:sz w:val="24"/>
              </w:rPr>
            </w:pPr>
            <w:r>
              <w:rPr>
                <w:rFonts w:ascii="Times New Roman" w:hAnsi="Times New Roman" w:cs="Times New Roman"/>
                <w:sz w:val="24"/>
              </w:rPr>
              <w:t>耐温范围：-40～120℃</w:t>
            </w:r>
          </w:p>
          <w:p w14:paraId="52D8C08A">
            <w:pPr>
              <w:spacing w:before="24" w:after="24" w:line="288" w:lineRule="auto"/>
              <w:jc w:val="left"/>
              <w:rPr>
                <w:rFonts w:ascii="Times New Roman" w:hAnsi="Times New Roman" w:cs="Times New Roman"/>
                <w:sz w:val="24"/>
              </w:rPr>
            </w:pPr>
            <w:r>
              <w:rPr>
                <w:rFonts w:ascii="Times New Roman" w:hAnsi="Times New Roman" w:cs="Times New Roman"/>
                <w:sz w:val="24"/>
              </w:rPr>
              <w:t>公称压力等级：1.6MPa</w:t>
            </w:r>
          </w:p>
          <w:p w14:paraId="605F3E28">
            <w:pPr>
              <w:spacing w:before="24" w:after="24" w:line="288" w:lineRule="auto"/>
              <w:jc w:val="left"/>
              <w:rPr>
                <w:rFonts w:ascii="Times New Roman" w:hAnsi="Times New Roman" w:cs="Times New Roman"/>
                <w:sz w:val="24"/>
              </w:rPr>
            </w:pPr>
            <w:r>
              <w:rPr>
                <w:rFonts w:ascii="Times New Roman" w:hAnsi="Times New Roman" w:cs="Times New Roman"/>
                <w:sz w:val="24"/>
              </w:rPr>
              <w:t>防腐：内外环氧喷涂（饮用水级）</w:t>
            </w:r>
          </w:p>
          <w:p w14:paraId="40E05E12">
            <w:pPr>
              <w:spacing w:before="24" w:after="24" w:line="288" w:lineRule="auto"/>
              <w:jc w:val="left"/>
              <w:rPr>
                <w:rFonts w:ascii="Times New Roman" w:hAnsi="Times New Roman" w:cs="Times New Roman"/>
                <w:sz w:val="24"/>
              </w:rPr>
            </w:pPr>
            <w:r>
              <w:rPr>
                <w:rFonts w:ascii="Times New Roman" w:hAnsi="Times New Roman" w:cs="Times New Roman"/>
                <w:sz w:val="24"/>
              </w:rPr>
              <w:t>公称直径：DN150</w:t>
            </w:r>
          </w:p>
        </w:tc>
        <w:tc>
          <w:tcPr>
            <w:tcW w:w="1094" w:type="dxa"/>
            <w:vAlign w:val="center"/>
          </w:tcPr>
          <w:p w14:paraId="7A85B4B3">
            <w:pPr>
              <w:spacing w:before="24" w:after="24" w:line="288" w:lineRule="auto"/>
              <w:jc w:val="center"/>
              <w:rPr>
                <w:rFonts w:ascii="Times New Roman" w:hAnsi="Times New Roman" w:cs="Times New Roman"/>
                <w:sz w:val="24"/>
              </w:rPr>
            </w:pPr>
          </w:p>
        </w:tc>
      </w:tr>
      <w:tr w14:paraId="1E8F5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13650AB9">
            <w:pPr>
              <w:spacing w:before="24" w:after="24" w:line="288" w:lineRule="auto"/>
              <w:jc w:val="center"/>
              <w:rPr>
                <w:rFonts w:ascii="Times New Roman" w:hAnsi="Times New Roman" w:cs="Times New Roman"/>
                <w:sz w:val="24"/>
              </w:rPr>
            </w:pPr>
            <w:r>
              <w:rPr>
                <w:rFonts w:ascii="Times New Roman" w:hAnsi="Times New Roman" w:cs="Times New Roman"/>
                <w:sz w:val="24"/>
              </w:rPr>
              <w:t>9</w:t>
            </w:r>
          </w:p>
        </w:tc>
        <w:tc>
          <w:tcPr>
            <w:tcW w:w="1162" w:type="dxa"/>
            <w:vMerge w:val="continue"/>
            <w:vAlign w:val="center"/>
          </w:tcPr>
          <w:p w14:paraId="265915BA">
            <w:pPr>
              <w:spacing w:before="24" w:after="24" w:line="288" w:lineRule="auto"/>
              <w:jc w:val="center"/>
              <w:rPr>
                <w:rFonts w:ascii="Times New Roman" w:hAnsi="Times New Roman" w:cs="Times New Roman"/>
                <w:sz w:val="24"/>
              </w:rPr>
            </w:pPr>
          </w:p>
        </w:tc>
        <w:tc>
          <w:tcPr>
            <w:tcW w:w="1982" w:type="dxa"/>
            <w:vAlign w:val="center"/>
          </w:tcPr>
          <w:p w14:paraId="42A35517">
            <w:pPr>
              <w:spacing w:before="24" w:after="24" w:line="288" w:lineRule="auto"/>
              <w:jc w:val="center"/>
              <w:rPr>
                <w:rFonts w:ascii="Times New Roman" w:hAnsi="Times New Roman" w:cs="Times New Roman"/>
                <w:sz w:val="24"/>
              </w:rPr>
            </w:pPr>
            <w:r>
              <w:rPr>
                <w:rFonts w:ascii="Times New Roman" w:hAnsi="Times New Roman" w:cs="Times New Roman"/>
                <w:sz w:val="24"/>
              </w:rPr>
              <w:t>排气阀</w:t>
            </w:r>
          </w:p>
        </w:tc>
        <w:tc>
          <w:tcPr>
            <w:tcW w:w="4297" w:type="dxa"/>
            <w:vAlign w:val="center"/>
          </w:tcPr>
          <w:p w14:paraId="0F042900">
            <w:pPr>
              <w:spacing w:before="24" w:after="24" w:line="288" w:lineRule="auto"/>
              <w:jc w:val="left"/>
              <w:rPr>
                <w:rFonts w:ascii="Times New Roman" w:hAnsi="Times New Roman" w:cs="Times New Roman"/>
                <w:sz w:val="24"/>
              </w:rPr>
            </w:pPr>
            <w:r>
              <w:rPr>
                <w:rFonts w:ascii="Times New Roman" w:hAnsi="Times New Roman" w:cs="Times New Roman"/>
                <w:sz w:val="24"/>
              </w:rPr>
              <w:t>类型：复合式高速进排气阀</w:t>
            </w:r>
          </w:p>
          <w:p w14:paraId="2DA5B014">
            <w:pPr>
              <w:spacing w:before="24" w:after="24" w:line="288" w:lineRule="auto"/>
              <w:jc w:val="left"/>
              <w:rPr>
                <w:rFonts w:ascii="Times New Roman" w:hAnsi="Times New Roman" w:cs="Times New Roman"/>
                <w:sz w:val="24"/>
              </w:rPr>
            </w:pPr>
            <w:r>
              <w:rPr>
                <w:rFonts w:ascii="Times New Roman" w:hAnsi="Times New Roman" w:cs="Times New Roman"/>
                <w:sz w:val="24"/>
              </w:rPr>
              <w:t>阀体材质：球墨铸铁（QT450-10）</w:t>
            </w:r>
          </w:p>
          <w:p w14:paraId="4860C941">
            <w:pPr>
              <w:spacing w:before="24" w:after="24" w:line="288" w:lineRule="auto"/>
              <w:jc w:val="left"/>
              <w:rPr>
                <w:rFonts w:ascii="Times New Roman" w:hAnsi="Times New Roman" w:cs="Times New Roman"/>
                <w:sz w:val="24"/>
              </w:rPr>
            </w:pPr>
            <w:r>
              <w:rPr>
                <w:rFonts w:ascii="Times New Roman" w:hAnsi="Times New Roman" w:cs="Times New Roman"/>
                <w:sz w:val="24"/>
              </w:rPr>
              <w:t>连接方式：法兰连接</w:t>
            </w:r>
          </w:p>
          <w:p w14:paraId="4415A239">
            <w:pPr>
              <w:spacing w:before="24" w:after="24" w:line="288" w:lineRule="auto"/>
              <w:jc w:val="left"/>
              <w:rPr>
                <w:rFonts w:ascii="Times New Roman" w:hAnsi="Times New Roman" w:cs="Times New Roman"/>
                <w:sz w:val="24"/>
              </w:rPr>
            </w:pPr>
            <w:r>
              <w:rPr>
                <w:rFonts w:ascii="Times New Roman" w:hAnsi="Times New Roman" w:cs="Times New Roman"/>
                <w:sz w:val="24"/>
              </w:rPr>
              <w:t>密封材料：食品级EPDM（三元乙丙橡胶）</w:t>
            </w:r>
          </w:p>
          <w:p w14:paraId="0CFD35DC">
            <w:pPr>
              <w:spacing w:before="24" w:after="24" w:line="288" w:lineRule="auto"/>
              <w:jc w:val="left"/>
              <w:rPr>
                <w:rFonts w:ascii="Times New Roman" w:hAnsi="Times New Roman" w:cs="Times New Roman"/>
                <w:sz w:val="24"/>
              </w:rPr>
            </w:pPr>
            <w:r>
              <w:rPr>
                <w:rFonts w:ascii="Times New Roman" w:hAnsi="Times New Roman" w:cs="Times New Roman"/>
                <w:sz w:val="24"/>
              </w:rPr>
              <w:t>耐温范围：-40～120℃</w:t>
            </w:r>
          </w:p>
          <w:p w14:paraId="6907E188">
            <w:pPr>
              <w:spacing w:before="24" w:after="24" w:line="288" w:lineRule="auto"/>
              <w:jc w:val="left"/>
              <w:rPr>
                <w:rFonts w:ascii="Times New Roman" w:hAnsi="Times New Roman" w:cs="Times New Roman"/>
                <w:sz w:val="24"/>
              </w:rPr>
            </w:pPr>
            <w:r>
              <w:rPr>
                <w:rFonts w:ascii="Times New Roman" w:hAnsi="Times New Roman" w:cs="Times New Roman"/>
                <w:sz w:val="24"/>
              </w:rPr>
              <w:t>公称压力等级：1.6MPa</w:t>
            </w:r>
          </w:p>
          <w:p w14:paraId="6E64097A">
            <w:pPr>
              <w:spacing w:before="24" w:after="24" w:line="288" w:lineRule="auto"/>
              <w:jc w:val="left"/>
              <w:rPr>
                <w:rFonts w:ascii="Times New Roman" w:hAnsi="Times New Roman" w:cs="Times New Roman"/>
                <w:sz w:val="24"/>
              </w:rPr>
            </w:pPr>
            <w:r>
              <w:rPr>
                <w:rFonts w:ascii="Times New Roman" w:hAnsi="Times New Roman" w:cs="Times New Roman"/>
                <w:sz w:val="24"/>
              </w:rPr>
              <w:t>防腐：内外环氧喷涂（饮用水级）</w:t>
            </w:r>
          </w:p>
          <w:p w14:paraId="0ECC7CD1">
            <w:pPr>
              <w:spacing w:before="24" w:after="24" w:line="288" w:lineRule="auto"/>
              <w:jc w:val="left"/>
              <w:rPr>
                <w:rFonts w:ascii="Times New Roman" w:hAnsi="Times New Roman" w:cs="Times New Roman"/>
                <w:sz w:val="24"/>
              </w:rPr>
            </w:pPr>
            <w:r>
              <w:rPr>
                <w:rFonts w:ascii="Times New Roman" w:hAnsi="Times New Roman" w:cs="Times New Roman"/>
                <w:sz w:val="24"/>
              </w:rPr>
              <w:t>公称直径范围：DN25～DN100</w:t>
            </w:r>
          </w:p>
        </w:tc>
        <w:tc>
          <w:tcPr>
            <w:tcW w:w="1094" w:type="dxa"/>
            <w:vAlign w:val="center"/>
          </w:tcPr>
          <w:p w14:paraId="55DD1C31">
            <w:pPr>
              <w:spacing w:before="24" w:after="24" w:line="288" w:lineRule="auto"/>
              <w:jc w:val="center"/>
              <w:rPr>
                <w:rFonts w:ascii="Times New Roman" w:hAnsi="Times New Roman" w:cs="Times New Roman"/>
                <w:sz w:val="24"/>
              </w:rPr>
            </w:pPr>
          </w:p>
        </w:tc>
      </w:tr>
      <w:tr w14:paraId="543F1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7CB4D1FF">
            <w:pPr>
              <w:spacing w:before="24" w:after="24" w:line="288" w:lineRule="auto"/>
              <w:jc w:val="center"/>
              <w:rPr>
                <w:rFonts w:ascii="Times New Roman" w:hAnsi="Times New Roman" w:cs="Times New Roman"/>
                <w:sz w:val="24"/>
              </w:rPr>
            </w:pPr>
            <w:r>
              <w:rPr>
                <w:rFonts w:ascii="Times New Roman" w:hAnsi="Times New Roman" w:cs="Times New Roman"/>
                <w:sz w:val="24"/>
              </w:rPr>
              <w:t>10</w:t>
            </w:r>
          </w:p>
        </w:tc>
        <w:tc>
          <w:tcPr>
            <w:tcW w:w="1162" w:type="dxa"/>
            <w:vMerge w:val="continue"/>
            <w:vAlign w:val="center"/>
          </w:tcPr>
          <w:p w14:paraId="3FE927D0">
            <w:pPr>
              <w:spacing w:before="24" w:after="24" w:line="288" w:lineRule="auto"/>
              <w:jc w:val="center"/>
              <w:rPr>
                <w:rFonts w:ascii="Times New Roman" w:hAnsi="Times New Roman" w:cs="Times New Roman"/>
                <w:sz w:val="24"/>
              </w:rPr>
            </w:pPr>
          </w:p>
        </w:tc>
        <w:tc>
          <w:tcPr>
            <w:tcW w:w="1982" w:type="dxa"/>
            <w:vAlign w:val="center"/>
          </w:tcPr>
          <w:p w14:paraId="6EA919EC">
            <w:pPr>
              <w:spacing w:before="24" w:after="24" w:line="288" w:lineRule="auto"/>
              <w:jc w:val="center"/>
              <w:rPr>
                <w:rFonts w:ascii="Times New Roman" w:hAnsi="Times New Roman" w:cs="Times New Roman"/>
                <w:sz w:val="24"/>
              </w:rPr>
            </w:pPr>
            <w:r>
              <w:rPr>
                <w:rFonts w:ascii="Times New Roman" w:hAnsi="Times New Roman" w:cs="Times New Roman"/>
                <w:sz w:val="24"/>
              </w:rPr>
              <w:t>排泥阀</w:t>
            </w:r>
          </w:p>
        </w:tc>
        <w:tc>
          <w:tcPr>
            <w:tcW w:w="4297" w:type="dxa"/>
            <w:vAlign w:val="center"/>
          </w:tcPr>
          <w:p w14:paraId="685457E3">
            <w:pPr>
              <w:spacing w:before="24" w:after="24" w:line="288" w:lineRule="auto"/>
              <w:jc w:val="left"/>
              <w:rPr>
                <w:rFonts w:ascii="Times New Roman" w:hAnsi="Times New Roman" w:cs="Times New Roman"/>
                <w:sz w:val="24"/>
              </w:rPr>
            </w:pPr>
            <w:r>
              <w:rPr>
                <w:rFonts w:ascii="Times New Roman" w:hAnsi="Times New Roman" w:cs="Times New Roman"/>
                <w:sz w:val="24"/>
              </w:rPr>
              <w:t>类型：角式快开排泥阀</w:t>
            </w:r>
          </w:p>
          <w:p w14:paraId="06BC81B3">
            <w:pPr>
              <w:spacing w:before="24" w:after="24" w:line="288" w:lineRule="auto"/>
              <w:jc w:val="left"/>
              <w:rPr>
                <w:rFonts w:ascii="Times New Roman" w:hAnsi="Times New Roman" w:cs="Times New Roman"/>
                <w:sz w:val="24"/>
              </w:rPr>
            </w:pPr>
            <w:r>
              <w:rPr>
                <w:rFonts w:ascii="Times New Roman" w:hAnsi="Times New Roman" w:cs="Times New Roman"/>
                <w:sz w:val="24"/>
              </w:rPr>
              <w:t>阀体材质：球墨铸铁（QT450-10）</w:t>
            </w:r>
          </w:p>
          <w:p w14:paraId="08C86887">
            <w:pPr>
              <w:spacing w:before="24" w:after="24" w:line="288" w:lineRule="auto"/>
              <w:jc w:val="left"/>
              <w:rPr>
                <w:rFonts w:ascii="Times New Roman" w:hAnsi="Times New Roman" w:cs="Times New Roman"/>
                <w:sz w:val="24"/>
              </w:rPr>
            </w:pPr>
            <w:r>
              <w:rPr>
                <w:rFonts w:ascii="Times New Roman" w:hAnsi="Times New Roman" w:cs="Times New Roman"/>
                <w:sz w:val="24"/>
              </w:rPr>
              <w:t>连接方式：法兰连接</w:t>
            </w:r>
          </w:p>
          <w:p w14:paraId="0B5EB4E0">
            <w:pPr>
              <w:spacing w:before="24" w:after="24" w:line="288" w:lineRule="auto"/>
              <w:jc w:val="left"/>
              <w:rPr>
                <w:rFonts w:ascii="Times New Roman" w:hAnsi="Times New Roman" w:cs="Times New Roman"/>
                <w:sz w:val="24"/>
              </w:rPr>
            </w:pPr>
            <w:r>
              <w:rPr>
                <w:rFonts w:ascii="Times New Roman" w:hAnsi="Times New Roman" w:cs="Times New Roman"/>
                <w:sz w:val="24"/>
              </w:rPr>
              <w:t>密封材料：食品级EPDM（三元乙丙橡胶）</w:t>
            </w:r>
          </w:p>
          <w:p w14:paraId="4B4DA0D5">
            <w:pPr>
              <w:spacing w:before="24" w:after="24" w:line="288" w:lineRule="auto"/>
              <w:jc w:val="left"/>
              <w:rPr>
                <w:rFonts w:ascii="Times New Roman" w:hAnsi="Times New Roman" w:cs="Times New Roman"/>
                <w:sz w:val="24"/>
              </w:rPr>
            </w:pPr>
            <w:r>
              <w:rPr>
                <w:rFonts w:ascii="Times New Roman" w:hAnsi="Times New Roman" w:cs="Times New Roman"/>
                <w:sz w:val="24"/>
              </w:rPr>
              <w:t>耐温范围：-40～120℃</w:t>
            </w:r>
          </w:p>
          <w:p w14:paraId="7C1FF2B4">
            <w:pPr>
              <w:spacing w:before="24" w:after="24" w:line="288" w:lineRule="auto"/>
              <w:jc w:val="left"/>
              <w:rPr>
                <w:rFonts w:ascii="Times New Roman" w:hAnsi="Times New Roman" w:cs="Times New Roman"/>
                <w:sz w:val="24"/>
              </w:rPr>
            </w:pPr>
            <w:r>
              <w:rPr>
                <w:rFonts w:ascii="Times New Roman" w:hAnsi="Times New Roman" w:cs="Times New Roman"/>
                <w:sz w:val="24"/>
              </w:rPr>
              <w:t>公称压力等级：1.6MPa</w:t>
            </w:r>
          </w:p>
          <w:p w14:paraId="70AECFBC">
            <w:pPr>
              <w:spacing w:before="24" w:after="24" w:line="288" w:lineRule="auto"/>
              <w:jc w:val="left"/>
              <w:rPr>
                <w:rFonts w:ascii="Times New Roman" w:hAnsi="Times New Roman" w:cs="Times New Roman"/>
                <w:sz w:val="24"/>
              </w:rPr>
            </w:pPr>
            <w:r>
              <w:rPr>
                <w:rFonts w:ascii="Times New Roman" w:hAnsi="Times New Roman" w:cs="Times New Roman"/>
                <w:sz w:val="24"/>
              </w:rPr>
              <w:t>防腐：内外环氧喷涂（饮用水级）</w:t>
            </w:r>
          </w:p>
          <w:p w14:paraId="7D64524F">
            <w:pPr>
              <w:spacing w:before="24" w:after="24" w:line="288" w:lineRule="auto"/>
              <w:jc w:val="left"/>
              <w:rPr>
                <w:rFonts w:ascii="Times New Roman" w:hAnsi="Times New Roman" w:cs="Times New Roman"/>
                <w:sz w:val="24"/>
              </w:rPr>
            </w:pPr>
            <w:r>
              <w:rPr>
                <w:rFonts w:ascii="Times New Roman" w:hAnsi="Times New Roman" w:cs="Times New Roman"/>
                <w:sz w:val="24"/>
              </w:rPr>
              <w:t>公称直径范围：DN50～DN200</w:t>
            </w:r>
          </w:p>
        </w:tc>
        <w:tc>
          <w:tcPr>
            <w:tcW w:w="1094" w:type="dxa"/>
            <w:vAlign w:val="center"/>
          </w:tcPr>
          <w:p w14:paraId="0CB69A03">
            <w:pPr>
              <w:spacing w:before="24" w:after="24" w:line="288" w:lineRule="auto"/>
              <w:jc w:val="center"/>
              <w:rPr>
                <w:rFonts w:ascii="Times New Roman" w:hAnsi="Times New Roman" w:cs="Times New Roman"/>
                <w:sz w:val="24"/>
              </w:rPr>
            </w:pPr>
          </w:p>
        </w:tc>
      </w:tr>
      <w:tr w14:paraId="359A3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14113F2D">
            <w:pPr>
              <w:spacing w:before="24" w:after="24" w:line="288" w:lineRule="auto"/>
              <w:jc w:val="center"/>
              <w:rPr>
                <w:rFonts w:ascii="Times New Roman" w:hAnsi="Times New Roman" w:cs="Times New Roman"/>
                <w:sz w:val="24"/>
              </w:rPr>
            </w:pPr>
            <w:r>
              <w:rPr>
                <w:rFonts w:ascii="Times New Roman" w:hAnsi="Times New Roman" w:cs="Times New Roman"/>
                <w:sz w:val="24"/>
              </w:rPr>
              <w:t>11</w:t>
            </w:r>
          </w:p>
        </w:tc>
        <w:tc>
          <w:tcPr>
            <w:tcW w:w="1162" w:type="dxa"/>
            <w:vMerge w:val="restart"/>
            <w:vAlign w:val="center"/>
          </w:tcPr>
          <w:p w14:paraId="74B16F58">
            <w:pPr>
              <w:spacing w:before="24" w:after="24" w:line="288" w:lineRule="auto"/>
              <w:jc w:val="center"/>
              <w:rPr>
                <w:rFonts w:ascii="Times New Roman" w:hAnsi="Times New Roman" w:cs="Times New Roman"/>
                <w:sz w:val="24"/>
              </w:rPr>
            </w:pPr>
            <w:r>
              <w:rPr>
                <w:rFonts w:ascii="Times New Roman" w:hAnsi="Times New Roman" w:cs="Times New Roman"/>
                <w:sz w:val="24"/>
              </w:rPr>
              <w:t>再生水管道工程</w:t>
            </w:r>
          </w:p>
        </w:tc>
        <w:tc>
          <w:tcPr>
            <w:tcW w:w="1982" w:type="dxa"/>
            <w:vAlign w:val="center"/>
          </w:tcPr>
          <w:p w14:paraId="5609868B">
            <w:pPr>
              <w:spacing w:before="24" w:after="24" w:line="288" w:lineRule="auto"/>
              <w:jc w:val="center"/>
              <w:rPr>
                <w:rFonts w:ascii="Times New Roman" w:hAnsi="Times New Roman" w:cs="Times New Roman"/>
                <w:sz w:val="24"/>
              </w:rPr>
            </w:pPr>
            <w:r>
              <w:rPr>
                <w:rFonts w:ascii="Times New Roman" w:hAnsi="Times New Roman" w:cs="Times New Roman"/>
                <w:sz w:val="24"/>
              </w:rPr>
              <w:t>再生水管</w:t>
            </w:r>
          </w:p>
        </w:tc>
        <w:tc>
          <w:tcPr>
            <w:tcW w:w="4297" w:type="dxa"/>
            <w:vAlign w:val="center"/>
          </w:tcPr>
          <w:p w14:paraId="467B5AD6">
            <w:pPr>
              <w:spacing w:before="24" w:after="24" w:line="288" w:lineRule="auto"/>
              <w:jc w:val="left"/>
              <w:rPr>
                <w:rFonts w:ascii="Times New Roman" w:hAnsi="Times New Roman" w:cs="Times New Roman"/>
                <w:sz w:val="24"/>
              </w:rPr>
            </w:pPr>
            <w:r>
              <w:rPr>
                <w:rFonts w:ascii="Times New Roman" w:hAnsi="Times New Roman" w:cs="Times New Roman"/>
                <w:sz w:val="24"/>
              </w:rPr>
              <w:t>类型：球墨铸铁给水管</w:t>
            </w:r>
          </w:p>
          <w:p w14:paraId="0558A381">
            <w:pPr>
              <w:spacing w:before="24" w:after="24" w:line="288" w:lineRule="auto"/>
              <w:jc w:val="left"/>
              <w:rPr>
                <w:rFonts w:ascii="Times New Roman" w:hAnsi="Times New Roman" w:cs="Times New Roman"/>
                <w:sz w:val="24"/>
              </w:rPr>
            </w:pPr>
            <w:r>
              <w:rPr>
                <w:rFonts w:ascii="Times New Roman" w:hAnsi="Times New Roman" w:cs="Times New Roman"/>
                <w:sz w:val="24"/>
              </w:rPr>
              <w:t>材质：球墨铸铁</w:t>
            </w:r>
          </w:p>
          <w:p w14:paraId="34854496">
            <w:pPr>
              <w:spacing w:before="24" w:after="24" w:line="288" w:lineRule="auto"/>
              <w:jc w:val="left"/>
              <w:rPr>
                <w:rFonts w:ascii="Times New Roman" w:hAnsi="Times New Roman" w:cs="Times New Roman"/>
                <w:sz w:val="24"/>
              </w:rPr>
            </w:pPr>
            <w:r>
              <w:rPr>
                <w:rFonts w:ascii="Times New Roman" w:hAnsi="Times New Roman" w:cs="Times New Roman"/>
                <w:sz w:val="24"/>
              </w:rPr>
              <w:t>连接方式：T型接口</w:t>
            </w:r>
          </w:p>
          <w:p w14:paraId="77A4F539">
            <w:pPr>
              <w:spacing w:before="24" w:after="24" w:line="288" w:lineRule="auto"/>
              <w:jc w:val="left"/>
              <w:rPr>
                <w:rFonts w:ascii="Times New Roman" w:hAnsi="Times New Roman" w:cs="Times New Roman"/>
                <w:sz w:val="24"/>
              </w:rPr>
            </w:pPr>
            <w:r>
              <w:rPr>
                <w:rFonts w:ascii="Times New Roman" w:hAnsi="Times New Roman" w:cs="Times New Roman"/>
                <w:sz w:val="24"/>
              </w:rPr>
              <w:t>公称压力等级：1.6MPa</w:t>
            </w:r>
          </w:p>
          <w:p w14:paraId="0E607788">
            <w:pPr>
              <w:spacing w:before="24" w:after="24" w:line="288" w:lineRule="auto"/>
              <w:jc w:val="left"/>
              <w:rPr>
                <w:rFonts w:ascii="Times New Roman" w:hAnsi="Times New Roman" w:cs="Times New Roman"/>
                <w:sz w:val="24"/>
              </w:rPr>
            </w:pPr>
            <w:r>
              <w:rPr>
                <w:rFonts w:ascii="Times New Roman" w:hAnsi="Times New Roman" w:cs="Times New Roman"/>
                <w:sz w:val="24"/>
              </w:rPr>
              <w:t>壁厚级别系数：K9</w:t>
            </w:r>
          </w:p>
          <w:p w14:paraId="25D65E92">
            <w:pPr>
              <w:spacing w:before="24" w:after="24" w:line="288" w:lineRule="auto"/>
              <w:jc w:val="left"/>
              <w:rPr>
                <w:rFonts w:ascii="Times New Roman" w:hAnsi="Times New Roman" w:cs="Times New Roman"/>
                <w:sz w:val="24"/>
              </w:rPr>
            </w:pPr>
            <w:r>
              <w:rPr>
                <w:rFonts w:ascii="Times New Roman" w:hAnsi="Times New Roman" w:cs="Times New Roman"/>
                <w:sz w:val="24"/>
              </w:rPr>
              <w:t>公称直径范围：DN100-DN500</w:t>
            </w:r>
          </w:p>
        </w:tc>
        <w:tc>
          <w:tcPr>
            <w:tcW w:w="1094" w:type="dxa"/>
            <w:vAlign w:val="center"/>
          </w:tcPr>
          <w:p w14:paraId="2BF6C96D">
            <w:pPr>
              <w:spacing w:before="24" w:after="24" w:line="288" w:lineRule="auto"/>
              <w:jc w:val="center"/>
              <w:rPr>
                <w:rFonts w:ascii="Times New Roman" w:hAnsi="Times New Roman" w:cs="Times New Roman"/>
                <w:sz w:val="24"/>
              </w:rPr>
            </w:pPr>
          </w:p>
        </w:tc>
      </w:tr>
      <w:tr w14:paraId="7C7BB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7778C2C1">
            <w:pPr>
              <w:spacing w:before="24" w:after="24" w:line="288" w:lineRule="auto"/>
              <w:jc w:val="center"/>
              <w:rPr>
                <w:rFonts w:ascii="Times New Roman" w:hAnsi="Times New Roman" w:cs="Times New Roman"/>
                <w:sz w:val="24"/>
              </w:rPr>
            </w:pPr>
            <w:r>
              <w:rPr>
                <w:rFonts w:ascii="Times New Roman" w:hAnsi="Times New Roman" w:cs="Times New Roman"/>
                <w:sz w:val="24"/>
              </w:rPr>
              <w:t>12</w:t>
            </w:r>
          </w:p>
        </w:tc>
        <w:tc>
          <w:tcPr>
            <w:tcW w:w="1162" w:type="dxa"/>
            <w:vMerge w:val="continue"/>
            <w:vAlign w:val="center"/>
          </w:tcPr>
          <w:p w14:paraId="6ED45887">
            <w:pPr>
              <w:spacing w:before="24" w:after="24" w:line="288" w:lineRule="auto"/>
              <w:jc w:val="center"/>
              <w:rPr>
                <w:rFonts w:ascii="Times New Roman" w:hAnsi="Times New Roman" w:cs="Times New Roman"/>
                <w:sz w:val="24"/>
              </w:rPr>
            </w:pPr>
          </w:p>
        </w:tc>
        <w:tc>
          <w:tcPr>
            <w:tcW w:w="1982" w:type="dxa"/>
            <w:vAlign w:val="center"/>
          </w:tcPr>
          <w:p w14:paraId="63551AF7">
            <w:pPr>
              <w:spacing w:before="24" w:after="24" w:line="288" w:lineRule="auto"/>
              <w:jc w:val="center"/>
              <w:rPr>
                <w:rFonts w:ascii="Times New Roman" w:hAnsi="Times New Roman" w:cs="Times New Roman"/>
                <w:sz w:val="24"/>
              </w:rPr>
            </w:pPr>
            <w:r>
              <w:rPr>
                <w:rFonts w:ascii="Times New Roman" w:hAnsi="Times New Roman" w:cs="Times New Roman"/>
                <w:sz w:val="24"/>
              </w:rPr>
              <w:t>焊接钢管</w:t>
            </w:r>
          </w:p>
        </w:tc>
        <w:tc>
          <w:tcPr>
            <w:tcW w:w="4297" w:type="dxa"/>
            <w:vAlign w:val="center"/>
          </w:tcPr>
          <w:p w14:paraId="52F87389">
            <w:pPr>
              <w:spacing w:before="24" w:after="24" w:line="288" w:lineRule="auto"/>
              <w:jc w:val="left"/>
              <w:rPr>
                <w:rFonts w:ascii="Times New Roman" w:hAnsi="Times New Roman" w:cs="Times New Roman"/>
                <w:sz w:val="24"/>
              </w:rPr>
            </w:pPr>
            <w:r>
              <w:rPr>
                <w:rFonts w:ascii="Times New Roman" w:hAnsi="Times New Roman" w:cs="Times New Roman"/>
                <w:sz w:val="24"/>
              </w:rPr>
              <w:t>类型：低压流体输送用焊接钢管</w:t>
            </w:r>
          </w:p>
          <w:p w14:paraId="207527A3">
            <w:pPr>
              <w:spacing w:before="24" w:after="24" w:line="288" w:lineRule="auto"/>
              <w:jc w:val="left"/>
              <w:rPr>
                <w:rFonts w:ascii="Times New Roman" w:hAnsi="Times New Roman" w:cs="Times New Roman"/>
                <w:sz w:val="24"/>
              </w:rPr>
            </w:pPr>
            <w:r>
              <w:rPr>
                <w:rFonts w:ascii="Times New Roman" w:hAnsi="Times New Roman" w:cs="Times New Roman"/>
                <w:sz w:val="24"/>
              </w:rPr>
              <w:t>材质：Q235B碳素结构钢</w:t>
            </w:r>
          </w:p>
          <w:p w14:paraId="497E5C06">
            <w:pPr>
              <w:spacing w:before="24" w:after="24" w:line="288" w:lineRule="auto"/>
              <w:jc w:val="left"/>
              <w:rPr>
                <w:rFonts w:ascii="Times New Roman" w:hAnsi="Times New Roman" w:cs="Times New Roman"/>
                <w:sz w:val="24"/>
              </w:rPr>
            </w:pPr>
            <w:r>
              <w:rPr>
                <w:rFonts w:ascii="Times New Roman" w:hAnsi="Times New Roman" w:cs="Times New Roman"/>
                <w:sz w:val="24"/>
              </w:rPr>
              <w:t>连接方式：焊接</w:t>
            </w:r>
          </w:p>
          <w:p w14:paraId="0F9D3AC8">
            <w:pPr>
              <w:spacing w:before="24" w:after="24" w:line="288" w:lineRule="auto"/>
              <w:jc w:val="left"/>
              <w:rPr>
                <w:rFonts w:ascii="Times New Roman" w:hAnsi="Times New Roman" w:cs="Times New Roman"/>
                <w:sz w:val="24"/>
              </w:rPr>
            </w:pPr>
            <w:r>
              <w:rPr>
                <w:rFonts w:ascii="Times New Roman" w:hAnsi="Times New Roman" w:cs="Times New Roman"/>
                <w:sz w:val="24"/>
              </w:rPr>
              <w:t>公称压力等级：1.6MPa</w:t>
            </w:r>
          </w:p>
          <w:p w14:paraId="1DE4D403">
            <w:pPr>
              <w:spacing w:before="24" w:after="24" w:line="288" w:lineRule="auto"/>
              <w:jc w:val="left"/>
              <w:rPr>
                <w:rFonts w:ascii="Times New Roman" w:hAnsi="Times New Roman" w:cs="Times New Roman"/>
                <w:sz w:val="24"/>
              </w:rPr>
            </w:pPr>
            <w:r>
              <w:rPr>
                <w:rFonts w:ascii="Times New Roman" w:hAnsi="Times New Roman" w:cs="Times New Roman"/>
                <w:sz w:val="24"/>
              </w:rPr>
              <w:t>公称直径范围：DN15-DN200</w:t>
            </w:r>
          </w:p>
        </w:tc>
        <w:tc>
          <w:tcPr>
            <w:tcW w:w="1094" w:type="dxa"/>
            <w:vAlign w:val="center"/>
          </w:tcPr>
          <w:p w14:paraId="6EA64A42">
            <w:pPr>
              <w:spacing w:before="24" w:after="24" w:line="288" w:lineRule="auto"/>
              <w:jc w:val="center"/>
              <w:rPr>
                <w:rFonts w:ascii="Times New Roman" w:hAnsi="Times New Roman" w:cs="Times New Roman"/>
                <w:sz w:val="24"/>
              </w:rPr>
            </w:pPr>
            <w:r>
              <w:rPr>
                <w:rFonts w:ascii="Times New Roman" w:hAnsi="Times New Roman" w:cs="Times New Roman"/>
                <w:sz w:val="24"/>
              </w:rPr>
              <w:t>适用于过河等特殊管段</w:t>
            </w:r>
          </w:p>
        </w:tc>
      </w:tr>
      <w:tr w14:paraId="7D247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3140FD8C">
            <w:pPr>
              <w:spacing w:before="24" w:after="24" w:line="288" w:lineRule="auto"/>
              <w:jc w:val="center"/>
              <w:rPr>
                <w:rFonts w:ascii="Times New Roman" w:hAnsi="Times New Roman" w:cs="Times New Roman"/>
                <w:sz w:val="24"/>
              </w:rPr>
            </w:pPr>
            <w:r>
              <w:rPr>
                <w:rFonts w:ascii="Times New Roman" w:hAnsi="Times New Roman" w:cs="Times New Roman"/>
                <w:sz w:val="24"/>
              </w:rPr>
              <w:t>13</w:t>
            </w:r>
          </w:p>
        </w:tc>
        <w:tc>
          <w:tcPr>
            <w:tcW w:w="1162" w:type="dxa"/>
            <w:vMerge w:val="continue"/>
            <w:vAlign w:val="center"/>
          </w:tcPr>
          <w:p w14:paraId="254BBE26">
            <w:pPr>
              <w:spacing w:before="24" w:after="24" w:line="288" w:lineRule="auto"/>
              <w:jc w:val="center"/>
              <w:rPr>
                <w:rFonts w:ascii="Times New Roman" w:hAnsi="Times New Roman" w:cs="Times New Roman"/>
                <w:sz w:val="24"/>
              </w:rPr>
            </w:pPr>
          </w:p>
        </w:tc>
        <w:tc>
          <w:tcPr>
            <w:tcW w:w="1982" w:type="dxa"/>
            <w:vAlign w:val="center"/>
          </w:tcPr>
          <w:p w14:paraId="65CA8CEC">
            <w:pPr>
              <w:spacing w:before="24" w:after="24" w:line="288" w:lineRule="auto"/>
              <w:jc w:val="center"/>
              <w:rPr>
                <w:rFonts w:ascii="Times New Roman" w:hAnsi="Times New Roman" w:cs="Times New Roman"/>
                <w:sz w:val="24"/>
              </w:rPr>
            </w:pPr>
            <w:r>
              <w:rPr>
                <w:rFonts w:ascii="Times New Roman" w:hAnsi="Times New Roman" w:cs="Times New Roman"/>
                <w:sz w:val="24"/>
              </w:rPr>
              <w:t>螺旋焊管</w:t>
            </w:r>
          </w:p>
        </w:tc>
        <w:tc>
          <w:tcPr>
            <w:tcW w:w="4297" w:type="dxa"/>
            <w:vAlign w:val="center"/>
          </w:tcPr>
          <w:p w14:paraId="268D20C3">
            <w:pPr>
              <w:spacing w:before="24" w:after="24" w:line="288" w:lineRule="auto"/>
              <w:jc w:val="left"/>
              <w:rPr>
                <w:rFonts w:ascii="Times New Roman" w:hAnsi="Times New Roman" w:cs="Times New Roman"/>
                <w:sz w:val="24"/>
              </w:rPr>
            </w:pPr>
            <w:r>
              <w:rPr>
                <w:rFonts w:ascii="Times New Roman" w:hAnsi="Times New Roman" w:cs="Times New Roman"/>
                <w:sz w:val="24"/>
              </w:rPr>
              <w:t>类型：普通流体输送螺旋焊管</w:t>
            </w:r>
          </w:p>
          <w:p w14:paraId="0F2EA951">
            <w:pPr>
              <w:spacing w:before="24" w:after="24" w:line="288" w:lineRule="auto"/>
              <w:jc w:val="left"/>
              <w:rPr>
                <w:rFonts w:ascii="Times New Roman" w:hAnsi="Times New Roman" w:cs="Times New Roman"/>
                <w:sz w:val="24"/>
              </w:rPr>
            </w:pPr>
            <w:r>
              <w:rPr>
                <w:rFonts w:ascii="Times New Roman" w:hAnsi="Times New Roman" w:cs="Times New Roman"/>
                <w:sz w:val="24"/>
              </w:rPr>
              <w:t>材质：Q235B碳素结构钢</w:t>
            </w:r>
          </w:p>
          <w:p w14:paraId="0C223F0D">
            <w:pPr>
              <w:spacing w:before="24" w:after="24" w:line="288" w:lineRule="auto"/>
              <w:jc w:val="left"/>
              <w:rPr>
                <w:rFonts w:ascii="Times New Roman" w:hAnsi="Times New Roman" w:cs="Times New Roman"/>
                <w:sz w:val="24"/>
              </w:rPr>
            </w:pPr>
            <w:r>
              <w:rPr>
                <w:rFonts w:ascii="Times New Roman" w:hAnsi="Times New Roman" w:cs="Times New Roman"/>
                <w:sz w:val="24"/>
              </w:rPr>
              <w:t>连接方式：焊接</w:t>
            </w:r>
          </w:p>
          <w:p w14:paraId="18D99929">
            <w:pPr>
              <w:spacing w:before="24" w:after="24" w:line="288" w:lineRule="auto"/>
              <w:jc w:val="left"/>
              <w:rPr>
                <w:rFonts w:ascii="Times New Roman" w:hAnsi="Times New Roman" w:cs="Times New Roman"/>
                <w:sz w:val="24"/>
              </w:rPr>
            </w:pPr>
            <w:r>
              <w:rPr>
                <w:rFonts w:ascii="Times New Roman" w:hAnsi="Times New Roman" w:cs="Times New Roman"/>
                <w:sz w:val="24"/>
              </w:rPr>
              <w:t>公称压力等级：1.6MPa</w:t>
            </w:r>
          </w:p>
          <w:p w14:paraId="6ED57FA6">
            <w:pPr>
              <w:spacing w:before="24" w:after="24" w:line="288" w:lineRule="auto"/>
              <w:jc w:val="left"/>
              <w:rPr>
                <w:rFonts w:ascii="Times New Roman" w:hAnsi="Times New Roman" w:cs="Times New Roman"/>
                <w:sz w:val="24"/>
              </w:rPr>
            </w:pPr>
            <w:r>
              <w:rPr>
                <w:rFonts w:ascii="Times New Roman" w:hAnsi="Times New Roman" w:cs="Times New Roman"/>
                <w:sz w:val="24"/>
              </w:rPr>
              <w:t>公称直径范围：DN200-DN3600</w:t>
            </w:r>
          </w:p>
        </w:tc>
        <w:tc>
          <w:tcPr>
            <w:tcW w:w="1094" w:type="dxa"/>
            <w:vAlign w:val="center"/>
          </w:tcPr>
          <w:p w14:paraId="0F8F07A2">
            <w:pPr>
              <w:spacing w:before="24" w:after="24" w:line="288" w:lineRule="auto"/>
              <w:jc w:val="center"/>
              <w:rPr>
                <w:rFonts w:ascii="Times New Roman" w:hAnsi="Times New Roman" w:cs="Times New Roman"/>
                <w:sz w:val="24"/>
              </w:rPr>
            </w:pPr>
            <w:r>
              <w:rPr>
                <w:rFonts w:ascii="Times New Roman" w:hAnsi="Times New Roman" w:cs="Times New Roman"/>
                <w:sz w:val="24"/>
              </w:rPr>
              <w:t>适用于过河等特殊管段</w:t>
            </w:r>
          </w:p>
        </w:tc>
      </w:tr>
      <w:tr w14:paraId="7A27C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7BD9C7AB">
            <w:pPr>
              <w:spacing w:before="24" w:after="24" w:line="288" w:lineRule="auto"/>
              <w:jc w:val="center"/>
              <w:rPr>
                <w:rFonts w:ascii="Times New Roman" w:hAnsi="Times New Roman" w:cs="Times New Roman"/>
                <w:sz w:val="24"/>
              </w:rPr>
            </w:pPr>
            <w:r>
              <w:rPr>
                <w:rFonts w:ascii="Times New Roman" w:hAnsi="Times New Roman" w:cs="Times New Roman"/>
                <w:sz w:val="24"/>
              </w:rPr>
              <w:t>14</w:t>
            </w:r>
          </w:p>
        </w:tc>
        <w:tc>
          <w:tcPr>
            <w:tcW w:w="1162" w:type="dxa"/>
            <w:vMerge w:val="continue"/>
            <w:vAlign w:val="center"/>
          </w:tcPr>
          <w:p w14:paraId="6CCDEC38">
            <w:pPr>
              <w:spacing w:before="24" w:after="24" w:line="288" w:lineRule="auto"/>
              <w:jc w:val="center"/>
              <w:rPr>
                <w:rFonts w:ascii="Times New Roman" w:hAnsi="Times New Roman" w:cs="Times New Roman"/>
                <w:sz w:val="24"/>
              </w:rPr>
            </w:pPr>
          </w:p>
        </w:tc>
        <w:tc>
          <w:tcPr>
            <w:tcW w:w="1982" w:type="dxa"/>
            <w:vAlign w:val="center"/>
          </w:tcPr>
          <w:p w14:paraId="32EC1F59">
            <w:pPr>
              <w:spacing w:before="24" w:after="24" w:line="288" w:lineRule="auto"/>
              <w:jc w:val="center"/>
              <w:rPr>
                <w:rFonts w:ascii="Times New Roman" w:hAnsi="Times New Roman" w:cs="Times New Roman"/>
                <w:sz w:val="24"/>
              </w:rPr>
            </w:pPr>
            <w:r>
              <w:rPr>
                <w:rFonts w:ascii="Times New Roman" w:hAnsi="Times New Roman" w:cs="Times New Roman"/>
                <w:sz w:val="24"/>
              </w:rPr>
              <w:t>闸阀</w:t>
            </w:r>
          </w:p>
        </w:tc>
        <w:tc>
          <w:tcPr>
            <w:tcW w:w="4297" w:type="dxa"/>
            <w:vAlign w:val="center"/>
          </w:tcPr>
          <w:p w14:paraId="277B6EAD">
            <w:pPr>
              <w:spacing w:before="24" w:after="24" w:line="288" w:lineRule="auto"/>
              <w:jc w:val="left"/>
              <w:rPr>
                <w:rFonts w:ascii="Times New Roman" w:hAnsi="Times New Roman" w:cs="Times New Roman"/>
                <w:sz w:val="24"/>
              </w:rPr>
            </w:pPr>
            <w:r>
              <w:rPr>
                <w:rFonts w:ascii="Times New Roman" w:hAnsi="Times New Roman" w:cs="Times New Roman"/>
                <w:sz w:val="24"/>
              </w:rPr>
              <w:t>类型：软密封暗杆闸阀</w:t>
            </w:r>
          </w:p>
          <w:p w14:paraId="4551B86A">
            <w:pPr>
              <w:spacing w:before="24" w:after="24" w:line="288" w:lineRule="auto"/>
              <w:jc w:val="left"/>
              <w:rPr>
                <w:rFonts w:ascii="Times New Roman" w:hAnsi="Times New Roman" w:cs="Times New Roman"/>
                <w:sz w:val="24"/>
              </w:rPr>
            </w:pPr>
            <w:r>
              <w:rPr>
                <w:rFonts w:ascii="Times New Roman" w:hAnsi="Times New Roman" w:cs="Times New Roman"/>
                <w:sz w:val="24"/>
              </w:rPr>
              <w:t>阀体材质：球墨铸铁（QT450-10）</w:t>
            </w:r>
          </w:p>
          <w:p w14:paraId="6B1CA4FB">
            <w:pPr>
              <w:spacing w:before="24" w:after="24" w:line="288" w:lineRule="auto"/>
              <w:jc w:val="left"/>
              <w:rPr>
                <w:rFonts w:ascii="Times New Roman" w:hAnsi="Times New Roman" w:cs="Times New Roman"/>
                <w:sz w:val="24"/>
              </w:rPr>
            </w:pPr>
            <w:r>
              <w:rPr>
                <w:rFonts w:ascii="Times New Roman" w:hAnsi="Times New Roman" w:cs="Times New Roman"/>
                <w:sz w:val="24"/>
              </w:rPr>
              <w:t>连接方式：法兰连接</w:t>
            </w:r>
          </w:p>
          <w:p w14:paraId="44F20F4B">
            <w:pPr>
              <w:spacing w:before="24" w:after="24" w:line="288" w:lineRule="auto"/>
              <w:jc w:val="left"/>
              <w:rPr>
                <w:rFonts w:ascii="Times New Roman" w:hAnsi="Times New Roman" w:cs="Times New Roman"/>
                <w:sz w:val="24"/>
              </w:rPr>
            </w:pPr>
            <w:r>
              <w:rPr>
                <w:rFonts w:ascii="Times New Roman" w:hAnsi="Times New Roman" w:cs="Times New Roman"/>
                <w:sz w:val="24"/>
              </w:rPr>
              <w:t>密封材料：EPDM（三元乙丙橡胶）</w:t>
            </w:r>
          </w:p>
          <w:p w14:paraId="15418F7C">
            <w:pPr>
              <w:spacing w:before="24" w:after="24" w:line="288" w:lineRule="auto"/>
              <w:jc w:val="left"/>
              <w:rPr>
                <w:rFonts w:ascii="Times New Roman" w:hAnsi="Times New Roman" w:cs="Times New Roman"/>
                <w:sz w:val="24"/>
              </w:rPr>
            </w:pPr>
            <w:r>
              <w:rPr>
                <w:rFonts w:ascii="Times New Roman" w:hAnsi="Times New Roman" w:cs="Times New Roman"/>
                <w:sz w:val="24"/>
              </w:rPr>
              <w:t>耐温范围：-40～120℃</w:t>
            </w:r>
          </w:p>
          <w:p w14:paraId="0F2A365B">
            <w:pPr>
              <w:spacing w:before="24" w:after="24" w:line="288" w:lineRule="auto"/>
              <w:jc w:val="left"/>
              <w:rPr>
                <w:rFonts w:ascii="Times New Roman" w:hAnsi="Times New Roman" w:cs="Times New Roman"/>
                <w:sz w:val="24"/>
              </w:rPr>
            </w:pPr>
            <w:r>
              <w:rPr>
                <w:rFonts w:ascii="Times New Roman" w:hAnsi="Times New Roman" w:cs="Times New Roman"/>
                <w:sz w:val="24"/>
              </w:rPr>
              <w:t>公称压力等级：1.6MPa</w:t>
            </w:r>
          </w:p>
          <w:p w14:paraId="6173FE46">
            <w:pPr>
              <w:spacing w:before="24" w:after="24" w:line="288" w:lineRule="auto"/>
              <w:jc w:val="left"/>
              <w:rPr>
                <w:rFonts w:ascii="Times New Roman" w:hAnsi="Times New Roman" w:cs="Times New Roman"/>
                <w:sz w:val="24"/>
              </w:rPr>
            </w:pPr>
            <w:r>
              <w:rPr>
                <w:rFonts w:ascii="Times New Roman" w:hAnsi="Times New Roman" w:cs="Times New Roman"/>
                <w:sz w:val="24"/>
              </w:rPr>
              <w:t>防腐：内外环氧喷涂</w:t>
            </w:r>
          </w:p>
          <w:p w14:paraId="39EEACA1">
            <w:pPr>
              <w:spacing w:before="24" w:after="24" w:line="288" w:lineRule="auto"/>
              <w:jc w:val="left"/>
              <w:rPr>
                <w:rFonts w:ascii="Times New Roman" w:hAnsi="Times New Roman" w:cs="Times New Roman"/>
                <w:sz w:val="24"/>
              </w:rPr>
            </w:pPr>
            <w:r>
              <w:rPr>
                <w:rFonts w:ascii="Times New Roman" w:hAnsi="Times New Roman" w:cs="Times New Roman"/>
                <w:sz w:val="24"/>
              </w:rPr>
              <w:t>公称直径范围：DN50～DN1200</w:t>
            </w:r>
          </w:p>
        </w:tc>
        <w:tc>
          <w:tcPr>
            <w:tcW w:w="1094" w:type="dxa"/>
            <w:vAlign w:val="center"/>
          </w:tcPr>
          <w:p w14:paraId="1461773B">
            <w:pPr>
              <w:spacing w:before="24" w:after="24" w:line="288" w:lineRule="auto"/>
              <w:jc w:val="center"/>
              <w:rPr>
                <w:rFonts w:ascii="Times New Roman" w:hAnsi="Times New Roman" w:cs="Times New Roman"/>
                <w:sz w:val="24"/>
              </w:rPr>
            </w:pPr>
          </w:p>
        </w:tc>
      </w:tr>
      <w:tr w14:paraId="66903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62AF6F83">
            <w:pPr>
              <w:spacing w:before="24" w:after="24" w:line="288" w:lineRule="auto"/>
              <w:jc w:val="center"/>
              <w:rPr>
                <w:rFonts w:ascii="Times New Roman" w:hAnsi="Times New Roman" w:cs="Times New Roman"/>
                <w:sz w:val="24"/>
              </w:rPr>
            </w:pPr>
            <w:r>
              <w:rPr>
                <w:rFonts w:ascii="Times New Roman" w:hAnsi="Times New Roman" w:cs="Times New Roman"/>
                <w:sz w:val="24"/>
              </w:rPr>
              <w:t>15</w:t>
            </w:r>
          </w:p>
        </w:tc>
        <w:tc>
          <w:tcPr>
            <w:tcW w:w="1162" w:type="dxa"/>
            <w:vMerge w:val="continue"/>
            <w:vAlign w:val="center"/>
          </w:tcPr>
          <w:p w14:paraId="7F55EDBF">
            <w:pPr>
              <w:spacing w:before="24" w:after="24" w:line="288" w:lineRule="auto"/>
              <w:jc w:val="center"/>
              <w:rPr>
                <w:rFonts w:ascii="Times New Roman" w:hAnsi="Times New Roman" w:cs="Times New Roman"/>
                <w:sz w:val="24"/>
              </w:rPr>
            </w:pPr>
          </w:p>
        </w:tc>
        <w:tc>
          <w:tcPr>
            <w:tcW w:w="1982" w:type="dxa"/>
            <w:vAlign w:val="center"/>
          </w:tcPr>
          <w:p w14:paraId="1E8EAD94">
            <w:pPr>
              <w:spacing w:before="24" w:after="24" w:line="288" w:lineRule="auto"/>
              <w:jc w:val="center"/>
              <w:rPr>
                <w:rFonts w:ascii="Times New Roman" w:hAnsi="Times New Roman" w:cs="Times New Roman"/>
                <w:sz w:val="24"/>
              </w:rPr>
            </w:pPr>
            <w:r>
              <w:rPr>
                <w:rFonts w:ascii="Times New Roman" w:hAnsi="Times New Roman" w:cs="Times New Roman"/>
                <w:sz w:val="24"/>
              </w:rPr>
              <w:t>蝶阀</w:t>
            </w:r>
          </w:p>
        </w:tc>
        <w:tc>
          <w:tcPr>
            <w:tcW w:w="4297" w:type="dxa"/>
            <w:vAlign w:val="center"/>
          </w:tcPr>
          <w:p w14:paraId="62A5BD89">
            <w:pPr>
              <w:spacing w:before="24" w:after="24" w:line="288" w:lineRule="auto"/>
              <w:jc w:val="left"/>
              <w:rPr>
                <w:rFonts w:ascii="Times New Roman" w:hAnsi="Times New Roman" w:cs="Times New Roman"/>
                <w:sz w:val="24"/>
              </w:rPr>
            </w:pPr>
            <w:r>
              <w:rPr>
                <w:rFonts w:ascii="Times New Roman" w:hAnsi="Times New Roman" w:cs="Times New Roman"/>
                <w:sz w:val="24"/>
              </w:rPr>
              <w:t>类型：双偏心蝶阀</w:t>
            </w:r>
          </w:p>
          <w:p w14:paraId="0B652882">
            <w:pPr>
              <w:spacing w:before="24" w:after="24" w:line="288" w:lineRule="auto"/>
              <w:jc w:val="left"/>
              <w:rPr>
                <w:rFonts w:ascii="Times New Roman" w:hAnsi="Times New Roman" w:cs="Times New Roman"/>
                <w:sz w:val="24"/>
              </w:rPr>
            </w:pPr>
            <w:r>
              <w:rPr>
                <w:rFonts w:ascii="Times New Roman" w:hAnsi="Times New Roman" w:cs="Times New Roman"/>
                <w:sz w:val="24"/>
              </w:rPr>
              <w:t>阀体材质：球墨铸铁（QT450-10）</w:t>
            </w:r>
          </w:p>
          <w:p w14:paraId="42CFC0BE">
            <w:pPr>
              <w:spacing w:before="24" w:after="24" w:line="288" w:lineRule="auto"/>
              <w:jc w:val="left"/>
              <w:rPr>
                <w:rFonts w:ascii="Times New Roman" w:hAnsi="Times New Roman" w:cs="Times New Roman"/>
                <w:sz w:val="24"/>
              </w:rPr>
            </w:pPr>
            <w:r>
              <w:rPr>
                <w:rFonts w:ascii="Times New Roman" w:hAnsi="Times New Roman" w:cs="Times New Roman"/>
                <w:sz w:val="24"/>
              </w:rPr>
              <w:t>连接方式：法兰连接</w:t>
            </w:r>
          </w:p>
          <w:p w14:paraId="372217BC">
            <w:pPr>
              <w:spacing w:before="24" w:after="24" w:line="288" w:lineRule="auto"/>
              <w:jc w:val="left"/>
              <w:rPr>
                <w:rFonts w:ascii="Times New Roman" w:hAnsi="Times New Roman" w:cs="Times New Roman"/>
                <w:sz w:val="24"/>
              </w:rPr>
            </w:pPr>
            <w:r>
              <w:rPr>
                <w:rFonts w:ascii="Times New Roman" w:hAnsi="Times New Roman" w:cs="Times New Roman"/>
                <w:sz w:val="24"/>
              </w:rPr>
              <w:t>密封材料：EPDM（三元乙丙橡胶）</w:t>
            </w:r>
          </w:p>
          <w:p w14:paraId="31F5518D">
            <w:pPr>
              <w:spacing w:before="24" w:after="24" w:line="288" w:lineRule="auto"/>
              <w:jc w:val="left"/>
              <w:rPr>
                <w:rFonts w:ascii="Times New Roman" w:hAnsi="Times New Roman" w:cs="Times New Roman"/>
                <w:sz w:val="24"/>
              </w:rPr>
            </w:pPr>
            <w:r>
              <w:rPr>
                <w:rFonts w:ascii="Times New Roman" w:hAnsi="Times New Roman" w:cs="Times New Roman"/>
                <w:sz w:val="24"/>
              </w:rPr>
              <w:t>耐温范围：-40～120℃</w:t>
            </w:r>
          </w:p>
          <w:p w14:paraId="2B46684A">
            <w:pPr>
              <w:spacing w:before="24" w:after="24" w:line="288" w:lineRule="auto"/>
              <w:jc w:val="left"/>
              <w:rPr>
                <w:rFonts w:ascii="Times New Roman" w:hAnsi="Times New Roman" w:cs="Times New Roman"/>
                <w:sz w:val="24"/>
              </w:rPr>
            </w:pPr>
            <w:r>
              <w:rPr>
                <w:rFonts w:ascii="Times New Roman" w:hAnsi="Times New Roman" w:cs="Times New Roman"/>
                <w:sz w:val="24"/>
              </w:rPr>
              <w:t>公称压力等级：1.6MPa</w:t>
            </w:r>
          </w:p>
          <w:p w14:paraId="471B9F19">
            <w:pPr>
              <w:spacing w:before="24" w:after="24" w:line="288" w:lineRule="auto"/>
              <w:jc w:val="left"/>
              <w:rPr>
                <w:rFonts w:ascii="Times New Roman" w:hAnsi="Times New Roman" w:cs="Times New Roman"/>
                <w:sz w:val="24"/>
              </w:rPr>
            </w:pPr>
            <w:r>
              <w:rPr>
                <w:rFonts w:ascii="Times New Roman" w:hAnsi="Times New Roman" w:cs="Times New Roman"/>
                <w:sz w:val="24"/>
              </w:rPr>
              <w:t>防腐：内外环氧喷涂</w:t>
            </w:r>
          </w:p>
          <w:p w14:paraId="09B34F1D">
            <w:pPr>
              <w:spacing w:before="24" w:after="24" w:line="288" w:lineRule="auto"/>
              <w:jc w:val="left"/>
              <w:rPr>
                <w:rFonts w:ascii="Times New Roman" w:hAnsi="Times New Roman" w:cs="Times New Roman"/>
                <w:sz w:val="24"/>
              </w:rPr>
            </w:pPr>
            <w:r>
              <w:rPr>
                <w:rFonts w:ascii="Times New Roman" w:hAnsi="Times New Roman" w:cs="Times New Roman"/>
                <w:sz w:val="24"/>
              </w:rPr>
              <w:t>公称直径范围：DN100～DN1200</w:t>
            </w:r>
          </w:p>
        </w:tc>
        <w:tc>
          <w:tcPr>
            <w:tcW w:w="1094" w:type="dxa"/>
            <w:vAlign w:val="center"/>
          </w:tcPr>
          <w:p w14:paraId="3EEEB485">
            <w:pPr>
              <w:spacing w:before="24" w:after="24" w:line="288" w:lineRule="auto"/>
              <w:jc w:val="center"/>
              <w:rPr>
                <w:rFonts w:ascii="Times New Roman" w:hAnsi="Times New Roman" w:cs="Times New Roman"/>
                <w:sz w:val="24"/>
              </w:rPr>
            </w:pPr>
          </w:p>
        </w:tc>
      </w:tr>
      <w:tr w14:paraId="05935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4608D489">
            <w:pPr>
              <w:spacing w:before="24" w:after="24" w:line="288" w:lineRule="auto"/>
              <w:jc w:val="center"/>
              <w:rPr>
                <w:rFonts w:ascii="Times New Roman" w:hAnsi="Times New Roman" w:cs="Times New Roman"/>
                <w:sz w:val="24"/>
              </w:rPr>
            </w:pPr>
            <w:r>
              <w:rPr>
                <w:rFonts w:ascii="Times New Roman" w:hAnsi="Times New Roman" w:cs="Times New Roman"/>
                <w:sz w:val="24"/>
              </w:rPr>
              <w:t>16</w:t>
            </w:r>
          </w:p>
        </w:tc>
        <w:tc>
          <w:tcPr>
            <w:tcW w:w="1162" w:type="dxa"/>
            <w:vMerge w:val="continue"/>
            <w:vAlign w:val="center"/>
          </w:tcPr>
          <w:p w14:paraId="5BCE7245">
            <w:pPr>
              <w:spacing w:before="24" w:after="24" w:line="288" w:lineRule="auto"/>
              <w:jc w:val="center"/>
              <w:rPr>
                <w:rFonts w:ascii="Times New Roman" w:hAnsi="Times New Roman" w:cs="Times New Roman"/>
                <w:sz w:val="24"/>
              </w:rPr>
            </w:pPr>
          </w:p>
        </w:tc>
        <w:tc>
          <w:tcPr>
            <w:tcW w:w="1982" w:type="dxa"/>
            <w:vAlign w:val="center"/>
          </w:tcPr>
          <w:p w14:paraId="1A02AD7E">
            <w:pPr>
              <w:spacing w:before="24" w:after="24" w:line="288" w:lineRule="auto"/>
              <w:jc w:val="center"/>
              <w:rPr>
                <w:rFonts w:ascii="Times New Roman" w:hAnsi="Times New Roman" w:cs="Times New Roman"/>
                <w:sz w:val="24"/>
              </w:rPr>
            </w:pPr>
            <w:r>
              <w:rPr>
                <w:rFonts w:ascii="Times New Roman" w:hAnsi="Times New Roman" w:cs="Times New Roman"/>
                <w:sz w:val="24"/>
              </w:rPr>
              <w:t>蝶阀伸缩节</w:t>
            </w:r>
          </w:p>
        </w:tc>
        <w:tc>
          <w:tcPr>
            <w:tcW w:w="4297" w:type="dxa"/>
            <w:vAlign w:val="center"/>
          </w:tcPr>
          <w:p w14:paraId="73C667E1">
            <w:pPr>
              <w:spacing w:before="24" w:after="24" w:line="288" w:lineRule="auto"/>
              <w:jc w:val="left"/>
              <w:rPr>
                <w:rFonts w:ascii="Times New Roman" w:hAnsi="Times New Roman" w:cs="Times New Roman"/>
                <w:sz w:val="24"/>
              </w:rPr>
            </w:pPr>
            <w:r>
              <w:rPr>
                <w:rFonts w:ascii="Times New Roman" w:hAnsi="Times New Roman" w:cs="Times New Roman"/>
                <w:sz w:val="24"/>
              </w:rPr>
              <w:t>类型：双法兰限位伸缩接头</w:t>
            </w:r>
          </w:p>
          <w:p w14:paraId="1D8C09EB">
            <w:pPr>
              <w:spacing w:before="24" w:after="24" w:line="288" w:lineRule="auto"/>
              <w:jc w:val="left"/>
              <w:rPr>
                <w:rFonts w:ascii="Times New Roman" w:hAnsi="Times New Roman" w:cs="Times New Roman"/>
                <w:sz w:val="24"/>
              </w:rPr>
            </w:pPr>
            <w:r>
              <w:rPr>
                <w:rFonts w:ascii="Times New Roman" w:hAnsi="Times New Roman" w:cs="Times New Roman"/>
                <w:sz w:val="24"/>
              </w:rPr>
              <w:t>筒体材质：球墨铸铁（QT450-10）</w:t>
            </w:r>
          </w:p>
          <w:p w14:paraId="2065347F">
            <w:pPr>
              <w:spacing w:before="24" w:after="24" w:line="288" w:lineRule="auto"/>
              <w:jc w:val="left"/>
              <w:rPr>
                <w:rFonts w:ascii="Times New Roman" w:hAnsi="Times New Roman" w:cs="Times New Roman"/>
                <w:sz w:val="24"/>
              </w:rPr>
            </w:pPr>
            <w:r>
              <w:rPr>
                <w:rFonts w:ascii="Times New Roman" w:hAnsi="Times New Roman" w:cs="Times New Roman"/>
                <w:sz w:val="24"/>
              </w:rPr>
              <w:t>连接方式：法兰连接</w:t>
            </w:r>
          </w:p>
          <w:p w14:paraId="659BA17C">
            <w:pPr>
              <w:spacing w:before="24" w:after="24" w:line="288" w:lineRule="auto"/>
              <w:jc w:val="left"/>
              <w:rPr>
                <w:rFonts w:ascii="Times New Roman" w:hAnsi="Times New Roman" w:cs="Times New Roman"/>
                <w:sz w:val="24"/>
              </w:rPr>
            </w:pPr>
            <w:r>
              <w:rPr>
                <w:rFonts w:ascii="Times New Roman" w:hAnsi="Times New Roman" w:cs="Times New Roman"/>
                <w:sz w:val="24"/>
              </w:rPr>
              <w:t>密封材料：EPDM（三元乙丙橡胶）</w:t>
            </w:r>
          </w:p>
          <w:p w14:paraId="1E8EF87A">
            <w:pPr>
              <w:spacing w:before="24" w:after="24" w:line="288" w:lineRule="auto"/>
              <w:jc w:val="left"/>
              <w:rPr>
                <w:rFonts w:ascii="Times New Roman" w:hAnsi="Times New Roman" w:cs="Times New Roman"/>
                <w:sz w:val="24"/>
              </w:rPr>
            </w:pPr>
            <w:r>
              <w:rPr>
                <w:rFonts w:ascii="Times New Roman" w:hAnsi="Times New Roman" w:cs="Times New Roman"/>
                <w:sz w:val="24"/>
              </w:rPr>
              <w:t>耐温范围：-40～120℃</w:t>
            </w:r>
          </w:p>
          <w:p w14:paraId="6DDF1F68">
            <w:pPr>
              <w:spacing w:before="24" w:after="24" w:line="288" w:lineRule="auto"/>
              <w:jc w:val="left"/>
              <w:rPr>
                <w:rFonts w:ascii="Times New Roman" w:hAnsi="Times New Roman" w:cs="Times New Roman"/>
                <w:sz w:val="24"/>
              </w:rPr>
            </w:pPr>
            <w:r>
              <w:rPr>
                <w:rFonts w:ascii="Times New Roman" w:hAnsi="Times New Roman" w:cs="Times New Roman"/>
                <w:sz w:val="24"/>
              </w:rPr>
              <w:t>公称压力等级：1.6MPa</w:t>
            </w:r>
          </w:p>
          <w:p w14:paraId="23C4D6BD">
            <w:pPr>
              <w:spacing w:before="24" w:after="24" w:line="288" w:lineRule="auto"/>
              <w:jc w:val="left"/>
              <w:rPr>
                <w:rFonts w:ascii="Times New Roman" w:hAnsi="Times New Roman" w:cs="Times New Roman"/>
                <w:sz w:val="24"/>
              </w:rPr>
            </w:pPr>
            <w:r>
              <w:rPr>
                <w:rFonts w:ascii="Times New Roman" w:hAnsi="Times New Roman" w:cs="Times New Roman"/>
                <w:sz w:val="24"/>
              </w:rPr>
              <w:t>防腐：内外环氧喷涂</w:t>
            </w:r>
          </w:p>
          <w:p w14:paraId="516ED12C">
            <w:pPr>
              <w:spacing w:before="24" w:after="24" w:line="288" w:lineRule="auto"/>
              <w:jc w:val="left"/>
              <w:rPr>
                <w:rFonts w:ascii="Times New Roman" w:hAnsi="Times New Roman" w:cs="Times New Roman"/>
                <w:sz w:val="24"/>
              </w:rPr>
            </w:pPr>
            <w:r>
              <w:rPr>
                <w:rFonts w:ascii="Times New Roman" w:hAnsi="Times New Roman" w:cs="Times New Roman"/>
                <w:sz w:val="24"/>
              </w:rPr>
              <w:t>公称直径范围：DN50～DN1200</w:t>
            </w:r>
          </w:p>
        </w:tc>
        <w:tc>
          <w:tcPr>
            <w:tcW w:w="1094" w:type="dxa"/>
            <w:vAlign w:val="center"/>
          </w:tcPr>
          <w:p w14:paraId="235B6DE3">
            <w:pPr>
              <w:spacing w:before="24" w:after="24" w:line="288" w:lineRule="auto"/>
              <w:jc w:val="center"/>
              <w:rPr>
                <w:rFonts w:ascii="Times New Roman" w:hAnsi="Times New Roman" w:cs="Times New Roman"/>
                <w:sz w:val="24"/>
              </w:rPr>
            </w:pPr>
          </w:p>
        </w:tc>
      </w:tr>
      <w:tr w14:paraId="20EF1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0149EB92">
            <w:pPr>
              <w:spacing w:before="24" w:after="24" w:line="288" w:lineRule="auto"/>
              <w:jc w:val="center"/>
              <w:rPr>
                <w:rFonts w:ascii="Times New Roman" w:hAnsi="Times New Roman" w:cs="Times New Roman"/>
                <w:sz w:val="24"/>
              </w:rPr>
            </w:pPr>
            <w:r>
              <w:rPr>
                <w:rFonts w:ascii="Times New Roman" w:hAnsi="Times New Roman" w:cs="Times New Roman"/>
                <w:sz w:val="24"/>
              </w:rPr>
              <w:t>17</w:t>
            </w:r>
          </w:p>
        </w:tc>
        <w:tc>
          <w:tcPr>
            <w:tcW w:w="1162" w:type="dxa"/>
            <w:vMerge w:val="continue"/>
            <w:vAlign w:val="center"/>
          </w:tcPr>
          <w:p w14:paraId="0BDEE67B">
            <w:pPr>
              <w:spacing w:before="24" w:after="24" w:line="288" w:lineRule="auto"/>
              <w:jc w:val="center"/>
              <w:rPr>
                <w:rFonts w:ascii="Times New Roman" w:hAnsi="Times New Roman" w:cs="Times New Roman"/>
                <w:sz w:val="24"/>
              </w:rPr>
            </w:pPr>
          </w:p>
        </w:tc>
        <w:tc>
          <w:tcPr>
            <w:tcW w:w="1982" w:type="dxa"/>
            <w:vAlign w:val="center"/>
          </w:tcPr>
          <w:p w14:paraId="013CB722">
            <w:pPr>
              <w:spacing w:before="24" w:after="24" w:line="288" w:lineRule="auto"/>
              <w:jc w:val="center"/>
              <w:rPr>
                <w:rFonts w:ascii="Times New Roman" w:hAnsi="Times New Roman" w:cs="Times New Roman"/>
                <w:sz w:val="24"/>
              </w:rPr>
            </w:pPr>
            <w:r>
              <w:rPr>
                <w:rFonts w:ascii="Times New Roman" w:hAnsi="Times New Roman" w:cs="Times New Roman"/>
                <w:sz w:val="24"/>
              </w:rPr>
              <w:t>减压阀</w:t>
            </w:r>
          </w:p>
        </w:tc>
        <w:tc>
          <w:tcPr>
            <w:tcW w:w="4297" w:type="dxa"/>
            <w:vAlign w:val="center"/>
          </w:tcPr>
          <w:p w14:paraId="114A460B">
            <w:pPr>
              <w:spacing w:before="24" w:after="24" w:line="288" w:lineRule="auto"/>
              <w:jc w:val="left"/>
              <w:rPr>
                <w:rFonts w:ascii="Times New Roman" w:hAnsi="Times New Roman" w:cs="Times New Roman"/>
                <w:sz w:val="24"/>
              </w:rPr>
            </w:pPr>
            <w:r>
              <w:rPr>
                <w:rFonts w:ascii="Times New Roman" w:hAnsi="Times New Roman" w:cs="Times New Roman"/>
                <w:sz w:val="24"/>
              </w:rPr>
              <w:t>类型：先导式减压阀</w:t>
            </w:r>
          </w:p>
          <w:p w14:paraId="696DD60B">
            <w:pPr>
              <w:spacing w:before="24" w:after="24" w:line="288" w:lineRule="auto"/>
              <w:jc w:val="left"/>
              <w:rPr>
                <w:rFonts w:ascii="Times New Roman" w:hAnsi="Times New Roman" w:cs="Times New Roman"/>
                <w:sz w:val="24"/>
              </w:rPr>
            </w:pPr>
            <w:r>
              <w:rPr>
                <w:rFonts w:ascii="Times New Roman" w:hAnsi="Times New Roman" w:cs="Times New Roman"/>
                <w:sz w:val="24"/>
              </w:rPr>
              <w:t>阀体材质：球墨铸铁（QT450-10）</w:t>
            </w:r>
          </w:p>
          <w:p w14:paraId="35B960FA">
            <w:pPr>
              <w:spacing w:before="24" w:after="24" w:line="288" w:lineRule="auto"/>
              <w:jc w:val="left"/>
              <w:rPr>
                <w:rFonts w:ascii="Times New Roman" w:hAnsi="Times New Roman" w:cs="Times New Roman"/>
                <w:sz w:val="24"/>
              </w:rPr>
            </w:pPr>
            <w:r>
              <w:rPr>
                <w:rFonts w:ascii="Times New Roman" w:hAnsi="Times New Roman" w:cs="Times New Roman"/>
                <w:sz w:val="24"/>
              </w:rPr>
              <w:t>连接方式：法兰连接</w:t>
            </w:r>
          </w:p>
          <w:p w14:paraId="23CA2FC3">
            <w:pPr>
              <w:spacing w:before="24" w:after="24" w:line="288" w:lineRule="auto"/>
              <w:jc w:val="left"/>
              <w:rPr>
                <w:rFonts w:ascii="Times New Roman" w:hAnsi="Times New Roman" w:cs="Times New Roman"/>
                <w:sz w:val="24"/>
              </w:rPr>
            </w:pPr>
            <w:r>
              <w:rPr>
                <w:rFonts w:ascii="Times New Roman" w:hAnsi="Times New Roman" w:cs="Times New Roman"/>
                <w:sz w:val="24"/>
              </w:rPr>
              <w:t>密封材料：EPDM（三元乙丙橡胶）</w:t>
            </w:r>
          </w:p>
          <w:p w14:paraId="1E97169F">
            <w:pPr>
              <w:spacing w:before="24" w:after="24" w:line="288" w:lineRule="auto"/>
              <w:jc w:val="left"/>
              <w:rPr>
                <w:rFonts w:ascii="Times New Roman" w:hAnsi="Times New Roman" w:cs="Times New Roman"/>
                <w:sz w:val="24"/>
              </w:rPr>
            </w:pPr>
            <w:r>
              <w:rPr>
                <w:rFonts w:ascii="Times New Roman" w:hAnsi="Times New Roman" w:cs="Times New Roman"/>
                <w:sz w:val="24"/>
              </w:rPr>
              <w:t>耐温范围：-40～120℃</w:t>
            </w:r>
          </w:p>
          <w:p w14:paraId="254B8FE1">
            <w:pPr>
              <w:spacing w:before="24" w:after="24" w:line="288" w:lineRule="auto"/>
              <w:jc w:val="left"/>
              <w:rPr>
                <w:rFonts w:ascii="Times New Roman" w:hAnsi="Times New Roman" w:cs="Times New Roman"/>
                <w:sz w:val="24"/>
              </w:rPr>
            </w:pPr>
            <w:r>
              <w:rPr>
                <w:rFonts w:ascii="Times New Roman" w:hAnsi="Times New Roman" w:cs="Times New Roman"/>
                <w:sz w:val="24"/>
              </w:rPr>
              <w:t>公称压力等级：1.6MPa</w:t>
            </w:r>
          </w:p>
          <w:p w14:paraId="5EDB7477">
            <w:pPr>
              <w:spacing w:before="24" w:after="24" w:line="288" w:lineRule="auto"/>
              <w:jc w:val="left"/>
              <w:rPr>
                <w:rFonts w:ascii="Times New Roman" w:hAnsi="Times New Roman" w:cs="Times New Roman"/>
                <w:sz w:val="24"/>
              </w:rPr>
            </w:pPr>
            <w:r>
              <w:rPr>
                <w:rFonts w:ascii="Times New Roman" w:hAnsi="Times New Roman" w:cs="Times New Roman"/>
                <w:sz w:val="24"/>
              </w:rPr>
              <w:t>防腐：内外环氧喷涂</w:t>
            </w:r>
          </w:p>
          <w:p w14:paraId="240FEF3F">
            <w:pPr>
              <w:spacing w:before="24" w:after="24" w:line="288" w:lineRule="auto"/>
              <w:jc w:val="left"/>
              <w:rPr>
                <w:rFonts w:ascii="Times New Roman" w:hAnsi="Times New Roman" w:cs="Times New Roman"/>
                <w:sz w:val="24"/>
              </w:rPr>
            </w:pPr>
            <w:r>
              <w:rPr>
                <w:rFonts w:ascii="Times New Roman" w:hAnsi="Times New Roman" w:cs="Times New Roman"/>
                <w:sz w:val="24"/>
              </w:rPr>
              <w:t>公称直径范围：DN50～DN600</w:t>
            </w:r>
          </w:p>
        </w:tc>
        <w:tc>
          <w:tcPr>
            <w:tcW w:w="1094" w:type="dxa"/>
            <w:vAlign w:val="center"/>
          </w:tcPr>
          <w:p w14:paraId="1259FA96">
            <w:pPr>
              <w:spacing w:before="24" w:after="24" w:line="288" w:lineRule="auto"/>
              <w:jc w:val="center"/>
              <w:rPr>
                <w:rFonts w:ascii="Times New Roman" w:hAnsi="Times New Roman" w:cs="Times New Roman"/>
                <w:sz w:val="24"/>
              </w:rPr>
            </w:pPr>
          </w:p>
        </w:tc>
      </w:tr>
      <w:tr w14:paraId="54454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0F4E3732">
            <w:pPr>
              <w:spacing w:before="24" w:after="24" w:line="288" w:lineRule="auto"/>
              <w:jc w:val="center"/>
              <w:rPr>
                <w:rFonts w:ascii="Times New Roman" w:hAnsi="Times New Roman" w:cs="Times New Roman"/>
                <w:sz w:val="24"/>
              </w:rPr>
            </w:pPr>
            <w:r>
              <w:rPr>
                <w:rFonts w:ascii="Times New Roman" w:hAnsi="Times New Roman" w:cs="Times New Roman"/>
                <w:sz w:val="24"/>
              </w:rPr>
              <w:t>18</w:t>
            </w:r>
          </w:p>
        </w:tc>
        <w:tc>
          <w:tcPr>
            <w:tcW w:w="1162" w:type="dxa"/>
            <w:vMerge w:val="continue"/>
            <w:vAlign w:val="center"/>
          </w:tcPr>
          <w:p w14:paraId="46A83123">
            <w:pPr>
              <w:spacing w:before="24" w:after="24" w:line="288" w:lineRule="auto"/>
              <w:jc w:val="center"/>
              <w:rPr>
                <w:rFonts w:ascii="Times New Roman" w:hAnsi="Times New Roman" w:cs="Times New Roman"/>
                <w:sz w:val="24"/>
              </w:rPr>
            </w:pPr>
          </w:p>
        </w:tc>
        <w:tc>
          <w:tcPr>
            <w:tcW w:w="1982" w:type="dxa"/>
            <w:vAlign w:val="center"/>
          </w:tcPr>
          <w:p w14:paraId="3D71D97E">
            <w:pPr>
              <w:spacing w:before="24" w:after="24" w:line="288" w:lineRule="auto"/>
              <w:jc w:val="center"/>
              <w:rPr>
                <w:rFonts w:ascii="Times New Roman" w:hAnsi="Times New Roman" w:cs="Times New Roman"/>
                <w:sz w:val="24"/>
              </w:rPr>
            </w:pPr>
            <w:r>
              <w:rPr>
                <w:rFonts w:ascii="Times New Roman" w:hAnsi="Times New Roman" w:cs="Times New Roman"/>
                <w:sz w:val="24"/>
              </w:rPr>
              <w:t>排气阀</w:t>
            </w:r>
          </w:p>
        </w:tc>
        <w:tc>
          <w:tcPr>
            <w:tcW w:w="4297" w:type="dxa"/>
            <w:vAlign w:val="center"/>
          </w:tcPr>
          <w:p w14:paraId="53B17F14">
            <w:pPr>
              <w:spacing w:before="24" w:after="24" w:line="288" w:lineRule="auto"/>
              <w:jc w:val="left"/>
              <w:rPr>
                <w:rFonts w:ascii="Times New Roman" w:hAnsi="Times New Roman" w:cs="Times New Roman"/>
                <w:sz w:val="24"/>
              </w:rPr>
            </w:pPr>
            <w:r>
              <w:rPr>
                <w:rFonts w:ascii="Times New Roman" w:hAnsi="Times New Roman" w:cs="Times New Roman"/>
                <w:sz w:val="24"/>
              </w:rPr>
              <w:t>类型：复合式高速进排气阀</w:t>
            </w:r>
          </w:p>
          <w:p w14:paraId="5B6506F8">
            <w:pPr>
              <w:spacing w:before="24" w:after="24" w:line="288" w:lineRule="auto"/>
              <w:jc w:val="left"/>
              <w:rPr>
                <w:rFonts w:ascii="Times New Roman" w:hAnsi="Times New Roman" w:cs="Times New Roman"/>
                <w:sz w:val="24"/>
              </w:rPr>
            </w:pPr>
            <w:r>
              <w:rPr>
                <w:rFonts w:ascii="Times New Roman" w:hAnsi="Times New Roman" w:cs="Times New Roman"/>
                <w:sz w:val="24"/>
              </w:rPr>
              <w:t>阀体材质：球墨铸铁（QT450-10）</w:t>
            </w:r>
          </w:p>
          <w:p w14:paraId="4DC936BA">
            <w:pPr>
              <w:spacing w:before="24" w:after="24" w:line="288" w:lineRule="auto"/>
              <w:jc w:val="left"/>
              <w:rPr>
                <w:rFonts w:ascii="Times New Roman" w:hAnsi="Times New Roman" w:cs="Times New Roman"/>
                <w:sz w:val="24"/>
              </w:rPr>
            </w:pPr>
            <w:r>
              <w:rPr>
                <w:rFonts w:ascii="Times New Roman" w:hAnsi="Times New Roman" w:cs="Times New Roman"/>
                <w:sz w:val="24"/>
              </w:rPr>
              <w:t>连接方式：法兰连接</w:t>
            </w:r>
          </w:p>
          <w:p w14:paraId="3B456738">
            <w:pPr>
              <w:spacing w:before="24" w:after="24" w:line="288" w:lineRule="auto"/>
              <w:jc w:val="left"/>
              <w:rPr>
                <w:rFonts w:ascii="Times New Roman" w:hAnsi="Times New Roman" w:cs="Times New Roman"/>
                <w:sz w:val="24"/>
              </w:rPr>
            </w:pPr>
            <w:r>
              <w:rPr>
                <w:rFonts w:ascii="Times New Roman" w:hAnsi="Times New Roman" w:cs="Times New Roman"/>
                <w:sz w:val="24"/>
              </w:rPr>
              <w:t>密封材料：EPDM（三元乙丙橡胶）</w:t>
            </w:r>
          </w:p>
          <w:p w14:paraId="7095AD87">
            <w:pPr>
              <w:spacing w:before="24" w:after="24" w:line="288" w:lineRule="auto"/>
              <w:jc w:val="left"/>
              <w:rPr>
                <w:rFonts w:ascii="Times New Roman" w:hAnsi="Times New Roman" w:cs="Times New Roman"/>
                <w:sz w:val="24"/>
              </w:rPr>
            </w:pPr>
            <w:r>
              <w:rPr>
                <w:rFonts w:ascii="Times New Roman" w:hAnsi="Times New Roman" w:cs="Times New Roman"/>
                <w:sz w:val="24"/>
              </w:rPr>
              <w:t>耐温范围：-40～120℃</w:t>
            </w:r>
          </w:p>
          <w:p w14:paraId="392EFA3F">
            <w:pPr>
              <w:spacing w:before="24" w:after="24" w:line="288" w:lineRule="auto"/>
              <w:jc w:val="left"/>
              <w:rPr>
                <w:rFonts w:ascii="Times New Roman" w:hAnsi="Times New Roman" w:cs="Times New Roman"/>
                <w:sz w:val="24"/>
              </w:rPr>
            </w:pPr>
            <w:r>
              <w:rPr>
                <w:rFonts w:ascii="Times New Roman" w:hAnsi="Times New Roman" w:cs="Times New Roman"/>
                <w:sz w:val="24"/>
              </w:rPr>
              <w:t>公称压力等级：1.6MPa</w:t>
            </w:r>
          </w:p>
          <w:p w14:paraId="5A43136F">
            <w:pPr>
              <w:spacing w:before="24" w:after="24" w:line="288" w:lineRule="auto"/>
              <w:jc w:val="left"/>
              <w:rPr>
                <w:rFonts w:ascii="Times New Roman" w:hAnsi="Times New Roman" w:cs="Times New Roman"/>
                <w:sz w:val="24"/>
              </w:rPr>
            </w:pPr>
            <w:r>
              <w:rPr>
                <w:rFonts w:ascii="Times New Roman" w:hAnsi="Times New Roman" w:cs="Times New Roman"/>
                <w:sz w:val="24"/>
              </w:rPr>
              <w:t>防腐：内外环氧喷涂</w:t>
            </w:r>
          </w:p>
          <w:p w14:paraId="5A4D6D47">
            <w:pPr>
              <w:spacing w:before="24" w:after="24" w:line="288" w:lineRule="auto"/>
              <w:jc w:val="left"/>
              <w:rPr>
                <w:rFonts w:ascii="Times New Roman" w:hAnsi="Times New Roman" w:cs="Times New Roman"/>
                <w:sz w:val="24"/>
              </w:rPr>
            </w:pPr>
            <w:r>
              <w:rPr>
                <w:rFonts w:ascii="Times New Roman" w:hAnsi="Times New Roman" w:cs="Times New Roman"/>
                <w:sz w:val="24"/>
              </w:rPr>
              <w:t>公称直径范围：DN25～DN100</w:t>
            </w:r>
          </w:p>
        </w:tc>
        <w:tc>
          <w:tcPr>
            <w:tcW w:w="1094" w:type="dxa"/>
            <w:vAlign w:val="center"/>
          </w:tcPr>
          <w:p w14:paraId="67662278">
            <w:pPr>
              <w:spacing w:before="24" w:after="24" w:line="288" w:lineRule="auto"/>
              <w:jc w:val="center"/>
              <w:rPr>
                <w:rFonts w:ascii="Times New Roman" w:hAnsi="Times New Roman" w:cs="Times New Roman"/>
                <w:sz w:val="24"/>
              </w:rPr>
            </w:pPr>
          </w:p>
        </w:tc>
      </w:tr>
      <w:tr w14:paraId="2946B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000546CC">
            <w:pPr>
              <w:spacing w:before="24" w:after="24" w:line="288" w:lineRule="auto"/>
              <w:jc w:val="center"/>
              <w:rPr>
                <w:rFonts w:ascii="Times New Roman" w:hAnsi="Times New Roman" w:cs="Times New Roman"/>
                <w:sz w:val="24"/>
              </w:rPr>
            </w:pPr>
            <w:r>
              <w:rPr>
                <w:rFonts w:ascii="Times New Roman" w:hAnsi="Times New Roman" w:cs="Times New Roman"/>
                <w:sz w:val="24"/>
              </w:rPr>
              <w:t>19</w:t>
            </w:r>
          </w:p>
        </w:tc>
        <w:tc>
          <w:tcPr>
            <w:tcW w:w="1162" w:type="dxa"/>
            <w:vMerge w:val="continue"/>
            <w:vAlign w:val="center"/>
          </w:tcPr>
          <w:p w14:paraId="6579BCCD">
            <w:pPr>
              <w:spacing w:before="24" w:after="24" w:line="288" w:lineRule="auto"/>
              <w:jc w:val="center"/>
              <w:rPr>
                <w:rFonts w:ascii="Times New Roman" w:hAnsi="Times New Roman" w:cs="Times New Roman"/>
                <w:sz w:val="24"/>
              </w:rPr>
            </w:pPr>
          </w:p>
        </w:tc>
        <w:tc>
          <w:tcPr>
            <w:tcW w:w="1982" w:type="dxa"/>
            <w:vAlign w:val="center"/>
          </w:tcPr>
          <w:p w14:paraId="0A4CE343">
            <w:pPr>
              <w:spacing w:before="24" w:after="24" w:line="288" w:lineRule="auto"/>
              <w:jc w:val="center"/>
              <w:rPr>
                <w:rFonts w:ascii="Times New Roman" w:hAnsi="Times New Roman" w:cs="Times New Roman"/>
                <w:sz w:val="24"/>
              </w:rPr>
            </w:pPr>
            <w:r>
              <w:rPr>
                <w:rFonts w:ascii="Times New Roman" w:hAnsi="Times New Roman" w:cs="Times New Roman"/>
                <w:sz w:val="24"/>
              </w:rPr>
              <w:t>排泥阀</w:t>
            </w:r>
          </w:p>
        </w:tc>
        <w:tc>
          <w:tcPr>
            <w:tcW w:w="4297" w:type="dxa"/>
            <w:vAlign w:val="center"/>
          </w:tcPr>
          <w:p w14:paraId="42B73A10">
            <w:pPr>
              <w:spacing w:before="24" w:after="24" w:line="288" w:lineRule="auto"/>
              <w:jc w:val="left"/>
              <w:rPr>
                <w:rFonts w:ascii="Times New Roman" w:hAnsi="Times New Roman" w:cs="Times New Roman"/>
                <w:sz w:val="24"/>
              </w:rPr>
            </w:pPr>
            <w:r>
              <w:rPr>
                <w:rFonts w:ascii="Times New Roman" w:hAnsi="Times New Roman" w:cs="Times New Roman"/>
                <w:sz w:val="24"/>
              </w:rPr>
              <w:t>类型：角式快开排泥阀</w:t>
            </w:r>
          </w:p>
          <w:p w14:paraId="0A3B3E8C">
            <w:pPr>
              <w:spacing w:before="24" w:after="24" w:line="288" w:lineRule="auto"/>
              <w:jc w:val="left"/>
              <w:rPr>
                <w:rFonts w:ascii="Times New Roman" w:hAnsi="Times New Roman" w:cs="Times New Roman"/>
                <w:sz w:val="24"/>
              </w:rPr>
            </w:pPr>
            <w:r>
              <w:rPr>
                <w:rFonts w:ascii="Times New Roman" w:hAnsi="Times New Roman" w:cs="Times New Roman"/>
                <w:sz w:val="24"/>
              </w:rPr>
              <w:t>阀体材质：球墨铸铁（QT450-10）</w:t>
            </w:r>
          </w:p>
          <w:p w14:paraId="1DDB4652">
            <w:pPr>
              <w:spacing w:before="24" w:after="24" w:line="288" w:lineRule="auto"/>
              <w:jc w:val="left"/>
              <w:rPr>
                <w:rFonts w:ascii="Times New Roman" w:hAnsi="Times New Roman" w:cs="Times New Roman"/>
                <w:sz w:val="24"/>
              </w:rPr>
            </w:pPr>
            <w:r>
              <w:rPr>
                <w:rFonts w:ascii="Times New Roman" w:hAnsi="Times New Roman" w:cs="Times New Roman"/>
                <w:sz w:val="24"/>
              </w:rPr>
              <w:t>连接方式：法兰连接</w:t>
            </w:r>
          </w:p>
          <w:p w14:paraId="002579E1">
            <w:pPr>
              <w:spacing w:before="24" w:after="24" w:line="288" w:lineRule="auto"/>
              <w:jc w:val="left"/>
              <w:rPr>
                <w:rFonts w:ascii="Times New Roman" w:hAnsi="Times New Roman" w:cs="Times New Roman"/>
                <w:sz w:val="24"/>
              </w:rPr>
            </w:pPr>
            <w:r>
              <w:rPr>
                <w:rFonts w:ascii="Times New Roman" w:hAnsi="Times New Roman" w:cs="Times New Roman"/>
                <w:sz w:val="24"/>
              </w:rPr>
              <w:t>密封材料：EPDM（三元乙丙橡胶）</w:t>
            </w:r>
          </w:p>
          <w:p w14:paraId="38C16828">
            <w:pPr>
              <w:spacing w:before="24" w:after="24" w:line="288" w:lineRule="auto"/>
              <w:jc w:val="left"/>
              <w:rPr>
                <w:rFonts w:ascii="Times New Roman" w:hAnsi="Times New Roman" w:cs="Times New Roman"/>
                <w:sz w:val="24"/>
              </w:rPr>
            </w:pPr>
            <w:r>
              <w:rPr>
                <w:rFonts w:ascii="Times New Roman" w:hAnsi="Times New Roman" w:cs="Times New Roman"/>
                <w:sz w:val="24"/>
              </w:rPr>
              <w:t>耐温范围：-40～120℃</w:t>
            </w:r>
          </w:p>
          <w:p w14:paraId="6EC5A1F1">
            <w:pPr>
              <w:spacing w:before="24" w:after="24" w:line="288" w:lineRule="auto"/>
              <w:jc w:val="left"/>
              <w:rPr>
                <w:rFonts w:ascii="Times New Roman" w:hAnsi="Times New Roman" w:cs="Times New Roman"/>
                <w:sz w:val="24"/>
              </w:rPr>
            </w:pPr>
            <w:r>
              <w:rPr>
                <w:rFonts w:ascii="Times New Roman" w:hAnsi="Times New Roman" w:cs="Times New Roman"/>
                <w:sz w:val="24"/>
              </w:rPr>
              <w:t>公称压力等级：1.6MPa</w:t>
            </w:r>
          </w:p>
          <w:p w14:paraId="2EE299DB">
            <w:pPr>
              <w:spacing w:before="24" w:after="24" w:line="288" w:lineRule="auto"/>
              <w:jc w:val="left"/>
              <w:rPr>
                <w:rFonts w:ascii="Times New Roman" w:hAnsi="Times New Roman" w:cs="Times New Roman"/>
                <w:sz w:val="24"/>
              </w:rPr>
            </w:pPr>
            <w:r>
              <w:rPr>
                <w:rFonts w:ascii="Times New Roman" w:hAnsi="Times New Roman" w:cs="Times New Roman"/>
                <w:sz w:val="24"/>
              </w:rPr>
              <w:t>防腐：内外环氧喷涂</w:t>
            </w:r>
          </w:p>
          <w:p w14:paraId="46353169">
            <w:pPr>
              <w:spacing w:before="24" w:after="24" w:line="288" w:lineRule="auto"/>
              <w:jc w:val="left"/>
              <w:rPr>
                <w:rFonts w:ascii="Times New Roman" w:hAnsi="Times New Roman" w:cs="Times New Roman"/>
                <w:sz w:val="24"/>
              </w:rPr>
            </w:pPr>
            <w:r>
              <w:rPr>
                <w:rFonts w:ascii="Times New Roman" w:hAnsi="Times New Roman" w:cs="Times New Roman"/>
                <w:sz w:val="24"/>
              </w:rPr>
              <w:t>公称直径范围：DN50～DN200</w:t>
            </w:r>
          </w:p>
        </w:tc>
        <w:tc>
          <w:tcPr>
            <w:tcW w:w="1094" w:type="dxa"/>
            <w:vAlign w:val="center"/>
          </w:tcPr>
          <w:p w14:paraId="01B57499">
            <w:pPr>
              <w:spacing w:before="24" w:after="24" w:line="288" w:lineRule="auto"/>
              <w:jc w:val="center"/>
              <w:rPr>
                <w:rFonts w:ascii="Times New Roman" w:hAnsi="Times New Roman" w:cs="Times New Roman"/>
                <w:sz w:val="24"/>
              </w:rPr>
            </w:pPr>
          </w:p>
        </w:tc>
      </w:tr>
      <w:tr w14:paraId="0FE34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17FA850B">
            <w:pPr>
              <w:spacing w:before="24" w:after="24" w:line="288" w:lineRule="auto"/>
              <w:jc w:val="center"/>
              <w:rPr>
                <w:rFonts w:ascii="Times New Roman" w:hAnsi="Times New Roman" w:cs="Times New Roman"/>
                <w:sz w:val="24"/>
              </w:rPr>
            </w:pPr>
            <w:r>
              <w:rPr>
                <w:rFonts w:ascii="Times New Roman" w:hAnsi="Times New Roman" w:cs="Times New Roman"/>
                <w:sz w:val="24"/>
              </w:rPr>
              <w:t>20</w:t>
            </w:r>
          </w:p>
        </w:tc>
        <w:tc>
          <w:tcPr>
            <w:tcW w:w="1162" w:type="dxa"/>
            <w:vMerge w:val="restart"/>
            <w:vAlign w:val="center"/>
          </w:tcPr>
          <w:p w14:paraId="00CEC12E">
            <w:pPr>
              <w:spacing w:before="24" w:after="24" w:line="288" w:lineRule="auto"/>
              <w:jc w:val="center"/>
              <w:rPr>
                <w:rFonts w:ascii="Times New Roman" w:hAnsi="Times New Roman" w:cs="Times New Roman"/>
                <w:sz w:val="24"/>
              </w:rPr>
            </w:pPr>
            <w:r>
              <w:rPr>
                <w:rFonts w:ascii="Times New Roman" w:hAnsi="Times New Roman" w:cs="Times New Roman"/>
                <w:sz w:val="24"/>
              </w:rPr>
              <w:t>雨水管道工程</w:t>
            </w:r>
          </w:p>
        </w:tc>
        <w:tc>
          <w:tcPr>
            <w:tcW w:w="1982" w:type="dxa"/>
            <w:vAlign w:val="center"/>
          </w:tcPr>
          <w:p w14:paraId="16D5AE72">
            <w:pPr>
              <w:spacing w:before="24" w:after="24" w:line="288" w:lineRule="auto"/>
              <w:jc w:val="center"/>
              <w:rPr>
                <w:rFonts w:ascii="Times New Roman" w:hAnsi="Times New Roman" w:cs="Times New Roman"/>
                <w:sz w:val="24"/>
              </w:rPr>
            </w:pPr>
            <w:r>
              <w:rPr>
                <w:rFonts w:ascii="Times New Roman" w:hAnsi="Times New Roman" w:cs="Times New Roman"/>
                <w:sz w:val="24"/>
              </w:rPr>
              <w:t>雨水检查井</w:t>
            </w:r>
          </w:p>
        </w:tc>
        <w:tc>
          <w:tcPr>
            <w:tcW w:w="4297" w:type="dxa"/>
            <w:vAlign w:val="center"/>
          </w:tcPr>
          <w:p w14:paraId="1E920FC1">
            <w:pPr>
              <w:spacing w:before="24" w:after="24" w:line="288" w:lineRule="auto"/>
              <w:jc w:val="left"/>
              <w:rPr>
                <w:rFonts w:ascii="Times New Roman" w:hAnsi="Times New Roman" w:cs="Times New Roman"/>
                <w:sz w:val="24"/>
              </w:rPr>
            </w:pPr>
            <w:r>
              <w:rPr>
                <w:rFonts w:ascii="Times New Roman" w:hAnsi="Times New Roman" w:cs="Times New Roman"/>
                <w:sz w:val="24"/>
              </w:rPr>
              <w:t>类型：现浇矩形混凝土雨水检查井</w:t>
            </w:r>
          </w:p>
          <w:p w14:paraId="647310E7">
            <w:pPr>
              <w:spacing w:before="24" w:after="24" w:line="288" w:lineRule="auto"/>
              <w:jc w:val="left"/>
              <w:rPr>
                <w:rFonts w:ascii="Times New Roman" w:hAnsi="Times New Roman" w:cs="Times New Roman"/>
                <w:sz w:val="24"/>
              </w:rPr>
            </w:pPr>
            <w:r>
              <w:rPr>
                <w:rFonts w:ascii="Times New Roman" w:hAnsi="Times New Roman" w:cs="Times New Roman"/>
                <w:sz w:val="24"/>
              </w:rPr>
              <w:t>井室、井筒：C30</w:t>
            </w:r>
          </w:p>
          <w:p w14:paraId="2D5C4F70">
            <w:pPr>
              <w:spacing w:before="24" w:after="24" w:line="288" w:lineRule="auto"/>
              <w:jc w:val="left"/>
              <w:rPr>
                <w:rFonts w:ascii="Times New Roman" w:hAnsi="Times New Roman" w:cs="Times New Roman"/>
                <w:sz w:val="24"/>
              </w:rPr>
            </w:pPr>
            <w:r>
              <w:rPr>
                <w:rFonts w:ascii="Times New Roman" w:hAnsi="Times New Roman" w:cs="Times New Roman"/>
                <w:sz w:val="24"/>
              </w:rPr>
              <w:t>抗渗等级：≥P6</w:t>
            </w:r>
          </w:p>
          <w:p w14:paraId="496051DB">
            <w:pPr>
              <w:spacing w:before="24" w:after="24" w:line="288" w:lineRule="auto"/>
              <w:jc w:val="left"/>
              <w:rPr>
                <w:rFonts w:ascii="Times New Roman" w:hAnsi="Times New Roman" w:cs="Times New Roman"/>
                <w:sz w:val="24"/>
              </w:rPr>
            </w:pPr>
            <w:r>
              <w:rPr>
                <w:rFonts w:ascii="Times New Roman" w:hAnsi="Times New Roman" w:cs="Times New Roman"/>
                <w:sz w:val="24"/>
              </w:rPr>
              <w:t>钢筋:采用HPB300、HRB400级钢筋。</w:t>
            </w:r>
          </w:p>
          <w:p w14:paraId="0F31140E">
            <w:pPr>
              <w:spacing w:before="24" w:after="24" w:line="288" w:lineRule="auto"/>
              <w:jc w:val="left"/>
              <w:rPr>
                <w:rFonts w:ascii="Times New Roman" w:hAnsi="Times New Roman" w:cs="Times New Roman"/>
                <w:sz w:val="24"/>
              </w:rPr>
            </w:pPr>
            <w:r>
              <w:rPr>
                <w:rFonts w:ascii="Times New Roman" w:hAnsi="Times New Roman" w:cs="Times New Roman"/>
                <w:sz w:val="24"/>
              </w:rPr>
              <w:t>流槽:采用C15混凝土浇筑</w:t>
            </w:r>
          </w:p>
          <w:p w14:paraId="68DB1A3A">
            <w:pPr>
              <w:spacing w:before="24" w:after="24" w:line="288" w:lineRule="auto"/>
              <w:jc w:val="left"/>
              <w:rPr>
                <w:rFonts w:ascii="Times New Roman" w:hAnsi="Times New Roman" w:cs="Times New Roman"/>
                <w:sz w:val="24"/>
              </w:rPr>
            </w:pPr>
            <w:r>
              <w:rPr>
                <w:rFonts w:ascii="Times New Roman" w:hAnsi="Times New Roman" w:cs="Times New Roman"/>
                <w:sz w:val="24"/>
              </w:rPr>
              <w:t>井盖：球墨铸铁井盖，道路车行道下采用D400级及以上；人行道、非车行区下采用B125/C250级；</w:t>
            </w:r>
          </w:p>
          <w:p w14:paraId="388A054D">
            <w:pPr>
              <w:spacing w:before="24" w:after="24" w:line="288" w:lineRule="auto"/>
              <w:jc w:val="left"/>
              <w:rPr>
                <w:rFonts w:ascii="Times New Roman" w:hAnsi="Times New Roman" w:cs="Times New Roman"/>
                <w:sz w:val="24"/>
              </w:rPr>
            </w:pPr>
            <w:r>
              <w:rPr>
                <w:rFonts w:ascii="Times New Roman" w:hAnsi="Times New Roman" w:cs="Times New Roman"/>
                <w:sz w:val="24"/>
              </w:rPr>
              <w:t>井盖标识：“雨水”字样+荷载等级</w:t>
            </w:r>
          </w:p>
          <w:p w14:paraId="21FA39D6">
            <w:pPr>
              <w:spacing w:before="24" w:after="24" w:line="288" w:lineRule="auto"/>
              <w:jc w:val="left"/>
              <w:rPr>
                <w:rFonts w:ascii="Times New Roman" w:hAnsi="Times New Roman" w:cs="Times New Roman"/>
                <w:sz w:val="24"/>
              </w:rPr>
            </w:pPr>
            <w:r>
              <w:rPr>
                <w:rFonts w:ascii="Times New Roman" w:hAnsi="Times New Roman" w:cs="Times New Roman"/>
                <w:sz w:val="24"/>
              </w:rPr>
              <w:t>防坠网：不锈钢或复合材料防坠安全网</w:t>
            </w:r>
          </w:p>
        </w:tc>
        <w:tc>
          <w:tcPr>
            <w:tcW w:w="1094" w:type="dxa"/>
            <w:vAlign w:val="center"/>
          </w:tcPr>
          <w:p w14:paraId="17897893">
            <w:pPr>
              <w:spacing w:before="24" w:after="24" w:line="288" w:lineRule="auto"/>
              <w:jc w:val="center"/>
              <w:rPr>
                <w:rFonts w:ascii="Times New Roman" w:hAnsi="Times New Roman" w:cs="Times New Roman"/>
                <w:sz w:val="24"/>
              </w:rPr>
            </w:pPr>
          </w:p>
        </w:tc>
      </w:tr>
      <w:tr w14:paraId="1A54A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1DBBC140">
            <w:pPr>
              <w:spacing w:before="24" w:after="24" w:line="288" w:lineRule="auto"/>
              <w:jc w:val="center"/>
              <w:rPr>
                <w:rFonts w:ascii="Times New Roman" w:hAnsi="Times New Roman" w:cs="Times New Roman"/>
                <w:sz w:val="24"/>
              </w:rPr>
            </w:pPr>
            <w:r>
              <w:rPr>
                <w:rFonts w:ascii="Times New Roman" w:hAnsi="Times New Roman" w:cs="Times New Roman"/>
                <w:sz w:val="24"/>
              </w:rPr>
              <w:t>21</w:t>
            </w:r>
          </w:p>
        </w:tc>
        <w:tc>
          <w:tcPr>
            <w:tcW w:w="1162" w:type="dxa"/>
            <w:vMerge w:val="continue"/>
            <w:vAlign w:val="center"/>
          </w:tcPr>
          <w:p w14:paraId="46F17A3C">
            <w:pPr>
              <w:spacing w:before="24" w:after="24" w:line="288" w:lineRule="auto"/>
              <w:jc w:val="center"/>
              <w:rPr>
                <w:rFonts w:ascii="Times New Roman" w:hAnsi="Times New Roman" w:cs="Times New Roman"/>
                <w:sz w:val="24"/>
              </w:rPr>
            </w:pPr>
          </w:p>
        </w:tc>
        <w:tc>
          <w:tcPr>
            <w:tcW w:w="1982" w:type="dxa"/>
            <w:vAlign w:val="center"/>
          </w:tcPr>
          <w:p w14:paraId="38EB1C4D">
            <w:pPr>
              <w:spacing w:before="24" w:after="24" w:line="288" w:lineRule="auto"/>
              <w:jc w:val="center"/>
              <w:rPr>
                <w:rFonts w:ascii="Times New Roman" w:hAnsi="Times New Roman" w:cs="Times New Roman"/>
                <w:sz w:val="24"/>
              </w:rPr>
            </w:pPr>
            <w:r>
              <w:rPr>
                <w:rFonts w:ascii="Times New Roman" w:hAnsi="Times New Roman" w:cs="Times New Roman"/>
                <w:sz w:val="24"/>
              </w:rPr>
              <w:t>雨水口</w:t>
            </w:r>
          </w:p>
        </w:tc>
        <w:tc>
          <w:tcPr>
            <w:tcW w:w="4297" w:type="dxa"/>
            <w:vAlign w:val="center"/>
          </w:tcPr>
          <w:p w14:paraId="2EA97AE8">
            <w:pPr>
              <w:spacing w:before="24" w:after="24" w:line="288" w:lineRule="auto"/>
              <w:jc w:val="left"/>
              <w:rPr>
                <w:rFonts w:ascii="Times New Roman" w:hAnsi="Times New Roman" w:cs="Times New Roman"/>
                <w:sz w:val="24"/>
              </w:rPr>
            </w:pPr>
            <w:r>
              <w:rPr>
                <w:rFonts w:ascii="Times New Roman" w:hAnsi="Times New Roman" w:cs="Times New Roman"/>
                <w:sz w:val="24"/>
              </w:rPr>
              <w:t>类型：平箅式雨水口</w:t>
            </w:r>
          </w:p>
          <w:p w14:paraId="36DCF451">
            <w:pPr>
              <w:spacing w:before="24" w:after="24" w:line="288" w:lineRule="auto"/>
              <w:jc w:val="left"/>
              <w:rPr>
                <w:rFonts w:ascii="Times New Roman" w:hAnsi="Times New Roman" w:cs="Times New Roman"/>
                <w:sz w:val="24"/>
              </w:rPr>
            </w:pPr>
            <w:r>
              <w:rPr>
                <w:rFonts w:ascii="Times New Roman" w:hAnsi="Times New Roman" w:cs="Times New Roman"/>
                <w:sz w:val="24"/>
              </w:rPr>
              <w:t>井体：MU20混凝土砖+M10水泥砂浆</w:t>
            </w:r>
          </w:p>
          <w:p w14:paraId="55959FB1">
            <w:pPr>
              <w:spacing w:before="24" w:after="24" w:line="288" w:lineRule="auto"/>
              <w:jc w:val="left"/>
              <w:rPr>
                <w:rFonts w:ascii="Times New Roman" w:hAnsi="Times New Roman" w:cs="Times New Roman"/>
                <w:sz w:val="24"/>
              </w:rPr>
            </w:pPr>
            <w:r>
              <w:rPr>
                <w:rFonts w:ascii="Times New Roman" w:hAnsi="Times New Roman" w:cs="Times New Roman"/>
                <w:sz w:val="24"/>
              </w:rPr>
              <w:t>雨水箅子：钢筋混凝土预制雨水箅子或球墨铸铁雨水箅子，道路车行道下采用D400级及以上，人行道、非车行区下采用B125/C250级</w:t>
            </w:r>
          </w:p>
        </w:tc>
        <w:tc>
          <w:tcPr>
            <w:tcW w:w="1094" w:type="dxa"/>
            <w:vAlign w:val="center"/>
          </w:tcPr>
          <w:p w14:paraId="681C2217">
            <w:pPr>
              <w:spacing w:before="24" w:after="24" w:line="288" w:lineRule="auto"/>
              <w:jc w:val="center"/>
              <w:rPr>
                <w:rFonts w:ascii="Times New Roman" w:hAnsi="Times New Roman" w:cs="Times New Roman"/>
                <w:sz w:val="24"/>
              </w:rPr>
            </w:pPr>
          </w:p>
        </w:tc>
      </w:tr>
      <w:tr w14:paraId="63D58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3DDFEDAC">
            <w:pPr>
              <w:spacing w:before="24" w:after="24" w:line="288" w:lineRule="auto"/>
              <w:jc w:val="center"/>
              <w:rPr>
                <w:rFonts w:ascii="Times New Roman" w:hAnsi="Times New Roman" w:cs="Times New Roman"/>
                <w:sz w:val="24"/>
              </w:rPr>
            </w:pPr>
            <w:r>
              <w:rPr>
                <w:rFonts w:ascii="Times New Roman" w:hAnsi="Times New Roman" w:cs="Times New Roman"/>
                <w:sz w:val="24"/>
              </w:rPr>
              <w:t>22</w:t>
            </w:r>
          </w:p>
        </w:tc>
        <w:tc>
          <w:tcPr>
            <w:tcW w:w="1162" w:type="dxa"/>
            <w:vMerge w:val="continue"/>
            <w:vAlign w:val="center"/>
          </w:tcPr>
          <w:p w14:paraId="52ADA877">
            <w:pPr>
              <w:spacing w:before="24" w:after="24" w:line="288" w:lineRule="auto"/>
              <w:jc w:val="center"/>
              <w:rPr>
                <w:rFonts w:ascii="Times New Roman" w:hAnsi="Times New Roman" w:cs="Times New Roman"/>
                <w:sz w:val="24"/>
              </w:rPr>
            </w:pPr>
          </w:p>
        </w:tc>
        <w:tc>
          <w:tcPr>
            <w:tcW w:w="1982" w:type="dxa"/>
            <w:vAlign w:val="center"/>
          </w:tcPr>
          <w:p w14:paraId="6B24B3EC">
            <w:pPr>
              <w:spacing w:before="24" w:after="24" w:line="288" w:lineRule="auto"/>
              <w:jc w:val="center"/>
              <w:rPr>
                <w:rFonts w:ascii="Times New Roman" w:hAnsi="Times New Roman" w:cs="Times New Roman"/>
                <w:sz w:val="24"/>
              </w:rPr>
            </w:pPr>
            <w:r>
              <w:rPr>
                <w:rFonts w:ascii="Times New Roman" w:hAnsi="Times New Roman" w:cs="Times New Roman"/>
                <w:sz w:val="24"/>
              </w:rPr>
              <w:t>排出口</w:t>
            </w:r>
          </w:p>
        </w:tc>
        <w:tc>
          <w:tcPr>
            <w:tcW w:w="4297" w:type="dxa"/>
            <w:vAlign w:val="center"/>
          </w:tcPr>
          <w:p w14:paraId="7A1744A4">
            <w:pPr>
              <w:spacing w:before="24" w:after="24" w:line="288" w:lineRule="auto"/>
              <w:jc w:val="left"/>
              <w:rPr>
                <w:rFonts w:ascii="Times New Roman" w:hAnsi="Times New Roman" w:cs="Times New Roman"/>
                <w:sz w:val="24"/>
              </w:rPr>
            </w:pPr>
            <w:r>
              <w:rPr>
                <w:rFonts w:ascii="Times New Roman" w:hAnsi="Times New Roman" w:cs="Times New Roman"/>
                <w:sz w:val="24"/>
              </w:rPr>
              <w:t>类型：混凝土八字形排出口</w:t>
            </w:r>
          </w:p>
          <w:p w14:paraId="69B13499">
            <w:pPr>
              <w:spacing w:before="24" w:after="24" w:line="288" w:lineRule="auto"/>
              <w:jc w:val="left"/>
              <w:rPr>
                <w:rFonts w:ascii="Times New Roman" w:hAnsi="Times New Roman" w:cs="Times New Roman"/>
                <w:sz w:val="24"/>
              </w:rPr>
            </w:pPr>
            <w:r>
              <w:rPr>
                <w:rFonts w:ascii="Times New Roman" w:hAnsi="Times New Roman" w:cs="Times New Roman"/>
                <w:sz w:val="24"/>
              </w:rPr>
              <w:t>八字翼墙墙身及基础：C30混凝土，墙身外露部分用1:2水泥砂浆勾平缝</w:t>
            </w:r>
          </w:p>
        </w:tc>
        <w:tc>
          <w:tcPr>
            <w:tcW w:w="1094" w:type="dxa"/>
            <w:vAlign w:val="center"/>
          </w:tcPr>
          <w:p w14:paraId="4E3BB683">
            <w:pPr>
              <w:spacing w:before="24" w:after="24" w:line="288" w:lineRule="auto"/>
              <w:jc w:val="center"/>
              <w:rPr>
                <w:rFonts w:ascii="Times New Roman" w:hAnsi="Times New Roman" w:cs="Times New Roman"/>
                <w:sz w:val="24"/>
              </w:rPr>
            </w:pPr>
          </w:p>
        </w:tc>
      </w:tr>
      <w:tr w14:paraId="225D5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1286187E">
            <w:pPr>
              <w:spacing w:before="24" w:after="24" w:line="288" w:lineRule="auto"/>
              <w:jc w:val="center"/>
              <w:rPr>
                <w:rFonts w:ascii="Times New Roman" w:hAnsi="Times New Roman" w:cs="Times New Roman"/>
                <w:sz w:val="24"/>
              </w:rPr>
            </w:pPr>
            <w:r>
              <w:rPr>
                <w:rFonts w:ascii="Times New Roman" w:hAnsi="Times New Roman" w:cs="Times New Roman"/>
                <w:sz w:val="24"/>
              </w:rPr>
              <w:t>23</w:t>
            </w:r>
          </w:p>
        </w:tc>
        <w:tc>
          <w:tcPr>
            <w:tcW w:w="1162" w:type="dxa"/>
            <w:vMerge w:val="continue"/>
            <w:vAlign w:val="center"/>
          </w:tcPr>
          <w:p w14:paraId="3D6652B8">
            <w:pPr>
              <w:spacing w:before="24" w:after="24" w:line="288" w:lineRule="auto"/>
              <w:jc w:val="center"/>
              <w:rPr>
                <w:rFonts w:ascii="Times New Roman" w:hAnsi="Times New Roman" w:cs="Times New Roman"/>
                <w:sz w:val="24"/>
              </w:rPr>
            </w:pPr>
          </w:p>
        </w:tc>
        <w:tc>
          <w:tcPr>
            <w:tcW w:w="1982" w:type="dxa"/>
            <w:vAlign w:val="center"/>
          </w:tcPr>
          <w:p w14:paraId="1980387C">
            <w:pPr>
              <w:spacing w:before="24" w:after="24" w:line="288" w:lineRule="auto"/>
              <w:jc w:val="center"/>
              <w:rPr>
                <w:rFonts w:ascii="Times New Roman" w:hAnsi="Times New Roman" w:cs="Times New Roman"/>
                <w:sz w:val="24"/>
              </w:rPr>
            </w:pPr>
            <w:r>
              <w:rPr>
                <w:rFonts w:ascii="Times New Roman" w:hAnsi="Times New Roman" w:cs="Times New Roman"/>
                <w:sz w:val="24"/>
              </w:rPr>
              <w:t>雨水管</w:t>
            </w:r>
          </w:p>
        </w:tc>
        <w:tc>
          <w:tcPr>
            <w:tcW w:w="4297" w:type="dxa"/>
            <w:vAlign w:val="center"/>
          </w:tcPr>
          <w:p w14:paraId="6703A624">
            <w:pPr>
              <w:spacing w:before="24" w:after="24" w:line="288" w:lineRule="auto"/>
              <w:jc w:val="left"/>
              <w:rPr>
                <w:rFonts w:ascii="Times New Roman" w:hAnsi="Times New Roman" w:cs="Times New Roman"/>
                <w:sz w:val="24"/>
              </w:rPr>
            </w:pPr>
            <w:r>
              <w:rPr>
                <w:rFonts w:ascii="Times New Roman" w:hAnsi="Times New Roman" w:cs="Times New Roman"/>
                <w:sz w:val="24"/>
              </w:rPr>
              <w:t>类型：HDPE塑料排水管</w:t>
            </w:r>
          </w:p>
          <w:p w14:paraId="12099CA8">
            <w:pPr>
              <w:spacing w:before="24" w:after="24" w:line="288" w:lineRule="auto"/>
              <w:jc w:val="left"/>
              <w:rPr>
                <w:rFonts w:ascii="Times New Roman" w:hAnsi="Times New Roman" w:cs="Times New Roman"/>
                <w:sz w:val="24"/>
              </w:rPr>
            </w:pPr>
            <w:r>
              <w:rPr>
                <w:rFonts w:ascii="Times New Roman" w:hAnsi="Times New Roman" w:cs="Times New Roman"/>
                <w:sz w:val="24"/>
              </w:rPr>
              <w:t>环刚度:≥12.5K/m</w:t>
            </w:r>
            <w:r>
              <w:rPr>
                <w:rFonts w:ascii="Times New Roman" w:hAnsi="Times New Roman" w:cs="Times New Roman"/>
                <w:sz w:val="24"/>
                <w:vertAlign w:val="superscript"/>
              </w:rPr>
              <w:t>2</w:t>
            </w:r>
          </w:p>
          <w:p w14:paraId="15CB89E3">
            <w:pPr>
              <w:spacing w:before="24" w:after="24" w:line="288" w:lineRule="auto"/>
              <w:jc w:val="left"/>
              <w:rPr>
                <w:rFonts w:ascii="Times New Roman" w:hAnsi="Times New Roman" w:cs="Times New Roman"/>
                <w:sz w:val="24"/>
              </w:rPr>
            </w:pPr>
            <w:r>
              <w:rPr>
                <w:rFonts w:ascii="Times New Roman" w:hAnsi="Times New Roman" w:cs="Times New Roman"/>
                <w:sz w:val="24"/>
              </w:rPr>
              <w:t>材料:PE80或PE100级高密度聚乙烯</w:t>
            </w:r>
          </w:p>
          <w:p w14:paraId="3C758D6D">
            <w:pPr>
              <w:spacing w:before="24" w:after="24" w:line="288" w:lineRule="auto"/>
              <w:jc w:val="left"/>
              <w:rPr>
                <w:rFonts w:ascii="Times New Roman" w:hAnsi="Times New Roman" w:cs="Times New Roman"/>
                <w:sz w:val="24"/>
              </w:rPr>
            </w:pPr>
            <w:r>
              <w:rPr>
                <w:rFonts w:ascii="Times New Roman" w:hAnsi="Times New Roman" w:cs="Times New Roman"/>
                <w:sz w:val="24"/>
              </w:rPr>
              <w:t>连接形式：承插式+橡胶圈密封</w:t>
            </w:r>
          </w:p>
          <w:p w14:paraId="04BF5EC6">
            <w:pPr>
              <w:spacing w:before="24" w:after="24" w:line="288" w:lineRule="auto"/>
              <w:jc w:val="left"/>
              <w:rPr>
                <w:rFonts w:ascii="Times New Roman" w:hAnsi="Times New Roman" w:cs="Times New Roman"/>
                <w:sz w:val="24"/>
              </w:rPr>
            </w:pPr>
            <w:r>
              <w:rPr>
                <w:rFonts w:ascii="Times New Roman" w:hAnsi="Times New Roman" w:cs="Times New Roman"/>
                <w:sz w:val="24"/>
              </w:rPr>
              <w:t>设计使用寿命：≥50年</w:t>
            </w:r>
          </w:p>
          <w:p w14:paraId="3CA3930B">
            <w:pPr>
              <w:spacing w:before="24" w:after="24" w:line="288" w:lineRule="auto"/>
              <w:jc w:val="left"/>
              <w:rPr>
                <w:rFonts w:ascii="Times New Roman" w:hAnsi="Times New Roman" w:cs="Times New Roman"/>
                <w:sz w:val="24"/>
              </w:rPr>
            </w:pPr>
            <w:r>
              <w:rPr>
                <w:rFonts w:ascii="Times New Roman" w:hAnsi="Times New Roman" w:cs="Times New Roman"/>
                <w:sz w:val="24"/>
              </w:rPr>
              <w:t>公称直径范围：DN200～DN500</w:t>
            </w:r>
          </w:p>
        </w:tc>
        <w:tc>
          <w:tcPr>
            <w:tcW w:w="1094" w:type="dxa"/>
            <w:vAlign w:val="center"/>
          </w:tcPr>
          <w:p w14:paraId="6A4CE0EA">
            <w:pPr>
              <w:spacing w:before="24" w:after="24" w:line="288" w:lineRule="auto"/>
              <w:jc w:val="center"/>
              <w:rPr>
                <w:rFonts w:ascii="Times New Roman" w:hAnsi="Times New Roman" w:cs="Times New Roman"/>
                <w:sz w:val="24"/>
              </w:rPr>
            </w:pPr>
          </w:p>
        </w:tc>
      </w:tr>
      <w:tr w14:paraId="7736E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72911B88">
            <w:pPr>
              <w:spacing w:before="24" w:after="24" w:line="288" w:lineRule="auto"/>
              <w:jc w:val="center"/>
              <w:rPr>
                <w:rFonts w:ascii="Times New Roman" w:hAnsi="Times New Roman" w:cs="Times New Roman"/>
                <w:sz w:val="24"/>
              </w:rPr>
            </w:pPr>
            <w:r>
              <w:rPr>
                <w:rFonts w:ascii="Times New Roman" w:hAnsi="Times New Roman" w:cs="Times New Roman"/>
                <w:sz w:val="24"/>
              </w:rPr>
              <w:t>24</w:t>
            </w:r>
          </w:p>
        </w:tc>
        <w:tc>
          <w:tcPr>
            <w:tcW w:w="1162" w:type="dxa"/>
            <w:vMerge w:val="continue"/>
            <w:vAlign w:val="center"/>
          </w:tcPr>
          <w:p w14:paraId="43DA2DC3">
            <w:pPr>
              <w:spacing w:before="24" w:after="24" w:line="288" w:lineRule="auto"/>
              <w:jc w:val="center"/>
              <w:rPr>
                <w:rFonts w:ascii="Times New Roman" w:hAnsi="Times New Roman" w:cs="Times New Roman"/>
                <w:sz w:val="24"/>
              </w:rPr>
            </w:pPr>
          </w:p>
        </w:tc>
        <w:tc>
          <w:tcPr>
            <w:tcW w:w="1982" w:type="dxa"/>
            <w:vAlign w:val="center"/>
          </w:tcPr>
          <w:p w14:paraId="241A6756">
            <w:pPr>
              <w:spacing w:before="24" w:after="24" w:line="288" w:lineRule="auto"/>
              <w:jc w:val="center"/>
              <w:rPr>
                <w:rFonts w:ascii="Times New Roman" w:hAnsi="Times New Roman" w:cs="Times New Roman"/>
                <w:sz w:val="24"/>
              </w:rPr>
            </w:pPr>
            <w:r>
              <w:rPr>
                <w:rFonts w:ascii="Times New Roman" w:hAnsi="Times New Roman" w:cs="Times New Roman"/>
                <w:sz w:val="24"/>
              </w:rPr>
              <w:t>雨水管</w:t>
            </w:r>
          </w:p>
        </w:tc>
        <w:tc>
          <w:tcPr>
            <w:tcW w:w="4297" w:type="dxa"/>
            <w:vAlign w:val="center"/>
          </w:tcPr>
          <w:p w14:paraId="23FB0B63">
            <w:pPr>
              <w:spacing w:before="24" w:after="24" w:line="288" w:lineRule="auto"/>
              <w:jc w:val="left"/>
              <w:rPr>
                <w:rFonts w:ascii="Times New Roman" w:hAnsi="Times New Roman" w:cs="Times New Roman"/>
                <w:sz w:val="24"/>
              </w:rPr>
            </w:pPr>
            <w:r>
              <w:rPr>
                <w:rFonts w:ascii="Times New Roman" w:hAnsi="Times New Roman" w:cs="Times New Roman"/>
                <w:sz w:val="24"/>
              </w:rPr>
              <w:t>类型：I级钢筋混凝土排水管</w:t>
            </w:r>
          </w:p>
          <w:p w14:paraId="70F090D4">
            <w:pPr>
              <w:spacing w:before="24" w:after="24" w:line="288" w:lineRule="auto"/>
              <w:jc w:val="left"/>
              <w:rPr>
                <w:rFonts w:ascii="Times New Roman" w:hAnsi="Times New Roman" w:cs="Times New Roman"/>
                <w:sz w:val="24"/>
              </w:rPr>
            </w:pPr>
            <w:r>
              <w:rPr>
                <w:rFonts w:ascii="Times New Roman" w:hAnsi="Times New Roman" w:cs="Times New Roman"/>
                <w:sz w:val="24"/>
              </w:rPr>
              <w:t>埋深：≤4m</w:t>
            </w:r>
          </w:p>
          <w:p w14:paraId="57F11A3D">
            <w:pPr>
              <w:spacing w:before="24" w:after="24" w:line="288" w:lineRule="auto"/>
              <w:jc w:val="left"/>
              <w:rPr>
                <w:rFonts w:ascii="Times New Roman" w:hAnsi="Times New Roman" w:cs="Times New Roman"/>
                <w:sz w:val="24"/>
              </w:rPr>
            </w:pPr>
            <w:r>
              <w:rPr>
                <w:rFonts w:ascii="Times New Roman" w:hAnsi="Times New Roman" w:cs="Times New Roman"/>
                <w:sz w:val="24"/>
              </w:rPr>
              <w:t>材料：砼≥C30，HPB300或HRB400热轧光圆/带肋钢筋</w:t>
            </w:r>
          </w:p>
          <w:p w14:paraId="57886E80">
            <w:pPr>
              <w:spacing w:before="24" w:after="24" w:line="288" w:lineRule="auto"/>
              <w:jc w:val="left"/>
              <w:rPr>
                <w:rFonts w:ascii="Times New Roman" w:hAnsi="Times New Roman" w:cs="Times New Roman"/>
                <w:sz w:val="24"/>
              </w:rPr>
            </w:pPr>
            <w:r>
              <w:rPr>
                <w:rFonts w:ascii="Times New Roman" w:hAnsi="Times New Roman" w:cs="Times New Roman"/>
                <w:sz w:val="24"/>
              </w:rPr>
              <w:t>连接方式：承插式+橡胶圈密封</w:t>
            </w:r>
          </w:p>
          <w:p w14:paraId="28040443">
            <w:pPr>
              <w:spacing w:before="24" w:after="24" w:line="288" w:lineRule="auto"/>
              <w:jc w:val="left"/>
              <w:rPr>
                <w:rFonts w:ascii="Times New Roman" w:hAnsi="Times New Roman" w:cs="Times New Roman"/>
                <w:sz w:val="24"/>
              </w:rPr>
            </w:pPr>
            <w:r>
              <w:rPr>
                <w:rFonts w:ascii="Times New Roman" w:hAnsi="Times New Roman" w:cs="Times New Roman"/>
                <w:sz w:val="24"/>
              </w:rPr>
              <w:t>设计使用寿命：≥50年</w:t>
            </w:r>
          </w:p>
          <w:p w14:paraId="3D243710">
            <w:pPr>
              <w:spacing w:before="24" w:after="24" w:line="288" w:lineRule="auto"/>
              <w:jc w:val="left"/>
              <w:rPr>
                <w:rFonts w:ascii="Times New Roman" w:hAnsi="Times New Roman" w:cs="Times New Roman"/>
                <w:sz w:val="24"/>
              </w:rPr>
            </w:pPr>
            <w:r>
              <w:rPr>
                <w:rFonts w:ascii="Times New Roman" w:hAnsi="Times New Roman" w:cs="Times New Roman"/>
                <w:sz w:val="24"/>
              </w:rPr>
              <w:t>公称直径范围：DN600～DN3000</w:t>
            </w:r>
          </w:p>
        </w:tc>
        <w:tc>
          <w:tcPr>
            <w:tcW w:w="1094" w:type="dxa"/>
            <w:vAlign w:val="center"/>
          </w:tcPr>
          <w:p w14:paraId="3161278C">
            <w:pPr>
              <w:spacing w:before="24" w:after="24" w:line="288" w:lineRule="auto"/>
              <w:jc w:val="center"/>
              <w:rPr>
                <w:rFonts w:ascii="Times New Roman" w:hAnsi="Times New Roman" w:cs="Times New Roman"/>
                <w:sz w:val="24"/>
              </w:rPr>
            </w:pPr>
          </w:p>
        </w:tc>
      </w:tr>
      <w:tr w14:paraId="7B609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10EE6AE1">
            <w:pPr>
              <w:spacing w:before="24" w:after="24" w:line="288" w:lineRule="auto"/>
              <w:jc w:val="center"/>
              <w:rPr>
                <w:rFonts w:ascii="Times New Roman" w:hAnsi="Times New Roman" w:cs="Times New Roman"/>
                <w:sz w:val="24"/>
              </w:rPr>
            </w:pPr>
            <w:r>
              <w:rPr>
                <w:rFonts w:ascii="Times New Roman" w:hAnsi="Times New Roman" w:cs="Times New Roman"/>
                <w:sz w:val="24"/>
              </w:rPr>
              <w:t>25</w:t>
            </w:r>
          </w:p>
        </w:tc>
        <w:tc>
          <w:tcPr>
            <w:tcW w:w="1162" w:type="dxa"/>
            <w:vMerge w:val="continue"/>
            <w:vAlign w:val="center"/>
          </w:tcPr>
          <w:p w14:paraId="2586F54F">
            <w:pPr>
              <w:spacing w:before="24" w:after="24" w:line="288" w:lineRule="auto"/>
              <w:jc w:val="center"/>
              <w:rPr>
                <w:rFonts w:ascii="Times New Roman" w:hAnsi="Times New Roman" w:cs="Times New Roman"/>
                <w:sz w:val="24"/>
              </w:rPr>
            </w:pPr>
          </w:p>
        </w:tc>
        <w:tc>
          <w:tcPr>
            <w:tcW w:w="1982" w:type="dxa"/>
            <w:vAlign w:val="center"/>
          </w:tcPr>
          <w:p w14:paraId="457D9AAF">
            <w:pPr>
              <w:spacing w:before="24" w:after="24" w:line="288" w:lineRule="auto"/>
              <w:jc w:val="center"/>
              <w:rPr>
                <w:rFonts w:ascii="Times New Roman" w:hAnsi="Times New Roman" w:cs="Times New Roman"/>
                <w:sz w:val="24"/>
              </w:rPr>
            </w:pPr>
            <w:r>
              <w:rPr>
                <w:rFonts w:ascii="Times New Roman" w:hAnsi="Times New Roman" w:cs="Times New Roman"/>
                <w:sz w:val="24"/>
              </w:rPr>
              <w:t>雨水管</w:t>
            </w:r>
          </w:p>
        </w:tc>
        <w:tc>
          <w:tcPr>
            <w:tcW w:w="4297" w:type="dxa"/>
            <w:vAlign w:val="center"/>
          </w:tcPr>
          <w:p w14:paraId="7EA4143F">
            <w:pPr>
              <w:spacing w:before="24" w:after="24" w:line="288" w:lineRule="auto"/>
              <w:jc w:val="left"/>
              <w:rPr>
                <w:rFonts w:ascii="Times New Roman" w:hAnsi="Times New Roman" w:cs="Times New Roman"/>
                <w:sz w:val="24"/>
              </w:rPr>
            </w:pPr>
            <w:r>
              <w:rPr>
                <w:rFonts w:ascii="Times New Roman" w:hAnsi="Times New Roman" w:cs="Times New Roman"/>
                <w:sz w:val="24"/>
              </w:rPr>
              <w:t>类型：II级钢筋混凝土排水管</w:t>
            </w:r>
          </w:p>
          <w:p w14:paraId="77A9AB92">
            <w:pPr>
              <w:spacing w:before="24" w:after="24" w:line="288" w:lineRule="auto"/>
              <w:jc w:val="left"/>
              <w:rPr>
                <w:rFonts w:ascii="Times New Roman" w:hAnsi="Times New Roman" w:cs="Times New Roman"/>
                <w:sz w:val="24"/>
              </w:rPr>
            </w:pPr>
            <w:r>
              <w:rPr>
                <w:rFonts w:ascii="Times New Roman" w:hAnsi="Times New Roman" w:cs="Times New Roman"/>
                <w:sz w:val="24"/>
              </w:rPr>
              <w:t>埋深：4～6m</w:t>
            </w:r>
          </w:p>
          <w:p w14:paraId="4327F574">
            <w:pPr>
              <w:spacing w:before="24" w:after="24" w:line="288" w:lineRule="auto"/>
              <w:jc w:val="left"/>
              <w:rPr>
                <w:rFonts w:ascii="Times New Roman" w:hAnsi="Times New Roman" w:cs="Times New Roman"/>
                <w:sz w:val="24"/>
              </w:rPr>
            </w:pPr>
            <w:r>
              <w:rPr>
                <w:rFonts w:ascii="Times New Roman" w:hAnsi="Times New Roman" w:cs="Times New Roman"/>
                <w:sz w:val="24"/>
              </w:rPr>
              <w:t>材料：砼≥C30，HPB300或HRB400热轧光圆/带肋钢筋</w:t>
            </w:r>
          </w:p>
          <w:p w14:paraId="6F002EE4">
            <w:pPr>
              <w:spacing w:before="24" w:after="24" w:line="288" w:lineRule="auto"/>
              <w:jc w:val="left"/>
              <w:rPr>
                <w:rFonts w:ascii="Times New Roman" w:hAnsi="Times New Roman" w:cs="Times New Roman"/>
                <w:sz w:val="24"/>
              </w:rPr>
            </w:pPr>
            <w:r>
              <w:rPr>
                <w:rFonts w:ascii="Times New Roman" w:hAnsi="Times New Roman" w:cs="Times New Roman"/>
                <w:sz w:val="24"/>
              </w:rPr>
              <w:t>连接方式：承插式+橡胶圈密封</w:t>
            </w:r>
          </w:p>
          <w:p w14:paraId="7513D32A">
            <w:pPr>
              <w:spacing w:before="24" w:after="24" w:line="288" w:lineRule="auto"/>
              <w:jc w:val="left"/>
              <w:rPr>
                <w:rFonts w:ascii="Times New Roman" w:hAnsi="Times New Roman" w:cs="Times New Roman"/>
                <w:sz w:val="24"/>
              </w:rPr>
            </w:pPr>
            <w:r>
              <w:rPr>
                <w:rFonts w:ascii="Times New Roman" w:hAnsi="Times New Roman" w:cs="Times New Roman"/>
                <w:sz w:val="24"/>
              </w:rPr>
              <w:t>设计使用寿命：≥50年</w:t>
            </w:r>
          </w:p>
          <w:p w14:paraId="1498F9A8">
            <w:pPr>
              <w:spacing w:before="24" w:after="24" w:line="288" w:lineRule="auto"/>
              <w:jc w:val="left"/>
              <w:rPr>
                <w:rFonts w:ascii="Times New Roman" w:hAnsi="Times New Roman" w:cs="Times New Roman"/>
                <w:sz w:val="24"/>
              </w:rPr>
            </w:pPr>
            <w:r>
              <w:rPr>
                <w:rFonts w:ascii="Times New Roman" w:hAnsi="Times New Roman" w:cs="Times New Roman"/>
                <w:sz w:val="24"/>
              </w:rPr>
              <w:t>公称直径范围：DN600～DN3000</w:t>
            </w:r>
          </w:p>
        </w:tc>
        <w:tc>
          <w:tcPr>
            <w:tcW w:w="1094" w:type="dxa"/>
            <w:vAlign w:val="center"/>
          </w:tcPr>
          <w:p w14:paraId="4BAE5E33">
            <w:pPr>
              <w:spacing w:before="24" w:after="24" w:line="288" w:lineRule="auto"/>
              <w:jc w:val="center"/>
              <w:rPr>
                <w:rFonts w:ascii="Times New Roman" w:hAnsi="Times New Roman" w:cs="Times New Roman"/>
                <w:sz w:val="24"/>
              </w:rPr>
            </w:pPr>
          </w:p>
        </w:tc>
      </w:tr>
      <w:tr w14:paraId="54398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44BCA543">
            <w:pPr>
              <w:spacing w:before="24" w:after="24" w:line="288" w:lineRule="auto"/>
              <w:jc w:val="center"/>
              <w:rPr>
                <w:rFonts w:ascii="Times New Roman" w:hAnsi="Times New Roman" w:cs="Times New Roman"/>
                <w:sz w:val="24"/>
              </w:rPr>
            </w:pPr>
            <w:r>
              <w:rPr>
                <w:rFonts w:ascii="Times New Roman" w:hAnsi="Times New Roman" w:cs="Times New Roman"/>
                <w:sz w:val="24"/>
              </w:rPr>
              <w:t>26</w:t>
            </w:r>
          </w:p>
        </w:tc>
        <w:tc>
          <w:tcPr>
            <w:tcW w:w="1162" w:type="dxa"/>
            <w:vMerge w:val="continue"/>
            <w:vAlign w:val="center"/>
          </w:tcPr>
          <w:p w14:paraId="141CCEBD">
            <w:pPr>
              <w:spacing w:before="24" w:after="24" w:line="288" w:lineRule="auto"/>
              <w:jc w:val="center"/>
              <w:rPr>
                <w:rFonts w:ascii="Times New Roman" w:hAnsi="Times New Roman" w:cs="Times New Roman"/>
                <w:sz w:val="24"/>
              </w:rPr>
            </w:pPr>
          </w:p>
        </w:tc>
        <w:tc>
          <w:tcPr>
            <w:tcW w:w="1982" w:type="dxa"/>
            <w:vAlign w:val="center"/>
          </w:tcPr>
          <w:p w14:paraId="3033E282">
            <w:pPr>
              <w:spacing w:before="24" w:after="24" w:line="288" w:lineRule="auto"/>
              <w:jc w:val="center"/>
              <w:rPr>
                <w:rFonts w:ascii="Times New Roman" w:hAnsi="Times New Roman" w:cs="Times New Roman"/>
                <w:sz w:val="24"/>
              </w:rPr>
            </w:pPr>
            <w:r>
              <w:rPr>
                <w:rFonts w:ascii="Times New Roman" w:hAnsi="Times New Roman" w:cs="Times New Roman"/>
                <w:sz w:val="24"/>
              </w:rPr>
              <w:t>雨水管</w:t>
            </w:r>
          </w:p>
        </w:tc>
        <w:tc>
          <w:tcPr>
            <w:tcW w:w="4297" w:type="dxa"/>
            <w:vAlign w:val="center"/>
          </w:tcPr>
          <w:p w14:paraId="51855165">
            <w:pPr>
              <w:spacing w:before="24" w:after="24" w:line="288" w:lineRule="auto"/>
              <w:jc w:val="left"/>
              <w:rPr>
                <w:rFonts w:ascii="Times New Roman" w:hAnsi="Times New Roman" w:cs="Times New Roman"/>
                <w:sz w:val="24"/>
              </w:rPr>
            </w:pPr>
            <w:r>
              <w:rPr>
                <w:rFonts w:ascii="Times New Roman" w:hAnsi="Times New Roman" w:cs="Times New Roman"/>
                <w:sz w:val="24"/>
              </w:rPr>
              <w:t>类型：III级钢筋混凝土排水管</w:t>
            </w:r>
          </w:p>
          <w:p w14:paraId="02906411">
            <w:pPr>
              <w:spacing w:before="24" w:after="24" w:line="288" w:lineRule="auto"/>
              <w:jc w:val="left"/>
              <w:rPr>
                <w:rFonts w:ascii="Times New Roman" w:hAnsi="Times New Roman" w:cs="Times New Roman"/>
                <w:sz w:val="24"/>
              </w:rPr>
            </w:pPr>
            <w:r>
              <w:rPr>
                <w:rFonts w:ascii="Times New Roman" w:hAnsi="Times New Roman" w:cs="Times New Roman"/>
                <w:sz w:val="24"/>
              </w:rPr>
              <w:t>埋深：</w:t>
            </w:r>
            <w:r>
              <w:rPr>
                <w:rFonts w:ascii="Times New Roman" w:hAnsi="Times New Roman" w:eastAsia="楷体" w:cs="Times New Roman"/>
                <w:sz w:val="24"/>
              </w:rPr>
              <w:t>≥</w:t>
            </w:r>
            <w:r>
              <w:rPr>
                <w:rFonts w:ascii="Times New Roman" w:hAnsi="Times New Roman" w:cs="Times New Roman"/>
                <w:sz w:val="24"/>
              </w:rPr>
              <w:t>6m</w:t>
            </w:r>
          </w:p>
          <w:p w14:paraId="785B8184">
            <w:pPr>
              <w:spacing w:before="24" w:after="24" w:line="288" w:lineRule="auto"/>
              <w:jc w:val="left"/>
              <w:rPr>
                <w:rFonts w:ascii="Times New Roman" w:hAnsi="Times New Roman" w:cs="Times New Roman"/>
                <w:sz w:val="24"/>
              </w:rPr>
            </w:pPr>
            <w:r>
              <w:rPr>
                <w:rFonts w:ascii="Times New Roman" w:hAnsi="Times New Roman" w:cs="Times New Roman"/>
                <w:sz w:val="24"/>
              </w:rPr>
              <w:t>材料：砼≥C30，HPB300或HRB400热轧光圆/带肋钢筋</w:t>
            </w:r>
          </w:p>
          <w:p w14:paraId="69849EA3">
            <w:pPr>
              <w:spacing w:before="24" w:after="24" w:line="288" w:lineRule="auto"/>
              <w:jc w:val="left"/>
              <w:rPr>
                <w:rFonts w:ascii="Times New Roman" w:hAnsi="Times New Roman" w:cs="Times New Roman"/>
                <w:sz w:val="24"/>
              </w:rPr>
            </w:pPr>
            <w:r>
              <w:rPr>
                <w:rFonts w:ascii="Times New Roman" w:hAnsi="Times New Roman" w:cs="Times New Roman"/>
                <w:sz w:val="24"/>
              </w:rPr>
              <w:t>连接方式：承插式+橡胶圈密封</w:t>
            </w:r>
          </w:p>
          <w:p w14:paraId="1FC6C389">
            <w:pPr>
              <w:spacing w:before="24" w:after="24" w:line="288" w:lineRule="auto"/>
              <w:jc w:val="left"/>
              <w:rPr>
                <w:rFonts w:ascii="Times New Roman" w:hAnsi="Times New Roman" w:cs="Times New Roman"/>
                <w:sz w:val="24"/>
              </w:rPr>
            </w:pPr>
            <w:r>
              <w:rPr>
                <w:rFonts w:ascii="Times New Roman" w:hAnsi="Times New Roman" w:cs="Times New Roman"/>
                <w:sz w:val="24"/>
              </w:rPr>
              <w:t>设计使用寿命：≥50年</w:t>
            </w:r>
          </w:p>
          <w:p w14:paraId="27481CF6">
            <w:pPr>
              <w:spacing w:before="24" w:after="24" w:line="288" w:lineRule="auto"/>
              <w:jc w:val="left"/>
              <w:rPr>
                <w:rFonts w:ascii="Times New Roman" w:hAnsi="Times New Roman" w:cs="Times New Roman"/>
                <w:sz w:val="24"/>
              </w:rPr>
            </w:pPr>
            <w:r>
              <w:rPr>
                <w:rFonts w:ascii="Times New Roman" w:hAnsi="Times New Roman" w:cs="Times New Roman"/>
                <w:sz w:val="24"/>
              </w:rPr>
              <w:t>公称直径范围：DN600～DN3000</w:t>
            </w:r>
          </w:p>
        </w:tc>
        <w:tc>
          <w:tcPr>
            <w:tcW w:w="1094" w:type="dxa"/>
            <w:vAlign w:val="center"/>
          </w:tcPr>
          <w:p w14:paraId="148BDA11">
            <w:pPr>
              <w:spacing w:before="24" w:after="24" w:line="288" w:lineRule="auto"/>
              <w:jc w:val="center"/>
              <w:rPr>
                <w:rFonts w:ascii="Times New Roman" w:hAnsi="Times New Roman" w:cs="Times New Roman"/>
                <w:sz w:val="24"/>
              </w:rPr>
            </w:pPr>
          </w:p>
        </w:tc>
      </w:tr>
      <w:tr w14:paraId="068EC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3E649BD4">
            <w:pPr>
              <w:spacing w:before="24" w:after="24" w:line="288" w:lineRule="auto"/>
              <w:jc w:val="center"/>
              <w:rPr>
                <w:rFonts w:ascii="Times New Roman" w:hAnsi="Times New Roman" w:cs="Times New Roman"/>
                <w:sz w:val="24"/>
              </w:rPr>
            </w:pPr>
            <w:r>
              <w:rPr>
                <w:rFonts w:ascii="Times New Roman" w:hAnsi="Times New Roman" w:cs="Times New Roman"/>
                <w:sz w:val="24"/>
              </w:rPr>
              <w:t>27</w:t>
            </w:r>
          </w:p>
        </w:tc>
        <w:tc>
          <w:tcPr>
            <w:tcW w:w="1162" w:type="dxa"/>
            <w:vMerge w:val="continue"/>
            <w:vAlign w:val="center"/>
          </w:tcPr>
          <w:p w14:paraId="34BADAE6">
            <w:pPr>
              <w:spacing w:before="24" w:after="24" w:line="288" w:lineRule="auto"/>
              <w:jc w:val="center"/>
              <w:rPr>
                <w:rFonts w:ascii="Times New Roman" w:hAnsi="Times New Roman" w:cs="Times New Roman"/>
                <w:sz w:val="24"/>
              </w:rPr>
            </w:pPr>
          </w:p>
        </w:tc>
        <w:tc>
          <w:tcPr>
            <w:tcW w:w="1982" w:type="dxa"/>
            <w:vAlign w:val="center"/>
          </w:tcPr>
          <w:p w14:paraId="7F6C7CF2">
            <w:pPr>
              <w:spacing w:before="24" w:after="24" w:line="288" w:lineRule="auto"/>
              <w:jc w:val="center"/>
              <w:rPr>
                <w:rFonts w:ascii="Times New Roman" w:hAnsi="Times New Roman" w:cs="Times New Roman"/>
                <w:sz w:val="24"/>
              </w:rPr>
            </w:pPr>
            <w:r>
              <w:rPr>
                <w:rFonts w:ascii="Times New Roman" w:hAnsi="Times New Roman" w:cs="Times New Roman"/>
                <w:sz w:val="24"/>
              </w:rPr>
              <w:t>雨水管</w:t>
            </w:r>
          </w:p>
        </w:tc>
        <w:tc>
          <w:tcPr>
            <w:tcW w:w="4297" w:type="dxa"/>
            <w:vAlign w:val="center"/>
          </w:tcPr>
          <w:p w14:paraId="0002567D">
            <w:pPr>
              <w:spacing w:before="24" w:after="24" w:line="288" w:lineRule="auto"/>
              <w:jc w:val="left"/>
              <w:rPr>
                <w:rFonts w:ascii="Times New Roman" w:hAnsi="Times New Roman" w:cs="Times New Roman"/>
                <w:sz w:val="24"/>
              </w:rPr>
            </w:pPr>
            <w:r>
              <w:rPr>
                <w:rFonts w:ascii="Times New Roman" w:hAnsi="Times New Roman" w:cs="Times New Roman"/>
                <w:sz w:val="24"/>
              </w:rPr>
              <w:t>UPVC塑料排水管/DN100～DN200</w:t>
            </w:r>
          </w:p>
        </w:tc>
        <w:tc>
          <w:tcPr>
            <w:tcW w:w="1094" w:type="dxa"/>
            <w:vAlign w:val="center"/>
          </w:tcPr>
          <w:p w14:paraId="74BCB593">
            <w:pPr>
              <w:spacing w:before="24" w:after="24" w:line="288" w:lineRule="auto"/>
              <w:jc w:val="center"/>
              <w:rPr>
                <w:rFonts w:ascii="Times New Roman" w:hAnsi="Times New Roman" w:cs="Times New Roman"/>
                <w:sz w:val="24"/>
              </w:rPr>
            </w:pPr>
          </w:p>
        </w:tc>
      </w:tr>
      <w:tr w14:paraId="5C5DD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2DE0EB5C">
            <w:pPr>
              <w:spacing w:before="24" w:after="24" w:line="288" w:lineRule="auto"/>
              <w:jc w:val="center"/>
              <w:rPr>
                <w:rFonts w:ascii="Times New Roman" w:hAnsi="Times New Roman" w:cs="Times New Roman"/>
                <w:sz w:val="24"/>
              </w:rPr>
            </w:pPr>
            <w:r>
              <w:rPr>
                <w:rFonts w:ascii="Times New Roman" w:hAnsi="Times New Roman" w:cs="Times New Roman"/>
                <w:sz w:val="24"/>
              </w:rPr>
              <w:t>28</w:t>
            </w:r>
          </w:p>
        </w:tc>
        <w:tc>
          <w:tcPr>
            <w:tcW w:w="1162" w:type="dxa"/>
            <w:vMerge w:val="restart"/>
            <w:vAlign w:val="center"/>
          </w:tcPr>
          <w:p w14:paraId="28B1F380">
            <w:pPr>
              <w:spacing w:before="24" w:after="24" w:line="288" w:lineRule="auto"/>
              <w:jc w:val="center"/>
              <w:rPr>
                <w:rFonts w:ascii="Times New Roman" w:hAnsi="Times New Roman" w:cs="Times New Roman"/>
                <w:sz w:val="24"/>
              </w:rPr>
            </w:pPr>
            <w:r>
              <w:rPr>
                <w:rFonts w:ascii="Times New Roman" w:hAnsi="Times New Roman" w:cs="Times New Roman"/>
                <w:sz w:val="24"/>
              </w:rPr>
              <w:t>污水管道工程</w:t>
            </w:r>
          </w:p>
        </w:tc>
        <w:tc>
          <w:tcPr>
            <w:tcW w:w="1982" w:type="dxa"/>
            <w:vAlign w:val="center"/>
          </w:tcPr>
          <w:p w14:paraId="4DD74F7D">
            <w:pPr>
              <w:spacing w:before="24" w:after="24" w:line="288" w:lineRule="auto"/>
              <w:jc w:val="center"/>
              <w:rPr>
                <w:rFonts w:ascii="Times New Roman" w:hAnsi="Times New Roman" w:cs="Times New Roman"/>
                <w:sz w:val="24"/>
              </w:rPr>
            </w:pPr>
            <w:r>
              <w:rPr>
                <w:rFonts w:ascii="Times New Roman" w:hAnsi="Times New Roman" w:cs="Times New Roman"/>
                <w:sz w:val="24"/>
              </w:rPr>
              <w:t>污水管</w:t>
            </w:r>
          </w:p>
        </w:tc>
        <w:tc>
          <w:tcPr>
            <w:tcW w:w="4297" w:type="dxa"/>
            <w:vAlign w:val="center"/>
          </w:tcPr>
          <w:p w14:paraId="58114E04">
            <w:pPr>
              <w:spacing w:before="24" w:after="24" w:line="288" w:lineRule="auto"/>
              <w:jc w:val="left"/>
              <w:rPr>
                <w:rFonts w:ascii="Times New Roman" w:hAnsi="Times New Roman" w:cs="Times New Roman"/>
                <w:sz w:val="24"/>
              </w:rPr>
            </w:pPr>
            <w:r>
              <w:rPr>
                <w:rFonts w:ascii="Times New Roman" w:hAnsi="Times New Roman" w:cs="Times New Roman"/>
                <w:sz w:val="24"/>
              </w:rPr>
              <w:t>类型：HDPE塑料排水管</w:t>
            </w:r>
          </w:p>
          <w:p w14:paraId="2AEAE6F7">
            <w:pPr>
              <w:spacing w:before="24" w:after="24" w:line="288" w:lineRule="auto"/>
              <w:jc w:val="left"/>
              <w:rPr>
                <w:rFonts w:ascii="Times New Roman" w:hAnsi="Times New Roman" w:cs="Times New Roman"/>
                <w:sz w:val="24"/>
              </w:rPr>
            </w:pPr>
            <w:r>
              <w:rPr>
                <w:rFonts w:ascii="Times New Roman" w:hAnsi="Times New Roman" w:cs="Times New Roman"/>
                <w:sz w:val="24"/>
              </w:rPr>
              <w:t>环刚度：≥12.5kN/㎡</w:t>
            </w:r>
          </w:p>
          <w:p w14:paraId="10AB60B5">
            <w:pPr>
              <w:spacing w:before="24" w:after="24" w:line="288" w:lineRule="auto"/>
              <w:jc w:val="left"/>
              <w:rPr>
                <w:rFonts w:ascii="Times New Roman" w:hAnsi="Times New Roman" w:cs="Times New Roman"/>
                <w:sz w:val="24"/>
              </w:rPr>
            </w:pPr>
            <w:r>
              <w:rPr>
                <w:rFonts w:ascii="Times New Roman" w:hAnsi="Times New Roman" w:cs="Times New Roman"/>
                <w:sz w:val="24"/>
              </w:rPr>
              <w:t>材料：PE80或PE100级高密度聚乙烯</w:t>
            </w:r>
          </w:p>
          <w:p w14:paraId="19A9C477">
            <w:pPr>
              <w:spacing w:before="24" w:after="24" w:line="288" w:lineRule="auto"/>
              <w:jc w:val="left"/>
              <w:rPr>
                <w:rFonts w:ascii="Times New Roman" w:hAnsi="Times New Roman" w:cs="Times New Roman"/>
                <w:sz w:val="24"/>
              </w:rPr>
            </w:pPr>
            <w:r>
              <w:rPr>
                <w:rFonts w:ascii="Times New Roman" w:hAnsi="Times New Roman" w:cs="Times New Roman"/>
                <w:sz w:val="24"/>
              </w:rPr>
              <w:t>连接方式：承插式+橡胶圈密封</w:t>
            </w:r>
          </w:p>
          <w:p w14:paraId="20E2D25D">
            <w:pPr>
              <w:spacing w:before="24" w:after="24" w:line="288" w:lineRule="auto"/>
              <w:jc w:val="left"/>
              <w:rPr>
                <w:rFonts w:ascii="Times New Roman" w:hAnsi="Times New Roman" w:cs="Times New Roman"/>
                <w:sz w:val="24"/>
              </w:rPr>
            </w:pPr>
            <w:r>
              <w:rPr>
                <w:rFonts w:ascii="Times New Roman" w:hAnsi="Times New Roman" w:cs="Times New Roman"/>
                <w:sz w:val="24"/>
              </w:rPr>
              <w:t>设计使用寿命：≥50年</w:t>
            </w:r>
          </w:p>
          <w:p w14:paraId="38ACF80D">
            <w:pPr>
              <w:spacing w:before="24" w:after="24" w:line="288" w:lineRule="auto"/>
              <w:jc w:val="left"/>
              <w:rPr>
                <w:rFonts w:ascii="Times New Roman" w:hAnsi="Times New Roman" w:cs="Times New Roman"/>
                <w:sz w:val="24"/>
              </w:rPr>
            </w:pPr>
            <w:r>
              <w:rPr>
                <w:rFonts w:ascii="Times New Roman" w:hAnsi="Times New Roman" w:cs="Times New Roman"/>
                <w:sz w:val="24"/>
              </w:rPr>
              <w:t>公称直径范围：DN200～DN500</w:t>
            </w:r>
          </w:p>
        </w:tc>
        <w:tc>
          <w:tcPr>
            <w:tcW w:w="1094" w:type="dxa"/>
            <w:vAlign w:val="center"/>
          </w:tcPr>
          <w:p w14:paraId="5EB4E263">
            <w:pPr>
              <w:spacing w:before="24" w:after="24" w:line="288" w:lineRule="auto"/>
              <w:jc w:val="center"/>
              <w:rPr>
                <w:rFonts w:ascii="Times New Roman" w:hAnsi="Times New Roman" w:cs="Times New Roman"/>
                <w:sz w:val="24"/>
              </w:rPr>
            </w:pPr>
          </w:p>
        </w:tc>
      </w:tr>
      <w:tr w14:paraId="5C7C3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1810531C">
            <w:pPr>
              <w:spacing w:before="24" w:after="24" w:line="288" w:lineRule="auto"/>
              <w:jc w:val="center"/>
              <w:rPr>
                <w:rFonts w:ascii="Times New Roman" w:hAnsi="Times New Roman" w:cs="Times New Roman"/>
                <w:sz w:val="24"/>
              </w:rPr>
            </w:pPr>
            <w:r>
              <w:rPr>
                <w:rFonts w:ascii="Times New Roman" w:hAnsi="Times New Roman" w:cs="Times New Roman"/>
                <w:sz w:val="24"/>
              </w:rPr>
              <w:t>28</w:t>
            </w:r>
          </w:p>
        </w:tc>
        <w:tc>
          <w:tcPr>
            <w:tcW w:w="1162" w:type="dxa"/>
            <w:vMerge w:val="continue"/>
            <w:vAlign w:val="center"/>
          </w:tcPr>
          <w:p w14:paraId="45511C88">
            <w:pPr>
              <w:spacing w:before="24" w:after="24" w:line="288" w:lineRule="auto"/>
              <w:jc w:val="center"/>
              <w:rPr>
                <w:rFonts w:ascii="Times New Roman" w:hAnsi="Times New Roman" w:cs="Times New Roman"/>
                <w:sz w:val="24"/>
              </w:rPr>
            </w:pPr>
          </w:p>
        </w:tc>
        <w:tc>
          <w:tcPr>
            <w:tcW w:w="1982" w:type="dxa"/>
            <w:vAlign w:val="center"/>
          </w:tcPr>
          <w:p w14:paraId="53C0728F">
            <w:pPr>
              <w:spacing w:before="24" w:after="24" w:line="288" w:lineRule="auto"/>
              <w:jc w:val="center"/>
              <w:rPr>
                <w:rFonts w:ascii="Times New Roman" w:hAnsi="Times New Roman" w:cs="Times New Roman"/>
                <w:sz w:val="24"/>
              </w:rPr>
            </w:pPr>
            <w:r>
              <w:rPr>
                <w:rFonts w:ascii="Times New Roman" w:hAnsi="Times New Roman" w:cs="Times New Roman"/>
                <w:sz w:val="24"/>
              </w:rPr>
              <w:t>污水管</w:t>
            </w:r>
          </w:p>
        </w:tc>
        <w:tc>
          <w:tcPr>
            <w:tcW w:w="4297" w:type="dxa"/>
            <w:vAlign w:val="center"/>
          </w:tcPr>
          <w:p w14:paraId="18F7BA08">
            <w:pPr>
              <w:spacing w:before="24" w:after="24" w:line="288" w:lineRule="auto"/>
              <w:jc w:val="left"/>
              <w:rPr>
                <w:rFonts w:ascii="Times New Roman" w:hAnsi="Times New Roman" w:cs="Times New Roman"/>
                <w:sz w:val="24"/>
              </w:rPr>
            </w:pPr>
            <w:r>
              <w:rPr>
                <w:rFonts w:ascii="Times New Roman" w:hAnsi="Times New Roman" w:cs="Times New Roman"/>
                <w:sz w:val="24"/>
              </w:rPr>
              <w:t>类型：I级钢筋混凝土排水管</w:t>
            </w:r>
          </w:p>
          <w:p w14:paraId="72A895D3">
            <w:pPr>
              <w:spacing w:before="24" w:after="24" w:line="288" w:lineRule="auto"/>
              <w:jc w:val="left"/>
              <w:rPr>
                <w:rFonts w:ascii="Times New Roman" w:hAnsi="Times New Roman" w:cs="Times New Roman"/>
                <w:sz w:val="24"/>
              </w:rPr>
            </w:pPr>
            <w:r>
              <w:rPr>
                <w:rFonts w:ascii="Times New Roman" w:hAnsi="Times New Roman" w:cs="Times New Roman"/>
                <w:sz w:val="24"/>
              </w:rPr>
              <w:t>埋深：≤4m</w:t>
            </w:r>
          </w:p>
          <w:p w14:paraId="4888C673">
            <w:pPr>
              <w:spacing w:before="24" w:after="24" w:line="288" w:lineRule="auto"/>
              <w:jc w:val="left"/>
              <w:rPr>
                <w:rFonts w:ascii="Times New Roman" w:hAnsi="Times New Roman" w:cs="Times New Roman"/>
                <w:sz w:val="24"/>
              </w:rPr>
            </w:pPr>
            <w:r>
              <w:rPr>
                <w:rFonts w:ascii="Times New Roman" w:hAnsi="Times New Roman" w:cs="Times New Roman"/>
                <w:sz w:val="24"/>
              </w:rPr>
              <w:t>材料：砼≥C30，HPB300或HRB400热轧光圆/带肋钢筋</w:t>
            </w:r>
          </w:p>
          <w:p w14:paraId="4231FAED">
            <w:pPr>
              <w:spacing w:before="24" w:after="24" w:line="288" w:lineRule="auto"/>
              <w:jc w:val="left"/>
              <w:rPr>
                <w:rFonts w:ascii="Times New Roman" w:hAnsi="Times New Roman" w:cs="Times New Roman"/>
                <w:sz w:val="24"/>
              </w:rPr>
            </w:pPr>
            <w:r>
              <w:rPr>
                <w:rFonts w:ascii="Times New Roman" w:hAnsi="Times New Roman" w:cs="Times New Roman"/>
                <w:sz w:val="24"/>
              </w:rPr>
              <w:t>连接方式：承插式+橡胶圈密封</w:t>
            </w:r>
          </w:p>
          <w:p w14:paraId="12742513">
            <w:pPr>
              <w:spacing w:before="24" w:after="24" w:line="288" w:lineRule="auto"/>
              <w:jc w:val="left"/>
              <w:rPr>
                <w:rFonts w:ascii="Times New Roman" w:hAnsi="Times New Roman" w:cs="Times New Roman"/>
                <w:sz w:val="24"/>
              </w:rPr>
            </w:pPr>
            <w:r>
              <w:rPr>
                <w:rFonts w:ascii="Times New Roman" w:hAnsi="Times New Roman" w:cs="Times New Roman"/>
                <w:sz w:val="24"/>
              </w:rPr>
              <w:t>设计使用寿命：≥50年</w:t>
            </w:r>
          </w:p>
          <w:p w14:paraId="0CBF0E9D">
            <w:pPr>
              <w:spacing w:before="24" w:after="24" w:line="288" w:lineRule="auto"/>
              <w:jc w:val="left"/>
              <w:rPr>
                <w:rFonts w:ascii="Times New Roman" w:hAnsi="Times New Roman" w:cs="Times New Roman"/>
                <w:sz w:val="24"/>
              </w:rPr>
            </w:pPr>
            <w:r>
              <w:rPr>
                <w:rFonts w:ascii="Times New Roman" w:hAnsi="Times New Roman" w:cs="Times New Roman"/>
                <w:sz w:val="24"/>
              </w:rPr>
              <w:t>公称直径范围：DN600～DN3000</w:t>
            </w:r>
          </w:p>
        </w:tc>
        <w:tc>
          <w:tcPr>
            <w:tcW w:w="1094" w:type="dxa"/>
            <w:vAlign w:val="center"/>
          </w:tcPr>
          <w:p w14:paraId="18A0662B">
            <w:pPr>
              <w:spacing w:before="24" w:after="24" w:line="288" w:lineRule="auto"/>
              <w:jc w:val="center"/>
              <w:rPr>
                <w:rFonts w:ascii="Times New Roman" w:hAnsi="Times New Roman" w:cs="Times New Roman"/>
                <w:sz w:val="24"/>
              </w:rPr>
            </w:pPr>
          </w:p>
        </w:tc>
      </w:tr>
      <w:tr w14:paraId="12AC1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255F0522">
            <w:pPr>
              <w:spacing w:before="24" w:after="24" w:line="288" w:lineRule="auto"/>
              <w:jc w:val="center"/>
              <w:rPr>
                <w:rFonts w:ascii="Times New Roman" w:hAnsi="Times New Roman" w:cs="Times New Roman"/>
                <w:sz w:val="24"/>
              </w:rPr>
            </w:pPr>
            <w:r>
              <w:rPr>
                <w:rFonts w:ascii="Times New Roman" w:hAnsi="Times New Roman" w:cs="Times New Roman"/>
                <w:sz w:val="24"/>
              </w:rPr>
              <w:t>29</w:t>
            </w:r>
          </w:p>
        </w:tc>
        <w:tc>
          <w:tcPr>
            <w:tcW w:w="1162" w:type="dxa"/>
            <w:vMerge w:val="continue"/>
            <w:vAlign w:val="center"/>
          </w:tcPr>
          <w:p w14:paraId="4954B0C2">
            <w:pPr>
              <w:spacing w:before="24" w:after="24" w:line="288" w:lineRule="auto"/>
              <w:jc w:val="center"/>
              <w:rPr>
                <w:rFonts w:ascii="Times New Roman" w:hAnsi="Times New Roman" w:cs="Times New Roman"/>
                <w:sz w:val="24"/>
              </w:rPr>
            </w:pPr>
          </w:p>
        </w:tc>
        <w:tc>
          <w:tcPr>
            <w:tcW w:w="1982" w:type="dxa"/>
            <w:vAlign w:val="center"/>
          </w:tcPr>
          <w:p w14:paraId="510DE049">
            <w:pPr>
              <w:spacing w:before="24" w:after="24" w:line="288" w:lineRule="auto"/>
              <w:jc w:val="center"/>
              <w:rPr>
                <w:rFonts w:ascii="Times New Roman" w:hAnsi="Times New Roman" w:cs="Times New Roman"/>
                <w:sz w:val="24"/>
              </w:rPr>
            </w:pPr>
            <w:r>
              <w:rPr>
                <w:rFonts w:ascii="Times New Roman" w:hAnsi="Times New Roman" w:cs="Times New Roman"/>
                <w:sz w:val="24"/>
              </w:rPr>
              <w:t>污水管</w:t>
            </w:r>
          </w:p>
        </w:tc>
        <w:tc>
          <w:tcPr>
            <w:tcW w:w="4297" w:type="dxa"/>
            <w:vAlign w:val="center"/>
          </w:tcPr>
          <w:p w14:paraId="1C623A3F">
            <w:pPr>
              <w:spacing w:before="24" w:after="24" w:line="288" w:lineRule="auto"/>
              <w:jc w:val="left"/>
              <w:rPr>
                <w:rFonts w:ascii="Times New Roman" w:hAnsi="Times New Roman" w:cs="Times New Roman"/>
                <w:sz w:val="24"/>
              </w:rPr>
            </w:pPr>
            <w:r>
              <w:rPr>
                <w:rFonts w:ascii="Times New Roman" w:hAnsi="Times New Roman" w:cs="Times New Roman"/>
                <w:sz w:val="24"/>
              </w:rPr>
              <w:t>类型：II级钢筋混凝土排水管</w:t>
            </w:r>
          </w:p>
          <w:p w14:paraId="7F6141AC">
            <w:pPr>
              <w:spacing w:before="24" w:after="24" w:line="288" w:lineRule="auto"/>
              <w:jc w:val="left"/>
              <w:rPr>
                <w:rFonts w:ascii="Times New Roman" w:hAnsi="Times New Roman" w:cs="Times New Roman"/>
                <w:sz w:val="24"/>
              </w:rPr>
            </w:pPr>
            <w:r>
              <w:rPr>
                <w:rFonts w:ascii="Times New Roman" w:hAnsi="Times New Roman" w:cs="Times New Roman"/>
                <w:sz w:val="24"/>
              </w:rPr>
              <w:t>埋深：4～6m</w:t>
            </w:r>
          </w:p>
          <w:p w14:paraId="51216BEE">
            <w:pPr>
              <w:spacing w:before="24" w:after="24" w:line="288" w:lineRule="auto"/>
              <w:jc w:val="left"/>
              <w:rPr>
                <w:rFonts w:ascii="Times New Roman" w:hAnsi="Times New Roman" w:cs="Times New Roman"/>
                <w:sz w:val="24"/>
              </w:rPr>
            </w:pPr>
            <w:r>
              <w:rPr>
                <w:rFonts w:ascii="Times New Roman" w:hAnsi="Times New Roman" w:cs="Times New Roman"/>
                <w:sz w:val="24"/>
              </w:rPr>
              <w:t>材料：砼≥C30，HPB300或HRB400热轧光圆/带肋钢筋</w:t>
            </w:r>
          </w:p>
          <w:p w14:paraId="0A365A76">
            <w:pPr>
              <w:spacing w:before="24" w:after="24" w:line="288" w:lineRule="auto"/>
              <w:jc w:val="left"/>
              <w:rPr>
                <w:rFonts w:ascii="Times New Roman" w:hAnsi="Times New Roman" w:cs="Times New Roman"/>
                <w:sz w:val="24"/>
              </w:rPr>
            </w:pPr>
            <w:r>
              <w:rPr>
                <w:rFonts w:ascii="Times New Roman" w:hAnsi="Times New Roman" w:cs="Times New Roman"/>
                <w:sz w:val="24"/>
              </w:rPr>
              <w:t>连接方式：承插式+橡胶圈密封</w:t>
            </w:r>
          </w:p>
          <w:p w14:paraId="623921E7">
            <w:pPr>
              <w:spacing w:before="24" w:after="24" w:line="288" w:lineRule="auto"/>
              <w:jc w:val="left"/>
              <w:rPr>
                <w:rFonts w:ascii="Times New Roman" w:hAnsi="Times New Roman" w:cs="Times New Roman"/>
                <w:sz w:val="24"/>
              </w:rPr>
            </w:pPr>
            <w:r>
              <w:rPr>
                <w:rFonts w:ascii="Times New Roman" w:hAnsi="Times New Roman" w:cs="Times New Roman"/>
                <w:sz w:val="24"/>
              </w:rPr>
              <w:t>设计使用寿命：≥50年</w:t>
            </w:r>
          </w:p>
          <w:p w14:paraId="44D68E3C">
            <w:pPr>
              <w:spacing w:before="24" w:after="24" w:line="288" w:lineRule="auto"/>
              <w:jc w:val="left"/>
              <w:rPr>
                <w:rFonts w:ascii="Times New Roman" w:hAnsi="Times New Roman" w:cs="Times New Roman"/>
                <w:sz w:val="24"/>
              </w:rPr>
            </w:pPr>
            <w:r>
              <w:rPr>
                <w:rFonts w:ascii="Times New Roman" w:hAnsi="Times New Roman" w:cs="Times New Roman"/>
                <w:sz w:val="24"/>
              </w:rPr>
              <w:t>公称直径范围：DN600～DN3000</w:t>
            </w:r>
          </w:p>
        </w:tc>
        <w:tc>
          <w:tcPr>
            <w:tcW w:w="1094" w:type="dxa"/>
            <w:vAlign w:val="center"/>
          </w:tcPr>
          <w:p w14:paraId="761B5C2D">
            <w:pPr>
              <w:spacing w:before="24" w:after="24" w:line="288" w:lineRule="auto"/>
              <w:jc w:val="center"/>
              <w:rPr>
                <w:rFonts w:ascii="Times New Roman" w:hAnsi="Times New Roman" w:cs="Times New Roman"/>
                <w:sz w:val="24"/>
              </w:rPr>
            </w:pPr>
          </w:p>
        </w:tc>
      </w:tr>
      <w:tr w14:paraId="40668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6ED59867">
            <w:pPr>
              <w:spacing w:before="24" w:after="24" w:line="288" w:lineRule="auto"/>
              <w:jc w:val="center"/>
              <w:rPr>
                <w:rFonts w:ascii="Times New Roman" w:hAnsi="Times New Roman" w:cs="Times New Roman"/>
                <w:sz w:val="24"/>
              </w:rPr>
            </w:pPr>
            <w:r>
              <w:rPr>
                <w:rFonts w:ascii="Times New Roman" w:hAnsi="Times New Roman" w:cs="Times New Roman"/>
                <w:sz w:val="24"/>
              </w:rPr>
              <w:t>30</w:t>
            </w:r>
          </w:p>
        </w:tc>
        <w:tc>
          <w:tcPr>
            <w:tcW w:w="1162" w:type="dxa"/>
            <w:vMerge w:val="continue"/>
            <w:vAlign w:val="center"/>
          </w:tcPr>
          <w:p w14:paraId="1344986A">
            <w:pPr>
              <w:spacing w:before="24" w:after="24" w:line="288" w:lineRule="auto"/>
              <w:jc w:val="center"/>
              <w:rPr>
                <w:rFonts w:ascii="Times New Roman" w:hAnsi="Times New Roman" w:cs="Times New Roman"/>
                <w:sz w:val="24"/>
              </w:rPr>
            </w:pPr>
          </w:p>
        </w:tc>
        <w:tc>
          <w:tcPr>
            <w:tcW w:w="1982" w:type="dxa"/>
            <w:vAlign w:val="center"/>
          </w:tcPr>
          <w:p w14:paraId="4997CAB0">
            <w:pPr>
              <w:spacing w:before="24" w:after="24" w:line="288" w:lineRule="auto"/>
              <w:jc w:val="center"/>
              <w:rPr>
                <w:rFonts w:ascii="Times New Roman" w:hAnsi="Times New Roman" w:cs="Times New Roman"/>
                <w:sz w:val="24"/>
              </w:rPr>
            </w:pPr>
            <w:r>
              <w:rPr>
                <w:rFonts w:ascii="Times New Roman" w:hAnsi="Times New Roman" w:cs="Times New Roman"/>
                <w:sz w:val="24"/>
              </w:rPr>
              <w:t>污水管</w:t>
            </w:r>
          </w:p>
        </w:tc>
        <w:tc>
          <w:tcPr>
            <w:tcW w:w="4297" w:type="dxa"/>
            <w:vAlign w:val="center"/>
          </w:tcPr>
          <w:p w14:paraId="5F4793E8">
            <w:pPr>
              <w:spacing w:before="24" w:after="24" w:line="288" w:lineRule="auto"/>
              <w:jc w:val="left"/>
              <w:rPr>
                <w:rFonts w:ascii="Times New Roman" w:hAnsi="Times New Roman" w:cs="Times New Roman"/>
                <w:sz w:val="24"/>
              </w:rPr>
            </w:pPr>
            <w:r>
              <w:rPr>
                <w:rFonts w:ascii="Times New Roman" w:hAnsi="Times New Roman" w:cs="Times New Roman"/>
                <w:sz w:val="24"/>
              </w:rPr>
              <w:t>类型：III级钢筋混凝土排水管</w:t>
            </w:r>
          </w:p>
          <w:p w14:paraId="5802208B">
            <w:pPr>
              <w:spacing w:before="24" w:after="24" w:line="288" w:lineRule="auto"/>
              <w:jc w:val="left"/>
              <w:rPr>
                <w:rFonts w:ascii="Times New Roman" w:hAnsi="Times New Roman" w:cs="Times New Roman"/>
                <w:sz w:val="24"/>
              </w:rPr>
            </w:pPr>
            <w:r>
              <w:rPr>
                <w:rFonts w:ascii="Times New Roman" w:hAnsi="Times New Roman" w:cs="Times New Roman"/>
                <w:sz w:val="24"/>
              </w:rPr>
              <w:t>埋深：</w:t>
            </w:r>
            <w:r>
              <w:rPr>
                <w:rFonts w:ascii="Times New Roman" w:hAnsi="Times New Roman" w:eastAsia="楷体" w:cs="Times New Roman"/>
                <w:sz w:val="24"/>
              </w:rPr>
              <w:t>≥</w:t>
            </w:r>
            <w:r>
              <w:rPr>
                <w:rFonts w:ascii="Times New Roman" w:hAnsi="Times New Roman" w:cs="Times New Roman"/>
                <w:sz w:val="24"/>
              </w:rPr>
              <w:t>6m</w:t>
            </w:r>
          </w:p>
          <w:p w14:paraId="64A75899">
            <w:pPr>
              <w:spacing w:before="24" w:after="24" w:line="288" w:lineRule="auto"/>
              <w:jc w:val="left"/>
              <w:rPr>
                <w:rFonts w:ascii="Times New Roman" w:hAnsi="Times New Roman" w:cs="Times New Roman"/>
                <w:sz w:val="24"/>
              </w:rPr>
            </w:pPr>
            <w:r>
              <w:rPr>
                <w:rFonts w:ascii="Times New Roman" w:hAnsi="Times New Roman" w:cs="Times New Roman"/>
                <w:sz w:val="24"/>
              </w:rPr>
              <w:t>材料：砼≥C30，HPB300或HRB400热轧光圆/带肋钢筋</w:t>
            </w:r>
          </w:p>
          <w:p w14:paraId="02FED933">
            <w:pPr>
              <w:spacing w:before="24" w:after="24" w:line="288" w:lineRule="auto"/>
              <w:jc w:val="left"/>
              <w:rPr>
                <w:rFonts w:ascii="Times New Roman" w:hAnsi="Times New Roman" w:cs="Times New Roman"/>
                <w:sz w:val="24"/>
              </w:rPr>
            </w:pPr>
            <w:r>
              <w:rPr>
                <w:rFonts w:ascii="Times New Roman" w:hAnsi="Times New Roman" w:cs="Times New Roman"/>
                <w:sz w:val="24"/>
              </w:rPr>
              <w:t>连接方式：承插式+橡胶圈密封</w:t>
            </w:r>
          </w:p>
          <w:p w14:paraId="05DF376C">
            <w:pPr>
              <w:spacing w:before="24" w:after="24" w:line="288" w:lineRule="auto"/>
              <w:jc w:val="left"/>
              <w:rPr>
                <w:rFonts w:ascii="Times New Roman" w:hAnsi="Times New Roman" w:cs="Times New Roman"/>
                <w:sz w:val="24"/>
              </w:rPr>
            </w:pPr>
            <w:r>
              <w:rPr>
                <w:rFonts w:ascii="Times New Roman" w:hAnsi="Times New Roman" w:cs="Times New Roman"/>
                <w:sz w:val="24"/>
              </w:rPr>
              <w:t>设计使用寿命：≥50年</w:t>
            </w:r>
          </w:p>
          <w:p w14:paraId="5F5DDF0F">
            <w:pPr>
              <w:spacing w:before="24" w:after="24" w:line="288" w:lineRule="auto"/>
              <w:jc w:val="left"/>
              <w:rPr>
                <w:rFonts w:ascii="Times New Roman" w:hAnsi="Times New Roman" w:cs="Times New Roman"/>
                <w:sz w:val="24"/>
              </w:rPr>
            </w:pPr>
            <w:r>
              <w:rPr>
                <w:rFonts w:ascii="Times New Roman" w:hAnsi="Times New Roman" w:cs="Times New Roman"/>
                <w:sz w:val="24"/>
              </w:rPr>
              <w:t>公称直径范围：DN600～DN3000</w:t>
            </w:r>
          </w:p>
        </w:tc>
        <w:tc>
          <w:tcPr>
            <w:tcW w:w="1094" w:type="dxa"/>
            <w:vAlign w:val="center"/>
          </w:tcPr>
          <w:p w14:paraId="2F433575">
            <w:pPr>
              <w:spacing w:before="24" w:after="24" w:line="288" w:lineRule="auto"/>
              <w:jc w:val="center"/>
              <w:rPr>
                <w:rFonts w:ascii="Times New Roman" w:hAnsi="Times New Roman" w:cs="Times New Roman"/>
                <w:sz w:val="24"/>
              </w:rPr>
            </w:pPr>
          </w:p>
        </w:tc>
      </w:tr>
      <w:tr w14:paraId="44E9B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393F7F0D">
            <w:pPr>
              <w:spacing w:before="24" w:after="24" w:line="288" w:lineRule="auto"/>
              <w:jc w:val="center"/>
              <w:rPr>
                <w:rFonts w:ascii="Times New Roman" w:hAnsi="Times New Roman" w:cs="Times New Roman"/>
                <w:sz w:val="24"/>
              </w:rPr>
            </w:pPr>
            <w:r>
              <w:rPr>
                <w:rFonts w:ascii="Times New Roman" w:hAnsi="Times New Roman" w:cs="Times New Roman"/>
                <w:sz w:val="24"/>
              </w:rPr>
              <w:t>31</w:t>
            </w:r>
          </w:p>
        </w:tc>
        <w:tc>
          <w:tcPr>
            <w:tcW w:w="1162" w:type="dxa"/>
            <w:vMerge w:val="continue"/>
            <w:vAlign w:val="center"/>
          </w:tcPr>
          <w:p w14:paraId="53F9EB71">
            <w:pPr>
              <w:spacing w:before="24" w:after="24" w:line="288" w:lineRule="auto"/>
              <w:jc w:val="center"/>
              <w:rPr>
                <w:rFonts w:ascii="Times New Roman" w:hAnsi="Times New Roman" w:cs="Times New Roman"/>
                <w:sz w:val="24"/>
              </w:rPr>
            </w:pPr>
          </w:p>
        </w:tc>
        <w:tc>
          <w:tcPr>
            <w:tcW w:w="1982" w:type="dxa"/>
            <w:vAlign w:val="center"/>
          </w:tcPr>
          <w:p w14:paraId="35CA2019">
            <w:pPr>
              <w:spacing w:before="24" w:after="24" w:line="288" w:lineRule="auto"/>
              <w:jc w:val="center"/>
              <w:rPr>
                <w:rFonts w:ascii="Times New Roman" w:hAnsi="Times New Roman" w:cs="Times New Roman"/>
                <w:sz w:val="24"/>
              </w:rPr>
            </w:pPr>
            <w:r>
              <w:rPr>
                <w:rFonts w:ascii="Times New Roman" w:hAnsi="Times New Roman" w:cs="Times New Roman"/>
                <w:sz w:val="24"/>
              </w:rPr>
              <w:t>压力排水管</w:t>
            </w:r>
          </w:p>
        </w:tc>
        <w:tc>
          <w:tcPr>
            <w:tcW w:w="4297" w:type="dxa"/>
            <w:vAlign w:val="center"/>
          </w:tcPr>
          <w:p w14:paraId="263E34F4">
            <w:pPr>
              <w:spacing w:before="24" w:after="24" w:line="288" w:lineRule="auto"/>
              <w:jc w:val="left"/>
              <w:rPr>
                <w:rFonts w:ascii="Times New Roman" w:hAnsi="Times New Roman" w:cs="Times New Roman"/>
                <w:sz w:val="24"/>
              </w:rPr>
            </w:pPr>
            <w:r>
              <w:rPr>
                <w:rFonts w:ascii="Times New Roman" w:hAnsi="Times New Roman" w:cs="Times New Roman"/>
                <w:sz w:val="24"/>
              </w:rPr>
              <w:t>类型：钢丝网骨架（PE）压力排水管</w:t>
            </w:r>
          </w:p>
          <w:p w14:paraId="3B822E43">
            <w:pPr>
              <w:spacing w:before="24" w:after="24" w:line="288" w:lineRule="auto"/>
              <w:jc w:val="left"/>
              <w:rPr>
                <w:rFonts w:ascii="Times New Roman" w:hAnsi="Times New Roman" w:cs="Times New Roman"/>
                <w:sz w:val="24"/>
              </w:rPr>
            </w:pPr>
            <w:r>
              <w:rPr>
                <w:rFonts w:ascii="Times New Roman" w:hAnsi="Times New Roman" w:cs="Times New Roman"/>
                <w:sz w:val="24"/>
              </w:rPr>
              <w:t>公称压力：1.0MPa</w:t>
            </w:r>
          </w:p>
          <w:p w14:paraId="0C358DF8">
            <w:pPr>
              <w:spacing w:before="24" w:after="24" w:line="288" w:lineRule="auto"/>
              <w:jc w:val="left"/>
              <w:rPr>
                <w:rFonts w:ascii="Times New Roman" w:hAnsi="Times New Roman" w:cs="Times New Roman"/>
                <w:sz w:val="24"/>
              </w:rPr>
            </w:pPr>
            <w:r>
              <w:rPr>
                <w:rFonts w:ascii="Times New Roman" w:hAnsi="Times New Roman" w:cs="Times New Roman"/>
                <w:sz w:val="24"/>
              </w:rPr>
              <w:t>材料：PE80或PE100级高密度聚乙烯</w:t>
            </w:r>
          </w:p>
          <w:p w14:paraId="7D941D76">
            <w:pPr>
              <w:spacing w:before="24" w:after="24" w:line="288" w:lineRule="auto"/>
              <w:jc w:val="left"/>
              <w:rPr>
                <w:rFonts w:ascii="Times New Roman" w:hAnsi="Times New Roman" w:cs="Times New Roman"/>
                <w:sz w:val="24"/>
              </w:rPr>
            </w:pPr>
            <w:r>
              <w:rPr>
                <w:rFonts w:ascii="Times New Roman" w:hAnsi="Times New Roman" w:cs="Times New Roman"/>
                <w:sz w:val="24"/>
              </w:rPr>
              <w:t>连接方式：电熔连接</w:t>
            </w:r>
          </w:p>
          <w:p w14:paraId="363B24D0">
            <w:pPr>
              <w:spacing w:before="24" w:after="24" w:line="288" w:lineRule="auto"/>
              <w:jc w:val="left"/>
              <w:rPr>
                <w:rFonts w:ascii="Times New Roman" w:hAnsi="Times New Roman" w:cs="Times New Roman"/>
                <w:sz w:val="24"/>
              </w:rPr>
            </w:pPr>
            <w:r>
              <w:rPr>
                <w:rFonts w:ascii="Times New Roman" w:hAnsi="Times New Roman" w:cs="Times New Roman"/>
                <w:sz w:val="24"/>
              </w:rPr>
              <w:t>设计使用寿命：≥50年</w:t>
            </w:r>
          </w:p>
          <w:p w14:paraId="16001D9A">
            <w:pPr>
              <w:spacing w:before="24" w:after="24" w:line="288" w:lineRule="auto"/>
              <w:jc w:val="left"/>
              <w:rPr>
                <w:rFonts w:ascii="Times New Roman" w:hAnsi="Times New Roman" w:cs="Times New Roman"/>
                <w:sz w:val="24"/>
              </w:rPr>
            </w:pPr>
            <w:r>
              <w:rPr>
                <w:rFonts w:ascii="Times New Roman" w:hAnsi="Times New Roman" w:cs="Times New Roman"/>
                <w:sz w:val="24"/>
              </w:rPr>
              <w:t>公称直径范围：De50～De630</w:t>
            </w:r>
          </w:p>
        </w:tc>
        <w:tc>
          <w:tcPr>
            <w:tcW w:w="1094" w:type="dxa"/>
            <w:vAlign w:val="center"/>
          </w:tcPr>
          <w:p w14:paraId="1D7C4EDA">
            <w:pPr>
              <w:spacing w:before="24" w:after="24" w:line="288" w:lineRule="auto"/>
              <w:jc w:val="center"/>
              <w:rPr>
                <w:rFonts w:ascii="Times New Roman" w:hAnsi="Times New Roman" w:cs="Times New Roman"/>
                <w:sz w:val="24"/>
              </w:rPr>
            </w:pPr>
          </w:p>
        </w:tc>
      </w:tr>
      <w:tr w14:paraId="64C45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vAlign w:val="center"/>
          </w:tcPr>
          <w:p w14:paraId="549CBDF7">
            <w:pPr>
              <w:spacing w:before="24" w:after="24" w:line="288" w:lineRule="auto"/>
              <w:jc w:val="center"/>
              <w:rPr>
                <w:rFonts w:ascii="Times New Roman" w:hAnsi="Times New Roman" w:cs="Times New Roman"/>
                <w:sz w:val="24"/>
              </w:rPr>
            </w:pPr>
            <w:r>
              <w:rPr>
                <w:rFonts w:ascii="Times New Roman" w:hAnsi="Times New Roman" w:cs="Times New Roman"/>
                <w:sz w:val="24"/>
              </w:rPr>
              <w:t>32</w:t>
            </w:r>
          </w:p>
        </w:tc>
        <w:tc>
          <w:tcPr>
            <w:tcW w:w="1162" w:type="dxa"/>
            <w:vMerge w:val="continue"/>
            <w:vAlign w:val="center"/>
          </w:tcPr>
          <w:p w14:paraId="1C309974">
            <w:pPr>
              <w:spacing w:before="24" w:after="24" w:line="288" w:lineRule="auto"/>
              <w:jc w:val="center"/>
              <w:rPr>
                <w:rFonts w:ascii="Times New Roman" w:hAnsi="Times New Roman" w:cs="Times New Roman"/>
                <w:sz w:val="24"/>
              </w:rPr>
            </w:pPr>
          </w:p>
        </w:tc>
        <w:tc>
          <w:tcPr>
            <w:tcW w:w="1982" w:type="dxa"/>
            <w:vAlign w:val="center"/>
          </w:tcPr>
          <w:p w14:paraId="0F7BC020">
            <w:pPr>
              <w:spacing w:before="24" w:after="24" w:line="288" w:lineRule="auto"/>
              <w:jc w:val="center"/>
              <w:rPr>
                <w:rFonts w:ascii="Times New Roman" w:hAnsi="Times New Roman" w:cs="Times New Roman"/>
                <w:sz w:val="24"/>
              </w:rPr>
            </w:pPr>
            <w:r>
              <w:rPr>
                <w:rFonts w:ascii="Times New Roman" w:hAnsi="Times New Roman" w:cs="Times New Roman"/>
                <w:sz w:val="24"/>
              </w:rPr>
              <w:t>一体化污水泵站</w:t>
            </w:r>
          </w:p>
        </w:tc>
        <w:tc>
          <w:tcPr>
            <w:tcW w:w="4297" w:type="dxa"/>
            <w:vAlign w:val="center"/>
          </w:tcPr>
          <w:p w14:paraId="19863BF5">
            <w:pPr>
              <w:spacing w:before="24" w:after="24" w:line="288" w:lineRule="auto"/>
              <w:jc w:val="left"/>
              <w:rPr>
                <w:rFonts w:ascii="Times New Roman" w:hAnsi="Times New Roman" w:cs="Times New Roman"/>
                <w:sz w:val="24"/>
              </w:rPr>
            </w:pPr>
            <w:r>
              <w:rPr>
                <w:rFonts w:ascii="Times New Roman" w:hAnsi="Times New Roman" w:cs="Times New Roman"/>
                <w:sz w:val="24"/>
              </w:rPr>
              <w:t>筒体材质与结构：纤维增强玻璃钢（GRP）或不锈钢（304/316L）</w:t>
            </w:r>
          </w:p>
          <w:p w14:paraId="4DB6DF8C">
            <w:pPr>
              <w:spacing w:before="24" w:after="24" w:line="288" w:lineRule="auto"/>
              <w:jc w:val="left"/>
              <w:rPr>
                <w:rFonts w:ascii="Times New Roman" w:hAnsi="Times New Roman" w:cs="Times New Roman"/>
                <w:sz w:val="24"/>
              </w:rPr>
            </w:pPr>
            <w:r>
              <w:rPr>
                <w:rFonts w:ascii="Times New Roman" w:hAnsi="Times New Roman" w:cs="Times New Roman"/>
                <w:sz w:val="24"/>
              </w:rPr>
              <w:t>设计使用寿命：≥50年</w:t>
            </w:r>
          </w:p>
          <w:p w14:paraId="7BAAEAE0">
            <w:pPr>
              <w:spacing w:before="24" w:after="24" w:line="288" w:lineRule="auto"/>
              <w:jc w:val="left"/>
              <w:rPr>
                <w:rFonts w:ascii="Times New Roman" w:hAnsi="Times New Roman" w:cs="Times New Roman"/>
                <w:sz w:val="24"/>
              </w:rPr>
            </w:pPr>
            <w:r>
              <w:rPr>
                <w:rFonts w:ascii="Times New Roman" w:hAnsi="Times New Roman" w:cs="Times New Roman"/>
                <w:sz w:val="24"/>
              </w:rPr>
              <w:t>水泵配置：采用自动搅匀潜污泵，数量≥2台（1用1备，大流量可多台并联）</w:t>
            </w:r>
          </w:p>
          <w:p w14:paraId="67019E97">
            <w:pPr>
              <w:spacing w:before="24" w:after="24" w:line="288" w:lineRule="auto"/>
              <w:jc w:val="left"/>
              <w:rPr>
                <w:rFonts w:ascii="Times New Roman" w:hAnsi="Times New Roman" w:cs="Times New Roman"/>
                <w:sz w:val="24"/>
              </w:rPr>
            </w:pPr>
            <w:r>
              <w:rPr>
                <w:rFonts w:ascii="Times New Roman" w:hAnsi="Times New Roman" w:cs="Times New Roman"/>
                <w:sz w:val="24"/>
              </w:rPr>
              <w:t>电机防护等级：IP68</w:t>
            </w:r>
          </w:p>
          <w:p w14:paraId="442DF394">
            <w:pPr>
              <w:spacing w:before="24" w:after="24" w:line="288" w:lineRule="auto"/>
              <w:jc w:val="left"/>
              <w:rPr>
                <w:rFonts w:ascii="Times New Roman" w:hAnsi="Times New Roman" w:cs="Times New Roman"/>
                <w:sz w:val="24"/>
              </w:rPr>
            </w:pPr>
            <w:r>
              <w:rPr>
                <w:rFonts w:ascii="Times New Roman" w:hAnsi="Times New Roman" w:cs="Times New Roman"/>
                <w:sz w:val="24"/>
              </w:rPr>
              <w:t>绝缘等级：F级</w:t>
            </w:r>
          </w:p>
          <w:p w14:paraId="31E63DBF">
            <w:pPr>
              <w:spacing w:before="24" w:after="24" w:line="288" w:lineRule="auto"/>
              <w:jc w:val="left"/>
              <w:rPr>
                <w:rFonts w:ascii="Times New Roman" w:hAnsi="Times New Roman" w:cs="Times New Roman"/>
                <w:sz w:val="24"/>
              </w:rPr>
            </w:pPr>
            <w:r>
              <w:rPr>
                <w:rFonts w:ascii="Times New Roman" w:hAnsi="Times New Roman" w:cs="Times New Roman"/>
                <w:sz w:val="24"/>
              </w:rPr>
              <w:t>自动耦合装置：便于检修时整体吊出</w:t>
            </w:r>
          </w:p>
          <w:p w14:paraId="68DB9F14">
            <w:pPr>
              <w:spacing w:before="24" w:after="24" w:line="288" w:lineRule="auto"/>
              <w:jc w:val="left"/>
              <w:rPr>
                <w:rFonts w:ascii="Times New Roman" w:hAnsi="Times New Roman" w:cs="Times New Roman"/>
                <w:sz w:val="24"/>
              </w:rPr>
            </w:pPr>
            <w:r>
              <w:rPr>
                <w:rFonts w:ascii="Times New Roman" w:hAnsi="Times New Roman" w:cs="Times New Roman"/>
                <w:sz w:val="24"/>
              </w:rPr>
              <w:t>格栅：采用粉碎性格栅</w:t>
            </w:r>
          </w:p>
        </w:tc>
        <w:tc>
          <w:tcPr>
            <w:tcW w:w="1094" w:type="dxa"/>
            <w:vAlign w:val="center"/>
          </w:tcPr>
          <w:p w14:paraId="4C72A22C">
            <w:pPr>
              <w:spacing w:before="24" w:after="24" w:line="288" w:lineRule="auto"/>
              <w:jc w:val="center"/>
              <w:rPr>
                <w:rFonts w:ascii="Times New Roman" w:hAnsi="Times New Roman" w:cs="Times New Roman"/>
                <w:sz w:val="24"/>
              </w:rPr>
            </w:pPr>
          </w:p>
        </w:tc>
      </w:tr>
    </w:tbl>
    <w:p w14:paraId="5C7D8E37">
      <w:pPr>
        <w:pStyle w:val="62"/>
      </w:pPr>
      <w:bookmarkStart w:id="216" w:name="_Toc221894237"/>
      <w:r>
        <w:t>（三）暖通专业设备参数清单表</w:t>
      </w:r>
      <w:bookmarkEnd w:id="216"/>
    </w:p>
    <w:p w14:paraId="57C5C08D">
      <w:pPr>
        <w:pStyle w:val="66"/>
        <w:rPr>
          <w:rFonts w:cs="Times New Roman"/>
        </w:rPr>
      </w:pPr>
      <w:r>
        <w:rPr>
          <w:rFonts w:cs="Times New Roman"/>
        </w:rPr>
        <w:t>1、地上单体暖通专业设备参数清单表</w:t>
      </w:r>
    </w:p>
    <w:tbl>
      <w:tblPr>
        <w:tblStyle w:val="31"/>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9"/>
        <w:gridCol w:w="1223"/>
        <w:gridCol w:w="2105"/>
        <w:gridCol w:w="3729"/>
        <w:gridCol w:w="1639"/>
      </w:tblGrid>
      <w:tr w14:paraId="33B94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12" w:type="pct"/>
            <w:shd w:val="clear" w:color="auto" w:fill="D7D7D7"/>
            <w:vAlign w:val="center"/>
          </w:tcPr>
          <w:p w14:paraId="5878C2A1">
            <w:pPr>
              <w:pStyle w:val="71"/>
              <w:spacing w:before="24" w:after="24"/>
              <w:rPr>
                <w:rFonts w:cs="Times New Roman"/>
              </w:rPr>
            </w:pPr>
            <w:r>
              <w:rPr>
                <w:rFonts w:cs="Times New Roman"/>
              </w:rPr>
              <w:t>序号</w:t>
            </w:r>
          </w:p>
        </w:tc>
        <w:tc>
          <w:tcPr>
            <w:tcW w:w="659" w:type="pct"/>
            <w:shd w:val="clear" w:color="auto" w:fill="D7D7D7"/>
            <w:vAlign w:val="center"/>
          </w:tcPr>
          <w:p w14:paraId="2BCF796D">
            <w:pPr>
              <w:pStyle w:val="71"/>
              <w:spacing w:before="24" w:after="24"/>
              <w:rPr>
                <w:rFonts w:cs="Times New Roman"/>
              </w:rPr>
            </w:pPr>
            <w:r>
              <w:rPr>
                <w:rFonts w:cs="Times New Roman"/>
              </w:rPr>
              <w:t>设备/系统</w:t>
            </w:r>
          </w:p>
        </w:tc>
        <w:tc>
          <w:tcPr>
            <w:tcW w:w="1134" w:type="pct"/>
            <w:shd w:val="clear" w:color="auto" w:fill="D7D7D7"/>
            <w:vAlign w:val="center"/>
          </w:tcPr>
          <w:p w14:paraId="51720364">
            <w:pPr>
              <w:pStyle w:val="71"/>
              <w:spacing w:before="24" w:after="24"/>
              <w:rPr>
                <w:rFonts w:cs="Times New Roman"/>
              </w:rPr>
            </w:pPr>
            <w:r>
              <w:rPr>
                <w:rFonts w:cs="Times New Roman"/>
              </w:rPr>
              <w:t>设备</w:t>
            </w:r>
          </w:p>
        </w:tc>
        <w:tc>
          <w:tcPr>
            <w:tcW w:w="2009" w:type="pct"/>
            <w:shd w:val="clear" w:color="auto" w:fill="D7D7D7"/>
            <w:vAlign w:val="center"/>
          </w:tcPr>
          <w:p w14:paraId="1DF90765">
            <w:pPr>
              <w:pStyle w:val="71"/>
              <w:spacing w:before="24" w:after="24"/>
              <w:rPr>
                <w:rFonts w:cs="Times New Roman"/>
              </w:rPr>
            </w:pPr>
            <w:r>
              <w:rPr>
                <w:rFonts w:cs="Times New Roman"/>
              </w:rPr>
              <w:t>材质/规格、参数</w:t>
            </w:r>
          </w:p>
        </w:tc>
        <w:tc>
          <w:tcPr>
            <w:tcW w:w="883" w:type="pct"/>
            <w:shd w:val="clear" w:color="auto" w:fill="D7D7D7"/>
            <w:vAlign w:val="center"/>
          </w:tcPr>
          <w:p w14:paraId="759D6F07">
            <w:pPr>
              <w:pStyle w:val="71"/>
              <w:spacing w:before="24" w:after="24"/>
              <w:rPr>
                <w:rFonts w:cs="Times New Roman"/>
              </w:rPr>
            </w:pPr>
            <w:r>
              <w:rPr>
                <w:rFonts w:cs="Times New Roman"/>
              </w:rPr>
              <w:t>备注</w:t>
            </w:r>
          </w:p>
        </w:tc>
      </w:tr>
      <w:tr w14:paraId="100FA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 w:type="pct"/>
            <w:vAlign w:val="center"/>
          </w:tcPr>
          <w:p w14:paraId="661A1C7B">
            <w:pPr>
              <w:pStyle w:val="71"/>
              <w:spacing w:before="24" w:after="24"/>
              <w:rPr>
                <w:rFonts w:cs="Times New Roman"/>
              </w:rPr>
            </w:pPr>
            <w:r>
              <w:rPr>
                <w:rFonts w:cs="Times New Roman"/>
              </w:rPr>
              <w:t>1</w:t>
            </w:r>
          </w:p>
        </w:tc>
        <w:tc>
          <w:tcPr>
            <w:tcW w:w="659" w:type="pct"/>
            <w:vMerge w:val="restart"/>
            <w:vAlign w:val="center"/>
          </w:tcPr>
          <w:p w14:paraId="12C38ED3">
            <w:pPr>
              <w:pStyle w:val="71"/>
              <w:spacing w:before="24" w:after="24"/>
              <w:rPr>
                <w:rFonts w:cs="Times New Roman"/>
              </w:rPr>
            </w:pPr>
            <w:r>
              <w:rPr>
                <w:rFonts w:cs="Times New Roman"/>
              </w:rPr>
              <w:t>排烟系统</w:t>
            </w:r>
          </w:p>
        </w:tc>
        <w:tc>
          <w:tcPr>
            <w:tcW w:w="1134" w:type="pct"/>
            <w:vAlign w:val="center"/>
          </w:tcPr>
          <w:p w14:paraId="734AFCF5">
            <w:pPr>
              <w:pStyle w:val="71"/>
              <w:spacing w:before="24" w:after="24"/>
              <w:rPr>
                <w:rFonts w:cs="Times New Roman"/>
              </w:rPr>
            </w:pPr>
            <w:r>
              <w:rPr>
                <w:rFonts w:cs="Times New Roman"/>
              </w:rPr>
              <w:t>高温型轴流式消防排烟风机</w:t>
            </w:r>
          </w:p>
        </w:tc>
        <w:tc>
          <w:tcPr>
            <w:tcW w:w="2009" w:type="pct"/>
            <w:vAlign w:val="center"/>
          </w:tcPr>
          <w:p w14:paraId="1ED727B6">
            <w:pPr>
              <w:pStyle w:val="71"/>
              <w:spacing w:before="24" w:after="24"/>
              <w:rPr>
                <w:rFonts w:cs="Times New Roman"/>
              </w:rPr>
            </w:pPr>
            <w:r>
              <w:rPr>
                <w:rFonts w:cs="Times New Roman"/>
              </w:rPr>
              <w:t>厂家根据图纸参数配置</w:t>
            </w:r>
          </w:p>
        </w:tc>
        <w:tc>
          <w:tcPr>
            <w:tcW w:w="883" w:type="pct"/>
            <w:vAlign w:val="center"/>
          </w:tcPr>
          <w:p w14:paraId="3F1B2964">
            <w:pPr>
              <w:pStyle w:val="71"/>
              <w:spacing w:before="24" w:after="24"/>
              <w:rPr>
                <w:rFonts w:cs="Times New Roman"/>
              </w:rPr>
            </w:pPr>
            <w:r>
              <w:rPr>
                <w:rFonts w:cs="Times New Roman"/>
              </w:rPr>
              <w:t>用于机械排烟，与火灾自动报警系统联动</w:t>
            </w:r>
          </w:p>
        </w:tc>
      </w:tr>
      <w:tr w14:paraId="4F605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 w:type="pct"/>
            <w:vAlign w:val="center"/>
          </w:tcPr>
          <w:p w14:paraId="432AF938">
            <w:pPr>
              <w:pStyle w:val="71"/>
              <w:spacing w:before="24" w:after="24"/>
              <w:rPr>
                <w:rFonts w:cs="Times New Roman"/>
              </w:rPr>
            </w:pPr>
            <w:r>
              <w:rPr>
                <w:rFonts w:cs="Times New Roman"/>
              </w:rPr>
              <w:t>2</w:t>
            </w:r>
          </w:p>
        </w:tc>
        <w:tc>
          <w:tcPr>
            <w:tcW w:w="659" w:type="pct"/>
            <w:vMerge w:val="continue"/>
            <w:vAlign w:val="center"/>
          </w:tcPr>
          <w:p w14:paraId="62A7BF8B">
            <w:pPr>
              <w:pStyle w:val="71"/>
              <w:spacing w:before="24" w:after="24"/>
              <w:rPr>
                <w:rFonts w:cs="Times New Roman"/>
              </w:rPr>
            </w:pPr>
          </w:p>
        </w:tc>
        <w:tc>
          <w:tcPr>
            <w:tcW w:w="1134" w:type="pct"/>
            <w:vAlign w:val="center"/>
          </w:tcPr>
          <w:p w14:paraId="586C2E68">
            <w:pPr>
              <w:pStyle w:val="71"/>
              <w:spacing w:before="24" w:after="24"/>
              <w:rPr>
                <w:rFonts w:cs="Times New Roman"/>
              </w:rPr>
            </w:pPr>
            <w:r>
              <w:rPr>
                <w:rFonts w:cs="Times New Roman"/>
              </w:rPr>
              <w:t>高温型离心式消防排烟风机</w:t>
            </w:r>
          </w:p>
        </w:tc>
        <w:tc>
          <w:tcPr>
            <w:tcW w:w="2009" w:type="pct"/>
            <w:vAlign w:val="center"/>
          </w:tcPr>
          <w:p w14:paraId="493D2FBC">
            <w:pPr>
              <w:pStyle w:val="71"/>
              <w:spacing w:before="24" w:after="24"/>
              <w:rPr>
                <w:rFonts w:cs="Times New Roman"/>
              </w:rPr>
            </w:pPr>
            <w:r>
              <w:rPr>
                <w:rFonts w:cs="Times New Roman"/>
              </w:rPr>
              <w:t>厂家根据图纸参数配置</w:t>
            </w:r>
          </w:p>
        </w:tc>
        <w:tc>
          <w:tcPr>
            <w:tcW w:w="883" w:type="pct"/>
            <w:vAlign w:val="center"/>
          </w:tcPr>
          <w:p w14:paraId="4B5D24F9">
            <w:pPr>
              <w:pStyle w:val="71"/>
              <w:spacing w:before="24" w:after="24"/>
              <w:rPr>
                <w:rFonts w:cs="Times New Roman"/>
              </w:rPr>
            </w:pPr>
            <w:r>
              <w:rPr>
                <w:rFonts w:cs="Times New Roman"/>
              </w:rPr>
              <w:t>用于机械排烟，与火灾自动报警系统联动</w:t>
            </w:r>
          </w:p>
        </w:tc>
      </w:tr>
      <w:tr w14:paraId="31C82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 w:type="pct"/>
            <w:vAlign w:val="center"/>
          </w:tcPr>
          <w:p w14:paraId="3D0E7B14">
            <w:pPr>
              <w:pStyle w:val="71"/>
              <w:spacing w:before="24" w:after="24"/>
              <w:rPr>
                <w:rFonts w:cs="Times New Roman"/>
              </w:rPr>
            </w:pPr>
            <w:r>
              <w:rPr>
                <w:rFonts w:cs="Times New Roman"/>
              </w:rPr>
              <w:t>3</w:t>
            </w:r>
          </w:p>
        </w:tc>
        <w:tc>
          <w:tcPr>
            <w:tcW w:w="659" w:type="pct"/>
            <w:vMerge w:val="continue"/>
            <w:vAlign w:val="center"/>
          </w:tcPr>
          <w:p w14:paraId="6F949151">
            <w:pPr>
              <w:pStyle w:val="71"/>
              <w:spacing w:before="24" w:after="24"/>
              <w:rPr>
                <w:rFonts w:cs="Times New Roman"/>
              </w:rPr>
            </w:pPr>
          </w:p>
        </w:tc>
        <w:tc>
          <w:tcPr>
            <w:tcW w:w="1134" w:type="pct"/>
            <w:vAlign w:val="center"/>
          </w:tcPr>
          <w:p w14:paraId="3197D593">
            <w:pPr>
              <w:pStyle w:val="71"/>
              <w:spacing w:before="24" w:after="24"/>
              <w:rPr>
                <w:rFonts w:cs="Times New Roman"/>
              </w:rPr>
            </w:pPr>
            <w:r>
              <w:rPr>
                <w:rFonts w:cs="Times New Roman"/>
              </w:rPr>
              <w:t>挡烟垂壁</w:t>
            </w:r>
          </w:p>
        </w:tc>
        <w:tc>
          <w:tcPr>
            <w:tcW w:w="2009" w:type="pct"/>
            <w:vAlign w:val="center"/>
          </w:tcPr>
          <w:p w14:paraId="28E939B4">
            <w:pPr>
              <w:pStyle w:val="71"/>
              <w:spacing w:before="24" w:after="24"/>
              <w:rPr>
                <w:rFonts w:cs="Times New Roman"/>
              </w:rPr>
            </w:pPr>
            <w:r>
              <w:rPr>
                <w:rFonts w:cs="Times New Roman"/>
              </w:rPr>
              <w:t>采用不燃材料制作，耐火极限≥0.5h，根据图纸要求配置</w:t>
            </w:r>
          </w:p>
        </w:tc>
        <w:tc>
          <w:tcPr>
            <w:tcW w:w="883" w:type="pct"/>
            <w:vAlign w:val="center"/>
          </w:tcPr>
          <w:p w14:paraId="165764F1">
            <w:pPr>
              <w:pStyle w:val="71"/>
              <w:spacing w:before="24" w:after="24"/>
              <w:rPr>
                <w:rFonts w:cs="Times New Roman"/>
              </w:rPr>
            </w:pPr>
            <w:r>
              <w:rPr>
                <w:rFonts w:cs="Times New Roman"/>
              </w:rPr>
              <w:t> </w:t>
            </w:r>
          </w:p>
        </w:tc>
      </w:tr>
      <w:tr w14:paraId="28D16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 w:type="pct"/>
            <w:vAlign w:val="center"/>
          </w:tcPr>
          <w:p w14:paraId="679A3FB2">
            <w:pPr>
              <w:pStyle w:val="71"/>
              <w:spacing w:before="24" w:after="24"/>
              <w:rPr>
                <w:rFonts w:cs="Times New Roman"/>
              </w:rPr>
            </w:pPr>
            <w:r>
              <w:rPr>
                <w:rFonts w:cs="Times New Roman"/>
              </w:rPr>
              <w:t>4</w:t>
            </w:r>
          </w:p>
        </w:tc>
        <w:tc>
          <w:tcPr>
            <w:tcW w:w="659" w:type="pct"/>
            <w:vMerge w:val="restart"/>
            <w:vAlign w:val="center"/>
          </w:tcPr>
          <w:p w14:paraId="238A6D40">
            <w:pPr>
              <w:pStyle w:val="71"/>
              <w:spacing w:before="24" w:after="24"/>
              <w:rPr>
                <w:rFonts w:cs="Times New Roman"/>
              </w:rPr>
            </w:pPr>
            <w:r>
              <w:rPr>
                <w:rFonts w:cs="Times New Roman"/>
              </w:rPr>
              <w:t>通风系统</w:t>
            </w:r>
          </w:p>
        </w:tc>
        <w:tc>
          <w:tcPr>
            <w:tcW w:w="1134" w:type="pct"/>
            <w:vAlign w:val="center"/>
          </w:tcPr>
          <w:p w14:paraId="108E0512">
            <w:pPr>
              <w:pStyle w:val="71"/>
              <w:spacing w:before="24" w:after="24"/>
              <w:rPr>
                <w:rFonts w:cs="Times New Roman"/>
              </w:rPr>
            </w:pPr>
            <w:r>
              <w:rPr>
                <w:rFonts w:cs="Times New Roman"/>
              </w:rPr>
              <w:t>低噪音轴流风机</w:t>
            </w:r>
          </w:p>
        </w:tc>
        <w:tc>
          <w:tcPr>
            <w:tcW w:w="2009" w:type="pct"/>
            <w:vAlign w:val="center"/>
          </w:tcPr>
          <w:p w14:paraId="33654EB1">
            <w:pPr>
              <w:pStyle w:val="71"/>
              <w:spacing w:before="24" w:after="24"/>
              <w:rPr>
                <w:rFonts w:cs="Times New Roman"/>
              </w:rPr>
            </w:pPr>
            <w:r>
              <w:rPr>
                <w:rFonts w:cs="Times New Roman"/>
              </w:rPr>
              <w:t>厂家根据图纸参数配置</w:t>
            </w:r>
          </w:p>
        </w:tc>
        <w:tc>
          <w:tcPr>
            <w:tcW w:w="883" w:type="pct"/>
            <w:vAlign w:val="center"/>
          </w:tcPr>
          <w:p w14:paraId="5088BD42">
            <w:pPr>
              <w:pStyle w:val="71"/>
              <w:spacing w:before="24" w:after="24"/>
              <w:rPr>
                <w:rFonts w:cs="Times New Roman"/>
              </w:rPr>
            </w:pPr>
            <w:r>
              <w:rPr>
                <w:rFonts w:cs="Times New Roman"/>
              </w:rPr>
              <w:t>用于设备房机械通风</w:t>
            </w:r>
          </w:p>
        </w:tc>
      </w:tr>
      <w:tr w14:paraId="562D6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 w:type="pct"/>
            <w:vAlign w:val="center"/>
          </w:tcPr>
          <w:p w14:paraId="04A16EC2">
            <w:pPr>
              <w:pStyle w:val="71"/>
              <w:spacing w:before="24" w:after="24"/>
              <w:rPr>
                <w:rFonts w:cs="Times New Roman"/>
              </w:rPr>
            </w:pPr>
            <w:r>
              <w:rPr>
                <w:rFonts w:cs="Times New Roman"/>
              </w:rPr>
              <w:t>5</w:t>
            </w:r>
          </w:p>
        </w:tc>
        <w:tc>
          <w:tcPr>
            <w:tcW w:w="659" w:type="pct"/>
            <w:vMerge w:val="continue"/>
            <w:vAlign w:val="center"/>
          </w:tcPr>
          <w:p w14:paraId="4022AD91">
            <w:pPr>
              <w:pStyle w:val="71"/>
              <w:spacing w:before="24" w:after="24"/>
              <w:rPr>
                <w:rFonts w:cs="Times New Roman"/>
              </w:rPr>
            </w:pPr>
          </w:p>
        </w:tc>
        <w:tc>
          <w:tcPr>
            <w:tcW w:w="1134" w:type="pct"/>
            <w:vAlign w:val="center"/>
          </w:tcPr>
          <w:p w14:paraId="0D696A25">
            <w:pPr>
              <w:pStyle w:val="71"/>
              <w:spacing w:before="24" w:after="24"/>
              <w:rPr>
                <w:rFonts w:cs="Times New Roman"/>
              </w:rPr>
            </w:pPr>
            <w:r>
              <w:rPr>
                <w:rFonts w:cs="Times New Roman"/>
              </w:rPr>
              <w:t>低噪音离心风机</w:t>
            </w:r>
          </w:p>
        </w:tc>
        <w:tc>
          <w:tcPr>
            <w:tcW w:w="2009" w:type="pct"/>
            <w:vAlign w:val="center"/>
          </w:tcPr>
          <w:p w14:paraId="2019D872">
            <w:pPr>
              <w:pStyle w:val="71"/>
              <w:spacing w:before="24" w:after="24"/>
              <w:rPr>
                <w:rFonts w:cs="Times New Roman"/>
              </w:rPr>
            </w:pPr>
            <w:r>
              <w:rPr>
                <w:rFonts w:cs="Times New Roman"/>
              </w:rPr>
              <w:t>厂家根据图纸参数配置</w:t>
            </w:r>
          </w:p>
        </w:tc>
        <w:tc>
          <w:tcPr>
            <w:tcW w:w="883" w:type="pct"/>
            <w:vAlign w:val="center"/>
          </w:tcPr>
          <w:p w14:paraId="1A916070">
            <w:pPr>
              <w:pStyle w:val="71"/>
              <w:spacing w:before="24" w:after="24"/>
              <w:rPr>
                <w:rFonts w:cs="Times New Roman"/>
              </w:rPr>
            </w:pPr>
            <w:r>
              <w:rPr>
                <w:rFonts w:cs="Times New Roman"/>
              </w:rPr>
              <w:t>用于设备房机械通风</w:t>
            </w:r>
          </w:p>
        </w:tc>
      </w:tr>
      <w:tr w14:paraId="41A83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 w:type="pct"/>
            <w:vAlign w:val="center"/>
          </w:tcPr>
          <w:p w14:paraId="26B0F7DC">
            <w:pPr>
              <w:pStyle w:val="71"/>
              <w:spacing w:before="24" w:after="24"/>
              <w:rPr>
                <w:rFonts w:cs="Times New Roman"/>
              </w:rPr>
            </w:pPr>
            <w:r>
              <w:rPr>
                <w:rFonts w:cs="Times New Roman"/>
              </w:rPr>
              <w:t>6</w:t>
            </w:r>
          </w:p>
        </w:tc>
        <w:tc>
          <w:tcPr>
            <w:tcW w:w="659" w:type="pct"/>
            <w:vMerge w:val="continue"/>
            <w:vAlign w:val="center"/>
          </w:tcPr>
          <w:p w14:paraId="6E21856A">
            <w:pPr>
              <w:pStyle w:val="71"/>
              <w:spacing w:before="24" w:after="24"/>
              <w:rPr>
                <w:rFonts w:cs="Times New Roman"/>
              </w:rPr>
            </w:pPr>
          </w:p>
        </w:tc>
        <w:tc>
          <w:tcPr>
            <w:tcW w:w="1134" w:type="pct"/>
            <w:vAlign w:val="center"/>
          </w:tcPr>
          <w:p w14:paraId="17083330">
            <w:pPr>
              <w:pStyle w:val="71"/>
              <w:spacing w:before="24" w:after="24"/>
              <w:rPr>
                <w:rFonts w:cs="Times New Roman"/>
              </w:rPr>
            </w:pPr>
            <w:r>
              <w:rPr>
                <w:rFonts w:cs="Times New Roman"/>
              </w:rPr>
              <w:t>管道风机</w:t>
            </w:r>
          </w:p>
        </w:tc>
        <w:tc>
          <w:tcPr>
            <w:tcW w:w="2009" w:type="pct"/>
            <w:vAlign w:val="center"/>
          </w:tcPr>
          <w:p w14:paraId="30A07FB2">
            <w:pPr>
              <w:pStyle w:val="71"/>
              <w:spacing w:before="24" w:after="24"/>
              <w:rPr>
                <w:rFonts w:cs="Times New Roman"/>
              </w:rPr>
            </w:pPr>
            <w:r>
              <w:rPr>
                <w:rFonts w:cs="Times New Roman"/>
              </w:rPr>
              <w:t>厂家根据图纸参数配置</w:t>
            </w:r>
          </w:p>
        </w:tc>
        <w:tc>
          <w:tcPr>
            <w:tcW w:w="883" w:type="pct"/>
            <w:vAlign w:val="center"/>
          </w:tcPr>
          <w:p w14:paraId="184F9F8A">
            <w:pPr>
              <w:pStyle w:val="71"/>
              <w:spacing w:before="24" w:after="24"/>
              <w:rPr>
                <w:rFonts w:cs="Times New Roman"/>
              </w:rPr>
            </w:pPr>
            <w:r>
              <w:rPr>
                <w:rFonts w:cs="Times New Roman"/>
              </w:rPr>
              <w:t>用于设备房机械通风</w:t>
            </w:r>
          </w:p>
        </w:tc>
      </w:tr>
      <w:tr w14:paraId="5B6F5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 w:type="pct"/>
            <w:vAlign w:val="center"/>
          </w:tcPr>
          <w:p w14:paraId="6E2EDCB3">
            <w:pPr>
              <w:pStyle w:val="71"/>
              <w:spacing w:before="24" w:after="24"/>
              <w:rPr>
                <w:rFonts w:cs="Times New Roman"/>
              </w:rPr>
            </w:pPr>
            <w:r>
              <w:rPr>
                <w:rFonts w:cs="Times New Roman"/>
              </w:rPr>
              <w:t>7</w:t>
            </w:r>
          </w:p>
        </w:tc>
        <w:tc>
          <w:tcPr>
            <w:tcW w:w="659" w:type="pct"/>
            <w:vMerge w:val="continue"/>
            <w:vAlign w:val="center"/>
          </w:tcPr>
          <w:p w14:paraId="16D5A828">
            <w:pPr>
              <w:pStyle w:val="71"/>
              <w:spacing w:before="24" w:after="24"/>
              <w:rPr>
                <w:rFonts w:cs="Times New Roman"/>
              </w:rPr>
            </w:pPr>
          </w:p>
        </w:tc>
        <w:tc>
          <w:tcPr>
            <w:tcW w:w="1134" w:type="pct"/>
            <w:vAlign w:val="center"/>
          </w:tcPr>
          <w:p w14:paraId="1DA0B404">
            <w:pPr>
              <w:pStyle w:val="71"/>
              <w:spacing w:before="24" w:after="24"/>
              <w:rPr>
                <w:rFonts w:cs="Times New Roman"/>
              </w:rPr>
            </w:pPr>
            <w:r>
              <w:rPr>
                <w:rFonts w:cs="Times New Roman"/>
              </w:rPr>
              <w:t>壁式换气扇</w:t>
            </w:r>
          </w:p>
        </w:tc>
        <w:tc>
          <w:tcPr>
            <w:tcW w:w="2009" w:type="pct"/>
            <w:vAlign w:val="center"/>
          </w:tcPr>
          <w:p w14:paraId="3926BABF">
            <w:pPr>
              <w:pStyle w:val="71"/>
              <w:spacing w:before="24" w:after="24"/>
              <w:rPr>
                <w:rFonts w:cs="Times New Roman"/>
              </w:rPr>
            </w:pPr>
            <w:r>
              <w:rPr>
                <w:rFonts w:cs="Times New Roman"/>
              </w:rPr>
              <w:t>厂家根据图纸参数配置，自带止回阀</w:t>
            </w:r>
          </w:p>
        </w:tc>
        <w:tc>
          <w:tcPr>
            <w:tcW w:w="883" w:type="pct"/>
            <w:vAlign w:val="center"/>
          </w:tcPr>
          <w:p w14:paraId="1DD6FB32">
            <w:pPr>
              <w:pStyle w:val="71"/>
              <w:spacing w:before="24" w:after="24"/>
              <w:rPr>
                <w:rFonts w:cs="Times New Roman"/>
              </w:rPr>
            </w:pPr>
            <w:r>
              <w:rPr>
                <w:rFonts w:cs="Times New Roman"/>
              </w:rPr>
              <w:t>用于设备间排风</w:t>
            </w:r>
          </w:p>
        </w:tc>
      </w:tr>
      <w:tr w14:paraId="50F07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 w:type="pct"/>
            <w:vAlign w:val="center"/>
          </w:tcPr>
          <w:p w14:paraId="5A5FAACF">
            <w:pPr>
              <w:pStyle w:val="71"/>
              <w:spacing w:before="24" w:after="24"/>
              <w:rPr>
                <w:rFonts w:cs="Times New Roman"/>
              </w:rPr>
            </w:pPr>
            <w:r>
              <w:rPr>
                <w:rFonts w:cs="Times New Roman"/>
              </w:rPr>
              <w:t>8</w:t>
            </w:r>
          </w:p>
        </w:tc>
        <w:tc>
          <w:tcPr>
            <w:tcW w:w="659" w:type="pct"/>
            <w:vMerge w:val="continue"/>
            <w:vAlign w:val="center"/>
          </w:tcPr>
          <w:p w14:paraId="2328B858">
            <w:pPr>
              <w:pStyle w:val="71"/>
              <w:spacing w:before="24" w:after="24"/>
              <w:rPr>
                <w:rFonts w:cs="Times New Roman"/>
              </w:rPr>
            </w:pPr>
          </w:p>
        </w:tc>
        <w:tc>
          <w:tcPr>
            <w:tcW w:w="1134" w:type="pct"/>
            <w:vAlign w:val="center"/>
          </w:tcPr>
          <w:p w14:paraId="6C34C615">
            <w:pPr>
              <w:pStyle w:val="71"/>
              <w:spacing w:before="24" w:after="24"/>
              <w:rPr>
                <w:rFonts w:cs="Times New Roman"/>
              </w:rPr>
            </w:pPr>
            <w:r>
              <w:rPr>
                <w:rFonts w:cs="Times New Roman"/>
              </w:rPr>
              <w:t>天花板型换气扇</w:t>
            </w:r>
          </w:p>
        </w:tc>
        <w:tc>
          <w:tcPr>
            <w:tcW w:w="2009" w:type="pct"/>
            <w:vAlign w:val="center"/>
          </w:tcPr>
          <w:p w14:paraId="3FA003B9">
            <w:pPr>
              <w:pStyle w:val="71"/>
              <w:spacing w:before="24" w:after="24"/>
              <w:rPr>
                <w:rFonts w:cs="Times New Roman"/>
              </w:rPr>
            </w:pPr>
            <w:r>
              <w:rPr>
                <w:rFonts w:cs="Times New Roman"/>
              </w:rPr>
              <w:t>厂家根据图纸参数配置，自带止回阀</w:t>
            </w:r>
          </w:p>
        </w:tc>
        <w:tc>
          <w:tcPr>
            <w:tcW w:w="883" w:type="pct"/>
            <w:vAlign w:val="center"/>
          </w:tcPr>
          <w:p w14:paraId="78BB9FDA">
            <w:pPr>
              <w:pStyle w:val="71"/>
              <w:spacing w:before="24" w:after="24"/>
              <w:rPr>
                <w:rFonts w:cs="Times New Roman"/>
              </w:rPr>
            </w:pPr>
            <w:r>
              <w:rPr>
                <w:rFonts w:cs="Times New Roman"/>
              </w:rPr>
              <w:t>用于卫生间排风</w:t>
            </w:r>
          </w:p>
        </w:tc>
      </w:tr>
      <w:tr w14:paraId="4D477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 w:type="pct"/>
            <w:vAlign w:val="center"/>
          </w:tcPr>
          <w:p w14:paraId="3343AB51">
            <w:pPr>
              <w:pStyle w:val="71"/>
              <w:spacing w:before="24" w:after="24"/>
              <w:rPr>
                <w:rFonts w:cs="Times New Roman"/>
              </w:rPr>
            </w:pPr>
            <w:r>
              <w:rPr>
                <w:rFonts w:cs="Times New Roman"/>
              </w:rPr>
              <w:t>9</w:t>
            </w:r>
          </w:p>
        </w:tc>
        <w:tc>
          <w:tcPr>
            <w:tcW w:w="659" w:type="pct"/>
            <w:vMerge w:val="continue"/>
            <w:vAlign w:val="center"/>
          </w:tcPr>
          <w:p w14:paraId="46101200">
            <w:pPr>
              <w:pStyle w:val="71"/>
              <w:spacing w:before="24" w:after="24"/>
              <w:rPr>
                <w:rFonts w:cs="Times New Roman"/>
              </w:rPr>
            </w:pPr>
          </w:p>
        </w:tc>
        <w:tc>
          <w:tcPr>
            <w:tcW w:w="1134" w:type="pct"/>
            <w:vAlign w:val="center"/>
          </w:tcPr>
          <w:p w14:paraId="718F6017">
            <w:pPr>
              <w:pStyle w:val="71"/>
              <w:spacing w:before="24" w:after="24"/>
              <w:rPr>
                <w:rFonts w:cs="Times New Roman"/>
              </w:rPr>
            </w:pPr>
            <w:r>
              <w:rPr>
                <w:rFonts w:cs="Times New Roman"/>
              </w:rPr>
              <w:t>防爆风机</w:t>
            </w:r>
          </w:p>
        </w:tc>
        <w:tc>
          <w:tcPr>
            <w:tcW w:w="2009" w:type="pct"/>
            <w:vAlign w:val="center"/>
          </w:tcPr>
          <w:p w14:paraId="2466473F">
            <w:pPr>
              <w:pStyle w:val="71"/>
              <w:spacing w:before="24" w:after="24"/>
              <w:rPr>
                <w:rFonts w:cs="Times New Roman"/>
              </w:rPr>
            </w:pPr>
            <w:r>
              <w:rPr>
                <w:rFonts w:cs="Times New Roman"/>
              </w:rPr>
              <w:t>厂家根据图纸参数配置，自带止回阀</w:t>
            </w:r>
          </w:p>
        </w:tc>
        <w:tc>
          <w:tcPr>
            <w:tcW w:w="883" w:type="pct"/>
            <w:vAlign w:val="center"/>
          </w:tcPr>
          <w:p w14:paraId="02C7FD27">
            <w:pPr>
              <w:pStyle w:val="71"/>
              <w:spacing w:before="24" w:after="24"/>
              <w:rPr>
                <w:rFonts w:cs="Times New Roman"/>
              </w:rPr>
            </w:pPr>
            <w:r>
              <w:rPr>
                <w:rFonts w:cs="Times New Roman"/>
              </w:rPr>
              <w:t>用于储油间排风</w:t>
            </w:r>
          </w:p>
        </w:tc>
      </w:tr>
      <w:tr w14:paraId="40DDF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 w:type="pct"/>
            <w:vAlign w:val="center"/>
          </w:tcPr>
          <w:p w14:paraId="4A8641C7">
            <w:pPr>
              <w:pStyle w:val="71"/>
              <w:spacing w:before="24" w:after="24"/>
              <w:rPr>
                <w:rFonts w:cs="Times New Roman"/>
              </w:rPr>
            </w:pPr>
            <w:r>
              <w:rPr>
                <w:rFonts w:cs="Times New Roman"/>
              </w:rPr>
              <w:t>10</w:t>
            </w:r>
          </w:p>
        </w:tc>
        <w:tc>
          <w:tcPr>
            <w:tcW w:w="659" w:type="pct"/>
            <w:vMerge w:val="continue"/>
            <w:vAlign w:val="center"/>
          </w:tcPr>
          <w:p w14:paraId="1B964CBB">
            <w:pPr>
              <w:pStyle w:val="71"/>
              <w:spacing w:before="24" w:after="24"/>
              <w:rPr>
                <w:rFonts w:cs="Times New Roman"/>
              </w:rPr>
            </w:pPr>
          </w:p>
        </w:tc>
        <w:tc>
          <w:tcPr>
            <w:tcW w:w="1134" w:type="pct"/>
            <w:vAlign w:val="center"/>
          </w:tcPr>
          <w:p w14:paraId="700A68D0">
            <w:pPr>
              <w:pStyle w:val="71"/>
              <w:spacing w:before="24" w:after="24"/>
              <w:rPr>
                <w:rFonts w:cs="Times New Roman"/>
              </w:rPr>
            </w:pPr>
            <w:r>
              <w:rPr>
                <w:rFonts w:cs="Times New Roman"/>
              </w:rPr>
              <w:t>一体式油烟净化器</w:t>
            </w:r>
          </w:p>
        </w:tc>
        <w:tc>
          <w:tcPr>
            <w:tcW w:w="2009" w:type="pct"/>
            <w:vAlign w:val="center"/>
          </w:tcPr>
          <w:p w14:paraId="5A63ED52">
            <w:pPr>
              <w:pStyle w:val="71"/>
              <w:spacing w:before="24" w:after="24"/>
              <w:rPr>
                <w:rFonts w:cs="Times New Roman"/>
              </w:rPr>
            </w:pPr>
            <w:r>
              <w:rPr>
                <w:rFonts w:cs="Times New Roman"/>
              </w:rPr>
              <w:t>厂家根据图纸参数配置，净化率不低于90%</w:t>
            </w:r>
          </w:p>
        </w:tc>
        <w:tc>
          <w:tcPr>
            <w:tcW w:w="883" w:type="pct"/>
            <w:vAlign w:val="center"/>
          </w:tcPr>
          <w:p w14:paraId="46944312">
            <w:pPr>
              <w:pStyle w:val="71"/>
              <w:spacing w:before="24" w:after="24"/>
              <w:rPr>
                <w:rFonts w:cs="Times New Roman"/>
              </w:rPr>
            </w:pPr>
            <w:r>
              <w:rPr>
                <w:rFonts w:cs="Times New Roman"/>
              </w:rPr>
              <w:t>用于厨房排风</w:t>
            </w:r>
          </w:p>
        </w:tc>
      </w:tr>
      <w:tr w14:paraId="3392E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 w:type="pct"/>
            <w:vAlign w:val="center"/>
          </w:tcPr>
          <w:p w14:paraId="1DC196E2">
            <w:pPr>
              <w:pStyle w:val="71"/>
              <w:spacing w:before="24" w:after="24"/>
              <w:rPr>
                <w:rFonts w:cs="Times New Roman"/>
              </w:rPr>
            </w:pPr>
            <w:r>
              <w:rPr>
                <w:rFonts w:cs="Times New Roman"/>
              </w:rPr>
              <w:t>11</w:t>
            </w:r>
          </w:p>
        </w:tc>
        <w:tc>
          <w:tcPr>
            <w:tcW w:w="659" w:type="pct"/>
            <w:vMerge w:val="restart"/>
            <w:vAlign w:val="center"/>
          </w:tcPr>
          <w:p w14:paraId="26C6242F">
            <w:pPr>
              <w:pStyle w:val="71"/>
              <w:spacing w:before="24" w:after="24"/>
              <w:rPr>
                <w:rFonts w:cs="Times New Roman"/>
              </w:rPr>
            </w:pPr>
            <w:r>
              <w:rPr>
                <w:rFonts w:cs="Times New Roman"/>
              </w:rPr>
              <w:t>空调系统</w:t>
            </w:r>
          </w:p>
        </w:tc>
        <w:tc>
          <w:tcPr>
            <w:tcW w:w="1134" w:type="pct"/>
            <w:vAlign w:val="center"/>
          </w:tcPr>
          <w:p w14:paraId="1A66EEE0">
            <w:pPr>
              <w:pStyle w:val="71"/>
              <w:spacing w:before="24" w:after="24"/>
              <w:rPr>
                <w:rFonts w:cs="Times New Roman"/>
              </w:rPr>
            </w:pPr>
            <w:r>
              <w:rPr>
                <w:rFonts w:cs="Times New Roman"/>
              </w:rPr>
              <w:t>新风风机</w:t>
            </w:r>
          </w:p>
        </w:tc>
        <w:tc>
          <w:tcPr>
            <w:tcW w:w="2009" w:type="pct"/>
            <w:vAlign w:val="center"/>
          </w:tcPr>
          <w:p w14:paraId="79E6CC02">
            <w:pPr>
              <w:pStyle w:val="71"/>
              <w:spacing w:before="24" w:after="24"/>
              <w:rPr>
                <w:rFonts w:cs="Times New Roman"/>
              </w:rPr>
            </w:pPr>
            <w:r>
              <w:rPr>
                <w:rFonts w:cs="Times New Roman"/>
              </w:rPr>
              <w:t>厂家根据图纸参数配置</w:t>
            </w:r>
          </w:p>
        </w:tc>
        <w:tc>
          <w:tcPr>
            <w:tcW w:w="883" w:type="pct"/>
            <w:vAlign w:val="center"/>
          </w:tcPr>
          <w:p w14:paraId="262D5141">
            <w:pPr>
              <w:pStyle w:val="71"/>
              <w:spacing w:before="24" w:after="24"/>
              <w:rPr>
                <w:rFonts w:cs="Times New Roman"/>
              </w:rPr>
            </w:pPr>
          </w:p>
        </w:tc>
      </w:tr>
      <w:tr w14:paraId="67C68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 w:type="pct"/>
            <w:vAlign w:val="center"/>
          </w:tcPr>
          <w:p w14:paraId="269DD02A">
            <w:pPr>
              <w:pStyle w:val="71"/>
              <w:spacing w:before="24" w:after="24"/>
              <w:rPr>
                <w:rFonts w:cs="Times New Roman"/>
              </w:rPr>
            </w:pPr>
            <w:r>
              <w:rPr>
                <w:rFonts w:cs="Times New Roman"/>
              </w:rPr>
              <w:t>12</w:t>
            </w:r>
          </w:p>
        </w:tc>
        <w:tc>
          <w:tcPr>
            <w:tcW w:w="659" w:type="pct"/>
            <w:vMerge w:val="continue"/>
            <w:vAlign w:val="center"/>
          </w:tcPr>
          <w:p w14:paraId="0F47A211">
            <w:pPr>
              <w:pStyle w:val="71"/>
              <w:spacing w:before="24" w:after="24"/>
              <w:rPr>
                <w:rFonts w:cs="Times New Roman"/>
              </w:rPr>
            </w:pPr>
          </w:p>
        </w:tc>
        <w:tc>
          <w:tcPr>
            <w:tcW w:w="1134" w:type="pct"/>
            <w:vAlign w:val="center"/>
          </w:tcPr>
          <w:p w14:paraId="4A21329A">
            <w:pPr>
              <w:pStyle w:val="71"/>
              <w:spacing w:before="24" w:after="24"/>
              <w:rPr>
                <w:rFonts w:cs="Times New Roman"/>
              </w:rPr>
            </w:pPr>
            <w:r>
              <w:rPr>
                <w:rFonts w:cs="Times New Roman"/>
              </w:rPr>
              <w:t>分体式空调</w:t>
            </w:r>
          </w:p>
        </w:tc>
        <w:tc>
          <w:tcPr>
            <w:tcW w:w="2009" w:type="pct"/>
            <w:vAlign w:val="center"/>
          </w:tcPr>
          <w:p w14:paraId="769F2245">
            <w:pPr>
              <w:pStyle w:val="71"/>
              <w:spacing w:before="24" w:after="24"/>
              <w:rPr>
                <w:rFonts w:cs="Times New Roman"/>
              </w:rPr>
            </w:pPr>
            <w:r>
              <w:rPr>
                <w:rFonts w:cs="Times New Roman"/>
              </w:rPr>
              <w:t>厂家根据图纸参数配置</w:t>
            </w:r>
          </w:p>
        </w:tc>
        <w:tc>
          <w:tcPr>
            <w:tcW w:w="883" w:type="pct"/>
            <w:vAlign w:val="center"/>
          </w:tcPr>
          <w:p w14:paraId="51F2B996">
            <w:pPr>
              <w:pStyle w:val="71"/>
              <w:spacing w:before="24" w:after="24"/>
              <w:rPr>
                <w:rFonts w:cs="Times New Roman"/>
              </w:rPr>
            </w:pPr>
          </w:p>
        </w:tc>
      </w:tr>
      <w:tr w14:paraId="29027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 w:type="pct"/>
            <w:vAlign w:val="center"/>
          </w:tcPr>
          <w:p w14:paraId="464A56A8">
            <w:pPr>
              <w:pStyle w:val="71"/>
              <w:spacing w:before="24" w:after="24"/>
              <w:rPr>
                <w:rFonts w:cs="Times New Roman"/>
              </w:rPr>
            </w:pPr>
            <w:r>
              <w:rPr>
                <w:rFonts w:cs="Times New Roman"/>
              </w:rPr>
              <w:t>13</w:t>
            </w:r>
          </w:p>
        </w:tc>
        <w:tc>
          <w:tcPr>
            <w:tcW w:w="659" w:type="pct"/>
            <w:vMerge w:val="continue"/>
            <w:vAlign w:val="center"/>
          </w:tcPr>
          <w:p w14:paraId="2CEB343D">
            <w:pPr>
              <w:pStyle w:val="71"/>
              <w:spacing w:before="24" w:after="24"/>
              <w:rPr>
                <w:rFonts w:cs="Times New Roman"/>
              </w:rPr>
            </w:pPr>
          </w:p>
        </w:tc>
        <w:tc>
          <w:tcPr>
            <w:tcW w:w="1134" w:type="pct"/>
            <w:vAlign w:val="center"/>
          </w:tcPr>
          <w:p w14:paraId="563FCD65">
            <w:pPr>
              <w:pStyle w:val="71"/>
              <w:spacing w:before="24" w:after="24"/>
              <w:rPr>
                <w:rFonts w:cs="Times New Roman"/>
              </w:rPr>
            </w:pPr>
            <w:r>
              <w:rPr>
                <w:rFonts w:cs="Times New Roman"/>
              </w:rPr>
              <w:t>直膨式新风空调</w:t>
            </w:r>
          </w:p>
        </w:tc>
        <w:tc>
          <w:tcPr>
            <w:tcW w:w="2009" w:type="pct"/>
            <w:vAlign w:val="center"/>
          </w:tcPr>
          <w:p w14:paraId="68B76F3C">
            <w:pPr>
              <w:pStyle w:val="71"/>
              <w:spacing w:before="24" w:after="24"/>
              <w:rPr>
                <w:rFonts w:cs="Times New Roman"/>
              </w:rPr>
            </w:pPr>
            <w:r>
              <w:rPr>
                <w:rFonts w:cs="Times New Roman"/>
              </w:rPr>
              <w:t>厂家根据图纸参数配置</w:t>
            </w:r>
          </w:p>
        </w:tc>
        <w:tc>
          <w:tcPr>
            <w:tcW w:w="883" w:type="pct"/>
            <w:vAlign w:val="center"/>
          </w:tcPr>
          <w:p w14:paraId="60333EF1">
            <w:pPr>
              <w:pStyle w:val="71"/>
              <w:spacing w:before="24" w:after="24"/>
              <w:rPr>
                <w:rFonts w:cs="Times New Roman"/>
              </w:rPr>
            </w:pPr>
          </w:p>
        </w:tc>
      </w:tr>
      <w:tr w14:paraId="46EFD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 w:type="pct"/>
            <w:vAlign w:val="center"/>
          </w:tcPr>
          <w:p w14:paraId="5FA27639">
            <w:pPr>
              <w:pStyle w:val="71"/>
              <w:spacing w:before="24" w:after="24"/>
              <w:rPr>
                <w:rFonts w:cs="Times New Roman"/>
              </w:rPr>
            </w:pPr>
            <w:r>
              <w:rPr>
                <w:rFonts w:cs="Times New Roman"/>
              </w:rPr>
              <w:t>14</w:t>
            </w:r>
          </w:p>
        </w:tc>
        <w:tc>
          <w:tcPr>
            <w:tcW w:w="659" w:type="pct"/>
            <w:vMerge w:val="continue"/>
            <w:vAlign w:val="center"/>
          </w:tcPr>
          <w:p w14:paraId="769E4FBB">
            <w:pPr>
              <w:pStyle w:val="71"/>
              <w:spacing w:before="24" w:after="24"/>
              <w:rPr>
                <w:rFonts w:cs="Times New Roman"/>
              </w:rPr>
            </w:pPr>
          </w:p>
        </w:tc>
        <w:tc>
          <w:tcPr>
            <w:tcW w:w="1134" w:type="pct"/>
            <w:vAlign w:val="center"/>
          </w:tcPr>
          <w:p w14:paraId="3265AFC5">
            <w:pPr>
              <w:pStyle w:val="71"/>
              <w:spacing w:before="24" w:after="24"/>
              <w:rPr>
                <w:rFonts w:cs="Times New Roman"/>
              </w:rPr>
            </w:pPr>
            <w:r>
              <w:rPr>
                <w:rFonts w:cs="Times New Roman"/>
              </w:rPr>
              <w:t>变制冷剂流量空调</w:t>
            </w:r>
          </w:p>
        </w:tc>
        <w:tc>
          <w:tcPr>
            <w:tcW w:w="2009" w:type="pct"/>
            <w:vAlign w:val="center"/>
          </w:tcPr>
          <w:p w14:paraId="0214F5B5">
            <w:pPr>
              <w:pStyle w:val="71"/>
              <w:spacing w:before="24" w:after="24"/>
              <w:rPr>
                <w:rFonts w:cs="Times New Roman"/>
              </w:rPr>
            </w:pPr>
            <w:r>
              <w:rPr>
                <w:rFonts w:cs="Times New Roman"/>
              </w:rPr>
              <w:t>厂家根据图纸参数配置</w:t>
            </w:r>
          </w:p>
        </w:tc>
        <w:tc>
          <w:tcPr>
            <w:tcW w:w="883" w:type="pct"/>
            <w:vAlign w:val="center"/>
          </w:tcPr>
          <w:p w14:paraId="7922CBC2">
            <w:pPr>
              <w:pStyle w:val="71"/>
              <w:spacing w:before="24" w:after="24"/>
              <w:rPr>
                <w:rFonts w:cs="Times New Roman"/>
              </w:rPr>
            </w:pPr>
          </w:p>
        </w:tc>
      </w:tr>
      <w:tr w14:paraId="51195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 w:type="pct"/>
            <w:vAlign w:val="center"/>
          </w:tcPr>
          <w:p w14:paraId="7ACD178E">
            <w:pPr>
              <w:pStyle w:val="71"/>
              <w:spacing w:before="24" w:after="24"/>
              <w:rPr>
                <w:rFonts w:cs="Times New Roman"/>
              </w:rPr>
            </w:pPr>
            <w:r>
              <w:rPr>
                <w:rFonts w:cs="Times New Roman"/>
              </w:rPr>
              <w:t>15</w:t>
            </w:r>
          </w:p>
        </w:tc>
        <w:tc>
          <w:tcPr>
            <w:tcW w:w="659" w:type="pct"/>
            <w:vMerge w:val="restart"/>
            <w:vAlign w:val="center"/>
          </w:tcPr>
          <w:p w14:paraId="290D8A23">
            <w:pPr>
              <w:pStyle w:val="71"/>
              <w:spacing w:before="24" w:after="24"/>
              <w:rPr>
                <w:rFonts w:cs="Times New Roman"/>
              </w:rPr>
            </w:pPr>
            <w:r>
              <w:rPr>
                <w:rFonts w:cs="Times New Roman"/>
              </w:rPr>
              <w:t>阀门</w:t>
            </w:r>
          </w:p>
        </w:tc>
        <w:tc>
          <w:tcPr>
            <w:tcW w:w="1134" w:type="pct"/>
            <w:vAlign w:val="center"/>
          </w:tcPr>
          <w:p w14:paraId="07793BC2">
            <w:pPr>
              <w:pStyle w:val="71"/>
              <w:spacing w:before="24" w:after="24"/>
              <w:rPr>
                <w:rFonts w:cs="Times New Roman"/>
              </w:rPr>
            </w:pPr>
            <w:r>
              <w:rPr>
                <w:rFonts w:cs="Times New Roman"/>
              </w:rPr>
              <w:t>70℃自熔断防火阀</w:t>
            </w:r>
          </w:p>
        </w:tc>
        <w:tc>
          <w:tcPr>
            <w:tcW w:w="2009" w:type="pct"/>
            <w:vAlign w:val="center"/>
          </w:tcPr>
          <w:p w14:paraId="50F62930">
            <w:pPr>
              <w:pStyle w:val="71"/>
              <w:spacing w:before="24" w:after="24"/>
              <w:rPr>
                <w:rFonts w:cs="Times New Roman"/>
              </w:rPr>
            </w:pPr>
            <w:r>
              <w:rPr>
                <w:rFonts w:cs="Times New Roman"/>
              </w:rPr>
              <w:t>常开，气流温度达到70℃时自行熔断关闭</w:t>
            </w:r>
          </w:p>
        </w:tc>
        <w:tc>
          <w:tcPr>
            <w:tcW w:w="883" w:type="pct"/>
            <w:vAlign w:val="center"/>
          </w:tcPr>
          <w:p w14:paraId="0E96FA9F">
            <w:pPr>
              <w:pStyle w:val="71"/>
              <w:spacing w:before="24" w:after="24"/>
              <w:rPr>
                <w:rFonts w:cs="Times New Roman"/>
              </w:rPr>
            </w:pPr>
            <w:r>
              <w:rPr>
                <w:rFonts w:cs="Times New Roman"/>
              </w:rPr>
              <w:t> </w:t>
            </w:r>
          </w:p>
        </w:tc>
      </w:tr>
      <w:tr w14:paraId="196B0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 w:type="pct"/>
            <w:vAlign w:val="center"/>
          </w:tcPr>
          <w:p w14:paraId="53A9B488">
            <w:pPr>
              <w:pStyle w:val="71"/>
              <w:spacing w:before="24" w:after="24"/>
              <w:rPr>
                <w:rFonts w:cs="Times New Roman"/>
              </w:rPr>
            </w:pPr>
            <w:r>
              <w:rPr>
                <w:rFonts w:cs="Times New Roman"/>
              </w:rPr>
              <w:t>16</w:t>
            </w:r>
          </w:p>
        </w:tc>
        <w:tc>
          <w:tcPr>
            <w:tcW w:w="659" w:type="pct"/>
            <w:vMerge w:val="continue"/>
            <w:vAlign w:val="center"/>
          </w:tcPr>
          <w:p w14:paraId="307FA0F8">
            <w:pPr>
              <w:pStyle w:val="71"/>
              <w:spacing w:before="24" w:after="24"/>
              <w:rPr>
                <w:rFonts w:cs="Times New Roman"/>
              </w:rPr>
            </w:pPr>
          </w:p>
        </w:tc>
        <w:tc>
          <w:tcPr>
            <w:tcW w:w="1134" w:type="pct"/>
            <w:vAlign w:val="center"/>
          </w:tcPr>
          <w:p w14:paraId="2B4F2296">
            <w:pPr>
              <w:pStyle w:val="71"/>
              <w:spacing w:before="24" w:after="24"/>
              <w:rPr>
                <w:rFonts w:cs="Times New Roman"/>
              </w:rPr>
            </w:pPr>
            <w:r>
              <w:rPr>
                <w:rFonts w:cs="Times New Roman"/>
              </w:rPr>
              <w:t>70℃常开防火阀</w:t>
            </w:r>
          </w:p>
        </w:tc>
        <w:tc>
          <w:tcPr>
            <w:tcW w:w="2009" w:type="pct"/>
            <w:vAlign w:val="center"/>
          </w:tcPr>
          <w:p w14:paraId="15EE9BD4">
            <w:pPr>
              <w:pStyle w:val="71"/>
              <w:spacing w:before="24" w:after="24"/>
              <w:rPr>
                <w:rFonts w:cs="Times New Roman"/>
              </w:rPr>
            </w:pPr>
            <w:r>
              <w:rPr>
                <w:rFonts w:cs="Times New Roman"/>
              </w:rPr>
              <w:t>气流温度达到70℃时自行熔断关闭，送出信号</w:t>
            </w:r>
          </w:p>
        </w:tc>
        <w:tc>
          <w:tcPr>
            <w:tcW w:w="883" w:type="pct"/>
            <w:vAlign w:val="center"/>
          </w:tcPr>
          <w:p w14:paraId="7DDCC47E">
            <w:pPr>
              <w:pStyle w:val="71"/>
              <w:spacing w:before="24" w:after="24"/>
              <w:rPr>
                <w:rFonts w:cs="Times New Roman"/>
              </w:rPr>
            </w:pPr>
            <w:r>
              <w:rPr>
                <w:rFonts w:cs="Times New Roman"/>
              </w:rPr>
              <w:t> </w:t>
            </w:r>
          </w:p>
        </w:tc>
      </w:tr>
      <w:tr w14:paraId="11F5E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 w:type="pct"/>
            <w:vAlign w:val="center"/>
          </w:tcPr>
          <w:p w14:paraId="3976A954">
            <w:pPr>
              <w:pStyle w:val="71"/>
              <w:spacing w:before="24" w:after="24"/>
              <w:rPr>
                <w:rFonts w:cs="Times New Roman"/>
              </w:rPr>
            </w:pPr>
            <w:r>
              <w:rPr>
                <w:rFonts w:cs="Times New Roman"/>
              </w:rPr>
              <w:t>17</w:t>
            </w:r>
          </w:p>
        </w:tc>
        <w:tc>
          <w:tcPr>
            <w:tcW w:w="659" w:type="pct"/>
            <w:vMerge w:val="continue"/>
            <w:vAlign w:val="center"/>
          </w:tcPr>
          <w:p w14:paraId="184AC8B2">
            <w:pPr>
              <w:pStyle w:val="71"/>
              <w:spacing w:before="24" w:after="24"/>
              <w:rPr>
                <w:rFonts w:cs="Times New Roman"/>
              </w:rPr>
            </w:pPr>
          </w:p>
        </w:tc>
        <w:tc>
          <w:tcPr>
            <w:tcW w:w="1134" w:type="pct"/>
            <w:vAlign w:val="center"/>
          </w:tcPr>
          <w:p w14:paraId="08020B97">
            <w:pPr>
              <w:pStyle w:val="71"/>
              <w:spacing w:before="24" w:after="24"/>
              <w:rPr>
                <w:rFonts w:cs="Times New Roman"/>
              </w:rPr>
            </w:pPr>
            <w:r>
              <w:rPr>
                <w:rFonts w:cs="Times New Roman"/>
              </w:rPr>
              <w:t>150℃常开防火阀</w:t>
            </w:r>
          </w:p>
        </w:tc>
        <w:tc>
          <w:tcPr>
            <w:tcW w:w="2009" w:type="pct"/>
            <w:vAlign w:val="center"/>
          </w:tcPr>
          <w:p w14:paraId="518358CD">
            <w:pPr>
              <w:pStyle w:val="71"/>
              <w:spacing w:before="24" w:after="24"/>
              <w:rPr>
                <w:rFonts w:cs="Times New Roman"/>
              </w:rPr>
            </w:pPr>
            <w:r>
              <w:rPr>
                <w:rFonts w:cs="Times New Roman"/>
              </w:rPr>
              <w:t>气流温度达到150℃时自行熔断关闭</w:t>
            </w:r>
          </w:p>
        </w:tc>
        <w:tc>
          <w:tcPr>
            <w:tcW w:w="883" w:type="pct"/>
            <w:vAlign w:val="center"/>
          </w:tcPr>
          <w:p w14:paraId="36F28C1C">
            <w:pPr>
              <w:pStyle w:val="71"/>
              <w:spacing w:before="24" w:after="24"/>
              <w:rPr>
                <w:rFonts w:cs="Times New Roman"/>
              </w:rPr>
            </w:pPr>
            <w:r>
              <w:rPr>
                <w:rFonts w:cs="Times New Roman"/>
              </w:rPr>
              <w:t> </w:t>
            </w:r>
          </w:p>
        </w:tc>
      </w:tr>
      <w:tr w14:paraId="2442D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 w:type="pct"/>
            <w:vAlign w:val="center"/>
          </w:tcPr>
          <w:p w14:paraId="22AA2310">
            <w:pPr>
              <w:pStyle w:val="71"/>
              <w:spacing w:before="24" w:after="24"/>
              <w:rPr>
                <w:rFonts w:cs="Times New Roman"/>
              </w:rPr>
            </w:pPr>
            <w:r>
              <w:rPr>
                <w:rFonts w:cs="Times New Roman"/>
              </w:rPr>
              <w:t>18</w:t>
            </w:r>
          </w:p>
        </w:tc>
        <w:tc>
          <w:tcPr>
            <w:tcW w:w="659" w:type="pct"/>
            <w:vMerge w:val="continue"/>
            <w:vAlign w:val="center"/>
          </w:tcPr>
          <w:p w14:paraId="740FF407">
            <w:pPr>
              <w:pStyle w:val="71"/>
              <w:spacing w:before="24" w:after="24"/>
              <w:rPr>
                <w:rFonts w:cs="Times New Roman"/>
              </w:rPr>
            </w:pPr>
          </w:p>
        </w:tc>
        <w:tc>
          <w:tcPr>
            <w:tcW w:w="1134" w:type="pct"/>
            <w:vAlign w:val="center"/>
          </w:tcPr>
          <w:p w14:paraId="23119ADE">
            <w:pPr>
              <w:pStyle w:val="71"/>
              <w:spacing w:before="24" w:after="24"/>
              <w:rPr>
                <w:rFonts w:cs="Times New Roman"/>
              </w:rPr>
            </w:pPr>
            <w:r>
              <w:rPr>
                <w:rFonts w:cs="Times New Roman"/>
              </w:rPr>
              <w:t>280℃常开防火阀</w:t>
            </w:r>
          </w:p>
        </w:tc>
        <w:tc>
          <w:tcPr>
            <w:tcW w:w="2009" w:type="pct"/>
            <w:vAlign w:val="center"/>
          </w:tcPr>
          <w:p w14:paraId="756F06E5">
            <w:pPr>
              <w:pStyle w:val="71"/>
              <w:spacing w:before="24" w:after="24"/>
              <w:rPr>
                <w:rFonts w:cs="Times New Roman"/>
              </w:rPr>
            </w:pPr>
            <w:r>
              <w:rPr>
                <w:rFonts w:cs="Times New Roman"/>
              </w:rPr>
              <w:t>常开，气流温度达到280℃时自行熔断关闭，送出信号，并联锁关闭相应风机</w:t>
            </w:r>
          </w:p>
        </w:tc>
        <w:tc>
          <w:tcPr>
            <w:tcW w:w="883" w:type="pct"/>
            <w:vAlign w:val="center"/>
          </w:tcPr>
          <w:p w14:paraId="3F686DA3">
            <w:pPr>
              <w:pStyle w:val="71"/>
              <w:spacing w:before="24" w:after="24"/>
              <w:rPr>
                <w:rFonts w:cs="Times New Roman"/>
              </w:rPr>
            </w:pPr>
            <w:r>
              <w:rPr>
                <w:rFonts w:cs="Times New Roman"/>
              </w:rPr>
              <w:t> </w:t>
            </w:r>
          </w:p>
        </w:tc>
      </w:tr>
      <w:tr w14:paraId="24F93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 w:type="pct"/>
            <w:vAlign w:val="center"/>
          </w:tcPr>
          <w:p w14:paraId="331EDBD4">
            <w:pPr>
              <w:pStyle w:val="71"/>
              <w:spacing w:before="24" w:after="24"/>
              <w:rPr>
                <w:rFonts w:cs="Times New Roman"/>
              </w:rPr>
            </w:pPr>
            <w:r>
              <w:rPr>
                <w:rFonts w:cs="Times New Roman"/>
              </w:rPr>
              <w:t>19</w:t>
            </w:r>
          </w:p>
        </w:tc>
        <w:tc>
          <w:tcPr>
            <w:tcW w:w="659" w:type="pct"/>
            <w:vAlign w:val="center"/>
          </w:tcPr>
          <w:p w14:paraId="41E4344C">
            <w:pPr>
              <w:pStyle w:val="71"/>
              <w:spacing w:before="24" w:after="24"/>
              <w:rPr>
                <w:rFonts w:cs="Times New Roman"/>
              </w:rPr>
            </w:pPr>
          </w:p>
        </w:tc>
        <w:tc>
          <w:tcPr>
            <w:tcW w:w="1134" w:type="pct"/>
            <w:vAlign w:val="center"/>
          </w:tcPr>
          <w:p w14:paraId="6AB7311B">
            <w:pPr>
              <w:pStyle w:val="71"/>
              <w:spacing w:before="24" w:after="24"/>
              <w:rPr>
                <w:rFonts w:cs="Times New Roman"/>
              </w:rPr>
            </w:pPr>
            <w:r>
              <w:rPr>
                <w:rFonts w:cs="Times New Roman"/>
              </w:rPr>
              <w:t>电动密闭阀</w:t>
            </w:r>
          </w:p>
        </w:tc>
        <w:tc>
          <w:tcPr>
            <w:tcW w:w="2009" w:type="pct"/>
            <w:vAlign w:val="center"/>
          </w:tcPr>
          <w:p w14:paraId="10E3CF6C">
            <w:pPr>
              <w:pStyle w:val="71"/>
              <w:spacing w:before="24" w:after="24"/>
              <w:rPr>
                <w:rFonts w:cs="Times New Roman"/>
              </w:rPr>
            </w:pPr>
            <w:r>
              <w:rPr>
                <w:rFonts w:cs="Times New Roman"/>
              </w:rPr>
              <w:t>DC24V信号开启（或关闭）,亦可手动开启（或关闭）</w:t>
            </w:r>
          </w:p>
        </w:tc>
        <w:tc>
          <w:tcPr>
            <w:tcW w:w="883" w:type="pct"/>
            <w:vAlign w:val="center"/>
          </w:tcPr>
          <w:p w14:paraId="0E992A52">
            <w:pPr>
              <w:pStyle w:val="71"/>
              <w:spacing w:before="24" w:after="24"/>
              <w:rPr>
                <w:rFonts w:cs="Times New Roman"/>
              </w:rPr>
            </w:pPr>
          </w:p>
        </w:tc>
      </w:tr>
      <w:tr w14:paraId="6D08E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 w:type="pct"/>
            <w:vAlign w:val="center"/>
          </w:tcPr>
          <w:p w14:paraId="077BB6B5">
            <w:pPr>
              <w:pStyle w:val="71"/>
              <w:spacing w:before="24" w:after="24"/>
              <w:rPr>
                <w:rFonts w:cs="Times New Roman"/>
              </w:rPr>
            </w:pPr>
            <w:r>
              <w:rPr>
                <w:rFonts w:cs="Times New Roman"/>
              </w:rPr>
              <w:t>20</w:t>
            </w:r>
          </w:p>
        </w:tc>
        <w:tc>
          <w:tcPr>
            <w:tcW w:w="659" w:type="pct"/>
            <w:vAlign w:val="center"/>
          </w:tcPr>
          <w:p w14:paraId="301CFFEB">
            <w:pPr>
              <w:pStyle w:val="71"/>
              <w:spacing w:before="24" w:after="24"/>
              <w:rPr>
                <w:rFonts w:cs="Times New Roman"/>
              </w:rPr>
            </w:pPr>
          </w:p>
        </w:tc>
        <w:tc>
          <w:tcPr>
            <w:tcW w:w="1134" w:type="pct"/>
            <w:vAlign w:val="center"/>
          </w:tcPr>
          <w:p w14:paraId="63929CC1">
            <w:pPr>
              <w:pStyle w:val="71"/>
              <w:spacing w:before="24" w:after="24"/>
              <w:rPr>
                <w:rFonts w:cs="Times New Roman"/>
              </w:rPr>
            </w:pPr>
            <w:r>
              <w:rPr>
                <w:rFonts w:cs="Times New Roman"/>
              </w:rPr>
              <w:t>手动对开多叶调节阀</w:t>
            </w:r>
          </w:p>
        </w:tc>
        <w:tc>
          <w:tcPr>
            <w:tcW w:w="2009" w:type="pct"/>
            <w:vAlign w:val="center"/>
          </w:tcPr>
          <w:p w14:paraId="0A9495C6">
            <w:pPr>
              <w:pStyle w:val="71"/>
              <w:spacing w:before="24" w:after="24"/>
              <w:rPr>
                <w:rFonts w:cs="Times New Roman"/>
              </w:rPr>
            </w:pPr>
            <w:r>
              <w:rPr>
                <w:rFonts w:cs="Times New Roman"/>
              </w:rPr>
              <w:t>成品，根据图纸要求配置</w:t>
            </w:r>
          </w:p>
        </w:tc>
        <w:tc>
          <w:tcPr>
            <w:tcW w:w="883" w:type="pct"/>
            <w:vAlign w:val="center"/>
          </w:tcPr>
          <w:p w14:paraId="01427180">
            <w:pPr>
              <w:pStyle w:val="71"/>
              <w:spacing w:before="24" w:after="24"/>
              <w:rPr>
                <w:rFonts w:cs="Times New Roman"/>
              </w:rPr>
            </w:pPr>
          </w:p>
        </w:tc>
      </w:tr>
      <w:tr w14:paraId="5623C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 w:type="pct"/>
            <w:vAlign w:val="center"/>
          </w:tcPr>
          <w:p w14:paraId="08B3D64B">
            <w:pPr>
              <w:pStyle w:val="71"/>
              <w:spacing w:before="24" w:after="24"/>
              <w:rPr>
                <w:rFonts w:cs="Times New Roman"/>
              </w:rPr>
            </w:pPr>
            <w:r>
              <w:rPr>
                <w:rFonts w:cs="Times New Roman"/>
              </w:rPr>
              <w:t>21</w:t>
            </w:r>
          </w:p>
        </w:tc>
        <w:tc>
          <w:tcPr>
            <w:tcW w:w="659" w:type="pct"/>
            <w:vMerge w:val="restart"/>
            <w:vAlign w:val="center"/>
          </w:tcPr>
          <w:p w14:paraId="7630B0D1">
            <w:pPr>
              <w:pStyle w:val="71"/>
              <w:spacing w:before="24" w:after="24"/>
              <w:rPr>
                <w:rFonts w:cs="Times New Roman"/>
              </w:rPr>
            </w:pPr>
            <w:r>
              <w:rPr>
                <w:rFonts w:cs="Times New Roman"/>
              </w:rPr>
              <w:t>风口</w:t>
            </w:r>
          </w:p>
        </w:tc>
        <w:tc>
          <w:tcPr>
            <w:tcW w:w="1134" w:type="pct"/>
            <w:vAlign w:val="center"/>
          </w:tcPr>
          <w:p w14:paraId="44FC3D42">
            <w:pPr>
              <w:pStyle w:val="71"/>
              <w:spacing w:before="24" w:after="24"/>
              <w:rPr>
                <w:rFonts w:cs="Times New Roman"/>
              </w:rPr>
            </w:pPr>
            <w:r>
              <w:rPr>
                <w:rFonts w:cs="Times New Roman"/>
              </w:rPr>
              <w:t>单层百叶风口</w:t>
            </w:r>
          </w:p>
        </w:tc>
        <w:tc>
          <w:tcPr>
            <w:tcW w:w="2009" w:type="pct"/>
            <w:vAlign w:val="center"/>
          </w:tcPr>
          <w:p w14:paraId="1BC6E638">
            <w:pPr>
              <w:pStyle w:val="71"/>
              <w:spacing w:before="24" w:after="24"/>
              <w:rPr>
                <w:rFonts w:cs="Times New Roman"/>
              </w:rPr>
            </w:pPr>
            <w:r>
              <w:rPr>
                <w:rFonts w:cs="Times New Roman"/>
              </w:rPr>
              <w:t>成品，根据图纸要求配置</w:t>
            </w:r>
          </w:p>
        </w:tc>
        <w:tc>
          <w:tcPr>
            <w:tcW w:w="883" w:type="pct"/>
            <w:vAlign w:val="center"/>
          </w:tcPr>
          <w:p w14:paraId="387AB2A2">
            <w:pPr>
              <w:pStyle w:val="71"/>
              <w:spacing w:before="24" w:after="24"/>
              <w:rPr>
                <w:rFonts w:cs="Times New Roman"/>
              </w:rPr>
            </w:pPr>
            <w:r>
              <w:rPr>
                <w:rFonts w:cs="Times New Roman"/>
              </w:rPr>
              <w:t> </w:t>
            </w:r>
          </w:p>
        </w:tc>
      </w:tr>
      <w:tr w14:paraId="6030E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 w:type="pct"/>
            <w:vAlign w:val="center"/>
          </w:tcPr>
          <w:p w14:paraId="35438410">
            <w:pPr>
              <w:pStyle w:val="71"/>
              <w:spacing w:before="24" w:after="24"/>
              <w:rPr>
                <w:rFonts w:cs="Times New Roman"/>
              </w:rPr>
            </w:pPr>
            <w:r>
              <w:rPr>
                <w:rFonts w:cs="Times New Roman"/>
              </w:rPr>
              <w:t>22</w:t>
            </w:r>
          </w:p>
        </w:tc>
        <w:tc>
          <w:tcPr>
            <w:tcW w:w="659" w:type="pct"/>
            <w:vMerge w:val="continue"/>
            <w:vAlign w:val="center"/>
          </w:tcPr>
          <w:p w14:paraId="7A2E1B5F">
            <w:pPr>
              <w:pStyle w:val="71"/>
              <w:spacing w:before="24" w:after="24"/>
              <w:rPr>
                <w:rFonts w:cs="Times New Roman"/>
              </w:rPr>
            </w:pPr>
          </w:p>
        </w:tc>
        <w:tc>
          <w:tcPr>
            <w:tcW w:w="1134" w:type="pct"/>
            <w:vAlign w:val="center"/>
          </w:tcPr>
          <w:p w14:paraId="55DD093E">
            <w:pPr>
              <w:pStyle w:val="71"/>
              <w:spacing w:before="24" w:after="24"/>
              <w:rPr>
                <w:rFonts w:cs="Times New Roman"/>
              </w:rPr>
            </w:pPr>
            <w:r>
              <w:rPr>
                <w:rFonts w:cs="Times New Roman"/>
              </w:rPr>
              <w:t>双层百叶风口</w:t>
            </w:r>
          </w:p>
        </w:tc>
        <w:tc>
          <w:tcPr>
            <w:tcW w:w="2009" w:type="pct"/>
            <w:vAlign w:val="center"/>
          </w:tcPr>
          <w:p w14:paraId="1BB86193">
            <w:pPr>
              <w:pStyle w:val="71"/>
              <w:spacing w:before="24" w:after="24"/>
              <w:rPr>
                <w:rFonts w:cs="Times New Roman"/>
              </w:rPr>
            </w:pPr>
            <w:r>
              <w:rPr>
                <w:rFonts w:cs="Times New Roman"/>
              </w:rPr>
              <w:t>成品，根据图纸要求配置</w:t>
            </w:r>
          </w:p>
        </w:tc>
        <w:tc>
          <w:tcPr>
            <w:tcW w:w="883" w:type="pct"/>
            <w:vAlign w:val="center"/>
          </w:tcPr>
          <w:p w14:paraId="0B83F3E9">
            <w:pPr>
              <w:pStyle w:val="71"/>
              <w:spacing w:before="24" w:after="24"/>
              <w:rPr>
                <w:rFonts w:cs="Times New Roman"/>
              </w:rPr>
            </w:pPr>
          </w:p>
        </w:tc>
      </w:tr>
      <w:tr w14:paraId="74832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 w:type="pct"/>
            <w:vAlign w:val="center"/>
          </w:tcPr>
          <w:p w14:paraId="4FBE5D54">
            <w:pPr>
              <w:pStyle w:val="71"/>
              <w:spacing w:before="24" w:after="24"/>
              <w:rPr>
                <w:rFonts w:cs="Times New Roman"/>
              </w:rPr>
            </w:pPr>
            <w:r>
              <w:rPr>
                <w:rFonts w:cs="Times New Roman"/>
              </w:rPr>
              <w:t>23</w:t>
            </w:r>
          </w:p>
        </w:tc>
        <w:tc>
          <w:tcPr>
            <w:tcW w:w="659" w:type="pct"/>
            <w:vMerge w:val="continue"/>
            <w:vAlign w:val="center"/>
          </w:tcPr>
          <w:p w14:paraId="550F403F">
            <w:pPr>
              <w:pStyle w:val="71"/>
              <w:spacing w:before="24" w:after="24"/>
              <w:rPr>
                <w:rFonts w:cs="Times New Roman"/>
              </w:rPr>
            </w:pPr>
          </w:p>
        </w:tc>
        <w:tc>
          <w:tcPr>
            <w:tcW w:w="1134" w:type="pct"/>
            <w:vAlign w:val="center"/>
          </w:tcPr>
          <w:p w14:paraId="45209DD5">
            <w:pPr>
              <w:pStyle w:val="71"/>
              <w:spacing w:before="24" w:after="24"/>
              <w:rPr>
                <w:rFonts w:cs="Times New Roman"/>
              </w:rPr>
            </w:pPr>
            <w:r>
              <w:rPr>
                <w:rFonts w:cs="Times New Roman"/>
              </w:rPr>
              <w:t>防雨百叶风口</w:t>
            </w:r>
          </w:p>
        </w:tc>
        <w:tc>
          <w:tcPr>
            <w:tcW w:w="2009" w:type="pct"/>
            <w:vAlign w:val="center"/>
          </w:tcPr>
          <w:p w14:paraId="0F53D244">
            <w:pPr>
              <w:pStyle w:val="71"/>
              <w:spacing w:before="24" w:after="24"/>
              <w:rPr>
                <w:rFonts w:cs="Times New Roman"/>
              </w:rPr>
            </w:pPr>
            <w:r>
              <w:rPr>
                <w:rFonts w:cs="Times New Roman"/>
              </w:rPr>
              <w:t>成品，根据图纸要求配置</w:t>
            </w:r>
          </w:p>
        </w:tc>
        <w:tc>
          <w:tcPr>
            <w:tcW w:w="883" w:type="pct"/>
            <w:vAlign w:val="center"/>
          </w:tcPr>
          <w:p w14:paraId="1DB64509">
            <w:pPr>
              <w:pStyle w:val="71"/>
              <w:spacing w:before="24" w:after="24"/>
              <w:rPr>
                <w:rFonts w:cs="Times New Roman"/>
              </w:rPr>
            </w:pPr>
          </w:p>
        </w:tc>
      </w:tr>
      <w:tr w14:paraId="7210D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 w:type="pct"/>
            <w:vAlign w:val="center"/>
          </w:tcPr>
          <w:p w14:paraId="662CEDA4">
            <w:pPr>
              <w:pStyle w:val="71"/>
              <w:spacing w:before="24" w:after="24"/>
              <w:rPr>
                <w:rFonts w:cs="Times New Roman"/>
              </w:rPr>
            </w:pPr>
            <w:r>
              <w:rPr>
                <w:rFonts w:cs="Times New Roman"/>
              </w:rPr>
              <w:t>24</w:t>
            </w:r>
          </w:p>
        </w:tc>
        <w:tc>
          <w:tcPr>
            <w:tcW w:w="659" w:type="pct"/>
            <w:vMerge w:val="continue"/>
            <w:vAlign w:val="center"/>
          </w:tcPr>
          <w:p w14:paraId="64A5A07E">
            <w:pPr>
              <w:pStyle w:val="71"/>
              <w:spacing w:before="24" w:after="24"/>
              <w:rPr>
                <w:rFonts w:cs="Times New Roman"/>
              </w:rPr>
            </w:pPr>
          </w:p>
        </w:tc>
        <w:tc>
          <w:tcPr>
            <w:tcW w:w="1134" w:type="pct"/>
            <w:vAlign w:val="center"/>
          </w:tcPr>
          <w:p w14:paraId="410ADB8A">
            <w:pPr>
              <w:pStyle w:val="71"/>
              <w:spacing w:before="24" w:after="24"/>
              <w:rPr>
                <w:rFonts w:cs="Times New Roman"/>
              </w:rPr>
            </w:pPr>
            <w:r>
              <w:rPr>
                <w:rFonts w:cs="Times New Roman"/>
              </w:rPr>
              <w:t>电控多叶排烟风口</w:t>
            </w:r>
          </w:p>
        </w:tc>
        <w:tc>
          <w:tcPr>
            <w:tcW w:w="2009" w:type="pct"/>
            <w:vAlign w:val="center"/>
          </w:tcPr>
          <w:p w14:paraId="589507D6">
            <w:pPr>
              <w:pStyle w:val="71"/>
              <w:spacing w:before="24" w:after="24"/>
              <w:rPr>
                <w:rFonts w:cs="Times New Roman"/>
              </w:rPr>
            </w:pPr>
            <w:r>
              <w:rPr>
                <w:rFonts w:cs="Times New Roman"/>
              </w:rPr>
              <w:t>DC24V信号开启,亦可手动开启;其开启信号应与排烟风机、补风机联动,带远程手动控制装置</w:t>
            </w:r>
          </w:p>
        </w:tc>
        <w:tc>
          <w:tcPr>
            <w:tcW w:w="883" w:type="pct"/>
            <w:vAlign w:val="center"/>
          </w:tcPr>
          <w:p w14:paraId="685A7A40">
            <w:pPr>
              <w:pStyle w:val="71"/>
              <w:spacing w:before="24" w:after="24"/>
              <w:rPr>
                <w:rFonts w:cs="Times New Roman"/>
              </w:rPr>
            </w:pPr>
          </w:p>
        </w:tc>
      </w:tr>
      <w:tr w14:paraId="66B5A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 w:type="pct"/>
            <w:vAlign w:val="center"/>
          </w:tcPr>
          <w:p w14:paraId="0C0CED82">
            <w:pPr>
              <w:pStyle w:val="71"/>
              <w:spacing w:before="24" w:after="24"/>
              <w:rPr>
                <w:rFonts w:cs="Times New Roman"/>
              </w:rPr>
            </w:pPr>
            <w:r>
              <w:rPr>
                <w:rFonts w:cs="Times New Roman"/>
              </w:rPr>
              <w:t>25</w:t>
            </w:r>
          </w:p>
        </w:tc>
        <w:tc>
          <w:tcPr>
            <w:tcW w:w="659" w:type="pct"/>
            <w:vMerge w:val="continue"/>
            <w:vAlign w:val="center"/>
          </w:tcPr>
          <w:p w14:paraId="67004E98">
            <w:pPr>
              <w:pStyle w:val="71"/>
              <w:spacing w:before="24" w:after="24"/>
              <w:rPr>
                <w:rFonts w:cs="Times New Roman"/>
              </w:rPr>
            </w:pPr>
          </w:p>
        </w:tc>
        <w:tc>
          <w:tcPr>
            <w:tcW w:w="1134" w:type="pct"/>
            <w:vAlign w:val="center"/>
          </w:tcPr>
          <w:p w14:paraId="11D40A2B">
            <w:pPr>
              <w:pStyle w:val="71"/>
              <w:spacing w:before="24" w:after="24"/>
              <w:rPr>
                <w:rFonts w:cs="Times New Roman"/>
              </w:rPr>
            </w:pPr>
            <w:r>
              <w:rPr>
                <w:rFonts w:cs="Times New Roman"/>
              </w:rPr>
              <w:t>70℃防火风口</w:t>
            </w:r>
          </w:p>
        </w:tc>
        <w:tc>
          <w:tcPr>
            <w:tcW w:w="2009" w:type="pct"/>
            <w:vAlign w:val="center"/>
          </w:tcPr>
          <w:p w14:paraId="0E96CB25">
            <w:pPr>
              <w:pStyle w:val="71"/>
              <w:spacing w:before="24" w:after="24"/>
              <w:rPr>
                <w:rFonts w:cs="Times New Roman"/>
              </w:rPr>
            </w:pPr>
            <w:r>
              <w:rPr>
                <w:rFonts w:cs="Times New Roman"/>
              </w:rPr>
              <w:t>常开,气流温度达到70℃时自行熔断关闭</w:t>
            </w:r>
          </w:p>
        </w:tc>
        <w:tc>
          <w:tcPr>
            <w:tcW w:w="883" w:type="pct"/>
            <w:vAlign w:val="center"/>
          </w:tcPr>
          <w:p w14:paraId="49FC14C5">
            <w:pPr>
              <w:pStyle w:val="71"/>
              <w:spacing w:before="24" w:after="24"/>
              <w:rPr>
                <w:rFonts w:cs="Times New Roman"/>
              </w:rPr>
            </w:pPr>
          </w:p>
        </w:tc>
      </w:tr>
      <w:tr w14:paraId="35248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 w:type="pct"/>
            <w:vAlign w:val="center"/>
          </w:tcPr>
          <w:p w14:paraId="625E9209">
            <w:pPr>
              <w:pStyle w:val="71"/>
              <w:spacing w:before="24" w:after="24"/>
              <w:rPr>
                <w:rFonts w:cs="Times New Roman"/>
              </w:rPr>
            </w:pPr>
            <w:r>
              <w:rPr>
                <w:rFonts w:cs="Times New Roman"/>
              </w:rPr>
              <w:t>26</w:t>
            </w:r>
          </w:p>
        </w:tc>
        <w:tc>
          <w:tcPr>
            <w:tcW w:w="659" w:type="pct"/>
            <w:vAlign w:val="center"/>
          </w:tcPr>
          <w:p w14:paraId="61155708">
            <w:pPr>
              <w:pStyle w:val="71"/>
              <w:spacing w:before="24" w:after="24"/>
              <w:rPr>
                <w:rFonts w:cs="Times New Roman"/>
              </w:rPr>
            </w:pPr>
            <w:r>
              <w:rPr>
                <w:rFonts w:cs="Times New Roman"/>
              </w:rPr>
              <w:t>消声器</w:t>
            </w:r>
          </w:p>
        </w:tc>
        <w:tc>
          <w:tcPr>
            <w:tcW w:w="1134" w:type="pct"/>
            <w:vAlign w:val="center"/>
          </w:tcPr>
          <w:p w14:paraId="0AB8C01A">
            <w:pPr>
              <w:pStyle w:val="71"/>
              <w:spacing w:before="24" w:after="24"/>
              <w:rPr>
                <w:rFonts w:cs="Times New Roman"/>
              </w:rPr>
            </w:pPr>
            <w:r>
              <w:rPr>
                <w:rFonts w:cs="Times New Roman"/>
              </w:rPr>
              <w:t>阻抗复合型消声器</w:t>
            </w:r>
          </w:p>
        </w:tc>
        <w:tc>
          <w:tcPr>
            <w:tcW w:w="2009" w:type="pct"/>
            <w:vAlign w:val="center"/>
          </w:tcPr>
          <w:p w14:paraId="6CAE5206">
            <w:pPr>
              <w:pStyle w:val="71"/>
              <w:spacing w:before="24" w:after="24"/>
              <w:rPr>
                <w:rFonts w:cs="Times New Roman"/>
              </w:rPr>
            </w:pPr>
            <w:r>
              <w:rPr>
                <w:rFonts w:cs="Times New Roman"/>
              </w:rPr>
              <w:t>消声量≥15 dB（ A）,阻力≤ 10Pa，成品，根据图纸要求配置</w:t>
            </w:r>
          </w:p>
        </w:tc>
        <w:tc>
          <w:tcPr>
            <w:tcW w:w="883" w:type="pct"/>
            <w:vAlign w:val="center"/>
          </w:tcPr>
          <w:p w14:paraId="768DB34D">
            <w:pPr>
              <w:pStyle w:val="71"/>
              <w:spacing w:before="24" w:after="24"/>
              <w:rPr>
                <w:rFonts w:cs="Times New Roman"/>
              </w:rPr>
            </w:pPr>
          </w:p>
        </w:tc>
      </w:tr>
      <w:tr w14:paraId="5DF0F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 w:type="pct"/>
            <w:vAlign w:val="center"/>
          </w:tcPr>
          <w:p w14:paraId="562A455F">
            <w:pPr>
              <w:pStyle w:val="71"/>
              <w:spacing w:before="24" w:after="24"/>
              <w:rPr>
                <w:rFonts w:cs="Times New Roman"/>
              </w:rPr>
            </w:pPr>
            <w:r>
              <w:rPr>
                <w:rFonts w:cs="Times New Roman"/>
              </w:rPr>
              <w:t>27</w:t>
            </w:r>
          </w:p>
        </w:tc>
        <w:tc>
          <w:tcPr>
            <w:tcW w:w="659" w:type="pct"/>
            <w:vAlign w:val="center"/>
          </w:tcPr>
          <w:p w14:paraId="2EB42913">
            <w:pPr>
              <w:pStyle w:val="71"/>
              <w:spacing w:before="24" w:after="24"/>
              <w:rPr>
                <w:rFonts w:cs="Times New Roman"/>
              </w:rPr>
            </w:pPr>
            <w:r>
              <w:rPr>
                <w:rFonts w:cs="Times New Roman"/>
              </w:rPr>
              <w:t>风管</w:t>
            </w:r>
          </w:p>
        </w:tc>
        <w:tc>
          <w:tcPr>
            <w:tcW w:w="1134" w:type="pct"/>
            <w:vAlign w:val="center"/>
          </w:tcPr>
          <w:p w14:paraId="50989664">
            <w:pPr>
              <w:pStyle w:val="71"/>
              <w:spacing w:before="24" w:after="24"/>
              <w:rPr>
                <w:rFonts w:cs="Times New Roman"/>
              </w:rPr>
            </w:pPr>
            <w:r>
              <w:rPr>
                <w:rFonts w:cs="Times New Roman"/>
              </w:rPr>
              <w:t>风管材料</w:t>
            </w:r>
          </w:p>
        </w:tc>
        <w:tc>
          <w:tcPr>
            <w:tcW w:w="2009" w:type="pct"/>
            <w:vAlign w:val="center"/>
          </w:tcPr>
          <w:p w14:paraId="08CE6807">
            <w:pPr>
              <w:pStyle w:val="71"/>
              <w:spacing w:before="24" w:after="24"/>
              <w:rPr>
                <w:rFonts w:cs="Times New Roman"/>
              </w:rPr>
            </w:pPr>
            <w:r>
              <w:rPr>
                <w:rFonts w:cs="Times New Roman"/>
              </w:rPr>
              <w:t>规格、厚度及耐火极限要求根据图纸要求配置</w:t>
            </w:r>
          </w:p>
        </w:tc>
        <w:tc>
          <w:tcPr>
            <w:tcW w:w="883" w:type="pct"/>
            <w:vAlign w:val="center"/>
          </w:tcPr>
          <w:p w14:paraId="71798505">
            <w:pPr>
              <w:pStyle w:val="71"/>
              <w:spacing w:before="24" w:after="24"/>
              <w:rPr>
                <w:rFonts w:cs="Times New Roman"/>
              </w:rPr>
            </w:pPr>
          </w:p>
        </w:tc>
      </w:tr>
    </w:tbl>
    <w:p w14:paraId="01667E54">
      <w:pPr>
        <w:spacing w:before="24" w:after="24"/>
        <w:rPr>
          <w:rFonts w:ascii="Times New Roman" w:hAnsi="Times New Roman" w:cs="Times New Roman"/>
        </w:rPr>
      </w:pPr>
      <w:r>
        <w:rPr>
          <w:rFonts w:ascii="Times New Roman" w:hAnsi="Times New Roman" w:cs="Times New Roman"/>
        </w:rPr>
        <w:br w:type="page"/>
      </w:r>
    </w:p>
    <w:p w14:paraId="54090354">
      <w:pPr>
        <w:pStyle w:val="66"/>
        <w:rPr>
          <w:rFonts w:cs="Times New Roman"/>
        </w:rPr>
      </w:pPr>
      <w:r>
        <w:rPr>
          <w:rFonts w:cs="Times New Roman"/>
        </w:rPr>
        <w:t>2、地下室（含人防工程）暖通专业设备参数清单表</w:t>
      </w:r>
    </w:p>
    <w:tbl>
      <w:tblPr>
        <w:tblStyle w:val="31"/>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0"/>
        <w:gridCol w:w="1160"/>
        <w:gridCol w:w="2060"/>
        <w:gridCol w:w="3879"/>
        <w:gridCol w:w="1626"/>
      </w:tblGrid>
      <w:tr w14:paraId="2D642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297" w:type="pct"/>
            <w:shd w:val="clear" w:color="auto" w:fill="D7D7D7"/>
            <w:vAlign w:val="center"/>
          </w:tcPr>
          <w:p w14:paraId="78D18ACD">
            <w:pPr>
              <w:pStyle w:val="71"/>
              <w:spacing w:before="24" w:after="24"/>
              <w:rPr>
                <w:rFonts w:cs="Times New Roman"/>
              </w:rPr>
            </w:pPr>
            <w:r>
              <w:rPr>
                <w:rFonts w:cs="Times New Roman"/>
              </w:rPr>
              <w:t>序号</w:t>
            </w:r>
          </w:p>
        </w:tc>
        <w:tc>
          <w:tcPr>
            <w:tcW w:w="625" w:type="pct"/>
            <w:shd w:val="clear" w:color="auto" w:fill="D7D7D7"/>
            <w:vAlign w:val="center"/>
          </w:tcPr>
          <w:p w14:paraId="19C6C540">
            <w:pPr>
              <w:pStyle w:val="71"/>
              <w:spacing w:before="24" w:after="24"/>
              <w:rPr>
                <w:rFonts w:cs="Times New Roman"/>
              </w:rPr>
            </w:pPr>
            <w:r>
              <w:rPr>
                <w:rFonts w:cs="Times New Roman"/>
              </w:rPr>
              <w:t>设备/系统</w:t>
            </w:r>
          </w:p>
        </w:tc>
        <w:tc>
          <w:tcPr>
            <w:tcW w:w="1110" w:type="pct"/>
            <w:shd w:val="clear" w:color="auto" w:fill="D7D7D7"/>
            <w:vAlign w:val="center"/>
          </w:tcPr>
          <w:p w14:paraId="7989D594">
            <w:pPr>
              <w:pStyle w:val="71"/>
              <w:spacing w:before="24" w:after="24"/>
              <w:rPr>
                <w:rFonts w:cs="Times New Roman"/>
              </w:rPr>
            </w:pPr>
            <w:r>
              <w:rPr>
                <w:rFonts w:cs="Times New Roman"/>
              </w:rPr>
              <w:t>设备</w:t>
            </w:r>
          </w:p>
        </w:tc>
        <w:tc>
          <w:tcPr>
            <w:tcW w:w="2090" w:type="pct"/>
            <w:shd w:val="clear" w:color="auto" w:fill="D7D7D7"/>
            <w:vAlign w:val="center"/>
          </w:tcPr>
          <w:p w14:paraId="37D38AD9">
            <w:pPr>
              <w:pStyle w:val="71"/>
              <w:spacing w:before="24" w:after="24"/>
              <w:rPr>
                <w:rFonts w:cs="Times New Roman"/>
              </w:rPr>
            </w:pPr>
            <w:r>
              <w:rPr>
                <w:rFonts w:cs="Times New Roman"/>
              </w:rPr>
              <w:t>材质/规格、参数</w:t>
            </w:r>
          </w:p>
        </w:tc>
        <w:tc>
          <w:tcPr>
            <w:tcW w:w="876" w:type="pct"/>
            <w:shd w:val="clear" w:color="auto" w:fill="D7D7D7"/>
            <w:vAlign w:val="center"/>
          </w:tcPr>
          <w:p w14:paraId="498278E1">
            <w:pPr>
              <w:pStyle w:val="71"/>
              <w:spacing w:before="24" w:after="24"/>
              <w:rPr>
                <w:rFonts w:cs="Times New Roman"/>
              </w:rPr>
            </w:pPr>
            <w:r>
              <w:rPr>
                <w:rFonts w:cs="Times New Roman"/>
              </w:rPr>
              <w:t>备注</w:t>
            </w:r>
          </w:p>
        </w:tc>
      </w:tr>
      <w:tr w14:paraId="0CB63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76038B4A">
            <w:pPr>
              <w:pStyle w:val="71"/>
              <w:spacing w:before="24" w:after="24"/>
              <w:rPr>
                <w:rFonts w:cs="Times New Roman"/>
              </w:rPr>
            </w:pPr>
            <w:r>
              <w:rPr>
                <w:rFonts w:cs="Times New Roman"/>
              </w:rPr>
              <w:t>1</w:t>
            </w:r>
          </w:p>
        </w:tc>
        <w:tc>
          <w:tcPr>
            <w:tcW w:w="625" w:type="pct"/>
            <w:vMerge w:val="restart"/>
            <w:vAlign w:val="center"/>
          </w:tcPr>
          <w:p w14:paraId="010389E0">
            <w:pPr>
              <w:pStyle w:val="71"/>
              <w:spacing w:before="24" w:after="24"/>
              <w:rPr>
                <w:rFonts w:cs="Times New Roman"/>
              </w:rPr>
            </w:pPr>
            <w:r>
              <w:rPr>
                <w:rFonts w:cs="Times New Roman"/>
              </w:rPr>
              <w:t>排烟系统</w:t>
            </w:r>
          </w:p>
        </w:tc>
        <w:tc>
          <w:tcPr>
            <w:tcW w:w="1110" w:type="pct"/>
            <w:vAlign w:val="center"/>
          </w:tcPr>
          <w:p w14:paraId="7FCD10BE">
            <w:pPr>
              <w:pStyle w:val="71"/>
              <w:spacing w:before="24" w:after="24"/>
              <w:rPr>
                <w:rFonts w:cs="Times New Roman"/>
              </w:rPr>
            </w:pPr>
            <w:r>
              <w:rPr>
                <w:rFonts w:cs="Times New Roman"/>
              </w:rPr>
              <w:t>高温型轴流式消防排烟风机</w:t>
            </w:r>
          </w:p>
        </w:tc>
        <w:tc>
          <w:tcPr>
            <w:tcW w:w="2090" w:type="pct"/>
            <w:vAlign w:val="center"/>
          </w:tcPr>
          <w:p w14:paraId="790835F8">
            <w:pPr>
              <w:pStyle w:val="71"/>
              <w:spacing w:before="24" w:after="24"/>
              <w:rPr>
                <w:rFonts w:cs="Times New Roman"/>
              </w:rPr>
            </w:pPr>
            <w:r>
              <w:rPr>
                <w:rFonts w:cs="Times New Roman"/>
              </w:rPr>
              <w:t>厂家根据图纸参数配置</w:t>
            </w:r>
          </w:p>
        </w:tc>
        <w:tc>
          <w:tcPr>
            <w:tcW w:w="876" w:type="pct"/>
            <w:vAlign w:val="center"/>
          </w:tcPr>
          <w:p w14:paraId="4B0B5484">
            <w:pPr>
              <w:pStyle w:val="71"/>
              <w:spacing w:before="24" w:after="24"/>
              <w:rPr>
                <w:rFonts w:cs="Times New Roman"/>
              </w:rPr>
            </w:pPr>
            <w:r>
              <w:rPr>
                <w:rFonts w:cs="Times New Roman"/>
              </w:rPr>
              <w:t>用于机械排风兼排烟，与火灾自动报警系统联动</w:t>
            </w:r>
          </w:p>
        </w:tc>
      </w:tr>
      <w:tr w14:paraId="3273D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461C08A8">
            <w:pPr>
              <w:pStyle w:val="71"/>
              <w:spacing w:before="24" w:after="24"/>
              <w:rPr>
                <w:rFonts w:cs="Times New Roman"/>
              </w:rPr>
            </w:pPr>
            <w:r>
              <w:rPr>
                <w:rFonts w:cs="Times New Roman"/>
              </w:rPr>
              <w:t>2</w:t>
            </w:r>
          </w:p>
        </w:tc>
        <w:tc>
          <w:tcPr>
            <w:tcW w:w="625" w:type="pct"/>
            <w:vMerge w:val="continue"/>
            <w:vAlign w:val="center"/>
          </w:tcPr>
          <w:p w14:paraId="3C84E056">
            <w:pPr>
              <w:pStyle w:val="71"/>
              <w:spacing w:before="24" w:after="24"/>
              <w:rPr>
                <w:rFonts w:cs="Times New Roman"/>
              </w:rPr>
            </w:pPr>
          </w:p>
        </w:tc>
        <w:tc>
          <w:tcPr>
            <w:tcW w:w="1110" w:type="pct"/>
            <w:vAlign w:val="center"/>
          </w:tcPr>
          <w:p w14:paraId="509F0BC6">
            <w:pPr>
              <w:pStyle w:val="71"/>
              <w:spacing w:before="24" w:after="24"/>
              <w:rPr>
                <w:rFonts w:cs="Times New Roman"/>
              </w:rPr>
            </w:pPr>
            <w:r>
              <w:rPr>
                <w:rFonts w:cs="Times New Roman"/>
              </w:rPr>
              <w:t>高温型离心式消防排烟风机</w:t>
            </w:r>
          </w:p>
        </w:tc>
        <w:tc>
          <w:tcPr>
            <w:tcW w:w="2090" w:type="pct"/>
            <w:vAlign w:val="center"/>
          </w:tcPr>
          <w:p w14:paraId="00937E2E">
            <w:pPr>
              <w:pStyle w:val="71"/>
              <w:spacing w:before="24" w:after="24"/>
              <w:rPr>
                <w:rFonts w:cs="Times New Roman"/>
              </w:rPr>
            </w:pPr>
            <w:r>
              <w:rPr>
                <w:rFonts w:cs="Times New Roman"/>
              </w:rPr>
              <w:t>厂家根据图纸参数配置</w:t>
            </w:r>
          </w:p>
        </w:tc>
        <w:tc>
          <w:tcPr>
            <w:tcW w:w="876" w:type="pct"/>
            <w:vAlign w:val="center"/>
          </w:tcPr>
          <w:p w14:paraId="355C569F">
            <w:pPr>
              <w:pStyle w:val="71"/>
              <w:spacing w:before="24" w:after="24"/>
              <w:rPr>
                <w:rFonts w:cs="Times New Roman"/>
              </w:rPr>
            </w:pPr>
            <w:r>
              <w:rPr>
                <w:rFonts w:cs="Times New Roman"/>
              </w:rPr>
              <w:t>用于机械排风兼排烟，与火灾自动报警系统联动</w:t>
            </w:r>
          </w:p>
        </w:tc>
      </w:tr>
      <w:tr w14:paraId="4FB80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20EC351C">
            <w:pPr>
              <w:pStyle w:val="71"/>
              <w:spacing w:before="24" w:after="24"/>
              <w:rPr>
                <w:rFonts w:cs="Times New Roman"/>
              </w:rPr>
            </w:pPr>
            <w:r>
              <w:rPr>
                <w:rFonts w:cs="Times New Roman"/>
              </w:rPr>
              <w:t>3</w:t>
            </w:r>
          </w:p>
        </w:tc>
        <w:tc>
          <w:tcPr>
            <w:tcW w:w="625" w:type="pct"/>
            <w:vMerge w:val="continue"/>
            <w:vAlign w:val="center"/>
          </w:tcPr>
          <w:p w14:paraId="20BE2A35">
            <w:pPr>
              <w:pStyle w:val="71"/>
              <w:spacing w:before="24" w:after="24"/>
              <w:rPr>
                <w:rFonts w:cs="Times New Roman"/>
              </w:rPr>
            </w:pPr>
          </w:p>
        </w:tc>
        <w:tc>
          <w:tcPr>
            <w:tcW w:w="1110" w:type="pct"/>
            <w:vAlign w:val="center"/>
          </w:tcPr>
          <w:p w14:paraId="3A6609D6">
            <w:pPr>
              <w:pStyle w:val="71"/>
              <w:spacing w:before="24" w:after="24"/>
              <w:rPr>
                <w:rFonts w:cs="Times New Roman"/>
              </w:rPr>
            </w:pPr>
            <w:r>
              <w:rPr>
                <w:rFonts w:cs="Times New Roman"/>
              </w:rPr>
              <w:t>挡烟垂壁</w:t>
            </w:r>
          </w:p>
        </w:tc>
        <w:tc>
          <w:tcPr>
            <w:tcW w:w="2090" w:type="pct"/>
            <w:vAlign w:val="center"/>
          </w:tcPr>
          <w:p w14:paraId="77941903">
            <w:pPr>
              <w:pStyle w:val="71"/>
              <w:spacing w:before="24" w:after="24"/>
              <w:rPr>
                <w:rFonts w:cs="Times New Roman"/>
              </w:rPr>
            </w:pPr>
            <w:r>
              <w:rPr>
                <w:rFonts w:cs="Times New Roman"/>
              </w:rPr>
              <w:t>采用不燃材料制作，耐火极限≥0.5h，根据图纸要求配置</w:t>
            </w:r>
          </w:p>
        </w:tc>
        <w:tc>
          <w:tcPr>
            <w:tcW w:w="876" w:type="pct"/>
            <w:vAlign w:val="center"/>
          </w:tcPr>
          <w:p w14:paraId="07908E84">
            <w:pPr>
              <w:pStyle w:val="71"/>
              <w:spacing w:before="24" w:after="24"/>
              <w:rPr>
                <w:rFonts w:cs="Times New Roman"/>
              </w:rPr>
            </w:pPr>
          </w:p>
        </w:tc>
      </w:tr>
      <w:tr w14:paraId="07991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97" w:type="pct"/>
            <w:vAlign w:val="center"/>
          </w:tcPr>
          <w:p w14:paraId="62BE036D">
            <w:pPr>
              <w:pStyle w:val="71"/>
              <w:spacing w:before="24" w:after="24"/>
              <w:rPr>
                <w:rFonts w:cs="Times New Roman"/>
              </w:rPr>
            </w:pPr>
            <w:r>
              <w:rPr>
                <w:rFonts w:cs="Times New Roman"/>
              </w:rPr>
              <w:t>4</w:t>
            </w:r>
          </w:p>
        </w:tc>
        <w:tc>
          <w:tcPr>
            <w:tcW w:w="625" w:type="pct"/>
            <w:vMerge w:val="continue"/>
            <w:vAlign w:val="center"/>
          </w:tcPr>
          <w:p w14:paraId="2E9651AD">
            <w:pPr>
              <w:pStyle w:val="71"/>
              <w:spacing w:before="24" w:after="24"/>
              <w:rPr>
                <w:rFonts w:cs="Times New Roman"/>
              </w:rPr>
            </w:pPr>
          </w:p>
        </w:tc>
        <w:tc>
          <w:tcPr>
            <w:tcW w:w="1110" w:type="pct"/>
            <w:vAlign w:val="center"/>
          </w:tcPr>
          <w:p w14:paraId="57C834F6">
            <w:pPr>
              <w:pStyle w:val="71"/>
              <w:spacing w:before="24" w:after="24"/>
              <w:rPr>
                <w:rFonts w:cs="Times New Roman"/>
              </w:rPr>
            </w:pPr>
            <w:r>
              <w:rPr>
                <w:rFonts w:cs="Times New Roman"/>
              </w:rPr>
              <w:t>轴流风机</w:t>
            </w:r>
          </w:p>
        </w:tc>
        <w:tc>
          <w:tcPr>
            <w:tcW w:w="2090" w:type="pct"/>
            <w:vAlign w:val="center"/>
          </w:tcPr>
          <w:p w14:paraId="36A49669">
            <w:pPr>
              <w:pStyle w:val="71"/>
              <w:spacing w:before="24" w:after="24"/>
              <w:rPr>
                <w:rFonts w:cs="Times New Roman"/>
              </w:rPr>
            </w:pPr>
            <w:r>
              <w:rPr>
                <w:rFonts w:cs="Times New Roman"/>
              </w:rPr>
              <w:t>厂家根据图纸参数配置</w:t>
            </w:r>
          </w:p>
        </w:tc>
        <w:tc>
          <w:tcPr>
            <w:tcW w:w="876" w:type="pct"/>
            <w:vAlign w:val="center"/>
          </w:tcPr>
          <w:p w14:paraId="632B1A33">
            <w:pPr>
              <w:pStyle w:val="71"/>
              <w:spacing w:before="24" w:after="24"/>
              <w:rPr>
                <w:rFonts w:cs="Times New Roman"/>
              </w:rPr>
            </w:pPr>
            <w:r>
              <w:rPr>
                <w:rFonts w:cs="Times New Roman"/>
              </w:rPr>
              <w:t>用于机械通风</w:t>
            </w:r>
          </w:p>
        </w:tc>
      </w:tr>
      <w:tr w14:paraId="77B8A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16409EA9">
            <w:pPr>
              <w:pStyle w:val="71"/>
              <w:spacing w:before="24" w:after="24"/>
              <w:rPr>
                <w:rFonts w:cs="Times New Roman"/>
              </w:rPr>
            </w:pPr>
            <w:r>
              <w:rPr>
                <w:rFonts w:cs="Times New Roman"/>
              </w:rPr>
              <w:t>5</w:t>
            </w:r>
          </w:p>
        </w:tc>
        <w:tc>
          <w:tcPr>
            <w:tcW w:w="625" w:type="pct"/>
            <w:vMerge w:val="continue"/>
            <w:vAlign w:val="center"/>
          </w:tcPr>
          <w:p w14:paraId="4813805A">
            <w:pPr>
              <w:pStyle w:val="71"/>
              <w:spacing w:before="24" w:after="24"/>
              <w:rPr>
                <w:rFonts w:cs="Times New Roman"/>
              </w:rPr>
            </w:pPr>
          </w:p>
        </w:tc>
        <w:tc>
          <w:tcPr>
            <w:tcW w:w="1110" w:type="pct"/>
            <w:vAlign w:val="center"/>
          </w:tcPr>
          <w:p w14:paraId="2F2FD70F">
            <w:pPr>
              <w:pStyle w:val="71"/>
              <w:spacing w:before="24" w:after="24"/>
              <w:rPr>
                <w:rFonts w:cs="Times New Roman"/>
              </w:rPr>
            </w:pPr>
            <w:r>
              <w:rPr>
                <w:rFonts w:cs="Times New Roman"/>
              </w:rPr>
              <w:t>离心风机</w:t>
            </w:r>
          </w:p>
        </w:tc>
        <w:tc>
          <w:tcPr>
            <w:tcW w:w="2090" w:type="pct"/>
            <w:vAlign w:val="center"/>
          </w:tcPr>
          <w:p w14:paraId="595A3689">
            <w:pPr>
              <w:pStyle w:val="71"/>
              <w:spacing w:before="24" w:after="24"/>
              <w:rPr>
                <w:rFonts w:cs="Times New Roman"/>
              </w:rPr>
            </w:pPr>
            <w:r>
              <w:rPr>
                <w:rFonts w:cs="Times New Roman"/>
              </w:rPr>
              <w:t>厂家根据图纸参数配置</w:t>
            </w:r>
          </w:p>
        </w:tc>
        <w:tc>
          <w:tcPr>
            <w:tcW w:w="876" w:type="pct"/>
            <w:vAlign w:val="center"/>
          </w:tcPr>
          <w:p w14:paraId="74EB08AC">
            <w:pPr>
              <w:pStyle w:val="71"/>
              <w:spacing w:before="24" w:after="24"/>
              <w:rPr>
                <w:rFonts w:cs="Times New Roman"/>
              </w:rPr>
            </w:pPr>
            <w:r>
              <w:rPr>
                <w:rFonts w:cs="Times New Roman"/>
              </w:rPr>
              <w:t>用于机械通风</w:t>
            </w:r>
          </w:p>
        </w:tc>
      </w:tr>
      <w:tr w14:paraId="47F91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01B97735">
            <w:pPr>
              <w:pStyle w:val="71"/>
              <w:spacing w:before="24" w:after="24"/>
              <w:rPr>
                <w:rFonts w:cs="Times New Roman"/>
              </w:rPr>
            </w:pPr>
            <w:r>
              <w:rPr>
                <w:rFonts w:cs="Times New Roman"/>
              </w:rPr>
              <w:t>6</w:t>
            </w:r>
          </w:p>
        </w:tc>
        <w:tc>
          <w:tcPr>
            <w:tcW w:w="625" w:type="pct"/>
            <w:vMerge w:val="continue"/>
            <w:vAlign w:val="center"/>
          </w:tcPr>
          <w:p w14:paraId="431EE221">
            <w:pPr>
              <w:pStyle w:val="71"/>
              <w:spacing w:before="24" w:after="24"/>
              <w:rPr>
                <w:rFonts w:cs="Times New Roman"/>
              </w:rPr>
            </w:pPr>
          </w:p>
        </w:tc>
        <w:tc>
          <w:tcPr>
            <w:tcW w:w="1110" w:type="pct"/>
            <w:vAlign w:val="center"/>
          </w:tcPr>
          <w:p w14:paraId="12D5D679">
            <w:pPr>
              <w:pStyle w:val="71"/>
              <w:spacing w:before="24" w:after="24"/>
              <w:rPr>
                <w:rFonts w:cs="Times New Roman"/>
              </w:rPr>
            </w:pPr>
            <w:r>
              <w:rPr>
                <w:rFonts w:cs="Times New Roman"/>
              </w:rPr>
              <w:t>壁式风机</w:t>
            </w:r>
          </w:p>
        </w:tc>
        <w:tc>
          <w:tcPr>
            <w:tcW w:w="2090" w:type="pct"/>
            <w:vAlign w:val="center"/>
          </w:tcPr>
          <w:p w14:paraId="30919934">
            <w:pPr>
              <w:pStyle w:val="71"/>
              <w:spacing w:before="24" w:after="24"/>
              <w:rPr>
                <w:rFonts w:cs="Times New Roman"/>
              </w:rPr>
            </w:pPr>
            <w:r>
              <w:rPr>
                <w:rFonts w:cs="Times New Roman"/>
              </w:rPr>
              <w:t>厂家根据图纸参数配置</w:t>
            </w:r>
          </w:p>
        </w:tc>
        <w:tc>
          <w:tcPr>
            <w:tcW w:w="876" w:type="pct"/>
            <w:vAlign w:val="center"/>
          </w:tcPr>
          <w:p w14:paraId="5CAF3109">
            <w:pPr>
              <w:pStyle w:val="71"/>
              <w:spacing w:before="24" w:after="24"/>
              <w:rPr>
                <w:rFonts w:cs="Times New Roman"/>
              </w:rPr>
            </w:pPr>
            <w:r>
              <w:rPr>
                <w:rFonts w:cs="Times New Roman"/>
              </w:rPr>
              <w:t>用于机械通风</w:t>
            </w:r>
          </w:p>
        </w:tc>
      </w:tr>
      <w:tr w14:paraId="54864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3AA4F462">
            <w:pPr>
              <w:pStyle w:val="71"/>
              <w:spacing w:before="24" w:after="24"/>
              <w:rPr>
                <w:rFonts w:cs="Times New Roman"/>
              </w:rPr>
            </w:pPr>
            <w:r>
              <w:rPr>
                <w:rFonts w:cs="Times New Roman"/>
              </w:rPr>
              <w:t>7</w:t>
            </w:r>
          </w:p>
        </w:tc>
        <w:tc>
          <w:tcPr>
            <w:tcW w:w="625" w:type="pct"/>
            <w:vMerge w:val="continue"/>
            <w:vAlign w:val="center"/>
          </w:tcPr>
          <w:p w14:paraId="65401CBB">
            <w:pPr>
              <w:pStyle w:val="71"/>
              <w:spacing w:before="24" w:after="24"/>
              <w:rPr>
                <w:rFonts w:cs="Times New Roman"/>
              </w:rPr>
            </w:pPr>
          </w:p>
        </w:tc>
        <w:tc>
          <w:tcPr>
            <w:tcW w:w="1110" w:type="pct"/>
            <w:vAlign w:val="center"/>
          </w:tcPr>
          <w:p w14:paraId="679B168F">
            <w:pPr>
              <w:pStyle w:val="71"/>
              <w:spacing w:before="24" w:after="24"/>
              <w:rPr>
                <w:rFonts w:cs="Times New Roman"/>
              </w:rPr>
            </w:pPr>
            <w:r>
              <w:rPr>
                <w:rFonts w:cs="Times New Roman"/>
              </w:rPr>
              <w:t>壁式换气扇</w:t>
            </w:r>
          </w:p>
        </w:tc>
        <w:tc>
          <w:tcPr>
            <w:tcW w:w="2090" w:type="pct"/>
            <w:vAlign w:val="center"/>
          </w:tcPr>
          <w:p w14:paraId="43BD69FB">
            <w:pPr>
              <w:pStyle w:val="71"/>
              <w:spacing w:before="24" w:after="24"/>
              <w:rPr>
                <w:rFonts w:cs="Times New Roman"/>
              </w:rPr>
            </w:pPr>
            <w:r>
              <w:rPr>
                <w:rFonts w:cs="Times New Roman"/>
              </w:rPr>
              <w:t>厂家根据图纸参数配置，自带止回阀</w:t>
            </w:r>
          </w:p>
        </w:tc>
        <w:tc>
          <w:tcPr>
            <w:tcW w:w="876" w:type="pct"/>
            <w:vAlign w:val="center"/>
          </w:tcPr>
          <w:p w14:paraId="54978997">
            <w:pPr>
              <w:pStyle w:val="71"/>
              <w:spacing w:before="24" w:after="24"/>
              <w:rPr>
                <w:rFonts w:cs="Times New Roman"/>
              </w:rPr>
            </w:pPr>
            <w:r>
              <w:rPr>
                <w:rFonts w:cs="Times New Roman"/>
              </w:rPr>
              <w:t>用于设备间排风</w:t>
            </w:r>
          </w:p>
        </w:tc>
      </w:tr>
      <w:tr w14:paraId="6B75A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3DDEBA7B">
            <w:pPr>
              <w:pStyle w:val="71"/>
              <w:spacing w:before="24" w:after="24"/>
              <w:rPr>
                <w:rFonts w:cs="Times New Roman"/>
              </w:rPr>
            </w:pPr>
            <w:r>
              <w:rPr>
                <w:rFonts w:cs="Times New Roman"/>
              </w:rPr>
              <w:t>8</w:t>
            </w:r>
          </w:p>
        </w:tc>
        <w:tc>
          <w:tcPr>
            <w:tcW w:w="625" w:type="pct"/>
            <w:vMerge w:val="continue"/>
            <w:vAlign w:val="center"/>
          </w:tcPr>
          <w:p w14:paraId="24A4E5D7">
            <w:pPr>
              <w:pStyle w:val="71"/>
              <w:spacing w:before="24" w:after="24"/>
              <w:rPr>
                <w:rFonts w:cs="Times New Roman"/>
              </w:rPr>
            </w:pPr>
          </w:p>
        </w:tc>
        <w:tc>
          <w:tcPr>
            <w:tcW w:w="1110" w:type="pct"/>
            <w:vAlign w:val="center"/>
          </w:tcPr>
          <w:p w14:paraId="651224D2">
            <w:pPr>
              <w:pStyle w:val="71"/>
              <w:spacing w:before="24" w:after="24"/>
              <w:rPr>
                <w:rFonts w:cs="Times New Roman"/>
              </w:rPr>
            </w:pPr>
            <w:r>
              <w:rPr>
                <w:rFonts w:cs="Times New Roman"/>
              </w:rPr>
              <w:t>天花板型换气扇</w:t>
            </w:r>
          </w:p>
        </w:tc>
        <w:tc>
          <w:tcPr>
            <w:tcW w:w="2090" w:type="pct"/>
            <w:vAlign w:val="center"/>
          </w:tcPr>
          <w:p w14:paraId="041B8394">
            <w:pPr>
              <w:pStyle w:val="71"/>
              <w:spacing w:before="24" w:after="24"/>
              <w:rPr>
                <w:rFonts w:cs="Times New Roman"/>
              </w:rPr>
            </w:pPr>
            <w:r>
              <w:rPr>
                <w:rFonts w:cs="Times New Roman"/>
              </w:rPr>
              <w:t>厂家根据图纸参数配置，自带止回阀</w:t>
            </w:r>
          </w:p>
        </w:tc>
        <w:tc>
          <w:tcPr>
            <w:tcW w:w="876" w:type="pct"/>
            <w:vAlign w:val="center"/>
          </w:tcPr>
          <w:p w14:paraId="2E937ED6">
            <w:pPr>
              <w:pStyle w:val="71"/>
              <w:spacing w:before="24" w:after="24"/>
              <w:rPr>
                <w:rFonts w:cs="Times New Roman"/>
              </w:rPr>
            </w:pPr>
            <w:r>
              <w:rPr>
                <w:rFonts w:cs="Times New Roman"/>
              </w:rPr>
              <w:t>用于卫生间排风</w:t>
            </w:r>
          </w:p>
        </w:tc>
      </w:tr>
      <w:tr w14:paraId="0F287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1BDA21EF">
            <w:pPr>
              <w:pStyle w:val="71"/>
              <w:spacing w:before="24" w:after="24"/>
              <w:rPr>
                <w:rFonts w:cs="Times New Roman"/>
              </w:rPr>
            </w:pPr>
            <w:r>
              <w:rPr>
                <w:rFonts w:cs="Times New Roman"/>
              </w:rPr>
              <w:t>9</w:t>
            </w:r>
          </w:p>
        </w:tc>
        <w:tc>
          <w:tcPr>
            <w:tcW w:w="625" w:type="pct"/>
            <w:vMerge w:val="restart"/>
            <w:vAlign w:val="center"/>
          </w:tcPr>
          <w:p w14:paraId="1A5496BB">
            <w:pPr>
              <w:pStyle w:val="71"/>
              <w:spacing w:before="24" w:after="24"/>
              <w:rPr>
                <w:rFonts w:cs="Times New Roman"/>
              </w:rPr>
            </w:pPr>
            <w:r>
              <w:rPr>
                <w:rFonts w:cs="Times New Roman"/>
              </w:rPr>
              <w:t>阀门</w:t>
            </w:r>
          </w:p>
        </w:tc>
        <w:tc>
          <w:tcPr>
            <w:tcW w:w="1110" w:type="pct"/>
            <w:vAlign w:val="center"/>
          </w:tcPr>
          <w:p w14:paraId="3A2753A8">
            <w:pPr>
              <w:pStyle w:val="71"/>
              <w:spacing w:before="24" w:after="24"/>
              <w:rPr>
                <w:rFonts w:cs="Times New Roman"/>
              </w:rPr>
            </w:pPr>
            <w:r>
              <w:rPr>
                <w:rFonts w:cs="Times New Roman"/>
              </w:rPr>
              <w:t>70℃自熔断防火阀</w:t>
            </w:r>
          </w:p>
        </w:tc>
        <w:tc>
          <w:tcPr>
            <w:tcW w:w="2090" w:type="pct"/>
            <w:vAlign w:val="center"/>
          </w:tcPr>
          <w:p w14:paraId="11C13810">
            <w:pPr>
              <w:pStyle w:val="71"/>
              <w:spacing w:before="24" w:after="24"/>
              <w:rPr>
                <w:rFonts w:cs="Times New Roman"/>
              </w:rPr>
            </w:pPr>
            <w:r>
              <w:rPr>
                <w:rFonts w:cs="Times New Roman"/>
              </w:rPr>
              <w:t>常开，气流温度达到70℃时自行熔断关闭</w:t>
            </w:r>
          </w:p>
        </w:tc>
        <w:tc>
          <w:tcPr>
            <w:tcW w:w="876" w:type="pct"/>
            <w:vAlign w:val="center"/>
          </w:tcPr>
          <w:p w14:paraId="3C908419">
            <w:pPr>
              <w:pStyle w:val="71"/>
              <w:spacing w:before="24" w:after="24"/>
              <w:rPr>
                <w:rFonts w:cs="Times New Roman"/>
              </w:rPr>
            </w:pPr>
          </w:p>
        </w:tc>
      </w:tr>
      <w:tr w14:paraId="58AD8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1E20F489">
            <w:pPr>
              <w:pStyle w:val="71"/>
              <w:spacing w:before="24" w:after="24"/>
              <w:rPr>
                <w:rFonts w:cs="Times New Roman"/>
              </w:rPr>
            </w:pPr>
            <w:r>
              <w:rPr>
                <w:rFonts w:cs="Times New Roman"/>
              </w:rPr>
              <w:t>10</w:t>
            </w:r>
          </w:p>
        </w:tc>
        <w:tc>
          <w:tcPr>
            <w:tcW w:w="625" w:type="pct"/>
            <w:vMerge w:val="continue"/>
            <w:vAlign w:val="center"/>
          </w:tcPr>
          <w:p w14:paraId="7151E4F0">
            <w:pPr>
              <w:pStyle w:val="71"/>
              <w:spacing w:before="24" w:after="24"/>
              <w:rPr>
                <w:rFonts w:cs="Times New Roman"/>
              </w:rPr>
            </w:pPr>
          </w:p>
        </w:tc>
        <w:tc>
          <w:tcPr>
            <w:tcW w:w="1110" w:type="pct"/>
            <w:vAlign w:val="center"/>
          </w:tcPr>
          <w:p w14:paraId="6DC8BBBA">
            <w:pPr>
              <w:pStyle w:val="71"/>
              <w:spacing w:before="24" w:after="24"/>
              <w:rPr>
                <w:rFonts w:cs="Times New Roman"/>
              </w:rPr>
            </w:pPr>
            <w:r>
              <w:rPr>
                <w:rFonts w:cs="Times New Roman"/>
              </w:rPr>
              <w:t>70℃常开防火阀</w:t>
            </w:r>
          </w:p>
        </w:tc>
        <w:tc>
          <w:tcPr>
            <w:tcW w:w="2090" w:type="pct"/>
            <w:vAlign w:val="center"/>
          </w:tcPr>
          <w:p w14:paraId="48D6C82E">
            <w:pPr>
              <w:pStyle w:val="71"/>
              <w:spacing w:before="24" w:after="24"/>
              <w:rPr>
                <w:rFonts w:cs="Times New Roman"/>
              </w:rPr>
            </w:pPr>
            <w:r>
              <w:rPr>
                <w:rFonts w:cs="Times New Roman"/>
              </w:rPr>
              <w:t>气流温度达到70℃时自行熔断关闭，送出信号</w:t>
            </w:r>
          </w:p>
        </w:tc>
        <w:tc>
          <w:tcPr>
            <w:tcW w:w="876" w:type="pct"/>
            <w:vAlign w:val="center"/>
          </w:tcPr>
          <w:p w14:paraId="72CA5F0E">
            <w:pPr>
              <w:pStyle w:val="71"/>
              <w:spacing w:before="24" w:after="24"/>
              <w:rPr>
                <w:rFonts w:cs="Times New Roman"/>
              </w:rPr>
            </w:pPr>
          </w:p>
        </w:tc>
      </w:tr>
      <w:tr w14:paraId="545D1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1526CDAB">
            <w:pPr>
              <w:pStyle w:val="71"/>
              <w:spacing w:before="24" w:after="24"/>
              <w:rPr>
                <w:rFonts w:cs="Times New Roman"/>
              </w:rPr>
            </w:pPr>
            <w:r>
              <w:rPr>
                <w:rFonts w:cs="Times New Roman"/>
              </w:rPr>
              <w:t>11</w:t>
            </w:r>
          </w:p>
        </w:tc>
        <w:tc>
          <w:tcPr>
            <w:tcW w:w="625" w:type="pct"/>
            <w:vMerge w:val="continue"/>
            <w:vAlign w:val="center"/>
          </w:tcPr>
          <w:p w14:paraId="0CACCFD2">
            <w:pPr>
              <w:pStyle w:val="71"/>
              <w:spacing w:before="24" w:after="24"/>
              <w:rPr>
                <w:rFonts w:cs="Times New Roman"/>
              </w:rPr>
            </w:pPr>
          </w:p>
        </w:tc>
        <w:tc>
          <w:tcPr>
            <w:tcW w:w="1110" w:type="pct"/>
            <w:vAlign w:val="center"/>
          </w:tcPr>
          <w:p w14:paraId="5CAD75B1">
            <w:pPr>
              <w:pStyle w:val="71"/>
              <w:spacing w:before="24" w:after="24"/>
              <w:rPr>
                <w:rFonts w:cs="Times New Roman"/>
              </w:rPr>
            </w:pPr>
            <w:r>
              <w:rPr>
                <w:rFonts w:cs="Times New Roman"/>
              </w:rPr>
              <w:t>280℃常开防火阀</w:t>
            </w:r>
          </w:p>
        </w:tc>
        <w:tc>
          <w:tcPr>
            <w:tcW w:w="2090" w:type="pct"/>
            <w:vAlign w:val="center"/>
          </w:tcPr>
          <w:p w14:paraId="0588EF4E">
            <w:pPr>
              <w:pStyle w:val="71"/>
              <w:spacing w:before="24" w:after="24"/>
              <w:rPr>
                <w:rFonts w:cs="Times New Roman"/>
              </w:rPr>
            </w:pPr>
            <w:r>
              <w:rPr>
                <w:rFonts w:cs="Times New Roman"/>
              </w:rPr>
              <w:t>常开，气流温度达到280℃时自行熔断关闭，送出信号，并联锁关闭相应风机</w:t>
            </w:r>
          </w:p>
        </w:tc>
        <w:tc>
          <w:tcPr>
            <w:tcW w:w="876" w:type="pct"/>
            <w:vAlign w:val="center"/>
          </w:tcPr>
          <w:p w14:paraId="71513B4E">
            <w:pPr>
              <w:pStyle w:val="71"/>
              <w:spacing w:before="24" w:after="24"/>
              <w:rPr>
                <w:rFonts w:cs="Times New Roman"/>
              </w:rPr>
            </w:pPr>
          </w:p>
        </w:tc>
      </w:tr>
      <w:tr w14:paraId="15FCE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11C0F7C7">
            <w:pPr>
              <w:pStyle w:val="71"/>
              <w:spacing w:before="24" w:after="24"/>
              <w:rPr>
                <w:rFonts w:cs="Times New Roman"/>
              </w:rPr>
            </w:pPr>
            <w:r>
              <w:rPr>
                <w:rFonts w:cs="Times New Roman"/>
              </w:rPr>
              <w:t>12</w:t>
            </w:r>
          </w:p>
        </w:tc>
        <w:tc>
          <w:tcPr>
            <w:tcW w:w="625" w:type="pct"/>
            <w:vMerge w:val="continue"/>
            <w:vAlign w:val="center"/>
          </w:tcPr>
          <w:p w14:paraId="32EE5992">
            <w:pPr>
              <w:pStyle w:val="71"/>
              <w:spacing w:before="24" w:after="24"/>
              <w:rPr>
                <w:rFonts w:cs="Times New Roman"/>
              </w:rPr>
            </w:pPr>
          </w:p>
        </w:tc>
        <w:tc>
          <w:tcPr>
            <w:tcW w:w="1110" w:type="pct"/>
            <w:vAlign w:val="center"/>
          </w:tcPr>
          <w:p w14:paraId="7CEF0C6E">
            <w:pPr>
              <w:pStyle w:val="71"/>
              <w:spacing w:before="24" w:after="24"/>
              <w:rPr>
                <w:rFonts w:cs="Times New Roman"/>
              </w:rPr>
            </w:pPr>
            <w:r>
              <w:rPr>
                <w:rFonts w:cs="Times New Roman"/>
              </w:rPr>
              <w:t>电动密闭阀</w:t>
            </w:r>
          </w:p>
        </w:tc>
        <w:tc>
          <w:tcPr>
            <w:tcW w:w="2090" w:type="pct"/>
            <w:vAlign w:val="center"/>
          </w:tcPr>
          <w:p w14:paraId="79BCC25B">
            <w:pPr>
              <w:pStyle w:val="71"/>
              <w:spacing w:before="24" w:after="24"/>
              <w:rPr>
                <w:rFonts w:cs="Times New Roman"/>
              </w:rPr>
            </w:pPr>
            <w:r>
              <w:rPr>
                <w:rFonts w:cs="Times New Roman"/>
              </w:rPr>
              <w:t>成品，根据图纸要求配置</w:t>
            </w:r>
          </w:p>
        </w:tc>
        <w:tc>
          <w:tcPr>
            <w:tcW w:w="876" w:type="pct"/>
            <w:vAlign w:val="center"/>
          </w:tcPr>
          <w:p w14:paraId="59791A90">
            <w:pPr>
              <w:pStyle w:val="71"/>
              <w:spacing w:before="24" w:after="24"/>
              <w:rPr>
                <w:rFonts w:cs="Times New Roman"/>
              </w:rPr>
            </w:pPr>
          </w:p>
        </w:tc>
      </w:tr>
      <w:tr w14:paraId="5A47A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229FF94A">
            <w:pPr>
              <w:pStyle w:val="71"/>
              <w:spacing w:before="24" w:after="24"/>
              <w:rPr>
                <w:rFonts w:cs="Times New Roman"/>
              </w:rPr>
            </w:pPr>
            <w:r>
              <w:rPr>
                <w:rFonts w:cs="Times New Roman"/>
              </w:rPr>
              <w:t>13</w:t>
            </w:r>
          </w:p>
        </w:tc>
        <w:tc>
          <w:tcPr>
            <w:tcW w:w="625" w:type="pct"/>
            <w:vMerge w:val="continue"/>
            <w:vAlign w:val="center"/>
          </w:tcPr>
          <w:p w14:paraId="6E2B487F">
            <w:pPr>
              <w:pStyle w:val="71"/>
              <w:spacing w:before="24" w:after="24"/>
              <w:rPr>
                <w:rFonts w:cs="Times New Roman"/>
              </w:rPr>
            </w:pPr>
          </w:p>
        </w:tc>
        <w:tc>
          <w:tcPr>
            <w:tcW w:w="1110" w:type="pct"/>
            <w:vAlign w:val="center"/>
          </w:tcPr>
          <w:p w14:paraId="0D892E52">
            <w:pPr>
              <w:pStyle w:val="71"/>
              <w:spacing w:before="24" w:after="24"/>
              <w:rPr>
                <w:rFonts w:cs="Times New Roman"/>
              </w:rPr>
            </w:pPr>
            <w:r>
              <w:rPr>
                <w:rFonts w:cs="Times New Roman"/>
              </w:rPr>
              <w:t>手动密闭阀</w:t>
            </w:r>
          </w:p>
        </w:tc>
        <w:tc>
          <w:tcPr>
            <w:tcW w:w="2090" w:type="pct"/>
            <w:vAlign w:val="center"/>
          </w:tcPr>
          <w:p w14:paraId="62C2AEC4">
            <w:pPr>
              <w:pStyle w:val="71"/>
              <w:spacing w:before="24" w:after="24"/>
              <w:rPr>
                <w:rFonts w:cs="Times New Roman"/>
              </w:rPr>
            </w:pPr>
            <w:r>
              <w:rPr>
                <w:rFonts w:cs="Times New Roman"/>
              </w:rPr>
              <w:t>成品，根据图纸要求配置</w:t>
            </w:r>
          </w:p>
        </w:tc>
        <w:tc>
          <w:tcPr>
            <w:tcW w:w="876" w:type="pct"/>
            <w:vAlign w:val="center"/>
          </w:tcPr>
          <w:p w14:paraId="61B79122">
            <w:pPr>
              <w:pStyle w:val="71"/>
              <w:spacing w:before="24" w:after="24"/>
              <w:rPr>
                <w:rFonts w:cs="Times New Roman"/>
              </w:rPr>
            </w:pPr>
          </w:p>
        </w:tc>
      </w:tr>
      <w:tr w14:paraId="072CB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0B310FC4">
            <w:pPr>
              <w:pStyle w:val="71"/>
              <w:spacing w:before="24" w:after="24"/>
              <w:rPr>
                <w:rFonts w:cs="Times New Roman"/>
              </w:rPr>
            </w:pPr>
            <w:r>
              <w:rPr>
                <w:rFonts w:cs="Times New Roman"/>
              </w:rPr>
              <w:t>14</w:t>
            </w:r>
          </w:p>
        </w:tc>
        <w:tc>
          <w:tcPr>
            <w:tcW w:w="625" w:type="pct"/>
            <w:vMerge w:val="continue"/>
            <w:vAlign w:val="center"/>
          </w:tcPr>
          <w:p w14:paraId="74368B12">
            <w:pPr>
              <w:pStyle w:val="71"/>
              <w:spacing w:before="24" w:after="24"/>
              <w:rPr>
                <w:rFonts w:cs="Times New Roman"/>
              </w:rPr>
            </w:pPr>
          </w:p>
        </w:tc>
        <w:tc>
          <w:tcPr>
            <w:tcW w:w="1110" w:type="pct"/>
            <w:vAlign w:val="center"/>
          </w:tcPr>
          <w:p w14:paraId="6B822C92">
            <w:pPr>
              <w:pStyle w:val="71"/>
              <w:spacing w:before="24" w:after="24"/>
              <w:rPr>
                <w:rFonts w:cs="Times New Roman"/>
              </w:rPr>
            </w:pPr>
            <w:r>
              <w:rPr>
                <w:rFonts w:cs="Times New Roman"/>
              </w:rPr>
              <w:t>手动对开多叶调节阀</w:t>
            </w:r>
          </w:p>
        </w:tc>
        <w:tc>
          <w:tcPr>
            <w:tcW w:w="2090" w:type="pct"/>
            <w:vAlign w:val="center"/>
          </w:tcPr>
          <w:p w14:paraId="7BF4C0C4">
            <w:pPr>
              <w:pStyle w:val="71"/>
              <w:spacing w:before="24" w:after="24"/>
              <w:rPr>
                <w:rFonts w:cs="Times New Roman"/>
              </w:rPr>
            </w:pPr>
            <w:r>
              <w:rPr>
                <w:rFonts w:cs="Times New Roman"/>
              </w:rPr>
              <w:t>成品，根据图纸要求配置</w:t>
            </w:r>
          </w:p>
        </w:tc>
        <w:tc>
          <w:tcPr>
            <w:tcW w:w="876" w:type="pct"/>
            <w:vAlign w:val="center"/>
          </w:tcPr>
          <w:p w14:paraId="77941669">
            <w:pPr>
              <w:pStyle w:val="71"/>
              <w:spacing w:before="24" w:after="24"/>
              <w:rPr>
                <w:rFonts w:cs="Times New Roman"/>
              </w:rPr>
            </w:pPr>
          </w:p>
        </w:tc>
      </w:tr>
      <w:tr w14:paraId="4EE9C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59EA3A98">
            <w:pPr>
              <w:pStyle w:val="71"/>
              <w:spacing w:before="24" w:after="24"/>
              <w:rPr>
                <w:rFonts w:cs="Times New Roman"/>
              </w:rPr>
            </w:pPr>
            <w:r>
              <w:rPr>
                <w:rFonts w:cs="Times New Roman"/>
              </w:rPr>
              <w:t>15</w:t>
            </w:r>
          </w:p>
        </w:tc>
        <w:tc>
          <w:tcPr>
            <w:tcW w:w="625" w:type="pct"/>
            <w:vMerge w:val="continue"/>
            <w:vAlign w:val="center"/>
          </w:tcPr>
          <w:p w14:paraId="09D6CA10">
            <w:pPr>
              <w:pStyle w:val="71"/>
              <w:spacing w:before="24" w:after="24"/>
              <w:rPr>
                <w:rFonts w:cs="Times New Roman"/>
              </w:rPr>
            </w:pPr>
          </w:p>
        </w:tc>
        <w:tc>
          <w:tcPr>
            <w:tcW w:w="1110" w:type="pct"/>
            <w:vAlign w:val="center"/>
          </w:tcPr>
          <w:p w14:paraId="1012906C">
            <w:pPr>
              <w:pStyle w:val="71"/>
              <w:spacing w:before="24" w:after="24"/>
              <w:rPr>
                <w:rFonts w:cs="Times New Roman"/>
              </w:rPr>
            </w:pPr>
            <w:r>
              <w:rPr>
                <w:rFonts w:cs="Times New Roman"/>
              </w:rPr>
              <w:t>止回阀</w:t>
            </w:r>
          </w:p>
        </w:tc>
        <w:tc>
          <w:tcPr>
            <w:tcW w:w="2090" w:type="pct"/>
            <w:vAlign w:val="center"/>
          </w:tcPr>
          <w:p w14:paraId="333B3316">
            <w:pPr>
              <w:pStyle w:val="71"/>
              <w:spacing w:before="24" w:after="24"/>
              <w:rPr>
                <w:rFonts w:cs="Times New Roman"/>
              </w:rPr>
            </w:pPr>
            <w:r>
              <w:rPr>
                <w:rFonts w:cs="Times New Roman"/>
              </w:rPr>
              <w:t>成品，根据图纸要求配置</w:t>
            </w:r>
          </w:p>
        </w:tc>
        <w:tc>
          <w:tcPr>
            <w:tcW w:w="876" w:type="pct"/>
            <w:vAlign w:val="center"/>
          </w:tcPr>
          <w:p w14:paraId="0123A126">
            <w:pPr>
              <w:pStyle w:val="71"/>
              <w:spacing w:before="24" w:after="24"/>
              <w:rPr>
                <w:rFonts w:cs="Times New Roman"/>
              </w:rPr>
            </w:pPr>
          </w:p>
        </w:tc>
      </w:tr>
      <w:tr w14:paraId="3792B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7A72FA2B">
            <w:pPr>
              <w:pStyle w:val="71"/>
              <w:spacing w:before="24" w:after="24"/>
              <w:rPr>
                <w:rFonts w:cs="Times New Roman"/>
              </w:rPr>
            </w:pPr>
            <w:r>
              <w:rPr>
                <w:rFonts w:cs="Times New Roman"/>
              </w:rPr>
              <w:t>16</w:t>
            </w:r>
          </w:p>
        </w:tc>
        <w:tc>
          <w:tcPr>
            <w:tcW w:w="625" w:type="pct"/>
            <w:vMerge w:val="restart"/>
            <w:vAlign w:val="center"/>
          </w:tcPr>
          <w:p w14:paraId="27F42F98">
            <w:pPr>
              <w:pStyle w:val="71"/>
              <w:spacing w:before="24" w:after="24"/>
              <w:rPr>
                <w:rFonts w:cs="Times New Roman"/>
              </w:rPr>
            </w:pPr>
            <w:r>
              <w:rPr>
                <w:rFonts w:cs="Times New Roman"/>
              </w:rPr>
              <w:t>风口</w:t>
            </w:r>
          </w:p>
        </w:tc>
        <w:tc>
          <w:tcPr>
            <w:tcW w:w="2123" w:type="dxa"/>
            <w:vAlign w:val="center"/>
          </w:tcPr>
          <w:p w14:paraId="5DD2AA51">
            <w:pPr>
              <w:pStyle w:val="71"/>
              <w:spacing w:before="24" w:after="24"/>
              <w:rPr>
                <w:rFonts w:cs="Times New Roman"/>
              </w:rPr>
            </w:pPr>
            <w:r>
              <w:rPr>
                <w:rFonts w:cs="Times New Roman"/>
              </w:rPr>
              <w:t>单层百叶风口</w:t>
            </w:r>
          </w:p>
        </w:tc>
        <w:tc>
          <w:tcPr>
            <w:tcW w:w="3997" w:type="dxa"/>
            <w:vAlign w:val="center"/>
          </w:tcPr>
          <w:p w14:paraId="75DCC5EE">
            <w:pPr>
              <w:pStyle w:val="71"/>
              <w:spacing w:before="24" w:after="24"/>
              <w:rPr>
                <w:rFonts w:cs="Times New Roman"/>
              </w:rPr>
            </w:pPr>
            <w:r>
              <w:rPr>
                <w:rFonts w:cs="Times New Roman"/>
              </w:rPr>
              <w:t>成品，根据图纸要求配置</w:t>
            </w:r>
          </w:p>
        </w:tc>
        <w:tc>
          <w:tcPr>
            <w:tcW w:w="876" w:type="pct"/>
            <w:vAlign w:val="center"/>
          </w:tcPr>
          <w:p w14:paraId="31A239DE">
            <w:pPr>
              <w:pStyle w:val="71"/>
              <w:spacing w:before="24" w:after="24"/>
              <w:rPr>
                <w:rFonts w:cs="Times New Roman"/>
              </w:rPr>
            </w:pPr>
          </w:p>
        </w:tc>
      </w:tr>
      <w:tr w14:paraId="7D451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1380D9D9">
            <w:pPr>
              <w:pStyle w:val="71"/>
              <w:spacing w:before="24" w:after="24"/>
              <w:rPr>
                <w:rFonts w:cs="Times New Roman"/>
              </w:rPr>
            </w:pPr>
            <w:r>
              <w:rPr>
                <w:rFonts w:cs="Times New Roman"/>
              </w:rPr>
              <w:t>17</w:t>
            </w:r>
          </w:p>
        </w:tc>
        <w:tc>
          <w:tcPr>
            <w:tcW w:w="625" w:type="pct"/>
            <w:vMerge w:val="continue"/>
            <w:vAlign w:val="center"/>
          </w:tcPr>
          <w:p w14:paraId="51321AF2">
            <w:pPr>
              <w:pStyle w:val="71"/>
              <w:spacing w:before="24" w:after="24"/>
              <w:rPr>
                <w:rFonts w:cs="Times New Roman"/>
              </w:rPr>
            </w:pPr>
          </w:p>
        </w:tc>
        <w:tc>
          <w:tcPr>
            <w:tcW w:w="2123" w:type="dxa"/>
            <w:vAlign w:val="center"/>
          </w:tcPr>
          <w:p w14:paraId="0A4089D6">
            <w:pPr>
              <w:pStyle w:val="71"/>
              <w:spacing w:before="24" w:after="24"/>
              <w:rPr>
                <w:rFonts w:cs="Times New Roman"/>
              </w:rPr>
            </w:pPr>
            <w:r>
              <w:rPr>
                <w:rFonts w:cs="Times New Roman"/>
              </w:rPr>
              <w:t>双层百叶风口</w:t>
            </w:r>
          </w:p>
        </w:tc>
        <w:tc>
          <w:tcPr>
            <w:tcW w:w="3997" w:type="dxa"/>
            <w:vAlign w:val="center"/>
          </w:tcPr>
          <w:p w14:paraId="68F49B00">
            <w:pPr>
              <w:pStyle w:val="71"/>
              <w:spacing w:before="24" w:after="24"/>
              <w:rPr>
                <w:rFonts w:cs="Times New Roman"/>
              </w:rPr>
            </w:pPr>
            <w:r>
              <w:rPr>
                <w:rFonts w:cs="Times New Roman"/>
              </w:rPr>
              <w:t>成品，根据图纸要求配置</w:t>
            </w:r>
          </w:p>
        </w:tc>
        <w:tc>
          <w:tcPr>
            <w:tcW w:w="876" w:type="pct"/>
            <w:vAlign w:val="center"/>
          </w:tcPr>
          <w:p w14:paraId="0AEB3B0D">
            <w:pPr>
              <w:pStyle w:val="71"/>
              <w:spacing w:before="24" w:after="24"/>
              <w:rPr>
                <w:rFonts w:cs="Times New Roman"/>
              </w:rPr>
            </w:pPr>
          </w:p>
        </w:tc>
      </w:tr>
      <w:tr w14:paraId="6B360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5DDDDC1D">
            <w:pPr>
              <w:pStyle w:val="71"/>
              <w:spacing w:before="24" w:after="24"/>
              <w:rPr>
                <w:rFonts w:cs="Times New Roman"/>
              </w:rPr>
            </w:pPr>
            <w:r>
              <w:rPr>
                <w:rFonts w:cs="Times New Roman"/>
              </w:rPr>
              <w:t>18</w:t>
            </w:r>
          </w:p>
        </w:tc>
        <w:tc>
          <w:tcPr>
            <w:tcW w:w="625" w:type="pct"/>
            <w:vMerge w:val="continue"/>
            <w:vAlign w:val="center"/>
          </w:tcPr>
          <w:p w14:paraId="23522113">
            <w:pPr>
              <w:pStyle w:val="71"/>
              <w:spacing w:before="24" w:after="24"/>
              <w:rPr>
                <w:rFonts w:cs="Times New Roman"/>
              </w:rPr>
            </w:pPr>
          </w:p>
        </w:tc>
        <w:tc>
          <w:tcPr>
            <w:tcW w:w="2123" w:type="dxa"/>
            <w:vAlign w:val="center"/>
          </w:tcPr>
          <w:p w14:paraId="20CB95E5">
            <w:pPr>
              <w:pStyle w:val="71"/>
              <w:spacing w:before="24" w:after="24"/>
              <w:rPr>
                <w:rFonts w:cs="Times New Roman"/>
              </w:rPr>
            </w:pPr>
            <w:r>
              <w:rPr>
                <w:rFonts w:cs="Times New Roman"/>
              </w:rPr>
              <w:t>防雨百叶风口</w:t>
            </w:r>
          </w:p>
        </w:tc>
        <w:tc>
          <w:tcPr>
            <w:tcW w:w="3997" w:type="dxa"/>
            <w:vAlign w:val="center"/>
          </w:tcPr>
          <w:p w14:paraId="3D422A50">
            <w:pPr>
              <w:pStyle w:val="71"/>
              <w:spacing w:before="24" w:after="24"/>
              <w:rPr>
                <w:rFonts w:cs="Times New Roman"/>
              </w:rPr>
            </w:pPr>
            <w:r>
              <w:rPr>
                <w:rFonts w:cs="Times New Roman"/>
              </w:rPr>
              <w:t>成品，根据图纸要求配置</w:t>
            </w:r>
          </w:p>
        </w:tc>
        <w:tc>
          <w:tcPr>
            <w:tcW w:w="876" w:type="pct"/>
            <w:vAlign w:val="center"/>
          </w:tcPr>
          <w:p w14:paraId="2E5E1AC7">
            <w:pPr>
              <w:pStyle w:val="71"/>
              <w:spacing w:before="24" w:after="24"/>
              <w:rPr>
                <w:rFonts w:cs="Times New Roman"/>
              </w:rPr>
            </w:pPr>
          </w:p>
        </w:tc>
      </w:tr>
      <w:tr w14:paraId="622DE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1251FC84">
            <w:pPr>
              <w:pStyle w:val="71"/>
              <w:spacing w:before="24" w:after="24"/>
              <w:rPr>
                <w:rFonts w:cs="Times New Roman"/>
              </w:rPr>
            </w:pPr>
            <w:r>
              <w:rPr>
                <w:rFonts w:cs="Times New Roman"/>
              </w:rPr>
              <w:t>19</w:t>
            </w:r>
          </w:p>
        </w:tc>
        <w:tc>
          <w:tcPr>
            <w:tcW w:w="625" w:type="pct"/>
            <w:vMerge w:val="continue"/>
            <w:vAlign w:val="center"/>
          </w:tcPr>
          <w:p w14:paraId="6E510554">
            <w:pPr>
              <w:pStyle w:val="71"/>
              <w:spacing w:before="24" w:after="24"/>
              <w:rPr>
                <w:rFonts w:cs="Times New Roman"/>
              </w:rPr>
            </w:pPr>
          </w:p>
        </w:tc>
        <w:tc>
          <w:tcPr>
            <w:tcW w:w="2123" w:type="dxa"/>
            <w:vAlign w:val="center"/>
          </w:tcPr>
          <w:p w14:paraId="35465C41">
            <w:pPr>
              <w:pStyle w:val="71"/>
              <w:spacing w:before="24" w:after="24"/>
              <w:rPr>
                <w:rFonts w:cs="Times New Roman"/>
              </w:rPr>
            </w:pPr>
            <w:r>
              <w:rPr>
                <w:rFonts w:cs="Times New Roman"/>
              </w:rPr>
              <w:t>70℃防火风口</w:t>
            </w:r>
          </w:p>
        </w:tc>
        <w:tc>
          <w:tcPr>
            <w:tcW w:w="3997" w:type="dxa"/>
            <w:vAlign w:val="center"/>
          </w:tcPr>
          <w:p w14:paraId="674E0373">
            <w:pPr>
              <w:pStyle w:val="71"/>
              <w:spacing w:before="24" w:after="24"/>
              <w:rPr>
                <w:rFonts w:cs="Times New Roman"/>
              </w:rPr>
            </w:pPr>
            <w:r>
              <w:rPr>
                <w:rFonts w:cs="Times New Roman"/>
              </w:rPr>
              <w:t>常开,气流温度达到70℃时自行熔断关闭</w:t>
            </w:r>
          </w:p>
        </w:tc>
        <w:tc>
          <w:tcPr>
            <w:tcW w:w="876" w:type="pct"/>
            <w:vAlign w:val="center"/>
          </w:tcPr>
          <w:p w14:paraId="36E74AD0">
            <w:pPr>
              <w:pStyle w:val="71"/>
              <w:spacing w:before="24" w:after="24"/>
              <w:rPr>
                <w:rFonts w:cs="Times New Roman"/>
              </w:rPr>
            </w:pPr>
          </w:p>
        </w:tc>
      </w:tr>
      <w:tr w14:paraId="7858D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1601ECDE">
            <w:pPr>
              <w:pStyle w:val="71"/>
              <w:spacing w:before="24" w:after="24"/>
              <w:rPr>
                <w:rFonts w:cs="Times New Roman"/>
              </w:rPr>
            </w:pPr>
            <w:r>
              <w:rPr>
                <w:rFonts w:cs="Times New Roman"/>
              </w:rPr>
              <w:t>20</w:t>
            </w:r>
          </w:p>
        </w:tc>
        <w:tc>
          <w:tcPr>
            <w:tcW w:w="625" w:type="pct"/>
            <w:vAlign w:val="center"/>
          </w:tcPr>
          <w:p w14:paraId="62E8CC66">
            <w:pPr>
              <w:pStyle w:val="71"/>
              <w:spacing w:before="24" w:after="24"/>
              <w:rPr>
                <w:rFonts w:cs="Times New Roman"/>
              </w:rPr>
            </w:pPr>
            <w:r>
              <w:rPr>
                <w:rFonts w:cs="Times New Roman"/>
              </w:rPr>
              <w:t>消声器</w:t>
            </w:r>
          </w:p>
        </w:tc>
        <w:tc>
          <w:tcPr>
            <w:tcW w:w="1110" w:type="pct"/>
            <w:vAlign w:val="center"/>
          </w:tcPr>
          <w:p w14:paraId="17F65766">
            <w:pPr>
              <w:pStyle w:val="71"/>
              <w:spacing w:before="24" w:after="24"/>
              <w:rPr>
                <w:rFonts w:cs="Times New Roman"/>
              </w:rPr>
            </w:pPr>
            <w:r>
              <w:rPr>
                <w:rFonts w:cs="Times New Roman"/>
              </w:rPr>
              <w:t>阻抗复合型消声器</w:t>
            </w:r>
          </w:p>
        </w:tc>
        <w:tc>
          <w:tcPr>
            <w:tcW w:w="2090" w:type="pct"/>
            <w:vAlign w:val="center"/>
          </w:tcPr>
          <w:p w14:paraId="60839E92">
            <w:pPr>
              <w:pStyle w:val="71"/>
              <w:spacing w:before="24" w:after="24"/>
              <w:rPr>
                <w:rFonts w:cs="Times New Roman"/>
              </w:rPr>
            </w:pPr>
            <w:r>
              <w:rPr>
                <w:rFonts w:cs="Times New Roman"/>
              </w:rPr>
              <w:t>消声量≥15 dB（ A）,阻力≤ 10Pa，成品，根据图纸要求配置</w:t>
            </w:r>
          </w:p>
        </w:tc>
        <w:tc>
          <w:tcPr>
            <w:tcW w:w="876" w:type="pct"/>
            <w:vAlign w:val="center"/>
          </w:tcPr>
          <w:p w14:paraId="346741EC">
            <w:pPr>
              <w:pStyle w:val="71"/>
              <w:spacing w:before="24" w:after="24"/>
              <w:rPr>
                <w:rFonts w:cs="Times New Roman"/>
              </w:rPr>
            </w:pPr>
          </w:p>
        </w:tc>
      </w:tr>
      <w:tr w14:paraId="0CBED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023EE452">
            <w:pPr>
              <w:pStyle w:val="71"/>
              <w:spacing w:before="24" w:after="24"/>
              <w:rPr>
                <w:rFonts w:cs="Times New Roman"/>
              </w:rPr>
            </w:pPr>
            <w:r>
              <w:rPr>
                <w:rFonts w:cs="Times New Roman"/>
              </w:rPr>
              <w:t>21</w:t>
            </w:r>
          </w:p>
        </w:tc>
        <w:tc>
          <w:tcPr>
            <w:tcW w:w="625" w:type="pct"/>
            <w:vAlign w:val="center"/>
          </w:tcPr>
          <w:p w14:paraId="41C9D191">
            <w:pPr>
              <w:pStyle w:val="71"/>
              <w:spacing w:before="24" w:after="24"/>
              <w:rPr>
                <w:rFonts w:cs="Times New Roman"/>
              </w:rPr>
            </w:pPr>
            <w:r>
              <w:rPr>
                <w:rFonts w:cs="Times New Roman"/>
              </w:rPr>
              <w:t>风管</w:t>
            </w:r>
          </w:p>
        </w:tc>
        <w:tc>
          <w:tcPr>
            <w:tcW w:w="1110" w:type="pct"/>
            <w:vAlign w:val="center"/>
          </w:tcPr>
          <w:p w14:paraId="76796EDB">
            <w:pPr>
              <w:pStyle w:val="71"/>
              <w:spacing w:before="24" w:after="24"/>
              <w:rPr>
                <w:rFonts w:cs="Times New Roman"/>
              </w:rPr>
            </w:pPr>
            <w:r>
              <w:rPr>
                <w:rFonts w:cs="Times New Roman"/>
              </w:rPr>
              <w:t>风管材料</w:t>
            </w:r>
          </w:p>
        </w:tc>
        <w:tc>
          <w:tcPr>
            <w:tcW w:w="2090" w:type="pct"/>
            <w:vAlign w:val="center"/>
          </w:tcPr>
          <w:p w14:paraId="2B9ECDD5">
            <w:pPr>
              <w:pStyle w:val="71"/>
              <w:spacing w:before="24" w:after="24"/>
              <w:rPr>
                <w:rFonts w:cs="Times New Roman"/>
              </w:rPr>
            </w:pPr>
            <w:r>
              <w:rPr>
                <w:rFonts w:cs="Times New Roman"/>
              </w:rPr>
              <w:t>规格、厚度及耐火极限要求根据图纸要求配置</w:t>
            </w:r>
          </w:p>
        </w:tc>
        <w:tc>
          <w:tcPr>
            <w:tcW w:w="876" w:type="pct"/>
            <w:vAlign w:val="center"/>
          </w:tcPr>
          <w:p w14:paraId="064B2B0A">
            <w:pPr>
              <w:pStyle w:val="71"/>
              <w:spacing w:before="24" w:after="24"/>
              <w:rPr>
                <w:rFonts w:cs="Times New Roman"/>
              </w:rPr>
            </w:pPr>
          </w:p>
        </w:tc>
      </w:tr>
      <w:tr w14:paraId="1AA2A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1135DAD6">
            <w:pPr>
              <w:pStyle w:val="71"/>
              <w:spacing w:before="24" w:after="24"/>
              <w:rPr>
                <w:rFonts w:cs="Times New Roman"/>
              </w:rPr>
            </w:pPr>
            <w:r>
              <w:rPr>
                <w:rFonts w:cs="Times New Roman"/>
              </w:rPr>
              <w:t>22</w:t>
            </w:r>
          </w:p>
        </w:tc>
        <w:tc>
          <w:tcPr>
            <w:tcW w:w="625" w:type="pct"/>
            <w:vMerge w:val="restart"/>
            <w:vAlign w:val="center"/>
          </w:tcPr>
          <w:p w14:paraId="5A18FEC9">
            <w:pPr>
              <w:pStyle w:val="71"/>
              <w:spacing w:before="24" w:after="24"/>
              <w:rPr>
                <w:rFonts w:cs="Times New Roman"/>
              </w:rPr>
            </w:pPr>
            <w:r>
              <w:rPr>
                <w:rFonts w:cs="Times New Roman"/>
              </w:rPr>
              <w:t>人防系统</w:t>
            </w:r>
          </w:p>
        </w:tc>
        <w:tc>
          <w:tcPr>
            <w:tcW w:w="1110" w:type="pct"/>
            <w:vAlign w:val="center"/>
          </w:tcPr>
          <w:p w14:paraId="0BF343F5">
            <w:pPr>
              <w:pStyle w:val="71"/>
              <w:spacing w:before="24" w:after="24"/>
              <w:rPr>
                <w:rFonts w:cs="Times New Roman"/>
              </w:rPr>
            </w:pPr>
            <w:r>
              <w:rPr>
                <w:rFonts w:cs="Times New Roman"/>
              </w:rPr>
              <w:t>人防送风机</w:t>
            </w:r>
          </w:p>
        </w:tc>
        <w:tc>
          <w:tcPr>
            <w:tcW w:w="2090" w:type="pct"/>
            <w:vAlign w:val="center"/>
          </w:tcPr>
          <w:p w14:paraId="0E82C6CE">
            <w:pPr>
              <w:pStyle w:val="71"/>
              <w:spacing w:before="24" w:after="24"/>
              <w:rPr>
                <w:rFonts w:cs="Times New Roman"/>
              </w:rPr>
            </w:pPr>
            <w:r>
              <w:rPr>
                <w:rFonts w:cs="Times New Roman"/>
              </w:rPr>
              <w:t>根据图纸要求配置</w:t>
            </w:r>
          </w:p>
        </w:tc>
        <w:tc>
          <w:tcPr>
            <w:tcW w:w="876" w:type="pct"/>
            <w:vAlign w:val="center"/>
          </w:tcPr>
          <w:p w14:paraId="4A11742C">
            <w:pPr>
              <w:pStyle w:val="71"/>
              <w:spacing w:before="24" w:after="24"/>
              <w:rPr>
                <w:rFonts w:cs="Times New Roman"/>
              </w:rPr>
            </w:pPr>
            <w:r>
              <w:rPr>
                <w:rFonts w:cs="Times New Roman"/>
              </w:rPr>
              <w:t>清洁滤毒工况使用</w:t>
            </w:r>
          </w:p>
        </w:tc>
      </w:tr>
      <w:tr w14:paraId="52A59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6C6E5966">
            <w:pPr>
              <w:pStyle w:val="71"/>
              <w:spacing w:before="24" w:after="24"/>
              <w:rPr>
                <w:rFonts w:cs="Times New Roman"/>
              </w:rPr>
            </w:pPr>
            <w:r>
              <w:rPr>
                <w:rFonts w:cs="Times New Roman"/>
              </w:rPr>
              <w:t>23</w:t>
            </w:r>
          </w:p>
        </w:tc>
        <w:tc>
          <w:tcPr>
            <w:tcW w:w="625" w:type="pct"/>
            <w:vMerge w:val="continue"/>
            <w:vAlign w:val="center"/>
          </w:tcPr>
          <w:p w14:paraId="60687C50">
            <w:pPr>
              <w:pStyle w:val="71"/>
              <w:spacing w:before="24" w:after="24"/>
              <w:rPr>
                <w:rFonts w:cs="Times New Roman"/>
              </w:rPr>
            </w:pPr>
          </w:p>
        </w:tc>
        <w:tc>
          <w:tcPr>
            <w:tcW w:w="1110" w:type="pct"/>
            <w:vAlign w:val="center"/>
          </w:tcPr>
          <w:p w14:paraId="2375F663">
            <w:pPr>
              <w:pStyle w:val="71"/>
              <w:spacing w:before="24" w:after="24"/>
              <w:rPr>
                <w:rFonts w:cs="Times New Roman"/>
              </w:rPr>
            </w:pPr>
            <w:r>
              <w:rPr>
                <w:rFonts w:cs="Times New Roman"/>
              </w:rPr>
              <w:t>人防排风机</w:t>
            </w:r>
          </w:p>
        </w:tc>
        <w:tc>
          <w:tcPr>
            <w:tcW w:w="2090" w:type="pct"/>
            <w:vAlign w:val="center"/>
          </w:tcPr>
          <w:p w14:paraId="7F79E7F6">
            <w:pPr>
              <w:pStyle w:val="71"/>
              <w:spacing w:before="24" w:after="24"/>
              <w:rPr>
                <w:rFonts w:cs="Times New Roman"/>
              </w:rPr>
            </w:pPr>
            <w:r>
              <w:rPr>
                <w:rFonts w:cs="Times New Roman"/>
              </w:rPr>
              <w:t>根据图纸要求配置</w:t>
            </w:r>
          </w:p>
        </w:tc>
        <w:tc>
          <w:tcPr>
            <w:tcW w:w="876" w:type="pct"/>
            <w:vAlign w:val="center"/>
          </w:tcPr>
          <w:p w14:paraId="02C4CAD2">
            <w:pPr>
              <w:pStyle w:val="71"/>
              <w:spacing w:before="24" w:after="24"/>
              <w:rPr>
                <w:rFonts w:cs="Times New Roman"/>
              </w:rPr>
            </w:pPr>
            <w:r>
              <w:rPr>
                <w:rFonts w:cs="Times New Roman"/>
              </w:rPr>
              <w:t>用于人防排风</w:t>
            </w:r>
          </w:p>
        </w:tc>
      </w:tr>
      <w:tr w14:paraId="32C6F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359B1A1A">
            <w:pPr>
              <w:pStyle w:val="71"/>
              <w:spacing w:before="24" w:after="24"/>
              <w:rPr>
                <w:rFonts w:cs="Times New Roman"/>
              </w:rPr>
            </w:pPr>
            <w:r>
              <w:rPr>
                <w:rFonts w:cs="Times New Roman"/>
              </w:rPr>
              <w:t>24</w:t>
            </w:r>
          </w:p>
        </w:tc>
        <w:tc>
          <w:tcPr>
            <w:tcW w:w="625" w:type="pct"/>
            <w:vMerge w:val="continue"/>
            <w:vAlign w:val="center"/>
          </w:tcPr>
          <w:p w14:paraId="1A451D6E">
            <w:pPr>
              <w:pStyle w:val="71"/>
              <w:spacing w:before="24" w:after="24"/>
              <w:rPr>
                <w:rFonts w:cs="Times New Roman"/>
              </w:rPr>
            </w:pPr>
          </w:p>
        </w:tc>
        <w:tc>
          <w:tcPr>
            <w:tcW w:w="1110" w:type="pct"/>
            <w:vAlign w:val="center"/>
          </w:tcPr>
          <w:p w14:paraId="6886D176">
            <w:pPr>
              <w:pStyle w:val="71"/>
              <w:spacing w:before="24" w:after="24"/>
              <w:rPr>
                <w:rFonts w:cs="Times New Roman"/>
              </w:rPr>
            </w:pPr>
            <w:r>
              <w:rPr>
                <w:rFonts w:cs="Times New Roman"/>
              </w:rPr>
              <w:t>压差测量管</w:t>
            </w:r>
          </w:p>
        </w:tc>
        <w:tc>
          <w:tcPr>
            <w:tcW w:w="2090" w:type="pct"/>
            <w:vAlign w:val="center"/>
          </w:tcPr>
          <w:p w14:paraId="171E872B">
            <w:pPr>
              <w:pStyle w:val="71"/>
              <w:spacing w:before="24" w:after="24"/>
              <w:rPr>
                <w:rFonts w:cs="Times New Roman"/>
              </w:rPr>
            </w:pPr>
            <w:r>
              <w:rPr>
                <w:rFonts w:cs="Times New Roman"/>
              </w:rPr>
              <w:t>根据图纸要求配置</w:t>
            </w:r>
          </w:p>
        </w:tc>
        <w:tc>
          <w:tcPr>
            <w:tcW w:w="876" w:type="pct"/>
            <w:vAlign w:val="center"/>
          </w:tcPr>
          <w:p w14:paraId="0934344C">
            <w:pPr>
              <w:pStyle w:val="71"/>
              <w:spacing w:before="24" w:after="24"/>
              <w:rPr>
                <w:rFonts w:cs="Times New Roman"/>
              </w:rPr>
            </w:pPr>
          </w:p>
        </w:tc>
      </w:tr>
      <w:tr w14:paraId="2F036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165EEF62">
            <w:pPr>
              <w:pStyle w:val="71"/>
              <w:spacing w:before="24" w:after="24"/>
              <w:rPr>
                <w:rFonts w:cs="Times New Roman"/>
              </w:rPr>
            </w:pPr>
            <w:r>
              <w:rPr>
                <w:rFonts w:cs="Times New Roman"/>
              </w:rPr>
              <w:t>25</w:t>
            </w:r>
          </w:p>
        </w:tc>
        <w:tc>
          <w:tcPr>
            <w:tcW w:w="625" w:type="pct"/>
            <w:vMerge w:val="continue"/>
            <w:vAlign w:val="center"/>
          </w:tcPr>
          <w:p w14:paraId="53123F71">
            <w:pPr>
              <w:pStyle w:val="71"/>
              <w:spacing w:before="24" w:after="24"/>
              <w:rPr>
                <w:rFonts w:cs="Times New Roman"/>
              </w:rPr>
            </w:pPr>
          </w:p>
        </w:tc>
        <w:tc>
          <w:tcPr>
            <w:tcW w:w="1110" w:type="pct"/>
            <w:vAlign w:val="center"/>
          </w:tcPr>
          <w:p w14:paraId="7E18BEC5">
            <w:pPr>
              <w:pStyle w:val="71"/>
              <w:spacing w:before="24" w:after="24"/>
              <w:rPr>
                <w:rFonts w:cs="Times New Roman"/>
              </w:rPr>
            </w:pPr>
            <w:r>
              <w:rPr>
                <w:rFonts w:cs="Times New Roman"/>
              </w:rPr>
              <w:t>油网滤尘器</w:t>
            </w:r>
          </w:p>
        </w:tc>
        <w:tc>
          <w:tcPr>
            <w:tcW w:w="2090" w:type="pct"/>
            <w:vAlign w:val="center"/>
          </w:tcPr>
          <w:p w14:paraId="165B7AEA">
            <w:pPr>
              <w:pStyle w:val="71"/>
              <w:spacing w:before="24" w:after="24"/>
              <w:rPr>
                <w:rFonts w:cs="Times New Roman"/>
              </w:rPr>
            </w:pPr>
            <w:r>
              <w:rPr>
                <w:rFonts w:cs="Times New Roman"/>
              </w:rPr>
              <w:t>根据图纸要求配置</w:t>
            </w:r>
          </w:p>
        </w:tc>
        <w:tc>
          <w:tcPr>
            <w:tcW w:w="876" w:type="pct"/>
            <w:vAlign w:val="center"/>
          </w:tcPr>
          <w:p w14:paraId="4E87137C">
            <w:pPr>
              <w:pStyle w:val="71"/>
              <w:spacing w:before="24" w:after="24"/>
              <w:rPr>
                <w:rFonts w:cs="Times New Roman"/>
              </w:rPr>
            </w:pPr>
          </w:p>
        </w:tc>
      </w:tr>
      <w:tr w14:paraId="5A824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3102349C">
            <w:pPr>
              <w:pStyle w:val="71"/>
              <w:spacing w:before="24" w:after="24"/>
              <w:rPr>
                <w:rFonts w:cs="Times New Roman"/>
              </w:rPr>
            </w:pPr>
            <w:r>
              <w:rPr>
                <w:rFonts w:cs="Times New Roman"/>
              </w:rPr>
              <w:t>26</w:t>
            </w:r>
          </w:p>
        </w:tc>
        <w:tc>
          <w:tcPr>
            <w:tcW w:w="625" w:type="pct"/>
            <w:vMerge w:val="continue"/>
            <w:vAlign w:val="center"/>
          </w:tcPr>
          <w:p w14:paraId="3CA903E9">
            <w:pPr>
              <w:pStyle w:val="71"/>
              <w:spacing w:before="24" w:after="24"/>
              <w:rPr>
                <w:rFonts w:cs="Times New Roman"/>
              </w:rPr>
            </w:pPr>
          </w:p>
        </w:tc>
        <w:tc>
          <w:tcPr>
            <w:tcW w:w="1110" w:type="pct"/>
            <w:vAlign w:val="center"/>
          </w:tcPr>
          <w:p w14:paraId="3B07E72C">
            <w:pPr>
              <w:pStyle w:val="71"/>
              <w:spacing w:before="24" w:after="24"/>
              <w:rPr>
                <w:rFonts w:cs="Times New Roman"/>
              </w:rPr>
            </w:pPr>
            <w:r>
              <w:rPr>
                <w:rFonts w:cs="Times New Roman"/>
              </w:rPr>
              <w:t>过滤吸收器</w:t>
            </w:r>
          </w:p>
        </w:tc>
        <w:tc>
          <w:tcPr>
            <w:tcW w:w="2090" w:type="pct"/>
            <w:vAlign w:val="center"/>
          </w:tcPr>
          <w:p w14:paraId="393C618B">
            <w:pPr>
              <w:pStyle w:val="71"/>
              <w:spacing w:before="24" w:after="24"/>
              <w:rPr>
                <w:rFonts w:cs="Times New Roman"/>
              </w:rPr>
            </w:pPr>
            <w:r>
              <w:rPr>
                <w:rFonts w:cs="Times New Roman"/>
              </w:rPr>
              <w:t>根据图纸要求配置</w:t>
            </w:r>
          </w:p>
        </w:tc>
        <w:tc>
          <w:tcPr>
            <w:tcW w:w="876" w:type="pct"/>
            <w:vAlign w:val="center"/>
          </w:tcPr>
          <w:p w14:paraId="5C76F42D">
            <w:pPr>
              <w:pStyle w:val="71"/>
              <w:spacing w:before="24" w:after="24"/>
              <w:rPr>
                <w:rFonts w:cs="Times New Roman"/>
              </w:rPr>
            </w:pPr>
          </w:p>
        </w:tc>
      </w:tr>
      <w:tr w14:paraId="2C8AB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5290A07F">
            <w:pPr>
              <w:pStyle w:val="71"/>
              <w:spacing w:before="24" w:after="24"/>
              <w:rPr>
                <w:rFonts w:cs="Times New Roman"/>
              </w:rPr>
            </w:pPr>
            <w:r>
              <w:rPr>
                <w:rFonts w:cs="Times New Roman"/>
              </w:rPr>
              <w:t>27</w:t>
            </w:r>
          </w:p>
        </w:tc>
        <w:tc>
          <w:tcPr>
            <w:tcW w:w="625" w:type="pct"/>
            <w:vMerge w:val="continue"/>
            <w:vAlign w:val="center"/>
          </w:tcPr>
          <w:p w14:paraId="1169FC36">
            <w:pPr>
              <w:pStyle w:val="71"/>
              <w:spacing w:before="24" w:after="24"/>
              <w:rPr>
                <w:rFonts w:cs="Times New Roman"/>
              </w:rPr>
            </w:pPr>
          </w:p>
        </w:tc>
        <w:tc>
          <w:tcPr>
            <w:tcW w:w="1110" w:type="pct"/>
            <w:vAlign w:val="center"/>
          </w:tcPr>
          <w:p w14:paraId="29FD4F74">
            <w:pPr>
              <w:pStyle w:val="71"/>
              <w:spacing w:before="24" w:after="24"/>
              <w:rPr>
                <w:rFonts w:cs="Times New Roman"/>
              </w:rPr>
            </w:pPr>
            <w:r>
              <w:rPr>
                <w:rFonts w:cs="Times New Roman"/>
              </w:rPr>
              <w:t>增压管</w:t>
            </w:r>
          </w:p>
        </w:tc>
        <w:tc>
          <w:tcPr>
            <w:tcW w:w="2090" w:type="pct"/>
            <w:vAlign w:val="center"/>
          </w:tcPr>
          <w:p w14:paraId="75DDD294">
            <w:pPr>
              <w:pStyle w:val="71"/>
              <w:spacing w:before="24" w:after="24"/>
              <w:rPr>
                <w:rFonts w:cs="Times New Roman"/>
              </w:rPr>
            </w:pPr>
            <w:r>
              <w:rPr>
                <w:rFonts w:cs="Times New Roman"/>
              </w:rPr>
              <w:t>DN25</w:t>
            </w:r>
          </w:p>
        </w:tc>
        <w:tc>
          <w:tcPr>
            <w:tcW w:w="876" w:type="pct"/>
            <w:vAlign w:val="center"/>
          </w:tcPr>
          <w:p w14:paraId="59E475DE">
            <w:pPr>
              <w:pStyle w:val="71"/>
              <w:spacing w:before="24" w:after="24"/>
              <w:rPr>
                <w:rFonts w:cs="Times New Roman"/>
              </w:rPr>
            </w:pPr>
          </w:p>
        </w:tc>
      </w:tr>
      <w:tr w14:paraId="34144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297" w:type="pct"/>
            <w:vAlign w:val="center"/>
          </w:tcPr>
          <w:p w14:paraId="61202186">
            <w:pPr>
              <w:pStyle w:val="71"/>
              <w:spacing w:before="24" w:after="24"/>
              <w:rPr>
                <w:rFonts w:cs="Times New Roman"/>
              </w:rPr>
            </w:pPr>
            <w:r>
              <w:rPr>
                <w:rFonts w:cs="Times New Roman"/>
              </w:rPr>
              <w:t>28</w:t>
            </w:r>
          </w:p>
        </w:tc>
        <w:tc>
          <w:tcPr>
            <w:tcW w:w="625" w:type="pct"/>
            <w:vMerge w:val="continue"/>
            <w:vAlign w:val="center"/>
          </w:tcPr>
          <w:p w14:paraId="28B2F7A9">
            <w:pPr>
              <w:pStyle w:val="71"/>
              <w:spacing w:before="24" w:after="24"/>
              <w:rPr>
                <w:rFonts w:cs="Times New Roman"/>
              </w:rPr>
            </w:pPr>
          </w:p>
        </w:tc>
        <w:tc>
          <w:tcPr>
            <w:tcW w:w="1110" w:type="pct"/>
            <w:vAlign w:val="center"/>
          </w:tcPr>
          <w:p w14:paraId="74D3CA09">
            <w:pPr>
              <w:pStyle w:val="71"/>
              <w:spacing w:before="24" w:after="24"/>
              <w:rPr>
                <w:rFonts w:cs="Times New Roman"/>
              </w:rPr>
            </w:pPr>
            <w:r>
              <w:rPr>
                <w:rFonts w:cs="Times New Roman"/>
              </w:rPr>
              <w:t>测压装置</w:t>
            </w:r>
          </w:p>
        </w:tc>
        <w:tc>
          <w:tcPr>
            <w:tcW w:w="2090" w:type="pct"/>
            <w:vAlign w:val="center"/>
          </w:tcPr>
          <w:p w14:paraId="7BFAAB95">
            <w:pPr>
              <w:pStyle w:val="71"/>
              <w:spacing w:before="24" w:after="24"/>
              <w:rPr>
                <w:rFonts w:cs="Times New Roman"/>
              </w:rPr>
            </w:pPr>
            <w:r>
              <w:rPr>
                <w:rFonts w:cs="Times New Roman"/>
              </w:rPr>
              <w:t>DN15</w:t>
            </w:r>
          </w:p>
        </w:tc>
        <w:tc>
          <w:tcPr>
            <w:tcW w:w="876" w:type="pct"/>
            <w:vAlign w:val="center"/>
          </w:tcPr>
          <w:p w14:paraId="5A957E1F">
            <w:pPr>
              <w:pStyle w:val="71"/>
              <w:spacing w:before="24" w:after="24"/>
              <w:rPr>
                <w:rFonts w:cs="Times New Roman"/>
              </w:rPr>
            </w:pPr>
          </w:p>
        </w:tc>
      </w:tr>
      <w:tr w14:paraId="622FE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085B4BBE">
            <w:pPr>
              <w:pStyle w:val="71"/>
              <w:spacing w:before="24" w:after="24"/>
              <w:rPr>
                <w:rFonts w:cs="Times New Roman"/>
              </w:rPr>
            </w:pPr>
            <w:r>
              <w:rPr>
                <w:rFonts w:cs="Times New Roman"/>
              </w:rPr>
              <w:t>29</w:t>
            </w:r>
          </w:p>
        </w:tc>
        <w:tc>
          <w:tcPr>
            <w:tcW w:w="625" w:type="pct"/>
            <w:vMerge w:val="continue"/>
            <w:vAlign w:val="center"/>
          </w:tcPr>
          <w:p w14:paraId="31756B5A">
            <w:pPr>
              <w:pStyle w:val="71"/>
              <w:spacing w:before="24" w:after="24"/>
              <w:rPr>
                <w:rFonts w:cs="Times New Roman"/>
              </w:rPr>
            </w:pPr>
          </w:p>
        </w:tc>
        <w:tc>
          <w:tcPr>
            <w:tcW w:w="1110" w:type="pct"/>
            <w:vAlign w:val="center"/>
          </w:tcPr>
          <w:p w14:paraId="00A41F6F">
            <w:pPr>
              <w:pStyle w:val="71"/>
              <w:spacing w:before="24" w:after="24"/>
              <w:rPr>
                <w:rFonts w:cs="Times New Roman"/>
              </w:rPr>
            </w:pPr>
            <w:r>
              <w:rPr>
                <w:rFonts w:cs="Times New Roman"/>
              </w:rPr>
              <w:t>风量调节阀</w:t>
            </w:r>
          </w:p>
        </w:tc>
        <w:tc>
          <w:tcPr>
            <w:tcW w:w="2090" w:type="pct"/>
            <w:vAlign w:val="center"/>
          </w:tcPr>
          <w:p w14:paraId="3356A098">
            <w:pPr>
              <w:pStyle w:val="71"/>
              <w:spacing w:before="24" w:after="24"/>
              <w:rPr>
                <w:rFonts w:cs="Times New Roman"/>
              </w:rPr>
            </w:pPr>
            <w:r>
              <w:rPr>
                <w:rFonts w:cs="Times New Roman"/>
              </w:rPr>
              <w:t>根据图纸要求配置</w:t>
            </w:r>
          </w:p>
        </w:tc>
        <w:tc>
          <w:tcPr>
            <w:tcW w:w="876" w:type="pct"/>
            <w:vAlign w:val="center"/>
          </w:tcPr>
          <w:p w14:paraId="1D5BB4B3">
            <w:pPr>
              <w:pStyle w:val="71"/>
              <w:spacing w:before="24" w:after="24"/>
              <w:rPr>
                <w:rFonts w:cs="Times New Roman"/>
              </w:rPr>
            </w:pPr>
          </w:p>
        </w:tc>
      </w:tr>
      <w:tr w14:paraId="6A10F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63EF30D7">
            <w:pPr>
              <w:pStyle w:val="71"/>
              <w:spacing w:before="24" w:after="24"/>
              <w:rPr>
                <w:rFonts w:cs="Times New Roman"/>
              </w:rPr>
            </w:pPr>
            <w:r>
              <w:rPr>
                <w:rFonts w:cs="Times New Roman"/>
              </w:rPr>
              <w:t>30</w:t>
            </w:r>
          </w:p>
        </w:tc>
        <w:tc>
          <w:tcPr>
            <w:tcW w:w="625" w:type="pct"/>
            <w:vMerge w:val="continue"/>
            <w:vAlign w:val="center"/>
          </w:tcPr>
          <w:p w14:paraId="6A31859D">
            <w:pPr>
              <w:pStyle w:val="71"/>
              <w:spacing w:before="24" w:after="24"/>
              <w:rPr>
                <w:rFonts w:cs="Times New Roman"/>
              </w:rPr>
            </w:pPr>
          </w:p>
        </w:tc>
        <w:tc>
          <w:tcPr>
            <w:tcW w:w="1110" w:type="pct"/>
            <w:vAlign w:val="center"/>
          </w:tcPr>
          <w:p w14:paraId="08DFCC41">
            <w:pPr>
              <w:pStyle w:val="71"/>
              <w:spacing w:before="24" w:after="24"/>
              <w:rPr>
                <w:rFonts w:cs="Times New Roman"/>
              </w:rPr>
            </w:pPr>
            <w:r>
              <w:rPr>
                <w:rFonts w:cs="Times New Roman"/>
              </w:rPr>
              <w:t>放射性检测取样管</w:t>
            </w:r>
          </w:p>
        </w:tc>
        <w:tc>
          <w:tcPr>
            <w:tcW w:w="2090" w:type="pct"/>
            <w:vAlign w:val="center"/>
          </w:tcPr>
          <w:p w14:paraId="0CAB8287">
            <w:pPr>
              <w:pStyle w:val="71"/>
              <w:spacing w:before="24" w:after="24"/>
              <w:rPr>
                <w:rFonts w:cs="Times New Roman"/>
              </w:rPr>
            </w:pPr>
            <w:r>
              <w:rPr>
                <w:rFonts w:cs="Times New Roman"/>
              </w:rPr>
              <w:t>DN32</w:t>
            </w:r>
          </w:p>
        </w:tc>
        <w:tc>
          <w:tcPr>
            <w:tcW w:w="876" w:type="pct"/>
            <w:vAlign w:val="center"/>
          </w:tcPr>
          <w:p w14:paraId="2ABB2F44">
            <w:pPr>
              <w:pStyle w:val="71"/>
              <w:spacing w:before="24" w:after="24"/>
              <w:rPr>
                <w:rFonts w:cs="Times New Roman"/>
              </w:rPr>
            </w:pPr>
          </w:p>
        </w:tc>
      </w:tr>
      <w:tr w14:paraId="0FCE5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97" w:type="pct"/>
            <w:vAlign w:val="center"/>
          </w:tcPr>
          <w:p w14:paraId="28ADC876">
            <w:pPr>
              <w:pStyle w:val="71"/>
              <w:spacing w:before="24" w:after="24"/>
              <w:rPr>
                <w:rFonts w:cs="Times New Roman"/>
              </w:rPr>
            </w:pPr>
            <w:r>
              <w:rPr>
                <w:rFonts w:cs="Times New Roman"/>
              </w:rPr>
              <w:t>31</w:t>
            </w:r>
          </w:p>
        </w:tc>
        <w:tc>
          <w:tcPr>
            <w:tcW w:w="625" w:type="pct"/>
            <w:vMerge w:val="continue"/>
            <w:vAlign w:val="center"/>
          </w:tcPr>
          <w:p w14:paraId="2DF02073">
            <w:pPr>
              <w:pStyle w:val="71"/>
              <w:spacing w:before="24" w:after="24"/>
              <w:rPr>
                <w:rFonts w:cs="Times New Roman"/>
              </w:rPr>
            </w:pPr>
          </w:p>
        </w:tc>
        <w:tc>
          <w:tcPr>
            <w:tcW w:w="1110" w:type="pct"/>
            <w:vAlign w:val="center"/>
          </w:tcPr>
          <w:p w14:paraId="70199D7D">
            <w:pPr>
              <w:pStyle w:val="71"/>
              <w:spacing w:before="24" w:after="24"/>
              <w:rPr>
                <w:rFonts w:cs="Times New Roman"/>
              </w:rPr>
            </w:pPr>
            <w:r>
              <w:rPr>
                <w:rFonts w:cs="Times New Roman"/>
              </w:rPr>
              <w:t>尾气检测取样管</w:t>
            </w:r>
          </w:p>
        </w:tc>
        <w:tc>
          <w:tcPr>
            <w:tcW w:w="2090" w:type="pct"/>
            <w:vAlign w:val="center"/>
          </w:tcPr>
          <w:p w14:paraId="21BBA9B7">
            <w:pPr>
              <w:pStyle w:val="71"/>
              <w:spacing w:before="24" w:after="24"/>
              <w:rPr>
                <w:rFonts w:cs="Times New Roman"/>
              </w:rPr>
            </w:pPr>
            <w:r>
              <w:rPr>
                <w:rFonts w:cs="Times New Roman"/>
              </w:rPr>
              <w:t>DN15</w:t>
            </w:r>
          </w:p>
        </w:tc>
        <w:tc>
          <w:tcPr>
            <w:tcW w:w="876" w:type="pct"/>
            <w:vAlign w:val="center"/>
          </w:tcPr>
          <w:p w14:paraId="376A9B23">
            <w:pPr>
              <w:pStyle w:val="71"/>
              <w:spacing w:before="24" w:after="24"/>
              <w:rPr>
                <w:rFonts w:cs="Times New Roman"/>
              </w:rPr>
            </w:pPr>
          </w:p>
        </w:tc>
      </w:tr>
      <w:tr w14:paraId="465A6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79D541DF">
            <w:pPr>
              <w:pStyle w:val="71"/>
              <w:spacing w:before="24" w:after="24"/>
              <w:rPr>
                <w:rFonts w:cs="Times New Roman"/>
              </w:rPr>
            </w:pPr>
            <w:r>
              <w:rPr>
                <w:rFonts w:cs="Times New Roman"/>
              </w:rPr>
              <w:t>32</w:t>
            </w:r>
          </w:p>
        </w:tc>
        <w:tc>
          <w:tcPr>
            <w:tcW w:w="625" w:type="pct"/>
            <w:vMerge w:val="continue"/>
            <w:vAlign w:val="center"/>
          </w:tcPr>
          <w:p w14:paraId="054CF868">
            <w:pPr>
              <w:pStyle w:val="71"/>
              <w:spacing w:before="24" w:after="24"/>
              <w:rPr>
                <w:rFonts w:cs="Times New Roman"/>
              </w:rPr>
            </w:pPr>
          </w:p>
        </w:tc>
        <w:tc>
          <w:tcPr>
            <w:tcW w:w="1110" w:type="pct"/>
            <w:vAlign w:val="center"/>
          </w:tcPr>
          <w:p w14:paraId="74E272F0">
            <w:pPr>
              <w:pStyle w:val="71"/>
              <w:spacing w:before="24" w:after="24"/>
              <w:rPr>
                <w:rFonts w:cs="Times New Roman"/>
              </w:rPr>
            </w:pPr>
            <w:r>
              <w:rPr>
                <w:rFonts w:cs="Times New Roman"/>
              </w:rPr>
              <w:t>超压排气活门</w:t>
            </w:r>
          </w:p>
        </w:tc>
        <w:tc>
          <w:tcPr>
            <w:tcW w:w="2090" w:type="pct"/>
            <w:vAlign w:val="center"/>
          </w:tcPr>
          <w:p w14:paraId="2E605421">
            <w:pPr>
              <w:pStyle w:val="71"/>
              <w:spacing w:before="24" w:after="24"/>
              <w:rPr>
                <w:rFonts w:cs="Times New Roman"/>
              </w:rPr>
            </w:pPr>
            <w:r>
              <w:rPr>
                <w:rFonts w:cs="Times New Roman"/>
              </w:rPr>
              <w:t>DN250</w:t>
            </w:r>
          </w:p>
        </w:tc>
        <w:tc>
          <w:tcPr>
            <w:tcW w:w="876" w:type="pct"/>
            <w:vAlign w:val="center"/>
          </w:tcPr>
          <w:p w14:paraId="4088420A">
            <w:pPr>
              <w:pStyle w:val="71"/>
              <w:spacing w:before="24" w:after="24"/>
              <w:rPr>
                <w:rFonts w:cs="Times New Roman"/>
              </w:rPr>
            </w:pPr>
          </w:p>
        </w:tc>
      </w:tr>
      <w:tr w14:paraId="0EC34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145AA273">
            <w:pPr>
              <w:pStyle w:val="71"/>
              <w:spacing w:before="24" w:after="24"/>
              <w:rPr>
                <w:rFonts w:cs="Times New Roman"/>
              </w:rPr>
            </w:pPr>
            <w:r>
              <w:rPr>
                <w:rFonts w:cs="Times New Roman"/>
              </w:rPr>
              <w:t>33</w:t>
            </w:r>
          </w:p>
        </w:tc>
        <w:tc>
          <w:tcPr>
            <w:tcW w:w="625" w:type="pct"/>
            <w:vMerge w:val="continue"/>
            <w:vAlign w:val="center"/>
          </w:tcPr>
          <w:p w14:paraId="7416C56E">
            <w:pPr>
              <w:pStyle w:val="71"/>
              <w:spacing w:before="24" w:after="24"/>
              <w:rPr>
                <w:rFonts w:cs="Times New Roman"/>
              </w:rPr>
            </w:pPr>
          </w:p>
        </w:tc>
        <w:tc>
          <w:tcPr>
            <w:tcW w:w="1110" w:type="pct"/>
            <w:vAlign w:val="center"/>
          </w:tcPr>
          <w:p w14:paraId="28A0FAE2">
            <w:pPr>
              <w:pStyle w:val="71"/>
              <w:spacing w:before="24" w:after="24"/>
              <w:rPr>
                <w:rFonts w:cs="Times New Roman"/>
              </w:rPr>
            </w:pPr>
            <w:r>
              <w:rPr>
                <w:rFonts w:cs="Times New Roman"/>
              </w:rPr>
              <w:t>气密测量管</w:t>
            </w:r>
          </w:p>
        </w:tc>
        <w:tc>
          <w:tcPr>
            <w:tcW w:w="2090" w:type="pct"/>
            <w:vAlign w:val="center"/>
          </w:tcPr>
          <w:p w14:paraId="42C5758F">
            <w:pPr>
              <w:pStyle w:val="71"/>
              <w:spacing w:before="24" w:after="24"/>
              <w:rPr>
                <w:rFonts w:cs="Times New Roman"/>
              </w:rPr>
            </w:pPr>
            <w:r>
              <w:rPr>
                <w:rFonts w:cs="Times New Roman"/>
              </w:rPr>
              <w:t>DN50</w:t>
            </w:r>
          </w:p>
        </w:tc>
        <w:tc>
          <w:tcPr>
            <w:tcW w:w="876" w:type="pct"/>
            <w:vAlign w:val="center"/>
          </w:tcPr>
          <w:p w14:paraId="2C3BD767">
            <w:pPr>
              <w:pStyle w:val="71"/>
              <w:spacing w:before="24" w:after="24"/>
              <w:rPr>
                <w:rFonts w:cs="Times New Roman"/>
              </w:rPr>
            </w:pPr>
          </w:p>
        </w:tc>
      </w:tr>
      <w:tr w14:paraId="5D0B0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745AFE27">
            <w:pPr>
              <w:pStyle w:val="71"/>
              <w:spacing w:before="24" w:after="24"/>
              <w:rPr>
                <w:rFonts w:cs="Times New Roman"/>
              </w:rPr>
            </w:pPr>
            <w:r>
              <w:rPr>
                <w:rFonts w:cs="Times New Roman"/>
              </w:rPr>
              <w:t>34</w:t>
            </w:r>
          </w:p>
        </w:tc>
        <w:tc>
          <w:tcPr>
            <w:tcW w:w="625" w:type="pct"/>
            <w:vMerge w:val="continue"/>
            <w:vAlign w:val="center"/>
          </w:tcPr>
          <w:p w14:paraId="61D50F15">
            <w:pPr>
              <w:pStyle w:val="71"/>
              <w:spacing w:before="24" w:after="24"/>
              <w:rPr>
                <w:rFonts w:cs="Times New Roman"/>
              </w:rPr>
            </w:pPr>
          </w:p>
        </w:tc>
        <w:tc>
          <w:tcPr>
            <w:tcW w:w="1110" w:type="pct"/>
            <w:vAlign w:val="center"/>
          </w:tcPr>
          <w:p w14:paraId="45B08EA4">
            <w:pPr>
              <w:pStyle w:val="71"/>
              <w:spacing w:before="24" w:after="24"/>
              <w:rPr>
                <w:rFonts w:cs="Times New Roman"/>
              </w:rPr>
            </w:pPr>
            <w:r>
              <w:rPr>
                <w:rFonts w:cs="Times New Roman"/>
              </w:rPr>
              <w:t>手动密闭阀</w:t>
            </w:r>
          </w:p>
        </w:tc>
        <w:tc>
          <w:tcPr>
            <w:tcW w:w="2090" w:type="pct"/>
            <w:vAlign w:val="center"/>
          </w:tcPr>
          <w:p w14:paraId="215D06A4">
            <w:pPr>
              <w:pStyle w:val="71"/>
              <w:spacing w:before="24" w:after="24"/>
              <w:rPr>
                <w:rFonts w:cs="Times New Roman"/>
              </w:rPr>
            </w:pPr>
            <w:r>
              <w:rPr>
                <w:rFonts w:cs="Times New Roman"/>
              </w:rPr>
              <w:t>根据图纸要求配置</w:t>
            </w:r>
          </w:p>
        </w:tc>
        <w:tc>
          <w:tcPr>
            <w:tcW w:w="876" w:type="pct"/>
            <w:vAlign w:val="center"/>
          </w:tcPr>
          <w:p w14:paraId="08D48BFC">
            <w:pPr>
              <w:pStyle w:val="71"/>
              <w:spacing w:before="24" w:after="24"/>
              <w:rPr>
                <w:rFonts w:cs="Times New Roman"/>
              </w:rPr>
            </w:pPr>
          </w:p>
        </w:tc>
      </w:tr>
      <w:tr w14:paraId="2139C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0AAC5D6A">
            <w:pPr>
              <w:pStyle w:val="71"/>
              <w:spacing w:before="24" w:after="24"/>
              <w:rPr>
                <w:rFonts w:cs="Times New Roman"/>
              </w:rPr>
            </w:pPr>
            <w:r>
              <w:rPr>
                <w:rFonts w:cs="Times New Roman"/>
              </w:rPr>
              <w:t>35</w:t>
            </w:r>
          </w:p>
        </w:tc>
        <w:tc>
          <w:tcPr>
            <w:tcW w:w="625" w:type="pct"/>
            <w:vMerge w:val="continue"/>
            <w:vAlign w:val="center"/>
          </w:tcPr>
          <w:p w14:paraId="118852EC">
            <w:pPr>
              <w:pStyle w:val="71"/>
              <w:spacing w:before="24" w:after="24"/>
              <w:rPr>
                <w:rFonts w:cs="Times New Roman"/>
              </w:rPr>
            </w:pPr>
          </w:p>
        </w:tc>
        <w:tc>
          <w:tcPr>
            <w:tcW w:w="1110" w:type="pct"/>
            <w:vAlign w:val="center"/>
          </w:tcPr>
          <w:p w14:paraId="35E1F00B">
            <w:pPr>
              <w:pStyle w:val="71"/>
              <w:spacing w:before="24" w:after="24"/>
              <w:rPr>
                <w:rFonts w:cs="Times New Roman"/>
              </w:rPr>
            </w:pPr>
            <w:r>
              <w:rPr>
                <w:rFonts w:cs="Times New Roman"/>
              </w:rPr>
              <w:t>插板阀</w:t>
            </w:r>
          </w:p>
        </w:tc>
        <w:tc>
          <w:tcPr>
            <w:tcW w:w="2090" w:type="pct"/>
            <w:vAlign w:val="center"/>
          </w:tcPr>
          <w:p w14:paraId="37C29456">
            <w:pPr>
              <w:pStyle w:val="71"/>
              <w:spacing w:before="24" w:after="24"/>
              <w:rPr>
                <w:rFonts w:cs="Times New Roman"/>
              </w:rPr>
            </w:pPr>
            <w:r>
              <w:rPr>
                <w:rFonts w:cs="Times New Roman"/>
              </w:rPr>
              <w:t>根据图纸要求配置</w:t>
            </w:r>
          </w:p>
        </w:tc>
        <w:tc>
          <w:tcPr>
            <w:tcW w:w="876" w:type="pct"/>
            <w:vAlign w:val="center"/>
          </w:tcPr>
          <w:p w14:paraId="3EC185E1">
            <w:pPr>
              <w:pStyle w:val="71"/>
              <w:spacing w:before="24" w:after="24"/>
              <w:rPr>
                <w:rFonts w:cs="Times New Roman"/>
              </w:rPr>
            </w:pPr>
          </w:p>
        </w:tc>
      </w:tr>
      <w:tr w14:paraId="5056E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7" w:type="pct"/>
            <w:vAlign w:val="center"/>
          </w:tcPr>
          <w:p w14:paraId="4154E05D">
            <w:pPr>
              <w:pStyle w:val="71"/>
              <w:spacing w:before="24" w:after="24"/>
              <w:rPr>
                <w:rFonts w:cs="Times New Roman"/>
              </w:rPr>
            </w:pPr>
            <w:r>
              <w:rPr>
                <w:rFonts w:cs="Times New Roman"/>
              </w:rPr>
              <w:t>36</w:t>
            </w:r>
          </w:p>
        </w:tc>
        <w:tc>
          <w:tcPr>
            <w:tcW w:w="625" w:type="pct"/>
            <w:vMerge w:val="continue"/>
            <w:vAlign w:val="center"/>
          </w:tcPr>
          <w:p w14:paraId="703035FC">
            <w:pPr>
              <w:pStyle w:val="71"/>
              <w:spacing w:before="24" w:after="24"/>
              <w:rPr>
                <w:rFonts w:cs="Times New Roman"/>
              </w:rPr>
            </w:pPr>
          </w:p>
        </w:tc>
        <w:tc>
          <w:tcPr>
            <w:tcW w:w="1110" w:type="pct"/>
            <w:vAlign w:val="center"/>
          </w:tcPr>
          <w:p w14:paraId="0493FB76">
            <w:pPr>
              <w:pStyle w:val="71"/>
              <w:spacing w:before="24" w:after="24"/>
              <w:rPr>
                <w:rFonts w:cs="Times New Roman"/>
              </w:rPr>
            </w:pPr>
            <w:r>
              <w:rPr>
                <w:rFonts w:cs="Times New Roman"/>
              </w:rPr>
              <w:t>百叶风口</w:t>
            </w:r>
          </w:p>
        </w:tc>
        <w:tc>
          <w:tcPr>
            <w:tcW w:w="2090" w:type="pct"/>
            <w:vAlign w:val="center"/>
          </w:tcPr>
          <w:p w14:paraId="3C229B89">
            <w:pPr>
              <w:pStyle w:val="71"/>
              <w:spacing w:before="24" w:after="24"/>
              <w:rPr>
                <w:rFonts w:cs="Times New Roman"/>
              </w:rPr>
            </w:pPr>
            <w:r>
              <w:rPr>
                <w:rFonts w:cs="Times New Roman"/>
              </w:rPr>
              <w:t>成品，根据图纸要求配置</w:t>
            </w:r>
          </w:p>
        </w:tc>
        <w:tc>
          <w:tcPr>
            <w:tcW w:w="876" w:type="pct"/>
            <w:vAlign w:val="center"/>
          </w:tcPr>
          <w:p w14:paraId="16B59D0E">
            <w:pPr>
              <w:pStyle w:val="71"/>
              <w:spacing w:before="24" w:after="24"/>
              <w:rPr>
                <w:rFonts w:cs="Times New Roman"/>
              </w:rPr>
            </w:pPr>
          </w:p>
        </w:tc>
      </w:tr>
    </w:tbl>
    <w:p w14:paraId="30796DE5">
      <w:pPr>
        <w:spacing w:before="24" w:after="24"/>
        <w:rPr>
          <w:rFonts w:ascii="Times New Roman" w:hAnsi="Times New Roman" w:cs="Times New Roman"/>
        </w:rPr>
      </w:pPr>
      <w:r>
        <w:rPr>
          <w:rFonts w:ascii="Times New Roman" w:hAnsi="Times New Roman" w:cs="Times New Roman"/>
        </w:rPr>
        <w:br w:type="page"/>
      </w:r>
    </w:p>
    <w:p w14:paraId="3D79C9BA">
      <w:pPr>
        <w:pStyle w:val="62"/>
      </w:pPr>
      <w:bookmarkStart w:id="217" w:name="_Toc221894238"/>
      <w:r>
        <w:t>（四）电气专业设备参数清单表</w:t>
      </w:r>
      <w:bookmarkEnd w:id="217"/>
    </w:p>
    <w:p w14:paraId="043CAEC1">
      <w:pPr>
        <w:pStyle w:val="66"/>
        <w:rPr>
          <w:rFonts w:cs="Times New Roman"/>
        </w:rPr>
      </w:pPr>
      <w:r>
        <w:rPr>
          <w:rFonts w:cs="Times New Roman"/>
        </w:rPr>
        <w:t>1、总图及供电工程电气专业设备参数清单表</w:t>
      </w:r>
    </w:p>
    <w:tbl>
      <w:tblPr>
        <w:tblStyle w:val="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2"/>
        <w:gridCol w:w="1155"/>
        <w:gridCol w:w="1508"/>
        <w:gridCol w:w="4509"/>
        <w:gridCol w:w="1652"/>
      </w:tblGrid>
      <w:tr w14:paraId="2F64E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blHeader/>
          <w:jc w:val="center"/>
        </w:trPr>
        <w:tc>
          <w:tcPr>
            <w:tcW w:w="312" w:type="pct"/>
            <w:shd w:val="clear" w:color="auto" w:fill="D7D7D7"/>
            <w:vAlign w:val="center"/>
          </w:tcPr>
          <w:p w14:paraId="2708CED9">
            <w:pPr>
              <w:pStyle w:val="71"/>
              <w:spacing w:before="24" w:after="24"/>
              <w:rPr>
                <w:rFonts w:cs="Times New Roman"/>
              </w:rPr>
            </w:pPr>
            <w:r>
              <w:rPr>
                <w:rFonts w:cs="Times New Roman"/>
              </w:rPr>
              <w:t>序号</w:t>
            </w:r>
          </w:p>
        </w:tc>
        <w:tc>
          <w:tcPr>
            <w:tcW w:w="685" w:type="pct"/>
            <w:shd w:val="clear" w:color="auto" w:fill="D7D7D7"/>
            <w:vAlign w:val="center"/>
          </w:tcPr>
          <w:p w14:paraId="17F41F2B">
            <w:pPr>
              <w:pStyle w:val="71"/>
              <w:spacing w:before="24" w:after="24"/>
              <w:rPr>
                <w:rFonts w:cs="Times New Roman"/>
              </w:rPr>
            </w:pPr>
            <w:r>
              <w:rPr>
                <w:rFonts w:cs="Times New Roman"/>
              </w:rPr>
              <w:t>设备/系统</w:t>
            </w:r>
          </w:p>
        </w:tc>
        <w:tc>
          <w:tcPr>
            <w:tcW w:w="875" w:type="pct"/>
            <w:shd w:val="clear" w:color="auto" w:fill="D7D7D7"/>
            <w:vAlign w:val="center"/>
          </w:tcPr>
          <w:p w14:paraId="0B5C8147">
            <w:pPr>
              <w:pStyle w:val="71"/>
              <w:spacing w:before="24" w:after="24"/>
              <w:rPr>
                <w:rFonts w:cs="Times New Roman"/>
              </w:rPr>
            </w:pPr>
            <w:r>
              <w:rPr>
                <w:rFonts w:cs="Times New Roman"/>
              </w:rPr>
              <w:t>设备</w:t>
            </w:r>
          </w:p>
        </w:tc>
        <w:tc>
          <w:tcPr>
            <w:tcW w:w="2176" w:type="pct"/>
            <w:shd w:val="clear" w:color="auto" w:fill="D7D7D7"/>
            <w:vAlign w:val="center"/>
          </w:tcPr>
          <w:p w14:paraId="76D82D4C">
            <w:pPr>
              <w:pStyle w:val="71"/>
              <w:spacing w:before="24" w:after="24"/>
              <w:rPr>
                <w:rFonts w:cs="Times New Roman"/>
              </w:rPr>
            </w:pPr>
            <w:r>
              <w:rPr>
                <w:rFonts w:cs="Times New Roman"/>
              </w:rPr>
              <w:t>做法/规格参数</w:t>
            </w:r>
          </w:p>
        </w:tc>
        <w:tc>
          <w:tcPr>
            <w:tcW w:w="952" w:type="pct"/>
            <w:shd w:val="clear" w:color="auto" w:fill="D7D7D7"/>
            <w:vAlign w:val="center"/>
          </w:tcPr>
          <w:p w14:paraId="5E4EB8C4">
            <w:pPr>
              <w:pStyle w:val="71"/>
              <w:spacing w:before="24" w:after="24"/>
              <w:rPr>
                <w:rFonts w:cs="Times New Roman"/>
              </w:rPr>
            </w:pPr>
            <w:r>
              <w:rPr>
                <w:rFonts w:cs="Times New Roman"/>
              </w:rPr>
              <w:t>备注</w:t>
            </w:r>
          </w:p>
          <w:p w14:paraId="0D13104C">
            <w:pPr>
              <w:pStyle w:val="71"/>
              <w:spacing w:before="24" w:after="24"/>
              <w:rPr>
                <w:rFonts w:cs="Times New Roman"/>
              </w:rPr>
            </w:pPr>
            <w:r>
              <w:rPr>
                <w:rFonts w:cs="Times New Roman"/>
              </w:rPr>
              <w:t>（安装位置）</w:t>
            </w:r>
          </w:p>
        </w:tc>
      </w:tr>
      <w:tr w14:paraId="16ECA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12" w:type="pct"/>
            <w:vAlign w:val="center"/>
          </w:tcPr>
          <w:p w14:paraId="4CD6EA9A">
            <w:pPr>
              <w:pStyle w:val="71"/>
              <w:spacing w:before="24" w:after="24"/>
              <w:rPr>
                <w:rFonts w:cs="Times New Roman"/>
              </w:rPr>
            </w:pPr>
            <w:r>
              <w:rPr>
                <w:rFonts w:cs="Times New Roman"/>
              </w:rPr>
              <w:t>1</w:t>
            </w:r>
          </w:p>
        </w:tc>
        <w:tc>
          <w:tcPr>
            <w:tcW w:w="685" w:type="pct"/>
            <w:vAlign w:val="center"/>
          </w:tcPr>
          <w:p w14:paraId="6BF306C9">
            <w:pPr>
              <w:pStyle w:val="71"/>
              <w:spacing w:before="24" w:after="24"/>
              <w:rPr>
                <w:rFonts w:cs="Times New Roman"/>
              </w:rPr>
            </w:pPr>
            <w:r>
              <w:rPr>
                <w:rFonts w:cs="Times New Roman"/>
              </w:rPr>
              <w:t>电气总图</w:t>
            </w:r>
          </w:p>
        </w:tc>
        <w:tc>
          <w:tcPr>
            <w:tcW w:w="875" w:type="pct"/>
            <w:vAlign w:val="center"/>
          </w:tcPr>
          <w:p w14:paraId="65583BFD">
            <w:pPr>
              <w:pStyle w:val="71"/>
              <w:spacing w:before="24" w:after="24"/>
              <w:rPr>
                <w:rFonts w:cs="Times New Roman"/>
              </w:rPr>
            </w:pPr>
            <w:r>
              <w:rPr>
                <w:rFonts w:cs="Times New Roman"/>
              </w:rPr>
              <w:t>强电电缆保护管</w:t>
            </w:r>
          </w:p>
        </w:tc>
        <w:tc>
          <w:tcPr>
            <w:tcW w:w="2176" w:type="pct"/>
            <w:vAlign w:val="center"/>
          </w:tcPr>
          <w:p w14:paraId="05023334">
            <w:pPr>
              <w:pStyle w:val="71"/>
              <w:spacing w:before="24" w:after="24"/>
              <w:rPr>
                <w:rFonts w:cs="Times New Roman"/>
              </w:rPr>
            </w:pPr>
            <w:r>
              <w:rPr>
                <w:rFonts w:cs="Times New Roman"/>
              </w:rPr>
              <w:t>CPVC/壁厚4.0mm及以上</w:t>
            </w:r>
          </w:p>
        </w:tc>
        <w:tc>
          <w:tcPr>
            <w:tcW w:w="952" w:type="pct"/>
            <w:vAlign w:val="center"/>
          </w:tcPr>
          <w:p w14:paraId="407300A5">
            <w:pPr>
              <w:pStyle w:val="71"/>
              <w:spacing w:before="24" w:after="24"/>
              <w:rPr>
                <w:rFonts w:cs="Times New Roman"/>
              </w:rPr>
            </w:pPr>
            <w:r>
              <w:rPr>
                <w:rFonts w:cs="Times New Roman"/>
              </w:rPr>
              <w:t>室外人行道及绿化带下</w:t>
            </w:r>
          </w:p>
        </w:tc>
      </w:tr>
      <w:tr w14:paraId="662C1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12" w:type="pct"/>
            <w:vAlign w:val="center"/>
          </w:tcPr>
          <w:p w14:paraId="0EE81A92">
            <w:pPr>
              <w:pStyle w:val="71"/>
              <w:spacing w:before="24" w:after="24"/>
              <w:rPr>
                <w:rFonts w:cs="Times New Roman"/>
              </w:rPr>
            </w:pPr>
            <w:r>
              <w:rPr>
                <w:rFonts w:cs="Times New Roman"/>
              </w:rPr>
              <w:t>2</w:t>
            </w:r>
          </w:p>
        </w:tc>
        <w:tc>
          <w:tcPr>
            <w:tcW w:w="685" w:type="pct"/>
            <w:vAlign w:val="center"/>
          </w:tcPr>
          <w:p w14:paraId="795009A9">
            <w:pPr>
              <w:pStyle w:val="71"/>
              <w:spacing w:before="24" w:after="24"/>
              <w:rPr>
                <w:rFonts w:cs="Times New Roman"/>
              </w:rPr>
            </w:pPr>
            <w:r>
              <w:rPr>
                <w:rFonts w:cs="Times New Roman"/>
              </w:rPr>
              <w:t>电气总图</w:t>
            </w:r>
          </w:p>
        </w:tc>
        <w:tc>
          <w:tcPr>
            <w:tcW w:w="875" w:type="pct"/>
            <w:vAlign w:val="center"/>
          </w:tcPr>
          <w:p w14:paraId="0E8F8232">
            <w:pPr>
              <w:pStyle w:val="71"/>
              <w:spacing w:before="24" w:after="24"/>
              <w:rPr>
                <w:rFonts w:cs="Times New Roman"/>
              </w:rPr>
            </w:pPr>
            <w:r>
              <w:rPr>
                <w:rFonts w:cs="Times New Roman"/>
              </w:rPr>
              <w:t>弱电电缆保护管</w:t>
            </w:r>
          </w:p>
        </w:tc>
        <w:tc>
          <w:tcPr>
            <w:tcW w:w="2176" w:type="pct"/>
            <w:vAlign w:val="center"/>
          </w:tcPr>
          <w:p w14:paraId="32827DEC">
            <w:pPr>
              <w:pStyle w:val="71"/>
              <w:spacing w:before="24" w:after="24"/>
              <w:rPr>
                <w:rFonts w:cs="Times New Roman"/>
              </w:rPr>
            </w:pPr>
            <w:r>
              <w:rPr>
                <w:rFonts w:cs="Times New Roman"/>
              </w:rPr>
              <w:t>UPVC七孔梅花管/壁厚2.5mm及以上/C20混凝土全程包封</w:t>
            </w:r>
          </w:p>
        </w:tc>
        <w:tc>
          <w:tcPr>
            <w:tcW w:w="952" w:type="pct"/>
            <w:vAlign w:val="center"/>
          </w:tcPr>
          <w:p w14:paraId="5325A4B2">
            <w:pPr>
              <w:pStyle w:val="71"/>
              <w:spacing w:before="24" w:after="24"/>
              <w:rPr>
                <w:rFonts w:cs="Times New Roman"/>
              </w:rPr>
            </w:pPr>
            <w:r>
              <w:rPr>
                <w:rFonts w:cs="Times New Roman"/>
              </w:rPr>
              <w:t>室外人行道及绿化带下</w:t>
            </w:r>
          </w:p>
        </w:tc>
      </w:tr>
      <w:tr w14:paraId="3D71D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12" w:type="pct"/>
            <w:vAlign w:val="center"/>
          </w:tcPr>
          <w:p w14:paraId="43B9E747">
            <w:pPr>
              <w:pStyle w:val="71"/>
              <w:spacing w:before="24" w:after="24"/>
              <w:rPr>
                <w:rFonts w:cs="Times New Roman"/>
              </w:rPr>
            </w:pPr>
            <w:r>
              <w:rPr>
                <w:rFonts w:cs="Times New Roman"/>
              </w:rPr>
              <w:t>3</w:t>
            </w:r>
          </w:p>
        </w:tc>
        <w:tc>
          <w:tcPr>
            <w:tcW w:w="685" w:type="pct"/>
            <w:vAlign w:val="center"/>
          </w:tcPr>
          <w:p w14:paraId="4DEA719F">
            <w:pPr>
              <w:pStyle w:val="71"/>
              <w:spacing w:before="24" w:after="24"/>
              <w:rPr>
                <w:rFonts w:cs="Times New Roman"/>
              </w:rPr>
            </w:pPr>
            <w:r>
              <w:rPr>
                <w:rFonts w:cs="Times New Roman"/>
              </w:rPr>
              <w:t>电气总图</w:t>
            </w:r>
          </w:p>
        </w:tc>
        <w:tc>
          <w:tcPr>
            <w:tcW w:w="875" w:type="pct"/>
            <w:vAlign w:val="center"/>
          </w:tcPr>
          <w:p w14:paraId="3615D101">
            <w:pPr>
              <w:pStyle w:val="71"/>
              <w:spacing w:before="24" w:after="24"/>
              <w:rPr>
                <w:rFonts w:cs="Times New Roman"/>
              </w:rPr>
            </w:pPr>
            <w:r>
              <w:rPr>
                <w:rFonts w:cs="Times New Roman"/>
              </w:rPr>
              <w:t>强弱电电缆保护管</w:t>
            </w:r>
          </w:p>
        </w:tc>
        <w:tc>
          <w:tcPr>
            <w:tcW w:w="2176" w:type="pct"/>
            <w:vAlign w:val="center"/>
          </w:tcPr>
          <w:p w14:paraId="7DFFF0F2">
            <w:pPr>
              <w:pStyle w:val="71"/>
              <w:spacing w:before="24" w:after="24"/>
              <w:rPr>
                <w:rFonts w:cs="Times New Roman"/>
              </w:rPr>
            </w:pPr>
            <w:r>
              <w:rPr>
                <w:rFonts w:cs="Times New Roman"/>
              </w:rPr>
              <w:t>SC镀锌钢管/壁厚按选择型号根据国标及以上</w:t>
            </w:r>
          </w:p>
        </w:tc>
        <w:tc>
          <w:tcPr>
            <w:tcW w:w="952" w:type="pct"/>
            <w:vAlign w:val="center"/>
          </w:tcPr>
          <w:p w14:paraId="5ECB6F18">
            <w:pPr>
              <w:pStyle w:val="71"/>
              <w:spacing w:before="24" w:after="24"/>
              <w:rPr>
                <w:rFonts w:cs="Times New Roman"/>
              </w:rPr>
            </w:pPr>
            <w:r>
              <w:rPr>
                <w:rFonts w:cs="Times New Roman"/>
              </w:rPr>
              <w:t>室外机动车道下</w:t>
            </w:r>
          </w:p>
        </w:tc>
      </w:tr>
      <w:tr w14:paraId="215BB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12" w:type="pct"/>
            <w:vAlign w:val="center"/>
          </w:tcPr>
          <w:p w14:paraId="544127C1">
            <w:pPr>
              <w:pStyle w:val="71"/>
              <w:spacing w:before="24" w:after="24"/>
              <w:rPr>
                <w:rFonts w:cs="Times New Roman"/>
              </w:rPr>
            </w:pPr>
            <w:r>
              <w:rPr>
                <w:rFonts w:cs="Times New Roman"/>
              </w:rPr>
              <w:t>4</w:t>
            </w:r>
          </w:p>
        </w:tc>
        <w:tc>
          <w:tcPr>
            <w:tcW w:w="685" w:type="pct"/>
            <w:vAlign w:val="center"/>
          </w:tcPr>
          <w:p w14:paraId="629EF299">
            <w:pPr>
              <w:pStyle w:val="71"/>
              <w:spacing w:before="24" w:after="24"/>
              <w:rPr>
                <w:rFonts w:cs="Times New Roman"/>
              </w:rPr>
            </w:pPr>
            <w:r>
              <w:rPr>
                <w:rFonts w:cs="Times New Roman"/>
              </w:rPr>
              <w:t>电气总图</w:t>
            </w:r>
          </w:p>
        </w:tc>
        <w:tc>
          <w:tcPr>
            <w:tcW w:w="875" w:type="pct"/>
            <w:vAlign w:val="center"/>
          </w:tcPr>
          <w:p w14:paraId="06CDCF79">
            <w:pPr>
              <w:pStyle w:val="71"/>
              <w:spacing w:before="24" w:after="24"/>
              <w:rPr>
                <w:rFonts w:cs="Times New Roman"/>
              </w:rPr>
            </w:pPr>
            <w:r>
              <w:rPr>
                <w:rFonts w:cs="Times New Roman"/>
              </w:rPr>
              <w:t>强弱电砖砌井</w:t>
            </w:r>
          </w:p>
        </w:tc>
        <w:tc>
          <w:tcPr>
            <w:tcW w:w="2176" w:type="pct"/>
            <w:vAlign w:val="center"/>
          </w:tcPr>
          <w:p w14:paraId="209CFA0C">
            <w:pPr>
              <w:pStyle w:val="71"/>
              <w:spacing w:before="24" w:after="24"/>
              <w:rPr>
                <w:rFonts w:cs="Times New Roman"/>
              </w:rPr>
            </w:pPr>
            <w:r>
              <w:rPr>
                <w:rFonts w:cs="Times New Roman"/>
              </w:rPr>
              <w:t>规格根据电缆敷设规模按《电力电缆井设计与安装》07SD101-8选用，另需满足当地供电局要求</w:t>
            </w:r>
          </w:p>
        </w:tc>
        <w:tc>
          <w:tcPr>
            <w:tcW w:w="952" w:type="pct"/>
            <w:vAlign w:val="center"/>
          </w:tcPr>
          <w:p w14:paraId="413174D4">
            <w:pPr>
              <w:pStyle w:val="71"/>
              <w:spacing w:before="24" w:after="24"/>
              <w:rPr>
                <w:rFonts w:cs="Times New Roman"/>
              </w:rPr>
            </w:pPr>
            <w:r>
              <w:rPr>
                <w:rFonts w:cs="Times New Roman"/>
              </w:rPr>
              <w:t>室外人行道及绿化带下</w:t>
            </w:r>
          </w:p>
        </w:tc>
      </w:tr>
      <w:tr w14:paraId="09D84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12" w:type="pct"/>
            <w:vAlign w:val="center"/>
          </w:tcPr>
          <w:p w14:paraId="5615F6D6">
            <w:pPr>
              <w:pStyle w:val="71"/>
              <w:spacing w:before="24" w:after="24"/>
              <w:rPr>
                <w:rFonts w:cs="Times New Roman"/>
              </w:rPr>
            </w:pPr>
            <w:r>
              <w:rPr>
                <w:rFonts w:cs="Times New Roman"/>
              </w:rPr>
              <w:t>5</w:t>
            </w:r>
          </w:p>
        </w:tc>
        <w:tc>
          <w:tcPr>
            <w:tcW w:w="685" w:type="pct"/>
            <w:vAlign w:val="center"/>
          </w:tcPr>
          <w:p w14:paraId="23AB5379">
            <w:pPr>
              <w:pStyle w:val="71"/>
              <w:spacing w:before="24" w:after="24"/>
              <w:rPr>
                <w:rFonts w:cs="Times New Roman"/>
              </w:rPr>
            </w:pPr>
            <w:r>
              <w:rPr>
                <w:rFonts w:cs="Times New Roman"/>
              </w:rPr>
              <w:t>电气总图</w:t>
            </w:r>
          </w:p>
        </w:tc>
        <w:tc>
          <w:tcPr>
            <w:tcW w:w="875" w:type="pct"/>
            <w:vAlign w:val="center"/>
          </w:tcPr>
          <w:p w14:paraId="7EAE19BA">
            <w:pPr>
              <w:pStyle w:val="71"/>
              <w:spacing w:before="24" w:after="24"/>
              <w:rPr>
                <w:rFonts w:cs="Times New Roman"/>
              </w:rPr>
            </w:pPr>
            <w:r>
              <w:rPr>
                <w:rFonts w:cs="Times New Roman"/>
              </w:rPr>
              <w:t>强弱电混凝土井</w:t>
            </w:r>
          </w:p>
        </w:tc>
        <w:tc>
          <w:tcPr>
            <w:tcW w:w="2176" w:type="pct"/>
            <w:vAlign w:val="center"/>
          </w:tcPr>
          <w:p w14:paraId="781DED6D">
            <w:pPr>
              <w:pStyle w:val="71"/>
              <w:spacing w:before="24" w:after="24"/>
              <w:rPr>
                <w:rFonts w:cs="Times New Roman"/>
              </w:rPr>
            </w:pPr>
            <w:r>
              <w:rPr>
                <w:rFonts w:cs="Times New Roman"/>
              </w:rPr>
              <w:t>规格根据电缆敷设规模按《电力电缆井设计与安装》07SD101-8选用，另需满足当地供电局要求</w:t>
            </w:r>
          </w:p>
        </w:tc>
        <w:tc>
          <w:tcPr>
            <w:tcW w:w="952" w:type="pct"/>
            <w:vAlign w:val="center"/>
          </w:tcPr>
          <w:p w14:paraId="2F2A6E5A">
            <w:pPr>
              <w:pStyle w:val="71"/>
              <w:spacing w:before="24" w:after="24"/>
              <w:rPr>
                <w:rFonts w:cs="Times New Roman"/>
              </w:rPr>
            </w:pPr>
            <w:r>
              <w:rPr>
                <w:rFonts w:cs="Times New Roman"/>
              </w:rPr>
              <w:t>室外车行道下</w:t>
            </w:r>
          </w:p>
        </w:tc>
      </w:tr>
      <w:tr w14:paraId="44D33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12" w:type="pct"/>
            <w:vAlign w:val="center"/>
          </w:tcPr>
          <w:p w14:paraId="4842495B">
            <w:pPr>
              <w:pStyle w:val="71"/>
              <w:spacing w:before="24" w:after="24"/>
              <w:rPr>
                <w:rFonts w:cs="Times New Roman"/>
              </w:rPr>
            </w:pPr>
            <w:r>
              <w:rPr>
                <w:rFonts w:cs="Times New Roman"/>
              </w:rPr>
              <w:t>6</w:t>
            </w:r>
          </w:p>
        </w:tc>
        <w:tc>
          <w:tcPr>
            <w:tcW w:w="685" w:type="pct"/>
            <w:vAlign w:val="center"/>
          </w:tcPr>
          <w:p w14:paraId="32051647">
            <w:pPr>
              <w:pStyle w:val="71"/>
              <w:spacing w:before="24" w:after="24"/>
              <w:rPr>
                <w:rFonts w:cs="Times New Roman"/>
              </w:rPr>
            </w:pPr>
            <w:r>
              <w:rPr>
                <w:rFonts w:cs="Times New Roman"/>
              </w:rPr>
              <w:t>变电系统</w:t>
            </w:r>
          </w:p>
        </w:tc>
        <w:tc>
          <w:tcPr>
            <w:tcW w:w="875" w:type="pct"/>
            <w:vAlign w:val="center"/>
          </w:tcPr>
          <w:p w14:paraId="0834830E">
            <w:pPr>
              <w:pStyle w:val="71"/>
              <w:spacing w:before="24" w:after="24"/>
              <w:rPr>
                <w:rFonts w:cs="Times New Roman"/>
              </w:rPr>
            </w:pPr>
            <w:r>
              <w:rPr>
                <w:rFonts w:cs="Times New Roman"/>
              </w:rPr>
              <w:t>电力变压器</w:t>
            </w:r>
          </w:p>
        </w:tc>
        <w:tc>
          <w:tcPr>
            <w:tcW w:w="2176" w:type="pct"/>
          </w:tcPr>
          <w:p w14:paraId="61945AB8">
            <w:pPr>
              <w:pStyle w:val="71"/>
              <w:spacing w:before="24" w:after="24"/>
              <w:rPr>
                <w:rFonts w:cs="Times New Roman"/>
              </w:rPr>
            </w:pPr>
            <w:r>
              <w:rPr>
                <w:rFonts w:cs="Times New Roman"/>
              </w:rPr>
              <w:t>SCB14-10±2.5%/0.4kV-D,Yn11Ud=6%</w:t>
            </w:r>
          </w:p>
        </w:tc>
        <w:tc>
          <w:tcPr>
            <w:tcW w:w="952" w:type="pct"/>
            <w:vAlign w:val="center"/>
          </w:tcPr>
          <w:p w14:paraId="13692C3F">
            <w:pPr>
              <w:pStyle w:val="71"/>
              <w:spacing w:before="24" w:after="24"/>
              <w:rPr>
                <w:rFonts w:cs="Times New Roman"/>
              </w:rPr>
            </w:pPr>
            <w:r>
              <w:rPr>
                <w:rFonts w:cs="Times New Roman"/>
              </w:rPr>
              <w:t>高压配电室</w:t>
            </w:r>
          </w:p>
        </w:tc>
      </w:tr>
      <w:tr w14:paraId="55E94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12" w:type="pct"/>
            <w:vAlign w:val="center"/>
          </w:tcPr>
          <w:p w14:paraId="765EB57C">
            <w:pPr>
              <w:pStyle w:val="71"/>
              <w:spacing w:before="24" w:after="24"/>
              <w:rPr>
                <w:rFonts w:cs="Times New Roman"/>
              </w:rPr>
            </w:pPr>
            <w:r>
              <w:rPr>
                <w:rFonts w:cs="Times New Roman"/>
              </w:rPr>
              <w:t>7</w:t>
            </w:r>
          </w:p>
        </w:tc>
        <w:tc>
          <w:tcPr>
            <w:tcW w:w="685" w:type="pct"/>
            <w:vAlign w:val="center"/>
          </w:tcPr>
          <w:p w14:paraId="2A6541B8">
            <w:pPr>
              <w:pStyle w:val="71"/>
              <w:spacing w:before="24" w:after="24"/>
              <w:rPr>
                <w:rFonts w:cs="Times New Roman"/>
              </w:rPr>
            </w:pPr>
            <w:r>
              <w:rPr>
                <w:rFonts w:cs="Times New Roman"/>
              </w:rPr>
              <w:t>变电系统</w:t>
            </w:r>
          </w:p>
        </w:tc>
        <w:tc>
          <w:tcPr>
            <w:tcW w:w="875" w:type="pct"/>
            <w:vAlign w:val="center"/>
          </w:tcPr>
          <w:p w14:paraId="09970A70">
            <w:pPr>
              <w:pStyle w:val="71"/>
              <w:spacing w:before="24" w:after="24"/>
              <w:rPr>
                <w:rFonts w:cs="Times New Roman"/>
              </w:rPr>
            </w:pPr>
            <w:r>
              <w:rPr>
                <w:rFonts w:cs="Times New Roman"/>
              </w:rPr>
              <w:t>箱式变电站</w:t>
            </w:r>
          </w:p>
        </w:tc>
        <w:tc>
          <w:tcPr>
            <w:tcW w:w="2176" w:type="pct"/>
            <w:vAlign w:val="center"/>
          </w:tcPr>
          <w:p w14:paraId="02780EF5">
            <w:pPr>
              <w:pStyle w:val="71"/>
              <w:spacing w:before="24" w:after="24"/>
              <w:rPr>
                <w:rFonts w:cs="Times New Roman"/>
              </w:rPr>
            </w:pPr>
            <w:r>
              <w:rPr>
                <w:rFonts w:cs="Times New Roman"/>
              </w:rPr>
              <w:t>预装式箱式变电站（SCB14-10±2.5%/0.4kVD,Yn11Ud=6%）</w:t>
            </w:r>
          </w:p>
        </w:tc>
        <w:tc>
          <w:tcPr>
            <w:tcW w:w="952" w:type="pct"/>
            <w:vAlign w:val="center"/>
          </w:tcPr>
          <w:p w14:paraId="52E27D2F">
            <w:pPr>
              <w:pStyle w:val="71"/>
              <w:spacing w:before="24" w:after="24"/>
              <w:rPr>
                <w:rFonts w:cs="Times New Roman"/>
              </w:rPr>
            </w:pPr>
            <w:r>
              <w:rPr>
                <w:rFonts w:cs="Times New Roman"/>
              </w:rPr>
              <w:t>高压配电室</w:t>
            </w:r>
          </w:p>
        </w:tc>
      </w:tr>
      <w:tr w14:paraId="6BE78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12" w:type="pct"/>
            <w:vAlign w:val="center"/>
          </w:tcPr>
          <w:p w14:paraId="71312042">
            <w:pPr>
              <w:pStyle w:val="71"/>
              <w:spacing w:before="24" w:after="24"/>
              <w:rPr>
                <w:rFonts w:cs="Times New Roman"/>
              </w:rPr>
            </w:pPr>
            <w:r>
              <w:rPr>
                <w:rFonts w:cs="Times New Roman"/>
              </w:rPr>
              <w:t>8</w:t>
            </w:r>
          </w:p>
        </w:tc>
        <w:tc>
          <w:tcPr>
            <w:tcW w:w="685" w:type="pct"/>
            <w:vAlign w:val="center"/>
          </w:tcPr>
          <w:p w14:paraId="04AF8562">
            <w:pPr>
              <w:pStyle w:val="71"/>
              <w:spacing w:before="24" w:after="24"/>
              <w:rPr>
                <w:rFonts w:cs="Times New Roman"/>
              </w:rPr>
            </w:pPr>
            <w:r>
              <w:rPr>
                <w:rFonts w:cs="Times New Roman"/>
              </w:rPr>
              <w:t>配电系统</w:t>
            </w:r>
          </w:p>
        </w:tc>
        <w:tc>
          <w:tcPr>
            <w:tcW w:w="875" w:type="pct"/>
            <w:vAlign w:val="center"/>
          </w:tcPr>
          <w:p w14:paraId="5C9CA863">
            <w:pPr>
              <w:pStyle w:val="71"/>
              <w:spacing w:before="24" w:after="24"/>
              <w:rPr>
                <w:rFonts w:cs="Times New Roman"/>
              </w:rPr>
            </w:pPr>
            <w:r>
              <w:rPr>
                <w:rFonts w:cs="Times New Roman"/>
              </w:rPr>
              <w:t>柴油发电机组</w:t>
            </w:r>
          </w:p>
        </w:tc>
        <w:tc>
          <w:tcPr>
            <w:tcW w:w="2176" w:type="pct"/>
            <w:vAlign w:val="center"/>
          </w:tcPr>
          <w:p w14:paraId="00F4C91E">
            <w:pPr>
              <w:pStyle w:val="71"/>
              <w:spacing w:before="24" w:after="24"/>
              <w:rPr>
                <w:rFonts w:cs="Times New Roman"/>
              </w:rPr>
            </w:pPr>
            <w:r>
              <w:rPr>
                <w:rFonts w:cs="Times New Roman"/>
              </w:rPr>
              <w:t>规格按负荷计算书配置，选用合资及以上品牌尺寸</w:t>
            </w:r>
          </w:p>
        </w:tc>
        <w:tc>
          <w:tcPr>
            <w:tcW w:w="952" w:type="pct"/>
            <w:vAlign w:val="center"/>
          </w:tcPr>
          <w:p w14:paraId="49D42DA2">
            <w:pPr>
              <w:pStyle w:val="71"/>
              <w:spacing w:before="24" w:after="24"/>
              <w:rPr>
                <w:rFonts w:cs="Times New Roman"/>
              </w:rPr>
            </w:pPr>
            <w:r>
              <w:rPr>
                <w:rFonts w:cs="Times New Roman"/>
              </w:rPr>
              <w:t>柴油发电机房内</w:t>
            </w:r>
          </w:p>
        </w:tc>
      </w:tr>
      <w:tr w14:paraId="1C9A6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12" w:type="pct"/>
            <w:vAlign w:val="center"/>
          </w:tcPr>
          <w:p w14:paraId="2B342CEE">
            <w:pPr>
              <w:pStyle w:val="71"/>
              <w:spacing w:before="24" w:after="24"/>
              <w:rPr>
                <w:rFonts w:cs="Times New Roman"/>
              </w:rPr>
            </w:pPr>
            <w:r>
              <w:rPr>
                <w:rFonts w:cs="Times New Roman"/>
              </w:rPr>
              <w:t>9</w:t>
            </w:r>
          </w:p>
        </w:tc>
        <w:tc>
          <w:tcPr>
            <w:tcW w:w="685" w:type="pct"/>
            <w:vAlign w:val="center"/>
          </w:tcPr>
          <w:p w14:paraId="0BAC6255">
            <w:pPr>
              <w:pStyle w:val="71"/>
              <w:spacing w:before="24" w:after="24"/>
              <w:rPr>
                <w:rFonts w:cs="Times New Roman"/>
              </w:rPr>
            </w:pPr>
            <w:r>
              <w:rPr>
                <w:rFonts w:cs="Times New Roman"/>
              </w:rPr>
              <w:t>高压系统</w:t>
            </w:r>
          </w:p>
        </w:tc>
        <w:tc>
          <w:tcPr>
            <w:tcW w:w="875" w:type="pct"/>
            <w:vAlign w:val="center"/>
          </w:tcPr>
          <w:p w14:paraId="6F450F5F">
            <w:pPr>
              <w:pStyle w:val="71"/>
              <w:spacing w:before="24" w:after="24"/>
              <w:rPr>
                <w:rFonts w:cs="Times New Roman"/>
              </w:rPr>
            </w:pPr>
            <w:r>
              <w:rPr>
                <w:rFonts w:cs="Times New Roman"/>
              </w:rPr>
              <w:t>10kV进线柜</w:t>
            </w:r>
          </w:p>
        </w:tc>
        <w:tc>
          <w:tcPr>
            <w:tcW w:w="2176" w:type="pct"/>
            <w:vAlign w:val="center"/>
          </w:tcPr>
          <w:p w14:paraId="476BAE11">
            <w:pPr>
              <w:pStyle w:val="71"/>
              <w:spacing w:before="24" w:after="24"/>
              <w:rPr>
                <w:rFonts w:cs="Times New Roman"/>
              </w:rPr>
            </w:pPr>
            <w:r>
              <w:rPr>
                <w:rFonts w:cs="Times New Roman"/>
              </w:rPr>
              <w:t>XGN15-12,630A,真空断路器柜</w:t>
            </w:r>
          </w:p>
        </w:tc>
        <w:tc>
          <w:tcPr>
            <w:tcW w:w="952" w:type="pct"/>
            <w:vAlign w:val="center"/>
          </w:tcPr>
          <w:p w14:paraId="09019413">
            <w:pPr>
              <w:pStyle w:val="71"/>
              <w:spacing w:before="24" w:after="24"/>
              <w:rPr>
                <w:rFonts w:cs="Times New Roman"/>
              </w:rPr>
            </w:pPr>
            <w:r>
              <w:rPr>
                <w:rFonts w:cs="Times New Roman"/>
              </w:rPr>
              <w:t>高压配电室</w:t>
            </w:r>
          </w:p>
        </w:tc>
      </w:tr>
      <w:tr w14:paraId="27B99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12" w:type="pct"/>
            <w:vAlign w:val="center"/>
          </w:tcPr>
          <w:p w14:paraId="6A1B279A">
            <w:pPr>
              <w:pStyle w:val="71"/>
              <w:spacing w:before="24" w:after="24"/>
              <w:rPr>
                <w:rFonts w:cs="Times New Roman"/>
              </w:rPr>
            </w:pPr>
            <w:r>
              <w:rPr>
                <w:rFonts w:cs="Times New Roman"/>
              </w:rPr>
              <w:t>10</w:t>
            </w:r>
          </w:p>
        </w:tc>
        <w:tc>
          <w:tcPr>
            <w:tcW w:w="685" w:type="pct"/>
            <w:vAlign w:val="center"/>
          </w:tcPr>
          <w:p w14:paraId="2ECB3230">
            <w:pPr>
              <w:pStyle w:val="71"/>
              <w:spacing w:before="24" w:after="24"/>
              <w:rPr>
                <w:rFonts w:cs="Times New Roman"/>
              </w:rPr>
            </w:pPr>
            <w:r>
              <w:rPr>
                <w:rFonts w:cs="Times New Roman"/>
              </w:rPr>
              <w:t>高压系统</w:t>
            </w:r>
          </w:p>
        </w:tc>
        <w:tc>
          <w:tcPr>
            <w:tcW w:w="875" w:type="pct"/>
            <w:vAlign w:val="center"/>
          </w:tcPr>
          <w:p w14:paraId="44511CDA">
            <w:pPr>
              <w:pStyle w:val="71"/>
              <w:spacing w:before="24" w:after="24"/>
              <w:rPr>
                <w:rFonts w:cs="Times New Roman"/>
              </w:rPr>
            </w:pPr>
            <w:r>
              <w:rPr>
                <w:rFonts w:cs="Times New Roman"/>
              </w:rPr>
              <w:t>10kV-PT柜</w:t>
            </w:r>
          </w:p>
        </w:tc>
        <w:tc>
          <w:tcPr>
            <w:tcW w:w="2176" w:type="pct"/>
            <w:vAlign w:val="center"/>
          </w:tcPr>
          <w:p w14:paraId="76CCA09F">
            <w:pPr>
              <w:pStyle w:val="71"/>
              <w:spacing w:before="24" w:after="24"/>
              <w:rPr>
                <w:rFonts w:cs="Times New Roman"/>
              </w:rPr>
            </w:pPr>
            <w:r>
              <w:rPr>
                <w:rFonts w:cs="Times New Roman"/>
              </w:rPr>
              <w:t>XGN15-12,630A</w:t>
            </w:r>
          </w:p>
        </w:tc>
        <w:tc>
          <w:tcPr>
            <w:tcW w:w="952" w:type="pct"/>
            <w:vAlign w:val="center"/>
          </w:tcPr>
          <w:p w14:paraId="233AF444">
            <w:pPr>
              <w:pStyle w:val="71"/>
              <w:spacing w:before="24" w:after="24"/>
              <w:rPr>
                <w:rFonts w:cs="Times New Roman"/>
              </w:rPr>
            </w:pPr>
            <w:r>
              <w:rPr>
                <w:rFonts w:cs="Times New Roman"/>
              </w:rPr>
              <w:t>高压配电室</w:t>
            </w:r>
          </w:p>
        </w:tc>
      </w:tr>
      <w:tr w14:paraId="20E2D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jc w:val="center"/>
        </w:trPr>
        <w:tc>
          <w:tcPr>
            <w:tcW w:w="312" w:type="pct"/>
            <w:vAlign w:val="center"/>
          </w:tcPr>
          <w:p w14:paraId="16A0FC3E">
            <w:pPr>
              <w:pStyle w:val="71"/>
              <w:spacing w:before="24" w:after="24"/>
              <w:rPr>
                <w:rFonts w:cs="Times New Roman"/>
              </w:rPr>
            </w:pPr>
            <w:r>
              <w:rPr>
                <w:rFonts w:cs="Times New Roman"/>
              </w:rPr>
              <w:t>11</w:t>
            </w:r>
          </w:p>
        </w:tc>
        <w:tc>
          <w:tcPr>
            <w:tcW w:w="685" w:type="pct"/>
            <w:vAlign w:val="center"/>
          </w:tcPr>
          <w:p w14:paraId="38F9A220">
            <w:pPr>
              <w:pStyle w:val="71"/>
              <w:spacing w:before="24" w:after="24"/>
              <w:rPr>
                <w:rFonts w:cs="Times New Roman"/>
              </w:rPr>
            </w:pPr>
            <w:r>
              <w:rPr>
                <w:rFonts w:cs="Times New Roman"/>
              </w:rPr>
              <w:t>高压系统</w:t>
            </w:r>
          </w:p>
        </w:tc>
        <w:tc>
          <w:tcPr>
            <w:tcW w:w="875" w:type="pct"/>
            <w:vAlign w:val="center"/>
          </w:tcPr>
          <w:p w14:paraId="5BCD8A07">
            <w:pPr>
              <w:pStyle w:val="71"/>
              <w:spacing w:before="24" w:after="24"/>
              <w:rPr>
                <w:rFonts w:cs="Times New Roman"/>
              </w:rPr>
            </w:pPr>
            <w:r>
              <w:rPr>
                <w:rFonts w:cs="Times New Roman"/>
              </w:rPr>
              <w:t>10kV出线柜</w:t>
            </w:r>
          </w:p>
        </w:tc>
        <w:tc>
          <w:tcPr>
            <w:tcW w:w="2176" w:type="pct"/>
            <w:vAlign w:val="center"/>
          </w:tcPr>
          <w:p w14:paraId="773517AA">
            <w:pPr>
              <w:pStyle w:val="71"/>
              <w:spacing w:before="24" w:after="24"/>
              <w:rPr>
                <w:rFonts w:cs="Times New Roman"/>
              </w:rPr>
            </w:pPr>
            <w:r>
              <w:rPr>
                <w:rFonts w:cs="Times New Roman"/>
              </w:rPr>
              <w:t>XGN15-12,630A,真空断路器柜</w:t>
            </w:r>
          </w:p>
        </w:tc>
        <w:tc>
          <w:tcPr>
            <w:tcW w:w="952" w:type="pct"/>
            <w:vAlign w:val="center"/>
          </w:tcPr>
          <w:p w14:paraId="4AD9CEE4">
            <w:pPr>
              <w:pStyle w:val="71"/>
              <w:spacing w:before="24" w:after="24"/>
              <w:rPr>
                <w:rFonts w:cs="Times New Roman"/>
              </w:rPr>
            </w:pPr>
            <w:r>
              <w:rPr>
                <w:rFonts w:cs="Times New Roman"/>
              </w:rPr>
              <w:t>高压配电室</w:t>
            </w:r>
          </w:p>
        </w:tc>
      </w:tr>
      <w:tr w14:paraId="4DBD3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12" w:type="pct"/>
            <w:vAlign w:val="center"/>
          </w:tcPr>
          <w:p w14:paraId="3A5E9E9F">
            <w:pPr>
              <w:pStyle w:val="71"/>
              <w:spacing w:before="24" w:after="24"/>
              <w:rPr>
                <w:rFonts w:cs="Times New Roman"/>
              </w:rPr>
            </w:pPr>
            <w:r>
              <w:rPr>
                <w:rFonts w:cs="Times New Roman"/>
              </w:rPr>
              <w:t>12</w:t>
            </w:r>
          </w:p>
        </w:tc>
        <w:tc>
          <w:tcPr>
            <w:tcW w:w="685" w:type="pct"/>
            <w:vAlign w:val="center"/>
          </w:tcPr>
          <w:p w14:paraId="5AF807C3">
            <w:pPr>
              <w:pStyle w:val="71"/>
              <w:spacing w:before="24" w:after="24"/>
              <w:rPr>
                <w:rFonts w:cs="Times New Roman"/>
              </w:rPr>
            </w:pPr>
            <w:r>
              <w:rPr>
                <w:rFonts w:cs="Times New Roman"/>
              </w:rPr>
              <w:t>高压系统</w:t>
            </w:r>
          </w:p>
        </w:tc>
        <w:tc>
          <w:tcPr>
            <w:tcW w:w="875" w:type="pct"/>
            <w:vAlign w:val="center"/>
          </w:tcPr>
          <w:p w14:paraId="784EA10C">
            <w:pPr>
              <w:pStyle w:val="71"/>
              <w:spacing w:before="24" w:after="24"/>
              <w:rPr>
                <w:rFonts w:cs="Times New Roman"/>
              </w:rPr>
            </w:pPr>
            <w:r>
              <w:rPr>
                <w:rFonts w:cs="Times New Roman"/>
              </w:rPr>
              <w:t>10kV母联柜</w:t>
            </w:r>
          </w:p>
        </w:tc>
        <w:tc>
          <w:tcPr>
            <w:tcW w:w="2176" w:type="pct"/>
            <w:vAlign w:val="center"/>
          </w:tcPr>
          <w:p w14:paraId="7B85480F">
            <w:pPr>
              <w:pStyle w:val="71"/>
              <w:spacing w:before="24" w:after="24"/>
              <w:rPr>
                <w:rFonts w:cs="Times New Roman"/>
              </w:rPr>
            </w:pPr>
            <w:r>
              <w:rPr>
                <w:rFonts w:cs="Times New Roman"/>
              </w:rPr>
              <w:t>XGN15-12,630A</w:t>
            </w:r>
          </w:p>
        </w:tc>
        <w:tc>
          <w:tcPr>
            <w:tcW w:w="952" w:type="pct"/>
            <w:vAlign w:val="center"/>
          </w:tcPr>
          <w:p w14:paraId="432A6DA5">
            <w:pPr>
              <w:pStyle w:val="71"/>
              <w:spacing w:before="24" w:after="24"/>
              <w:rPr>
                <w:rFonts w:cs="Times New Roman"/>
              </w:rPr>
            </w:pPr>
            <w:r>
              <w:rPr>
                <w:rFonts w:cs="Times New Roman"/>
              </w:rPr>
              <w:t>高压配电室</w:t>
            </w:r>
          </w:p>
        </w:tc>
      </w:tr>
      <w:tr w14:paraId="6674B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12" w:type="pct"/>
            <w:vAlign w:val="center"/>
          </w:tcPr>
          <w:p w14:paraId="6F43311E">
            <w:pPr>
              <w:pStyle w:val="71"/>
              <w:spacing w:before="24" w:after="24"/>
              <w:rPr>
                <w:rFonts w:cs="Times New Roman"/>
              </w:rPr>
            </w:pPr>
            <w:r>
              <w:rPr>
                <w:rFonts w:cs="Times New Roman"/>
              </w:rPr>
              <w:t>13</w:t>
            </w:r>
          </w:p>
        </w:tc>
        <w:tc>
          <w:tcPr>
            <w:tcW w:w="685" w:type="pct"/>
            <w:vAlign w:val="center"/>
          </w:tcPr>
          <w:p w14:paraId="7FC033F8">
            <w:pPr>
              <w:pStyle w:val="71"/>
              <w:spacing w:before="24" w:after="24"/>
              <w:rPr>
                <w:rFonts w:cs="Times New Roman"/>
              </w:rPr>
            </w:pPr>
            <w:r>
              <w:rPr>
                <w:rFonts w:cs="Times New Roman"/>
              </w:rPr>
              <w:t>低压系统</w:t>
            </w:r>
          </w:p>
        </w:tc>
        <w:tc>
          <w:tcPr>
            <w:tcW w:w="875" w:type="pct"/>
            <w:vAlign w:val="center"/>
          </w:tcPr>
          <w:p w14:paraId="0B96BCD7">
            <w:pPr>
              <w:pStyle w:val="71"/>
              <w:spacing w:before="24" w:after="24"/>
              <w:rPr>
                <w:rFonts w:cs="Times New Roman"/>
              </w:rPr>
            </w:pPr>
            <w:r>
              <w:rPr>
                <w:rFonts w:cs="Times New Roman"/>
              </w:rPr>
              <w:t>0.4kV进线柜</w:t>
            </w:r>
          </w:p>
        </w:tc>
        <w:tc>
          <w:tcPr>
            <w:tcW w:w="2176" w:type="pct"/>
            <w:vAlign w:val="center"/>
          </w:tcPr>
          <w:p w14:paraId="30D72E71">
            <w:pPr>
              <w:pStyle w:val="71"/>
              <w:spacing w:before="24" w:after="24"/>
              <w:rPr>
                <w:rFonts w:cs="Times New Roman"/>
              </w:rPr>
            </w:pPr>
            <w:r>
              <w:rPr>
                <w:rFonts w:cs="Times New Roman"/>
              </w:rPr>
              <w:t>GCS柜</w:t>
            </w:r>
          </w:p>
        </w:tc>
        <w:tc>
          <w:tcPr>
            <w:tcW w:w="952" w:type="pct"/>
            <w:vAlign w:val="center"/>
          </w:tcPr>
          <w:p w14:paraId="4A1D7094">
            <w:pPr>
              <w:pStyle w:val="71"/>
              <w:spacing w:before="24" w:after="24"/>
              <w:rPr>
                <w:rFonts w:cs="Times New Roman"/>
              </w:rPr>
            </w:pPr>
            <w:r>
              <w:rPr>
                <w:rFonts w:cs="Times New Roman"/>
              </w:rPr>
              <w:t>低压配电室</w:t>
            </w:r>
          </w:p>
        </w:tc>
      </w:tr>
      <w:tr w14:paraId="7DD1E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12" w:type="pct"/>
            <w:vAlign w:val="center"/>
          </w:tcPr>
          <w:p w14:paraId="273E80C6">
            <w:pPr>
              <w:pStyle w:val="71"/>
              <w:spacing w:before="24" w:after="24"/>
              <w:rPr>
                <w:rFonts w:cs="Times New Roman"/>
              </w:rPr>
            </w:pPr>
            <w:r>
              <w:rPr>
                <w:rFonts w:cs="Times New Roman"/>
              </w:rPr>
              <w:t>14</w:t>
            </w:r>
          </w:p>
        </w:tc>
        <w:tc>
          <w:tcPr>
            <w:tcW w:w="685" w:type="pct"/>
            <w:vAlign w:val="center"/>
          </w:tcPr>
          <w:p w14:paraId="23DEFF54">
            <w:pPr>
              <w:pStyle w:val="71"/>
              <w:spacing w:before="24" w:after="24"/>
              <w:rPr>
                <w:rFonts w:cs="Times New Roman"/>
              </w:rPr>
            </w:pPr>
            <w:r>
              <w:rPr>
                <w:rFonts w:cs="Times New Roman"/>
              </w:rPr>
              <w:t>低压系统</w:t>
            </w:r>
          </w:p>
        </w:tc>
        <w:tc>
          <w:tcPr>
            <w:tcW w:w="875" w:type="pct"/>
            <w:vAlign w:val="center"/>
          </w:tcPr>
          <w:p w14:paraId="3CF5F35C">
            <w:pPr>
              <w:pStyle w:val="71"/>
              <w:spacing w:before="24" w:after="24"/>
              <w:rPr>
                <w:rFonts w:cs="Times New Roman"/>
              </w:rPr>
            </w:pPr>
            <w:r>
              <w:rPr>
                <w:rFonts w:cs="Times New Roman"/>
              </w:rPr>
              <w:t>0.4kV出线柜</w:t>
            </w:r>
          </w:p>
        </w:tc>
        <w:tc>
          <w:tcPr>
            <w:tcW w:w="2176" w:type="pct"/>
            <w:vAlign w:val="center"/>
          </w:tcPr>
          <w:p w14:paraId="4285F2F4">
            <w:pPr>
              <w:pStyle w:val="71"/>
              <w:spacing w:before="24" w:after="24"/>
              <w:rPr>
                <w:rFonts w:cs="Times New Roman"/>
              </w:rPr>
            </w:pPr>
            <w:r>
              <w:rPr>
                <w:rFonts w:cs="Times New Roman"/>
              </w:rPr>
              <w:t>GCS柜</w:t>
            </w:r>
          </w:p>
        </w:tc>
        <w:tc>
          <w:tcPr>
            <w:tcW w:w="952" w:type="pct"/>
            <w:vAlign w:val="center"/>
          </w:tcPr>
          <w:p w14:paraId="27C64F03">
            <w:pPr>
              <w:pStyle w:val="71"/>
              <w:spacing w:before="24" w:after="24"/>
              <w:rPr>
                <w:rFonts w:cs="Times New Roman"/>
              </w:rPr>
            </w:pPr>
            <w:r>
              <w:rPr>
                <w:rFonts w:cs="Times New Roman"/>
              </w:rPr>
              <w:t>低压配电室</w:t>
            </w:r>
          </w:p>
        </w:tc>
      </w:tr>
      <w:tr w14:paraId="5D9B1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12" w:type="pct"/>
            <w:vAlign w:val="center"/>
          </w:tcPr>
          <w:p w14:paraId="799C7E6D">
            <w:pPr>
              <w:pStyle w:val="71"/>
              <w:spacing w:before="24" w:after="24"/>
              <w:rPr>
                <w:rFonts w:cs="Times New Roman"/>
              </w:rPr>
            </w:pPr>
            <w:r>
              <w:rPr>
                <w:rFonts w:cs="Times New Roman"/>
              </w:rPr>
              <w:t>15</w:t>
            </w:r>
          </w:p>
        </w:tc>
        <w:tc>
          <w:tcPr>
            <w:tcW w:w="685" w:type="pct"/>
            <w:vAlign w:val="center"/>
          </w:tcPr>
          <w:p w14:paraId="03AB1B34">
            <w:pPr>
              <w:pStyle w:val="71"/>
              <w:spacing w:before="24" w:after="24"/>
              <w:rPr>
                <w:rFonts w:cs="Times New Roman"/>
              </w:rPr>
            </w:pPr>
            <w:r>
              <w:rPr>
                <w:rFonts w:cs="Times New Roman"/>
              </w:rPr>
              <w:t>低压系统</w:t>
            </w:r>
          </w:p>
        </w:tc>
        <w:tc>
          <w:tcPr>
            <w:tcW w:w="875" w:type="pct"/>
            <w:vAlign w:val="center"/>
          </w:tcPr>
          <w:p w14:paraId="563F5A41">
            <w:pPr>
              <w:pStyle w:val="71"/>
              <w:spacing w:before="24" w:after="24"/>
              <w:rPr>
                <w:rFonts w:cs="Times New Roman"/>
              </w:rPr>
            </w:pPr>
            <w:r>
              <w:rPr>
                <w:rFonts w:cs="Times New Roman"/>
              </w:rPr>
              <w:t>0.4kV补偿柜</w:t>
            </w:r>
          </w:p>
        </w:tc>
        <w:tc>
          <w:tcPr>
            <w:tcW w:w="2176" w:type="pct"/>
            <w:vAlign w:val="center"/>
          </w:tcPr>
          <w:p w14:paraId="57764A93">
            <w:pPr>
              <w:pStyle w:val="71"/>
              <w:spacing w:before="24" w:after="24"/>
              <w:rPr>
                <w:rFonts w:cs="Times New Roman"/>
              </w:rPr>
            </w:pPr>
            <w:r>
              <w:rPr>
                <w:rFonts w:cs="Times New Roman"/>
              </w:rPr>
              <w:t>GCS柜</w:t>
            </w:r>
          </w:p>
        </w:tc>
        <w:tc>
          <w:tcPr>
            <w:tcW w:w="952" w:type="pct"/>
            <w:vAlign w:val="center"/>
          </w:tcPr>
          <w:p w14:paraId="7017D6DF">
            <w:pPr>
              <w:pStyle w:val="71"/>
              <w:spacing w:before="24" w:after="24"/>
              <w:rPr>
                <w:rFonts w:cs="Times New Roman"/>
              </w:rPr>
            </w:pPr>
            <w:r>
              <w:rPr>
                <w:rFonts w:cs="Times New Roman"/>
              </w:rPr>
              <w:t>低压配电室</w:t>
            </w:r>
          </w:p>
        </w:tc>
      </w:tr>
      <w:tr w14:paraId="402E4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12" w:type="pct"/>
            <w:vAlign w:val="center"/>
          </w:tcPr>
          <w:p w14:paraId="20F3FDE9">
            <w:pPr>
              <w:pStyle w:val="71"/>
              <w:spacing w:before="24" w:after="24"/>
              <w:rPr>
                <w:rFonts w:cs="Times New Roman"/>
              </w:rPr>
            </w:pPr>
            <w:r>
              <w:rPr>
                <w:rFonts w:cs="Times New Roman"/>
              </w:rPr>
              <w:t>16</w:t>
            </w:r>
          </w:p>
        </w:tc>
        <w:tc>
          <w:tcPr>
            <w:tcW w:w="685" w:type="pct"/>
            <w:vAlign w:val="center"/>
          </w:tcPr>
          <w:p w14:paraId="4B6090EF">
            <w:pPr>
              <w:pStyle w:val="71"/>
              <w:spacing w:before="24" w:after="24"/>
              <w:rPr>
                <w:rFonts w:cs="Times New Roman"/>
              </w:rPr>
            </w:pPr>
            <w:r>
              <w:rPr>
                <w:rFonts w:cs="Times New Roman"/>
              </w:rPr>
              <w:t>低压系统</w:t>
            </w:r>
          </w:p>
        </w:tc>
        <w:tc>
          <w:tcPr>
            <w:tcW w:w="875" w:type="pct"/>
            <w:vAlign w:val="center"/>
          </w:tcPr>
          <w:p w14:paraId="52A510FE">
            <w:pPr>
              <w:pStyle w:val="71"/>
              <w:spacing w:before="24" w:after="24"/>
              <w:rPr>
                <w:rFonts w:cs="Times New Roman"/>
              </w:rPr>
            </w:pPr>
            <w:r>
              <w:rPr>
                <w:rFonts w:cs="Times New Roman"/>
              </w:rPr>
              <w:t>0.4kV母联柜</w:t>
            </w:r>
          </w:p>
        </w:tc>
        <w:tc>
          <w:tcPr>
            <w:tcW w:w="2176" w:type="pct"/>
            <w:vAlign w:val="center"/>
          </w:tcPr>
          <w:p w14:paraId="2189B6E5">
            <w:pPr>
              <w:pStyle w:val="71"/>
              <w:spacing w:before="24" w:after="24"/>
              <w:rPr>
                <w:rFonts w:cs="Times New Roman"/>
              </w:rPr>
            </w:pPr>
            <w:r>
              <w:rPr>
                <w:rFonts w:cs="Times New Roman"/>
              </w:rPr>
              <w:t>GCS柜</w:t>
            </w:r>
          </w:p>
        </w:tc>
        <w:tc>
          <w:tcPr>
            <w:tcW w:w="952" w:type="pct"/>
            <w:vAlign w:val="center"/>
          </w:tcPr>
          <w:p w14:paraId="3B3A21C5">
            <w:pPr>
              <w:pStyle w:val="71"/>
              <w:spacing w:before="24" w:after="24"/>
              <w:rPr>
                <w:rFonts w:cs="Times New Roman"/>
              </w:rPr>
            </w:pPr>
            <w:r>
              <w:rPr>
                <w:rFonts w:cs="Times New Roman"/>
              </w:rPr>
              <w:t>低压配电室</w:t>
            </w:r>
          </w:p>
        </w:tc>
      </w:tr>
      <w:tr w14:paraId="5A2BA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jc w:val="center"/>
        </w:trPr>
        <w:tc>
          <w:tcPr>
            <w:tcW w:w="312" w:type="pct"/>
            <w:vAlign w:val="center"/>
          </w:tcPr>
          <w:p w14:paraId="4B5A0D72">
            <w:pPr>
              <w:pStyle w:val="71"/>
              <w:spacing w:before="24" w:after="24"/>
              <w:rPr>
                <w:rFonts w:cs="Times New Roman"/>
              </w:rPr>
            </w:pPr>
            <w:r>
              <w:rPr>
                <w:rFonts w:cs="Times New Roman"/>
              </w:rPr>
              <w:t>17</w:t>
            </w:r>
          </w:p>
        </w:tc>
        <w:tc>
          <w:tcPr>
            <w:tcW w:w="685" w:type="pct"/>
            <w:vAlign w:val="center"/>
          </w:tcPr>
          <w:p w14:paraId="58C2BE81">
            <w:pPr>
              <w:pStyle w:val="71"/>
              <w:spacing w:before="24" w:after="24"/>
              <w:rPr>
                <w:rFonts w:cs="Times New Roman"/>
              </w:rPr>
            </w:pPr>
            <w:r>
              <w:rPr>
                <w:rFonts w:cs="Times New Roman"/>
              </w:rPr>
              <w:t>低压系统</w:t>
            </w:r>
          </w:p>
        </w:tc>
        <w:tc>
          <w:tcPr>
            <w:tcW w:w="875" w:type="pct"/>
            <w:vAlign w:val="center"/>
          </w:tcPr>
          <w:p w14:paraId="421350E0">
            <w:pPr>
              <w:pStyle w:val="71"/>
              <w:spacing w:before="24" w:after="24"/>
              <w:rPr>
                <w:rFonts w:cs="Times New Roman"/>
              </w:rPr>
            </w:pPr>
            <w:r>
              <w:rPr>
                <w:rFonts w:cs="Times New Roman"/>
              </w:rPr>
              <w:t>插接母线</w:t>
            </w:r>
          </w:p>
        </w:tc>
        <w:tc>
          <w:tcPr>
            <w:tcW w:w="2176" w:type="pct"/>
            <w:vAlign w:val="center"/>
          </w:tcPr>
          <w:p w14:paraId="7A127E6F">
            <w:pPr>
              <w:pStyle w:val="71"/>
              <w:spacing w:before="24" w:after="24"/>
              <w:jc w:val="both"/>
              <w:rPr>
                <w:rFonts w:cs="Times New Roman"/>
              </w:rPr>
            </w:pPr>
            <w:r>
              <w:rPr>
                <w:rFonts w:cs="Times New Roman"/>
              </w:rPr>
              <w:t>密集型封闭式插接母线/5P，0.4kV,IP34</w:t>
            </w:r>
          </w:p>
        </w:tc>
        <w:tc>
          <w:tcPr>
            <w:tcW w:w="952" w:type="pct"/>
            <w:vAlign w:val="center"/>
          </w:tcPr>
          <w:p w14:paraId="32895918">
            <w:pPr>
              <w:pStyle w:val="71"/>
              <w:spacing w:before="24" w:after="24"/>
              <w:rPr>
                <w:rFonts w:cs="Times New Roman"/>
              </w:rPr>
            </w:pPr>
            <w:r>
              <w:rPr>
                <w:rFonts w:cs="Times New Roman"/>
              </w:rPr>
              <w:t>低压配电室</w:t>
            </w:r>
          </w:p>
        </w:tc>
      </w:tr>
      <w:tr w14:paraId="39FBD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12" w:type="pct"/>
            <w:vAlign w:val="center"/>
          </w:tcPr>
          <w:p w14:paraId="58F5F443">
            <w:pPr>
              <w:pStyle w:val="71"/>
              <w:spacing w:before="24" w:after="24"/>
              <w:rPr>
                <w:rFonts w:cs="Times New Roman"/>
              </w:rPr>
            </w:pPr>
            <w:r>
              <w:rPr>
                <w:rFonts w:cs="Times New Roman"/>
              </w:rPr>
              <w:t>18</w:t>
            </w:r>
          </w:p>
        </w:tc>
        <w:tc>
          <w:tcPr>
            <w:tcW w:w="685" w:type="pct"/>
            <w:vAlign w:val="center"/>
          </w:tcPr>
          <w:p w14:paraId="6EA89E5B">
            <w:pPr>
              <w:pStyle w:val="71"/>
              <w:spacing w:before="24" w:after="24"/>
              <w:rPr>
                <w:rFonts w:cs="Times New Roman"/>
              </w:rPr>
            </w:pPr>
            <w:r>
              <w:rPr>
                <w:rFonts w:cs="Times New Roman"/>
              </w:rPr>
              <w:t>低压系统</w:t>
            </w:r>
          </w:p>
        </w:tc>
        <w:tc>
          <w:tcPr>
            <w:tcW w:w="875" w:type="pct"/>
            <w:vAlign w:val="center"/>
          </w:tcPr>
          <w:p w14:paraId="55CFF81A">
            <w:pPr>
              <w:pStyle w:val="71"/>
              <w:spacing w:before="24" w:after="24"/>
              <w:rPr>
                <w:rFonts w:cs="Times New Roman"/>
              </w:rPr>
            </w:pPr>
            <w:r>
              <w:rPr>
                <w:rFonts w:cs="Times New Roman"/>
              </w:rPr>
              <w:t>插接母线</w:t>
            </w:r>
          </w:p>
        </w:tc>
        <w:tc>
          <w:tcPr>
            <w:tcW w:w="2176" w:type="pct"/>
            <w:vAlign w:val="center"/>
          </w:tcPr>
          <w:p w14:paraId="266DDEC7">
            <w:pPr>
              <w:pStyle w:val="71"/>
              <w:spacing w:before="24" w:after="24"/>
              <w:jc w:val="both"/>
              <w:rPr>
                <w:rFonts w:cs="Times New Roman"/>
              </w:rPr>
            </w:pPr>
            <w:r>
              <w:rPr>
                <w:rFonts w:cs="Times New Roman"/>
              </w:rPr>
              <w:t>密集型封闭式插接母线/5P，0.4kV,IP55</w:t>
            </w:r>
          </w:p>
        </w:tc>
        <w:tc>
          <w:tcPr>
            <w:tcW w:w="952" w:type="pct"/>
            <w:vAlign w:val="center"/>
          </w:tcPr>
          <w:p w14:paraId="60085042">
            <w:pPr>
              <w:pStyle w:val="71"/>
              <w:spacing w:before="24" w:after="24"/>
              <w:rPr>
                <w:rFonts w:cs="Times New Roman"/>
              </w:rPr>
            </w:pPr>
            <w:r>
              <w:rPr>
                <w:rFonts w:cs="Times New Roman"/>
              </w:rPr>
              <w:t>设置喷淋的地下室</w:t>
            </w:r>
          </w:p>
        </w:tc>
      </w:tr>
      <w:tr w14:paraId="7A6F8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12" w:type="pct"/>
            <w:vAlign w:val="center"/>
          </w:tcPr>
          <w:p w14:paraId="0D7DCC4E">
            <w:pPr>
              <w:pStyle w:val="71"/>
              <w:spacing w:before="24" w:after="24"/>
              <w:rPr>
                <w:rFonts w:cs="Times New Roman"/>
              </w:rPr>
            </w:pPr>
            <w:r>
              <w:rPr>
                <w:rFonts w:cs="Times New Roman"/>
              </w:rPr>
              <w:t>19</w:t>
            </w:r>
          </w:p>
        </w:tc>
        <w:tc>
          <w:tcPr>
            <w:tcW w:w="685" w:type="pct"/>
            <w:vAlign w:val="center"/>
          </w:tcPr>
          <w:p w14:paraId="2E139132">
            <w:pPr>
              <w:pStyle w:val="71"/>
              <w:spacing w:before="24" w:after="24"/>
              <w:rPr>
                <w:rFonts w:cs="Times New Roman"/>
              </w:rPr>
            </w:pPr>
            <w:r>
              <w:rPr>
                <w:rFonts w:cs="Times New Roman"/>
              </w:rPr>
              <w:t>高压系统</w:t>
            </w:r>
          </w:p>
        </w:tc>
        <w:tc>
          <w:tcPr>
            <w:tcW w:w="875" w:type="pct"/>
            <w:vAlign w:val="center"/>
          </w:tcPr>
          <w:p w14:paraId="3FB6023B">
            <w:pPr>
              <w:pStyle w:val="71"/>
              <w:spacing w:before="24" w:after="24"/>
              <w:rPr>
                <w:rFonts w:cs="Times New Roman"/>
              </w:rPr>
            </w:pPr>
            <w:r>
              <w:rPr>
                <w:rFonts w:cs="Times New Roman"/>
              </w:rPr>
              <w:t>10kV电力电缆</w:t>
            </w:r>
          </w:p>
        </w:tc>
        <w:tc>
          <w:tcPr>
            <w:tcW w:w="2176" w:type="pct"/>
            <w:vAlign w:val="center"/>
          </w:tcPr>
          <w:p w14:paraId="44806DD2">
            <w:pPr>
              <w:pStyle w:val="71"/>
              <w:spacing w:before="24" w:after="24"/>
              <w:jc w:val="both"/>
              <w:rPr>
                <w:rFonts w:cs="Times New Roman"/>
              </w:rPr>
            </w:pPr>
            <w:r>
              <w:rPr>
                <w:rFonts w:cs="Times New Roman"/>
              </w:rPr>
              <w:t>ZB-YJV-8.7/15kV，另需满足当地供电局要求</w:t>
            </w:r>
          </w:p>
        </w:tc>
        <w:tc>
          <w:tcPr>
            <w:tcW w:w="952" w:type="pct"/>
            <w:vAlign w:val="center"/>
          </w:tcPr>
          <w:p w14:paraId="0E01E9B5">
            <w:pPr>
              <w:pStyle w:val="71"/>
              <w:spacing w:before="24" w:after="24"/>
              <w:rPr>
                <w:rFonts w:cs="Times New Roman"/>
              </w:rPr>
            </w:pPr>
            <w:r>
              <w:rPr>
                <w:rFonts w:cs="Times New Roman"/>
              </w:rPr>
              <w:t>高压配电系统</w:t>
            </w:r>
          </w:p>
        </w:tc>
      </w:tr>
      <w:tr w14:paraId="6C3F7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12" w:type="pct"/>
            <w:vAlign w:val="center"/>
          </w:tcPr>
          <w:p w14:paraId="2352AADD">
            <w:pPr>
              <w:pStyle w:val="71"/>
              <w:spacing w:before="24" w:after="24"/>
              <w:rPr>
                <w:rFonts w:cs="Times New Roman"/>
              </w:rPr>
            </w:pPr>
            <w:r>
              <w:rPr>
                <w:rFonts w:cs="Times New Roman"/>
              </w:rPr>
              <w:t>20</w:t>
            </w:r>
          </w:p>
        </w:tc>
        <w:tc>
          <w:tcPr>
            <w:tcW w:w="685" w:type="pct"/>
            <w:vAlign w:val="center"/>
          </w:tcPr>
          <w:p w14:paraId="3571A78B">
            <w:pPr>
              <w:pStyle w:val="71"/>
              <w:spacing w:before="24" w:after="24"/>
              <w:rPr>
                <w:rFonts w:cs="Times New Roman"/>
              </w:rPr>
            </w:pPr>
            <w:r>
              <w:rPr>
                <w:rFonts w:cs="Times New Roman"/>
              </w:rPr>
              <w:t>高压系统</w:t>
            </w:r>
          </w:p>
        </w:tc>
        <w:tc>
          <w:tcPr>
            <w:tcW w:w="875" w:type="pct"/>
            <w:vAlign w:val="center"/>
          </w:tcPr>
          <w:p w14:paraId="64354F5E">
            <w:pPr>
              <w:pStyle w:val="71"/>
              <w:spacing w:before="24" w:after="24"/>
              <w:rPr>
                <w:rFonts w:cs="Times New Roman"/>
              </w:rPr>
            </w:pPr>
            <w:r>
              <w:rPr>
                <w:rFonts w:cs="Times New Roman"/>
              </w:rPr>
              <w:t>10kV电缆桥架</w:t>
            </w:r>
          </w:p>
        </w:tc>
        <w:tc>
          <w:tcPr>
            <w:tcW w:w="2176" w:type="pct"/>
            <w:vAlign w:val="center"/>
          </w:tcPr>
          <w:p w14:paraId="6C32BB1D">
            <w:pPr>
              <w:pStyle w:val="71"/>
              <w:spacing w:before="24" w:after="24"/>
              <w:jc w:val="both"/>
              <w:rPr>
                <w:rFonts w:cs="Times New Roman"/>
              </w:rPr>
            </w:pPr>
            <w:r>
              <w:rPr>
                <w:rFonts w:cs="Times New Roman"/>
              </w:rPr>
              <w:t>槽式钢制封闭电缆桥架，另需满足当地供电局要求</w:t>
            </w:r>
          </w:p>
        </w:tc>
        <w:tc>
          <w:tcPr>
            <w:tcW w:w="952" w:type="pct"/>
            <w:vAlign w:val="center"/>
          </w:tcPr>
          <w:p w14:paraId="71412BF0">
            <w:pPr>
              <w:pStyle w:val="71"/>
              <w:spacing w:before="24" w:after="24"/>
              <w:rPr>
                <w:rFonts w:cs="Times New Roman"/>
              </w:rPr>
            </w:pPr>
            <w:r>
              <w:rPr>
                <w:rFonts w:cs="Times New Roman"/>
              </w:rPr>
              <w:t>地下室内</w:t>
            </w:r>
          </w:p>
        </w:tc>
      </w:tr>
      <w:tr w14:paraId="743DE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12" w:type="pct"/>
            <w:vAlign w:val="center"/>
          </w:tcPr>
          <w:p w14:paraId="5B03F3E8">
            <w:pPr>
              <w:pStyle w:val="71"/>
              <w:spacing w:before="24" w:after="24"/>
              <w:rPr>
                <w:rFonts w:cs="Times New Roman"/>
              </w:rPr>
            </w:pPr>
            <w:r>
              <w:rPr>
                <w:rFonts w:cs="Times New Roman"/>
              </w:rPr>
              <w:t>21</w:t>
            </w:r>
          </w:p>
        </w:tc>
        <w:tc>
          <w:tcPr>
            <w:tcW w:w="685" w:type="pct"/>
            <w:vAlign w:val="center"/>
          </w:tcPr>
          <w:p w14:paraId="41B0EF03">
            <w:pPr>
              <w:pStyle w:val="71"/>
              <w:spacing w:before="24" w:after="24"/>
              <w:rPr>
                <w:rFonts w:cs="Times New Roman"/>
              </w:rPr>
            </w:pPr>
            <w:r>
              <w:rPr>
                <w:rFonts w:cs="Times New Roman"/>
              </w:rPr>
              <w:t>景观照明系统</w:t>
            </w:r>
          </w:p>
        </w:tc>
        <w:tc>
          <w:tcPr>
            <w:tcW w:w="875" w:type="pct"/>
            <w:vAlign w:val="center"/>
          </w:tcPr>
          <w:p w14:paraId="3BCE16DD">
            <w:pPr>
              <w:pStyle w:val="71"/>
              <w:spacing w:before="24" w:after="24"/>
              <w:rPr>
                <w:rFonts w:cs="Times New Roman"/>
              </w:rPr>
            </w:pPr>
            <w:r>
              <w:rPr>
                <w:rFonts w:cs="Times New Roman"/>
              </w:rPr>
              <w:t>0.4kV低压电缆</w:t>
            </w:r>
          </w:p>
        </w:tc>
        <w:tc>
          <w:tcPr>
            <w:tcW w:w="2176" w:type="pct"/>
            <w:vAlign w:val="center"/>
          </w:tcPr>
          <w:p w14:paraId="6C4FEEC7">
            <w:pPr>
              <w:pStyle w:val="71"/>
              <w:spacing w:before="24" w:after="24"/>
              <w:rPr>
                <w:rFonts w:cs="Times New Roman"/>
              </w:rPr>
            </w:pPr>
            <w:r>
              <w:rPr>
                <w:rFonts w:cs="Times New Roman"/>
              </w:rPr>
              <w:t>根据景观照明设计图所需规格</w:t>
            </w:r>
          </w:p>
        </w:tc>
        <w:tc>
          <w:tcPr>
            <w:tcW w:w="952" w:type="pct"/>
            <w:vAlign w:val="center"/>
          </w:tcPr>
          <w:p w14:paraId="518847F8">
            <w:pPr>
              <w:pStyle w:val="71"/>
              <w:spacing w:before="24" w:after="24"/>
              <w:rPr>
                <w:rFonts w:cs="Times New Roman"/>
              </w:rPr>
            </w:pPr>
            <w:r>
              <w:rPr>
                <w:rFonts w:cs="Times New Roman"/>
              </w:rPr>
              <w:t>室外景观路灯线缆</w:t>
            </w:r>
          </w:p>
        </w:tc>
      </w:tr>
      <w:tr w14:paraId="2ED14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12" w:type="pct"/>
            <w:vAlign w:val="center"/>
          </w:tcPr>
          <w:p w14:paraId="052F565C">
            <w:pPr>
              <w:pStyle w:val="71"/>
              <w:spacing w:before="24" w:after="24"/>
              <w:rPr>
                <w:rFonts w:cs="Times New Roman"/>
              </w:rPr>
            </w:pPr>
            <w:r>
              <w:rPr>
                <w:rFonts w:cs="Times New Roman"/>
              </w:rPr>
              <w:t>22</w:t>
            </w:r>
          </w:p>
        </w:tc>
        <w:tc>
          <w:tcPr>
            <w:tcW w:w="685" w:type="pct"/>
            <w:vAlign w:val="center"/>
          </w:tcPr>
          <w:p w14:paraId="0410ACD1">
            <w:pPr>
              <w:pStyle w:val="71"/>
              <w:spacing w:before="24" w:after="24"/>
              <w:rPr>
                <w:rFonts w:cs="Times New Roman"/>
              </w:rPr>
            </w:pPr>
            <w:r>
              <w:rPr>
                <w:rFonts w:cs="Times New Roman"/>
              </w:rPr>
              <w:t>景观照明系统</w:t>
            </w:r>
          </w:p>
        </w:tc>
        <w:tc>
          <w:tcPr>
            <w:tcW w:w="875" w:type="pct"/>
            <w:vAlign w:val="center"/>
          </w:tcPr>
          <w:p w14:paraId="0EC2738B">
            <w:pPr>
              <w:pStyle w:val="71"/>
              <w:spacing w:before="24" w:after="24"/>
              <w:rPr>
                <w:rFonts w:cs="Times New Roman"/>
              </w:rPr>
            </w:pPr>
            <w:r>
              <w:rPr>
                <w:rFonts w:cs="Times New Roman"/>
              </w:rPr>
              <w:t>低压BV电线</w:t>
            </w:r>
          </w:p>
        </w:tc>
        <w:tc>
          <w:tcPr>
            <w:tcW w:w="2176" w:type="pct"/>
            <w:vAlign w:val="center"/>
          </w:tcPr>
          <w:p w14:paraId="54D75604">
            <w:pPr>
              <w:pStyle w:val="71"/>
              <w:spacing w:before="24" w:after="24"/>
              <w:rPr>
                <w:rFonts w:cs="Times New Roman"/>
              </w:rPr>
            </w:pPr>
            <w:r>
              <w:rPr>
                <w:rFonts w:cs="Times New Roman"/>
              </w:rPr>
              <w:t>根据景观照明设计图所需规格</w:t>
            </w:r>
          </w:p>
        </w:tc>
        <w:tc>
          <w:tcPr>
            <w:tcW w:w="952" w:type="pct"/>
            <w:vAlign w:val="center"/>
          </w:tcPr>
          <w:p w14:paraId="640BABF8">
            <w:pPr>
              <w:pStyle w:val="71"/>
              <w:spacing w:before="24" w:after="24"/>
              <w:rPr>
                <w:rFonts w:cs="Times New Roman"/>
              </w:rPr>
            </w:pPr>
            <w:r>
              <w:rPr>
                <w:rFonts w:cs="Times New Roman"/>
              </w:rPr>
              <w:t>室外景观支线</w:t>
            </w:r>
          </w:p>
        </w:tc>
      </w:tr>
      <w:tr w14:paraId="01C2F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12" w:type="pct"/>
            <w:vAlign w:val="center"/>
          </w:tcPr>
          <w:p w14:paraId="2D54C186">
            <w:pPr>
              <w:pStyle w:val="71"/>
              <w:spacing w:before="24" w:after="24"/>
              <w:rPr>
                <w:rFonts w:cs="Times New Roman"/>
              </w:rPr>
            </w:pPr>
            <w:r>
              <w:rPr>
                <w:rFonts w:cs="Times New Roman"/>
              </w:rPr>
              <w:t>23</w:t>
            </w:r>
          </w:p>
        </w:tc>
        <w:tc>
          <w:tcPr>
            <w:tcW w:w="685" w:type="pct"/>
            <w:vAlign w:val="center"/>
          </w:tcPr>
          <w:p w14:paraId="27910BAC">
            <w:pPr>
              <w:pStyle w:val="71"/>
              <w:spacing w:before="24" w:after="24"/>
              <w:rPr>
                <w:rFonts w:cs="Times New Roman"/>
              </w:rPr>
            </w:pPr>
            <w:r>
              <w:rPr>
                <w:rFonts w:cs="Times New Roman"/>
              </w:rPr>
              <w:t>景观照明系统</w:t>
            </w:r>
          </w:p>
        </w:tc>
        <w:tc>
          <w:tcPr>
            <w:tcW w:w="875" w:type="pct"/>
            <w:vAlign w:val="center"/>
          </w:tcPr>
          <w:p w14:paraId="02797EBC">
            <w:pPr>
              <w:pStyle w:val="71"/>
              <w:spacing w:before="24" w:after="24"/>
              <w:rPr>
                <w:rFonts w:cs="Times New Roman"/>
              </w:rPr>
            </w:pPr>
            <w:r>
              <w:rPr>
                <w:rFonts w:cs="Times New Roman"/>
              </w:rPr>
              <w:t>路灯及景观灯具</w:t>
            </w:r>
          </w:p>
        </w:tc>
        <w:tc>
          <w:tcPr>
            <w:tcW w:w="2176" w:type="pct"/>
            <w:vAlign w:val="center"/>
          </w:tcPr>
          <w:p w14:paraId="09FF9D16">
            <w:pPr>
              <w:pStyle w:val="71"/>
              <w:spacing w:before="24" w:after="24"/>
              <w:rPr>
                <w:rFonts w:cs="Times New Roman"/>
              </w:rPr>
            </w:pPr>
            <w:r>
              <w:rPr>
                <w:rFonts w:cs="Times New Roman"/>
              </w:rPr>
              <w:t>LED，室外灯具满足IP54防护等级</w:t>
            </w:r>
          </w:p>
        </w:tc>
        <w:tc>
          <w:tcPr>
            <w:tcW w:w="952" w:type="pct"/>
            <w:vAlign w:val="center"/>
          </w:tcPr>
          <w:p w14:paraId="2E39FD9B">
            <w:pPr>
              <w:pStyle w:val="71"/>
              <w:spacing w:before="24" w:after="24"/>
              <w:rPr>
                <w:rFonts w:cs="Times New Roman"/>
              </w:rPr>
            </w:pPr>
            <w:r>
              <w:rPr>
                <w:rFonts w:cs="Times New Roman"/>
              </w:rPr>
              <w:t>室外景观路灯</w:t>
            </w:r>
          </w:p>
        </w:tc>
      </w:tr>
      <w:tr w14:paraId="01444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000" w:type="pct"/>
            <w:gridSpan w:val="5"/>
            <w:vAlign w:val="center"/>
          </w:tcPr>
          <w:p w14:paraId="30BDED45">
            <w:pPr>
              <w:pStyle w:val="71"/>
              <w:spacing w:before="24" w:after="24"/>
              <w:rPr>
                <w:rFonts w:cs="Times New Roman"/>
              </w:rPr>
            </w:pPr>
            <w:r>
              <w:rPr>
                <w:rFonts w:cs="Times New Roman"/>
              </w:rPr>
              <w:t>室外安防及通信网络专业</w:t>
            </w:r>
          </w:p>
        </w:tc>
      </w:tr>
      <w:tr w14:paraId="6FCA0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12" w:type="pct"/>
            <w:vAlign w:val="center"/>
          </w:tcPr>
          <w:p w14:paraId="32E70CA0">
            <w:pPr>
              <w:pStyle w:val="71"/>
              <w:spacing w:before="24" w:after="24"/>
              <w:rPr>
                <w:rFonts w:cs="Times New Roman"/>
              </w:rPr>
            </w:pPr>
            <w:r>
              <w:rPr>
                <w:rFonts w:cs="Times New Roman"/>
              </w:rPr>
              <w:t>1</w:t>
            </w:r>
          </w:p>
        </w:tc>
        <w:tc>
          <w:tcPr>
            <w:tcW w:w="685" w:type="pct"/>
            <w:vMerge w:val="restart"/>
            <w:vAlign w:val="center"/>
          </w:tcPr>
          <w:p w14:paraId="64DC3459">
            <w:pPr>
              <w:pStyle w:val="71"/>
              <w:spacing w:before="24" w:after="24"/>
              <w:rPr>
                <w:rFonts w:cs="Times New Roman"/>
              </w:rPr>
            </w:pPr>
            <w:r>
              <w:rPr>
                <w:rFonts w:cs="Times New Roman"/>
              </w:rPr>
              <w:t>室外安防系统</w:t>
            </w:r>
          </w:p>
        </w:tc>
        <w:tc>
          <w:tcPr>
            <w:tcW w:w="875" w:type="pct"/>
            <w:vAlign w:val="center"/>
          </w:tcPr>
          <w:p w14:paraId="6ED11C56">
            <w:pPr>
              <w:pStyle w:val="71"/>
              <w:spacing w:before="24" w:after="24"/>
              <w:rPr>
                <w:rFonts w:cs="Times New Roman"/>
              </w:rPr>
            </w:pPr>
            <w:r>
              <w:rPr>
                <w:rFonts w:cs="Times New Roman"/>
              </w:rPr>
              <w:t>枪式摄像机</w:t>
            </w:r>
          </w:p>
        </w:tc>
        <w:tc>
          <w:tcPr>
            <w:tcW w:w="2176" w:type="pct"/>
            <w:vAlign w:val="center"/>
          </w:tcPr>
          <w:p w14:paraId="6738FF8F">
            <w:pPr>
              <w:pStyle w:val="71"/>
              <w:spacing w:before="24" w:after="24"/>
              <w:jc w:val="both"/>
              <w:rPr>
                <w:rFonts w:cs="Times New Roman"/>
              </w:rPr>
            </w:pPr>
            <w:r>
              <w:rPr>
                <w:rFonts w:cs="Times New Roman"/>
              </w:rPr>
              <w:t>彩色，1080P，带红外功能，室外设备满足IP54防护等级</w:t>
            </w:r>
          </w:p>
        </w:tc>
        <w:tc>
          <w:tcPr>
            <w:tcW w:w="952" w:type="pct"/>
            <w:vAlign w:val="center"/>
          </w:tcPr>
          <w:p w14:paraId="10B0F595">
            <w:pPr>
              <w:pStyle w:val="71"/>
              <w:spacing w:before="24" w:after="24"/>
              <w:rPr>
                <w:rFonts w:cs="Times New Roman"/>
              </w:rPr>
            </w:pPr>
            <w:r>
              <w:rPr>
                <w:rFonts w:cs="Times New Roman"/>
              </w:rPr>
              <w:t>功能区域位置</w:t>
            </w:r>
          </w:p>
        </w:tc>
      </w:tr>
      <w:tr w14:paraId="4F59E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12" w:type="pct"/>
            <w:vAlign w:val="center"/>
          </w:tcPr>
          <w:p w14:paraId="346597BB">
            <w:pPr>
              <w:pStyle w:val="71"/>
              <w:spacing w:before="24" w:after="24"/>
              <w:rPr>
                <w:rFonts w:cs="Times New Roman"/>
              </w:rPr>
            </w:pPr>
            <w:r>
              <w:rPr>
                <w:rFonts w:cs="Times New Roman"/>
              </w:rPr>
              <w:t>2</w:t>
            </w:r>
          </w:p>
        </w:tc>
        <w:tc>
          <w:tcPr>
            <w:tcW w:w="685" w:type="pct"/>
            <w:vMerge w:val="continue"/>
            <w:vAlign w:val="center"/>
          </w:tcPr>
          <w:p w14:paraId="387ABED2">
            <w:pPr>
              <w:pStyle w:val="71"/>
              <w:spacing w:before="24" w:after="24"/>
              <w:rPr>
                <w:rFonts w:cs="Times New Roman"/>
              </w:rPr>
            </w:pPr>
          </w:p>
        </w:tc>
        <w:tc>
          <w:tcPr>
            <w:tcW w:w="875" w:type="pct"/>
            <w:vAlign w:val="center"/>
          </w:tcPr>
          <w:p w14:paraId="57F7489E">
            <w:pPr>
              <w:pStyle w:val="71"/>
              <w:spacing w:before="24" w:after="24"/>
              <w:rPr>
                <w:rFonts w:cs="Times New Roman"/>
              </w:rPr>
            </w:pPr>
            <w:r>
              <w:rPr>
                <w:rFonts w:cs="Times New Roman"/>
              </w:rPr>
              <w:t>半球摄像机</w:t>
            </w:r>
          </w:p>
        </w:tc>
        <w:tc>
          <w:tcPr>
            <w:tcW w:w="2176" w:type="pct"/>
            <w:vAlign w:val="center"/>
          </w:tcPr>
          <w:p w14:paraId="44A9B66E">
            <w:pPr>
              <w:pStyle w:val="71"/>
              <w:spacing w:before="24" w:after="24"/>
              <w:jc w:val="both"/>
              <w:rPr>
                <w:rFonts w:cs="Times New Roman"/>
              </w:rPr>
            </w:pPr>
            <w:r>
              <w:rPr>
                <w:rFonts w:cs="Times New Roman"/>
              </w:rPr>
              <w:t>彩色，1080P，带红外功能，室外设备满足IP54防护等级</w:t>
            </w:r>
          </w:p>
        </w:tc>
        <w:tc>
          <w:tcPr>
            <w:tcW w:w="952" w:type="pct"/>
            <w:vAlign w:val="center"/>
          </w:tcPr>
          <w:p w14:paraId="3DC87C6B">
            <w:pPr>
              <w:pStyle w:val="71"/>
              <w:spacing w:before="24" w:after="24"/>
              <w:rPr>
                <w:rFonts w:cs="Times New Roman"/>
              </w:rPr>
            </w:pPr>
            <w:r>
              <w:rPr>
                <w:rFonts w:cs="Times New Roman"/>
              </w:rPr>
              <w:t>室外功能区域</w:t>
            </w:r>
          </w:p>
        </w:tc>
      </w:tr>
      <w:tr w14:paraId="3AA89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12" w:type="pct"/>
            <w:vAlign w:val="center"/>
          </w:tcPr>
          <w:p w14:paraId="464A6342">
            <w:pPr>
              <w:pStyle w:val="71"/>
              <w:spacing w:before="24" w:after="24"/>
              <w:rPr>
                <w:rFonts w:cs="Times New Roman"/>
              </w:rPr>
            </w:pPr>
            <w:r>
              <w:rPr>
                <w:rFonts w:cs="Times New Roman"/>
              </w:rPr>
              <w:t>3</w:t>
            </w:r>
          </w:p>
        </w:tc>
        <w:tc>
          <w:tcPr>
            <w:tcW w:w="685" w:type="pct"/>
            <w:vMerge w:val="continue"/>
            <w:vAlign w:val="center"/>
          </w:tcPr>
          <w:p w14:paraId="2ECEADEC">
            <w:pPr>
              <w:pStyle w:val="71"/>
              <w:spacing w:before="24" w:after="24"/>
              <w:rPr>
                <w:rFonts w:cs="Times New Roman"/>
              </w:rPr>
            </w:pPr>
          </w:p>
        </w:tc>
        <w:tc>
          <w:tcPr>
            <w:tcW w:w="875" w:type="pct"/>
            <w:vAlign w:val="center"/>
          </w:tcPr>
          <w:p w14:paraId="49F3137F">
            <w:pPr>
              <w:pStyle w:val="71"/>
              <w:spacing w:before="24" w:after="24"/>
              <w:rPr>
                <w:rFonts w:cs="Times New Roman"/>
              </w:rPr>
            </w:pPr>
            <w:r>
              <w:rPr>
                <w:rFonts w:cs="Times New Roman"/>
              </w:rPr>
              <w:t>视频监控电缆</w:t>
            </w:r>
          </w:p>
        </w:tc>
        <w:tc>
          <w:tcPr>
            <w:tcW w:w="2176" w:type="pct"/>
            <w:vAlign w:val="center"/>
          </w:tcPr>
          <w:p w14:paraId="0D3FC409">
            <w:pPr>
              <w:pStyle w:val="71"/>
              <w:spacing w:before="24" w:after="24"/>
              <w:rPr>
                <w:rFonts w:cs="Times New Roman"/>
              </w:rPr>
            </w:pPr>
            <w:r>
              <w:rPr>
                <w:rFonts w:cs="Times New Roman"/>
              </w:rPr>
              <w:t>Cat5e-4pairUTP及以上</w:t>
            </w:r>
          </w:p>
        </w:tc>
        <w:tc>
          <w:tcPr>
            <w:tcW w:w="952" w:type="pct"/>
            <w:vAlign w:val="center"/>
          </w:tcPr>
          <w:p w14:paraId="62503907">
            <w:pPr>
              <w:pStyle w:val="71"/>
              <w:spacing w:before="24" w:after="24"/>
              <w:rPr>
                <w:rFonts w:cs="Times New Roman"/>
              </w:rPr>
            </w:pPr>
            <w:r>
              <w:rPr>
                <w:rFonts w:cs="Times New Roman"/>
              </w:rPr>
              <w:t>室外功能区域</w:t>
            </w:r>
          </w:p>
        </w:tc>
      </w:tr>
      <w:tr w14:paraId="63449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12" w:type="pct"/>
            <w:vAlign w:val="center"/>
          </w:tcPr>
          <w:p w14:paraId="71D0CB19">
            <w:pPr>
              <w:pStyle w:val="71"/>
              <w:spacing w:before="24" w:after="24"/>
              <w:rPr>
                <w:rFonts w:cs="Times New Roman"/>
              </w:rPr>
            </w:pPr>
            <w:r>
              <w:rPr>
                <w:rFonts w:cs="Times New Roman"/>
              </w:rPr>
              <w:t>4</w:t>
            </w:r>
          </w:p>
        </w:tc>
        <w:tc>
          <w:tcPr>
            <w:tcW w:w="685" w:type="pct"/>
            <w:vMerge w:val="continue"/>
            <w:vAlign w:val="center"/>
          </w:tcPr>
          <w:p w14:paraId="720C7271">
            <w:pPr>
              <w:pStyle w:val="71"/>
              <w:spacing w:before="24" w:after="24"/>
              <w:rPr>
                <w:rFonts w:cs="Times New Roman"/>
              </w:rPr>
            </w:pPr>
          </w:p>
        </w:tc>
        <w:tc>
          <w:tcPr>
            <w:tcW w:w="875" w:type="pct"/>
            <w:vAlign w:val="center"/>
          </w:tcPr>
          <w:p w14:paraId="628F5CB3">
            <w:pPr>
              <w:pStyle w:val="71"/>
              <w:spacing w:before="24" w:after="24"/>
              <w:rPr>
                <w:rFonts w:cs="Times New Roman"/>
              </w:rPr>
            </w:pPr>
            <w:r>
              <w:rPr>
                <w:rFonts w:cs="Times New Roman"/>
              </w:rPr>
              <w:t>可视对讲室外（刷卡）电控锁及按钮</w:t>
            </w:r>
          </w:p>
        </w:tc>
        <w:tc>
          <w:tcPr>
            <w:tcW w:w="2176" w:type="pct"/>
            <w:vAlign w:val="center"/>
          </w:tcPr>
          <w:p w14:paraId="30E41E6A">
            <w:pPr>
              <w:pStyle w:val="71"/>
              <w:spacing w:before="24" w:after="24"/>
              <w:rPr>
                <w:rFonts w:cs="Times New Roman"/>
              </w:rPr>
            </w:pPr>
            <w:r>
              <w:rPr>
                <w:rFonts w:cs="Times New Roman"/>
              </w:rPr>
              <w:t>规格按设计需要，室外设备满足IP54防护等级</w:t>
            </w:r>
          </w:p>
        </w:tc>
        <w:tc>
          <w:tcPr>
            <w:tcW w:w="952" w:type="pct"/>
            <w:vAlign w:val="center"/>
          </w:tcPr>
          <w:p w14:paraId="3A6F84C0">
            <w:pPr>
              <w:pStyle w:val="71"/>
              <w:spacing w:before="24" w:after="24"/>
              <w:rPr>
                <w:rFonts w:cs="Times New Roman"/>
              </w:rPr>
            </w:pPr>
            <w:r>
              <w:rPr>
                <w:rFonts w:cs="Times New Roman"/>
              </w:rPr>
              <w:t>室外功能区域</w:t>
            </w:r>
          </w:p>
        </w:tc>
      </w:tr>
      <w:tr w14:paraId="34822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12" w:type="pct"/>
            <w:vAlign w:val="center"/>
          </w:tcPr>
          <w:p w14:paraId="591856F1">
            <w:pPr>
              <w:pStyle w:val="71"/>
              <w:spacing w:before="24" w:after="24"/>
              <w:rPr>
                <w:rFonts w:cs="Times New Roman"/>
              </w:rPr>
            </w:pPr>
            <w:r>
              <w:rPr>
                <w:rFonts w:cs="Times New Roman"/>
              </w:rPr>
              <w:t>5</w:t>
            </w:r>
          </w:p>
        </w:tc>
        <w:tc>
          <w:tcPr>
            <w:tcW w:w="685" w:type="pct"/>
            <w:vMerge w:val="restart"/>
            <w:vAlign w:val="center"/>
          </w:tcPr>
          <w:p w14:paraId="15CC2F40">
            <w:pPr>
              <w:pStyle w:val="71"/>
              <w:spacing w:before="24" w:after="24"/>
              <w:rPr>
                <w:rFonts w:cs="Times New Roman"/>
              </w:rPr>
            </w:pPr>
            <w:r>
              <w:rPr>
                <w:rFonts w:cs="Times New Roman"/>
              </w:rPr>
              <w:t>室外综合弱电系统</w:t>
            </w:r>
          </w:p>
        </w:tc>
        <w:tc>
          <w:tcPr>
            <w:tcW w:w="875" w:type="pct"/>
            <w:vAlign w:val="center"/>
          </w:tcPr>
          <w:p w14:paraId="553D599B">
            <w:pPr>
              <w:pStyle w:val="71"/>
              <w:spacing w:before="24" w:after="24"/>
              <w:rPr>
                <w:rFonts w:cs="Times New Roman"/>
              </w:rPr>
            </w:pPr>
            <w:r>
              <w:rPr>
                <w:rFonts w:cs="Times New Roman"/>
              </w:rPr>
              <w:t>有线电视射频电缆</w:t>
            </w:r>
          </w:p>
        </w:tc>
        <w:tc>
          <w:tcPr>
            <w:tcW w:w="2176" w:type="pct"/>
            <w:vAlign w:val="center"/>
          </w:tcPr>
          <w:p w14:paraId="2DA3615B">
            <w:pPr>
              <w:pStyle w:val="71"/>
              <w:spacing w:before="24" w:after="24"/>
              <w:rPr>
                <w:rFonts w:cs="Times New Roman"/>
              </w:rPr>
            </w:pPr>
            <w:r>
              <w:rPr>
                <w:rFonts w:cs="Times New Roman"/>
              </w:rPr>
              <w:t>SYWV-75-5或根据图纸配置</w:t>
            </w:r>
          </w:p>
        </w:tc>
        <w:tc>
          <w:tcPr>
            <w:tcW w:w="952" w:type="pct"/>
            <w:vAlign w:val="center"/>
          </w:tcPr>
          <w:p w14:paraId="6FDAB5EC">
            <w:pPr>
              <w:pStyle w:val="71"/>
              <w:spacing w:before="24" w:after="24"/>
              <w:rPr>
                <w:rFonts w:cs="Times New Roman"/>
              </w:rPr>
            </w:pPr>
            <w:r>
              <w:rPr>
                <w:rFonts w:cs="Times New Roman"/>
              </w:rPr>
              <w:t>室外综合线缆</w:t>
            </w:r>
          </w:p>
        </w:tc>
      </w:tr>
      <w:tr w14:paraId="0D66D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12" w:type="pct"/>
            <w:vAlign w:val="center"/>
          </w:tcPr>
          <w:p w14:paraId="7FD56453">
            <w:pPr>
              <w:pStyle w:val="71"/>
              <w:spacing w:before="24" w:after="24"/>
              <w:rPr>
                <w:rFonts w:cs="Times New Roman"/>
              </w:rPr>
            </w:pPr>
            <w:r>
              <w:rPr>
                <w:rFonts w:cs="Times New Roman"/>
              </w:rPr>
              <w:t>6</w:t>
            </w:r>
          </w:p>
        </w:tc>
        <w:tc>
          <w:tcPr>
            <w:tcW w:w="685" w:type="pct"/>
            <w:vMerge w:val="continue"/>
            <w:vAlign w:val="center"/>
          </w:tcPr>
          <w:p w14:paraId="3876D238">
            <w:pPr>
              <w:pStyle w:val="71"/>
              <w:spacing w:before="24" w:after="24"/>
              <w:rPr>
                <w:rFonts w:cs="Times New Roman"/>
              </w:rPr>
            </w:pPr>
          </w:p>
        </w:tc>
        <w:tc>
          <w:tcPr>
            <w:tcW w:w="875" w:type="pct"/>
            <w:vAlign w:val="center"/>
          </w:tcPr>
          <w:p w14:paraId="416B70CE">
            <w:pPr>
              <w:pStyle w:val="71"/>
              <w:spacing w:before="24" w:after="24"/>
              <w:rPr>
                <w:rFonts w:cs="Times New Roman"/>
              </w:rPr>
            </w:pPr>
            <w:r>
              <w:rPr>
                <w:rFonts w:cs="Times New Roman"/>
              </w:rPr>
              <w:t>数据对绞电缆</w:t>
            </w:r>
          </w:p>
        </w:tc>
        <w:tc>
          <w:tcPr>
            <w:tcW w:w="2176" w:type="pct"/>
            <w:vAlign w:val="center"/>
          </w:tcPr>
          <w:p w14:paraId="51D36D18">
            <w:pPr>
              <w:pStyle w:val="71"/>
              <w:spacing w:before="24" w:after="24"/>
              <w:rPr>
                <w:rFonts w:cs="Times New Roman"/>
              </w:rPr>
            </w:pPr>
            <w:r>
              <w:rPr>
                <w:rFonts w:cs="Times New Roman"/>
              </w:rPr>
              <w:t>Cat5e-4pairUTP及以上</w:t>
            </w:r>
          </w:p>
        </w:tc>
        <w:tc>
          <w:tcPr>
            <w:tcW w:w="952" w:type="pct"/>
            <w:vAlign w:val="center"/>
          </w:tcPr>
          <w:p w14:paraId="370D1EE4">
            <w:pPr>
              <w:pStyle w:val="71"/>
              <w:spacing w:before="24" w:after="24"/>
              <w:rPr>
                <w:rFonts w:cs="Times New Roman"/>
              </w:rPr>
            </w:pPr>
            <w:r>
              <w:rPr>
                <w:rFonts w:cs="Times New Roman"/>
              </w:rPr>
              <w:t>室外综合线缆</w:t>
            </w:r>
          </w:p>
        </w:tc>
      </w:tr>
      <w:tr w14:paraId="38DF8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12" w:type="pct"/>
            <w:vAlign w:val="center"/>
          </w:tcPr>
          <w:p w14:paraId="3E42EAF1">
            <w:pPr>
              <w:pStyle w:val="71"/>
              <w:spacing w:before="24" w:after="24"/>
              <w:rPr>
                <w:rFonts w:cs="Times New Roman"/>
              </w:rPr>
            </w:pPr>
            <w:r>
              <w:rPr>
                <w:rFonts w:cs="Times New Roman"/>
              </w:rPr>
              <w:t>7</w:t>
            </w:r>
          </w:p>
        </w:tc>
        <w:tc>
          <w:tcPr>
            <w:tcW w:w="685" w:type="pct"/>
            <w:vMerge w:val="continue"/>
            <w:vAlign w:val="center"/>
          </w:tcPr>
          <w:p w14:paraId="283C01B5">
            <w:pPr>
              <w:pStyle w:val="71"/>
              <w:spacing w:before="24" w:after="24"/>
              <w:rPr>
                <w:rFonts w:cs="Times New Roman"/>
              </w:rPr>
            </w:pPr>
          </w:p>
        </w:tc>
        <w:tc>
          <w:tcPr>
            <w:tcW w:w="875" w:type="pct"/>
            <w:vAlign w:val="center"/>
          </w:tcPr>
          <w:p w14:paraId="211A54A6">
            <w:pPr>
              <w:pStyle w:val="71"/>
              <w:spacing w:before="24" w:after="24"/>
              <w:rPr>
                <w:rFonts w:cs="Times New Roman"/>
              </w:rPr>
            </w:pPr>
            <w:r>
              <w:rPr>
                <w:rFonts w:cs="Times New Roman"/>
              </w:rPr>
              <w:t>电话对绞电缆</w:t>
            </w:r>
          </w:p>
        </w:tc>
        <w:tc>
          <w:tcPr>
            <w:tcW w:w="2176" w:type="pct"/>
            <w:vAlign w:val="center"/>
          </w:tcPr>
          <w:p w14:paraId="0A2E1A42">
            <w:pPr>
              <w:pStyle w:val="71"/>
              <w:spacing w:before="24" w:after="24"/>
              <w:rPr>
                <w:rFonts w:cs="Times New Roman"/>
              </w:rPr>
            </w:pPr>
            <w:r>
              <w:rPr>
                <w:rFonts w:cs="Times New Roman"/>
              </w:rPr>
              <w:t>HBYV-2×0.5</w:t>
            </w:r>
          </w:p>
        </w:tc>
        <w:tc>
          <w:tcPr>
            <w:tcW w:w="952" w:type="pct"/>
            <w:vAlign w:val="center"/>
          </w:tcPr>
          <w:p w14:paraId="25B20110">
            <w:pPr>
              <w:pStyle w:val="71"/>
              <w:spacing w:before="24" w:after="24"/>
              <w:rPr>
                <w:rFonts w:cs="Times New Roman"/>
              </w:rPr>
            </w:pPr>
            <w:r>
              <w:rPr>
                <w:rFonts w:cs="Times New Roman"/>
              </w:rPr>
              <w:t>室外功能区域</w:t>
            </w:r>
          </w:p>
        </w:tc>
      </w:tr>
      <w:tr w14:paraId="47E08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12" w:type="pct"/>
            <w:vAlign w:val="center"/>
          </w:tcPr>
          <w:p w14:paraId="72564932">
            <w:pPr>
              <w:pStyle w:val="71"/>
              <w:spacing w:before="24" w:after="24"/>
              <w:rPr>
                <w:rFonts w:cs="Times New Roman"/>
              </w:rPr>
            </w:pPr>
            <w:r>
              <w:rPr>
                <w:rFonts w:cs="Times New Roman"/>
              </w:rPr>
              <w:t>8</w:t>
            </w:r>
          </w:p>
        </w:tc>
        <w:tc>
          <w:tcPr>
            <w:tcW w:w="685" w:type="pct"/>
            <w:vMerge w:val="continue"/>
            <w:vAlign w:val="center"/>
          </w:tcPr>
          <w:p w14:paraId="7342F427">
            <w:pPr>
              <w:pStyle w:val="71"/>
              <w:spacing w:before="24" w:after="24"/>
              <w:rPr>
                <w:rFonts w:cs="Times New Roman"/>
              </w:rPr>
            </w:pPr>
          </w:p>
        </w:tc>
        <w:tc>
          <w:tcPr>
            <w:tcW w:w="875" w:type="pct"/>
            <w:vAlign w:val="center"/>
          </w:tcPr>
          <w:p w14:paraId="6A9D7912">
            <w:pPr>
              <w:pStyle w:val="71"/>
              <w:spacing w:before="24" w:after="24"/>
              <w:rPr>
                <w:rFonts w:cs="Times New Roman"/>
              </w:rPr>
            </w:pPr>
            <w:r>
              <w:rPr>
                <w:rFonts w:cs="Times New Roman"/>
              </w:rPr>
              <w:t>数据绞电缆</w:t>
            </w:r>
          </w:p>
        </w:tc>
        <w:tc>
          <w:tcPr>
            <w:tcW w:w="2176" w:type="pct"/>
            <w:vAlign w:val="center"/>
          </w:tcPr>
          <w:p w14:paraId="363A9FF3">
            <w:pPr>
              <w:pStyle w:val="71"/>
              <w:spacing w:before="24" w:after="24"/>
              <w:rPr>
                <w:rFonts w:cs="Times New Roman"/>
              </w:rPr>
            </w:pPr>
            <w:r>
              <w:rPr>
                <w:rFonts w:cs="Times New Roman"/>
              </w:rPr>
              <w:t>Cat5e-4pairUTP及以上</w:t>
            </w:r>
          </w:p>
        </w:tc>
        <w:tc>
          <w:tcPr>
            <w:tcW w:w="952" w:type="pct"/>
            <w:vAlign w:val="center"/>
          </w:tcPr>
          <w:p w14:paraId="02170326">
            <w:pPr>
              <w:pStyle w:val="71"/>
              <w:spacing w:before="24" w:after="24"/>
              <w:rPr>
                <w:rFonts w:cs="Times New Roman"/>
              </w:rPr>
            </w:pPr>
            <w:r>
              <w:rPr>
                <w:rFonts w:cs="Times New Roman"/>
              </w:rPr>
              <w:t>室外综合线缆</w:t>
            </w:r>
          </w:p>
        </w:tc>
      </w:tr>
      <w:tr w14:paraId="54F2C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12" w:type="pct"/>
            <w:vAlign w:val="center"/>
          </w:tcPr>
          <w:p w14:paraId="0AF85D3B">
            <w:pPr>
              <w:pStyle w:val="71"/>
              <w:spacing w:before="24" w:after="24"/>
              <w:rPr>
                <w:rFonts w:cs="Times New Roman"/>
              </w:rPr>
            </w:pPr>
            <w:r>
              <w:rPr>
                <w:rFonts w:cs="Times New Roman"/>
              </w:rPr>
              <w:t>9</w:t>
            </w:r>
          </w:p>
        </w:tc>
        <w:tc>
          <w:tcPr>
            <w:tcW w:w="685" w:type="pct"/>
            <w:vMerge w:val="continue"/>
            <w:vAlign w:val="center"/>
          </w:tcPr>
          <w:p w14:paraId="751D4B71">
            <w:pPr>
              <w:pStyle w:val="71"/>
              <w:spacing w:before="24" w:after="24"/>
              <w:rPr>
                <w:rFonts w:cs="Times New Roman"/>
              </w:rPr>
            </w:pPr>
          </w:p>
        </w:tc>
        <w:tc>
          <w:tcPr>
            <w:tcW w:w="875" w:type="pct"/>
            <w:vAlign w:val="center"/>
          </w:tcPr>
          <w:p w14:paraId="7FE411ED">
            <w:pPr>
              <w:pStyle w:val="71"/>
              <w:spacing w:before="24" w:after="24"/>
              <w:rPr>
                <w:rFonts w:cs="Times New Roman"/>
              </w:rPr>
            </w:pPr>
            <w:r>
              <w:rPr>
                <w:rFonts w:cs="Times New Roman"/>
              </w:rPr>
              <w:t>通信对绞电缆</w:t>
            </w:r>
          </w:p>
        </w:tc>
        <w:tc>
          <w:tcPr>
            <w:tcW w:w="2176" w:type="pct"/>
            <w:vAlign w:val="center"/>
          </w:tcPr>
          <w:p w14:paraId="6B90B63E">
            <w:pPr>
              <w:pStyle w:val="71"/>
              <w:spacing w:before="24" w:after="24"/>
              <w:rPr>
                <w:rFonts w:cs="Times New Roman"/>
              </w:rPr>
            </w:pPr>
            <w:r>
              <w:rPr>
                <w:rFonts w:cs="Times New Roman"/>
              </w:rPr>
              <w:t>2XHBYV-2×0.5</w:t>
            </w:r>
          </w:p>
        </w:tc>
        <w:tc>
          <w:tcPr>
            <w:tcW w:w="952" w:type="pct"/>
            <w:vAlign w:val="center"/>
          </w:tcPr>
          <w:p w14:paraId="29AC6030">
            <w:pPr>
              <w:pStyle w:val="71"/>
              <w:spacing w:before="24" w:after="24"/>
              <w:rPr>
                <w:rFonts w:cs="Times New Roman"/>
              </w:rPr>
            </w:pPr>
            <w:r>
              <w:rPr>
                <w:rFonts w:cs="Times New Roman"/>
              </w:rPr>
              <w:t>室外综合线缆</w:t>
            </w:r>
          </w:p>
        </w:tc>
      </w:tr>
      <w:tr w14:paraId="169AF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12" w:type="pct"/>
            <w:vAlign w:val="center"/>
          </w:tcPr>
          <w:p w14:paraId="00F1D141">
            <w:pPr>
              <w:pStyle w:val="71"/>
              <w:spacing w:before="24" w:after="24"/>
              <w:rPr>
                <w:rFonts w:cs="Times New Roman"/>
              </w:rPr>
            </w:pPr>
            <w:r>
              <w:rPr>
                <w:rFonts w:cs="Times New Roman"/>
              </w:rPr>
              <w:t>10</w:t>
            </w:r>
          </w:p>
        </w:tc>
        <w:tc>
          <w:tcPr>
            <w:tcW w:w="685" w:type="pct"/>
            <w:vMerge w:val="restart"/>
            <w:vAlign w:val="center"/>
          </w:tcPr>
          <w:p w14:paraId="57F54A02">
            <w:pPr>
              <w:pStyle w:val="71"/>
              <w:spacing w:before="24" w:after="24"/>
              <w:rPr>
                <w:rFonts w:cs="Times New Roman"/>
              </w:rPr>
            </w:pPr>
            <w:r>
              <w:rPr>
                <w:rFonts w:cs="Times New Roman"/>
              </w:rPr>
              <w:t>室外综合弱电/预埋保护管</w:t>
            </w:r>
          </w:p>
        </w:tc>
        <w:tc>
          <w:tcPr>
            <w:tcW w:w="875" w:type="pct"/>
            <w:vAlign w:val="center"/>
          </w:tcPr>
          <w:p w14:paraId="78250CAF">
            <w:pPr>
              <w:pStyle w:val="71"/>
              <w:spacing w:before="24" w:after="24"/>
              <w:rPr>
                <w:rFonts w:cs="Times New Roman"/>
              </w:rPr>
            </w:pPr>
            <w:r>
              <w:rPr>
                <w:rFonts w:cs="Times New Roman"/>
              </w:rPr>
              <w:t>塑料管线</w:t>
            </w:r>
          </w:p>
        </w:tc>
        <w:tc>
          <w:tcPr>
            <w:tcW w:w="2176" w:type="pct"/>
            <w:vAlign w:val="center"/>
          </w:tcPr>
          <w:p w14:paraId="406498B3">
            <w:pPr>
              <w:pStyle w:val="71"/>
              <w:spacing w:before="24" w:after="24"/>
              <w:rPr>
                <w:rFonts w:cs="Times New Roman"/>
              </w:rPr>
            </w:pPr>
            <w:r>
              <w:rPr>
                <w:rFonts w:cs="Times New Roman"/>
              </w:rPr>
              <w:t>PC-管径（20、25、40）或根据图纸配置</w:t>
            </w:r>
          </w:p>
        </w:tc>
        <w:tc>
          <w:tcPr>
            <w:tcW w:w="952" w:type="pct"/>
            <w:vAlign w:val="center"/>
          </w:tcPr>
          <w:p w14:paraId="6E42E012">
            <w:pPr>
              <w:pStyle w:val="71"/>
              <w:spacing w:before="24" w:after="24"/>
              <w:rPr>
                <w:rFonts w:cs="Times New Roman"/>
              </w:rPr>
            </w:pPr>
            <w:r>
              <w:rPr>
                <w:rFonts w:cs="Times New Roman"/>
              </w:rPr>
              <w:t>预埋要求区域</w:t>
            </w:r>
          </w:p>
        </w:tc>
      </w:tr>
      <w:tr w14:paraId="42352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12" w:type="pct"/>
            <w:vAlign w:val="center"/>
          </w:tcPr>
          <w:p w14:paraId="5159AC53">
            <w:pPr>
              <w:pStyle w:val="71"/>
              <w:spacing w:before="24" w:after="24"/>
              <w:rPr>
                <w:rFonts w:cs="Times New Roman"/>
              </w:rPr>
            </w:pPr>
            <w:r>
              <w:rPr>
                <w:rFonts w:cs="Times New Roman"/>
              </w:rPr>
              <w:t>11</w:t>
            </w:r>
          </w:p>
        </w:tc>
        <w:tc>
          <w:tcPr>
            <w:tcW w:w="685" w:type="pct"/>
            <w:vMerge w:val="continue"/>
            <w:vAlign w:val="center"/>
          </w:tcPr>
          <w:p w14:paraId="7834D6B3">
            <w:pPr>
              <w:pStyle w:val="71"/>
              <w:spacing w:before="24" w:after="24"/>
              <w:rPr>
                <w:rFonts w:cs="Times New Roman"/>
              </w:rPr>
            </w:pPr>
          </w:p>
        </w:tc>
        <w:tc>
          <w:tcPr>
            <w:tcW w:w="875" w:type="pct"/>
            <w:vAlign w:val="center"/>
          </w:tcPr>
          <w:p w14:paraId="1E1D761C">
            <w:pPr>
              <w:pStyle w:val="71"/>
              <w:spacing w:before="24" w:after="24"/>
              <w:rPr>
                <w:rFonts w:cs="Times New Roman"/>
              </w:rPr>
            </w:pPr>
            <w:r>
              <w:rPr>
                <w:rFonts w:cs="Times New Roman"/>
              </w:rPr>
              <w:t>热镀锌焊接钢管</w:t>
            </w:r>
          </w:p>
        </w:tc>
        <w:tc>
          <w:tcPr>
            <w:tcW w:w="2176" w:type="pct"/>
            <w:vAlign w:val="center"/>
          </w:tcPr>
          <w:p w14:paraId="6B48C4FE">
            <w:pPr>
              <w:pStyle w:val="71"/>
              <w:spacing w:before="24" w:after="24"/>
              <w:rPr>
                <w:rFonts w:cs="Times New Roman"/>
              </w:rPr>
            </w:pPr>
            <w:r>
              <w:rPr>
                <w:rFonts w:cs="Times New Roman"/>
              </w:rPr>
              <w:t>SC-管径根据图纸配置</w:t>
            </w:r>
          </w:p>
        </w:tc>
        <w:tc>
          <w:tcPr>
            <w:tcW w:w="952" w:type="pct"/>
            <w:vAlign w:val="center"/>
          </w:tcPr>
          <w:p w14:paraId="61BA46A6">
            <w:pPr>
              <w:pStyle w:val="71"/>
              <w:spacing w:before="24" w:after="24"/>
              <w:rPr>
                <w:rFonts w:cs="Times New Roman"/>
              </w:rPr>
            </w:pPr>
            <w:r>
              <w:rPr>
                <w:rFonts w:cs="Times New Roman"/>
              </w:rPr>
              <w:t>线缆预埋与保护位置</w:t>
            </w:r>
          </w:p>
        </w:tc>
      </w:tr>
    </w:tbl>
    <w:p w14:paraId="0CA2617F">
      <w:pPr>
        <w:pStyle w:val="66"/>
        <w:rPr>
          <w:rFonts w:cs="Times New Roman"/>
        </w:rPr>
      </w:pPr>
      <w:r>
        <w:rPr>
          <w:rFonts w:cs="Times New Roman"/>
        </w:rPr>
        <w:t>2、主体电气工程电气专业设备参数清单表</w:t>
      </w:r>
    </w:p>
    <w:tbl>
      <w:tblPr>
        <w:tblStyle w:val="31"/>
        <w:tblW w:w="95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78"/>
        <w:gridCol w:w="1373"/>
        <w:gridCol w:w="2476"/>
        <w:gridCol w:w="3373"/>
        <w:gridCol w:w="1785"/>
      </w:tblGrid>
      <w:tr w14:paraId="64E6C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578"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4C82F7DD">
            <w:pPr>
              <w:pStyle w:val="71"/>
              <w:spacing w:before="24" w:after="24"/>
              <w:rPr>
                <w:rFonts w:cs="Times New Roman"/>
              </w:rPr>
            </w:pPr>
            <w:r>
              <w:rPr>
                <w:rFonts w:cs="Times New Roman"/>
              </w:rPr>
              <w:t>序号</w:t>
            </w:r>
          </w:p>
        </w:tc>
        <w:tc>
          <w:tcPr>
            <w:tcW w:w="1373"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576BB200">
            <w:pPr>
              <w:pStyle w:val="71"/>
              <w:spacing w:before="24" w:after="24"/>
              <w:rPr>
                <w:rFonts w:cs="Times New Roman"/>
              </w:rPr>
            </w:pPr>
            <w:r>
              <w:rPr>
                <w:rFonts w:cs="Times New Roman"/>
              </w:rPr>
              <w:t>设备/系统</w:t>
            </w:r>
          </w:p>
        </w:tc>
        <w:tc>
          <w:tcPr>
            <w:tcW w:w="2476"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5998863C">
            <w:pPr>
              <w:pStyle w:val="71"/>
              <w:spacing w:before="24" w:after="24"/>
              <w:rPr>
                <w:rFonts w:cs="Times New Roman"/>
              </w:rPr>
            </w:pPr>
            <w:r>
              <w:rPr>
                <w:rFonts w:cs="Times New Roman"/>
              </w:rPr>
              <w:t>设备</w:t>
            </w:r>
          </w:p>
        </w:tc>
        <w:tc>
          <w:tcPr>
            <w:tcW w:w="3373"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4B629CA3">
            <w:pPr>
              <w:pStyle w:val="71"/>
              <w:spacing w:before="24" w:after="24"/>
              <w:rPr>
                <w:rFonts w:cs="Times New Roman"/>
              </w:rPr>
            </w:pPr>
            <w:r>
              <w:rPr>
                <w:rFonts w:cs="Times New Roman"/>
              </w:rPr>
              <w:t>做法/规格参数</w:t>
            </w:r>
          </w:p>
        </w:tc>
        <w:tc>
          <w:tcPr>
            <w:tcW w:w="1785"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21200830">
            <w:pPr>
              <w:pStyle w:val="71"/>
              <w:spacing w:before="24" w:after="24"/>
              <w:rPr>
                <w:rFonts w:cs="Times New Roman"/>
              </w:rPr>
            </w:pPr>
            <w:r>
              <w:rPr>
                <w:rFonts w:cs="Times New Roman"/>
              </w:rPr>
              <w:t>备注（安装位置）</w:t>
            </w:r>
          </w:p>
        </w:tc>
      </w:tr>
      <w:tr w14:paraId="61D4EB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055E5E09">
            <w:pPr>
              <w:pStyle w:val="71"/>
              <w:spacing w:before="24" w:after="24"/>
              <w:rPr>
                <w:rFonts w:cs="Times New Roman"/>
              </w:rPr>
            </w:pPr>
            <w:r>
              <w:rPr>
                <w:rFonts w:cs="Times New Roman"/>
              </w:rPr>
              <w:t>1</w:t>
            </w:r>
          </w:p>
        </w:tc>
        <w:tc>
          <w:tcPr>
            <w:tcW w:w="1373" w:type="dxa"/>
            <w:vMerge w:val="restart"/>
            <w:tcBorders>
              <w:top w:val="nil"/>
              <w:left w:val="single" w:color="000000" w:sz="4" w:space="0"/>
              <w:bottom w:val="single" w:color="000000" w:sz="4" w:space="0"/>
              <w:right w:val="single" w:color="000000" w:sz="4" w:space="0"/>
            </w:tcBorders>
            <w:vAlign w:val="center"/>
          </w:tcPr>
          <w:p w14:paraId="104A440F">
            <w:pPr>
              <w:pStyle w:val="71"/>
              <w:spacing w:before="24" w:after="24"/>
              <w:rPr>
                <w:rFonts w:cs="Times New Roman"/>
              </w:rPr>
            </w:pPr>
            <w:r>
              <w:rPr>
                <w:rFonts w:cs="Times New Roman"/>
              </w:rPr>
              <w:t>强电系统/配电箱</w:t>
            </w:r>
          </w:p>
        </w:tc>
        <w:tc>
          <w:tcPr>
            <w:tcW w:w="2476" w:type="dxa"/>
            <w:tcBorders>
              <w:top w:val="single" w:color="000000" w:sz="4" w:space="0"/>
              <w:left w:val="single" w:color="000000" w:sz="4" w:space="0"/>
              <w:bottom w:val="single" w:color="000000" w:sz="4" w:space="0"/>
              <w:right w:val="single" w:color="000000" w:sz="4" w:space="0"/>
            </w:tcBorders>
            <w:vAlign w:val="center"/>
          </w:tcPr>
          <w:p w14:paraId="0C219D30">
            <w:pPr>
              <w:pStyle w:val="71"/>
              <w:spacing w:before="24" w:after="24"/>
              <w:rPr>
                <w:rFonts w:cs="Times New Roman"/>
              </w:rPr>
            </w:pPr>
            <w:r>
              <w:rPr>
                <w:rFonts w:cs="Times New Roman"/>
              </w:rPr>
              <w:t>动力配电箱</w:t>
            </w:r>
          </w:p>
        </w:tc>
        <w:tc>
          <w:tcPr>
            <w:tcW w:w="3373" w:type="dxa"/>
            <w:tcBorders>
              <w:top w:val="single" w:color="000000" w:sz="4" w:space="0"/>
              <w:left w:val="single" w:color="000000" w:sz="4" w:space="0"/>
              <w:bottom w:val="single" w:color="000000" w:sz="4" w:space="0"/>
              <w:right w:val="single" w:color="000000" w:sz="4" w:space="0"/>
            </w:tcBorders>
            <w:vAlign w:val="center"/>
          </w:tcPr>
          <w:p w14:paraId="0097F496">
            <w:pPr>
              <w:pStyle w:val="71"/>
              <w:spacing w:before="24" w:after="24"/>
              <w:rPr>
                <w:rFonts w:cs="Times New Roman"/>
              </w:rPr>
            </w:pPr>
            <w:r>
              <w:rPr>
                <w:rFonts w:cs="Times New Roman"/>
              </w:rPr>
              <w:t>按系统图规格、尺寸配置</w:t>
            </w:r>
          </w:p>
        </w:tc>
        <w:tc>
          <w:tcPr>
            <w:tcW w:w="1785" w:type="dxa"/>
            <w:vMerge w:val="restart"/>
            <w:tcBorders>
              <w:top w:val="nil"/>
              <w:left w:val="single" w:color="000000" w:sz="4" w:space="0"/>
              <w:bottom w:val="single" w:color="000000" w:sz="4" w:space="0"/>
              <w:right w:val="single" w:color="000000" w:sz="4" w:space="0"/>
            </w:tcBorders>
            <w:vAlign w:val="center"/>
          </w:tcPr>
          <w:p w14:paraId="608ED02B">
            <w:pPr>
              <w:pStyle w:val="71"/>
              <w:spacing w:before="24" w:after="24"/>
              <w:rPr>
                <w:rFonts w:cs="Times New Roman"/>
              </w:rPr>
            </w:pPr>
            <w:r>
              <w:rPr>
                <w:rFonts w:cs="Times New Roman"/>
              </w:rPr>
              <w:t>各楼层强电间内安装</w:t>
            </w:r>
          </w:p>
        </w:tc>
      </w:tr>
      <w:tr w14:paraId="4818B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40699EAE">
            <w:pPr>
              <w:pStyle w:val="71"/>
              <w:spacing w:before="24" w:after="24"/>
              <w:rPr>
                <w:rFonts w:cs="Times New Roman"/>
              </w:rPr>
            </w:pPr>
            <w:r>
              <w:rPr>
                <w:rFonts w:cs="Times New Roman"/>
              </w:rPr>
              <w:t>2</w:t>
            </w:r>
          </w:p>
        </w:tc>
        <w:tc>
          <w:tcPr>
            <w:tcW w:w="1373" w:type="dxa"/>
            <w:vMerge w:val="continue"/>
            <w:tcBorders>
              <w:top w:val="nil"/>
              <w:left w:val="single" w:color="000000" w:sz="4" w:space="0"/>
              <w:bottom w:val="single" w:color="000000" w:sz="4" w:space="0"/>
              <w:right w:val="single" w:color="000000" w:sz="4" w:space="0"/>
            </w:tcBorders>
            <w:vAlign w:val="center"/>
          </w:tcPr>
          <w:p w14:paraId="2EF95CCB">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2F699A95">
            <w:pPr>
              <w:pStyle w:val="71"/>
              <w:spacing w:before="24" w:after="24"/>
              <w:rPr>
                <w:rFonts w:cs="Times New Roman"/>
              </w:rPr>
            </w:pPr>
            <w:r>
              <w:rPr>
                <w:rFonts w:cs="Times New Roman"/>
              </w:rPr>
              <w:t>照明配电箱</w:t>
            </w:r>
          </w:p>
        </w:tc>
        <w:tc>
          <w:tcPr>
            <w:tcW w:w="3373" w:type="dxa"/>
            <w:tcBorders>
              <w:top w:val="single" w:color="000000" w:sz="4" w:space="0"/>
              <w:left w:val="single" w:color="000000" w:sz="4" w:space="0"/>
              <w:bottom w:val="single" w:color="000000" w:sz="4" w:space="0"/>
              <w:right w:val="single" w:color="000000" w:sz="4" w:space="0"/>
            </w:tcBorders>
            <w:vAlign w:val="center"/>
          </w:tcPr>
          <w:p w14:paraId="015C20DF">
            <w:pPr>
              <w:pStyle w:val="71"/>
              <w:spacing w:before="24" w:after="24"/>
              <w:rPr>
                <w:rFonts w:cs="Times New Roman"/>
              </w:rPr>
            </w:pPr>
            <w:r>
              <w:rPr>
                <w:rFonts w:cs="Times New Roman"/>
              </w:rPr>
              <w:t>按系统图规格、尺寸配置</w:t>
            </w:r>
          </w:p>
        </w:tc>
        <w:tc>
          <w:tcPr>
            <w:tcW w:w="1785" w:type="dxa"/>
            <w:vMerge w:val="continue"/>
            <w:tcBorders>
              <w:top w:val="nil"/>
              <w:left w:val="single" w:color="000000" w:sz="4" w:space="0"/>
              <w:bottom w:val="single" w:color="000000" w:sz="4" w:space="0"/>
              <w:right w:val="single" w:color="000000" w:sz="4" w:space="0"/>
            </w:tcBorders>
            <w:vAlign w:val="center"/>
          </w:tcPr>
          <w:p w14:paraId="4665BD37">
            <w:pPr>
              <w:pStyle w:val="71"/>
              <w:spacing w:before="24" w:after="24"/>
              <w:rPr>
                <w:rFonts w:cs="Times New Roman"/>
              </w:rPr>
            </w:pPr>
          </w:p>
        </w:tc>
      </w:tr>
      <w:tr w14:paraId="12A4E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76EF6957">
            <w:pPr>
              <w:pStyle w:val="71"/>
              <w:spacing w:before="24" w:after="24"/>
              <w:rPr>
                <w:rFonts w:cs="Times New Roman"/>
              </w:rPr>
            </w:pPr>
            <w:r>
              <w:rPr>
                <w:rFonts w:cs="Times New Roman"/>
              </w:rPr>
              <w:t>3</w:t>
            </w:r>
          </w:p>
        </w:tc>
        <w:tc>
          <w:tcPr>
            <w:tcW w:w="1373" w:type="dxa"/>
            <w:vMerge w:val="continue"/>
            <w:tcBorders>
              <w:top w:val="nil"/>
              <w:left w:val="single" w:color="000000" w:sz="4" w:space="0"/>
              <w:bottom w:val="single" w:color="000000" w:sz="4" w:space="0"/>
              <w:right w:val="single" w:color="000000" w:sz="4" w:space="0"/>
            </w:tcBorders>
            <w:vAlign w:val="center"/>
          </w:tcPr>
          <w:p w14:paraId="59A914CE">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469019BF">
            <w:pPr>
              <w:pStyle w:val="71"/>
              <w:spacing w:before="24" w:after="24"/>
              <w:rPr>
                <w:rFonts w:cs="Times New Roman"/>
              </w:rPr>
            </w:pPr>
            <w:r>
              <w:rPr>
                <w:rFonts w:cs="Times New Roman"/>
              </w:rPr>
              <w:t>双电源切换箱</w:t>
            </w:r>
          </w:p>
        </w:tc>
        <w:tc>
          <w:tcPr>
            <w:tcW w:w="3373" w:type="dxa"/>
            <w:tcBorders>
              <w:top w:val="single" w:color="000000" w:sz="4" w:space="0"/>
              <w:left w:val="single" w:color="000000" w:sz="4" w:space="0"/>
              <w:bottom w:val="single" w:color="000000" w:sz="4" w:space="0"/>
              <w:right w:val="single" w:color="000000" w:sz="4" w:space="0"/>
            </w:tcBorders>
            <w:vAlign w:val="center"/>
          </w:tcPr>
          <w:p w14:paraId="21389858">
            <w:pPr>
              <w:pStyle w:val="71"/>
              <w:spacing w:before="24" w:after="24"/>
              <w:rPr>
                <w:rFonts w:cs="Times New Roman"/>
              </w:rPr>
            </w:pPr>
            <w:r>
              <w:rPr>
                <w:rFonts w:cs="Times New Roman"/>
              </w:rPr>
              <w:t>按系统图规格、尺寸配置</w:t>
            </w:r>
          </w:p>
        </w:tc>
        <w:tc>
          <w:tcPr>
            <w:tcW w:w="1785" w:type="dxa"/>
            <w:vMerge w:val="continue"/>
            <w:tcBorders>
              <w:top w:val="nil"/>
              <w:left w:val="single" w:color="000000" w:sz="4" w:space="0"/>
              <w:bottom w:val="single" w:color="000000" w:sz="4" w:space="0"/>
              <w:right w:val="single" w:color="000000" w:sz="4" w:space="0"/>
            </w:tcBorders>
            <w:vAlign w:val="center"/>
          </w:tcPr>
          <w:p w14:paraId="13392749">
            <w:pPr>
              <w:pStyle w:val="71"/>
              <w:spacing w:before="24" w:after="24"/>
              <w:rPr>
                <w:rFonts w:cs="Times New Roman"/>
              </w:rPr>
            </w:pPr>
          </w:p>
        </w:tc>
      </w:tr>
      <w:tr w14:paraId="5BC45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5A719E1B">
            <w:pPr>
              <w:pStyle w:val="71"/>
              <w:spacing w:before="24" w:after="24"/>
              <w:rPr>
                <w:rFonts w:cs="Times New Roman"/>
              </w:rPr>
            </w:pPr>
            <w:r>
              <w:rPr>
                <w:rFonts w:cs="Times New Roman"/>
              </w:rPr>
              <w:t>4</w:t>
            </w:r>
          </w:p>
        </w:tc>
        <w:tc>
          <w:tcPr>
            <w:tcW w:w="1373" w:type="dxa"/>
            <w:vMerge w:val="continue"/>
            <w:tcBorders>
              <w:top w:val="nil"/>
              <w:left w:val="single" w:color="000000" w:sz="4" w:space="0"/>
              <w:bottom w:val="single" w:color="000000" w:sz="4" w:space="0"/>
              <w:right w:val="single" w:color="000000" w:sz="4" w:space="0"/>
            </w:tcBorders>
            <w:vAlign w:val="center"/>
          </w:tcPr>
          <w:p w14:paraId="53CB54DD">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3A838112">
            <w:pPr>
              <w:pStyle w:val="71"/>
              <w:spacing w:before="24" w:after="24"/>
              <w:rPr>
                <w:rFonts w:cs="Times New Roman"/>
              </w:rPr>
            </w:pPr>
            <w:r>
              <w:rPr>
                <w:rFonts w:cs="Times New Roman"/>
              </w:rPr>
              <w:t>控制箱</w:t>
            </w:r>
          </w:p>
        </w:tc>
        <w:tc>
          <w:tcPr>
            <w:tcW w:w="3373" w:type="dxa"/>
            <w:tcBorders>
              <w:top w:val="single" w:color="000000" w:sz="4" w:space="0"/>
              <w:left w:val="single" w:color="000000" w:sz="4" w:space="0"/>
              <w:bottom w:val="single" w:color="000000" w:sz="4" w:space="0"/>
              <w:right w:val="single" w:color="000000" w:sz="4" w:space="0"/>
            </w:tcBorders>
            <w:vAlign w:val="center"/>
          </w:tcPr>
          <w:p w14:paraId="61FB60C2">
            <w:pPr>
              <w:pStyle w:val="71"/>
              <w:spacing w:before="24" w:after="24"/>
              <w:rPr>
                <w:rFonts w:cs="Times New Roman"/>
              </w:rPr>
            </w:pPr>
            <w:r>
              <w:rPr>
                <w:rFonts w:cs="Times New Roman"/>
              </w:rPr>
              <w:t>按系统图及设备深化配置</w:t>
            </w:r>
          </w:p>
        </w:tc>
        <w:tc>
          <w:tcPr>
            <w:tcW w:w="1785" w:type="dxa"/>
            <w:tcBorders>
              <w:top w:val="single" w:color="000000" w:sz="4" w:space="0"/>
              <w:left w:val="single" w:color="000000" w:sz="4" w:space="0"/>
              <w:bottom w:val="single" w:color="000000" w:sz="4" w:space="0"/>
              <w:right w:val="single" w:color="000000" w:sz="4" w:space="0"/>
            </w:tcBorders>
            <w:vAlign w:val="center"/>
          </w:tcPr>
          <w:p w14:paraId="03BBEEC9">
            <w:pPr>
              <w:pStyle w:val="71"/>
              <w:spacing w:before="24" w:after="24"/>
              <w:rPr>
                <w:rFonts w:cs="Times New Roman"/>
              </w:rPr>
            </w:pPr>
            <w:r>
              <w:rPr>
                <w:rFonts w:cs="Times New Roman"/>
              </w:rPr>
              <w:t>各设备附近位置</w:t>
            </w:r>
          </w:p>
        </w:tc>
      </w:tr>
      <w:tr w14:paraId="1E1567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16150B2E">
            <w:pPr>
              <w:pStyle w:val="71"/>
              <w:spacing w:before="24" w:after="24"/>
              <w:rPr>
                <w:rFonts w:cs="Times New Roman"/>
              </w:rPr>
            </w:pPr>
            <w:r>
              <w:rPr>
                <w:rFonts w:cs="Times New Roman"/>
              </w:rPr>
              <w:t>5</w:t>
            </w:r>
          </w:p>
        </w:tc>
        <w:tc>
          <w:tcPr>
            <w:tcW w:w="1373" w:type="dxa"/>
            <w:vMerge w:val="continue"/>
            <w:tcBorders>
              <w:top w:val="nil"/>
              <w:left w:val="single" w:color="000000" w:sz="4" w:space="0"/>
              <w:bottom w:val="single" w:color="000000" w:sz="4" w:space="0"/>
              <w:right w:val="single" w:color="000000" w:sz="4" w:space="0"/>
            </w:tcBorders>
            <w:vAlign w:val="center"/>
          </w:tcPr>
          <w:p w14:paraId="405A9E74">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6F7DB190">
            <w:pPr>
              <w:pStyle w:val="71"/>
              <w:spacing w:before="24" w:after="24"/>
              <w:rPr>
                <w:rFonts w:cs="Times New Roman"/>
              </w:rPr>
            </w:pPr>
            <w:r>
              <w:rPr>
                <w:rFonts w:cs="Times New Roman"/>
              </w:rPr>
              <w:t>A/B型应急照明集中电源箱</w:t>
            </w:r>
          </w:p>
        </w:tc>
        <w:tc>
          <w:tcPr>
            <w:tcW w:w="3373" w:type="dxa"/>
            <w:tcBorders>
              <w:top w:val="single" w:color="000000" w:sz="4" w:space="0"/>
              <w:left w:val="single" w:color="000000" w:sz="4" w:space="0"/>
              <w:bottom w:val="single" w:color="000000" w:sz="4" w:space="0"/>
              <w:right w:val="single" w:color="000000" w:sz="4" w:space="0"/>
            </w:tcBorders>
            <w:vAlign w:val="center"/>
          </w:tcPr>
          <w:p w14:paraId="4411D0F5">
            <w:pPr>
              <w:pStyle w:val="71"/>
              <w:spacing w:before="24" w:after="24"/>
              <w:rPr>
                <w:rFonts w:cs="Times New Roman"/>
              </w:rPr>
            </w:pPr>
            <w:r>
              <w:rPr>
                <w:rFonts w:cs="Times New Roman"/>
              </w:rPr>
              <w:t>按施工图纸系统图配置，蓄电池应急时间满足图纸要求</w:t>
            </w:r>
          </w:p>
        </w:tc>
        <w:tc>
          <w:tcPr>
            <w:tcW w:w="1785" w:type="dxa"/>
            <w:tcBorders>
              <w:top w:val="single" w:color="000000" w:sz="4" w:space="0"/>
              <w:left w:val="single" w:color="000000" w:sz="4" w:space="0"/>
              <w:bottom w:val="single" w:color="000000" w:sz="4" w:space="0"/>
              <w:right w:val="single" w:color="000000" w:sz="4" w:space="0"/>
            </w:tcBorders>
            <w:vAlign w:val="center"/>
          </w:tcPr>
          <w:p w14:paraId="7A8A135A">
            <w:pPr>
              <w:pStyle w:val="71"/>
              <w:spacing w:before="24" w:after="24"/>
              <w:rPr>
                <w:rFonts w:cs="Times New Roman"/>
              </w:rPr>
            </w:pPr>
            <w:r>
              <w:rPr>
                <w:rFonts w:cs="Times New Roman"/>
              </w:rPr>
              <w:t>各楼层强电间内安装</w:t>
            </w:r>
          </w:p>
        </w:tc>
      </w:tr>
      <w:tr w14:paraId="552E7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362D5A4D">
            <w:pPr>
              <w:pStyle w:val="71"/>
              <w:spacing w:before="24" w:after="24"/>
              <w:rPr>
                <w:rFonts w:cs="Times New Roman"/>
              </w:rPr>
            </w:pPr>
            <w:r>
              <w:rPr>
                <w:rFonts w:cs="Times New Roman"/>
              </w:rPr>
              <w:t>6</w:t>
            </w:r>
          </w:p>
        </w:tc>
        <w:tc>
          <w:tcPr>
            <w:tcW w:w="1373" w:type="dxa"/>
            <w:vMerge w:val="continue"/>
            <w:tcBorders>
              <w:top w:val="nil"/>
              <w:left w:val="single" w:color="000000" w:sz="4" w:space="0"/>
              <w:bottom w:val="single" w:color="000000" w:sz="4" w:space="0"/>
              <w:right w:val="single" w:color="000000" w:sz="4" w:space="0"/>
            </w:tcBorders>
            <w:vAlign w:val="center"/>
          </w:tcPr>
          <w:p w14:paraId="04EDFB11">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38C56C68">
            <w:pPr>
              <w:pStyle w:val="71"/>
              <w:spacing w:before="24" w:after="24"/>
              <w:rPr>
                <w:rFonts w:cs="Times New Roman"/>
              </w:rPr>
            </w:pPr>
            <w:r>
              <w:rPr>
                <w:rFonts w:cs="Times New Roman"/>
              </w:rPr>
              <w:t>集中电表箱</w:t>
            </w:r>
          </w:p>
        </w:tc>
        <w:tc>
          <w:tcPr>
            <w:tcW w:w="3373" w:type="dxa"/>
            <w:tcBorders>
              <w:top w:val="single" w:color="000000" w:sz="4" w:space="0"/>
              <w:left w:val="single" w:color="000000" w:sz="4" w:space="0"/>
              <w:bottom w:val="single" w:color="000000" w:sz="4" w:space="0"/>
              <w:right w:val="single" w:color="000000" w:sz="4" w:space="0"/>
            </w:tcBorders>
            <w:vAlign w:val="center"/>
          </w:tcPr>
          <w:p w14:paraId="08DC9239">
            <w:pPr>
              <w:pStyle w:val="71"/>
              <w:spacing w:before="24" w:after="24"/>
              <w:rPr>
                <w:rFonts w:cs="Times New Roman"/>
              </w:rPr>
            </w:pPr>
            <w:r>
              <w:rPr>
                <w:rFonts w:cs="Times New Roman"/>
              </w:rPr>
              <w:t>按系统图规格、尺寸配置，另需满足当地供电局要求</w:t>
            </w:r>
          </w:p>
        </w:tc>
        <w:tc>
          <w:tcPr>
            <w:tcW w:w="1785" w:type="dxa"/>
            <w:tcBorders>
              <w:top w:val="single" w:color="000000" w:sz="4" w:space="0"/>
              <w:left w:val="single" w:color="000000" w:sz="4" w:space="0"/>
              <w:bottom w:val="single" w:color="000000" w:sz="4" w:space="0"/>
              <w:right w:val="single" w:color="000000" w:sz="4" w:space="0"/>
            </w:tcBorders>
            <w:vAlign w:val="center"/>
          </w:tcPr>
          <w:p w14:paraId="10E25047">
            <w:pPr>
              <w:pStyle w:val="71"/>
              <w:spacing w:before="24" w:after="24"/>
              <w:rPr>
                <w:rFonts w:cs="Times New Roman"/>
              </w:rPr>
            </w:pPr>
            <w:r>
              <w:rPr>
                <w:rFonts w:cs="Times New Roman"/>
              </w:rPr>
              <w:t> </w:t>
            </w:r>
          </w:p>
        </w:tc>
      </w:tr>
      <w:tr w14:paraId="59E38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728F98F7">
            <w:pPr>
              <w:pStyle w:val="71"/>
              <w:spacing w:before="24" w:after="24"/>
              <w:rPr>
                <w:rFonts w:cs="Times New Roman"/>
              </w:rPr>
            </w:pPr>
            <w:r>
              <w:rPr>
                <w:rFonts w:cs="Times New Roman"/>
              </w:rPr>
              <w:t>7</w:t>
            </w:r>
          </w:p>
        </w:tc>
        <w:tc>
          <w:tcPr>
            <w:tcW w:w="1373" w:type="dxa"/>
            <w:vMerge w:val="continue"/>
            <w:tcBorders>
              <w:top w:val="nil"/>
              <w:left w:val="single" w:color="000000" w:sz="4" w:space="0"/>
              <w:bottom w:val="single" w:color="000000" w:sz="4" w:space="0"/>
              <w:right w:val="single" w:color="000000" w:sz="4" w:space="0"/>
            </w:tcBorders>
            <w:vAlign w:val="center"/>
          </w:tcPr>
          <w:p w14:paraId="09EC326C">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455701EC">
            <w:pPr>
              <w:pStyle w:val="71"/>
              <w:spacing w:before="24" w:after="24"/>
              <w:rPr>
                <w:rFonts w:cs="Times New Roman"/>
              </w:rPr>
            </w:pPr>
            <w:r>
              <w:rPr>
                <w:rFonts w:cs="Times New Roman"/>
              </w:rPr>
              <w:t>户内配电箱</w:t>
            </w:r>
          </w:p>
        </w:tc>
        <w:tc>
          <w:tcPr>
            <w:tcW w:w="3373" w:type="dxa"/>
            <w:tcBorders>
              <w:top w:val="single" w:color="000000" w:sz="4" w:space="0"/>
              <w:left w:val="single" w:color="000000" w:sz="4" w:space="0"/>
              <w:bottom w:val="single" w:color="000000" w:sz="4" w:space="0"/>
              <w:right w:val="single" w:color="000000" w:sz="4" w:space="0"/>
            </w:tcBorders>
            <w:vAlign w:val="center"/>
          </w:tcPr>
          <w:p w14:paraId="35F1866A">
            <w:pPr>
              <w:pStyle w:val="71"/>
              <w:spacing w:before="24" w:after="24"/>
              <w:rPr>
                <w:rFonts w:cs="Times New Roman"/>
              </w:rPr>
            </w:pPr>
            <w:r>
              <w:rPr>
                <w:rFonts w:cs="Times New Roman"/>
              </w:rPr>
              <w:t>按系统图规格、尺寸配置</w:t>
            </w:r>
          </w:p>
        </w:tc>
        <w:tc>
          <w:tcPr>
            <w:tcW w:w="1785" w:type="dxa"/>
            <w:tcBorders>
              <w:top w:val="single" w:color="000000" w:sz="4" w:space="0"/>
              <w:left w:val="single" w:color="000000" w:sz="4" w:space="0"/>
              <w:bottom w:val="single" w:color="000000" w:sz="4" w:space="0"/>
              <w:right w:val="single" w:color="000000" w:sz="4" w:space="0"/>
            </w:tcBorders>
            <w:vAlign w:val="center"/>
          </w:tcPr>
          <w:p w14:paraId="0DBE5585">
            <w:pPr>
              <w:pStyle w:val="71"/>
              <w:spacing w:before="24" w:after="24"/>
              <w:rPr>
                <w:rFonts w:cs="Times New Roman"/>
              </w:rPr>
            </w:pPr>
            <w:r>
              <w:rPr>
                <w:rFonts w:cs="Times New Roman"/>
              </w:rPr>
              <w:t>住宅户内</w:t>
            </w:r>
          </w:p>
        </w:tc>
      </w:tr>
      <w:tr w14:paraId="079632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09C9C427">
            <w:pPr>
              <w:pStyle w:val="71"/>
              <w:spacing w:before="24" w:after="24"/>
              <w:rPr>
                <w:rFonts w:cs="Times New Roman"/>
              </w:rPr>
            </w:pPr>
            <w:r>
              <w:rPr>
                <w:rFonts w:cs="Times New Roman"/>
              </w:rPr>
              <w:t>8</w:t>
            </w:r>
          </w:p>
        </w:tc>
        <w:tc>
          <w:tcPr>
            <w:tcW w:w="1373" w:type="dxa"/>
            <w:vMerge w:val="restart"/>
            <w:tcBorders>
              <w:top w:val="nil"/>
              <w:left w:val="single" w:color="000000" w:sz="4" w:space="0"/>
              <w:bottom w:val="single" w:color="000000" w:sz="4" w:space="0"/>
              <w:right w:val="single" w:color="000000" w:sz="4" w:space="0"/>
            </w:tcBorders>
            <w:vAlign w:val="center"/>
          </w:tcPr>
          <w:p w14:paraId="1C76BEF9">
            <w:pPr>
              <w:pStyle w:val="71"/>
              <w:spacing w:before="24" w:after="24"/>
              <w:rPr>
                <w:rFonts w:cs="Times New Roman"/>
              </w:rPr>
            </w:pPr>
          </w:p>
          <w:p w14:paraId="12890FC8">
            <w:pPr>
              <w:pStyle w:val="71"/>
              <w:spacing w:before="24" w:after="24"/>
              <w:rPr>
                <w:rFonts w:cs="Times New Roman"/>
              </w:rPr>
            </w:pPr>
            <w:r>
              <w:rPr>
                <w:rFonts w:cs="Times New Roman"/>
              </w:rPr>
              <w:t>普通照明灯具</w:t>
            </w:r>
          </w:p>
        </w:tc>
        <w:tc>
          <w:tcPr>
            <w:tcW w:w="2476" w:type="dxa"/>
            <w:tcBorders>
              <w:top w:val="single" w:color="000000" w:sz="4" w:space="0"/>
              <w:left w:val="single" w:color="000000" w:sz="4" w:space="0"/>
              <w:bottom w:val="single" w:color="000000" w:sz="4" w:space="0"/>
              <w:right w:val="single" w:color="000000" w:sz="4" w:space="0"/>
            </w:tcBorders>
            <w:vAlign w:val="center"/>
          </w:tcPr>
          <w:p w14:paraId="2F2F1D69">
            <w:pPr>
              <w:pStyle w:val="71"/>
              <w:spacing w:before="24" w:after="24"/>
              <w:rPr>
                <w:rFonts w:cs="Times New Roman"/>
              </w:rPr>
            </w:pPr>
            <w:r>
              <w:rPr>
                <w:rFonts w:cs="Times New Roman"/>
              </w:rPr>
              <w:t>吸顶灯</w:t>
            </w:r>
          </w:p>
        </w:tc>
        <w:tc>
          <w:tcPr>
            <w:tcW w:w="3373" w:type="dxa"/>
            <w:tcBorders>
              <w:top w:val="single" w:color="000000" w:sz="4" w:space="0"/>
              <w:left w:val="single" w:color="000000" w:sz="4" w:space="0"/>
              <w:bottom w:val="single" w:color="000000" w:sz="4" w:space="0"/>
              <w:right w:val="single" w:color="000000" w:sz="4" w:space="0"/>
            </w:tcBorders>
            <w:vAlign w:val="center"/>
          </w:tcPr>
          <w:p w14:paraId="3D881000">
            <w:pPr>
              <w:pStyle w:val="71"/>
              <w:spacing w:before="24" w:after="24"/>
              <w:rPr>
                <w:rFonts w:cs="Times New Roman"/>
              </w:rPr>
            </w:pPr>
            <w:r>
              <w:rPr>
                <w:rFonts w:cs="Times New Roman"/>
              </w:rPr>
              <w:t>白炽灯-功率按图纸</w:t>
            </w:r>
          </w:p>
        </w:tc>
        <w:tc>
          <w:tcPr>
            <w:tcW w:w="1785" w:type="dxa"/>
            <w:tcBorders>
              <w:top w:val="single" w:color="000000" w:sz="4" w:space="0"/>
              <w:left w:val="single" w:color="000000" w:sz="4" w:space="0"/>
              <w:bottom w:val="single" w:color="000000" w:sz="4" w:space="0"/>
              <w:right w:val="single" w:color="000000" w:sz="4" w:space="0"/>
            </w:tcBorders>
            <w:vAlign w:val="center"/>
          </w:tcPr>
          <w:p w14:paraId="27DA9516">
            <w:pPr>
              <w:pStyle w:val="71"/>
              <w:spacing w:before="24" w:after="24"/>
              <w:rPr>
                <w:rFonts w:cs="Times New Roman"/>
              </w:rPr>
            </w:pPr>
            <w:r>
              <w:rPr>
                <w:rFonts w:cs="Times New Roman"/>
              </w:rPr>
              <w:t>住宅户内</w:t>
            </w:r>
          </w:p>
        </w:tc>
      </w:tr>
      <w:tr w14:paraId="18602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28200DF8">
            <w:pPr>
              <w:pStyle w:val="71"/>
              <w:spacing w:before="24" w:after="24"/>
              <w:rPr>
                <w:rFonts w:cs="Times New Roman"/>
              </w:rPr>
            </w:pPr>
            <w:r>
              <w:rPr>
                <w:rFonts w:cs="Times New Roman"/>
              </w:rPr>
              <w:t>9</w:t>
            </w:r>
          </w:p>
        </w:tc>
        <w:tc>
          <w:tcPr>
            <w:tcW w:w="1373" w:type="dxa"/>
            <w:vMerge w:val="continue"/>
            <w:tcBorders>
              <w:top w:val="nil"/>
              <w:left w:val="single" w:color="000000" w:sz="4" w:space="0"/>
              <w:bottom w:val="single" w:color="000000" w:sz="4" w:space="0"/>
              <w:right w:val="single" w:color="000000" w:sz="4" w:space="0"/>
            </w:tcBorders>
            <w:vAlign w:val="center"/>
          </w:tcPr>
          <w:p w14:paraId="70C4BCA1">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46856F03">
            <w:pPr>
              <w:pStyle w:val="71"/>
              <w:spacing w:before="24" w:after="24"/>
              <w:rPr>
                <w:rFonts w:cs="Times New Roman"/>
              </w:rPr>
            </w:pPr>
            <w:r>
              <w:rPr>
                <w:rFonts w:cs="Times New Roman"/>
              </w:rPr>
              <w:t>镜前灯</w:t>
            </w:r>
          </w:p>
        </w:tc>
        <w:tc>
          <w:tcPr>
            <w:tcW w:w="3373" w:type="dxa"/>
            <w:tcBorders>
              <w:top w:val="single" w:color="000000" w:sz="4" w:space="0"/>
              <w:left w:val="single" w:color="000000" w:sz="4" w:space="0"/>
              <w:bottom w:val="single" w:color="000000" w:sz="4" w:space="0"/>
              <w:right w:val="single" w:color="000000" w:sz="4" w:space="0"/>
            </w:tcBorders>
            <w:vAlign w:val="center"/>
          </w:tcPr>
          <w:p w14:paraId="0800B01E">
            <w:pPr>
              <w:pStyle w:val="71"/>
              <w:spacing w:before="24" w:after="24"/>
              <w:rPr>
                <w:rFonts w:cs="Times New Roman"/>
              </w:rPr>
            </w:pPr>
            <w:r>
              <w:rPr>
                <w:rFonts w:cs="Times New Roman"/>
              </w:rPr>
              <w:t>LED-功率按图纸/IP54</w:t>
            </w:r>
          </w:p>
        </w:tc>
        <w:tc>
          <w:tcPr>
            <w:tcW w:w="1785" w:type="dxa"/>
            <w:tcBorders>
              <w:top w:val="single" w:color="000000" w:sz="4" w:space="0"/>
              <w:left w:val="single" w:color="000000" w:sz="4" w:space="0"/>
              <w:bottom w:val="single" w:color="000000" w:sz="4" w:space="0"/>
              <w:right w:val="single" w:color="000000" w:sz="4" w:space="0"/>
            </w:tcBorders>
            <w:vAlign w:val="center"/>
          </w:tcPr>
          <w:p w14:paraId="1D712333">
            <w:pPr>
              <w:pStyle w:val="71"/>
              <w:spacing w:before="24" w:after="24"/>
              <w:rPr>
                <w:rFonts w:cs="Times New Roman"/>
              </w:rPr>
            </w:pPr>
            <w:r>
              <w:rPr>
                <w:rFonts w:cs="Times New Roman"/>
              </w:rPr>
              <w:t>住宅户内卫生间用</w:t>
            </w:r>
          </w:p>
        </w:tc>
      </w:tr>
      <w:tr w14:paraId="7782E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3CAFF70C">
            <w:pPr>
              <w:pStyle w:val="71"/>
              <w:spacing w:before="24" w:after="24"/>
              <w:rPr>
                <w:rFonts w:cs="Times New Roman"/>
              </w:rPr>
            </w:pPr>
            <w:r>
              <w:rPr>
                <w:rFonts w:cs="Times New Roman"/>
              </w:rPr>
              <w:t>10</w:t>
            </w:r>
          </w:p>
        </w:tc>
        <w:tc>
          <w:tcPr>
            <w:tcW w:w="1373" w:type="dxa"/>
            <w:vMerge w:val="continue"/>
            <w:tcBorders>
              <w:top w:val="nil"/>
              <w:left w:val="single" w:color="000000" w:sz="4" w:space="0"/>
              <w:bottom w:val="single" w:color="000000" w:sz="4" w:space="0"/>
              <w:right w:val="single" w:color="000000" w:sz="4" w:space="0"/>
            </w:tcBorders>
            <w:vAlign w:val="center"/>
          </w:tcPr>
          <w:p w14:paraId="45A559B5">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736F4021">
            <w:pPr>
              <w:pStyle w:val="71"/>
              <w:spacing w:before="24" w:after="24"/>
              <w:rPr>
                <w:rFonts w:cs="Times New Roman"/>
              </w:rPr>
            </w:pPr>
            <w:r>
              <w:rPr>
                <w:rFonts w:cs="Times New Roman"/>
              </w:rPr>
              <w:t>密闭吸顶灯</w:t>
            </w:r>
          </w:p>
        </w:tc>
        <w:tc>
          <w:tcPr>
            <w:tcW w:w="3373" w:type="dxa"/>
            <w:tcBorders>
              <w:top w:val="single" w:color="000000" w:sz="4" w:space="0"/>
              <w:left w:val="single" w:color="000000" w:sz="4" w:space="0"/>
              <w:bottom w:val="single" w:color="000000" w:sz="4" w:space="0"/>
              <w:right w:val="single" w:color="000000" w:sz="4" w:space="0"/>
            </w:tcBorders>
            <w:vAlign w:val="center"/>
          </w:tcPr>
          <w:p w14:paraId="0DFC27DB">
            <w:pPr>
              <w:pStyle w:val="71"/>
              <w:spacing w:before="24" w:after="24"/>
              <w:rPr>
                <w:rFonts w:cs="Times New Roman"/>
              </w:rPr>
            </w:pPr>
            <w:r>
              <w:rPr>
                <w:rFonts w:cs="Times New Roman"/>
              </w:rPr>
              <w:t>LED-功率按图纸/IP54</w:t>
            </w:r>
          </w:p>
        </w:tc>
        <w:tc>
          <w:tcPr>
            <w:tcW w:w="1785" w:type="dxa"/>
            <w:tcBorders>
              <w:top w:val="single" w:color="000000" w:sz="4" w:space="0"/>
              <w:left w:val="single" w:color="000000" w:sz="4" w:space="0"/>
              <w:bottom w:val="single" w:color="000000" w:sz="4" w:space="0"/>
              <w:right w:val="single" w:color="000000" w:sz="4" w:space="0"/>
            </w:tcBorders>
            <w:vAlign w:val="center"/>
          </w:tcPr>
          <w:p w14:paraId="1D91A566">
            <w:pPr>
              <w:pStyle w:val="71"/>
              <w:spacing w:before="24" w:after="24"/>
              <w:rPr>
                <w:rFonts w:cs="Times New Roman"/>
              </w:rPr>
            </w:pPr>
            <w:r>
              <w:rPr>
                <w:rFonts w:cs="Times New Roman"/>
              </w:rPr>
              <w:t>住宅户内卫生间用</w:t>
            </w:r>
          </w:p>
        </w:tc>
      </w:tr>
      <w:tr w14:paraId="18F1A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74D6AC77">
            <w:pPr>
              <w:pStyle w:val="71"/>
              <w:spacing w:before="24" w:after="24"/>
              <w:rPr>
                <w:rFonts w:cs="Times New Roman"/>
              </w:rPr>
            </w:pPr>
            <w:r>
              <w:rPr>
                <w:rFonts w:cs="Times New Roman"/>
              </w:rPr>
              <w:t>11</w:t>
            </w:r>
          </w:p>
        </w:tc>
        <w:tc>
          <w:tcPr>
            <w:tcW w:w="1373" w:type="dxa"/>
            <w:vMerge w:val="continue"/>
            <w:tcBorders>
              <w:top w:val="nil"/>
              <w:left w:val="single" w:color="000000" w:sz="4" w:space="0"/>
              <w:bottom w:val="single" w:color="000000" w:sz="4" w:space="0"/>
              <w:right w:val="single" w:color="000000" w:sz="4" w:space="0"/>
            </w:tcBorders>
            <w:vAlign w:val="center"/>
          </w:tcPr>
          <w:p w14:paraId="6AA3370E">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12840E99">
            <w:pPr>
              <w:pStyle w:val="71"/>
              <w:spacing w:before="24" w:after="24"/>
              <w:rPr>
                <w:rFonts w:cs="Times New Roman"/>
              </w:rPr>
            </w:pPr>
            <w:r>
              <w:rPr>
                <w:rFonts w:cs="Times New Roman"/>
              </w:rPr>
              <w:t>吸顶灯</w:t>
            </w:r>
          </w:p>
        </w:tc>
        <w:tc>
          <w:tcPr>
            <w:tcW w:w="3373" w:type="dxa"/>
            <w:tcBorders>
              <w:top w:val="single" w:color="000000" w:sz="4" w:space="0"/>
              <w:left w:val="single" w:color="000000" w:sz="4" w:space="0"/>
              <w:bottom w:val="single" w:color="000000" w:sz="4" w:space="0"/>
              <w:right w:val="single" w:color="000000" w:sz="4" w:space="0"/>
            </w:tcBorders>
            <w:vAlign w:val="center"/>
          </w:tcPr>
          <w:p w14:paraId="6F30B662">
            <w:pPr>
              <w:pStyle w:val="71"/>
              <w:spacing w:before="24" w:after="24"/>
              <w:rPr>
                <w:rFonts w:cs="Times New Roman"/>
              </w:rPr>
            </w:pPr>
            <w:r>
              <w:rPr>
                <w:rFonts w:cs="Times New Roman"/>
              </w:rPr>
              <w:t>LED-功率按图纸，一体式红外感应</w:t>
            </w:r>
          </w:p>
        </w:tc>
        <w:tc>
          <w:tcPr>
            <w:tcW w:w="1785" w:type="dxa"/>
            <w:tcBorders>
              <w:top w:val="single" w:color="000000" w:sz="4" w:space="0"/>
              <w:left w:val="single" w:color="000000" w:sz="4" w:space="0"/>
              <w:bottom w:val="single" w:color="000000" w:sz="4" w:space="0"/>
              <w:right w:val="single" w:color="000000" w:sz="4" w:space="0"/>
            </w:tcBorders>
            <w:vAlign w:val="center"/>
          </w:tcPr>
          <w:p w14:paraId="3AD1AD49">
            <w:pPr>
              <w:pStyle w:val="71"/>
              <w:spacing w:before="24" w:after="24"/>
              <w:rPr>
                <w:rFonts w:cs="Times New Roman"/>
              </w:rPr>
            </w:pPr>
            <w:r>
              <w:rPr>
                <w:rFonts w:cs="Times New Roman"/>
              </w:rPr>
              <w:t>公区室内吸顶安装</w:t>
            </w:r>
          </w:p>
        </w:tc>
      </w:tr>
      <w:tr w14:paraId="0B2A38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08D594F1">
            <w:pPr>
              <w:pStyle w:val="71"/>
              <w:spacing w:before="24" w:after="24"/>
              <w:rPr>
                <w:rFonts w:cs="Times New Roman"/>
              </w:rPr>
            </w:pPr>
            <w:r>
              <w:rPr>
                <w:rFonts w:cs="Times New Roman"/>
              </w:rPr>
              <w:t>12</w:t>
            </w:r>
          </w:p>
        </w:tc>
        <w:tc>
          <w:tcPr>
            <w:tcW w:w="1373" w:type="dxa"/>
            <w:vMerge w:val="continue"/>
            <w:tcBorders>
              <w:top w:val="nil"/>
              <w:left w:val="single" w:color="000000" w:sz="4" w:space="0"/>
              <w:bottom w:val="single" w:color="000000" w:sz="4" w:space="0"/>
              <w:right w:val="single" w:color="000000" w:sz="4" w:space="0"/>
            </w:tcBorders>
            <w:vAlign w:val="center"/>
          </w:tcPr>
          <w:p w14:paraId="04BFA284">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46CA67F0">
            <w:pPr>
              <w:pStyle w:val="71"/>
              <w:spacing w:before="24" w:after="24"/>
              <w:rPr>
                <w:rFonts w:cs="Times New Roman"/>
              </w:rPr>
            </w:pPr>
            <w:r>
              <w:rPr>
                <w:rFonts w:cs="Times New Roman"/>
              </w:rPr>
              <w:t>双管荧光灯</w:t>
            </w:r>
          </w:p>
        </w:tc>
        <w:tc>
          <w:tcPr>
            <w:tcW w:w="3373" w:type="dxa"/>
            <w:tcBorders>
              <w:top w:val="single" w:color="000000" w:sz="4" w:space="0"/>
              <w:left w:val="single" w:color="000000" w:sz="4" w:space="0"/>
              <w:bottom w:val="single" w:color="000000" w:sz="4" w:space="0"/>
              <w:right w:val="single" w:color="000000" w:sz="4" w:space="0"/>
            </w:tcBorders>
            <w:vAlign w:val="center"/>
          </w:tcPr>
          <w:p w14:paraId="5E022EB0">
            <w:pPr>
              <w:pStyle w:val="71"/>
              <w:spacing w:before="24" w:after="24"/>
              <w:rPr>
                <w:rFonts w:cs="Times New Roman"/>
              </w:rPr>
            </w:pPr>
            <w:r>
              <w:rPr>
                <w:rFonts w:cs="Times New Roman"/>
              </w:rPr>
              <w:t>T8-LED-功率按图纸</w:t>
            </w:r>
          </w:p>
        </w:tc>
        <w:tc>
          <w:tcPr>
            <w:tcW w:w="1785" w:type="dxa"/>
            <w:tcBorders>
              <w:top w:val="single" w:color="000000" w:sz="4" w:space="0"/>
              <w:left w:val="single" w:color="000000" w:sz="4" w:space="0"/>
              <w:bottom w:val="single" w:color="000000" w:sz="4" w:space="0"/>
              <w:right w:val="single" w:color="000000" w:sz="4" w:space="0"/>
            </w:tcBorders>
            <w:vAlign w:val="center"/>
          </w:tcPr>
          <w:p w14:paraId="14C6013D">
            <w:pPr>
              <w:pStyle w:val="71"/>
              <w:spacing w:before="24" w:after="24"/>
              <w:rPr>
                <w:rFonts w:cs="Times New Roman"/>
              </w:rPr>
            </w:pPr>
            <w:r>
              <w:rPr>
                <w:rFonts w:cs="Times New Roman"/>
              </w:rPr>
              <w:t>地下车库内</w:t>
            </w:r>
          </w:p>
        </w:tc>
      </w:tr>
      <w:tr w14:paraId="3A3BF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6DD31BA4">
            <w:pPr>
              <w:pStyle w:val="71"/>
              <w:spacing w:before="24" w:after="24"/>
              <w:rPr>
                <w:rFonts w:cs="Times New Roman"/>
              </w:rPr>
            </w:pPr>
            <w:r>
              <w:rPr>
                <w:rFonts w:cs="Times New Roman"/>
              </w:rPr>
              <w:t>13</w:t>
            </w:r>
          </w:p>
        </w:tc>
        <w:tc>
          <w:tcPr>
            <w:tcW w:w="1373" w:type="dxa"/>
            <w:vMerge w:val="continue"/>
            <w:tcBorders>
              <w:top w:val="nil"/>
              <w:left w:val="single" w:color="000000" w:sz="4" w:space="0"/>
              <w:bottom w:val="single" w:color="000000" w:sz="4" w:space="0"/>
              <w:right w:val="single" w:color="000000" w:sz="4" w:space="0"/>
            </w:tcBorders>
            <w:vAlign w:val="center"/>
          </w:tcPr>
          <w:p w14:paraId="56D861BB">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462A2637">
            <w:pPr>
              <w:pStyle w:val="71"/>
              <w:spacing w:before="24" w:after="24"/>
              <w:rPr>
                <w:rFonts w:cs="Times New Roman"/>
              </w:rPr>
            </w:pPr>
            <w:r>
              <w:rPr>
                <w:rFonts w:cs="Times New Roman"/>
              </w:rPr>
              <w:t>单管荧光灯</w:t>
            </w:r>
          </w:p>
        </w:tc>
        <w:tc>
          <w:tcPr>
            <w:tcW w:w="3373" w:type="dxa"/>
            <w:tcBorders>
              <w:top w:val="single" w:color="000000" w:sz="4" w:space="0"/>
              <w:left w:val="single" w:color="000000" w:sz="4" w:space="0"/>
              <w:bottom w:val="single" w:color="000000" w:sz="4" w:space="0"/>
              <w:right w:val="single" w:color="000000" w:sz="4" w:space="0"/>
            </w:tcBorders>
            <w:vAlign w:val="center"/>
          </w:tcPr>
          <w:p w14:paraId="5A08D94E">
            <w:pPr>
              <w:pStyle w:val="71"/>
              <w:spacing w:before="24" w:after="24"/>
              <w:rPr>
                <w:rFonts w:cs="Times New Roman"/>
              </w:rPr>
            </w:pPr>
            <w:r>
              <w:rPr>
                <w:rFonts w:cs="Times New Roman"/>
              </w:rPr>
              <w:t>T8-LED-功率按图纸</w:t>
            </w:r>
          </w:p>
        </w:tc>
        <w:tc>
          <w:tcPr>
            <w:tcW w:w="1785" w:type="dxa"/>
            <w:tcBorders>
              <w:top w:val="single" w:color="000000" w:sz="4" w:space="0"/>
              <w:left w:val="single" w:color="000000" w:sz="4" w:space="0"/>
              <w:bottom w:val="single" w:color="000000" w:sz="4" w:space="0"/>
              <w:right w:val="single" w:color="000000" w:sz="4" w:space="0"/>
            </w:tcBorders>
            <w:vAlign w:val="center"/>
          </w:tcPr>
          <w:p w14:paraId="20857090">
            <w:pPr>
              <w:pStyle w:val="71"/>
              <w:spacing w:before="24" w:after="24"/>
              <w:rPr>
                <w:rFonts w:cs="Times New Roman"/>
              </w:rPr>
            </w:pPr>
            <w:r>
              <w:rPr>
                <w:rFonts w:cs="Times New Roman"/>
              </w:rPr>
              <w:t>地下车库及功能房间内</w:t>
            </w:r>
          </w:p>
        </w:tc>
      </w:tr>
      <w:tr w14:paraId="7EF49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293376D7">
            <w:pPr>
              <w:pStyle w:val="71"/>
              <w:spacing w:before="24" w:after="24"/>
              <w:rPr>
                <w:rFonts w:cs="Times New Roman"/>
              </w:rPr>
            </w:pPr>
            <w:r>
              <w:rPr>
                <w:rFonts w:cs="Times New Roman"/>
              </w:rPr>
              <w:t>14</w:t>
            </w:r>
          </w:p>
        </w:tc>
        <w:tc>
          <w:tcPr>
            <w:tcW w:w="1373" w:type="dxa"/>
            <w:vMerge w:val="continue"/>
            <w:tcBorders>
              <w:top w:val="nil"/>
              <w:left w:val="single" w:color="000000" w:sz="4" w:space="0"/>
              <w:bottom w:val="single" w:color="000000" w:sz="4" w:space="0"/>
              <w:right w:val="single" w:color="000000" w:sz="4" w:space="0"/>
            </w:tcBorders>
            <w:vAlign w:val="center"/>
          </w:tcPr>
          <w:p w14:paraId="3662EE86">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0C654B0C">
            <w:pPr>
              <w:pStyle w:val="71"/>
              <w:spacing w:before="24" w:after="24"/>
              <w:rPr>
                <w:rFonts w:cs="Times New Roman"/>
              </w:rPr>
            </w:pPr>
            <w:r>
              <w:rPr>
                <w:rFonts w:cs="Times New Roman"/>
              </w:rPr>
              <w:t>单管荧光壁灯</w:t>
            </w:r>
          </w:p>
        </w:tc>
        <w:tc>
          <w:tcPr>
            <w:tcW w:w="3373" w:type="dxa"/>
            <w:tcBorders>
              <w:top w:val="single" w:color="000000" w:sz="4" w:space="0"/>
              <w:left w:val="single" w:color="000000" w:sz="4" w:space="0"/>
              <w:bottom w:val="single" w:color="000000" w:sz="4" w:space="0"/>
              <w:right w:val="single" w:color="000000" w:sz="4" w:space="0"/>
            </w:tcBorders>
            <w:vAlign w:val="center"/>
          </w:tcPr>
          <w:p w14:paraId="24FCBFF6">
            <w:pPr>
              <w:pStyle w:val="71"/>
              <w:spacing w:before="24" w:after="24"/>
              <w:rPr>
                <w:rFonts w:cs="Times New Roman"/>
              </w:rPr>
            </w:pPr>
            <w:r>
              <w:rPr>
                <w:rFonts w:cs="Times New Roman"/>
              </w:rPr>
              <w:t>T8-LED-功率按图纸</w:t>
            </w:r>
          </w:p>
        </w:tc>
        <w:tc>
          <w:tcPr>
            <w:tcW w:w="1785" w:type="dxa"/>
            <w:tcBorders>
              <w:top w:val="single" w:color="000000" w:sz="4" w:space="0"/>
              <w:left w:val="single" w:color="000000" w:sz="4" w:space="0"/>
              <w:bottom w:val="single" w:color="000000" w:sz="4" w:space="0"/>
              <w:right w:val="single" w:color="000000" w:sz="4" w:space="0"/>
            </w:tcBorders>
            <w:vAlign w:val="center"/>
          </w:tcPr>
          <w:p w14:paraId="0F5D077A">
            <w:pPr>
              <w:pStyle w:val="71"/>
              <w:spacing w:before="24" w:after="24"/>
              <w:rPr>
                <w:rFonts w:cs="Times New Roman"/>
              </w:rPr>
            </w:pPr>
            <w:r>
              <w:rPr>
                <w:rFonts w:cs="Times New Roman"/>
              </w:rPr>
              <w:t>地下车库及功能房间内</w:t>
            </w:r>
          </w:p>
        </w:tc>
      </w:tr>
      <w:tr w14:paraId="287BB2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080ED8D3">
            <w:pPr>
              <w:pStyle w:val="71"/>
              <w:spacing w:before="24" w:after="24"/>
              <w:rPr>
                <w:rFonts w:cs="Times New Roman"/>
              </w:rPr>
            </w:pPr>
            <w:r>
              <w:rPr>
                <w:rFonts w:cs="Times New Roman"/>
              </w:rPr>
              <w:t>15</w:t>
            </w:r>
          </w:p>
        </w:tc>
        <w:tc>
          <w:tcPr>
            <w:tcW w:w="1373" w:type="dxa"/>
            <w:vMerge w:val="continue"/>
            <w:tcBorders>
              <w:top w:val="nil"/>
              <w:left w:val="single" w:color="000000" w:sz="4" w:space="0"/>
              <w:bottom w:val="single" w:color="000000" w:sz="4" w:space="0"/>
              <w:right w:val="single" w:color="000000" w:sz="4" w:space="0"/>
            </w:tcBorders>
            <w:vAlign w:val="center"/>
          </w:tcPr>
          <w:p w14:paraId="3CA0D405">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00F29498">
            <w:pPr>
              <w:pStyle w:val="71"/>
              <w:spacing w:before="24" w:after="24"/>
              <w:rPr>
                <w:rFonts w:cs="Times New Roman"/>
              </w:rPr>
            </w:pPr>
            <w:r>
              <w:rPr>
                <w:rFonts w:cs="Times New Roman"/>
              </w:rPr>
              <w:t>单管荧光密闭式灯</w:t>
            </w:r>
          </w:p>
        </w:tc>
        <w:tc>
          <w:tcPr>
            <w:tcW w:w="3373" w:type="dxa"/>
            <w:tcBorders>
              <w:top w:val="single" w:color="000000" w:sz="4" w:space="0"/>
              <w:left w:val="single" w:color="000000" w:sz="4" w:space="0"/>
              <w:bottom w:val="single" w:color="000000" w:sz="4" w:space="0"/>
              <w:right w:val="single" w:color="000000" w:sz="4" w:space="0"/>
            </w:tcBorders>
            <w:vAlign w:val="center"/>
          </w:tcPr>
          <w:p w14:paraId="753B3759">
            <w:pPr>
              <w:pStyle w:val="71"/>
              <w:spacing w:before="24" w:after="24"/>
              <w:rPr>
                <w:rFonts w:cs="Times New Roman"/>
              </w:rPr>
            </w:pPr>
            <w:r>
              <w:rPr>
                <w:rFonts w:cs="Times New Roman"/>
              </w:rPr>
              <w:t>T8-LED-功率按图纸/TP54</w:t>
            </w:r>
          </w:p>
        </w:tc>
        <w:tc>
          <w:tcPr>
            <w:tcW w:w="1785" w:type="dxa"/>
            <w:tcBorders>
              <w:top w:val="single" w:color="000000" w:sz="4" w:space="0"/>
              <w:left w:val="single" w:color="000000" w:sz="4" w:space="0"/>
              <w:bottom w:val="single" w:color="000000" w:sz="4" w:space="0"/>
              <w:right w:val="single" w:color="000000" w:sz="4" w:space="0"/>
            </w:tcBorders>
            <w:vAlign w:val="center"/>
          </w:tcPr>
          <w:p w14:paraId="7BC75102">
            <w:pPr>
              <w:pStyle w:val="71"/>
              <w:spacing w:before="24" w:after="24"/>
              <w:rPr>
                <w:rFonts w:cs="Times New Roman"/>
              </w:rPr>
            </w:pPr>
            <w:r>
              <w:rPr>
                <w:rFonts w:cs="Times New Roman"/>
              </w:rPr>
              <w:t>地下室水泵房</w:t>
            </w:r>
          </w:p>
        </w:tc>
      </w:tr>
      <w:tr w14:paraId="7E6744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2C8A7D5E">
            <w:pPr>
              <w:pStyle w:val="71"/>
              <w:spacing w:before="24" w:after="24"/>
              <w:rPr>
                <w:rFonts w:cs="Times New Roman"/>
              </w:rPr>
            </w:pPr>
            <w:r>
              <w:rPr>
                <w:rFonts w:cs="Times New Roman"/>
              </w:rPr>
              <w:t>16</w:t>
            </w:r>
          </w:p>
        </w:tc>
        <w:tc>
          <w:tcPr>
            <w:tcW w:w="1373" w:type="dxa"/>
            <w:vMerge w:val="continue"/>
            <w:tcBorders>
              <w:top w:val="nil"/>
              <w:left w:val="single" w:color="000000" w:sz="4" w:space="0"/>
              <w:bottom w:val="single" w:color="000000" w:sz="4" w:space="0"/>
              <w:right w:val="single" w:color="000000" w:sz="4" w:space="0"/>
            </w:tcBorders>
            <w:vAlign w:val="center"/>
          </w:tcPr>
          <w:p w14:paraId="57F83CE3">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6944C414">
            <w:pPr>
              <w:pStyle w:val="71"/>
              <w:spacing w:before="24" w:after="24"/>
              <w:rPr>
                <w:rFonts w:cs="Times New Roman"/>
              </w:rPr>
            </w:pPr>
            <w:r>
              <w:rPr>
                <w:rFonts w:cs="Times New Roman"/>
              </w:rPr>
              <w:t>壁灯</w:t>
            </w:r>
          </w:p>
        </w:tc>
        <w:tc>
          <w:tcPr>
            <w:tcW w:w="3373" w:type="dxa"/>
            <w:tcBorders>
              <w:top w:val="single" w:color="000000" w:sz="4" w:space="0"/>
              <w:left w:val="single" w:color="000000" w:sz="4" w:space="0"/>
              <w:bottom w:val="single" w:color="000000" w:sz="4" w:space="0"/>
              <w:right w:val="single" w:color="000000" w:sz="4" w:space="0"/>
            </w:tcBorders>
            <w:vAlign w:val="center"/>
          </w:tcPr>
          <w:p w14:paraId="0E231786">
            <w:pPr>
              <w:pStyle w:val="71"/>
              <w:spacing w:before="24" w:after="24"/>
              <w:rPr>
                <w:rFonts w:cs="Times New Roman"/>
              </w:rPr>
            </w:pPr>
            <w:r>
              <w:rPr>
                <w:rFonts w:cs="Times New Roman"/>
              </w:rPr>
              <w:t>LED-功率按图纸</w:t>
            </w:r>
          </w:p>
        </w:tc>
        <w:tc>
          <w:tcPr>
            <w:tcW w:w="1785" w:type="dxa"/>
            <w:tcBorders>
              <w:top w:val="single" w:color="000000" w:sz="4" w:space="0"/>
              <w:left w:val="single" w:color="000000" w:sz="4" w:space="0"/>
              <w:bottom w:val="single" w:color="000000" w:sz="4" w:space="0"/>
              <w:right w:val="single" w:color="000000" w:sz="4" w:space="0"/>
            </w:tcBorders>
            <w:vAlign w:val="center"/>
          </w:tcPr>
          <w:p w14:paraId="734A2480">
            <w:pPr>
              <w:pStyle w:val="71"/>
              <w:spacing w:before="24" w:after="24"/>
              <w:rPr>
                <w:rFonts w:cs="Times New Roman"/>
              </w:rPr>
            </w:pPr>
            <w:r>
              <w:rPr>
                <w:rFonts w:cs="Times New Roman"/>
              </w:rPr>
              <w:t>电井内</w:t>
            </w:r>
          </w:p>
        </w:tc>
      </w:tr>
      <w:tr w14:paraId="799967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5ACA2150">
            <w:pPr>
              <w:pStyle w:val="71"/>
              <w:spacing w:before="24" w:after="24"/>
              <w:rPr>
                <w:rFonts w:cs="Times New Roman"/>
              </w:rPr>
            </w:pPr>
            <w:r>
              <w:rPr>
                <w:rFonts w:cs="Times New Roman"/>
              </w:rPr>
              <w:t>17</w:t>
            </w:r>
          </w:p>
        </w:tc>
        <w:tc>
          <w:tcPr>
            <w:tcW w:w="1373" w:type="dxa"/>
            <w:vMerge w:val="continue"/>
            <w:tcBorders>
              <w:top w:val="nil"/>
              <w:left w:val="single" w:color="000000" w:sz="4" w:space="0"/>
              <w:bottom w:val="single" w:color="000000" w:sz="4" w:space="0"/>
              <w:right w:val="single" w:color="000000" w:sz="4" w:space="0"/>
            </w:tcBorders>
            <w:vAlign w:val="center"/>
          </w:tcPr>
          <w:p w14:paraId="176CCF1C">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44521EDE">
            <w:pPr>
              <w:pStyle w:val="71"/>
              <w:spacing w:before="24" w:after="24"/>
              <w:rPr>
                <w:rFonts w:cs="Times New Roman"/>
              </w:rPr>
            </w:pPr>
            <w:r>
              <w:rPr>
                <w:rFonts w:cs="Times New Roman"/>
              </w:rPr>
              <w:t>密闭壁灯</w:t>
            </w:r>
          </w:p>
        </w:tc>
        <w:tc>
          <w:tcPr>
            <w:tcW w:w="3373" w:type="dxa"/>
            <w:tcBorders>
              <w:top w:val="single" w:color="000000" w:sz="4" w:space="0"/>
              <w:left w:val="single" w:color="000000" w:sz="4" w:space="0"/>
              <w:bottom w:val="single" w:color="000000" w:sz="4" w:space="0"/>
              <w:right w:val="single" w:color="000000" w:sz="4" w:space="0"/>
            </w:tcBorders>
            <w:vAlign w:val="center"/>
          </w:tcPr>
          <w:p w14:paraId="1D76FF3F">
            <w:pPr>
              <w:pStyle w:val="71"/>
              <w:spacing w:before="24" w:after="24"/>
              <w:rPr>
                <w:rFonts w:cs="Times New Roman"/>
              </w:rPr>
            </w:pPr>
            <w:r>
              <w:rPr>
                <w:rFonts w:cs="Times New Roman"/>
              </w:rPr>
              <w:t>LED-功率按图纸，IP54</w:t>
            </w:r>
          </w:p>
        </w:tc>
        <w:tc>
          <w:tcPr>
            <w:tcW w:w="1785" w:type="dxa"/>
            <w:tcBorders>
              <w:top w:val="single" w:color="000000" w:sz="4" w:space="0"/>
              <w:left w:val="single" w:color="000000" w:sz="4" w:space="0"/>
              <w:bottom w:val="single" w:color="000000" w:sz="4" w:space="0"/>
              <w:right w:val="single" w:color="000000" w:sz="4" w:space="0"/>
            </w:tcBorders>
            <w:vAlign w:val="center"/>
          </w:tcPr>
          <w:p w14:paraId="792ACA22">
            <w:pPr>
              <w:pStyle w:val="71"/>
              <w:spacing w:before="24" w:after="24"/>
              <w:rPr>
                <w:rFonts w:cs="Times New Roman"/>
              </w:rPr>
            </w:pPr>
            <w:r>
              <w:rPr>
                <w:rFonts w:cs="Times New Roman"/>
              </w:rPr>
              <w:t>水井内</w:t>
            </w:r>
          </w:p>
        </w:tc>
      </w:tr>
      <w:tr w14:paraId="39C633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0D2B0BED">
            <w:pPr>
              <w:pStyle w:val="71"/>
              <w:spacing w:before="24" w:after="24"/>
              <w:rPr>
                <w:rFonts w:cs="Times New Roman"/>
              </w:rPr>
            </w:pPr>
            <w:r>
              <w:rPr>
                <w:rFonts w:cs="Times New Roman"/>
              </w:rPr>
              <w:t>18</w:t>
            </w:r>
          </w:p>
        </w:tc>
        <w:tc>
          <w:tcPr>
            <w:tcW w:w="1373" w:type="dxa"/>
            <w:vMerge w:val="continue"/>
            <w:tcBorders>
              <w:top w:val="nil"/>
              <w:left w:val="single" w:color="000000" w:sz="4" w:space="0"/>
              <w:bottom w:val="single" w:color="000000" w:sz="4" w:space="0"/>
              <w:right w:val="single" w:color="000000" w:sz="4" w:space="0"/>
            </w:tcBorders>
            <w:vAlign w:val="center"/>
          </w:tcPr>
          <w:p w14:paraId="47753FDD">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781FE709">
            <w:pPr>
              <w:pStyle w:val="71"/>
              <w:spacing w:before="24" w:after="24"/>
              <w:rPr>
                <w:rFonts w:cs="Times New Roman"/>
              </w:rPr>
            </w:pPr>
            <w:r>
              <w:rPr>
                <w:rFonts w:cs="Times New Roman"/>
              </w:rPr>
              <w:t>自带蓄电池备用照明单管灯</w:t>
            </w:r>
          </w:p>
        </w:tc>
        <w:tc>
          <w:tcPr>
            <w:tcW w:w="3373" w:type="dxa"/>
            <w:tcBorders>
              <w:top w:val="single" w:color="000000" w:sz="4" w:space="0"/>
              <w:left w:val="single" w:color="000000" w:sz="4" w:space="0"/>
              <w:bottom w:val="single" w:color="000000" w:sz="4" w:space="0"/>
              <w:right w:val="single" w:color="000000" w:sz="4" w:space="0"/>
            </w:tcBorders>
            <w:vAlign w:val="center"/>
          </w:tcPr>
          <w:p w14:paraId="7AEF37BB">
            <w:pPr>
              <w:pStyle w:val="71"/>
              <w:spacing w:before="24" w:after="24"/>
              <w:rPr>
                <w:rFonts w:cs="Times New Roman"/>
              </w:rPr>
            </w:pPr>
            <w:r>
              <w:rPr>
                <w:rFonts w:cs="Times New Roman"/>
              </w:rPr>
              <w:t>T8-LED，蓄电池持续供电时间满足施工图纸要求</w:t>
            </w:r>
          </w:p>
        </w:tc>
        <w:tc>
          <w:tcPr>
            <w:tcW w:w="1785" w:type="dxa"/>
            <w:tcBorders>
              <w:top w:val="single" w:color="000000" w:sz="4" w:space="0"/>
              <w:left w:val="single" w:color="000000" w:sz="4" w:space="0"/>
              <w:bottom w:val="single" w:color="000000" w:sz="4" w:space="0"/>
              <w:right w:val="single" w:color="000000" w:sz="4" w:space="0"/>
            </w:tcBorders>
            <w:vAlign w:val="center"/>
          </w:tcPr>
          <w:p w14:paraId="4639FDB0">
            <w:pPr>
              <w:pStyle w:val="71"/>
              <w:spacing w:before="24" w:after="24"/>
              <w:rPr>
                <w:rFonts w:cs="Times New Roman"/>
              </w:rPr>
            </w:pPr>
            <w:r>
              <w:rPr>
                <w:rFonts w:cs="Times New Roman"/>
              </w:rPr>
              <w:t>设备用房、配电间</w:t>
            </w:r>
          </w:p>
        </w:tc>
      </w:tr>
      <w:tr w14:paraId="0A5C9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03AF2142">
            <w:pPr>
              <w:pStyle w:val="71"/>
              <w:spacing w:before="24" w:after="24"/>
              <w:rPr>
                <w:rFonts w:cs="Times New Roman"/>
              </w:rPr>
            </w:pPr>
            <w:r>
              <w:rPr>
                <w:rFonts w:cs="Times New Roman"/>
              </w:rPr>
              <w:t>19</w:t>
            </w:r>
          </w:p>
        </w:tc>
        <w:tc>
          <w:tcPr>
            <w:tcW w:w="1373" w:type="dxa"/>
            <w:vMerge w:val="continue"/>
            <w:tcBorders>
              <w:top w:val="nil"/>
              <w:left w:val="single" w:color="000000" w:sz="4" w:space="0"/>
              <w:bottom w:val="single" w:color="000000" w:sz="4" w:space="0"/>
              <w:right w:val="single" w:color="000000" w:sz="4" w:space="0"/>
            </w:tcBorders>
            <w:vAlign w:val="center"/>
          </w:tcPr>
          <w:p w14:paraId="709B99D8">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1C69EE81">
            <w:pPr>
              <w:pStyle w:val="71"/>
              <w:spacing w:before="24" w:after="24"/>
              <w:rPr>
                <w:rFonts w:cs="Times New Roman"/>
              </w:rPr>
            </w:pPr>
            <w:r>
              <w:rPr>
                <w:rFonts w:cs="Times New Roman"/>
              </w:rPr>
              <w:t>自带蓄电池备用照明双管灯</w:t>
            </w:r>
          </w:p>
        </w:tc>
        <w:tc>
          <w:tcPr>
            <w:tcW w:w="3373" w:type="dxa"/>
            <w:tcBorders>
              <w:top w:val="single" w:color="000000" w:sz="4" w:space="0"/>
              <w:left w:val="single" w:color="000000" w:sz="4" w:space="0"/>
              <w:bottom w:val="single" w:color="000000" w:sz="4" w:space="0"/>
              <w:right w:val="single" w:color="000000" w:sz="4" w:space="0"/>
            </w:tcBorders>
            <w:vAlign w:val="center"/>
          </w:tcPr>
          <w:p w14:paraId="26EF883B">
            <w:pPr>
              <w:pStyle w:val="71"/>
              <w:spacing w:before="24" w:after="24"/>
              <w:rPr>
                <w:rFonts w:cs="Times New Roman"/>
              </w:rPr>
            </w:pPr>
            <w:r>
              <w:rPr>
                <w:rFonts w:cs="Times New Roman"/>
              </w:rPr>
              <w:t>T8-LED，蓄电池持续供电时间满足施工图纸要求</w:t>
            </w:r>
          </w:p>
        </w:tc>
        <w:tc>
          <w:tcPr>
            <w:tcW w:w="1785" w:type="dxa"/>
            <w:tcBorders>
              <w:top w:val="single" w:color="000000" w:sz="4" w:space="0"/>
              <w:left w:val="single" w:color="000000" w:sz="4" w:space="0"/>
              <w:bottom w:val="single" w:color="000000" w:sz="4" w:space="0"/>
              <w:right w:val="single" w:color="000000" w:sz="4" w:space="0"/>
            </w:tcBorders>
            <w:vAlign w:val="center"/>
          </w:tcPr>
          <w:p w14:paraId="4E4A1035">
            <w:pPr>
              <w:pStyle w:val="71"/>
              <w:spacing w:before="24" w:after="24"/>
              <w:rPr>
                <w:rFonts w:cs="Times New Roman"/>
              </w:rPr>
            </w:pPr>
            <w:r>
              <w:rPr>
                <w:rFonts w:cs="Times New Roman"/>
              </w:rPr>
              <w:t>设备用房、配电间</w:t>
            </w:r>
          </w:p>
        </w:tc>
      </w:tr>
      <w:tr w14:paraId="6F651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1C9D0611">
            <w:pPr>
              <w:pStyle w:val="71"/>
              <w:spacing w:before="24" w:after="24"/>
              <w:rPr>
                <w:rFonts w:cs="Times New Roman"/>
              </w:rPr>
            </w:pPr>
            <w:r>
              <w:rPr>
                <w:rFonts w:cs="Times New Roman"/>
              </w:rPr>
              <w:t>20</w:t>
            </w:r>
          </w:p>
        </w:tc>
        <w:tc>
          <w:tcPr>
            <w:tcW w:w="1373" w:type="dxa"/>
            <w:vMerge w:val="restart"/>
            <w:tcBorders>
              <w:top w:val="nil"/>
              <w:left w:val="single" w:color="000000" w:sz="4" w:space="0"/>
              <w:bottom w:val="single" w:color="000000" w:sz="4" w:space="0"/>
              <w:right w:val="single" w:color="000000" w:sz="4" w:space="0"/>
            </w:tcBorders>
            <w:vAlign w:val="center"/>
          </w:tcPr>
          <w:p w14:paraId="4EFE816F">
            <w:pPr>
              <w:pStyle w:val="71"/>
              <w:spacing w:before="24" w:after="24"/>
              <w:rPr>
                <w:rFonts w:cs="Times New Roman"/>
              </w:rPr>
            </w:pPr>
            <w:r>
              <w:rPr>
                <w:rFonts w:cs="Times New Roman"/>
              </w:rPr>
              <w:t>消防灯具</w:t>
            </w:r>
          </w:p>
        </w:tc>
        <w:tc>
          <w:tcPr>
            <w:tcW w:w="2476" w:type="dxa"/>
            <w:tcBorders>
              <w:top w:val="single" w:color="000000" w:sz="4" w:space="0"/>
              <w:left w:val="single" w:color="000000" w:sz="4" w:space="0"/>
              <w:bottom w:val="single" w:color="000000" w:sz="4" w:space="0"/>
              <w:right w:val="single" w:color="000000" w:sz="4" w:space="0"/>
            </w:tcBorders>
            <w:vAlign w:val="center"/>
          </w:tcPr>
          <w:p w14:paraId="14B84F33">
            <w:pPr>
              <w:pStyle w:val="71"/>
              <w:spacing w:before="24" w:after="24"/>
              <w:rPr>
                <w:rFonts w:cs="Times New Roman"/>
              </w:rPr>
            </w:pPr>
            <w:r>
              <w:rPr>
                <w:rFonts w:cs="Times New Roman"/>
              </w:rPr>
              <w:t>A型壁挂式应急灯</w:t>
            </w:r>
          </w:p>
        </w:tc>
        <w:tc>
          <w:tcPr>
            <w:tcW w:w="3373" w:type="dxa"/>
            <w:tcBorders>
              <w:top w:val="single" w:color="000000" w:sz="4" w:space="0"/>
              <w:left w:val="single" w:color="000000" w:sz="4" w:space="0"/>
              <w:bottom w:val="single" w:color="000000" w:sz="4" w:space="0"/>
              <w:right w:val="single" w:color="000000" w:sz="4" w:space="0"/>
            </w:tcBorders>
            <w:vAlign w:val="center"/>
          </w:tcPr>
          <w:p w14:paraId="7DC32320">
            <w:pPr>
              <w:pStyle w:val="71"/>
              <w:spacing w:before="24" w:after="24"/>
              <w:rPr>
                <w:rFonts w:cs="Times New Roman"/>
              </w:rPr>
            </w:pPr>
            <w:r>
              <w:rPr>
                <w:rFonts w:cs="Times New Roman"/>
              </w:rPr>
              <w:t>LED-功率按图纸-A型灯具</w:t>
            </w:r>
          </w:p>
          <w:p w14:paraId="42278D64">
            <w:pPr>
              <w:pStyle w:val="71"/>
              <w:spacing w:before="24" w:after="24"/>
              <w:rPr>
                <w:rFonts w:cs="Times New Roman"/>
              </w:rPr>
            </w:pPr>
            <w:r>
              <w:rPr>
                <w:rFonts w:cs="Times New Roman"/>
              </w:rPr>
              <w:t>潮湿场所P65,室外IP67</w:t>
            </w:r>
          </w:p>
        </w:tc>
        <w:tc>
          <w:tcPr>
            <w:tcW w:w="1785" w:type="dxa"/>
            <w:tcBorders>
              <w:top w:val="single" w:color="000000" w:sz="4" w:space="0"/>
              <w:left w:val="single" w:color="000000" w:sz="4" w:space="0"/>
              <w:bottom w:val="single" w:color="000000" w:sz="4" w:space="0"/>
              <w:right w:val="single" w:color="000000" w:sz="4" w:space="0"/>
            </w:tcBorders>
            <w:vAlign w:val="center"/>
          </w:tcPr>
          <w:p w14:paraId="02681E75">
            <w:pPr>
              <w:pStyle w:val="71"/>
              <w:spacing w:before="24" w:after="24"/>
              <w:rPr>
                <w:rFonts w:cs="Times New Roman"/>
              </w:rPr>
            </w:pPr>
            <w:r>
              <w:rPr>
                <w:rFonts w:cs="Times New Roman"/>
              </w:rPr>
              <w:t>公共通道及楼梯间</w:t>
            </w:r>
          </w:p>
        </w:tc>
      </w:tr>
      <w:tr w14:paraId="75E4F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14EC9656">
            <w:pPr>
              <w:pStyle w:val="71"/>
              <w:spacing w:before="24" w:after="24"/>
              <w:rPr>
                <w:rFonts w:cs="Times New Roman"/>
              </w:rPr>
            </w:pPr>
            <w:r>
              <w:rPr>
                <w:rFonts w:cs="Times New Roman"/>
              </w:rPr>
              <w:t>21</w:t>
            </w:r>
          </w:p>
        </w:tc>
        <w:tc>
          <w:tcPr>
            <w:tcW w:w="1373" w:type="dxa"/>
            <w:vMerge w:val="continue"/>
            <w:tcBorders>
              <w:top w:val="nil"/>
              <w:left w:val="single" w:color="000000" w:sz="4" w:space="0"/>
              <w:bottom w:val="single" w:color="000000" w:sz="4" w:space="0"/>
              <w:right w:val="single" w:color="000000" w:sz="4" w:space="0"/>
            </w:tcBorders>
            <w:vAlign w:val="center"/>
          </w:tcPr>
          <w:p w14:paraId="53501FCE">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43E11560">
            <w:pPr>
              <w:pStyle w:val="71"/>
              <w:spacing w:before="24" w:after="24"/>
              <w:rPr>
                <w:rFonts w:cs="Times New Roman"/>
              </w:rPr>
            </w:pPr>
            <w:r>
              <w:rPr>
                <w:rFonts w:cs="Times New Roman"/>
              </w:rPr>
              <w:t>A型吸顶式应急灯</w:t>
            </w:r>
          </w:p>
        </w:tc>
        <w:tc>
          <w:tcPr>
            <w:tcW w:w="3373" w:type="dxa"/>
            <w:tcBorders>
              <w:top w:val="single" w:color="000000" w:sz="4" w:space="0"/>
              <w:left w:val="single" w:color="000000" w:sz="4" w:space="0"/>
              <w:bottom w:val="single" w:color="000000" w:sz="4" w:space="0"/>
              <w:right w:val="single" w:color="000000" w:sz="4" w:space="0"/>
            </w:tcBorders>
            <w:vAlign w:val="center"/>
          </w:tcPr>
          <w:p w14:paraId="2CFDE12A">
            <w:pPr>
              <w:pStyle w:val="71"/>
              <w:spacing w:before="24" w:after="24"/>
              <w:rPr>
                <w:rFonts w:cs="Times New Roman"/>
              </w:rPr>
            </w:pPr>
            <w:r>
              <w:rPr>
                <w:rFonts w:cs="Times New Roman"/>
              </w:rPr>
              <w:t>LED-功率按图纸-A型灯具</w:t>
            </w:r>
          </w:p>
          <w:p w14:paraId="22B3C135">
            <w:pPr>
              <w:pStyle w:val="71"/>
              <w:spacing w:before="24" w:after="24"/>
              <w:rPr>
                <w:rFonts w:cs="Times New Roman"/>
              </w:rPr>
            </w:pPr>
            <w:r>
              <w:rPr>
                <w:rFonts w:cs="Times New Roman"/>
              </w:rPr>
              <w:t>潮湿场所P65,室外IP67</w:t>
            </w:r>
          </w:p>
        </w:tc>
        <w:tc>
          <w:tcPr>
            <w:tcW w:w="1785" w:type="dxa"/>
            <w:tcBorders>
              <w:top w:val="single" w:color="000000" w:sz="4" w:space="0"/>
              <w:left w:val="single" w:color="000000" w:sz="4" w:space="0"/>
              <w:bottom w:val="single" w:color="000000" w:sz="4" w:space="0"/>
              <w:right w:val="single" w:color="000000" w:sz="4" w:space="0"/>
            </w:tcBorders>
            <w:vAlign w:val="center"/>
          </w:tcPr>
          <w:p w14:paraId="6507C387">
            <w:pPr>
              <w:pStyle w:val="71"/>
              <w:spacing w:before="24" w:after="24"/>
              <w:rPr>
                <w:rFonts w:cs="Times New Roman"/>
              </w:rPr>
            </w:pPr>
            <w:r>
              <w:rPr>
                <w:rFonts w:cs="Times New Roman"/>
              </w:rPr>
              <w:t>公共通道及楼梯间</w:t>
            </w:r>
          </w:p>
        </w:tc>
      </w:tr>
      <w:tr w14:paraId="1A23E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6B11A512">
            <w:pPr>
              <w:pStyle w:val="71"/>
              <w:spacing w:before="24" w:after="24"/>
              <w:rPr>
                <w:rFonts w:cs="Times New Roman"/>
              </w:rPr>
            </w:pPr>
            <w:r>
              <w:rPr>
                <w:rFonts w:cs="Times New Roman"/>
              </w:rPr>
              <w:t>22</w:t>
            </w:r>
          </w:p>
        </w:tc>
        <w:tc>
          <w:tcPr>
            <w:tcW w:w="1373" w:type="dxa"/>
            <w:vMerge w:val="continue"/>
            <w:tcBorders>
              <w:top w:val="nil"/>
              <w:left w:val="single" w:color="000000" w:sz="4" w:space="0"/>
              <w:bottom w:val="single" w:color="000000" w:sz="4" w:space="0"/>
              <w:right w:val="single" w:color="000000" w:sz="4" w:space="0"/>
            </w:tcBorders>
            <w:vAlign w:val="center"/>
          </w:tcPr>
          <w:p w14:paraId="1EF6A132">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7692C62A">
            <w:pPr>
              <w:pStyle w:val="71"/>
              <w:spacing w:before="24" w:after="24"/>
              <w:rPr>
                <w:rFonts w:cs="Times New Roman"/>
              </w:rPr>
            </w:pPr>
            <w:r>
              <w:rPr>
                <w:rFonts w:cs="Times New Roman"/>
              </w:rPr>
              <w:t>B型应急灯</w:t>
            </w:r>
          </w:p>
        </w:tc>
        <w:tc>
          <w:tcPr>
            <w:tcW w:w="3373" w:type="dxa"/>
            <w:tcBorders>
              <w:top w:val="single" w:color="000000" w:sz="4" w:space="0"/>
              <w:left w:val="single" w:color="000000" w:sz="4" w:space="0"/>
              <w:bottom w:val="single" w:color="000000" w:sz="4" w:space="0"/>
              <w:right w:val="single" w:color="000000" w:sz="4" w:space="0"/>
            </w:tcBorders>
            <w:vAlign w:val="center"/>
          </w:tcPr>
          <w:p w14:paraId="77C932A3">
            <w:pPr>
              <w:pStyle w:val="71"/>
              <w:spacing w:before="24" w:after="24"/>
              <w:rPr>
                <w:rFonts w:cs="Times New Roman"/>
              </w:rPr>
            </w:pPr>
            <w:r>
              <w:rPr>
                <w:rFonts w:cs="Times New Roman"/>
              </w:rPr>
              <w:t>LED-功率按图纸-A型灯具</w:t>
            </w:r>
          </w:p>
          <w:p w14:paraId="7CA8A14E">
            <w:pPr>
              <w:pStyle w:val="71"/>
              <w:spacing w:before="24" w:after="24"/>
              <w:rPr>
                <w:rFonts w:cs="Times New Roman"/>
              </w:rPr>
            </w:pPr>
            <w:r>
              <w:rPr>
                <w:rFonts w:cs="Times New Roman"/>
              </w:rPr>
              <w:t>潮湿场所P65,室外IP67</w:t>
            </w:r>
          </w:p>
        </w:tc>
        <w:tc>
          <w:tcPr>
            <w:tcW w:w="1785" w:type="dxa"/>
            <w:tcBorders>
              <w:top w:val="single" w:color="000000" w:sz="4" w:space="0"/>
              <w:left w:val="single" w:color="000000" w:sz="4" w:space="0"/>
              <w:bottom w:val="single" w:color="000000" w:sz="4" w:space="0"/>
              <w:right w:val="single" w:color="000000" w:sz="4" w:space="0"/>
            </w:tcBorders>
            <w:vAlign w:val="center"/>
          </w:tcPr>
          <w:p w14:paraId="6C41248B">
            <w:pPr>
              <w:pStyle w:val="71"/>
              <w:spacing w:before="24" w:after="24"/>
              <w:rPr>
                <w:rFonts w:cs="Times New Roman"/>
              </w:rPr>
            </w:pPr>
            <w:r>
              <w:rPr>
                <w:rFonts w:cs="Times New Roman"/>
              </w:rPr>
              <w:t>公共通道及楼梯间</w:t>
            </w:r>
          </w:p>
        </w:tc>
      </w:tr>
      <w:tr w14:paraId="50D61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6E976D4A">
            <w:pPr>
              <w:pStyle w:val="71"/>
              <w:spacing w:before="24" w:after="24"/>
              <w:rPr>
                <w:rFonts w:cs="Times New Roman"/>
              </w:rPr>
            </w:pPr>
            <w:r>
              <w:rPr>
                <w:rFonts w:cs="Times New Roman"/>
              </w:rPr>
              <w:t>23</w:t>
            </w:r>
          </w:p>
        </w:tc>
        <w:tc>
          <w:tcPr>
            <w:tcW w:w="1373" w:type="dxa"/>
            <w:vMerge w:val="continue"/>
            <w:tcBorders>
              <w:top w:val="nil"/>
              <w:left w:val="single" w:color="000000" w:sz="4" w:space="0"/>
              <w:bottom w:val="single" w:color="000000" w:sz="4" w:space="0"/>
              <w:right w:val="single" w:color="000000" w:sz="4" w:space="0"/>
            </w:tcBorders>
            <w:vAlign w:val="center"/>
          </w:tcPr>
          <w:p w14:paraId="4248A0BA">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774AC853">
            <w:pPr>
              <w:pStyle w:val="71"/>
              <w:spacing w:before="24" w:after="24"/>
              <w:rPr>
                <w:rFonts w:cs="Times New Roman"/>
              </w:rPr>
            </w:pPr>
            <w:r>
              <w:rPr>
                <w:rFonts w:cs="Times New Roman"/>
              </w:rPr>
              <w:t>单面应急疏散指示灯</w:t>
            </w:r>
          </w:p>
        </w:tc>
        <w:tc>
          <w:tcPr>
            <w:tcW w:w="3373" w:type="dxa"/>
            <w:tcBorders>
              <w:top w:val="single" w:color="000000" w:sz="4" w:space="0"/>
              <w:left w:val="single" w:color="000000" w:sz="4" w:space="0"/>
              <w:bottom w:val="single" w:color="000000" w:sz="4" w:space="0"/>
              <w:right w:val="single" w:color="000000" w:sz="4" w:space="0"/>
            </w:tcBorders>
            <w:vAlign w:val="center"/>
          </w:tcPr>
          <w:p w14:paraId="0AF4004E">
            <w:pPr>
              <w:pStyle w:val="71"/>
              <w:spacing w:before="24" w:after="24"/>
              <w:rPr>
                <w:rFonts w:cs="Times New Roman"/>
              </w:rPr>
            </w:pPr>
            <w:r>
              <w:rPr>
                <w:rFonts w:cs="Times New Roman"/>
              </w:rPr>
              <w:t>LED-功率按图纸-A型灯具</w:t>
            </w:r>
          </w:p>
          <w:p w14:paraId="4DBC7665">
            <w:pPr>
              <w:pStyle w:val="71"/>
              <w:spacing w:before="24" w:after="24"/>
              <w:rPr>
                <w:rFonts w:cs="Times New Roman"/>
              </w:rPr>
            </w:pPr>
            <w:r>
              <w:rPr>
                <w:rFonts w:cs="Times New Roman"/>
              </w:rPr>
              <w:t>潮湿场所P65,室外IP67</w:t>
            </w:r>
          </w:p>
        </w:tc>
        <w:tc>
          <w:tcPr>
            <w:tcW w:w="1785" w:type="dxa"/>
            <w:tcBorders>
              <w:top w:val="single" w:color="000000" w:sz="4" w:space="0"/>
              <w:left w:val="single" w:color="000000" w:sz="4" w:space="0"/>
              <w:bottom w:val="single" w:color="000000" w:sz="4" w:space="0"/>
              <w:right w:val="single" w:color="000000" w:sz="4" w:space="0"/>
            </w:tcBorders>
            <w:vAlign w:val="center"/>
          </w:tcPr>
          <w:p w14:paraId="5216D429">
            <w:pPr>
              <w:pStyle w:val="71"/>
              <w:spacing w:before="24" w:after="24"/>
              <w:rPr>
                <w:rFonts w:cs="Times New Roman"/>
              </w:rPr>
            </w:pPr>
            <w:r>
              <w:rPr>
                <w:rFonts w:cs="Times New Roman"/>
              </w:rPr>
              <w:t>公共通道及楼梯间</w:t>
            </w:r>
          </w:p>
        </w:tc>
      </w:tr>
      <w:tr w14:paraId="1F831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3F3360F3">
            <w:pPr>
              <w:pStyle w:val="71"/>
              <w:spacing w:before="24" w:after="24"/>
              <w:rPr>
                <w:rFonts w:cs="Times New Roman"/>
              </w:rPr>
            </w:pPr>
            <w:r>
              <w:rPr>
                <w:rFonts w:cs="Times New Roman"/>
              </w:rPr>
              <w:t>24</w:t>
            </w:r>
          </w:p>
        </w:tc>
        <w:tc>
          <w:tcPr>
            <w:tcW w:w="1373" w:type="dxa"/>
            <w:vMerge w:val="continue"/>
            <w:tcBorders>
              <w:top w:val="nil"/>
              <w:left w:val="single" w:color="000000" w:sz="4" w:space="0"/>
              <w:bottom w:val="single" w:color="000000" w:sz="4" w:space="0"/>
              <w:right w:val="single" w:color="000000" w:sz="4" w:space="0"/>
            </w:tcBorders>
            <w:vAlign w:val="center"/>
          </w:tcPr>
          <w:p w14:paraId="311B1F06">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7881ED5C">
            <w:pPr>
              <w:pStyle w:val="71"/>
              <w:spacing w:before="24" w:after="24"/>
              <w:rPr>
                <w:rFonts w:cs="Times New Roman"/>
              </w:rPr>
            </w:pPr>
            <w:r>
              <w:rPr>
                <w:rFonts w:cs="Times New Roman"/>
              </w:rPr>
              <w:t>双面应急疏散指示灯</w:t>
            </w:r>
          </w:p>
        </w:tc>
        <w:tc>
          <w:tcPr>
            <w:tcW w:w="3373" w:type="dxa"/>
            <w:tcBorders>
              <w:top w:val="single" w:color="000000" w:sz="4" w:space="0"/>
              <w:left w:val="single" w:color="000000" w:sz="4" w:space="0"/>
              <w:bottom w:val="single" w:color="000000" w:sz="4" w:space="0"/>
              <w:right w:val="single" w:color="000000" w:sz="4" w:space="0"/>
            </w:tcBorders>
            <w:vAlign w:val="center"/>
          </w:tcPr>
          <w:p w14:paraId="2B7BEDDD">
            <w:pPr>
              <w:pStyle w:val="71"/>
              <w:spacing w:before="24" w:after="24"/>
              <w:rPr>
                <w:rFonts w:cs="Times New Roman"/>
              </w:rPr>
            </w:pPr>
            <w:r>
              <w:rPr>
                <w:rFonts w:cs="Times New Roman"/>
              </w:rPr>
              <w:t>LED-功率按图纸-A型灯具</w:t>
            </w:r>
          </w:p>
          <w:p w14:paraId="4C611279">
            <w:pPr>
              <w:pStyle w:val="71"/>
              <w:spacing w:before="24" w:after="24"/>
              <w:rPr>
                <w:rFonts w:cs="Times New Roman"/>
              </w:rPr>
            </w:pPr>
            <w:r>
              <w:rPr>
                <w:rFonts w:cs="Times New Roman"/>
              </w:rPr>
              <w:t>潮湿场所P65,室外IP67</w:t>
            </w:r>
          </w:p>
        </w:tc>
        <w:tc>
          <w:tcPr>
            <w:tcW w:w="1785" w:type="dxa"/>
            <w:tcBorders>
              <w:top w:val="single" w:color="000000" w:sz="4" w:space="0"/>
              <w:left w:val="single" w:color="000000" w:sz="4" w:space="0"/>
              <w:bottom w:val="single" w:color="000000" w:sz="4" w:space="0"/>
              <w:right w:val="single" w:color="000000" w:sz="4" w:space="0"/>
            </w:tcBorders>
            <w:vAlign w:val="center"/>
          </w:tcPr>
          <w:p w14:paraId="430E87F8">
            <w:pPr>
              <w:pStyle w:val="71"/>
              <w:spacing w:before="24" w:after="24"/>
              <w:rPr>
                <w:rFonts w:cs="Times New Roman"/>
              </w:rPr>
            </w:pPr>
            <w:r>
              <w:rPr>
                <w:rFonts w:cs="Times New Roman"/>
              </w:rPr>
              <w:t>公共通道及楼梯间</w:t>
            </w:r>
          </w:p>
        </w:tc>
      </w:tr>
      <w:tr w14:paraId="4A074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023134E1">
            <w:pPr>
              <w:pStyle w:val="71"/>
              <w:spacing w:before="24" w:after="24"/>
              <w:rPr>
                <w:rFonts w:cs="Times New Roman"/>
              </w:rPr>
            </w:pPr>
            <w:r>
              <w:rPr>
                <w:rFonts w:cs="Times New Roman"/>
              </w:rPr>
              <w:t>25</w:t>
            </w:r>
          </w:p>
        </w:tc>
        <w:tc>
          <w:tcPr>
            <w:tcW w:w="1373" w:type="dxa"/>
            <w:vMerge w:val="continue"/>
            <w:tcBorders>
              <w:top w:val="nil"/>
              <w:left w:val="single" w:color="000000" w:sz="4" w:space="0"/>
              <w:bottom w:val="single" w:color="000000" w:sz="4" w:space="0"/>
              <w:right w:val="single" w:color="000000" w:sz="4" w:space="0"/>
            </w:tcBorders>
            <w:vAlign w:val="center"/>
          </w:tcPr>
          <w:p w14:paraId="34C64E77">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36BD03F3">
            <w:pPr>
              <w:pStyle w:val="71"/>
              <w:spacing w:before="24" w:after="24"/>
              <w:rPr>
                <w:rFonts w:cs="Times New Roman"/>
              </w:rPr>
            </w:pPr>
            <w:r>
              <w:rPr>
                <w:rFonts w:cs="Times New Roman"/>
              </w:rPr>
              <w:t>楼层标志灯</w:t>
            </w:r>
          </w:p>
        </w:tc>
        <w:tc>
          <w:tcPr>
            <w:tcW w:w="3373" w:type="dxa"/>
            <w:tcBorders>
              <w:top w:val="single" w:color="000000" w:sz="4" w:space="0"/>
              <w:left w:val="single" w:color="000000" w:sz="4" w:space="0"/>
              <w:bottom w:val="single" w:color="000000" w:sz="4" w:space="0"/>
              <w:right w:val="single" w:color="000000" w:sz="4" w:space="0"/>
            </w:tcBorders>
            <w:vAlign w:val="center"/>
          </w:tcPr>
          <w:p w14:paraId="0C4D4E28">
            <w:pPr>
              <w:pStyle w:val="71"/>
              <w:spacing w:before="24" w:after="24"/>
              <w:rPr>
                <w:rFonts w:cs="Times New Roman"/>
              </w:rPr>
            </w:pPr>
            <w:r>
              <w:rPr>
                <w:rFonts w:cs="Times New Roman"/>
              </w:rPr>
              <w:t>LED-功率按图纸-A型灯具</w:t>
            </w:r>
          </w:p>
          <w:p w14:paraId="0CBC15F2">
            <w:pPr>
              <w:pStyle w:val="71"/>
              <w:spacing w:before="24" w:after="24"/>
              <w:rPr>
                <w:rFonts w:cs="Times New Roman"/>
              </w:rPr>
            </w:pPr>
            <w:r>
              <w:rPr>
                <w:rFonts w:cs="Times New Roman"/>
              </w:rPr>
              <w:t>潮湿场所P65,室外IP67</w:t>
            </w:r>
          </w:p>
        </w:tc>
        <w:tc>
          <w:tcPr>
            <w:tcW w:w="1785" w:type="dxa"/>
            <w:tcBorders>
              <w:top w:val="single" w:color="000000" w:sz="4" w:space="0"/>
              <w:left w:val="single" w:color="000000" w:sz="4" w:space="0"/>
              <w:bottom w:val="single" w:color="000000" w:sz="4" w:space="0"/>
              <w:right w:val="single" w:color="000000" w:sz="4" w:space="0"/>
            </w:tcBorders>
            <w:vAlign w:val="center"/>
          </w:tcPr>
          <w:p w14:paraId="26A2AE58">
            <w:pPr>
              <w:pStyle w:val="71"/>
              <w:spacing w:before="24" w:after="24"/>
              <w:rPr>
                <w:rFonts w:cs="Times New Roman"/>
              </w:rPr>
            </w:pPr>
            <w:r>
              <w:rPr>
                <w:rFonts w:cs="Times New Roman"/>
              </w:rPr>
              <w:t>公共通道及楼梯间</w:t>
            </w:r>
          </w:p>
        </w:tc>
      </w:tr>
      <w:tr w14:paraId="63F7F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1333395B">
            <w:pPr>
              <w:pStyle w:val="71"/>
              <w:spacing w:before="24" w:after="24"/>
              <w:rPr>
                <w:rFonts w:cs="Times New Roman"/>
              </w:rPr>
            </w:pPr>
            <w:r>
              <w:rPr>
                <w:rFonts w:cs="Times New Roman"/>
              </w:rPr>
              <w:t>26</w:t>
            </w:r>
          </w:p>
        </w:tc>
        <w:tc>
          <w:tcPr>
            <w:tcW w:w="1373" w:type="dxa"/>
            <w:vMerge w:val="continue"/>
            <w:tcBorders>
              <w:top w:val="nil"/>
              <w:left w:val="single" w:color="000000" w:sz="4" w:space="0"/>
              <w:bottom w:val="single" w:color="000000" w:sz="4" w:space="0"/>
              <w:right w:val="single" w:color="000000" w:sz="4" w:space="0"/>
            </w:tcBorders>
            <w:vAlign w:val="center"/>
          </w:tcPr>
          <w:p w14:paraId="2F2C20F7">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4AF97374">
            <w:pPr>
              <w:pStyle w:val="71"/>
              <w:spacing w:before="24" w:after="24"/>
              <w:rPr>
                <w:rFonts w:cs="Times New Roman"/>
              </w:rPr>
            </w:pPr>
            <w:r>
              <w:rPr>
                <w:rFonts w:cs="Times New Roman"/>
              </w:rPr>
              <w:t>疏散出口指示灯</w:t>
            </w:r>
          </w:p>
        </w:tc>
        <w:tc>
          <w:tcPr>
            <w:tcW w:w="3373" w:type="dxa"/>
            <w:tcBorders>
              <w:top w:val="single" w:color="000000" w:sz="4" w:space="0"/>
              <w:left w:val="single" w:color="000000" w:sz="4" w:space="0"/>
              <w:bottom w:val="single" w:color="000000" w:sz="4" w:space="0"/>
              <w:right w:val="single" w:color="000000" w:sz="4" w:space="0"/>
            </w:tcBorders>
            <w:vAlign w:val="center"/>
          </w:tcPr>
          <w:p w14:paraId="5ECF0D2B">
            <w:pPr>
              <w:pStyle w:val="71"/>
              <w:spacing w:before="24" w:after="24"/>
              <w:rPr>
                <w:rFonts w:cs="Times New Roman"/>
              </w:rPr>
            </w:pPr>
            <w:r>
              <w:rPr>
                <w:rFonts w:cs="Times New Roman"/>
              </w:rPr>
              <w:t>LED-功率按图纸-A型灯具</w:t>
            </w:r>
          </w:p>
          <w:p w14:paraId="48391744">
            <w:pPr>
              <w:pStyle w:val="71"/>
              <w:spacing w:before="24" w:after="24"/>
              <w:rPr>
                <w:rFonts w:cs="Times New Roman"/>
              </w:rPr>
            </w:pPr>
            <w:r>
              <w:rPr>
                <w:rFonts w:cs="Times New Roman"/>
              </w:rPr>
              <w:t>潮湿场所P65,室外IP67</w:t>
            </w:r>
          </w:p>
        </w:tc>
        <w:tc>
          <w:tcPr>
            <w:tcW w:w="1785" w:type="dxa"/>
            <w:tcBorders>
              <w:top w:val="single" w:color="000000" w:sz="4" w:space="0"/>
              <w:left w:val="single" w:color="000000" w:sz="4" w:space="0"/>
              <w:bottom w:val="single" w:color="000000" w:sz="4" w:space="0"/>
              <w:right w:val="single" w:color="000000" w:sz="4" w:space="0"/>
            </w:tcBorders>
            <w:vAlign w:val="center"/>
          </w:tcPr>
          <w:p w14:paraId="513E7414">
            <w:pPr>
              <w:pStyle w:val="71"/>
              <w:spacing w:before="24" w:after="24"/>
              <w:rPr>
                <w:rFonts w:cs="Times New Roman"/>
              </w:rPr>
            </w:pPr>
            <w:r>
              <w:rPr>
                <w:rFonts w:cs="Times New Roman"/>
              </w:rPr>
              <w:t>公共通道及楼梯间</w:t>
            </w:r>
          </w:p>
        </w:tc>
      </w:tr>
      <w:tr w14:paraId="44AF0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3BDB24CD">
            <w:pPr>
              <w:pStyle w:val="71"/>
              <w:spacing w:before="24" w:after="24"/>
              <w:rPr>
                <w:rFonts w:cs="Times New Roman"/>
              </w:rPr>
            </w:pPr>
            <w:r>
              <w:rPr>
                <w:rFonts w:cs="Times New Roman"/>
              </w:rPr>
              <w:t>27</w:t>
            </w:r>
          </w:p>
        </w:tc>
        <w:tc>
          <w:tcPr>
            <w:tcW w:w="1373" w:type="dxa"/>
            <w:vMerge w:val="continue"/>
            <w:tcBorders>
              <w:top w:val="nil"/>
              <w:left w:val="single" w:color="000000" w:sz="4" w:space="0"/>
              <w:bottom w:val="single" w:color="000000" w:sz="4" w:space="0"/>
              <w:right w:val="single" w:color="000000" w:sz="4" w:space="0"/>
            </w:tcBorders>
            <w:vAlign w:val="center"/>
          </w:tcPr>
          <w:p w14:paraId="611F96A6">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13E357C4">
            <w:pPr>
              <w:pStyle w:val="71"/>
              <w:spacing w:before="24" w:after="24"/>
              <w:rPr>
                <w:rFonts w:cs="Times New Roman"/>
              </w:rPr>
            </w:pPr>
            <w:r>
              <w:rPr>
                <w:rFonts w:cs="Times New Roman"/>
              </w:rPr>
              <w:t>安全出口指示灯</w:t>
            </w:r>
          </w:p>
        </w:tc>
        <w:tc>
          <w:tcPr>
            <w:tcW w:w="3373" w:type="dxa"/>
            <w:tcBorders>
              <w:top w:val="single" w:color="000000" w:sz="4" w:space="0"/>
              <w:left w:val="single" w:color="000000" w:sz="4" w:space="0"/>
              <w:bottom w:val="single" w:color="000000" w:sz="4" w:space="0"/>
              <w:right w:val="single" w:color="000000" w:sz="4" w:space="0"/>
            </w:tcBorders>
            <w:vAlign w:val="center"/>
          </w:tcPr>
          <w:p w14:paraId="13AABE8A">
            <w:pPr>
              <w:pStyle w:val="71"/>
              <w:spacing w:before="24" w:after="24"/>
              <w:rPr>
                <w:rFonts w:cs="Times New Roman"/>
              </w:rPr>
            </w:pPr>
            <w:r>
              <w:rPr>
                <w:rFonts w:cs="Times New Roman"/>
              </w:rPr>
              <w:t>LED-功率按图纸-A型灯具</w:t>
            </w:r>
          </w:p>
          <w:p w14:paraId="185C80CA">
            <w:pPr>
              <w:pStyle w:val="71"/>
              <w:spacing w:before="24" w:after="24"/>
              <w:rPr>
                <w:rFonts w:cs="Times New Roman"/>
              </w:rPr>
            </w:pPr>
            <w:r>
              <w:rPr>
                <w:rFonts w:cs="Times New Roman"/>
              </w:rPr>
              <w:t>潮湿场所P65,室外IP67</w:t>
            </w:r>
          </w:p>
        </w:tc>
        <w:tc>
          <w:tcPr>
            <w:tcW w:w="1785" w:type="dxa"/>
            <w:tcBorders>
              <w:top w:val="single" w:color="000000" w:sz="4" w:space="0"/>
              <w:left w:val="single" w:color="000000" w:sz="4" w:space="0"/>
              <w:bottom w:val="single" w:color="000000" w:sz="4" w:space="0"/>
              <w:right w:val="single" w:color="000000" w:sz="4" w:space="0"/>
            </w:tcBorders>
            <w:vAlign w:val="center"/>
          </w:tcPr>
          <w:p w14:paraId="2FC571E4">
            <w:pPr>
              <w:pStyle w:val="71"/>
              <w:spacing w:before="24" w:after="24"/>
              <w:rPr>
                <w:rFonts w:cs="Times New Roman"/>
              </w:rPr>
            </w:pPr>
            <w:r>
              <w:rPr>
                <w:rFonts w:cs="Times New Roman"/>
              </w:rPr>
              <w:t>公共通道及楼梯间</w:t>
            </w:r>
          </w:p>
        </w:tc>
      </w:tr>
      <w:tr w14:paraId="1ABD2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0AAA65C8">
            <w:pPr>
              <w:pStyle w:val="71"/>
              <w:spacing w:before="24" w:after="24"/>
              <w:rPr>
                <w:rFonts w:cs="Times New Roman"/>
              </w:rPr>
            </w:pPr>
            <w:r>
              <w:rPr>
                <w:rFonts w:cs="Times New Roman"/>
              </w:rPr>
              <w:t>28</w:t>
            </w:r>
          </w:p>
        </w:tc>
        <w:tc>
          <w:tcPr>
            <w:tcW w:w="1373" w:type="dxa"/>
            <w:vMerge w:val="restart"/>
            <w:tcBorders>
              <w:top w:val="nil"/>
              <w:left w:val="single" w:color="000000" w:sz="4" w:space="0"/>
              <w:bottom w:val="single" w:color="000000" w:sz="4" w:space="0"/>
              <w:right w:val="single" w:color="000000" w:sz="4" w:space="0"/>
            </w:tcBorders>
            <w:vAlign w:val="center"/>
          </w:tcPr>
          <w:p w14:paraId="460F550A">
            <w:pPr>
              <w:pStyle w:val="71"/>
              <w:spacing w:before="24" w:after="24"/>
              <w:rPr>
                <w:rFonts w:cs="Times New Roman"/>
              </w:rPr>
            </w:pPr>
            <w:r>
              <w:rPr>
                <w:rFonts w:cs="Times New Roman"/>
              </w:rPr>
              <w:t>插座</w:t>
            </w:r>
          </w:p>
        </w:tc>
        <w:tc>
          <w:tcPr>
            <w:tcW w:w="2476" w:type="dxa"/>
            <w:tcBorders>
              <w:top w:val="single" w:color="000000" w:sz="4" w:space="0"/>
              <w:left w:val="single" w:color="000000" w:sz="4" w:space="0"/>
              <w:bottom w:val="single" w:color="000000" w:sz="4" w:space="0"/>
              <w:right w:val="single" w:color="000000" w:sz="4" w:space="0"/>
            </w:tcBorders>
            <w:vAlign w:val="center"/>
          </w:tcPr>
          <w:p w14:paraId="553E40FD">
            <w:pPr>
              <w:pStyle w:val="71"/>
              <w:spacing w:before="24" w:after="24"/>
              <w:rPr>
                <w:rFonts w:cs="Times New Roman"/>
              </w:rPr>
            </w:pPr>
            <w:r>
              <w:rPr>
                <w:rFonts w:cs="Times New Roman"/>
              </w:rPr>
              <w:t>单相二三孔插座</w:t>
            </w:r>
          </w:p>
        </w:tc>
        <w:tc>
          <w:tcPr>
            <w:tcW w:w="3373" w:type="dxa"/>
            <w:tcBorders>
              <w:top w:val="single" w:color="000000" w:sz="4" w:space="0"/>
              <w:left w:val="single" w:color="000000" w:sz="4" w:space="0"/>
              <w:bottom w:val="single" w:color="000000" w:sz="4" w:space="0"/>
              <w:right w:val="single" w:color="000000" w:sz="4" w:space="0"/>
            </w:tcBorders>
            <w:vAlign w:val="center"/>
          </w:tcPr>
          <w:p w14:paraId="50501A60">
            <w:pPr>
              <w:pStyle w:val="71"/>
              <w:spacing w:before="24" w:after="24"/>
              <w:rPr>
                <w:rFonts w:cs="Times New Roman"/>
              </w:rPr>
            </w:pPr>
            <w:r>
              <w:rPr>
                <w:rFonts w:cs="Times New Roman"/>
              </w:rPr>
              <w:t>250V,10A</w:t>
            </w:r>
          </w:p>
        </w:tc>
        <w:tc>
          <w:tcPr>
            <w:tcW w:w="1785" w:type="dxa"/>
            <w:tcBorders>
              <w:top w:val="single" w:color="000000" w:sz="4" w:space="0"/>
              <w:left w:val="single" w:color="000000" w:sz="4" w:space="0"/>
              <w:bottom w:val="single" w:color="000000" w:sz="4" w:space="0"/>
              <w:right w:val="single" w:color="000000" w:sz="4" w:space="0"/>
            </w:tcBorders>
            <w:vAlign w:val="center"/>
          </w:tcPr>
          <w:p w14:paraId="2C10C75E">
            <w:pPr>
              <w:pStyle w:val="71"/>
              <w:spacing w:before="24" w:after="24"/>
              <w:rPr>
                <w:rFonts w:cs="Times New Roman"/>
              </w:rPr>
            </w:pPr>
            <w:r>
              <w:rPr>
                <w:rFonts w:cs="Times New Roman"/>
              </w:rPr>
              <w:t>需要设置的功能区域</w:t>
            </w:r>
          </w:p>
        </w:tc>
      </w:tr>
      <w:tr w14:paraId="3EDE37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65F1EB95">
            <w:pPr>
              <w:pStyle w:val="71"/>
              <w:spacing w:before="24" w:after="24"/>
              <w:rPr>
                <w:rFonts w:cs="Times New Roman"/>
              </w:rPr>
            </w:pPr>
            <w:r>
              <w:rPr>
                <w:rFonts w:cs="Times New Roman"/>
              </w:rPr>
              <w:t>29</w:t>
            </w:r>
          </w:p>
        </w:tc>
        <w:tc>
          <w:tcPr>
            <w:tcW w:w="1373" w:type="dxa"/>
            <w:vMerge w:val="continue"/>
            <w:tcBorders>
              <w:top w:val="nil"/>
              <w:left w:val="single" w:color="000000" w:sz="4" w:space="0"/>
              <w:bottom w:val="single" w:color="000000" w:sz="4" w:space="0"/>
              <w:right w:val="single" w:color="000000" w:sz="4" w:space="0"/>
            </w:tcBorders>
            <w:vAlign w:val="center"/>
          </w:tcPr>
          <w:p w14:paraId="0CE7AFE3">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2F535B80">
            <w:pPr>
              <w:pStyle w:val="71"/>
              <w:spacing w:before="24" w:after="24"/>
              <w:rPr>
                <w:rFonts w:cs="Times New Roman"/>
              </w:rPr>
            </w:pPr>
            <w:r>
              <w:rPr>
                <w:rFonts w:cs="Times New Roman"/>
              </w:rPr>
              <w:t>防水二三孔插座</w:t>
            </w:r>
          </w:p>
        </w:tc>
        <w:tc>
          <w:tcPr>
            <w:tcW w:w="3373" w:type="dxa"/>
            <w:tcBorders>
              <w:top w:val="single" w:color="000000" w:sz="4" w:space="0"/>
              <w:left w:val="single" w:color="000000" w:sz="4" w:space="0"/>
              <w:bottom w:val="single" w:color="000000" w:sz="4" w:space="0"/>
              <w:right w:val="single" w:color="000000" w:sz="4" w:space="0"/>
            </w:tcBorders>
            <w:vAlign w:val="center"/>
          </w:tcPr>
          <w:p w14:paraId="2BEA14A5">
            <w:pPr>
              <w:pStyle w:val="71"/>
              <w:spacing w:before="24" w:after="24"/>
              <w:rPr>
                <w:rFonts w:cs="Times New Roman"/>
              </w:rPr>
            </w:pPr>
            <w:r>
              <w:rPr>
                <w:rFonts w:cs="Times New Roman"/>
              </w:rPr>
              <w:t>250V,16A,IP54</w:t>
            </w:r>
          </w:p>
        </w:tc>
        <w:tc>
          <w:tcPr>
            <w:tcW w:w="1785" w:type="dxa"/>
            <w:tcBorders>
              <w:top w:val="single" w:color="000000" w:sz="4" w:space="0"/>
              <w:left w:val="single" w:color="000000" w:sz="4" w:space="0"/>
              <w:bottom w:val="single" w:color="000000" w:sz="4" w:space="0"/>
              <w:right w:val="single" w:color="000000" w:sz="4" w:space="0"/>
            </w:tcBorders>
            <w:vAlign w:val="center"/>
          </w:tcPr>
          <w:p w14:paraId="4E26BAEF">
            <w:pPr>
              <w:pStyle w:val="71"/>
              <w:spacing w:before="24" w:after="24"/>
              <w:rPr>
                <w:rFonts w:cs="Times New Roman"/>
              </w:rPr>
            </w:pPr>
            <w:r>
              <w:rPr>
                <w:rFonts w:cs="Times New Roman"/>
              </w:rPr>
              <w:t>卫生间等潮湿场所</w:t>
            </w:r>
          </w:p>
        </w:tc>
      </w:tr>
      <w:tr w14:paraId="3AB643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6DF560FF">
            <w:pPr>
              <w:pStyle w:val="71"/>
              <w:spacing w:before="24" w:after="24"/>
              <w:rPr>
                <w:rFonts w:cs="Times New Roman"/>
              </w:rPr>
            </w:pPr>
            <w:r>
              <w:rPr>
                <w:rFonts w:cs="Times New Roman"/>
              </w:rPr>
              <w:t>30</w:t>
            </w:r>
          </w:p>
        </w:tc>
        <w:tc>
          <w:tcPr>
            <w:tcW w:w="1373" w:type="dxa"/>
            <w:vMerge w:val="restart"/>
            <w:tcBorders>
              <w:top w:val="nil"/>
              <w:left w:val="single" w:color="000000" w:sz="4" w:space="0"/>
              <w:bottom w:val="single" w:color="000000" w:sz="4" w:space="0"/>
              <w:right w:val="single" w:color="000000" w:sz="4" w:space="0"/>
            </w:tcBorders>
            <w:vAlign w:val="center"/>
          </w:tcPr>
          <w:p w14:paraId="79971470">
            <w:pPr>
              <w:pStyle w:val="71"/>
              <w:spacing w:before="24" w:after="24"/>
              <w:rPr>
                <w:rFonts w:cs="Times New Roman"/>
              </w:rPr>
            </w:pPr>
            <w:r>
              <w:rPr>
                <w:rFonts w:cs="Times New Roman"/>
              </w:rPr>
              <w:t>开关</w:t>
            </w:r>
          </w:p>
        </w:tc>
        <w:tc>
          <w:tcPr>
            <w:tcW w:w="2476" w:type="dxa"/>
            <w:tcBorders>
              <w:top w:val="single" w:color="000000" w:sz="4" w:space="0"/>
              <w:left w:val="single" w:color="000000" w:sz="4" w:space="0"/>
              <w:bottom w:val="single" w:color="000000" w:sz="4" w:space="0"/>
              <w:right w:val="single" w:color="000000" w:sz="4" w:space="0"/>
            </w:tcBorders>
            <w:vAlign w:val="center"/>
          </w:tcPr>
          <w:p w14:paraId="33F80BFE">
            <w:pPr>
              <w:pStyle w:val="71"/>
              <w:spacing w:before="24" w:after="24"/>
              <w:rPr>
                <w:rFonts w:cs="Times New Roman"/>
              </w:rPr>
            </w:pPr>
            <w:r>
              <w:rPr>
                <w:rFonts w:cs="Times New Roman"/>
              </w:rPr>
              <w:t>紫外线照射灯开关</w:t>
            </w:r>
          </w:p>
        </w:tc>
        <w:tc>
          <w:tcPr>
            <w:tcW w:w="3373" w:type="dxa"/>
            <w:tcBorders>
              <w:top w:val="single" w:color="000000" w:sz="4" w:space="0"/>
              <w:left w:val="single" w:color="000000" w:sz="4" w:space="0"/>
              <w:bottom w:val="single" w:color="000000" w:sz="4" w:space="0"/>
              <w:right w:val="single" w:color="000000" w:sz="4" w:space="0"/>
            </w:tcBorders>
            <w:vAlign w:val="center"/>
          </w:tcPr>
          <w:p w14:paraId="4DF0DA20">
            <w:pPr>
              <w:pStyle w:val="71"/>
              <w:spacing w:before="24" w:after="24"/>
              <w:rPr>
                <w:rFonts w:cs="Times New Roman"/>
              </w:rPr>
            </w:pPr>
            <w:r>
              <w:rPr>
                <w:rFonts w:cs="Times New Roman"/>
              </w:rPr>
              <w:t>250V,10A,IP54，设明显标志</w:t>
            </w:r>
          </w:p>
        </w:tc>
        <w:tc>
          <w:tcPr>
            <w:tcW w:w="1785" w:type="dxa"/>
            <w:tcBorders>
              <w:top w:val="single" w:color="000000" w:sz="4" w:space="0"/>
              <w:left w:val="single" w:color="000000" w:sz="4" w:space="0"/>
              <w:bottom w:val="single" w:color="000000" w:sz="4" w:space="0"/>
              <w:right w:val="single" w:color="000000" w:sz="4" w:space="0"/>
            </w:tcBorders>
            <w:vAlign w:val="center"/>
          </w:tcPr>
          <w:p w14:paraId="2BECE913">
            <w:pPr>
              <w:pStyle w:val="71"/>
              <w:spacing w:before="24" w:after="24"/>
              <w:rPr>
                <w:rFonts w:cs="Times New Roman"/>
              </w:rPr>
            </w:pPr>
            <w:r>
              <w:rPr>
                <w:rFonts w:cs="Times New Roman"/>
              </w:rPr>
              <w:t>规范规定功能位置</w:t>
            </w:r>
          </w:p>
        </w:tc>
      </w:tr>
      <w:tr w14:paraId="2E520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7D48C89C">
            <w:pPr>
              <w:pStyle w:val="71"/>
              <w:spacing w:before="24" w:after="24"/>
              <w:rPr>
                <w:rFonts w:cs="Times New Roman"/>
              </w:rPr>
            </w:pPr>
            <w:r>
              <w:rPr>
                <w:rFonts w:cs="Times New Roman"/>
              </w:rPr>
              <w:t>31</w:t>
            </w:r>
          </w:p>
        </w:tc>
        <w:tc>
          <w:tcPr>
            <w:tcW w:w="1373" w:type="dxa"/>
            <w:vMerge w:val="continue"/>
            <w:tcBorders>
              <w:top w:val="nil"/>
              <w:left w:val="single" w:color="000000" w:sz="4" w:space="0"/>
              <w:bottom w:val="single" w:color="000000" w:sz="4" w:space="0"/>
              <w:right w:val="single" w:color="000000" w:sz="4" w:space="0"/>
            </w:tcBorders>
            <w:vAlign w:val="center"/>
          </w:tcPr>
          <w:p w14:paraId="6C450892">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2F66CBA4">
            <w:pPr>
              <w:pStyle w:val="71"/>
              <w:spacing w:before="24" w:after="24"/>
              <w:rPr>
                <w:rFonts w:cs="Times New Roman"/>
              </w:rPr>
            </w:pPr>
            <w:r>
              <w:rPr>
                <w:rFonts w:cs="Times New Roman"/>
              </w:rPr>
              <w:t>单联开关</w:t>
            </w:r>
          </w:p>
        </w:tc>
        <w:tc>
          <w:tcPr>
            <w:tcW w:w="3373" w:type="dxa"/>
            <w:tcBorders>
              <w:top w:val="single" w:color="000000" w:sz="4" w:space="0"/>
              <w:left w:val="single" w:color="000000" w:sz="4" w:space="0"/>
              <w:bottom w:val="single" w:color="000000" w:sz="4" w:space="0"/>
              <w:right w:val="single" w:color="000000" w:sz="4" w:space="0"/>
            </w:tcBorders>
            <w:vAlign w:val="center"/>
          </w:tcPr>
          <w:p w14:paraId="159F1D22">
            <w:pPr>
              <w:pStyle w:val="71"/>
              <w:spacing w:before="24" w:after="24"/>
              <w:rPr>
                <w:rFonts w:cs="Times New Roman"/>
              </w:rPr>
            </w:pPr>
            <w:r>
              <w:rPr>
                <w:rFonts w:cs="Times New Roman"/>
              </w:rPr>
              <w:t>250V,10A</w:t>
            </w:r>
          </w:p>
        </w:tc>
        <w:tc>
          <w:tcPr>
            <w:tcW w:w="1785" w:type="dxa"/>
            <w:tcBorders>
              <w:top w:val="single" w:color="000000" w:sz="4" w:space="0"/>
              <w:left w:val="single" w:color="000000" w:sz="4" w:space="0"/>
              <w:bottom w:val="single" w:color="000000" w:sz="4" w:space="0"/>
              <w:right w:val="single" w:color="000000" w:sz="4" w:space="0"/>
            </w:tcBorders>
            <w:vAlign w:val="center"/>
          </w:tcPr>
          <w:p w14:paraId="142D70EE">
            <w:pPr>
              <w:pStyle w:val="71"/>
              <w:spacing w:before="24" w:after="24"/>
              <w:rPr>
                <w:rFonts w:cs="Times New Roman"/>
              </w:rPr>
            </w:pPr>
            <w:r>
              <w:rPr>
                <w:rFonts w:cs="Times New Roman"/>
              </w:rPr>
              <w:t>卫生间等其它功能区</w:t>
            </w:r>
          </w:p>
        </w:tc>
      </w:tr>
      <w:tr w14:paraId="50CEB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1C5DC854">
            <w:pPr>
              <w:pStyle w:val="71"/>
              <w:spacing w:before="24" w:after="24"/>
              <w:rPr>
                <w:rFonts w:cs="Times New Roman"/>
              </w:rPr>
            </w:pPr>
            <w:r>
              <w:rPr>
                <w:rFonts w:cs="Times New Roman"/>
              </w:rPr>
              <w:t>32</w:t>
            </w:r>
          </w:p>
        </w:tc>
        <w:tc>
          <w:tcPr>
            <w:tcW w:w="1373" w:type="dxa"/>
            <w:vMerge w:val="continue"/>
            <w:tcBorders>
              <w:top w:val="nil"/>
              <w:left w:val="single" w:color="000000" w:sz="4" w:space="0"/>
              <w:bottom w:val="single" w:color="000000" w:sz="4" w:space="0"/>
              <w:right w:val="single" w:color="000000" w:sz="4" w:space="0"/>
            </w:tcBorders>
            <w:vAlign w:val="center"/>
          </w:tcPr>
          <w:p w14:paraId="54DAFFC7">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70935726">
            <w:pPr>
              <w:pStyle w:val="71"/>
              <w:spacing w:before="24" w:after="24"/>
              <w:rPr>
                <w:rFonts w:cs="Times New Roman"/>
              </w:rPr>
            </w:pPr>
            <w:r>
              <w:rPr>
                <w:rFonts w:cs="Times New Roman"/>
              </w:rPr>
              <w:t>双联开关</w:t>
            </w:r>
          </w:p>
        </w:tc>
        <w:tc>
          <w:tcPr>
            <w:tcW w:w="3373" w:type="dxa"/>
            <w:tcBorders>
              <w:top w:val="single" w:color="000000" w:sz="4" w:space="0"/>
              <w:left w:val="single" w:color="000000" w:sz="4" w:space="0"/>
              <w:bottom w:val="single" w:color="000000" w:sz="4" w:space="0"/>
              <w:right w:val="single" w:color="000000" w:sz="4" w:space="0"/>
            </w:tcBorders>
            <w:vAlign w:val="center"/>
          </w:tcPr>
          <w:p w14:paraId="5F832F2F">
            <w:pPr>
              <w:pStyle w:val="71"/>
              <w:spacing w:before="24" w:after="24"/>
              <w:rPr>
                <w:rFonts w:cs="Times New Roman"/>
              </w:rPr>
            </w:pPr>
            <w:r>
              <w:rPr>
                <w:rFonts w:cs="Times New Roman"/>
              </w:rPr>
              <w:t>250V,10A</w:t>
            </w:r>
          </w:p>
        </w:tc>
        <w:tc>
          <w:tcPr>
            <w:tcW w:w="1785" w:type="dxa"/>
            <w:tcBorders>
              <w:top w:val="single" w:color="000000" w:sz="4" w:space="0"/>
              <w:left w:val="single" w:color="000000" w:sz="4" w:space="0"/>
              <w:bottom w:val="single" w:color="000000" w:sz="4" w:space="0"/>
              <w:right w:val="single" w:color="000000" w:sz="4" w:space="0"/>
            </w:tcBorders>
            <w:vAlign w:val="center"/>
          </w:tcPr>
          <w:p w14:paraId="46B60AF2">
            <w:pPr>
              <w:pStyle w:val="71"/>
              <w:spacing w:before="24" w:after="24"/>
              <w:rPr>
                <w:rFonts w:cs="Times New Roman"/>
              </w:rPr>
            </w:pPr>
            <w:r>
              <w:rPr>
                <w:rFonts w:cs="Times New Roman"/>
              </w:rPr>
              <w:t>卫生间等其它功能区</w:t>
            </w:r>
          </w:p>
        </w:tc>
      </w:tr>
      <w:tr w14:paraId="2532B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262F05D5">
            <w:pPr>
              <w:pStyle w:val="71"/>
              <w:spacing w:before="24" w:after="24"/>
              <w:rPr>
                <w:rFonts w:cs="Times New Roman"/>
              </w:rPr>
            </w:pPr>
            <w:r>
              <w:rPr>
                <w:rFonts w:cs="Times New Roman"/>
              </w:rPr>
              <w:t>33</w:t>
            </w:r>
          </w:p>
        </w:tc>
        <w:tc>
          <w:tcPr>
            <w:tcW w:w="1373" w:type="dxa"/>
            <w:vMerge w:val="continue"/>
            <w:tcBorders>
              <w:top w:val="nil"/>
              <w:left w:val="single" w:color="000000" w:sz="4" w:space="0"/>
              <w:bottom w:val="single" w:color="000000" w:sz="4" w:space="0"/>
              <w:right w:val="single" w:color="000000" w:sz="4" w:space="0"/>
            </w:tcBorders>
            <w:vAlign w:val="center"/>
          </w:tcPr>
          <w:p w14:paraId="74FF76AC">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07788A77">
            <w:pPr>
              <w:pStyle w:val="71"/>
              <w:spacing w:before="24" w:after="24"/>
              <w:rPr>
                <w:rFonts w:cs="Times New Roman"/>
              </w:rPr>
            </w:pPr>
            <w:r>
              <w:rPr>
                <w:rFonts w:cs="Times New Roman"/>
              </w:rPr>
              <w:t>三联开关</w:t>
            </w:r>
          </w:p>
        </w:tc>
        <w:tc>
          <w:tcPr>
            <w:tcW w:w="3373" w:type="dxa"/>
            <w:tcBorders>
              <w:top w:val="single" w:color="000000" w:sz="4" w:space="0"/>
              <w:left w:val="single" w:color="000000" w:sz="4" w:space="0"/>
              <w:bottom w:val="single" w:color="000000" w:sz="4" w:space="0"/>
              <w:right w:val="single" w:color="000000" w:sz="4" w:space="0"/>
            </w:tcBorders>
            <w:vAlign w:val="center"/>
          </w:tcPr>
          <w:p w14:paraId="3664B2F3">
            <w:pPr>
              <w:pStyle w:val="71"/>
              <w:spacing w:before="24" w:after="24"/>
              <w:rPr>
                <w:rFonts w:cs="Times New Roman"/>
              </w:rPr>
            </w:pPr>
            <w:r>
              <w:rPr>
                <w:rFonts w:cs="Times New Roman"/>
              </w:rPr>
              <w:t>250V,10A</w:t>
            </w:r>
          </w:p>
        </w:tc>
        <w:tc>
          <w:tcPr>
            <w:tcW w:w="1785" w:type="dxa"/>
            <w:tcBorders>
              <w:top w:val="single" w:color="000000" w:sz="4" w:space="0"/>
              <w:left w:val="single" w:color="000000" w:sz="4" w:space="0"/>
              <w:bottom w:val="single" w:color="000000" w:sz="4" w:space="0"/>
              <w:right w:val="single" w:color="000000" w:sz="4" w:space="0"/>
            </w:tcBorders>
            <w:vAlign w:val="center"/>
          </w:tcPr>
          <w:p w14:paraId="5031E533">
            <w:pPr>
              <w:pStyle w:val="71"/>
              <w:spacing w:before="24" w:after="24"/>
              <w:rPr>
                <w:rFonts w:cs="Times New Roman"/>
              </w:rPr>
            </w:pPr>
            <w:r>
              <w:rPr>
                <w:rFonts w:cs="Times New Roman"/>
              </w:rPr>
              <w:t>卫生间等其它功能区</w:t>
            </w:r>
          </w:p>
        </w:tc>
      </w:tr>
      <w:tr w14:paraId="4F3A9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257B6F71">
            <w:pPr>
              <w:pStyle w:val="71"/>
              <w:spacing w:before="24" w:after="24"/>
              <w:rPr>
                <w:rFonts w:cs="Times New Roman"/>
              </w:rPr>
            </w:pPr>
            <w:r>
              <w:rPr>
                <w:rFonts w:cs="Times New Roman"/>
              </w:rPr>
              <w:t>34</w:t>
            </w:r>
          </w:p>
        </w:tc>
        <w:tc>
          <w:tcPr>
            <w:tcW w:w="1373" w:type="dxa"/>
            <w:vMerge w:val="continue"/>
            <w:tcBorders>
              <w:top w:val="nil"/>
              <w:left w:val="single" w:color="000000" w:sz="4" w:space="0"/>
              <w:bottom w:val="single" w:color="000000" w:sz="4" w:space="0"/>
              <w:right w:val="single" w:color="000000" w:sz="4" w:space="0"/>
            </w:tcBorders>
            <w:vAlign w:val="center"/>
          </w:tcPr>
          <w:p w14:paraId="0B6F0A0F">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3DE1AA48">
            <w:pPr>
              <w:pStyle w:val="71"/>
              <w:spacing w:before="24" w:after="24"/>
              <w:rPr>
                <w:rFonts w:cs="Times New Roman"/>
              </w:rPr>
            </w:pPr>
            <w:r>
              <w:rPr>
                <w:rFonts w:cs="Times New Roman"/>
              </w:rPr>
              <w:t>四联开关</w:t>
            </w:r>
          </w:p>
        </w:tc>
        <w:tc>
          <w:tcPr>
            <w:tcW w:w="3373" w:type="dxa"/>
            <w:tcBorders>
              <w:top w:val="single" w:color="000000" w:sz="4" w:space="0"/>
              <w:left w:val="single" w:color="000000" w:sz="4" w:space="0"/>
              <w:bottom w:val="single" w:color="000000" w:sz="4" w:space="0"/>
              <w:right w:val="single" w:color="000000" w:sz="4" w:space="0"/>
            </w:tcBorders>
            <w:vAlign w:val="center"/>
          </w:tcPr>
          <w:p w14:paraId="154E54EA">
            <w:pPr>
              <w:pStyle w:val="71"/>
              <w:spacing w:before="24" w:after="24"/>
              <w:rPr>
                <w:rFonts w:cs="Times New Roman"/>
              </w:rPr>
            </w:pPr>
            <w:r>
              <w:rPr>
                <w:rFonts w:cs="Times New Roman"/>
              </w:rPr>
              <w:t>250V,10A</w:t>
            </w:r>
          </w:p>
        </w:tc>
        <w:tc>
          <w:tcPr>
            <w:tcW w:w="1785" w:type="dxa"/>
            <w:tcBorders>
              <w:top w:val="single" w:color="000000" w:sz="4" w:space="0"/>
              <w:left w:val="single" w:color="000000" w:sz="4" w:space="0"/>
              <w:bottom w:val="single" w:color="000000" w:sz="4" w:space="0"/>
              <w:right w:val="single" w:color="000000" w:sz="4" w:space="0"/>
            </w:tcBorders>
            <w:vAlign w:val="center"/>
          </w:tcPr>
          <w:p w14:paraId="791C56CB">
            <w:pPr>
              <w:pStyle w:val="71"/>
              <w:spacing w:before="24" w:after="24"/>
              <w:rPr>
                <w:rFonts w:cs="Times New Roman"/>
              </w:rPr>
            </w:pPr>
            <w:r>
              <w:rPr>
                <w:rFonts w:cs="Times New Roman"/>
              </w:rPr>
              <w:t>卫生间等其它功能区域</w:t>
            </w:r>
          </w:p>
        </w:tc>
      </w:tr>
      <w:tr w14:paraId="66B8AA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159A036D">
            <w:pPr>
              <w:pStyle w:val="71"/>
              <w:spacing w:before="24" w:after="24"/>
              <w:rPr>
                <w:rFonts w:cs="Times New Roman"/>
              </w:rPr>
            </w:pPr>
            <w:r>
              <w:rPr>
                <w:rFonts w:cs="Times New Roman"/>
              </w:rPr>
              <w:t>35</w:t>
            </w:r>
          </w:p>
        </w:tc>
        <w:tc>
          <w:tcPr>
            <w:tcW w:w="1373" w:type="dxa"/>
            <w:vMerge w:val="continue"/>
            <w:tcBorders>
              <w:top w:val="nil"/>
              <w:left w:val="single" w:color="000000" w:sz="4" w:space="0"/>
              <w:bottom w:val="single" w:color="000000" w:sz="4" w:space="0"/>
              <w:right w:val="single" w:color="000000" w:sz="4" w:space="0"/>
            </w:tcBorders>
            <w:vAlign w:val="center"/>
          </w:tcPr>
          <w:p w14:paraId="50823C9F">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2F5C794D">
            <w:pPr>
              <w:pStyle w:val="71"/>
              <w:spacing w:before="24" w:after="24"/>
              <w:rPr>
                <w:rFonts w:cs="Times New Roman"/>
              </w:rPr>
            </w:pPr>
            <w:r>
              <w:rPr>
                <w:rFonts w:cs="Times New Roman"/>
              </w:rPr>
              <w:t>单联双控开关</w:t>
            </w:r>
          </w:p>
        </w:tc>
        <w:tc>
          <w:tcPr>
            <w:tcW w:w="3373" w:type="dxa"/>
            <w:tcBorders>
              <w:top w:val="single" w:color="000000" w:sz="4" w:space="0"/>
              <w:left w:val="single" w:color="000000" w:sz="4" w:space="0"/>
              <w:bottom w:val="single" w:color="000000" w:sz="4" w:space="0"/>
              <w:right w:val="single" w:color="000000" w:sz="4" w:space="0"/>
            </w:tcBorders>
            <w:vAlign w:val="center"/>
          </w:tcPr>
          <w:p w14:paraId="09A65B23">
            <w:pPr>
              <w:pStyle w:val="71"/>
              <w:spacing w:before="24" w:after="24"/>
              <w:rPr>
                <w:rFonts w:cs="Times New Roman"/>
              </w:rPr>
            </w:pPr>
            <w:r>
              <w:rPr>
                <w:rFonts w:cs="Times New Roman"/>
              </w:rPr>
              <w:t>250V,10A</w:t>
            </w:r>
          </w:p>
        </w:tc>
        <w:tc>
          <w:tcPr>
            <w:tcW w:w="1785" w:type="dxa"/>
            <w:tcBorders>
              <w:top w:val="single" w:color="000000" w:sz="4" w:space="0"/>
              <w:left w:val="single" w:color="000000" w:sz="4" w:space="0"/>
              <w:bottom w:val="single" w:color="000000" w:sz="4" w:space="0"/>
              <w:right w:val="single" w:color="000000" w:sz="4" w:space="0"/>
            </w:tcBorders>
            <w:vAlign w:val="center"/>
          </w:tcPr>
          <w:p w14:paraId="4E03113A">
            <w:pPr>
              <w:pStyle w:val="71"/>
              <w:spacing w:before="24" w:after="24"/>
              <w:rPr>
                <w:rFonts w:cs="Times New Roman"/>
              </w:rPr>
            </w:pPr>
            <w:r>
              <w:rPr>
                <w:rFonts w:cs="Times New Roman"/>
              </w:rPr>
              <w:t>卫生间等其它功能区域</w:t>
            </w:r>
          </w:p>
        </w:tc>
      </w:tr>
      <w:tr w14:paraId="5E27F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557D2DF3">
            <w:pPr>
              <w:pStyle w:val="71"/>
              <w:spacing w:before="24" w:after="24"/>
              <w:rPr>
                <w:rFonts w:cs="Times New Roman"/>
              </w:rPr>
            </w:pPr>
            <w:r>
              <w:rPr>
                <w:rFonts w:cs="Times New Roman"/>
              </w:rPr>
              <w:t>36</w:t>
            </w:r>
          </w:p>
        </w:tc>
        <w:tc>
          <w:tcPr>
            <w:tcW w:w="1373" w:type="dxa"/>
            <w:vMerge w:val="continue"/>
            <w:tcBorders>
              <w:top w:val="nil"/>
              <w:left w:val="single" w:color="000000" w:sz="4" w:space="0"/>
              <w:bottom w:val="single" w:color="000000" w:sz="4" w:space="0"/>
              <w:right w:val="single" w:color="000000" w:sz="4" w:space="0"/>
            </w:tcBorders>
            <w:vAlign w:val="center"/>
          </w:tcPr>
          <w:p w14:paraId="3E5894F3">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675707AA">
            <w:pPr>
              <w:pStyle w:val="71"/>
              <w:spacing w:before="24" w:after="24"/>
              <w:rPr>
                <w:rFonts w:cs="Times New Roman"/>
              </w:rPr>
            </w:pPr>
            <w:r>
              <w:rPr>
                <w:rFonts w:cs="Times New Roman"/>
              </w:rPr>
              <w:t>空调开关</w:t>
            </w:r>
          </w:p>
        </w:tc>
        <w:tc>
          <w:tcPr>
            <w:tcW w:w="3373" w:type="dxa"/>
            <w:tcBorders>
              <w:top w:val="single" w:color="000000" w:sz="4" w:space="0"/>
              <w:left w:val="single" w:color="000000" w:sz="4" w:space="0"/>
              <w:bottom w:val="single" w:color="000000" w:sz="4" w:space="0"/>
              <w:right w:val="single" w:color="000000" w:sz="4" w:space="0"/>
            </w:tcBorders>
            <w:vAlign w:val="center"/>
          </w:tcPr>
          <w:p w14:paraId="10CDF959">
            <w:pPr>
              <w:pStyle w:val="71"/>
              <w:spacing w:before="24" w:after="24"/>
              <w:rPr>
                <w:rFonts w:cs="Times New Roman"/>
              </w:rPr>
            </w:pPr>
            <w:r>
              <w:rPr>
                <w:rFonts w:cs="Times New Roman"/>
              </w:rPr>
              <w:t>250V,20A</w:t>
            </w:r>
          </w:p>
        </w:tc>
        <w:tc>
          <w:tcPr>
            <w:tcW w:w="1785" w:type="dxa"/>
            <w:tcBorders>
              <w:top w:val="single" w:color="000000" w:sz="4" w:space="0"/>
              <w:left w:val="single" w:color="000000" w:sz="4" w:space="0"/>
              <w:bottom w:val="single" w:color="000000" w:sz="4" w:space="0"/>
              <w:right w:val="single" w:color="000000" w:sz="4" w:space="0"/>
            </w:tcBorders>
            <w:vAlign w:val="center"/>
          </w:tcPr>
          <w:p w14:paraId="48E39716">
            <w:pPr>
              <w:pStyle w:val="71"/>
              <w:spacing w:before="24" w:after="24"/>
              <w:rPr>
                <w:rFonts w:cs="Times New Roman"/>
              </w:rPr>
            </w:pPr>
            <w:r>
              <w:rPr>
                <w:rFonts w:cs="Times New Roman"/>
              </w:rPr>
              <w:t>需要设置的功能区域</w:t>
            </w:r>
          </w:p>
        </w:tc>
      </w:tr>
      <w:tr w14:paraId="4A370C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3DA0F4FA">
            <w:pPr>
              <w:pStyle w:val="71"/>
              <w:spacing w:before="24" w:after="24"/>
              <w:rPr>
                <w:rFonts w:cs="Times New Roman"/>
              </w:rPr>
            </w:pPr>
            <w:r>
              <w:rPr>
                <w:rFonts w:cs="Times New Roman"/>
              </w:rPr>
              <w:t>37</w:t>
            </w:r>
          </w:p>
        </w:tc>
        <w:tc>
          <w:tcPr>
            <w:tcW w:w="1373" w:type="dxa"/>
            <w:tcBorders>
              <w:top w:val="single" w:color="000000" w:sz="4" w:space="0"/>
              <w:left w:val="single" w:color="000000" w:sz="4" w:space="0"/>
              <w:bottom w:val="single" w:color="000000" w:sz="4" w:space="0"/>
              <w:right w:val="single" w:color="000000" w:sz="4" w:space="0"/>
            </w:tcBorders>
            <w:vAlign w:val="center"/>
          </w:tcPr>
          <w:p w14:paraId="62E2EF56">
            <w:pPr>
              <w:pStyle w:val="71"/>
              <w:spacing w:before="24" w:after="24"/>
              <w:rPr>
                <w:rFonts w:cs="Times New Roman"/>
              </w:rPr>
            </w:pPr>
            <w:r>
              <w:rPr>
                <w:rFonts w:cs="Times New Roman"/>
              </w:rPr>
              <w:t>强电/线缆</w:t>
            </w:r>
          </w:p>
        </w:tc>
        <w:tc>
          <w:tcPr>
            <w:tcW w:w="7634" w:type="dxa"/>
            <w:gridSpan w:val="3"/>
            <w:tcBorders>
              <w:top w:val="single" w:color="000000" w:sz="4" w:space="0"/>
              <w:left w:val="single" w:color="000000" w:sz="4" w:space="0"/>
              <w:bottom w:val="single" w:color="000000" w:sz="4" w:space="0"/>
              <w:right w:val="single" w:color="000000" w:sz="4" w:space="0"/>
            </w:tcBorders>
            <w:vAlign w:val="center"/>
          </w:tcPr>
          <w:p w14:paraId="3704B240">
            <w:pPr>
              <w:pStyle w:val="71"/>
              <w:spacing w:before="24" w:after="24"/>
              <w:rPr>
                <w:rFonts w:cs="Times New Roman"/>
              </w:rPr>
            </w:pPr>
            <w:r>
              <w:rPr>
                <w:rFonts w:cs="Times New Roman"/>
              </w:rPr>
              <w:t>详五、技术部分-三（技术标准和要求）-7.4.6节电缆选型表要求</w:t>
            </w:r>
          </w:p>
        </w:tc>
      </w:tr>
      <w:tr w14:paraId="61327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3CE0CC81">
            <w:pPr>
              <w:pStyle w:val="71"/>
              <w:spacing w:before="24" w:after="24"/>
              <w:rPr>
                <w:rFonts w:cs="Times New Roman"/>
              </w:rPr>
            </w:pPr>
            <w:r>
              <w:rPr>
                <w:rFonts w:cs="Times New Roman"/>
              </w:rPr>
              <w:t>38</w:t>
            </w:r>
          </w:p>
        </w:tc>
        <w:tc>
          <w:tcPr>
            <w:tcW w:w="1373" w:type="dxa"/>
            <w:vMerge w:val="restart"/>
            <w:tcBorders>
              <w:top w:val="nil"/>
              <w:left w:val="single" w:color="000000" w:sz="4" w:space="0"/>
              <w:bottom w:val="single" w:color="000000" w:sz="4" w:space="0"/>
              <w:right w:val="single" w:color="000000" w:sz="4" w:space="0"/>
            </w:tcBorders>
            <w:vAlign w:val="center"/>
          </w:tcPr>
          <w:p w14:paraId="17125079">
            <w:pPr>
              <w:pStyle w:val="71"/>
              <w:spacing w:before="24" w:after="24"/>
              <w:rPr>
                <w:rFonts w:cs="Times New Roman"/>
              </w:rPr>
            </w:pPr>
            <w:r>
              <w:rPr>
                <w:rFonts w:cs="Times New Roman"/>
              </w:rPr>
              <w:t>强、弱电/预埋保护管</w:t>
            </w:r>
          </w:p>
        </w:tc>
        <w:tc>
          <w:tcPr>
            <w:tcW w:w="2476" w:type="dxa"/>
            <w:tcBorders>
              <w:top w:val="single" w:color="000000" w:sz="4" w:space="0"/>
              <w:left w:val="single" w:color="000000" w:sz="4" w:space="0"/>
              <w:bottom w:val="single" w:color="000000" w:sz="4" w:space="0"/>
              <w:right w:val="single" w:color="000000" w:sz="4" w:space="0"/>
            </w:tcBorders>
            <w:vAlign w:val="center"/>
          </w:tcPr>
          <w:p w14:paraId="34A6031B">
            <w:pPr>
              <w:pStyle w:val="71"/>
              <w:spacing w:before="24" w:after="24"/>
              <w:rPr>
                <w:rFonts w:cs="Times New Roman"/>
              </w:rPr>
            </w:pPr>
            <w:r>
              <w:rPr>
                <w:rFonts w:cs="Times New Roman"/>
              </w:rPr>
              <w:t>塑料管</w:t>
            </w:r>
          </w:p>
        </w:tc>
        <w:tc>
          <w:tcPr>
            <w:tcW w:w="3373" w:type="dxa"/>
            <w:tcBorders>
              <w:top w:val="single" w:color="000000" w:sz="4" w:space="0"/>
              <w:left w:val="single" w:color="000000" w:sz="4" w:space="0"/>
              <w:bottom w:val="single" w:color="000000" w:sz="4" w:space="0"/>
              <w:right w:val="single" w:color="000000" w:sz="4" w:space="0"/>
            </w:tcBorders>
            <w:vAlign w:val="center"/>
          </w:tcPr>
          <w:p w14:paraId="5FD1F1C8">
            <w:pPr>
              <w:pStyle w:val="71"/>
              <w:spacing w:before="24" w:after="24"/>
              <w:rPr>
                <w:rFonts w:cs="Times New Roman"/>
              </w:rPr>
            </w:pPr>
            <w:r>
              <w:rPr>
                <w:rFonts w:cs="Times New Roman"/>
              </w:rPr>
              <w:t>中型PC管-管径（20、25、40）或根据图纸配置</w:t>
            </w:r>
          </w:p>
        </w:tc>
        <w:tc>
          <w:tcPr>
            <w:tcW w:w="1785" w:type="dxa"/>
            <w:tcBorders>
              <w:top w:val="single" w:color="000000" w:sz="4" w:space="0"/>
              <w:left w:val="single" w:color="000000" w:sz="4" w:space="0"/>
              <w:bottom w:val="single" w:color="000000" w:sz="4" w:space="0"/>
              <w:right w:val="single" w:color="000000" w:sz="4" w:space="0"/>
            </w:tcBorders>
            <w:vAlign w:val="center"/>
          </w:tcPr>
          <w:p w14:paraId="143570BB">
            <w:pPr>
              <w:pStyle w:val="71"/>
              <w:spacing w:before="24" w:after="24"/>
              <w:rPr>
                <w:rFonts w:cs="Times New Roman"/>
              </w:rPr>
            </w:pPr>
            <w:r>
              <w:rPr>
                <w:rFonts w:cs="Times New Roman"/>
              </w:rPr>
              <w:t>室内干燥无机械损伤风险环境</w:t>
            </w:r>
          </w:p>
        </w:tc>
      </w:tr>
      <w:tr w14:paraId="015E9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69416D70">
            <w:pPr>
              <w:pStyle w:val="71"/>
              <w:spacing w:before="24" w:after="24"/>
              <w:rPr>
                <w:rFonts w:cs="Times New Roman"/>
              </w:rPr>
            </w:pPr>
            <w:r>
              <w:rPr>
                <w:rFonts w:cs="Times New Roman"/>
              </w:rPr>
              <w:t>39</w:t>
            </w:r>
          </w:p>
        </w:tc>
        <w:tc>
          <w:tcPr>
            <w:tcW w:w="1373" w:type="dxa"/>
            <w:vMerge w:val="continue"/>
            <w:tcBorders>
              <w:top w:val="nil"/>
              <w:left w:val="single" w:color="000000" w:sz="4" w:space="0"/>
              <w:bottom w:val="single" w:color="000000" w:sz="4" w:space="0"/>
              <w:right w:val="single" w:color="000000" w:sz="4" w:space="0"/>
            </w:tcBorders>
            <w:vAlign w:val="center"/>
          </w:tcPr>
          <w:p w14:paraId="0E105FB8">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2534DD41">
            <w:pPr>
              <w:pStyle w:val="71"/>
              <w:spacing w:before="24" w:after="24"/>
              <w:rPr>
                <w:rFonts w:cs="Times New Roman"/>
              </w:rPr>
            </w:pPr>
            <w:r>
              <w:rPr>
                <w:rFonts w:cs="Times New Roman"/>
              </w:rPr>
              <w:t>金属软管</w:t>
            </w:r>
          </w:p>
        </w:tc>
        <w:tc>
          <w:tcPr>
            <w:tcW w:w="3373" w:type="dxa"/>
            <w:tcBorders>
              <w:top w:val="single" w:color="000000" w:sz="4" w:space="0"/>
              <w:left w:val="single" w:color="000000" w:sz="4" w:space="0"/>
              <w:bottom w:val="single" w:color="000000" w:sz="4" w:space="0"/>
              <w:right w:val="single" w:color="000000" w:sz="4" w:space="0"/>
            </w:tcBorders>
            <w:vAlign w:val="center"/>
          </w:tcPr>
          <w:p w14:paraId="7818BE0F">
            <w:pPr>
              <w:pStyle w:val="71"/>
              <w:spacing w:before="24" w:after="24"/>
              <w:rPr>
                <w:rFonts w:cs="Times New Roman"/>
              </w:rPr>
            </w:pPr>
            <w:r>
              <w:rPr>
                <w:rFonts w:cs="Times New Roman"/>
              </w:rPr>
              <w:t>CP-管径根据图纸配置</w:t>
            </w:r>
          </w:p>
        </w:tc>
        <w:tc>
          <w:tcPr>
            <w:tcW w:w="1785" w:type="dxa"/>
            <w:tcBorders>
              <w:top w:val="single" w:color="000000" w:sz="4" w:space="0"/>
              <w:left w:val="single" w:color="000000" w:sz="4" w:space="0"/>
              <w:bottom w:val="single" w:color="000000" w:sz="4" w:space="0"/>
              <w:right w:val="single" w:color="000000" w:sz="4" w:space="0"/>
            </w:tcBorders>
            <w:vAlign w:val="center"/>
          </w:tcPr>
          <w:p w14:paraId="68402F2C">
            <w:pPr>
              <w:pStyle w:val="71"/>
              <w:spacing w:before="24" w:after="24"/>
              <w:rPr>
                <w:rFonts w:cs="Times New Roman"/>
              </w:rPr>
            </w:pPr>
            <w:r>
              <w:rPr>
                <w:rFonts w:cs="Times New Roman"/>
              </w:rPr>
              <w:t>线缆进出配电箱位置</w:t>
            </w:r>
          </w:p>
        </w:tc>
      </w:tr>
      <w:tr w14:paraId="57096A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23CF50AB">
            <w:pPr>
              <w:pStyle w:val="71"/>
              <w:spacing w:before="24" w:after="24"/>
              <w:rPr>
                <w:rFonts w:cs="Times New Roman"/>
              </w:rPr>
            </w:pPr>
            <w:r>
              <w:rPr>
                <w:rFonts w:cs="Times New Roman"/>
              </w:rPr>
              <w:t>40</w:t>
            </w:r>
          </w:p>
        </w:tc>
        <w:tc>
          <w:tcPr>
            <w:tcW w:w="1373" w:type="dxa"/>
            <w:vMerge w:val="continue"/>
            <w:tcBorders>
              <w:top w:val="nil"/>
              <w:left w:val="single" w:color="000000" w:sz="4" w:space="0"/>
              <w:bottom w:val="single" w:color="000000" w:sz="4" w:space="0"/>
              <w:right w:val="single" w:color="000000" w:sz="4" w:space="0"/>
            </w:tcBorders>
            <w:vAlign w:val="center"/>
          </w:tcPr>
          <w:p w14:paraId="63567CEC">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0803560C">
            <w:pPr>
              <w:pStyle w:val="71"/>
              <w:spacing w:before="24" w:after="24"/>
              <w:rPr>
                <w:rFonts w:cs="Times New Roman"/>
              </w:rPr>
            </w:pPr>
            <w:r>
              <w:rPr>
                <w:rFonts w:cs="Times New Roman"/>
              </w:rPr>
              <w:t>薄壁钢管</w:t>
            </w:r>
          </w:p>
        </w:tc>
        <w:tc>
          <w:tcPr>
            <w:tcW w:w="3373" w:type="dxa"/>
            <w:tcBorders>
              <w:top w:val="single" w:color="000000" w:sz="4" w:space="0"/>
              <w:left w:val="single" w:color="000000" w:sz="4" w:space="0"/>
              <w:bottom w:val="single" w:color="000000" w:sz="4" w:space="0"/>
              <w:right w:val="single" w:color="000000" w:sz="4" w:space="0"/>
            </w:tcBorders>
            <w:vAlign w:val="center"/>
          </w:tcPr>
          <w:p w14:paraId="0308C029">
            <w:pPr>
              <w:pStyle w:val="71"/>
              <w:spacing w:before="24" w:after="24"/>
              <w:rPr>
                <w:rFonts w:cs="Times New Roman"/>
              </w:rPr>
            </w:pPr>
            <w:r>
              <w:rPr>
                <w:rFonts w:cs="Times New Roman"/>
              </w:rPr>
              <w:t>JDG-管径（20、25、40）或根据图纸配置，壁厚不小于1.5mm</w:t>
            </w:r>
          </w:p>
        </w:tc>
        <w:tc>
          <w:tcPr>
            <w:tcW w:w="1785" w:type="dxa"/>
            <w:tcBorders>
              <w:top w:val="single" w:color="000000" w:sz="4" w:space="0"/>
              <w:left w:val="single" w:color="000000" w:sz="4" w:space="0"/>
              <w:bottom w:val="single" w:color="000000" w:sz="4" w:space="0"/>
              <w:right w:val="single" w:color="000000" w:sz="4" w:space="0"/>
            </w:tcBorders>
            <w:vAlign w:val="center"/>
          </w:tcPr>
          <w:p w14:paraId="01C0A869">
            <w:pPr>
              <w:pStyle w:val="71"/>
              <w:spacing w:before="24" w:after="24"/>
              <w:rPr>
                <w:rFonts w:cs="Times New Roman"/>
              </w:rPr>
            </w:pPr>
            <w:r>
              <w:rPr>
                <w:rFonts w:cs="Times New Roman"/>
              </w:rPr>
              <w:t>室内干燥环境φ40及以下管径明/暗敷设</w:t>
            </w:r>
          </w:p>
        </w:tc>
      </w:tr>
      <w:tr w14:paraId="003D1B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1F47EE11">
            <w:pPr>
              <w:pStyle w:val="71"/>
              <w:spacing w:before="24" w:after="24"/>
              <w:rPr>
                <w:rFonts w:cs="Times New Roman"/>
              </w:rPr>
            </w:pPr>
            <w:r>
              <w:rPr>
                <w:rFonts w:cs="Times New Roman"/>
              </w:rPr>
              <w:t>41</w:t>
            </w:r>
          </w:p>
        </w:tc>
        <w:tc>
          <w:tcPr>
            <w:tcW w:w="1373" w:type="dxa"/>
            <w:vMerge w:val="continue"/>
            <w:tcBorders>
              <w:top w:val="nil"/>
              <w:left w:val="single" w:color="000000" w:sz="4" w:space="0"/>
              <w:bottom w:val="single" w:color="000000" w:sz="4" w:space="0"/>
              <w:right w:val="single" w:color="000000" w:sz="4" w:space="0"/>
            </w:tcBorders>
            <w:vAlign w:val="center"/>
          </w:tcPr>
          <w:p w14:paraId="2584C324">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713F020F">
            <w:pPr>
              <w:pStyle w:val="71"/>
              <w:spacing w:before="24" w:after="24"/>
              <w:rPr>
                <w:rFonts w:cs="Times New Roman"/>
              </w:rPr>
            </w:pPr>
            <w:r>
              <w:rPr>
                <w:rFonts w:cs="Times New Roman"/>
              </w:rPr>
              <w:t>热镀锌焊接钢管</w:t>
            </w:r>
          </w:p>
        </w:tc>
        <w:tc>
          <w:tcPr>
            <w:tcW w:w="3373" w:type="dxa"/>
            <w:tcBorders>
              <w:top w:val="single" w:color="000000" w:sz="4" w:space="0"/>
              <w:left w:val="single" w:color="000000" w:sz="4" w:space="0"/>
              <w:bottom w:val="single" w:color="000000" w:sz="4" w:space="0"/>
              <w:right w:val="single" w:color="000000" w:sz="4" w:space="0"/>
            </w:tcBorders>
            <w:vAlign w:val="center"/>
          </w:tcPr>
          <w:p w14:paraId="193EEC51">
            <w:pPr>
              <w:pStyle w:val="71"/>
              <w:spacing w:before="24" w:after="24"/>
              <w:rPr>
                <w:rFonts w:cs="Times New Roman"/>
              </w:rPr>
            </w:pPr>
            <w:r>
              <w:rPr>
                <w:rFonts w:cs="Times New Roman"/>
              </w:rPr>
              <w:t>SC-管径根据图纸配置，壁厚不小于2.0mm</w:t>
            </w:r>
          </w:p>
        </w:tc>
        <w:tc>
          <w:tcPr>
            <w:tcW w:w="1785" w:type="dxa"/>
            <w:tcBorders>
              <w:top w:val="single" w:color="000000" w:sz="4" w:space="0"/>
              <w:left w:val="single" w:color="000000" w:sz="4" w:space="0"/>
              <w:bottom w:val="single" w:color="000000" w:sz="4" w:space="0"/>
              <w:right w:val="single" w:color="000000" w:sz="4" w:space="0"/>
            </w:tcBorders>
            <w:vAlign w:val="center"/>
          </w:tcPr>
          <w:p w14:paraId="1DFCA470">
            <w:pPr>
              <w:pStyle w:val="71"/>
              <w:spacing w:before="24" w:after="24"/>
              <w:rPr>
                <w:rFonts w:cs="Times New Roman"/>
              </w:rPr>
            </w:pPr>
            <w:r>
              <w:rPr>
                <w:rFonts w:cs="Times New Roman"/>
              </w:rPr>
              <w:t>室内潮湿环境、人防区及φ40及以上管径明/暗敷设</w:t>
            </w:r>
          </w:p>
        </w:tc>
      </w:tr>
      <w:tr w14:paraId="490DBA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434E39A9">
            <w:pPr>
              <w:pStyle w:val="71"/>
              <w:spacing w:before="24" w:after="24"/>
              <w:rPr>
                <w:rFonts w:cs="Times New Roman"/>
              </w:rPr>
            </w:pPr>
            <w:r>
              <w:rPr>
                <w:rFonts w:cs="Times New Roman"/>
              </w:rPr>
              <w:t>42</w:t>
            </w:r>
          </w:p>
        </w:tc>
        <w:tc>
          <w:tcPr>
            <w:tcW w:w="1373" w:type="dxa"/>
            <w:tcBorders>
              <w:top w:val="single" w:color="000000" w:sz="4" w:space="0"/>
              <w:left w:val="single" w:color="000000" w:sz="4" w:space="0"/>
              <w:bottom w:val="single" w:color="000000" w:sz="4" w:space="0"/>
              <w:right w:val="single" w:color="000000" w:sz="4" w:space="0"/>
            </w:tcBorders>
            <w:vAlign w:val="center"/>
          </w:tcPr>
          <w:p w14:paraId="2B06E190">
            <w:pPr>
              <w:pStyle w:val="71"/>
              <w:spacing w:before="24" w:after="24"/>
              <w:rPr>
                <w:rFonts w:cs="Times New Roman"/>
              </w:rPr>
            </w:pPr>
            <w:r>
              <w:rPr>
                <w:rFonts w:cs="Times New Roman"/>
              </w:rPr>
              <w:t>强、弱电桥架</w:t>
            </w:r>
          </w:p>
        </w:tc>
        <w:tc>
          <w:tcPr>
            <w:tcW w:w="2476" w:type="dxa"/>
            <w:tcBorders>
              <w:top w:val="single" w:color="000000" w:sz="4" w:space="0"/>
              <w:left w:val="single" w:color="000000" w:sz="4" w:space="0"/>
              <w:bottom w:val="single" w:color="000000" w:sz="4" w:space="0"/>
              <w:right w:val="single" w:color="000000" w:sz="4" w:space="0"/>
            </w:tcBorders>
            <w:vAlign w:val="center"/>
          </w:tcPr>
          <w:p w14:paraId="42081905">
            <w:pPr>
              <w:pStyle w:val="71"/>
              <w:spacing w:before="24" w:after="24"/>
              <w:rPr>
                <w:rFonts w:cs="Times New Roman"/>
              </w:rPr>
            </w:pPr>
            <w:r>
              <w:rPr>
                <w:rFonts w:cs="Times New Roman"/>
              </w:rPr>
              <w:t>防火桥架</w:t>
            </w:r>
          </w:p>
        </w:tc>
        <w:tc>
          <w:tcPr>
            <w:tcW w:w="3373" w:type="dxa"/>
            <w:tcBorders>
              <w:top w:val="single" w:color="000000" w:sz="4" w:space="0"/>
              <w:left w:val="single" w:color="000000" w:sz="4" w:space="0"/>
              <w:bottom w:val="single" w:color="000000" w:sz="4" w:space="0"/>
              <w:right w:val="single" w:color="000000" w:sz="4" w:space="0"/>
            </w:tcBorders>
            <w:vAlign w:val="center"/>
          </w:tcPr>
          <w:p w14:paraId="4BB4A823">
            <w:pPr>
              <w:pStyle w:val="71"/>
              <w:spacing w:before="24" w:after="24"/>
              <w:rPr>
                <w:rFonts w:cs="Times New Roman"/>
              </w:rPr>
            </w:pPr>
            <w:r>
              <w:rPr>
                <w:rFonts w:cs="Times New Roman"/>
              </w:rPr>
              <w:t>型号与尺寸根据图纸配置</w:t>
            </w:r>
          </w:p>
        </w:tc>
        <w:tc>
          <w:tcPr>
            <w:tcW w:w="1785" w:type="dxa"/>
            <w:tcBorders>
              <w:top w:val="single" w:color="000000" w:sz="4" w:space="0"/>
              <w:left w:val="single" w:color="000000" w:sz="4" w:space="0"/>
              <w:bottom w:val="single" w:color="000000" w:sz="4" w:space="0"/>
              <w:right w:val="single" w:color="000000" w:sz="4" w:space="0"/>
            </w:tcBorders>
            <w:vAlign w:val="center"/>
          </w:tcPr>
          <w:p w14:paraId="6CA31FF4">
            <w:pPr>
              <w:pStyle w:val="71"/>
              <w:spacing w:before="24" w:after="24"/>
              <w:rPr>
                <w:rFonts w:cs="Times New Roman"/>
              </w:rPr>
            </w:pPr>
            <w:r>
              <w:rPr>
                <w:rFonts w:cs="Times New Roman"/>
              </w:rPr>
              <w:t>强电非消防竖井敷设：梯架；其它：槽式全封闭</w:t>
            </w:r>
          </w:p>
        </w:tc>
      </w:tr>
      <w:tr w14:paraId="1ABA5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2EB0A364">
            <w:pPr>
              <w:pStyle w:val="71"/>
              <w:spacing w:before="24" w:after="24"/>
              <w:rPr>
                <w:rFonts w:cs="Times New Roman"/>
              </w:rPr>
            </w:pPr>
            <w:r>
              <w:rPr>
                <w:rFonts w:cs="Times New Roman"/>
              </w:rPr>
              <w:t>43</w:t>
            </w:r>
          </w:p>
        </w:tc>
        <w:tc>
          <w:tcPr>
            <w:tcW w:w="1373" w:type="dxa"/>
            <w:vMerge w:val="restart"/>
            <w:tcBorders>
              <w:top w:val="nil"/>
              <w:left w:val="single" w:color="000000" w:sz="4" w:space="0"/>
              <w:bottom w:val="single" w:color="000000" w:sz="4" w:space="0"/>
              <w:right w:val="single" w:color="000000" w:sz="4" w:space="0"/>
            </w:tcBorders>
            <w:vAlign w:val="center"/>
          </w:tcPr>
          <w:p w14:paraId="49790C7E">
            <w:pPr>
              <w:pStyle w:val="71"/>
              <w:spacing w:before="24" w:after="24"/>
              <w:rPr>
                <w:rFonts w:cs="Times New Roman"/>
              </w:rPr>
            </w:pPr>
            <w:r>
              <w:rPr>
                <w:rFonts w:cs="Times New Roman"/>
              </w:rPr>
              <w:t>强电/防雷接地</w:t>
            </w:r>
          </w:p>
          <w:p w14:paraId="43E11D75">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2E33E99F">
            <w:pPr>
              <w:pStyle w:val="71"/>
              <w:spacing w:before="24" w:after="24"/>
              <w:rPr>
                <w:rFonts w:cs="Times New Roman"/>
              </w:rPr>
            </w:pPr>
            <w:r>
              <w:rPr>
                <w:rFonts w:cs="Times New Roman"/>
              </w:rPr>
              <w:t>局部等电位端子箱LEB</w:t>
            </w:r>
          </w:p>
        </w:tc>
        <w:tc>
          <w:tcPr>
            <w:tcW w:w="3373" w:type="dxa"/>
            <w:tcBorders>
              <w:top w:val="single" w:color="000000" w:sz="4" w:space="0"/>
              <w:left w:val="single" w:color="000000" w:sz="4" w:space="0"/>
              <w:bottom w:val="single" w:color="000000" w:sz="4" w:space="0"/>
              <w:right w:val="single" w:color="000000" w:sz="4" w:space="0"/>
            </w:tcBorders>
            <w:vAlign w:val="center"/>
          </w:tcPr>
          <w:p w14:paraId="1896439E">
            <w:pPr>
              <w:pStyle w:val="71"/>
              <w:spacing w:before="24" w:after="24"/>
              <w:rPr>
                <w:rFonts w:cs="Times New Roman"/>
              </w:rPr>
            </w:pPr>
            <w:r>
              <w:rPr>
                <w:rFonts w:cs="Times New Roman"/>
              </w:rPr>
              <w:t>国标成品，做法参国标《15D502》</w:t>
            </w:r>
          </w:p>
        </w:tc>
        <w:tc>
          <w:tcPr>
            <w:tcW w:w="1785" w:type="dxa"/>
            <w:tcBorders>
              <w:top w:val="single" w:color="000000" w:sz="4" w:space="0"/>
              <w:left w:val="single" w:color="000000" w:sz="4" w:space="0"/>
              <w:bottom w:val="single" w:color="000000" w:sz="4" w:space="0"/>
              <w:right w:val="single" w:color="000000" w:sz="4" w:space="0"/>
            </w:tcBorders>
            <w:vAlign w:val="center"/>
          </w:tcPr>
          <w:p w14:paraId="57ACC97B">
            <w:pPr>
              <w:pStyle w:val="71"/>
              <w:spacing w:before="24" w:after="24"/>
              <w:rPr>
                <w:rFonts w:cs="Times New Roman"/>
              </w:rPr>
            </w:pPr>
            <w:r>
              <w:rPr>
                <w:rFonts w:cs="Times New Roman"/>
              </w:rPr>
              <w:t>卫生间及厨房</w:t>
            </w:r>
          </w:p>
        </w:tc>
      </w:tr>
      <w:tr w14:paraId="12896F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7AF4800D">
            <w:pPr>
              <w:pStyle w:val="71"/>
              <w:spacing w:before="24" w:after="24"/>
              <w:rPr>
                <w:rFonts w:cs="Times New Roman"/>
              </w:rPr>
            </w:pPr>
            <w:r>
              <w:rPr>
                <w:rFonts w:cs="Times New Roman"/>
              </w:rPr>
              <w:t>44</w:t>
            </w:r>
          </w:p>
        </w:tc>
        <w:tc>
          <w:tcPr>
            <w:tcW w:w="1373" w:type="dxa"/>
            <w:vMerge w:val="continue"/>
            <w:tcBorders>
              <w:top w:val="nil"/>
              <w:left w:val="single" w:color="000000" w:sz="4" w:space="0"/>
              <w:bottom w:val="single" w:color="000000" w:sz="4" w:space="0"/>
              <w:right w:val="single" w:color="000000" w:sz="4" w:space="0"/>
            </w:tcBorders>
            <w:vAlign w:val="center"/>
          </w:tcPr>
          <w:p w14:paraId="10E172A1">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33F7405D">
            <w:pPr>
              <w:pStyle w:val="71"/>
              <w:spacing w:before="24" w:after="24"/>
              <w:rPr>
                <w:rFonts w:cs="Times New Roman"/>
              </w:rPr>
            </w:pPr>
            <w:r>
              <w:rPr>
                <w:rFonts w:cs="Times New Roman"/>
              </w:rPr>
              <w:t>总等电位端子箱MEB</w:t>
            </w:r>
          </w:p>
        </w:tc>
        <w:tc>
          <w:tcPr>
            <w:tcW w:w="3373" w:type="dxa"/>
            <w:tcBorders>
              <w:top w:val="single" w:color="000000" w:sz="4" w:space="0"/>
              <w:left w:val="single" w:color="000000" w:sz="4" w:space="0"/>
              <w:bottom w:val="single" w:color="000000" w:sz="4" w:space="0"/>
              <w:right w:val="single" w:color="000000" w:sz="4" w:space="0"/>
            </w:tcBorders>
            <w:vAlign w:val="center"/>
          </w:tcPr>
          <w:p w14:paraId="2F6CFA44">
            <w:pPr>
              <w:pStyle w:val="71"/>
              <w:spacing w:before="24" w:after="24"/>
              <w:rPr>
                <w:rFonts w:cs="Times New Roman"/>
              </w:rPr>
            </w:pPr>
            <w:r>
              <w:rPr>
                <w:rFonts w:cs="Times New Roman"/>
              </w:rPr>
              <w:t>国标成品，做法参国标《15D502》</w:t>
            </w:r>
          </w:p>
        </w:tc>
        <w:tc>
          <w:tcPr>
            <w:tcW w:w="1785" w:type="dxa"/>
            <w:tcBorders>
              <w:top w:val="single" w:color="000000" w:sz="4" w:space="0"/>
              <w:left w:val="single" w:color="000000" w:sz="4" w:space="0"/>
              <w:bottom w:val="single" w:color="000000" w:sz="4" w:space="0"/>
              <w:right w:val="single" w:color="000000" w:sz="4" w:space="0"/>
            </w:tcBorders>
            <w:vAlign w:val="center"/>
          </w:tcPr>
          <w:p w14:paraId="02C9CB50">
            <w:pPr>
              <w:pStyle w:val="71"/>
              <w:spacing w:before="24" w:after="24"/>
              <w:rPr>
                <w:rFonts w:cs="Times New Roman"/>
              </w:rPr>
            </w:pPr>
            <w:r>
              <w:rPr>
                <w:rFonts w:cs="Times New Roman"/>
              </w:rPr>
              <w:t>变配电室</w:t>
            </w:r>
          </w:p>
        </w:tc>
      </w:tr>
      <w:tr w14:paraId="6ADB1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3D973229">
            <w:pPr>
              <w:pStyle w:val="71"/>
              <w:spacing w:before="24" w:after="24"/>
              <w:rPr>
                <w:rFonts w:cs="Times New Roman"/>
              </w:rPr>
            </w:pPr>
            <w:r>
              <w:rPr>
                <w:rFonts w:cs="Times New Roman"/>
              </w:rPr>
              <w:t>45</w:t>
            </w:r>
          </w:p>
        </w:tc>
        <w:tc>
          <w:tcPr>
            <w:tcW w:w="1373" w:type="dxa"/>
            <w:vMerge w:val="continue"/>
            <w:tcBorders>
              <w:top w:val="nil"/>
              <w:left w:val="single" w:color="000000" w:sz="4" w:space="0"/>
              <w:bottom w:val="single" w:color="000000" w:sz="4" w:space="0"/>
              <w:right w:val="single" w:color="000000" w:sz="4" w:space="0"/>
            </w:tcBorders>
            <w:vAlign w:val="center"/>
          </w:tcPr>
          <w:p w14:paraId="6C6C2AAE">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0CAE429C">
            <w:pPr>
              <w:pStyle w:val="71"/>
              <w:spacing w:before="24" w:after="24"/>
              <w:rPr>
                <w:rFonts w:cs="Times New Roman"/>
              </w:rPr>
            </w:pPr>
            <w:r>
              <w:rPr>
                <w:rFonts w:cs="Times New Roman"/>
              </w:rPr>
              <w:t>人工水平接地线</w:t>
            </w:r>
          </w:p>
        </w:tc>
        <w:tc>
          <w:tcPr>
            <w:tcW w:w="3373" w:type="dxa"/>
            <w:tcBorders>
              <w:top w:val="single" w:color="000000" w:sz="4" w:space="0"/>
              <w:left w:val="single" w:color="000000" w:sz="4" w:space="0"/>
              <w:bottom w:val="single" w:color="000000" w:sz="4" w:space="0"/>
              <w:right w:val="single" w:color="000000" w:sz="4" w:space="0"/>
            </w:tcBorders>
            <w:vAlign w:val="center"/>
          </w:tcPr>
          <w:p w14:paraId="143E15A5">
            <w:pPr>
              <w:pStyle w:val="71"/>
              <w:spacing w:before="24" w:after="24"/>
              <w:rPr>
                <w:rFonts w:cs="Times New Roman"/>
              </w:rPr>
            </w:pPr>
            <w:r>
              <w:rPr>
                <w:rFonts w:cs="Times New Roman"/>
              </w:rPr>
              <w:t>热镀锌扁钢-规格按图纸</w:t>
            </w:r>
          </w:p>
        </w:tc>
        <w:tc>
          <w:tcPr>
            <w:tcW w:w="1785" w:type="dxa"/>
            <w:tcBorders>
              <w:top w:val="single" w:color="000000" w:sz="4" w:space="0"/>
              <w:left w:val="single" w:color="000000" w:sz="4" w:space="0"/>
              <w:bottom w:val="single" w:color="000000" w:sz="4" w:space="0"/>
              <w:right w:val="single" w:color="000000" w:sz="4" w:space="0"/>
            </w:tcBorders>
            <w:vAlign w:val="center"/>
          </w:tcPr>
          <w:p w14:paraId="2CD10C8C">
            <w:pPr>
              <w:pStyle w:val="71"/>
              <w:spacing w:before="24" w:after="24"/>
              <w:rPr>
                <w:rFonts w:cs="Times New Roman"/>
              </w:rPr>
            </w:pPr>
            <w:r>
              <w:rPr>
                <w:rFonts w:cs="Times New Roman"/>
              </w:rPr>
              <w:t>所需位置</w:t>
            </w:r>
          </w:p>
        </w:tc>
      </w:tr>
      <w:tr w14:paraId="11CDC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7192869E">
            <w:pPr>
              <w:pStyle w:val="71"/>
              <w:spacing w:before="24" w:after="24"/>
              <w:rPr>
                <w:rFonts w:cs="Times New Roman"/>
              </w:rPr>
            </w:pPr>
            <w:r>
              <w:rPr>
                <w:rFonts w:cs="Times New Roman"/>
              </w:rPr>
              <w:t>46</w:t>
            </w:r>
          </w:p>
        </w:tc>
        <w:tc>
          <w:tcPr>
            <w:tcW w:w="1373" w:type="dxa"/>
            <w:vMerge w:val="continue"/>
            <w:tcBorders>
              <w:top w:val="nil"/>
              <w:left w:val="single" w:color="000000" w:sz="4" w:space="0"/>
              <w:bottom w:val="single" w:color="000000" w:sz="4" w:space="0"/>
              <w:right w:val="single" w:color="000000" w:sz="4" w:space="0"/>
            </w:tcBorders>
            <w:vAlign w:val="center"/>
          </w:tcPr>
          <w:p w14:paraId="1D4346A0">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38F918E7">
            <w:pPr>
              <w:pStyle w:val="71"/>
              <w:spacing w:before="24" w:after="24"/>
              <w:rPr>
                <w:rFonts w:cs="Times New Roman"/>
              </w:rPr>
            </w:pPr>
            <w:r>
              <w:rPr>
                <w:rFonts w:cs="Times New Roman"/>
              </w:rPr>
              <w:t>LEB联结线</w:t>
            </w:r>
          </w:p>
        </w:tc>
        <w:tc>
          <w:tcPr>
            <w:tcW w:w="3373" w:type="dxa"/>
            <w:tcBorders>
              <w:top w:val="single" w:color="000000" w:sz="4" w:space="0"/>
              <w:left w:val="single" w:color="000000" w:sz="4" w:space="0"/>
              <w:bottom w:val="single" w:color="000000" w:sz="4" w:space="0"/>
              <w:right w:val="single" w:color="000000" w:sz="4" w:space="0"/>
            </w:tcBorders>
            <w:vAlign w:val="center"/>
          </w:tcPr>
          <w:p w14:paraId="473D3946">
            <w:pPr>
              <w:pStyle w:val="71"/>
              <w:spacing w:before="24" w:after="24"/>
              <w:rPr>
                <w:rFonts w:cs="Times New Roman"/>
              </w:rPr>
            </w:pPr>
            <w:r>
              <w:rPr>
                <w:rFonts w:cs="Times New Roman"/>
              </w:rPr>
              <w:t>ZR-BV-450/750</w:t>
            </w:r>
          </w:p>
        </w:tc>
        <w:tc>
          <w:tcPr>
            <w:tcW w:w="1785" w:type="dxa"/>
            <w:tcBorders>
              <w:top w:val="single" w:color="000000" w:sz="4" w:space="0"/>
              <w:left w:val="single" w:color="000000" w:sz="4" w:space="0"/>
              <w:bottom w:val="single" w:color="000000" w:sz="4" w:space="0"/>
              <w:right w:val="single" w:color="000000" w:sz="4" w:space="0"/>
            </w:tcBorders>
            <w:vAlign w:val="center"/>
          </w:tcPr>
          <w:p w14:paraId="12CB06BA">
            <w:pPr>
              <w:pStyle w:val="71"/>
              <w:spacing w:before="24" w:after="24"/>
              <w:rPr>
                <w:rFonts w:cs="Times New Roman"/>
              </w:rPr>
            </w:pPr>
            <w:r>
              <w:rPr>
                <w:rFonts w:cs="Times New Roman"/>
              </w:rPr>
              <w:t>配电间、设备功能房间及电井</w:t>
            </w:r>
          </w:p>
        </w:tc>
      </w:tr>
      <w:tr w14:paraId="0A597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1F708425">
            <w:pPr>
              <w:pStyle w:val="71"/>
              <w:spacing w:before="24" w:after="24"/>
              <w:rPr>
                <w:rFonts w:cs="Times New Roman"/>
              </w:rPr>
            </w:pPr>
            <w:r>
              <w:rPr>
                <w:rFonts w:cs="Times New Roman"/>
              </w:rPr>
              <w:t>47</w:t>
            </w:r>
          </w:p>
        </w:tc>
        <w:tc>
          <w:tcPr>
            <w:tcW w:w="1373" w:type="dxa"/>
            <w:vMerge w:val="continue"/>
            <w:tcBorders>
              <w:top w:val="nil"/>
              <w:left w:val="single" w:color="000000" w:sz="4" w:space="0"/>
              <w:bottom w:val="single" w:color="000000" w:sz="4" w:space="0"/>
              <w:right w:val="single" w:color="000000" w:sz="4" w:space="0"/>
            </w:tcBorders>
            <w:vAlign w:val="center"/>
          </w:tcPr>
          <w:p w14:paraId="3A8A31F2">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62AAD4B9">
            <w:pPr>
              <w:pStyle w:val="71"/>
              <w:spacing w:before="24" w:after="24"/>
              <w:rPr>
                <w:rFonts w:cs="Times New Roman"/>
              </w:rPr>
            </w:pPr>
            <w:r>
              <w:rPr>
                <w:rFonts w:cs="Times New Roman"/>
              </w:rPr>
              <w:t>MEB联结线</w:t>
            </w:r>
          </w:p>
        </w:tc>
        <w:tc>
          <w:tcPr>
            <w:tcW w:w="3373" w:type="dxa"/>
            <w:tcBorders>
              <w:top w:val="single" w:color="000000" w:sz="4" w:space="0"/>
              <w:left w:val="single" w:color="000000" w:sz="4" w:space="0"/>
              <w:bottom w:val="single" w:color="000000" w:sz="4" w:space="0"/>
              <w:right w:val="single" w:color="000000" w:sz="4" w:space="0"/>
            </w:tcBorders>
            <w:vAlign w:val="center"/>
          </w:tcPr>
          <w:p w14:paraId="4EAFA5CE">
            <w:pPr>
              <w:pStyle w:val="71"/>
              <w:spacing w:before="24" w:after="24"/>
              <w:rPr>
                <w:rFonts w:cs="Times New Roman"/>
              </w:rPr>
            </w:pPr>
            <w:r>
              <w:rPr>
                <w:rFonts w:cs="Times New Roman"/>
              </w:rPr>
              <w:t>ZR-BV-450/750</w:t>
            </w:r>
          </w:p>
        </w:tc>
        <w:tc>
          <w:tcPr>
            <w:tcW w:w="1785" w:type="dxa"/>
            <w:tcBorders>
              <w:top w:val="single" w:color="000000" w:sz="4" w:space="0"/>
              <w:left w:val="single" w:color="000000" w:sz="4" w:space="0"/>
              <w:bottom w:val="single" w:color="000000" w:sz="4" w:space="0"/>
              <w:right w:val="single" w:color="000000" w:sz="4" w:space="0"/>
            </w:tcBorders>
            <w:vAlign w:val="center"/>
          </w:tcPr>
          <w:p w14:paraId="4378BF8E">
            <w:pPr>
              <w:pStyle w:val="71"/>
              <w:spacing w:before="24" w:after="24"/>
              <w:rPr>
                <w:rFonts w:cs="Times New Roman"/>
              </w:rPr>
            </w:pPr>
            <w:r>
              <w:rPr>
                <w:rFonts w:cs="Times New Roman"/>
              </w:rPr>
              <w:t>配电间、设备功能房间及电井</w:t>
            </w:r>
          </w:p>
        </w:tc>
      </w:tr>
      <w:tr w14:paraId="4893B9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263A46C8">
            <w:pPr>
              <w:pStyle w:val="71"/>
              <w:spacing w:before="24" w:after="24"/>
              <w:rPr>
                <w:rFonts w:cs="Times New Roman"/>
              </w:rPr>
            </w:pPr>
            <w:r>
              <w:rPr>
                <w:rFonts w:cs="Times New Roman"/>
              </w:rPr>
              <w:t>48</w:t>
            </w:r>
          </w:p>
        </w:tc>
        <w:tc>
          <w:tcPr>
            <w:tcW w:w="1373" w:type="dxa"/>
            <w:tcBorders>
              <w:top w:val="single" w:color="000000" w:sz="4" w:space="0"/>
              <w:left w:val="single" w:color="000000" w:sz="4" w:space="0"/>
              <w:bottom w:val="single" w:color="000000" w:sz="4" w:space="0"/>
              <w:right w:val="single" w:color="000000" w:sz="4" w:space="0"/>
            </w:tcBorders>
            <w:vAlign w:val="center"/>
          </w:tcPr>
          <w:p w14:paraId="24BA2F30">
            <w:pPr>
              <w:pStyle w:val="71"/>
              <w:spacing w:before="24" w:after="24"/>
              <w:rPr>
                <w:rFonts w:cs="Times New Roman"/>
              </w:rPr>
            </w:pPr>
            <w:r>
              <w:rPr>
                <w:rFonts w:cs="Times New Roman"/>
              </w:rPr>
              <w:t>强、弱电支架</w:t>
            </w:r>
          </w:p>
        </w:tc>
        <w:tc>
          <w:tcPr>
            <w:tcW w:w="2476" w:type="dxa"/>
            <w:tcBorders>
              <w:top w:val="single" w:color="000000" w:sz="4" w:space="0"/>
              <w:left w:val="single" w:color="000000" w:sz="4" w:space="0"/>
              <w:bottom w:val="single" w:color="000000" w:sz="4" w:space="0"/>
              <w:right w:val="single" w:color="000000" w:sz="4" w:space="0"/>
            </w:tcBorders>
            <w:vAlign w:val="center"/>
          </w:tcPr>
          <w:p w14:paraId="15B117B0">
            <w:pPr>
              <w:pStyle w:val="71"/>
              <w:spacing w:before="24" w:after="24"/>
              <w:rPr>
                <w:rFonts w:cs="Times New Roman"/>
              </w:rPr>
            </w:pPr>
            <w:r>
              <w:rPr>
                <w:rFonts w:cs="Times New Roman"/>
              </w:rPr>
              <w:t>抗震支架</w:t>
            </w:r>
          </w:p>
        </w:tc>
        <w:tc>
          <w:tcPr>
            <w:tcW w:w="3373" w:type="dxa"/>
            <w:tcBorders>
              <w:top w:val="single" w:color="000000" w:sz="4" w:space="0"/>
              <w:left w:val="single" w:color="000000" w:sz="4" w:space="0"/>
              <w:bottom w:val="single" w:color="000000" w:sz="4" w:space="0"/>
              <w:right w:val="single" w:color="000000" w:sz="4" w:space="0"/>
            </w:tcBorders>
            <w:vAlign w:val="center"/>
          </w:tcPr>
          <w:p w14:paraId="45E666D8">
            <w:pPr>
              <w:pStyle w:val="71"/>
              <w:spacing w:before="24" w:after="24"/>
              <w:rPr>
                <w:rFonts w:cs="Times New Roman"/>
              </w:rPr>
            </w:pPr>
            <w:r>
              <w:rPr>
                <w:rFonts w:cs="Times New Roman"/>
              </w:rPr>
              <w:t>根据深化厂家图纸配置</w:t>
            </w:r>
          </w:p>
        </w:tc>
        <w:tc>
          <w:tcPr>
            <w:tcW w:w="1785" w:type="dxa"/>
            <w:tcBorders>
              <w:top w:val="single" w:color="000000" w:sz="4" w:space="0"/>
              <w:left w:val="single" w:color="000000" w:sz="4" w:space="0"/>
              <w:bottom w:val="single" w:color="000000" w:sz="4" w:space="0"/>
              <w:right w:val="single" w:color="000000" w:sz="4" w:space="0"/>
            </w:tcBorders>
            <w:vAlign w:val="center"/>
          </w:tcPr>
          <w:p w14:paraId="3304573E">
            <w:pPr>
              <w:pStyle w:val="71"/>
              <w:spacing w:before="24" w:after="24"/>
              <w:rPr>
                <w:rFonts w:cs="Times New Roman"/>
              </w:rPr>
            </w:pPr>
            <w:r>
              <w:rPr>
                <w:rFonts w:cs="Times New Roman"/>
              </w:rPr>
              <w:t>电缆桥架线路吊装</w:t>
            </w:r>
          </w:p>
        </w:tc>
      </w:tr>
      <w:tr w14:paraId="3CAC2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85" w:type="dxa"/>
            <w:gridSpan w:val="5"/>
            <w:tcBorders>
              <w:top w:val="single" w:color="000000" w:sz="4" w:space="0"/>
              <w:left w:val="single" w:color="000000" w:sz="4" w:space="0"/>
              <w:bottom w:val="single" w:color="000000" w:sz="4" w:space="0"/>
              <w:right w:val="single" w:color="000000" w:sz="4" w:space="0"/>
            </w:tcBorders>
            <w:vAlign w:val="center"/>
          </w:tcPr>
          <w:p w14:paraId="66328F30">
            <w:pPr>
              <w:pStyle w:val="71"/>
              <w:spacing w:before="24" w:after="24"/>
              <w:rPr>
                <w:rFonts w:cs="Times New Roman"/>
              </w:rPr>
            </w:pPr>
            <w:r>
              <w:rPr>
                <w:rFonts w:cs="Times New Roman"/>
              </w:rPr>
              <w:t>消防、弱电专业</w:t>
            </w:r>
          </w:p>
        </w:tc>
      </w:tr>
      <w:tr w14:paraId="0EE97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32799F97">
            <w:pPr>
              <w:pStyle w:val="71"/>
              <w:spacing w:before="24" w:after="24"/>
              <w:rPr>
                <w:rFonts w:cs="Times New Roman"/>
              </w:rPr>
            </w:pPr>
            <w:r>
              <w:rPr>
                <w:rFonts w:cs="Times New Roman"/>
              </w:rPr>
              <w:t>1</w:t>
            </w:r>
          </w:p>
        </w:tc>
        <w:tc>
          <w:tcPr>
            <w:tcW w:w="1373" w:type="dxa"/>
            <w:vMerge w:val="restart"/>
            <w:tcBorders>
              <w:top w:val="single" w:color="000000" w:sz="4" w:space="0"/>
              <w:left w:val="single" w:color="000000" w:sz="4" w:space="0"/>
              <w:bottom w:val="single" w:color="000000" w:sz="4" w:space="0"/>
              <w:right w:val="single" w:color="000000" w:sz="4" w:space="0"/>
            </w:tcBorders>
            <w:vAlign w:val="center"/>
          </w:tcPr>
          <w:p w14:paraId="7EEC20FE">
            <w:pPr>
              <w:pStyle w:val="71"/>
              <w:spacing w:before="24" w:after="24"/>
              <w:rPr>
                <w:rFonts w:cs="Times New Roman"/>
              </w:rPr>
            </w:pPr>
            <w:r>
              <w:rPr>
                <w:rFonts w:cs="Times New Roman"/>
              </w:rPr>
              <w:t>安防系统</w:t>
            </w:r>
          </w:p>
        </w:tc>
        <w:tc>
          <w:tcPr>
            <w:tcW w:w="2476" w:type="dxa"/>
            <w:tcBorders>
              <w:top w:val="single" w:color="000000" w:sz="4" w:space="0"/>
              <w:left w:val="single" w:color="000000" w:sz="4" w:space="0"/>
              <w:bottom w:val="single" w:color="000000" w:sz="4" w:space="0"/>
              <w:right w:val="single" w:color="000000" w:sz="4" w:space="0"/>
            </w:tcBorders>
            <w:vAlign w:val="center"/>
          </w:tcPr>
          <w:p w14:paraId="43BAB8DE">
            <w:pPr>
              <w:pStyle w:val="71"/>
              <w:spacing w:before="24" w:after="24"/>
              <w:rPr>
                <w:rFonts w:cs="Times New Roman"/>
              </w:rPr>
            </w:pPr>
            <w:r>
              <w:rPr>
                <w:rFonts w:cs="Times New Roman"/>
              </w:rPr>
              <w:t>安防监控配线箱</w:t>
            </w:r>
          </w:p>
        </w:tc>
        <w:tc>
          <w:tcPr>
            <w:tcW w:w="3373" w:type="dxa"/>
            <w:tcBorders>
              <w:top w:val="single" w:color="000000" w:sz="4" w:space="0"/>
              <w:left w:val="single" w:color="000000" w:sz="4" w:space="0"/>
              <w:bottom w:val="single" w:color="000000" w:sz="4" w:space="0"/>
              <w:right w:val="single" w:color="000000" w:sz="4" w:space="0"/>
            </w:tcBorders>
            <w:vAlign w:val="center"/>
          </w:tcPr>
          <w:p w14:paraId="6D52FB95">
            <w:pPr>
              <w:pStyle w:val="71"/>
              <w:spacing w:before="24" w:after="24"/>
              <w:rPr>
                <w:rFonts w:cs="Times New Roman"/>
              </w:rPr>
            </w:pPr>
            <w:r>
              <w:rPr>
                <w:rFonts w:cs="Times New Roman"/>
              </w:rPr>
              <w:t>按深化施工图纸系统图配置</w:t>
            </w:r>
          </w:p>
        </w:tc>
        <w:tc>
          <w:tcPr>
            <w:tcW w:w="1785" w:type="dxa"/>
            <w:tcBorders>
              <w:top w:val="single" w:color="000000" w:sz="4" w:space="0"/>
              <w:left w:val="single" w:color="000000" w:sz="4" w:space="0"/>
              <w:bottom w:val="single" w:color="000000" w:sz="4" w:space="0"/>
              <w:right w:val="single" w:color="000000" w:sz="4" w:space="0"/>
            </w:tcBorders>
            <w:vAlign w:val="center"/>
          </w:tcPr>
          <w:p w14:paraId="238A624A">
            <w:pPr>
              <w:pStyle w:val="71"/>
              <w:spacing w:before="24" w:after="24"/>
              <w:rPr>
                <w:rFonts w:cs="Times New Roman"/>
              </w:rPr>
            </w:pPr>
            <w:r>
              <w:rPr>
                <w:rFonts w:cs="Times New Roman"/>
              </w:rPr>
              <w:t>安防控制室</w:t>
            </w:r>
          </w:p>
        </w:tc>
      </w:tr>
      <w:tr w14:paraId="727CC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2EAFC193">
            <w:pPr>
              <w:pStyle w:val="71"/>
              <w:spacing w:before="24" w:after="24"/>
              <w:rPr>
                <w:rFonts w:cs="Times New Roman"/>
              </w:rPr>
            </w:pPr>
            <w:r>
              <w:rPr>
                <w:rFonts w:cs="Times New Roman"/>
              </w:rPr>
              <w:t>2</w:t>
            </w:r>
          </w:p>
        </w:tc>
        <w:tc>
          <w:tcPr>
            <w:tcW w:w="1373" w:type="dxa"/>
            <w:vMerge w:val="continue"/>
            <w:tcBorders>
              <w:top w:val="single" w:color="000000" w:sz="4" w:space="0"/>
              <w:left w:val="single" w:color="000000" w:sz="4" w:space="0"/>
              <w:bottom w:val="single" w:color="000000" w:sz="4" w:space="0"/>
              <w:right w:val="single" w:color="000000" w:sz="4" w:space="0"/>
            </w:tcBorders>
            <w:vAlign w:val="center"/>
          </w:tcPr>
          <w:p w14:paraId="27A1DEA0">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07E658C6">
            <w:pPr>
              <w:pStyle w:val="71"/>
              <w:spacing w:before="24" w:after="24"/>
              <w:rPr>
                <w:rFonts w:cs="Times New Roman"/>
              </w:rPr>
            </w:pPr>
            <w:r>
              <w:rPr>
                <w:rFonts w:cs="Times New Roman"/>
              </w:rPr>
              <w:t>枪式摄像机</w:t>
            </w:r>
          </w:p>
        </w:tc>
        <w:tc>
          <w:tcPr>
            <w:tcW w:w="3373" w:type="dxa"/>
            <w:tcBorders>
              <w:top w:val="single" w:color="000000" w:sz="4" w:space="0"/>
              <w:left w:val="single" w:color="000000" w:sz="4" w:space="0"/>
              <w:bottom w:val="single" w:color="000000" w:sz="4" w:space="0"/>
              <w:right w:val="single" w:color="000000" w:sz="4" w:space="0"/>
            </w:tcBorders>
            <w:vAlign w:val="center"/>
          </w:tcPr>
          <w:p w14:paraId="2AE863B2">
            <w:pPr>
              <w:pStyle w:val="71"/>
              <w:spacing w:before="24" w:after="24"/>
              <w:rPr>
                <w:rFonts w:cs="Times New Roman"/>
              </w:rPr>
            </w:pPr>
            <w:r>
              <w:rPr>
                <w:rFonts w:cs="Times New Roman"/>
              </w:rPr>
              <w:t>彩色，1080P，带红外功能</w:t>
            </w:r>
          </w:p>
        </w:tc>
        <w:tc>
          <w:tcPr>
            <w:tcW w:w="1785" w:type="dxa"/>
            <w:tcBorders>
              <w:top w:val="single" w:color="000000" w:sz="4" w:space="0"/>
              <w:left w:val="single" w:color="000000" w:sz="4" w:space="0"/>
              <w:bottom w:val="single" w:color="000000" w:sz="4" w:space="0"/>
              <w:right w:val="single" w:color="000000" w:sz="4" w:space="0"/>
            </w:tcBorders>
            <w:vAlign w:val="center"/>
          </w:tcPr>
          <w:p w14:paraId="30456D3F">
            <w:pPr>
              <w:pStyle w:val="71"/>
              <w:spacing w:before="24" w:after="24"/>
              <w:rPr>
                <w:rFonts w:cs="Times New Roman"/>
              </w:rPr>
            </w:pPr>
            <w:r>
              <w:rPr>
                <w:rFonts w:cs="Times New Roman"/>
              </w:rPr>
              <w:t>室内功能区域位置</w:t>
            </w:r>
          </w:p>
        </w:tc>
      </w:tr>
      <w:tr w14:paraId="0A94B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389B91E3">
            <w:pPr>
              <w:pStyle w:val="71"/>
              <w:spacing w:before="24" w:after="24"/>
              <w:rPr>
                <w:rFonts w:cs="Times New Roman"/>
              </w:rPr>
            </w:pPr>
            <w:r>
              <w:rPr>
                <w:rFonts w:cs="Times New Roman"/>
              </w:rPr>
              <w:t>3</w:t>
            </w:r>
          </w:p>
        </w:tc>
        <w:tc>
          <w:tcPr>
            <w:tcW w:w="1373" w:type="dxa"/>
            <w:vMerge w:val="continue"/>
            <w:tcBorders>
              <w:top w:val="single" w:color="000000" w:sz="4" w:space="0"/>
              <w:left w:val="single" w:color="000000" w:sz="4" w:space="0"/>
              <w:bottom w:val="single" w:color="000000" w:sz="4" w:space="0"/>
              <w:right w:val="single" w:color="000000" w:sz="4" w:space="0"/>
            </w:tcBorders>
            <w:vAlign w:val="center"/>
          </w:tcPr>
          <w:p w14:paraId="43387B1F">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68D81CF1">
            <w:pPr>
              <w:pStyle w:val="71"/>
              <w:spacing w:before="24" w:after="24"/>
              <w:rPr>
                <w:rFonts w:cs="Times New Roman"/>
              </w:rPr>
            </w:pPr>
            <w:r>
              <w:rPr>
                <w:rFonts w:cs="Times New Roman"/>
              </w:rPr>
              <w:t>室内半球摄像机</w:t>
            </w:r>
          </w:p>
        </w:tc>
        <w:tc>
          <w:tcPr>
            <w:tcW w:w="3373" w:type="dxa"/>
            <w:tcBorders>
              <w:top w:val="single" w:color="000000" w:sz="4" w:space="0"/>
              <w:left w:val="single" w:color="000000" w:sz="4" w:space="0"/>
              <w:bottom w:val="single" w:color="000000" w:sz="4" w:space="0"/>
              <w:right w:val="single" w:color="000000" w:sz="4" w:space="0"/>
            </w:tcBorders>
            <w:vAlign w:val="center"/>
          </w:tcPr>
          <w:p w14:paraId="45DB2ABC">
            <w:pPr>
              <w:pStyle w:val="71"/>
              <w:spacing w:before="24" w:after="24"/>
              <w:rPr>
                <w:rFonts w:cs="Times New Roman"/>
              </w:rPr>
            </w:pPr>
            <w:r>
              <w:rPr>
                <w:rFonts w:cs="Times New Roman"/>
              </w:rPr>
              <w:t>彩色，1080P，带红外功能</w:t>
            </w:r>
          </w:p>
        </w:tc>
        <w:tc>
          <w:tcPr>
            <w:tcW w:w="1785" w:type="dxa"/>
            <w:tcBorders>
              <w:top w:val="single" w:color="000000" w:sz="4" w:space="0"/>
              <w:left w:val="single" w:color="000000" w:sz="4" w:space="0"/>
              <w:bottom w:val="single" w:color="000000" w:sz="4" w:space="0"/>
              <w:right w:val="single" w:color="000000" w:sz="4" w:space="0"/>
            </w:tcBorders>
            <w:vAlign w:val="center"/>
          </w:tcPr>
          <w:p w14:paraId="04033854">
            <w:pPr>
              <w:pStyle w:val="71"/>
              <w:spacing w:before="24" w:after="24"/>
              <w:rPr>
                <w:rFonts w:cs="Times New Roman"/>
              </w:rPr>
            </w:pPr>
            <w:r>
              <w:rPr>
                <w:rFonts w:cs="Times New Roman"/>
              </w:rPr>
              <w:t>室内功能区域位置</w:t>
            </w:r>
          </w:p>
        </w:tc>
      </w:tr>
      <w:tr w14:paraId="000C5E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05BDC06E">
            <w:pPr>
              <w:pStyle w:val="71"/>
              <w:spacing w:before="24" w:after="24"/>
              <w:rPr>
                <w:rFonts w:cs="Times New Roman"/>
              </w:rPr>
            </w:pPr>
            <w:r>
              <w:rPr>
                <w:rFonts w:cs="Times New Roman"/>
              </w:rPr>
              <w:t>4</w:t>
            </w:r>
          </w:p>
        </w:tc>
        <w:tc>
          <w:tcPr>
            <w:tcW w:w="1373" w:type="dxa"/>
            <w:vMerge w:val="continue"/>
            <w:tcBorders>
              <w:top w:val="single" w:color="000000" w:sz="4" w:space="0"/>
              <w:left w:val="single" w:color="000000" w:sz="4" w:space="0"/>
              <w:bottom w:val="single" w:color="000000" w:sz="4" w:space="0"/>
              <w:right w:val="single" w:color="000000" w:sz="4" w:space="0"/>
            </w:tcBorders>
            <w:vAlign w:val="center"/>
          </w:tcPr>
          <w:p w14:paraId="5B8BE180">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2056C56B">
            <w:pPr>
              <w:pStyle w:val="71"/>
              <w:spacing w:before="24" w:after="24"/>
              <w:rPr>
                <w:rFonts w:cs="Times New Roman"/>
              </w:rPr>
            </w:pPr>
            <w:r>
              <w:rPr>
                <w:rFonts w:cs="Times New Roman"/>
              </w:rPr>
              <w:t>轿厢半球摄像机</w:t>
            </w:r>
          </w:p>
        </w:tc>
        <w:tc>
          <w:tcPr>
            <w:tcW w:w="3373" w:type="dxa"/>
            <w:tcBorders>
              <w:top w:val="single" w:color="000000" w:sz="4" w:space="0"/>
              <w:left w:val="single" w:color="000000" w:sz="4" w:space="0"/>
              <w:bottom w:val="single" w:color="000000" w:sz="4" w:space="0"/>
              <w:right w:val="single" w:color="000000" w:sz="4" w:space="0"/>
            </w:tcBorders>
            <w:vAlign w:val="center"/>
          </w:tcPr>
          <w:p w14:paraId="3BE04C26">
            <w:pPr>
              <w:pStyle w:val="71"/>
              <w:spacing w:before="24" w:after="24"/>
              <w:rPr>
                <w:rFonts w:cs="Times New Roman"/>
              </w:rPr>
            </w:pPr>
            <w:r>
              <w:rPr>
                <w:rFonts w:cs="Times New Roman"/>
              </w:rPr>
              <w:t>彩色，1080P，带红外功能</w:t>
            </w:r>
          </w:p>
        </w:tc>
        <w:tc>
          <w:tcPr>
            <w:tcW w:w="1785" w:type="dxa"/>
            <w:tcBorders>
              <w:top w:val="single" w:color="000000" w:sz="4" w:space="0"/>
              <w:left w:val="single" w:color="000000" w:sz="4" w:space="0"/>
              <w:bottom w:val="single" w:color="000000" w:sz="4" w:space="0"/>
              <w:right w:val="single" w:color="000000" w:sz="4" w:space="0"/>
            </w:tcBorders>
            <w:vAlign w:val="center"/>
          </w:tcPr>
          <w:p w14:paraId="26D62313">
            <w:pPr>
              <w:pStyle w:val="71"/>
              <w:spacing w:before="24" w:after="24"/>
              <w:rPr>
                <w:rFonts w:cs="Times New Roman"/>
              </w:rPr>
            </w:pPr>
            <w:r>
              <w:rPr>
                <w:rFonts w:cs="Times New Roman"/>
              </w:rPr>
              <w:t>电梯轿厢内</w:t>
            </w:r>
          </w:p>
        </w:tc>
      </w:tr>
      <w:tr w14:paraId="580E79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75924317">
            <w:pPr>
              <w:pStyle w:val="71"/>
              <w:spacing w:before="24" w:after="24"/>
              <w:rPr>
                <w:rFonts w:cs="Times New Roman"/>
              </w:rPr>
            </w:pPr>
            <w:r>
              <w:rPr>
                <w:rFonts w:cs="Times New Roman"/>
              </w:rPr>
              <w:t>5</w:t>
            </w:r>
          </w:p>
        </w:tc>
        <w:tc>
          <w:tcPr>
            <w:tcW w:w="1373" w:type="dxa"/>
            <w:vMerge w:val="continue"/>
            <w:tcBorders>
              <w:top w:val="single" w:color="000000" w:sz="4" w:space="0"/>
              <w:left w:val="single" w:color="000000" w:sz="4" w:space="0"/>
              <w:bottom w:val="single" w:color="000000" w:sz="4" w:space="0"/>
              <w:right w:val="single" w:color="000000" w:sz="4" w:space="0"/>
            </w:tcBorders>
            <w:vAlign w:val="center"/>
          </w:tcPr>
          <w:p w14:paraId="0724CD76">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29EACB9C">
            <w:pPr>
              <w:pStyle w:val="71"/>
              <w:spacing w:before="24" w:after="24"/>
              <w:rPr>
                <w:rFonts w:cs="Times New Roman"/>
              </w:rPr>
            </w:pPr>
            <w:r>
              <w:rPr>
                <w:rFonts w:cs="Times New Roman"/>
              </w:rPr>
              <w:t>安防系统主机</w:t>
            </w:r>
          </w:p>
        </w:tc>
        <w:tc>
          <w:tcPr>
            <w:tcW w:w="3373" w:type="dxa"/>
            <w:tcBorders>
              <w:top w:val="single" w:color="000000" w:sz="4" w:space="0"/>
              <w:left w:val="single" w:color="000000" w:sz="4" w:space="0"/>
              <w:bottom w:val="single" w:color="000000" w:sz="4" w:space="0"/>
              <w:right w:val="single" w:color="000000" w:sz="4" w:space="0"/>
            </w:tcBorders>
            <w:vAlign w:val="center"/>
          </w:tcPr>
          <w:p w14:paraId="2F91EBCD">
            <w:pPr>
              <w:pStyle w:val="71"/>
              <w:spacing w:before="24" w:after="24"/>
              <w:rPr>
                <w:rFonts w:cs="Times New Roman"/>
              </w:rPr>
            </w:pPr>
            <w:r>
              <w:rPr>
                <w:rFonts w:cs="Times New Roman"/>
              </w:rPr>
              <w:t>按深化施工图纸系统图配置</w:t>
            </w:r>
          </w:p>
        </w:tc>
        <w:tc>
          <w:tcPr>
            <w:tcW w:w="1785" w:type="dxa"/>
            <w:tcBorders>
              <w:top w:val="single" w:color="000000" w:sz="4" w:space="0"/>
              <w:left w:val="single" w:color="000000" w:sz="4" w:space="0"/>
              <w:bottom w:val="single" w:color="000000" w:sz="4" w:space="0"/>
              <w:right w:val="single" w:color="000000" w:sz="4" w:space="0"/>
            </w:tcBorders>
            <w:vAlign w:val="center"/>
          </w:tcPr>
          <w:p w14:paraId="0C0FDFEF">
            <w:pPr>
              <w:pStyle w:val="71"/>
              <w:spacing w:before="24" w:after="24"/>
              <w:rPr>
                <w:rFonts w:cs="Times New Roman"/>
              </w:rPr>
            </w:pPr>
            <w:r>
              <w:rPr>
                <w:rFonts w:cs="Times New Roman"/>
              </w:rPr>
              <w:t>安防控制室</w:t>
            </w:r>
          </w:p>
        </w:tc>
      </w:tr>
      <w:tr w14:paraId="3481F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3E611E0E">
            <w:pPr>
              <w:pStyle w:val="71"/>
              <w:spacing w:before="24" w:after="24"/>
              <w:rPr>
                <w:rFonts w:cs="Times New Roman"/>
              </w:rPr>
            </w:pPr>
            <w:r>
              <w:rPr>
                <w:rFonts w:cs="Times New Roman"/>
              </w:rPr>
              <w:t>6</w:t>
            </w:r>
          </w:p>
        </w:tc>
        <w:tc>
          <w:tcPr>
            <w:tcW w:w="1373" w:type="dxa"/>
            <w:vMerge w:val="continue"/>
            <w:tcBorders>
              <w:top w:val="single" w:color="000000" w:sz="4" w:space="0"/>
              <w:left w:val="single" w:color="000000" w:sz="4" w:space="0"/>
              <w:bottom w:val="single" w:color="000000" w:sz="4" w:space="0"/>
              <w:right w:val="single" w:color="000000" w:sz="4" w:space="0"/>
            </w:tcBorders>
            <w:vAlign w:val="center"/>
          </w:tcPr>
          <w:p w14:paraId="2ECAC31F">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33AC5368">
            <w:pPr>
              <w:pStyle w:val="71"/>
              <w:spacing w:before="24" w:after="24"/>
              <w:rPr>
                <w:rFonts w:cs="Times New Roman"/>
              </w:rPr>
            </w:pPr>
            <w:r>
              <w:rPr>
                <w:rFonts w:cs="Times New Roman"/>
              </w:rPr>
              <w:t>五方对讲系统主机</w:t>
            </w:r>
          </w:p>
        </w:tc>
        <w:tc>
          <w:tcPr>
            <w:tcW w:w="3373" w:type="dxa"/>
            <w:tcBorders>
              <w:top w:val="single" w:color="000000" w:sz="4" w:space="0"/>
              <w:left w:val="single" w:color="000000" w:sz="4" w:space="0"/>
              <w:bottom w:val="single" w:color="000000" w:sz="4" w:space="0"/>
              <w:right w:val="single" w:color="000000" w:sz="4" w:space="0"/>
            </w:tcBorders>
            <w:vAlign w:val="center"/>
          </w:tcPr>
          <w:p w14:paraId="750879C5">
            <w:pPr>
              <w:pStyle w:val="71"/>
              <w:spacing w:before="24" w:after="24"/>
              <w:rPr>
                <w:rFonts w:cs="Times New Roman"/>
              </w:rPr>
            </w:pPr>
            <w:r>
              <w:rPr>
                <w:rFonts w:cs="Times New Roman"/>
              </w:rPr>
              <w:t>按深化施工图纸系统图配置</w:t>
            </w:r>
          </w:p>
        </w:tc>
        <w:tc>
          <w:tcPr>
            <w:tcW w:w="1785" w:type="dxa"/>
            <w:tcBorders>
              <w:top w:val="single" w:color="000000" w:sz="4" w:space="0"/>
              <w:left w:val="single" w:color="000000" w:sz="4" w:space="0"/>
              <w:bottom w:val="single" w:color="000000" w:sz="4" w:space="0"/>
              <w:right w:val="single" w:color="000000" w:sz="4" w:space="0"/>
            </w:tcBorders>
            <w:vAlign w:val="center"/>
          </w:tcPr>
          <w:p w14:paraId="61347539">
            <w:pPr>
              <w:pStyle w:val="71"/>
              <w:spacing w:before="24" w:after="24"/>
              <w:rPr>
                <w:rFonts w:cs="Times New Roman"/>
              </w:rPr>
            </w:pPr>
            <w:r>
              <w:rPr>
                <w:rFonts w:cs="Times New Roman"/>
              </w:rPr>
              <w:t>安防控制室</w:t>
            </w:r>
          </w:p>
        </w:tc>
      </w:tr>
      <w:tr w14:paraId="407A1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784FA682">
            <w:pPr>
              <w:pStyle w:val="71"/>
              <w:spacing w:before="24" w:after="24"/>
              <w:rPr>
                <w:rFonts w:cs="Times New Roman"/>
              </w:rPr>
            </w:pPr>
            <w:r>
              <w:rPr>
                <w:rFonts w:cs="Times New Roman"/>
              </w:rPr>
              <w:t>7</w:t>
            </w:r>
          </w:p>
        </w:tc>
        <w:tc>
          <w:tcPr>
            <w:tcW w:w="1373" w:type="dxa"/>
            <w:vMerge w:val="continue"/>
            <w:tcBorders>
              <w:top w:val="single" w:color="000000" w:sz="4" w:space="0"/>
              <w:left w:val="single" w:color="000000" w:sz="4" w:space="0"/>
              <w:bottom w:val="single" w:color="000000" w:sz="4" w:space="0"/>
              <w:right w:val="single" w:color="000000" w:sz="4" w:space="0"/>
            </w:tcBorders>
            <w:vAlign w:val="center"/>
          </w:tcPr>
          <w:p w14:paraId="22B3C456">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657FDB80">
            <w:pPr>
              <w:pStyle w:val="71"/>
              <w:spacing w:before="24" w:after="24"/>
              <w:rPr>
                <w:rFonts w:cs="Times New Roman"/>
              </w:rPr>
            </w:pPr>
            <w:r>
              <w:rPr>
                <w:rFonts w:cs="Times New Roman"/>
              </w:rPr>
              <w:t>可视对讲系统</w:t>
            </w:r>
          </w:p>
        </w:tc>
        <w:tc>
          <w:tcPr>
            <w:tcW w:w="3373" w:type="dxa"/>
            <w:tcBorders>
              <w:top w:val="single" w:color="000000" w:sz="4" w:space="0"/>
              <w:left w:val="single" w:color="000000" w:sz="4" w:space="0"/>
              <w:bottom w:val="single" w:color="000000" w:sz="4" w:space="0"/>
              <w:right w:val="single" w:color="000000" w:sz="4" w:space="0"/>
            </w:tcBorders>
            <w:vAlign w:val="center"/>
          </w:tcPr>
          <w:p w14:paraId="7514A98B">
            <w:pPr>
              <w:pStyle w:val="71"/>
              <w:spacing w:before="24" w:after="24"/>
              <w:rPr>
                <w:rFonts w:cs="Times New Roman"/>
              </w:rPr>
            </w:pPr>
            <w:r>
              <w:rPr>
                <w:rFonts w:cs="Times New Roman"/>
              </w:rPr>
              <w:t>按深化施工图纸系统图配置</w:t>
            </w:r>
          </w:p>
        </w:tc>
        <w:tc>
          <w:tcPr>
            <w:tcW w:w="1785" w:type="dxa"/>
            <w:tcBorders>
              <w:top w:val="single" w:color="000000" w:sz="4" w:space="0"/>
              <w:left w:val="single" w:color="000000" w:sz="4" w:space="0"/>
              <w:bottom w:val="single" w:color="000000" w:sz="4" w:space="0"/>
              <w:right w:val="single" w:color="000000" w:sz="4" w:space="0"/>
            </w:tcBorders>
            <w:vAlign w:val="center"/>
          </w:tcPr>
          <w:p w14:paraId="34B936DA">
            <w:pPr>
              <w:pStyle w:val="71"/>
              <w:spacing w:before="24" w:after="24"/>
              <w:rPr>
                <w:rFonts w:cs="Times New Roman"/>
              </w:rPr>
            </w:pPr>
            <w:r>
              <w:rPr>
                <w:rFonts w:cs="Times New Roman"/>
              </w:rPr>
              <w:t>安防控制室</w:t>
            </w:r>
          </w:p>
        </w:tc>
      </w:tr>
      <w:tr w14:paraId="0DBE0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27F82972">
            <w:pPr>
              <w:pStyle w:val="71"/>
              <w:spacing w:before="24" w:after="24"/>
              <w:rPr>
                <w:rFonts w:cs="Times New Roman"/>
              </w:rPr>
            </w:pPr>
            <w:r>
              <w:rPr>
                <w:rFonts w:cs="Times New Roman"/>
              </w:rPr>
              <w:t>8</w:t>
            </w:r>
          </w:p>
        </w:tc>
        <w:tc>
          <w:tcPr>
            <w:tcW w:w="1373" w:type="dxa"/>
            <w:vMerge w:val="continue"/>
            <w:tcBorders>
              <w:top w:val="single" w:color="000000" w:sz="4" w:space="0"/>
              <w:left w:val="single" w:color="000000" w:sz="4" w:space="0"/>
              <w:bottom w:val="single" w:color="000000" w:sz="4" w:space="0"/>
              <w:right w:val="single" w:color="000000" w:sz="4" w:space="0"/>
            </w:tcBorders>
            <w:vAlign w:val="center"/>
          </w:tcPr>
          <w:p w14:paraId="765AB647">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110FC705">
            <w:pPr>
              <w:pStyle w:val="71"/>
              <w:spacing w:before="24" w:after="24"/>
              <w:rPr>
                <w:rFonts w:cs="Times New Roman"/>
              </w:rPr>
            </w:pPr>
            <w:r>
              <w:rPr>
                <w:rFonts w:cs="Times New Roman"/>
              </w:rPr>
              <w:t>出入口控制系统</w:t>
            </w:r>
          </w:p>
        </w:tc>
        <w:tc>
          <w:tcPr>
            <w:tcW w:w="3373" w:type="dxa"/>
            <w:tcBorders>
              <w:top w:val="single" w:color="000000" w:sz="4" w:space="0"/>
              <w:left w:val="single" w:color="000000" w:sz="4" w:space="0"/>
              <w:bottom w:val="single" w:color="000000" w:sz="4" w:space="0"/>
              <w:right w:val="single" w:color="000000" w:sz="4" w:space="0"/>
            </w:tcBorders>
            <w:vAlign w:val="center"/>
          </w:tcPr>
          <w:p w14:paraId="2552BCCC">
            <w:pPr>
              <w:pStyle w:val="71"/>
              <w:spacing w:before="24" w:after="24"/>
              <w:rPr>
                <w:rFonts w:cs="Times New Roman"/>
              </w:rPr>
            </w:pPr>
            <w:r>
              <w:rPr>
                <w:rFonts w:cs="Times New Roman"/>
              </w:rPr>
              <w:t>按深化施工图纸系统图配置</w:t>
            </w:r>
          </w:p>
        </w:tc>
        <w:tc>
          <w:tcPr>
            <w:tcW w:w="1785" w:type="dxa"/>
            <w:tcBorders>
              <w:top w:val="single" w:color="000000" w:sz="4" w:space="0"/>
              <w:left w:val="single" w:color="000000" w:sz="4" w:space="0"/>
              <w:bottom w:val="single" w:color="000000" w:sz="4" w:space="0"/>
              <w:right w:val="single" w:color="000000" w:sz="4" w:space="0"/>
            </w:tcBorders>
            <w:vAlign w:val="center"/>
          </w:tcPr>
          <w:p w14:paraId="72219780">
            <w:pPr>
              <w:pStyle w:val="71"/>
              <w:spacing w:before="24" w:after="24"/>
              <w:rPr>
                <w:rFonts w:cs="Times New Roman"/>
              </w:rPr>
            </w:pPr>
            <w:r>
              <w:rPr>
                <w:rFonts w:cs="Times New Roman"/>
              </w:rPr>
              <w:t>安防控制室</w:t>
            </w:r>
          </w:p>
        </w:tc>
      </w:tr>
      <w:tr w14:paraId="55DB08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4F504715">
            <w:pPr>
              <w:pStyle w:val="71"/>
              <w:spacing w:before="24" w:after="24"/>
              <w:rPr>
                <w:rFonts w:cs="Times New Roman"/>
              </w:rPr>
            </w:pPr>
            <w:r>
              <w:rPr>
                <w:rFonts w:cs="Times New Roman"/>
              </w:rPr>
              <w:t>9</w:t>
            </w:r>
          </w:p>
        </w:tc>
        <w:tc>
          <w:tcPr>
            <w:tcW w:w="1373" w:type="dxa"/>
            <w:vMerge w:val="continue"/>
            <w:tcBorders>
              <w:top w:val="single" w:color="000000" w:sz="4" w:space="0"/>
              <w:left w:val="single" w:color="000000" w:sz="4" w:space="0"/>
              <w:bottom w:val="single" w:color="000000" w:sz="4" w:space="0"/>
              <w:right w:val="single" w:color="000000" w:sz="4" w:space="0"/>
            </w:tcBorders>
            <w:vAlign w:val="center"/>
          </w:tcPr>
          <w:p w14:paraId="55C3E36B">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56F86433">
            <w:pPr>
              <w:pStyle w:val="71"/>
              <w:spacing w:before="24" w:after="24"/>
              <w:rPr>
                <w:rFonts w:cs="Times New Roman"/>
              </w:rPr>
            </w:pPr>
            <w:r>
              <w:rPr>
                <w:rFonts w:cs="Times New Roman"/>
              </w:rPr>
              <w:t>停车场管理系统</w:t>
            </w:r>
          </w:p>
        </w:tc>
        <w:tc>
          <w:tcPr>
            <w:tcW w:w="3373" w:type="dxa"/>
            <w:tcBorders>
              <w:top w:val="single" w:color="000000" w:sz="4" w:space="0"/>
              <w:left w:val="single" w:color="000000" w:sz="4" w:space="0"/>
              <w:bottom w:val="single" w:color="000000" w:sz="4" w:space="0"/>
              <w:right w:val="single" w:color="000000" w:sz="4" w:space="0"/>
            </w:tcBorders>
            <w:vAlign w:val="center"/>
          </w:tcPr>
          <w:p w14:paraId="1228DAB0">
            <w:pPr>
              <w:pStyle w:val="71"/>
              <w:spacing w:before="24" w:after="24"/>
              <w:rPr>
                <w:rFonts w:cs="Times New Roman"/>
              </w:rPr>
            </w:pPr>
            <w:r>
              <w:rPr>
                <w:rFonts w:cs="Times New Roman"/>
              </w:rPr>
              <w:t>按深化施工图纸系统图配置</w:t>
            </w:r>
          </w:p>
        </w:tc>
        <w:tc>
          <w:tcPr>
            <w:tcW w:w="1785" w:type="dxa"/>
            <w:tcBorders>
              <w:top w:val="single" w:color="000000" w:sz="4" w:space="0"/>
              <w:left w:val="single" w:color="000000" w:sz="4" w:space="0"/>
              <w:bottom w:val="single" w:color="000000" w:sz="4" w:space="0"/>
              <w:right w:val="single" w:color="000000" w:sz="4" w:space="0"/>
            </w:tcBorders>
            <w:vAlign w:val="center"/>
          </w:tcPr>
          <w:p w14:paraId="445A4377">
            <w:pPr>
              <w:pStyle w:val="71"/>
              <w:spacing w:before="24" w:after="24"/>
              <w:rPr>
                <w:rFonts w:cs="Times New Roman"/>
              </w:rPr>
            </w:pPr>
            <w:r>
              <w:rPr>
                <w:rFonts w:cs="Times New Roman"/>
              </w:rPr>
              <w:t>安防控制室</w:t>
            </w:r>
          </w:p>
        </w:tc>
      </w:tr>
      <w:tr w14:paraId="602C0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4EE38DF1">
            <w:pPr>
              <w:pStyle w:val="71"/>
              <w:spacing w:before="24" w:after="24"/>
              <w:rPr>
                <w:rFonts w:cs="Times New Roman"/>
              </w:rPr>
            </w:pPr>
            <w:r>
              <w:rPr>
                <w:rFonts w:cs="Times New Roman"/>
              </w:rPr>
              <w:t>10</w:t>
            </w:r>
          </w:p>
        </w:tc>
        <w:tc>
          <w:tcPr>
            <w:tcW w:w="1373" w:type="dxa"/>
            <w:vMerge w:val="continue"/>
            <w:tcBorders>
              <w:top w:val="single" w:color="000000" w:sz="4" w:space="0"/>
              <w:left w:val="single" w:color="000000" w:sz="4" w:space="0"/>
              <w:bottom w:val="single" w:color="000000" w:sz="4" w:space="0"/>
              <w:right w:val="single" w:color="000000" w:sz="4" w:space="0"/>
            </w:tcBorders>
            <w:vAlign w:val="center"/>
          </w:tcPr>
          <w:p w14:paraId="0AC94167">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65DEC0A4">
            <w:pPr>
              <w:pStyle w:val="71"/>
              <w:spacing w:before="24" w:after="24"/>
              <w:rPr>
                <w:rFonts w:cs="Times New Roman"/>
              </w:rPr>
            </w:pPr>
            <w:r>
              <w:rPr>
                <w:rFonts w:cs="Times New Roman"/>
              </w:rPr>
              <w:t>无障碍卫生间系统</w:t>
            </w:r>
          </w:p>
        </w:tc>
        <w:tc>
          <w:tcPr>
            <w:tcW w:w="3373" w:type="dxa"/>
            <w:tcBorders>
              <w:top w:val="single" w:color="000000" w:sz="4" w:space="0"/>
              <w:left w:val="single" w:color="000000" w:sz="4" w:space="0"/>
              <w:bottom w:val="single" w:color="000000" w:sz="4" w:space="0"/>
              <w:right w:val="single" w:color="000000" w:sz="4" w:space="0"/>
            </w:tcBorders>
            <w:vAlign w:val="center"/>
          </w:tcPr>
          <w:p w14:paraId="2D914492">
            <w:pPr>
              <w:pStyle w:val="71"/>
              <w:spacing w:before="24" w:after="24"/>
              <w:rPr>
                <w:rFonts w:cs="Times New Roman"/>
              </w:rPr>
            </w:pPr>
            <w:r>
              <w:rPr>
                <w:rFonts w:cs="Times New Roman"/>
              </w:rPr>
              <w:t>按深化施工图纸系统图配置</w:t>
            </w:r>
          </w:p>
        </w:tc>
        <w:tc>
          <w:tcPr>
            <w:tcW w:w="1785" w:type="dxa"/>
            <w:tcBorders>
              <w:top w:val="single" w:color="000000" w:sz="4" w:space="0"/>
              <w:left w:val="single" w:color="000000" w:sz="4" w:space="0"/>
              <w:bottom w:val="single" w:color="000000" w:sz="4" w:space="0"/>
              <w:right w:val="single" w:color="000000" w:sz="4" w:space="0"/>
            </w:tcBorders>
            <w:vAlign w:val="center"/>
          </w:tcPr>
          <w:p w14:paraId="39006B95">
            <w:pPr>
              <w:pStyle w:val="71"/>
              <w:spacing w:before="24" w:after="24"/>
              <w:rPr>
                <w:rFonts w:cs="Times New Roman"/>
              </w:rPr>
            </w:pPr>
            <w:r>
              <w:rPr>
                <w:rFonts w:cs="Times New Roman"/>
              </w:rPr>
              <w:t>无障碍卫生间内外</w:t>
            </w:r>
          </w:p>
        </w:tc>
      </w:tr>
      <w:tr w14:paraId="3BFEF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13CC8559">
            <w:pPr>
              <w:pStyle w:val="71"/>
              <w:spacing w:before="24" w:after="24"/>
              <w:rPr>
                <w:rFonts w:cs="Times New Roman"/>
              </w:rPr>
            </w:pPr>
            <w:r>
              <w:rPr>
                <w:rFonts w:cs="Times New Roman"/>
              </w:rPr>
              <w:t>11</w:t>
            </w:r>
          </w:p>
        </w:tc>
        <w:tc>
          <w:tcPr>
            <w:tcW w:w="1373" w:type="dxa"/>
            <w:vMerge w:val="continue"/>
            <w:tcBorders>
              <w:top w:val="single" w:color="000000" w:sz="4" w:space="0"/>
              <w:left w:val="single" w:color="000000" w:sz="4" w:space="0"/>
              <w:bottom w:val="single" w:color="000000" w:sz="4" w:space="0"/>
              <w:right w:val="single" w:color="000000" w:sz="4" w:space="0"/>
            </w:tcBorders>
            <w:vAlign w:val="center"/>
          </w:tcPr>
          <w:p w14:paraId="28246513">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17465728">
            <w:pPr>
              <w:pStyle w:val="71"/>
              <w:spacing w:before="24" w:after="24"/>
              <w:rPr>
                <w:rFonts w:cs="Times New Roman"/>
              </w:rPr>
            </w:pPr>
            <w:r>
              <w:rPr>
                <w:rFonts w:cs="Times New Roman"/>
              </w:rPr>
              <w:t>生活泵房液位监控系统</w:t>
            </w:r>
          </w:p>
        </w:tc>
        <w:tc>
          <w:tcPr>
            <w:tcW w:w="3373" w:type="dxa"/>
            <w:tcBorders>
              <w:top w:val="single" w:color="000000" w:sz="4" w:space="0"/>
              <w:left w:val="single" w:color="000000" w:sz="4" w:space="0"/>
              <w:bottom w:val="single" w:color="000000" w:sz="4" w:space="0"/>
              <w:right w:val="single" w:color="000000" w:sz="4" w:space="0"/>
            </w:tcBorders>
            <w:vAlign w:val="center"/>
          </w:tcPr>
          <w:p w14:paraId="008A576D">
            <w:pPr>
              <w:pStyle w:val="71"/>
              <w:spacing w:before="24" w:after="24"/>
              <w:rPr>
                <w:rFonts w:cs="Times New Roman"/>
              </w:rPr>
            </w:pPr>
            <w:r>
              <w:rPr>
                <w:rFonts w:cs="Times New Roman"/>
              </w:rPr>
              <w:t>按给排水专业要求配置</w:t>
            </w:r>
          </w:p>
        </w:tc>
        <w:tc>
          <w:tcPr>
            <w:tcW w:w="1785" w:type="dxa"/>
            <w:tcBorders>
              <w:top w:val="single" w:color="000000" w:sz="4" w:space="0"/>
              <w:left w:val="single" w:color="000000" w:sz="4" w:space="0"/>
              <w:bottom w:val="single" w:color="000000" w:sz="4" w:space="0"/>
              <w:right w:val="single" w:color="000000" w:sz="4" w:space="0"/>
            </w:tcBorders>
            <w:vAlign w:val="center"/>
          </w:tcPr>
          <w:p w14:paraId="5648A56C">
            <w:pPr>
              <w:pStyle w:val="71"/>
              <w:spacing w:before="24" w:after="24"/>
              <w:rPr>
                <w:rFonts w:cs="Times New Roman"/>
              </w:rPr>
            </w:pPr>
            <w:r>
              <w:rPr>
                <w:rFonts w:cs="Times New Roman"/>
              </w:rPr>
              <w:t>生活泵房</w:t>
            </w:r>
          </w:p>
        </w:tc>
      </w:tr>
      <w:tr w14:paraId="79428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401FE44A">
            <w:pPr>
              <w:pStyle w:val="71"/>
              <w:spacing w:before="24" w:after="24"/>
              <w:rPr>
                <w:rFonts w:cs="Times New Roman"/>
              </w:rPr>
            </w:pPr>
            <w:r>
              <w:rPr>
                <w:rFonts w:cs="Times New Roman"/>
              </w:rPr>
              <w:t>12</w:t>
            </w:r>
          </w:p>
        </w:tc>
        <w:tc>
          <w:tcPr>
            <w:tcW w:w="1373" w:type="dxa"/>
            <w:vMerge w:val="restart"/>
            <w:tcBorders>
              <w:top w:val="nil"/>
              <w:left w:val="single" w:color="000000" w:sz="4" w:space="0"/>
              <w:bottom w:val="single" w:color="000000" w:sz="4" w:space="0"/>
              <w:right w:val="single" w:color="000000" w:sz="4" w:space="0"/>
            </w:tcBorders>
            <w:vAlign w:val="center"/>
          </w:tcPr>
          <w:p w14:paraId="2285B7D6">
            <w:pPr>
              <w:pStyle w:val="71"/>
              <w:spacing w:before="24" w:after="24"/>
              <w:rPr>
                <w:rFonts w:cs="Times New Roman"/>
              </w:rPr>
            </w:pPr>
            <w:r>
              <w:rPr>
                <w:rFonts w:cs="Times New Roman"/>
              </w:rPr>
              <w:t>火灾自动报警系统</w:t>
            </w:r>
          </w:p>
        </w:tc>
        <w:tc>
          <w:tcPr>
            <w:tcW w:w="2476" w:type="dxa"/>
            <w:tcBorders>
              <w:top w:val="single" w:color="000000" w:sz="4" w:space="0"/>
              <w:left w:val="single" w:color="000000" w:sz="4" w:space="0"/>
              <w:bottom w:val="single" w:color="000000" w:sz="4" w:space="0"/>
              <w:right w:val="single" w:color="000000" w:sz="4" w:space="0"/>
            </w:tcBorders>
            <w:vAlign w:val="center"/>
          </w:tcPr>
          <w:p w14:paraId="7EEA551F">
            <w:pPr>
              <w:pStyle w:val="71"/>
              <w:spacing w:before="24" w:after="24"/>
              <w:rPr>
                <w:rFonts w:cs="Times New Roman"/>
              </w:rPr>
            </w:pPr>
            <w:r>
              <w:rPr>
                <w:rFonts w:cs="Times New Roman"/>
              </w:rPr>
              <w:t>火灾报警控制器</w:t>
            </w:r>
          </w:p>
        </w:tc>
        <w:tc>
          <w:tcPr>
            <w:tcW w:w="3373" w:type="dxa"/>
            <w:tcBorders>
              <w:top w:val="single" w:color="000000" w:sz="4" w:space="0"/>
              <w:left w:val="single" w:color="000000" w:sz="4" w:space="0"/>
              <w:bottom w:val="single" w:color="000000" w:sz="4" w:space="0"/>
              <w:right w:val="single" w:color="000000" w:sz="4" w:space="0"/>
            </w:tcBorders>
            <w:vAlign w:val="center"/>
          </w:tcPr>
          <w:p w14:paraId="7ED071EE">
            <w:pPr>
              <w:pStyle w:val="71"/>
              <w:spacing w:before="24" w:after="24"/>
              <w:rPr>
                <w:rFonts w:cs="Times New Roman"/>
              </w:rPr>
            </w:pPr>
            <w:r>
              <w:rPr>
                <w:rFonts w:cs="Times New Roman"/>
              </w:rPr>
              <w:t>按系统图规格、尺寸配置</w:t>
            </w:r>
          </w:p>
        </w:tc>
        <w:tc>
          <w:tcPr>
            <w:tcW w:w="1785" w:type="dxa"/>
            <w:tcBorders>
              <w:top w:val="single" w:color="000000" w:sz="4" w:space="0"/>
              <w:left w:val="single" w:color="000000" w:sz="4" w:space="0"/>
              <w:bottom w:val="single" w:color="000000" w:sz="4" w:space="0"/>
              <w:right w:val="single" w:color="000000" w:sz="4" w:space="0"/>
            </w:tcBorders>
            <w:vAlign w:val="center"/>
          </w:tcPr>
          <w:p w14:paraId="1DAFB86A">
            <w:pPr>
              <w:pStyle w:val="71"/>
              <w:spacing w:before="24" w:after="24"/>
              <w:rPr>
                <w:rFonts w:cs="Times New Roman"/>
              </w:rPr>
            </w:pPr>
            <w:r>
              <w:rPr>
                <w:rFonts w:cs="Times New Roman"/>
              </w:rPr>
              <w:t>消防控制室</w:t>
            </w:r>
          </w:p>
        </w:tc>
      </w:tr>
      <w:tr w14:paraId="7BB935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07FD4622">
            <w:pPr>
              <w:pStyle w:val="71"/>
              <w:spacing w:before="24" w:after="24"/>
              <w:rPr>
                <w:rFonts w:cs="Times New Roman"/>
              </w:rPr>
            </w:pPr>
            <w:r>
              <w:rPr>
                <w:rFonts w:cs="Times New Roman"/>
              </w:rPr>
              <w:t>13</w:t>
            </w:r>
          </w:p>
        </w:tc>
        <w:tc>
          <w:tcPr>
            <w:tcW w:w="1373" w:type="dxa"/>
            <w:vMerge w:val="continue"/>
            <w:tcBorders>
              <w:top w:val="nil"/>
              <w:left w:val="single" w:color="000000" w:sz="4" w:space="0"/>
              <w:bottom w:val="single" w:color="000000" w:sz="4" w:space="0"/>
              <w:right w:val="single" w:color="000000" w:sz="4" w:space="0"/>
            </w:tcBorders>
            <w:vAlign w:val="center"/>
          </w:tcPr>
          <w:p w14:paraId="1A782DD7">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0F836062">
            <w:pPr>
              <w:pStyle w:val="71"/>
              <w:spacing w:before="24" w:after="24"/>
              <w:rPr>
                <w:rFonts w:cs="Times New Roman"/>
              </w:rPr>
            </w:pPr>
            <w:r>
              <w:rPr>
                <w:rFonts w:cs="Times New Roman"/>
              </w:rPr>
              <w:t>防火门监控系统</w:t>
            </w:r>
          </w:p>
        </w:tc>
        <w:tc>
          <w:tcPr>
            <w:tcW w:w="3373" w:type="dxa"/>
            <w:tcBorders>
              <w:top w:val="single" w:color="000000" w:sz="4" w:space="0"/>
              <w:left w:val="single" w:color="000000" w:sz="4" w:space="0"/>
              <w:bottom w:val="single" w:color="000000" w:sz="4" w:space="0"/>
              <w:right w:val="single" w:color="000000" w:sz="4" w:space="0"/>
            </w:tcBorders>
            <w:vAlign w:val="center"/>
          </w:tcPr>
          <w:p w14:paraId="3E1549D2">
            <w:pPr>
              <w:pStyle w:val="71"/>
              <w:spacing w:before="24" w:after="24"/>
              <w:rPr>
                <w:rFonts w:cs="Times New Roman"/>
              </w:rPr>
            </w:pPr>
            <w:r>
              <w:rPr>
                <w:rFonts w:cs="Times New Roman"/>
              </w:rPr>
              <w:t>按系统图规格、尺寸配置</w:t>
            </w:r>
          </w:p>
        </w:tc>
        <w:tc>
          <w:tcPr>
            <w:tcW w:w="1785" w:type="dxa"/>
            <w:tcBorders>
              <w:top w:val="single" w:color="000000" w:sz="4" w:space="0"/>
              <w:left w:val="single" w:color="000000" w:sz="4" w:space="0"/>
              <w:bottom w:val="single" w:color="000000" w:sz="4" w:space="0"/>
              <w:right w:val="single" w:color="000000" w:sz="4" w:space="0"/>
            </w:tcBorders>
            <w:vAlign w:val="center"/>
          </w:tcPr>
          <w:p w14:paraId="51BDDC4C">
            <w:pPr>
              <w:pStyle w:val="71"/>
              <w:spacing w:before="24" w:after="24"/>
              <w:rPr>
                <w:rFonts w:cs="Times New Roman"/>
              </w:rPr>
            </w:pPr>
            <w:r>
              <w:rPr>
                <w:rFonts w:cs="Times New Roman"/>
              </w:rPr>
              <w:t>消防控制室</w:t>
            </w:r>
          </w:p>
        </w:tc>
      </w:tr>
      <w:tr w14:paraId="226E20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0B4F5D3E">
            <w:pPr>
              <w:pStyle w:val="71"/>
              <w:spacing w:before="24" w:after="24"/>
              <w:rPr>
                <w:rFonts w:cs="Times New Roman"/>
              </w:rPr>
            </w:pPr>
            <w:r>
              <w:rPr>
                <w:rFonts w:cs="Times New Roman"/>
              </w:rPr>
              <w:t>14</w:t>
            </w:r>
          </w:p>
        </w:tc>
        <w:tc>
          <w:tcPr>
            <w:tcW w:w="1373" w:type="dxa"/>
            <w:vMerge w:val="continue"/>
            <w:tcBorders>
              <w:top w:val="nil"/>
              <w:left w:val="single" w:color="000000" w:sz="4" w:space="0"/>
              <w:bottom w:val="single" w:color="000000" w:sz="4" w:space="0"/>
              <w:right w:val="single" w:color="000000" w:sz="4" w:space="0"/>
            </w:tcBorders>
            <w:vAlign w:val="center"/>
          </w:tcPr>
          <w:p w14:paraId="7EB8D562">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13DF03D8">
            <w:pPr>
              <w:pStyle w:val="71"/>
              <w:spacing w:before="24" w:after="24"/>
              <w:rPr>
                <w:rFonts w:cs="Times New Roman"/>
              </w:rPr>
            </w:pPr>
            <w:r>
              <w:rPr>
                <w:rFonts w:cs="Times New Roman"/>
              </w:rPr>
              <w:t>消防电源监控系统</w:t>
            </w:r>
          </w:p>
        </w:tc>
        <w:tc>
          <w:tcPr>
            <w:tcW w:w="3373" w:type="dxa"/>
            <w:tcBorders>
              <w:top w:val="single" w:color="000000" w:sz="4" w:space="0"/>
              <w:left w:val="single" w:color="000000" w:sz="4" w:space="0"/>
              <w:bottom w:val="single" w:color="000000" w:sz="4" w:space="0"/>
              <w:right w:val="single" w:color="000000" w:sz="4" w:space="0"/>
            </w:tcBorders>
            <w:vAlign w:val="center"/>
          </w:tcPr>
          <w:p w14:paraId="6DA33707">
            <w:pPr>
              <w:pStyle w:val="71"/>
              <w:spacing w:before="24" w:after="24"/>
              <w:rPr>
                <w:rFonts w:cs="Times New Roman"/>
              </w:rPr>
            </w:pPr>
            <w:r>
              <w:rPr>
                <w:rFonts w:cs="Times New Roman"/>
              </w:rPr>
              <w:t>按系统图规格、尺寸配置</w:t>
            </w:r>
          </w:p>
        </w:tc>
        <w:tc>
          <w:tcPr>
            <w:tcW w:w="1785" w:type="dxa"/>
            <w:tcBorders>
              <w:top w:val="single" w:color="000000" w:sz="4" w:space="0"/>
              <w:left w:val="single" w:color="000000" w:sz="4" w:space="0"/>
              <w:bottom w:val="single" w:color="000000" w:sz="4" w:space="0"/>
              <w:right w:val="single" w:color="000000" w:sz="4" w:space="0"/>
            </w:tcBorders>
            <w:vAlign w:val="center"/>
          </w:tcPr>
          <w:p w14:paraId="29830546">
            <w:pPr>
              <w:pStyle w:val="71"/>
              <w:spacing w:before="24" w:after="24"/>
              <w:rPr>
                <w:rFonts w:cs="Times New Roman"/>
              </w:rPr>
            </w:pPr>
            <w:r>
              <w:rPr>
                <w:rFonts w:cs="Times New Roman"/>
              </w:rPr>
              <w:t>消防控制室</w:t>
            </w:r>
          </w:p>
        </w:tc>
      </w:tr>
      <w:tr w14:paraId="74044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75E0BE2F">
            <w:pPr>
              <w:pStyle w:val="71"/>
              <w:spacing w:before="24" w:after="24"/>
              <w:rPr>
                <w:rFonts w:cs="Times New Roman"/>
              </w:rPr>
            </w:pPr>
            <w:r>
              <w:rPr>
                <w:rFonts w:cs="Times New Roman"/>
              </w:rPr>
              <w:t>15</w:t>
            </w:r>
          </w:p>
        </w:tc>
        <w:tc>
          <w:tcPr>
            <w:tcW w:w="1373" w:type="dxa"/>
            <w:vMerge w:val="continue"/>
            <w:tcBorders>
              <w:top w:val="nil"/>
              <w:left w:val="single" w:color="000000" w:sz="4" w:space="0"/>
              <w:bottom w:val="single" w:color="000000" w:sz="4" w:space="0"/>
              <w:right w:val="single" w:color="000000" w:sz="4" w:space="0"/>
            </w:tcBorders>
            <w:vAlign w:val="center"/>
          </w:tcPr>
          <w:p w14:paraId="49ED176C">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27A857F0">
            <w:pPr>
              <w:pStyle w:val="71"/>
              <w:spacing w:before="24" w:after="24"/>
              <w:rPr>
                <w:rFonts w:cs="Times New Roman"/>
              </w:rPr>
            </w:pPr>
            <w:r>
              <w:rPr>
                <w:rFonts w:cs="Times New Roman"/>
              </w:rPr>
              <w:t>电气火灾监控系统</w:t>
            </w:r>
          </w:p>
        </w:tc>
        <w:tc>
          <w:tcPr>
            <w:tcW w:w="3373" w:type="dxa"/>
            <w:tcBorders>
              <w:top w:val="single" w:color="000000" w:sz="4" w:space="0"/>
              <w:left w:val="single" w:color="000000" w:sz="4" w:space="0"/>
              <w:bottom w:val="single" w:color="000000" w:sz="4" w:space="0"/>
              <w:right w:val="single" w:color="000000" w:sz="4" w:space="0"/>
            </w:tcBorders>
            <w:vAlign w:val="center"/>
          </w:tcPr>
          <w:p w14:paraId="00425387">
            <w:pPr>
              <w:pStyle w:val="71"/>
              <w:spacing w:before="24" w:after="24"/>
              <w:rPr>
                <w:rFonts w:cs="Times New Roman"/>
              </w:rPr>
            </w:pPr>
            <w:r>
              <w:rPr>
                <w:rFonts w:cs="Times New Roman"/>
              </w:rPr>
              <w:t>按系统图规格、尺寸配置</w:t>
            </w:r>
          </w:p>
        </w:tc>
        <w:tc>
          <w:tcPr>
            <w:tcW w:w="1785" w:type="dxa"/>
            <w:tcBorders>
              <w:top w:val="single" w:color="000000" w:sz="4" w:space="0"/>
              <w:left w:val="single" w:color="000000" w:sz="4" w:space="0"/>
              <w:bottom w:val="single" w:color="000000" w:sz="4" w:space="0"/>
              <w:right w:val="single" w:color="000000" w:sz="4" w:space="0"/>
            </w:tcBorders>
            <w:vAlign w:val="center"/>
          </w:tcPr>
          <w:p w14:paraId="0B8B2482">
            <w:pPr>
              <w:pStyle w:val="71"/>
              <w:spacing w:before="24" w:after="24"/>
              <w:rPr>
                <w:rFonts w:cs="Times New Roman"/>
              </w:rPr>
            </w:pPr>
            <w:r>
              <w:rPr>
                <w:rFonts w:cs="Times New Roman"/>
              </w:rPr>
              <w:t>消防控制室</w:t>
            </w:r>
          </w:p>
        </w:tc>
      </w:tr>
      <w:tr w14:paraId="738601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63296BCF">
            <w:pPr>
              <w:pStyle w:val="71"/>
              <w:spacing w:before="24" w:after="24"/>
              <w:rPr>
                <w:rFonts w:cs="Times New Roman"/>
              </w:rPr>
            </w:pPr>
            <w:r>
              <w:rPr>
                <w:rFonts w:cs="Times New Roman"/>
              </w:rPr>
              <w:t>16</w:t>
            </w:r>
          </w:p>
        </w:tc>
        <w:tc>
          <w:tcPr>
            <w:tcW w:w="1373" w:type="dxa"/>
            <w:vMerge w:val="continue"/>
            <w:tcBorders>
              <w:top w:val="nil"/>
              <w:left w:val="single" w:color="000000" w:sz="4" w:space="0"/>
              <w:bottom w:val="single" w:color="000000" w:sz="4" w:space="0"/>
              <w:right w:val="single" w:color="000000" w:sz="4" w:space="0"/>
            </w:tcBorders>
            <w:vAlign w:val="center"/>
          </w:tcPr>
          <w:p w14:paraId="4719C2FC">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425A0EC5">
            <w:pPr>
              <w:pStyle w:val="71"/>
              <w:spacing w:before="24" w:after="24"/>
              <w:rPr>
                <w:rFonts w:cs="Times New Roman"/>
              </w:rPr>
            </w:pPr>
            <w:r>
              <w:rPr>
                <w:rFonts w:cs="Times New Roman"/>
              </w:rPr>
              <w:t>气体灭火控制主机</w:t>
            </w:r>
          </w:p>
        </w:tc>
        <w:tc>
          <w:tcPr>
            <w:tcW w:w="3373" w:type="dxa"/>
            <w:tcBorders>
              <w:top w:val="single" w:color="000000" w:sz="4" w:space="0"/>
              <w:left w:val="single" w:color="000000" w:sz="4" w:space="0"/>
              <w:bottom w:val="single" w:color="000000" w:sz="4" w:space="0"/>
              <w:right w:val="single" w:color="000000" w:sz="4" w:space="0"/>
            </w:tcBorders>
            <w:vAlign w:val="center"/>
          </w:tcPr>
          <w:p w14:paraId="13F57183">
            <w:pPr>
              <w:pStyle w:val="71"/>
              <w:spacing w:before="24" w:after="24"/>
              <w:rPr>
                <w:rFonts w:cs="Times New Roman"/>
              </w:rPr>
            </w:pPr>
            <w:r>
              <w:rPr>
                <w:rFonts w:cs="Times New Roman"/>
              </w:rPr>
              <w:t>按系统图规格、尺寸配置</w:t>
            </w:r>
          </w:p>
        </w:tc>
        <w:tc>
          <w:tcPr>
            <w:tcW w:w="1785" w:type="dxa"/>
            <w:tcBorders>
              <w:top w:val="single" w:color="000000" w:sz="4" w:space="0"/>
              <w:left w:val="single" w:color="000000" w:sz="4" w:space="0"/>
              <w:bottom w:val="single" w:color="000000" w:sz="4" w:space="0"/>
              <w:right w:val="single" w:color="000000" w:sz="4" w:space="0"/>
            </w:tcBorders>
            <w:vAlign w:val="center"/>
          </w:tcPr>
          <w:p w14:paraId="4A106F2E">
            <w:pPr>
              <w:pStyle w:val="71"/>
              <w:spacing w:before="24" w:after="24"/>
              <w:rPr>
                <w:rFonts w:cs="Times New Roman"/>
              </w:rPr>
            </w:pPr>
            <w:r>
              <w:rPr>
                <w:rFonts w:cs="Times New Roman"/>
              </w:rPr>
              <w:t>消防控制室</w:t>
            </w:r>
          </w:p>
        </w:tc>
      </w:tr>
      <w:tr w14:paraId="7E556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76E97C16">
            <w:pPr>
              <w:pStyle w:val="71"/>
              <w:spacing w:before="24" w:after="24"/>
              <w:rPr>
                <w:rFonts w:cs="Times New Roman"/>
              </w:rPr>
            </w:pPr>
            <w:r>
              <w:rPr>
                <w:rFonts w:cs="Times New Roman"/>
              </w:rPr>
              <w:t>17</w:t>
            </w:r>
          </w:p>
        </w:tc>
        <w:tc>
          <w:tcPr>
            <w:tcW w:w="1373" w:type="dxa"/>
            <w:vMerge w:val="continue"/>
            <w:tcBorders>
              <w:top w:val="nil"/>
              <w:left w:val="single" w:color="000000" w:sz="4" w:space="0"/>
              <w:bottom w:val="single" w:color="000000" w:sz="4" w:space="0"/>
              <w:right w:val="single" w:color="000000" w:sz="4" w:space="0"/>
            </w:tcBorders>
            <w:vAlign w:val="center"/>
          </w:tcPr>
          <w:p w14:paraId="764A416A">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19BC6F3B">
            <w:pPr>
              <w:pStyle w:val="71"/>
              <w:spacing w:before="24" w:after="24"/>
              <w:rPr>
                <w:rFonts w:cs="Times New Roman"/>
              </w:rPr>
            </w:pPr>
            <w:r>
              <w:rPr>
                <w:rFonts w:cs="Times New Roman"/>
              </w:rPr>
              <w:t>气体灭火报警控制器</w:t>
            </w:r>
          </w:p>
        </w:tc>
        <w:tc>
          <w:tcPr>
            <w:tcW w:w="3373" w:type="dxa"/>
            <w:tcBorders>
              <w:top w:val="single" w:color="000000" w:sz="4" w:space="0"/>
              <w:left w:val="single" w:color="000000" w:sz="4" w:space="0"/>
              <w:bottom w:val="single" w:color="000000" w:sz="4" w:space="0"/>
              <w:right w:val="single" w:color="000000" w:sz="4" w:space="0"/>
            </w:tcBorders>
            <w:vAlign w:val="center"/>
          </w:tcPr>
          <w:p w14:paraId="6D03D750">
            <w:pPr>
              <w:pStyle w:val="71"/>
              <w:spacing w:before="24" w:after="24"/>
              <w:rPr>
                <w:rFonts w:cs="Times New Roman"/>
              </w:rPr>
            </w:pPr>
            <w:r>
              <w:rPr>
                <w:rFonts w:cs="Times New Roman"/>
              </w:rPr>
              <w:t>国标</w:t>
            </w:r>
          </w:p>
        </w:tc>
        <w:tc>
          <w:tcPr>
            <w:tcW w:w="1785" w:type="dxa"/>
            <w:tcBorders>
              <w:top w:val="single" w:color="000000" w:sz="4" w:space="0"/>
              <w:left w:val="single" w:color="000000" w:sz="4" w:space="0"/>
              <w:bottom w:val="single" w:color="000000" w:sz="4" w:space="0"/>
              <w:right w:val="single" w:color="000000" w:sz="4" w:space="0"/>
            </w:tcBorders>
            <w:vAlign w:val="center"/>
          </w:tcPr>
          <w:p w14:paraId="476810B2">
            <w:pPr>
              <w:pStyle w:val="71"/>
              <w:spacing w:before="24" w:after="24"/>
              <w:rPr>
                <w:rFonts w:cs="Times New Roman"/>
              </w:rPr>
            </w:pPr>
            <w:r>
              <w:rPr>
                <w:rFonts w:cs="Times New Roman"/>
              </w:rPr>
              <w:t>功能安装区域</w:t>
            </w:r>
          </w:p>
        </w:tc>
      </w:tr>
      <w:tr w14:paraId="41331C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2D73C70D">
            <w:pPr>
              <w:pStyle w:val="71"/>
              <w:spacing w:before="24" w:after="24"/>
              <w:rPr>
                <w:rFonts w:cs="Times New Roman"/>
              </w:rPr>
            </w:pPr>
            <w:r>
              <w:rPr>
                <w:rFonts w:cs="Times New Roman"/>
              </w:rPr>
              <w:t>18</w:t>
            </w:r>
          </w:p>
        </w:tc>
        <w:tc>
          <w:tcPr>
            <w:tcW w:w="1373" w:type="dxa"/>
            <w:vMerge w:val="continue"/>
            <w:tcBorders>
              <w:top w:val="nil"/>
              <w:left w:val="single" w:color="000000" w:sz="4" w:space="0"/>
              <w:bottom w:val="single" w:color="000000" w:sz="4" w:space="0"/>
              <w:right w:val="single" w:color="000000" w:sz="4" w:space="0"/>
            </w:tcBorders>
            <w:vAlign w:val="center"/>
          </w:tcPr>
          <w:p w14:paraId="4DA80461">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41BCE218">
            <w:pPr>
              <w:pStyle w:val="71"/>
              <w:spacing w:before="24" w:after="24"/>
              <w:rPr>
                <w:rFonts w:cs="Times New Roman"/>
              </w:rPr>
            </w:pPr>
            <w:r>
              <w:rPr>
                <w:rFonts w:cs="Times New Roman"/>
              </w:rPr>
              <w:t>火灾显示器</w:t>
            </w:r>
          </w:p>
        </w:tc>
        <w:tc>
          <w:tcPr>
            <w:tcW w:w="3373" w:type="dxa"/>
            <w:tcBorders>
              <w:top w:val="single" w:color="000000" w:sz="4" w:space="0"/>
              <w:left w:val="single" w:color="000000" w:sz="4" w:space="0"/>
              <w:bottom w:val="single" w:color="000000" w:sz="4" w:space="0"/>
              <w:right w:val="single" w:color="000000" w:sz="4" w:space="0"/>
            </w:tcBorders>
            <w:vAlign w:val="center"/>
          </w:tcPr>
          <w:p w14:paraId="063A78EE">
            <w:pPr>
              <w:pStyle w:val="71"/>
              <w:spacing w:before="24" w:after="24"/>
              <w:rPr>
                <w:rFonts w:cs="Times New Roman"/>
              </w:rPr>
            </w:pPr>
            <w:r>
              <w:rPr>
                <w:rFonts w:cs="Times New Roman"/>
              </w:rPr>
              <w:t>国标</w:t>
            </w:r>
          </w:p>
        </w:tc>
        <w:tc>
          <w:tcPr>
            <w:tcW w:w="1785" w:type="dxa"/>
            <w:tcBorders>
              <w:top w:val="single" w:color="000000" w:sz="4" w:space="0"/>
              <w:left w:val="single" w:color="000000" w:sz="4" w:space="0"/>
              <w:bottom w:val="single" w:color="000000" w:sz="4" w:space="0"/>
              <w:right w:val="single" w:color="000000" w:sz="4" w:space="0"/>
            </w:tcBorders>
            <w:vAlign w:val="center"/>
          </w:tcPr>
          <w:p w14:paraId="0C3DFD82">
            <w:pPr>
              <w:pStyle w:val="71"/>
              <w:spacing w:before="24" w:after="24"/>
              <w:rPr>
                <w:rFonts w:cs="Times New Roman"/>
              </w:rPr>
            </w:pPr>
            <w:r>
              <w:rPr>
                <w:rFonts w:cs="Times New Roman"/>
              </w:rPr>
              <w:t>功能安装区域</w:t>
            </w:r>
          </w:p>
        </w:tc>
      </w:tr>
      <w:tr w14:paraId="7F19A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60E49D44">
            <w:pPr>
              <w:pStyle w:val="71"/>
              <w:spacing w:before="24" w:after="24"/>
              <w:rPr>
                <w:rFonts w:cs="Times New Roman"/>
              </w:rPr>
            </w:pPr>
            <w:r>
              <w:rPr>
                <w:rFonts w:cs="Times New Roman"/>
              </w:rPr>
              <w:t>19</w:t>
            </w:r>
          </w:p>
        </w:tc>
        <w:tc>
          <w:tcPr>
            <w:tcW w:w="1373" w:type="dxa"/>
            <w:vMerge w:val="continue"/>
            <w:tcBorders>
              <w:top w:val="nil"/>
              <w:left w:val="single" w:color="000000" w:sz="4" w:space="0"/>
              <w:bottom w:val="single" w:color="000000" w:sz="4" w:space="0"/>
              <w:right w:val="single" w:color="000000" w:sz="4" w:space="0"/>
            </w:tcBorders>
            <w:vAlign w:val="center"/>
          </w:tcPr>
          <w:p w14:paraId="3D722DC4">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60529FE7">
            <w:pPr>
              <w:pStyle w:val="71"/>
              <w:spacing w:before="24" w:after="24"/>
              <w:rPr>
                <w:rFonts w:cs="Times New Roman"/>
              </w:rPr>
            </w:pPr>
            <w:r>
              <w:rPr>
                <w:rFonts w:cs="Times New Roman"/>
              </w:rPr>
              <w:t>非消切除模块</w:t>
            </w:r>
          </w:p>
        </w:tc>
        <w:tc>
          <w:tcPr>
            <w:tcW w:w="3373" w:type="dxa"/>
            <w:tcBorders>
              <w:top w:val="single" w:color="000000" w:sz="4" w:space="0"/>
              <w:left w:val="single" w:color="000000" w:sz="4" w:space="0"/>
              <w:bottom w:val="single" w:color="000000" w:sz="4" w:space="0"/>
              <w:right w:val="single" w:color="000000" w:sz="4" w:space="0"/>
            </w:tcBorders>
            <w:vAlign w:val="center"/>
          </w:tcPr>
          <w:p w14:paraId="5CCD49BE">
            <w:pPr>
              <w:pStyle w:val="71"/>
              <w:spacing w:before="24" w:after="24"/>
              <w:rPr>
                <w:rFonts w:cs="Times New Roman"/>
              </w:rPr>
            </w:pPr>
            <w:r>
              <w:rPr>
                <w:rFonts w:cs="Times New Roman"/>
              </w:rPr>
              <w:t>国标</w:t>
            </w:r>
          </w:p>
        </w:tc>
        <w:tc>
          <w:tcPr>
            <w:tcW w:w="1785" w:type="dxa"/>
            <w:tcBorders>
              <w:top w:val="single" w:color="000000" w:sz="4" w:space="0"/>
              <w:left w:val="single" w:color="000000" w:sz="4" w:space="0"/>
              <w:bottom w:val="single" w:color="000000" w:sz="4" w:space="0"/>
              <w:right w:val="single" w:color="000000" w:sz="4" w:space="0"/>
            </w:tcBorders>
            <w:vAlign w:val="center"/>
          </w:tcPr>
          <w:p w14:paraId="4A92DC48">
            <w:pPr>
              <w:pStyle w:val="71"/>
              <w:spacing w:before="24" w:after="24"/>
              <w:rPr>
                <w:rFonts w:cs="Times New Roman"/>
              </w:rPr>
            </w:pPr>
            <w:r>
              <w:rPr>
                <w:rFonts w:cs="Times New Roman"/>
              </w:rPr>
              <w:t>强电配电箱内</w:t>
            </w:r>
          </w:p>
        </w:tc>
      </w:tr>
      <w:tr w14:paraId="68B5E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159B99F2">
            <w:pPr>
              <w:pStyle w:val="71"/>
              <w:spacing w:before="24" w:after="24"/>
              <w:rPr>
                <w:rFonts w:cs="Times New Roman"/>
              </w:rPr>
            </w:pPr>
            <w:r>
              <w:rPr>
                <w:rFonts w:cs="Times New Roman"/>
              </w:rPr>
              <w:t>20</w:t>
            </w:r>
          </w:p>
        </w:tc>
        <w:tc>
          <w:tcPr>
            <w:tcW w:w="1373" w:type="dxa"/>
            <w:vMerge w:val="continue"/>
            <w:tcBorders>
              <w:top w:val="nil"/>
              <w:left w:val="single" w:color="000000" w:sz="4" w:space="0"/>
              <w:bottom w:val="single" w:color="000000" w:sz="4" w:space="0"/>
              <w:right w:val="single" w:color="000000" w:sz="4" w:space="0"/>
            </w:tcBorders>
            <w:vAlign w:val="center"/>
          </w:tcPr>
          <w:p w14:paraId="0D6D96E2">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404217E5">
            <w:pPr>
              <w:pStyle w:val="71"/>
              <w:spacing w:before="24" w:after="24"/>
              <w:rPr>
                <w:rFonts w:cs="Times New Roman"/>
              </w:rPr>
            </w:pPr>
            <w:r>
              <w:rPr>
                <w:rFonts w:cs="Times New Roman"/>
              </w:rPr>
              <w:t>电气火灾探测器</w:t>
            </w:r>
          </w:p>
        </w:tc>
        <w:tc>
          <w:tcPr>
            <w:tcW w:w="3373" w:type="dxa"/>
            <w:tcBorders>
              <w:top w:val="single" w:color="000000" w:sz="4" w:space="0"/>
              <w:left w:val="single" w:color="000000" w:sz="4" w:space="0"/>
              <w:bottom w:val="single" w:color="000000" w:sz="4" w:space="0"/>
              <w:right w:val="single" w:color="000000" w:sz="4" w:space="0"/>
            </w:tcBorders>
            <w:vAlign w:val="center"/>
          </w:tcPr>
          <w:p w14:paraId="429B8415">
            <w:pPr>
              <w:pStyle w:val="71"/>
              <w:spacing w:before="24" w:after="24"/>
              <w:rPr>
                <w:rFonts w:cs="Times New Roman"/>
              </w:rPr>
            </w:pPr>
            <w:r>
              <w:rPr>
                <w:rFonts w:cs="Times New Roman"/>
              </w:rPr>
              <w:t>国标</w:t>
            </w:r>
          </w:p>
        </w:tc>
        <w:tc>
          <w:tcPr>
            <w:tcW w:w="1785" w:type="dxa"/>
            <w:tcBorders>
              <w:top w:val="single" w:color="000000" w:sz="4" w:space="0"/>
              <w:left w:val="single" w:color="000000" w:sz="4" w:space="0"/>
              <w:bottom w:val="single" w:color="000000" w:sz="4" w:space="0"/>
              <w:right w:val="single" w:color="000000" w:sz="4" w:space="0"/>
            </w:tcBorders>
            <w:vAlign w:val="center"/>
          </w:tcPr>
          <w:p w14:paraId="6326F5F0">
            <w:pPr>
              <w:pStyle w:val="71"/>
              <w:spacing w:before="24" w:after="24"/>
              <w:rPr>
                <w:rFonts w:cs="Times New Roman"/>
              </w:rPr>
            </w:pPr>
            <w:r>
              <w:rPr>
                <w:rFonts w:cs="Times New Roman"/>
              </w:rPr>
              <w:t>功能安装区域</w:t>
            </w:r>
          </w:p>
        </w:tc>
      </w:tr>
      <w:tr w14:paraId="22497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26C4F47C">
            <w:pPr>
              <w:pStyle w:val="71"/>
              <w:spacing w:before="24" w:after="24"/>
              <w:rPr>
                <w:rFonts w:cs="Times New Roman"/>
              </w:rPr>
            </w:pPr>
            <w:r>
              <w:rPr>
                <w:rFonts w:cs="Times New Roman"/>
              </w:rPr>
              <w:t>21</w:t>
            </w:r>
          </w:p>
        </w:tc>
        <w:tc>
          <w:tcPr>
            <w:tcW w:w="1373" w:type="dxa"/>
            <w:vMerge w:val="continue"/>
            <w:tcBorders>
              <w:top w:val="nil"/>
              <w:left w:val="single" w:color="000000" w:sz="4" w:space="0"/>
              <w:bottom w:val="single" w:color="000000" w:sz="4" w:space="0"/>
              <w:right w:val="single" w:color="000000" w:sz="4" w:space="0"/>
            </w:tcBorders>
            <w:vAlign w:val="center"/>
          </w:tcPr>
          <w:p w14:paraId="6CE413A2">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04D21ED9">
            <w:pPr>
              <w:pStyle w:val="71"/>
              <w:spacing w:before="24" w:after="24"/>
              <w:rPr>
                <w:rFonts w:cs="Times New Roman"/>
              </w:rPr>
            </w:pPr>
            <w:r>
              <w:rPr>
                <w:rFonts w:cs="Times New Roman"/>
              </w:rPr>
              <w:t>消防电源监控模块</w:t>
            </w:r>
          </w:p>
        </w:tc>
        <w:tc>
          <w:tcPr>
            <w:tcW w:w="3373" w:type="dxa"/>
            <w:tcBorders>
              <w:top w:val="single" w:color="000000" w:sz="4" w:space="0"/>
              <w:left w:val="single" w:color="000000" w:sz="4" w:space="0"/>
              <w:bottom w:val="single" w:color="000000" w:sz="4" w:space="0"/>
              <w:right w:val="single" w:color="000000" w:sz="4" w:space="0"/>
            </w:tcBorders>
            <w:vAlign w:val="center"/>
          </w:tcPr>
          <w:p w14:paraId="0BF61B04">
            <w:pPr>
              <w:pStyle w:val="71"/>
              <w:spacing w:before="24" w:after="24"/>
              <w:rPr>
                <w:rFonts w:cs="Times New Roman"/>
              </w:rPr>
            </w:pPr>
            <w:r>
              <w:rPr>
                <w:rFonts w:cs="Times New Roman"/>
              </w:rPr>
              <w:t>国标</w:t>
            </w:r>
          </w:p>
        </w:tc>
        <w:tc>
          <w:tcPr>
            <w:tcW w:w="1785" w:type="dxa"/>
            <w:tcBorders>
              <w:top w:val="single" w:color="000000" w:sz="4" w:space="0"/>
              <w:left w:val="single" w:color="000000" w:sz="4" w:space="0"/>
              <w:bottom w:val="single" w:color="000000" w:sz="4" w:space="0"/>
              <w:right w:val="single" w:color="000000" w:sz="4" w:space="0"/>
            </w:tcBorders>
            <w:vAlign w:val="center"/>
          </w:tcPr>
          <w:p w14:paraId="7B77140F">
            <w:pPr>
              <w:pStyle w:val="71"/>
              <w:spacing w:before="24" w:after="24"/>
              <w:rPr>
                <w:rFonts w:cs="Times New Roman"/>
              </w:rPr>
            </w:pPr>
            <w:r>
              <w:rPr>
                <w:rFonts w:cs="Times New Roman"/>
              </w:rPr>
              <w:t>消防控制箱内</w:t>
            </w:r>
          </w:p>
        </w:tc>
      </w:tr>
      <w:tr w14:paraId="504C3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77A8C24B">
            <w:pPr>
              <w:pStyle w:val="71"/>
              <w:spacing w:before="24" w:after="24"/>
              <w:rPr>
                <w:rFonts w:cs="Times New Roman"/>
              </w:rPr>
            </w:pPr>
            <w:r>
              <w:rPr>
                <w:rFonts w:cs="Times New Roman"/>
              </w:rPr>
              <w:t>22</w:t>
            </w:r>
          </w:p>
        </w:tc>
        <w:tc>
          <w:tcPr>
            <w:tcW w:w="1373" w:type="dxa"/>
            <w:vMerge w:val="continue"/>
            <w:tcBorders>
              <w:top w:val="nil"/>
              <w:left w:val="single" w:color="000000" w:sz="4" w:space="0"/>
              <w:bottom w:val="single" w:color="000000" w:sz="4" w:space="0"/>
              <w:right w:val="single" w:color="000000" w:sz="4" w:space="0"/>
            </w:tcBorders>
            <w:vAlign w:val="center"/>
          </w:tcPr>
          <w:p w14:paraId="2032B1D5">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53DCF226">
            <w:pPr>
              <w:pStyle w:val="71"/>
              <w:spacing w:before="24" w:after="24"/>
              <w:rPr>
                <w:rFonts w:cs="Times New Roman"/>
              </w:rPr>
            </w:pPr>
            <w:r>
              <w:rPr>
                <w:rFonts w:cs="Times New Roman"/>
              </w:rPr>
              <w:t>短路隔离器</w:t>
            </w:r>
          </w:p>
        </w:tc>
        <w:tc>
          <w:tcPr>
            <w:tcW w:w="3373" w:type="dxa"/>
            <w:tcBorders>
              <w:top w:val="single" w:color="000000" w:sz="4" w:space="0"/>
              <w:left w:val="single" w:color="000000" w:sz="4" w:space="0"/>
              <w:bottom w:val="single" w:color="000000" w:sz="4" w:space="0"/>
              <w:right w:val="single" w:color="000000" w:sz="4" w:space="0"/>
            </w:tcBorders>
            <w:vAlign w:val="center"/>
          </w:tcPr>
          <w:p w14:paraId="5E42775E">
            <w:pPr>
              <w:pStyle w:val="71"/>
              <w:spacing w:before="24" w:after="24"/>
              <w:rPr>
                <w:rFonts w:cs="Times New Roman"/>
              </w:rPr>
            </w:pPr>
            <w:r>
              <w:rPr>
                <w:rFonts w:cs="Times New Roman"/>
              </w:rPr>
              <w:t>国标</w:t>
            </w:r>
          </w:p>
        </w:tc>
        <w:tc>
          <w:tcPr>
            <w:tcW w:w="1785" w:type="dxa"/>
            <w:tcBorders>
              <w:top w:val="single" w:color="000000" w:sz="4" w:space="0"/>
              <w:left w:val="single" w:color="000000" w:sz="4" w:space="0"/>
              <w:bottom w:val="single" w:color="000000" w:sz="4" w:space="0"/>
              <w:right w:val="single" w:color="000000" w:sz="4" w:space="0"/>
            </w:tcBorders>
            <w:vAlign w:val="center"/>
          </w:tcPr>
          <w:p w14:paraId="36EA29A4">
            <w:pPr>
              <w:pStyle w:val="71"/>
              <w:spacing w:before="24" w:after="24"/>
              <w:rPr>
                <w:rFonts w:cs="Times New Roman"/>
              </w:rPr>
            </w:pPr>
            <w:r>
              <w:rPr>
                <w:rFonts w:cs="Times New Roman"/>
              </w:rPr>
              <w:t>消防控制箱内</w:t>
            </w:r>
          </w:p>
        </w:tc>
      </w:tr>
      <w:tr w14:paraId="5ACF9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183CA47D">
            <w:pPr>
              <w:pStyle w:val="71"/>
              <w:spacing w:before="24" w:after="24"/>
              <w:rPr>
                <w:rFonts w:cs="Times New Roman"/>
              </w:rPr>
            </w:pPr>
            <w:r>
              <w:rPr>
                <w:rFonts w:cs="Times New Roman"/>
              </w:rPr>
              <w:t>23</w:t>
            </w:r>
          </w:p>
        </w:tc>
        <w:tc>
          <w:tcPr>
            <w:tcW w:w="1373" w:type="dxa"/>
            <w:vMerge w:val="continue"/>
            <w:tcBorders>
              <w:top w:val="nil"/>
              <w:left w:val="single" w:color="000000" w:sz="4" w:space="0"/>
              <w:bottom w:val="single" w:color="000000" w:sz="4" w:space="0"/>
              <w:right w:val="single" w:color="000000" w:sz="4" w:space="0"/>
            </w:tcBorders>
            <w:vAlign w:val="center"/>
          </w:tcPr>
          <w:p w14:paraId="697F16E4">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4B9E0D9B">
            <w:pPr>
              <w:pStyle w:val="71"/>
              <w:spacing w:before="24" w:after="24"/>
              <w:rPr>
                <w:rFonts w:cs="Times New Roman"/>
              </w:rPr>
            </w:pPr>
            <w:r>
              <w:rPr>
                <w:rFonts w:cs="Times New Roman"/>
              </w:rPr>
              <w:t>消防接线箱</w:t>
            </w:r>
          </w:p>
        </w:tc>
        <w:tc>
          <w:tcPr>
            <w:tcW w:w="3373" w:type="dxa"/>
            <w:tcBorders>
              <w:top w:val="single" w:color="000000" w:sz="4" w:space="0"/>
              <w:left w:val="single" w:color="000000" w:sz="4" w:space="0"/>
              <w:bottom w:val="single" w:color="000000" w:sz="4" w:space="0"/>
              <w:right w:val="single" w:color="000000" w:sz="4" w:space="0"/>
            </w:tcBorders>
            <w:vAlign w:val="center"/>
          </w:tcPr>
          <w:p w14:paraId="097CD8EA">
            <w:pPr>
              <w:pStyle w:val="71"/>
              <w:spacing w:before="24" w:after="24"/>
              <w:rPr>
                <w:rFonts w:cs="Times New Roman"/>
              </w:rPr>
            </w:pPr>
            <w:r>
              <w:rPr>
                <w:rFonts w:cs="Times New Roman"/>
              </w:rPr>
              <w:t>国标</w:t>
            </w:r>
          </w:p>
        </w:tc>
        <w:tc>
          <w:tcPr>
            <w:tcW w:w="1785" w:type="dxa"/>
            <w:tcBorders>
              <w:top w:val="single" w:color="000000" w:sz="4" w:space="0"/>
              <w:left w:val="single" w:color="000000" w:sz="4" w:space="0"/>
              <w:bottom w:val="single" w:color="000000" w:sz="4" w:space="0"/>
              <w:right w:val="single" w:color="000000" w:sz="4" w:space="0"/>
            </w:tcBorders>
            <w:vAlign w:val="center"/>
          </w:tcPr>
          <w:p w14:paraId="159A482D">
            <w:pPr>
              <w:pStyle w:val="71"/>
              <w:spacing w:before="24" w:after="24"/>
              <w:rPr>
                <w:rFonts w:cs="Times New Roman"/>
              </w:rPr>
            </w:pPr>
            <w:r>
              <w:rPr>
                <w:rFonts w:cs="Times New Roman"/>
              </w:rPr>
              <w:t>楼层电井内</w:t>
            </w:r>
          </w:p>
        </w:tc>
      </w:tr>
      <w:tr w14:paraId="7E153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6A021D2D">
            <w:pPr>
              <w:pStyle w:val="71"/>
              <w:spacing w:before="24" w:after="24"/>
              <w:rPr>
                <w:rFonts w:cs="Times New Roman"/>
              </w:rPr>
            </w:pPr>
            <w:r>
              <w:rPr>
                <w:rFonts w:cs="Times New Roman"/>
              </w:rPr>
              <w:t>24</w:t>
            </w:r>
          </w:p>
        </w:tc>
        <w:tc>
          <w:tcPr>
            <w:tcW w:w="1373" w:type="dxa"/>
            <w:vMerge w:val="continue"/>
            <w:tcBorders>
              <w:top w:val="nil"/>
              <w:left w:val="single" w:color="000000" w:sz="4" w:space="0"/>
              <w:bottom w:val="single" w:color="000000" w:sz="4" w:space="0"/>
              <w:right w:val="single" w:color="000000" w:sz="4" w:space="0"/>
            </w:tcBorders>
            <w:vAlign w:val="center"/>
          </w:tcPr>
          <w:p w14:paraId="6E2629A7">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4918D17F">
            <w:pPr>
              <w:pStyle w:val="71"/>
              <w:spacing w:before="24" w:after="24"/>
              <w:rPr>
                <w:rFonts w:cs="Times New Roman"/>
              </w:rPr>
            </w:pPr>
            <w:r>
              <w:rPr>
                <w:rFonts w:cs="Times New Roman"/>
              </w:rPr>
              <w:t>火灾应急广播</w:t>
            </w:r>
          </w:p>
        </w:tc>
        <w:tc>
          <w:tcPr>
            <w:tcW w:w="3373" w:type="dxa"/>
            <w:tcBorders>
              <w:top w:val="single" w:color="000000" w:sz="4" w:space="0"/>
              <w:left w:val="single" w:color="000000" w:sz="4" w:space="0"/>
              <w:bottom w:val="single" w:color="000000" w:sz="4" w:space="0"/>
              <w:right w:val="single" w:color="000000" w:sz="4" w:space="0"/>
            </w:tcBorders>
            <w:vAlign w:val="center"/>
          </w:tcPr>
          <w:p w14:paraId="5829C948">
            <w:pPr>
              <w:pStyle w:val="71"/>
              <w:spacing w:before="24" w:after="24"/>
              <w:rPr>
                <w:rFonts w:cs="Times New Roman"/>
              </w:rPr>
            </w:pPr>
            <w:r>
              <w:rPr>
                <w:rFonts w:cs="Times New Roman"/>
              </w:rPr>
              <w:t>国标</w:t>
            </w:r>
          </w:p>
        </w:tc>
        <w:tc>
          <w:tcPr>
            <w:tcW w:w="1785" w:type="dxa"/>
            <w:tcBorders>
              <w:top w:val="single" w:color="000000" w:sz="4" w:space="0"/>
              <w:left w:val="single" w:color="000000" w:sz="4" w:space="0"/>
              <w:bottom w:val="single" w:color="000000" w:sz="4" w:space="0"/>
              <w:right w:val="single" w:color="000000" w:sz="4" w:space="0"/>
            </w:tcBorders>
            <w:vAlign w:val="center"/>
          </w:tcPr>
          <w:p w14:paraId="561BA852">
            <w:pPr>
              <w:pStyle w:val="71"/>
              <w:spacing w:before="24" w:after="24"/>
              <w:rPr>
                <w:rFonts w:cs="Times New Roman"/>
              </w:rPr>
            </w:pPr>
            <w:r>
              <w:rPr>
                <w:rFonts w:cs="Times New Roman"/>
              </w:rPr>
              <w:t>功能安装区域</w:t>
            </w:r>
          </w:p>
        </w:tc>
      </w:tr>
      <w:tr w14:paraId="264EA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0E17C713">
            <w:pPr>
              <w:pStyle w:val="71"/>
              <w:spacing w:before="24" w:after="24"/>
              <w:rPr>
                <w:rFonts w:cs="Times New Roman"/>
              </w:rPr>
            </w:pPr>
            <w:r>
              <w:rPr>
                <w:rFonts w:cs="Times New Roman"/>
              </w:rPr>
              <w:t>25</w:t>
            </w:r>
          </w:p>
        </w:tc>
        <w:tc>
          <w:tcPr>
            <w:tcW w:w="1373" w:type="dxa"/>
            <w:vMerge w:val="continue"/>
            <w:tcBorders>
              <w:top w:val="nil"/>
              <w:left w:val="single" w:color="000000" w:sz="4" w:space="0"/>
              <w:bottom w:val="single" w:color="000000" w:sz="4" w:space="0"/>
              <w:right w:val="single" w:color="000000" w:sz="4" w:space="0"/>
            </w:tcBorders>
            <w:vAlign w:val="center"/>
          </w:tcPr>
          <w:p w14:paraId="413CEEC2">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59A04D8F">
            <w:pPr>
              <w:pStyle w:val="71"/>
              <w:spacing w:before="24" w:after="24"/>
              <w:rPr>
                <w:rFonts w:cs="Times New Roman"/>
              </w:rPr>
            </w:pPr>
            <w:r>
              <w:rPr>
                <w:rFonts w:cs="Times New Roman"/>
              </w:rPr>
              <w:t>手动报警按钮</w:t>
            </w:r>
          </w:p>
        </w:tc>
        <w:tc>
          <w:tcPr>
            <w:tcW w:w="3373" w:type="dxa"/>
            <w:tcBorders>
              <w:top w:val="single" w:color="000000" w:sz="4" w:space="0"/>
              <w:left w:val="single" w:color="000000" w:sz="4" w:space="0"/>
              <w:bottom w:val="single" w:color="000000" w:sz="4" w:space="0"/>
              <w:right w:val="single" w:color="000000" w:sz="4" w:space="0"/>
            </w:tcBorders>
            <w:vAlign w:val="center"/>
          </w:tcPr>
          <w:p w14:paraId="75CC52EB">
            <w:pPr>
              <w:pStyle w:val="71"/>
              <w:spacing w:before="24" w:after="24"/>
              <w:rPr>
                <w:rFonts w:cs="Times New Roman"/>
              </w:rPr>
            </w:pPr>
            <w:r>
              <w:rPr>
                <w:rFonts w:cs="Times New Roman"/>
              </w:rPr>
              <w:t>国标</w:t>
            </w:r>
          </w:p>
        </w:tc>
        <w:tc>
          <w:tcPr>
            <w:tcW w:w="1785" w:type="dxa"/>
            <w:tcBorders>
              <w:top w:val="single" w:color="000000" w:sz="4" w:space="0"/>
              <w:left w:val="single" w:color="000000" w:sz="4" w:space="0"/>
              <w:bottom w:val="single" w:color="000000" w:sz="4" w:space="0"/>
              <w:right w:val="single" w:color="000000" w:sz="4" w:space="0"/>
            </w:tcBorders>
            <w:vAlign w:val="center"/>
          </w:tcPr>
          <w:p w14:paraId="3A95F7C2">
            <w:pPr>
              <w:pStyle w:val="71"/>
              <w:spacing w:before="24" w:after="24"/>
              <w:rPr>
                <w:rFonts w:cs="Times New Roman"/>
              </w:rPr>
            </w:pPr>
            <w:r>
              <w:rPr>
                <w:rFonts w:cs="Times New Roman"/>
              </w:rPr>
              <w:t>功能安装区域</w:t>
            </w:r>
          </w:p>
        </w:tc>
      </w:tr>
      <w:tr w14:paraId="5E352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326A209E">
            <w:pPr>
              <w:pStyle w:val="71"/>
              <w:spacing w:before="24" w:after="24"/>
              <w:rPr>
                <w:rFonts w:cs="Times New Roman"/>
              </w:rPr>
            </w:pPr>
            <w:r>
              <w:rPr>
                <w:rFonts w:cs="Times New Roman"/>
              </w:rPr>
              <w:t>26</w:t>
            </w:r>
          </w:p>
        </w:tc>
        <w:tc>
          <w:tcPr>
            <w:tcW w:w="1373" w:type="dxa"/>
            <w:vMerge w:val="continue"/>
            <w:tcBorders>
              <w:top w:val="nil"/>
              <w:left w:val="single" w:color="000000" w:sz="4" w:space="0"/>
              <w:bottom w:val="single" w:color="000000" w:sz="4" w:space="0"/>
              <w:right w:val="single" w:color="000000" w:sz="4" w:space="0"/>
            </w:tcBorders>
            <w:vAlign w:val="center"/>
          </w:tcPr>
          <w:p w14:paraId="2C7210E9">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2EFF875F">
            <w:pPr>
              <w:pStyle w:val="71"/>
              <w:spacing w:before="24" w:after="24"/>
              <w:rPr>
                <w:rFonts w:cs="Times New Roman"/>
              </w:rPr>
            </w:pPr>
            <w:r>
              <w:rPr>
                <w:rFonts w:cs="Times New Roman"/>
              </w:rPr>
              <w:t>火灾声光报警器</w:t>
            </w:r>
          </w:p>
        </w:tc>
        <w:tc>
          <w:tcPr>
            <w:tcW w:w="3373" w:type="dxa"/>
            <w:tcBorders>
              <w:top w:val="single" w:color="000000" w:sz="4" w:space="0"/>
              <w:left w:val="single" w:color="000000" w:sz="4" w:space="0"/>
              <w:bottom w:val="single" w:color="000000" w:sz="4" w:space="0"/>
              <w:right w:val="single" w:color="000000" w:sz="4" w:space="0"/>
            </w:tcBorders>
            <w:vAlign w:val="center"/>
          </w:tcPr>
          <w:p w14:paraId="1BF9215A">
            <w:pPr>
              <w:pStyle w:val="71"/>
              <w:spacing w:before="24" w:after="24"/>
              <w:rPr>
                <w:rFonts w:cs="Times New Roman"/>
              </w:rPr>
            </w:pPr>
            <w:r>
              <w:rPr>
                <w:rFonts w:cs="Times New Roman"/>
              </w:rPr>
              <w:t>国标</w:t>
            </w:r>
          </w:p>
        </w:tc>
        <w:tc>
          <w:tcPr>
            <w:tcW w:w="1785" w:type="dxa"/>
            <w:tcBorders>
              <w:top w:val="single" w:color="000000" w:sz="4" w:space="0"/>
              <w:left w:val="single" w:color="000000" w:sz="4" w:space="0"/>
              <w:bottom w:val="single" w:color="000000" w:sz="4" w:space="0"/>
              <w:right w:val="single" w:color="000000" w:sz="4" w:space="0"/>
            </w:tcBorders>
            <w:vAlign w:val="center"/>
          </w:tcPr>
          <w:p w14:paraId="3F814B5E">
            <w:pPr>
              <w:pStyle w:val="71"/>
              <w:spacing w:before="24" w:after="24"/>
              <w:rPr>
                <w:rFonts w:cs="Times New Roman"/>
              </w:rPr>
            </w:pPr>
            <w:r>
              <w:rPr>
                <w:rFonts w:cs="Times New Roman"/>
              </w:rPr>
              <w:t>功能安装区域</w:t>
            </w:r>
          </w:p>
        </w:tc>
      </w:tr>
      <w:tr w14:paraId="14B381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3947325C">
            <w:pPr>
              <w:pStyle w:val="71"/>
              <w:spacing w:before="24" w:after="24"/>
              <w:rPr>
                <w:rFonts w:cs="Times New Roman"/>
              </w:rPr>
            </w:pPr>
            <w:r>
              <w:rPr>
                <w:rFonts w:cs="Times New Roman"/>
              </w:rPr>
              <w:t>27</w:t>
            </w:r>
          </w:p>
        </w:tc>
        <w:tc>
          <w:tcPr>
            <w:tcW w:w="1373" w:type="dxa"/>
            <w:vMerge w:val="continue"/>
            <w:tcBorders>
              <w:top w:val="nil"/>
              <w:left w:val="single" w:color="000000" w:sz="4" w:space="0"/>
              <w:bottom w:val="single" w:color="000000" w:sz="4" w:space="0"/>
              <w:right w:val="single" w:color="000000" w:sz="4" w:space="0"/>
            </w:tcBorders>
            <w:vAlign w:val="center"/>
          </w:tcPr>
          <w:p w14:paraId="7B63BF2C">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3CA9ED53">
            <w:pPr>
              <w:pStyle w:val="71"/>
              <w:spacing w:before="24" w:after="24"/>
              <w:rPr>
                <w:rFonts w:cs="Times New Roman"/>
              </w:rPr>
            </w:pPr>
            <w:r>
              <w:rPr>
                <w:rFonts w:cs="Times New Roman"/>
              </w:rPr>
              <w:t>消火栓启泵按钮</w:t>
            </w:r>
          </w:p>
        </w:tc>
        <w:tc>
          <w:tcPr>
            <w:tcW w:w="3373" w:type="dxa"/>
            <w:tcBorders>
              <w:top w:val="single" w:color="000000" w:sz="4" w:space="0"/>
              <w:left w:val="single" w:color="000000" w:sz="4" w:space="0"/>
              <w:bottom w:val="single" w:color="000000" w:sz="4" w:space="0"/>
              <w:right w:val="single" w:color="000000" w:sz="4" w:space="0"/>
            </w:tcBorders>
            <w:vAlign w:val="center"/>
          </w:tcPr>
          <w:p w14:paraId="5E026A2F">
            <w:pPr>
              <w:pStyle w:val="71"/>
              <w:spacing w:before="24" w:after="24"/>
              <w:rPr>
                <w:rFonts w:cs="Times New Roman"/>
              </w:rPr>
            </w:pPr>
            <w:r>
              <w:rPr>
                <w:rFonts w:cs="Times New Roman"/>
              </w:rPr>
              <w:t>国标</w:t>
            </w:r>
          </w:p>
        </w:tc>
        <w:tc>
          <w:tcPr>
            <w:tcW w:w="1785" w:type="dxa"/>
            <w:tcBorders>
              <w:top w:val="single" w:color="000000" w:sz="4" w:space="0"/>
              <w:left w:val="single" w:color="000000" w:sz="4" w:space="0"/>
              <w:bottom w:val="single" w:color="000000" w:sz="4" w:space="0"/>
              <w:right w:val="single" w:color="000000" w:sz="4" w:space="0"/>
            </w:tcBorders>
            <w:vAlign w:val="center"/>
          </w:tcPr>
          <w:p w14:paraId="1DB06F88">
            <w:pPr>
              <w:pStyle w:val="71"/>
              <w:spacing w:before="24" w:after="24"/>
              <w:rPr>
                <w:rFonts w:cs="Times New Roman"/>
              </w:rPr>
            </w:pPr>
            <w:r>
              <w:rPr>
                <w:rFonts w:cs="Times New Roman"/>
              </w:rPr>
              <w:t>功能安装区域</w:t>
            </w:r>
          </w:p>
        </w:tc>
      </w:tr>
      <w:tr w14:paraId="61EEB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4587AE07">
            <w:pPr>
              <w:pStyle w:val="71"/>
              <w:spacing w:before="24" w:after="24"/>
              <w:rPr>
                <w:rFonts w:cs="Times New Roman"/>
              </w:rPr>
            </w:pPr>
            <w:r>
              <w:rPr>
                <w:rFonts w:cs="Times New Roman"/>
              </w:rPr>
              <w:t>28</w:t>
            </w:r>
          </w:p>
        </w:tc>
        <w:tc>
          <w:tcPr>
            <w:tcW w:w="1373" w:type="dxa"/>
            <w:vMerge w:val="continue"/>
            <w:tcBorders>
              <w:top w:val="nil"/>
              <w:left w:val="single" w:color="000000" w:sz="4" w:space="0"/>
              <w:bottom w:val="single" w:color="000000" w:sz="4" w:space="0"/>
              <w:right w:val="single" w:color="000000" w:sz="4" w:space="0"/>
            </w:tcBorders>
            <w:vAlign w:val="center"/>
          </w:tcPr>
          <w:p w14:paraId="012C157E">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1341392D">
            <w:pPr>
              <w:pStyle w:val="71"/>
              <w:spacing w:before="24" w:after="24"/>
              <w:rPr>
                <w:rFonts w:cs="Times New Roman"/>
              </w:rPr>
            </w:pPr>
            <w:r>
              <w:rPr>
                <w:rFonts w:cs="Times New Roman"/>
              </w:rPr>
              <w:t>水流指示器</w:t>
            </w:r>
          </w:p>
        </w:tc>
        <w:tc>
          <w:tcPr>
            <w:tcW w:w="3373" w:type="dxa"/>
            <w:tcBorders>
              <w:top w:val="single" w:color="000000" w:sz="4" w:space="0"/>
              <w:left w:val="single" w:color="000000" w:sz="4" w:space="0"/>
              <w:bottom w:val="single" w:color="000000" w:sz="4" w:space="0"/>
              <w:right w:val="single" w:color="000000" w:sz="4" w:space="0"/>
            </w:tcBorders>
            <w:vAlign w:val="center"/>
          </w:tcPr>
          <w:p w14:paraId="483B21E1">
            <w:pPr>
              <w:pStyle w:val="71"/>
              <w:spacing w:before="24" w:after="24"/>
              <w:rPr>
                <w:rFonts w:cs="Times New Roman"/>
              </w:rPr>
            </w:pPr>
            <w:r>
              <w:rPr>
                <w:rFonts w:cs="Times New Roman"/>
              </w:rPr>
              <w:t>国标</w:t>
            </w:r>
          </w:p>
        </w:tc>
        <w:tc>
          <w:tcPr>
            <w:tcW w:w="1785" w:type="dxa"/>
            <w:tcBorders>
              <w:top w:val="single" w:color="000000" w:sz="4" w:space="0"/>
              <w:left w:val="single" w:color="000000" w:sz="4" w:space="0"/>
              <w:bottom w:val="single" w:color="000000" w:sz="4" w:space="0"/>
              <w:right w:val="single" w:color="000000" w:sz="4" w:space="0"/>
            </w:tcBorders>
            <w:vAlign w:val="center"/>
          </w:tcPr>
          <w:p w14:paraId="1F8F925D">
            <w:pPr>
              <w:pStyle w:val="71"/>
              <w:spacing w:before="24" w:after="24"/>
              <w:rPr>
                <w:rFonts w:cs="Times New Roman"/>
              </w:rPr>
            </w:pPr>
            <w:r>
              <w:rPr>
                <w:rFonts w:cs="Times New Roman"/>
              </w:rPr>
              <w:t>水流指示器配套元件</w:t>
            </w:r>
          </w:p>
        </w:tc>
      </w:tr>
      <w:tr w14:paraId="0CC3C8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1F1D369F">
            <w:pPr>
              <w:pStyle w:val="71"/>
              <w:spacing w:before="24" w:after="24"/>
              <w:rPr>
                <w:rFonts w:cs="Times New Roman"/>
              </w:rPr>
            </w:pPr>
            <w:r>
              <w:rPr>
                <w:rFonts w:cs="Times New Roman"/>
              </w:rPr>
              <w:t>29</w:t>
            </w:r>
          </w:p>
        </w:tc>
        <w:tc>
          <w:tcPr>
            <w:tcW w:w="1373" w:type="dxa"/>
            <w:vMerge w:val="continue"/>
            <w:tcBorders>
              <w:top w:val="nil"/>
              <w:left w:val="single" w:color="000000" w:sz="4" w:space="0"/>
              <w:bottom w:val="single" w:color="000000" w:sz="4" w:space="0"/>
              <w:right w:val="single" w:color="000000" w:sz="4" w:space="0"/>
            </w:tcBorders>
            <w:vAlign w:val="center"/>
          </w:tcPr>
          <w:p w14:paraId="3EC541C9">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3079958F">
            <w:pPr>
              <w:pStyle w:val="71"/>
              <w:spacing w:before="24" w:after="24"/>
              <w:rPr>
                <w:rFonts w:cs="Times New Roman"/>
              </w:rPr>
            </w:pPr>
            <w:r>
              <w:rPr>
                <w:rFonts w:cs="Times New Roman"/>
              </w:rPr>
              <w:t>信号阀</w:t>
            </w:r>
          </w:p>
        </w:tc>
        <w:tc>
          <w:tcPr>
            <w:tcW w:w="3373" w:type="dxa"/>
            <w:tcBorders>
              <w:top w:val="single" w:color="000000" w:sz="4" w:space="0"/>
              <w:left w:val="single" w:color="000000" w:sz="4" w:space="0"/>
              <w:bottom w:val="single" w:color="000000" w:sz="4" w:space="0"/>
              <w:right w:val="single" w:color="000000" w:sz="4" w:space="0"/>
            </w:tcBorders>
            <w:vAlign w:val="center"/>
          </w:tcPr>
          <w:p w14:paraId="436B6B1C">
            <w:pPr>
              <w:pStyle w:val="71"/>
              <w:spacing w:before="24" w:after="24"/>
              <w:rPr>
                <w:rFonts w:cs="Times New Roman"/>
              </w:rPr>
            </w:pPr>
            <w:r>
              <w:rPr>
                <w:rFonts w:cs="Times New Roman"/>
              </w:rPr>
              <w:t>国标</w:t>
            </w:r>
          </w:p>
        </w:tc>
        <w:tc>
          <w:tcPr>
            <w:tcW w:w="1785" w:type="dxa"/>
            <w:tcBorders>
              <w:top w:val="single" w:color="000000" w:sz="4" w:space="0"/>
              <w:left w:val="single" w:color="000000" w:sz="4" w:space="0"/>
              <w:bottom w:val="single" w:color="000000" w:sz="4" w:space="0"/>
              <w:right w:val="single" w:color="000000" w:sz="4" w:space="0"/>
            </w:tcBorders>
            <w:vAlign w:val="center"/>
          </w:tcPr>
          <w:p w14:paraId="0AF8FB0D">
            <w:pPr>
              <w:pStyle w:val="71"/>
              <w:spacing w:before="24" w:after="24"/>
              <w:rPr>
                <w:rFonts w:cs="Times New Roman"/>
              </w:rPr>
            </w:pPr>
            <w:r>
              <w:rPr>
                <w:rFonts w:cs="Times New Roman"/>
              </w:rPr>
              <w:t>功能配套元件</w:t>
            </w:r>
          </w:p>
        </w:tc>
      </w:tr>
      <w:tr w14:paraId="4C7BEF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4DDFCDD5">
            <w:pPr>
              <w:pStyle w:val="71"/>
              <w:spacing w:before="24" w:after="24"/>
              <w:rPr>
                <w:rFonts w:cs="Times New Roman"/>
              </w:rPr>
            </w:pPr>
            <w:r>
              <w:rPr>
                <w:rFonts w:cs="Times New Roman"/>
              </w:rPr>
              <w:t>30</w:t>
            </w:r>
          </w:p>
        </w:tc>
        <w:tc>
          <w:tcPr>
            <w:tcW w:w="1373" w:type="dxa"/>
            <w:vMerge w:val="continue"/>
            <w:tcBorders>
              <w:top w:val="nil"/>
              <w:left w:val="single" w:color="000000" w:sz="4" w:space="0"/>
              <w:bottom w:val="single" w:color="000000" w:sz="4" w:space="0"/>
              <w:right w:val="single" w:color="000000" w:sz="4" w:space="0"/>
            </w:tcBorders>
            <w:vAlign w:val="center"/>
          </w:tcPr>
          <w:p w14:paraId="1DE8360E">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706E6A1C">
            <w:pPr>
              <w:pStyle w:val="71"/>
              <w:spacing w:before="24" w:after="24"/>
              <w:rPr>
                <w:rFonts w:cs="Times New Roman"/>
              </w:rPr>
            </w:pPr>
            <w:r>
              <w:rPr>
                <w:rFonts w:cs="Times New Roman"/>
              </w:rPr>
              <w:t>感烟火灾探测器</w:t>
            </w:r>
          </w:p>
        </w:tc>
        <w:tc>
          <w:tcPr>
            <w:tcW w:w="3373" w:type="dxa"/>
            <w:tcBorders>
              <w:top w:val="single" w:color="000000" w:sz="4" w:space="0"/>
              <w:left w:val="single" w:color="000000" w:sz="4" w:space="0"/>
              <w:bottom w:val="single" w:color="000000" w:sz="4" w:space="0"/>
              <w:right w:val="single" w:color="000000" w:sz="4" w:space="0"/>
            </w:tcBorders>
            <w:vAlign w:val="center"/>
          </w:tcPr>
          <w:p w14:paraId="56E9A8C2">
            <w:pPr>
              <w:pStyle w:val="71"/>
              <w:spacing w:before="24" w:after="24"/>
              <w:rPr>
                <w:rFonts w:cs="Times New Roman"/>
              </w:rPr>
            </w:pPr>
            <w:r>
              <w:rPr>
                <w:rFonts w:cs="Times New Roman"/>
              </w:rPr>
              <w:t>点型，国标</w:t>
            </w:r>
          </w:p>
        </w:tc>
        <w:tc>
          <w:tcPr>
            <w:tcW w:w="1785" w:type="dxa"/>
            <w:tcBorders>
              <w:top w:val="single" w:color="000000" w:sz="4" w:space="0"/>
              <w:left w:val="single" w:color="000000" w:sz="4" w:space="0"/>
              <w:bottom w:val="single" w:color="000000" w:sz="4" w:space="0"/>
              <w:right w:val="single" w:color="000000" w:sz="4" w:space="0"/>
            </w:tcBorders>
            <w:vAlign w:val="center"/>
          </w:tcPr>
          <w:p w14:paraId="5CFC0C97">
            <w:pPr>
              <w:pStyle w:val="71"/>
              <w:spacing w:before="24" w:after="24"/>
              <w:rPr>
                <w:rFonts w:cs="Times New Roman"/>
              </w:rPr>
            </w:pPr>
            <w:r>
              <w:rPr>
                <w:rFonts w:cs="Times New Roman"/>
              </w:rPr>
              <w:t>功能安装区域</w:t>
            </w:r>
          </w:p>
        </w:tc>
      </w:tr>
      <w:tr w14:paraId="5C571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4994320C">
            <w:pPr>
              <w:pStyle w:val="71"/>
              <w:spacing w:before="24" w:after="24"/>
              <w:rPr>
                <w:rFonts w:cs="Times New Roman"/>
              </w:rPr>
            </w:pPr>
            <w:r>
              <w:rPr>
                <w:rFonts w:cs="Times New Roman"/>
              </w:rPr>
              <w:t>31</w:t>
            </w:r>
          </w:p>
        </w:tc>
        <w:tc>
          <w:tcPr>
            <w:tcW w:w="1373" w:type="dxa"/>
            <w:vMerge w:val="continue"/>
            <w:tcBorders>
              <w:top w:val="nil"/>
              <w:left w:val="single" w:color="000000" w:sz="4" w:space="0"/>
              <w:bottom w:val="single" w:color="000000" w:sz="4" w:space="0"/>
              <w:right w:val="single" w:color="000000" w:sz="4" w:space="0"/>
            </w:tcBorders>
            <w:vAlign w:val="center"/>
          </w:tcPr>
          <w:p w14:paraId="5550CAE1">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1783EF62">
            <w:pPr>
              <w:pStyle w:val="71"/>
              <w:spacing w:before="24" w:after="24"/>
              <w:rPr>
                <w:rFonts w:cs="Times New Roman"/>
              </w:rPr>
            </w:pPr>
            <w:r>
              <w:rPr>
                <w:rFonts w:cs="Times New Roman"/>
              </w:rPr>
              <w:t>感温火灾探测器</w:t>
            </w:r>
          </w:p>
        </w:tc>
        <w:tc>
          <w:tcPr>
            <w:tcW w:w="3373" w:type="dxa"/>
            <w:tcBorders>
              <w:top w:val="single" w:color="000000" w:sz="4" w:space="0"/>
              <w:left w:val="single" w:color="000000" w:sz="4" w:space="0"/>
              <w:bottom w:val="single" w:color="000000" w:sz="4" w:space="0"/>
              <w:right w:val="single" w:color="000000" w:sz="4" w:space="0"/>
            </w:tcBorders>
            <w:vAlign w:val="center"/>
          </w:tcPr>
          <w:p w14:paraId="3B834DAE">
            <w:pPr>
              <w:pStyle w:val="71"/>
              <w:spacing w:before="24" w:after="24"/>
              <w:rPr>
                <w:rFonts w:cs="Times New Roman"/>
              </w:rPr>
            </w:pPr>
            <w:r>
              <w:rPr>
                <w:rFonts w:cs="Times New Roman"/>
              </w:rPr>
              <w:t>点型，国标</w:t>
            </w:r>
          </w:p>
        </w:tc>
        <w:tc>
          <w:tcPr>
            <w:tcW w:w="1785" w:type="dxa"/>
            <w:tcBorders>
              <w:top w:val="single" w:color="000000" w:sz="4" w:space="0"/>
              <w:left w:val="single" w:color="000000" w:sz="4" w:space="0"/>
              <w:bottom w:val="single" w:color="000000" w:sz="4" w:space="0"/>
              <w:right w:val="single" w:color="000000" w:sz="4" w:space="0"/>
            </w:tcBorders>
            <w:vAlign w:val="center"/>
          </w:tcPr>
          <w:p w14:paraId="3747E633">
            <w:pPr>
              <w:pStyle w:val="71"/>
              <w:spacing w:before="24" w:after="24"/>
              <w:rPr>
                <w:rFonts w:cs="Times New Roman"/>
              </w:rPr>
            </w:pPr>
            <w:r>
              <w:rPr>
                <w:rFonts w:cs="Times New Roman"/>
              </w:rPr>
              <w:t>功能安装区域</w:t>
            </w:r>
          </w:p>
        </w:tc>
      </w:tr>
      <w:tr w14:paraId="44736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135F99DE">
            <w:pPr>
              <w:pStyle w:val="71"/>
              <w:spacing w:before="24" w:after="24"/>
              <w:rPr>
                <w:rFonts w:cs="Times New Roman"/>
              </w:rPr>
            </w:pPr>
            <w:r>
              <w:rPr>
                <w:rFonts w:cs="Times New Roman"/>
              </w:rPr>
              <w:t>32</w:t>
            </w:r>
          </w:p>
        </w:tc>
        <w:tc>
          <w:tcPr>
            <w:tcW w:w="1373" w:type="dxa"/>
            <w:vMerge w:val="continue"/>
            <w:tcBorders>
              <w:top w:val="nil"/>
              <w:left w:val="single" w:color="000000" w:sz="4" w:space="0"/>
              <w:bottom w:val="single" w:color="000000" w:sz="4" w:space="0"/>
              <w:right w:val="single" w:color="000000" w:sz="4" w:space="0"/>
            </w:tcBorders>
            <w:vAlign w:val="center"/>
          </w:tcPr>
          <w:p w14:paraId="559E8242">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3CF8090D">
            <w:pPr>
              <w:pStyle w:val="71"/>
              <w:spacing w:before="24" w:after="24"/>
              <w:rPr>
                <w:rFonts w:cs="Times New Roman"/>
              </w:rPr>
            </w:pPr>
            <w:r>
              <w:rPr>
                <w:rFonts w:cs="Times New Roman"/>
              </w:rPr>
              <w:t>线型火灾探测器</w:t>
            </w:r>
          </w:p>
        </w:tc>
        <w:tc>
          <w:tcPr>
            <w:tcW w:w="3373" w:type="dxa"/>
            <w:tcBorders>
              <w:top w:val="single" w:color="000000" w:sz="4" w:space="0"/>
              <w:left w:val="single" w:color="000000" w:sz="4" w:space="0"/>
              <w:bottom w:val="single" w:color="000000" w:sz="4" w:space="0"/>
              <w:right w:val="single" w:color="000000" w:sz="4" w:space="0"/>
            </w:tcBorders>
            <w:vAlign w:val="center"/>
          </w:tcPr>
          <w:p w14:paraId="128000DB">
            <w:pPr>
              <w:pStyle w:val="71"/>
              <w:spacing w:before="24" w:after="24"/>
              <w:rPr>
                <w:rFonts w:cs="Times New Roman"/>
              </w:rPr>
            </w:pPr>
            <w:r>
              <w:rPr>
                <w:rFonts w:cs="Times New Roman"/>
              </w:rPr>
              <w:t>线型光束，含接受和发射端，国标</w:t>
            </w:r>
          </w:p>
        </w:tc>
        <w:tc>
          <w:tcPr>
            <w:tcW w:w="1785" w:type="dxa"/>
            <w:tcBorders>
              <w:top w:val="single" w:color="000000" w:sz="4" w:space="0"/>
              <w:left w:val="single" w:color="000000" w:sz="4" w:space="0"/>
              <w:bottom w:val="single" w:color="000000" w:sz="4" w:space="0"/>
              <w:right w:val="single" w:color="000000" w:sz="4" w:space="0"/>
            </w:tcBorders>
            <w:vAlign w:val="center"/>
          </w:tcPr>
          <w:p w14:paraId="53AD8FD3">
            <w:pPr>
              <w:pStyle w:val="71"/>
              <w:spacing w:before="24" w:after="24"/>
              <w:rPr>
                <w:rFonts w:cs="Times New Roman"/>
              </w:rPr>
            </w:pPr>
            <w:r>
              <w:rPr>
                <w:rFonts w:cs="Times New Roman"/>
              </w:rPr>
              <w:t>图示功能安装区域</w:t>
            </w:r>
          </w:p>
        </w:tc>
      </w:tr>
      <w:tr w14:paraId="5FD46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1A9C3633">
            <w:pPr>
              <w:pStyle w:val="71"/>
              <w:spacing w:before="24" w:after="24"/>
              <w:rPr>
                <w:rFonts w:cs="Times New Roman"/>
              </w:rPr>
            </w:pPr>
            <w:r>
              <w:rPr>
                <w:rFonts w:cs="Times New Roman"/>
              </w:rPr>
              <w:t>33</w:t>
            </w:r>
          </w:p>
        </w:tc>
        <w:tc>
          <w:tcPr>
            <w:tcW w:w="1373" w:type="dxa"/>
            <w:vMerge w:val="continue"/>
            <w:tcBorders>
              <w:top w:val="nil"/>
              <w:left w:val="single" w:color="000000" w:sz="4" w:space="0"/>
              <w:bottom w:val="single" w:color="000000" w:sz="4" w:space="0"/>
              <w:right w:val="single" w:color="000000" w:sz="4" w:space="0"/>
            </w:tcBorders>
            <w:vAlign w:val="center"/>
          </w:tcPr>
          <w:p w14:paraId="75D7F9F9">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799DAF2D">
            <w:pPr>
              <w:pStyle w:val="71"/>
              <w:spacing w:before="24" w:after="24"/>
              <w:rPr>
                <w:rFonts w:cs="Times New Roman"/>
              </w:rPr>
            </w:pPr>
            <w:r>
              <w:rPr>
                <w:rFonts w:cs="Times New Roman"/>
              </w:rPr>
              <w:t>电动闭门器</w:t>
            </w:r>
          </w:p>
        </w:tc>
        <w:tc>
          <w:tcPr>
            <w:tcW w:w="3373" w:type="dxa"/>
            <w:tcBorders>
              <w:top w:val="single" w:color="000000" w:sz="4" w:space="0"/>
              <w:left w:val="single" w:color="000000" w:sz="4" w:space="0"/>
              <w:bottom w:val="single" w:color="000000" w:sz="4" w:space="0"/>
              <w:right w:val="single" w:color="000000" w:sz="4" w:space="0"/>
            </w:tcBorders>
            <w:vAlign w:val="center"/>
          </w:tcPr>
          <w:p w14:paraId="31565CF1">
            <w:pPr>
              <w:pStyle w:val="71"/>
              <w:spacing w:before="24" w:after="24"/>
              <w:rPr>
                <w:rFonts w:cs="Times New Roman"/>
              </w:rPr>
            </w:pPr>
            <w:r>
              <w:rPr>
                <w:rFonts w:cs="Times New Roman"/>
              </w:rPr>
              <w:t>国标</w:t>
            </w:r>
          </w:p>
        </w:tc>
        <w:tc>
          <w:tcPr>
            <w:tcW w:w="1785" w:type="dxa"/>
            <w:tcBorders>
              <w:top w:val="single" w:color="000000" w:sz="4" w:space="0"/>
              <w:left w:val="single" w:color="000000" w:sz="4" w:space="0"/>
              <w:bottom w:val="single" w:color="000000" w:sz="4" w:space="0"/>
              <w:right w:val="single" w:color="000000" w:sz="4" w:space="0"/>
            </w:tcBorders>
            <w:vAlign w:val="center"/>
          </w:tcPr>
          <w:p w14:paraId="59384C50">
            <w:pPr>
              <w:pStyle w:val="71"/>
              <w:spacing w:before="24" w:after="24"/>
              <w:rPr>
                <w:rFonts w:cs="Times New Roman"/>
              </w:rPr>
            </w:pPr>
            <w:r>
              <w:rPr>
                <w:rFonts w:cs="Times New Roman"/>
              </w:rPr>
              <w:t>防火门功能位置</w:t>
            </w:r>
          </w:p>
        </w:tc>
      </w:tr>
      <w:tr w14:paraId="79602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73600410">
            <w:pPr>
              <w:pStyle w:val="71"/>
              <w:spacing w:before="24" w:after="24"/>
              <w:rPr>
                <w:rFonts w:cs="Times New Roman"/>
              </w:rPr>
            </w:pPr>
            <w:r>
              <w:rPr>
                <w:rFonts w:cs="Times New Roman"/>
              </w:rPr>
              <w:t>34</w:t>
            </w:r>
          </w:p>
        </w:tc>
        <w:tc>
          <w:tcPr>
            <w:tcW w:w="1373" w:type="dxa"/>
            <w:vMerge w:val="continue"/>
            <w:tcBorders>
              <w:top w:val="nil"/>
              <w:left w:val="single" w:color="000000" w:sz="4" w:space="0"/>
              <w:bottom w:val="single" w:color="000000" w:sz="4" w:space="0"/>
              <w:right w:val="single" w:color="000000" w:sz="4" w:space="0"/>
            </w:tcBorders>
            <w:vAlign w:val="center"/>
          </w:tcPr>
          <w:p w14:paraId="4588CE1A">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2C5791B0">
            <w:pPr>
              <w:pStyle w:val="71"/>
              <w:spacing w:before="24" w:after="24"/>
              <w:rPr>
                <w:rFonts w:cs="Times New Roman"/>
              </w:rPr>
            </w:pPr>
            <w:r>
              <w:rPr>
                <w:rFonts w:cs="Times New Roman"/>
              </w:rPr>
              <w:t>防火门释放器</w:t>
            </w:r>
          </w:p>
        </w:tc>
        <w:tc>
          <w:tcPr>
            <w:tcW w:w="3373" w:type="dxa"/>
            <w:tcBorders>
              <w:top w:val="single" w:color="000000" w:sz="4" w:space="0"/>
              <w:left w:val="single" w:color="000000" w:sz="4" w:space="0"/>
              <w:bottom w:val="single" w:color="000000" w:sz="4" w:space="0"/>
              <w:right w:val="single" w:color="000000" w:sz="4" w:space="0"/>
            </w:tcBorders>
            <w:vAlign w:val="center"/>
          </w:tcPr>
          <w:p w14:paraId="367CE966">
            <w:pPr>
              <w:pStyle w:val="71"/>
              <w:spacing w:before="24" w:after="24"/>
              <w:rPr>
                <w:rFonts w:cs="Times New Roman"/>
              </w:rPr>
            </w:pPr>
            <w:r>
              <w:rPr>
                <w:rFonts w:cs="Times New Roman"/>
              </w:rPr>
              <w:t>国标</w:t>
            </w:r>
          </w:p>
        </w:tc>
        <w:tc>
          <w:tcPr>
            <w:tcW w:w="1785" w:type="dxa"/>
            <w:tcBorders>
              <w:top w:val="single" w:color="000000" w:sz="4" w:space="0"/>
              <w:left w:val="single" w:color="000000" w:sz="4" w:space="0"/>
              <w:bottom w:val="single" w:color="000000" w:sz="4" w:space="0"/>
              <w:right w:val="single" w:color="000000" w:sz="4" w:space="0"/>
            </w:tcBorders>
            <w:vAlign w:val="center"/>
          </w:tcPr>
          <w:p w14:paraId="7112CD70">
            <w:pPr>
              <w:pStyle w:val="71"/>
              <w:spacing w:before="24" w:after="24"/>
              <w:rPr>
                <w:rFonts w:cs="Times New Roman"/>
              </w:rPr>
            </w:pPr>
            <w:r>
              <w:rPr>
                <w:rFonts w:cs="Times New Roman"/>
              </w:rPr>
              <w:t>防火门功能位置</w:t>
            </w:r>
          </w:p>
        </w:tc>
      </w:tr>
      <w:tr w14:paraId="481F62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785D2C95">
            <w:pPr>
              <w:pStyle w:val="71"/>
              <w:spacing w:before="24" w:after="24"/>
              <w:rPr>
                <w:rFonts w:cs="Times New Roman"/>
              </w:rPr>
            </w:pPr>
            <w:r>
              <w:rPr>
                <w:rFonts w:cs="Times New Roman"/>
              </w:rPr>
              <w:t>35</w:t>
            </w:r>
          </w:p>
        </w:tc>
        <w:tc>
          <w:tcPr>
            <w:tcW w:w="1373" w:type="dxa"/>
            <w:vMerge w:val="continue"/>
            <w:tcBorders>
              <w:top w:val="nil"/>
              <w:left w:val="single" w:color="000000" w:sz="4" w:space="0"/>
              <w:bottom w:val="single" w:color="000000" w:sz="4" w:space="0"/>
              <w:right w:val="single" w:color="000000" w:sz="4" w:space="0"/>
            </w:tcBorders>
            <w:vAlign w:val="center"/>
          </w:tcPr>
          <w:p w14:paraId="29843A27">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50B7C4E8">
            <w:pPr>
              <w:pStyle w:val="71"/>
              <w:spacing w:before="24" w:after="24"/>
              <w:rPr>
                <w:rFonts w:cs="Times New Roman"/>
              </w:rPr>
            </w:pPr>
            <w:r>
              <w:rPr>
                <w:rFonts w:cs="Times New Roman"/>
              </w:rPr>
              <w:t>门磁开关</w:t>
            </w:r>
          </w:p>
        </w:tc>
        <w:tc>
          <w:tcPr>
            <w:tcW w:w="3373" w:type="dxa"/>
            <w:tcBorders>
              <w:top w:val="single" w:color="000000" w:sz="4" w:space="0"/>
              <w:left w:val="single" w:color="000000" w:sz="4" w:space="0"/>
              <w:bottom w:val="single" w:color="000000" w:sz="4" w:space="0"/>
              <w:right w:val="single" w:color="000000" w:sz="4" w:space="0"/>
            </w:tcBorders>
            <w:vAlign w:val="center"/>
          </w:tcPr>
          <w:p w14:paraId="3509D0D9">
            <w:pPr>
              <w:pStyle w:val="71"/>
              <w:spacing w:before="24" w:after="24"/>
              <w:rPr>
                <w:rFonts w:cs="Times New Roman"/>
              </w:rPr>
            </w:pPr>
            <w:r>
              <w:rPr>
                <w:rFonts w:cs="Times New Roman"/>
              </w:rPr>
              <w:t>国标</w:t>
            </w:r>
          </w:p>
        </w:tc>
        <w:tc>
          <w:tcPr>
            <w:tcW w:w="1785" w:type="dxa"/>
            <w:tcBorders>
              <w:top w:val="single" w:color="000000" w:sz="4" w:space="0"/>
              <w:left w:val="single" w:color="000000" w:sz="4" w:space="0"/>
              <w:bottom w:val="single" w:color="000000" w:sz="4" w:space="0"/>
              <w:right w:val="single" w:color="000000" w:sz="4" w:space="0"/>
            </w:tcBorders>
            <w:vAlign w:val="center"/>
          </w:tcPr>
          <w:p w14:paraId="549DE322">
            <w:pPr>
              <w:pStyle w:val="71"/>
              <w:spacing w:before="24" w:after="24"/>
              <w:rPr>
                <w:rFonts w:cs="Times New Roman"/>
              </w:rPr>
            </w:pPr>
            <w:r>
              <w:rPr>
                <w:rFonts w:cs="Times New Roman"/>
              </w:rPr>
              <w:t>防火门功能位置</w:t>
            </w:r>
          </w:p>
        </w:tc>
      </w:tr>
      <w:tr w14:paraId="48B66F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77023AC1">
            <w:pPr>
              <w:pStyle w:val="71"/>
              <w:spacing w:before="24" w:after="24"/>
              <w:rPr>
                <w:rFonts w:cs="Times New Roman"/>
              </w:rPr>
            </w:pPr>
            <w:r>
              <w:rPr>
                <w:rFonts w:cs="Times New Roman"/>
              </w:rPr>
              <w:t>36</w:t>
            </w:r>
          </w:p>
        </w:tc>
        <w:tc>
          <w:tcPr>
            <w:tcW w:w="1373" w:type="dxa"/>
            <w:vMerge w:val="continue"/>
            <w:tcBorders>
              <w:top w:val="nil"/>
              <w:left w:val="single" w:color="000000" w:sz="4" w:space="0"/>
              <w:bottom w:val="single" w:color="000000" w:sz="4" w:space="0"/>
              <w:right w:val="single" w:color="000000" w:sz="4" w:space="0"/>
            </w:tcBorders>
            <w:vAlign w:val="center"/>
          </w:tcPr>
          <w:p w14:paraId="2B9505BC">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0F09CE73">
            <w:pPr>
              <w:pStyle w:val="71"/>
              <w:spacing w:before="24" w:after="24"/>
              <w:rPr>
                <w:rFonts w:cs="Times New Roman"/>
              </w:rPr>
            </w:pPr>
            <w:r>
              <w:rPr>
                <w:rFonts w:cs="Times New Roman"/>
              </w:rPr>
              <w:t>放气指示灯</w:t>
            </w:r>
          </w:p>
        </w:tc>
        <w:tc>
          <w:tcPr>
            <w:tcW w:w="3373" w:type="dxa"/>
            <w:tcBorders>
              <w:top w:val="single" w:color="000000" w:sz="4" w:space="0"/>
              <w:left w:val="single" w:color="000000" w:sz="4" w:space="0"/>
              <w:bottom w:val="single" w:color="000000" w:sz="4" w:space="0"/>
              <w:right w:val="single" w:color="000000" w:sz="4" w:space="0"/>
            </w:tcBorders>
            <w:vAlign w:val="center"/>
          </w:tcPr>
          <w:p w14:paraId="0641BA64">
            <w:pPr>
              <w:pStyle w:val="71"/>
              <w:spacing w:before="24" w:after="24"/>
              <w:rPr>
                <w:rFonts w:cs="Times New Roman"/>
              </w:rPr>
            </w:pPr>
            <w:r>
              <w:rPr>
                <w:rFonts w:cs="Times New Roman"/>
              </w:rPr>
              <w:t>国标</w:t>
            </w:r>
          </w:p>
        </w:tc>
        <w:tc>
          <w:tcPr>
            <w:tcW w:w="1785" w:type="dxa"/>
            <w:tcBorders>
              <w:top w:val="single" w:color="000000" w:sz="4" w:space="0"/>
              <w:left w:val="single" w:color="000000" w:sz="4" w:space="0"/>
              <w:bottom w:val="single" w:color="000000" w:sz="4" w:space="0"/>
              <w:right w:val="single" w:color="000000" w:sz="4" w:space="0"/>
            </w:tcBorders>
            <w:vAlign w:val="center"/>
          </w:tcPr>
          <w:p w14:paraId="2298530A">
            <w:pPr>
              <w:pStyle w:val="71"/>
              <w:spacing w:before="24" w:after="24"/>
              <w:rPr>
                <w:rFonts w:cs="Times New Roman"/>
              </w:rPr>
            </w:pPr>
            <w:r>
              <w:rPr>
                <w:rFonts w:cs="Times New Roman"/>
              </w:rPr>
              <w:t>气体灭火功能区域</w:t>
            </w:r>
          </w:p>
        </w:tc>
      </w:tr>
      <w:tr w14:paraId="01D18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19EA7079">
            <w:pPr>
              <w:pStyle w:val="71"/>
              <w:spacing w:before="24" w:after="24"/>
              <w:rPr>
                <w:rFonts w:cs="Times New Roman"/>
              </w:rPr>
            </w:pPr>
            <w:r>
              <w:rPr>
                <w:rFonts w:cs="Times New Roman"/>
              </w:rPr>
              <w:t>37</w:t>
            </w:r>
          </w:p>
        </w:tc>
        <w:tc>
          <w:tcPr>
            <w:tcW w:w="1373" w:type="dxa"/>
            <w:vMerge w:val="continue"/>
            <w:tcBorders>
              <w:top w:val="nil"/>
              <w:left w:val="single" w:color="000000" w:sz="4" w:space="0"/>
              <w:bottom w:val="single" w:color="000000" w:sz="4" w:space="0"/>
              <w:right w:val="single" w:color="000000" w:sz="4" w:space="0"/>
            </w:tcBorders>
            <w:vAlign w:val="center"/>
          </w:tcPr>
          <w:p w14:paraId="51E98342">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065D68C0">
            <w:pPr>
              <w:pStyle w:val="71"/>
              <w:spacing w:before="24" w:after="24"/>
              <w:rPr>
                <w:rFonts w:cs="Times New Roman"/>
              </w:rPr>
            </w:pPr>
            <w:r>
              <w:rPr>
                <w:rFonts w:cs="Times New Roman"/>
              </w:rPr>
              <w:t>气体灭火警示灯</w:t>
            </w:r>
          </w:p>
        </w:tc>
        <w:tc>
          <w:tcPr>
            <w:tcW w:w="3373" w:type="dxa"/>
            <w:tcBorders>
              <w:top w:val="single" w:color="000000" w:sz="4" w:space="0"/>
              <w:left w:val="single" w:color="000000" w:sz="4" w:space="0"/>
              <w:bottom w:val="single" w:color="000000" w:sz="4" w:space="0"/>
              <w:right w:val="single" w:color="000000" w:sz="4" w:space="0"/>
            </w:tcBorders>
            <w:vAlign w:val="center"/>
          </w:tcPr>
          <w:p w14:paraId="48884532">
            <w:pPr>
              <w:pStyle w:val="71"/>
              <w:spacing w:before="24" w:after="24"/>
              <w:rPr>
                <w:rFonts w:cs="Times New Roman"/>
              </w:rPr>
            </w:pPr>
            <w:r>
              <w:rPr>
                <w:rFonts w:cs="Times New Roman"/>
              </w:rPr>
              <w:t>国标</w:t>
            </w:r>
          </w:p>
        </w:tc>
        <w:tc>
          <w:tcPr>
            <w:tcW w:w="1785" w:type="dxa"/>
            <w:tcBorders>
              <w:top w:val="single" w:color="000000" w:sz="4" w:space="0"/>
              <w:left w:val="single" w:color="000000" w:sz="4" w:space="0"/>
              <w:bottom w:val="single" w:color="000000" w:sz="4" w:space="0"/>
              <w:right w:val="single" w:color="000000" w:sz="4" w:space="0"/>
            </w:tcBorders>
            <w:vAlign w:val="center"/>
          </w:tcPr>
          <w:p w14:paraId="2ED378E4">
            <w:pPr>
              <w:pStyle w:val="71"/>
              <w:spacing w:before="24" w:after="24"/>
              <w:rPr>
                <w:rFonts w:cs="Times New Roman"/>
              </w:rPr>
            </w:pPr>
            <w:r>
              <w:rPr>
                <w:rFonts w:cs="Times New Roman"/>
              </w:rPr>
              <w:t>气体灭火功能区域</w:t>
            </w:r>
          </w:p>
        </w:tc>
      </w:tr>
      <w:tr w14:paraId="08EE3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5D666C7A">
            <w:pPr>
              <w:pStyle w:val="71"/>
              <w:spacing w:before="24" w:after="24"/>
              <w:rPr>
                <w:rFonts w:cs="Times New Roman"/>
              </w:rPr>
            </w:pPr>
            <w:r>
              <w:rPr>
                <w:rFonts w:cs="Times New Roman"/>
              </w:rPr>
              <w:t>38</w:t>
            </w:r>
          </w:p>
        </w:tc>
        <w:tc>
          <w:tcPr>
            <w:tcW w:w="1373" w:type="dxa"/>
            <w:vMerge w:val="continue"/>
            <w:tcBorders>
              <w:top w:val="nil"/>
              <w:left w:val="single" w:color="000000" w:sz="4" w:space="0"/>
              <w:bottom w:val="single" w:color="000000" w:sz="4" w:space="0"/>
              <w:right w:val="single" w:color="000000" w:sz="4" w:space="0"/>
            </w:tcBorders>
            <w:vAlign w:val="center"/>
          </w:tcPr>
          <w:p w14:paraId="3D5C7B9C">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1FFEE0BF">
            <w:pPr>
              <w:pStyle w:val="71"/>
              <w:spacing w:before="24" w:after="24"/>
              <w:rPr>
                <w:rFonts w:cs="Times New Roman"/>
              </w:rPr>
            </w:pPr>
            <w:r>
              <w:rPr>
                <w:rFonts w:cs="Times New Roman"/>
              </w:rPr>
              <w:t>线缆</w:t>
            </w:r>
          </w:p>
        </w:tc>
        <w:tc>
          <w:tcPr>
            <w:tcW w:w="5158" w:type="dxa"/>
            <w:gridSpan w:val="2"/>
            <w:tcBorders>
              <w:top w:val="single" w:color="000000" w:sz="4" w:space="0"/>
              <w:left w:val="single" w:color="000000" w:sz="4" w:space="0"/>
              <w:bottom w:val="single" w:color="000000" w:sz="4" w:space="0"/>
              <w:right w:val="single" w:color="000000" w:sz="4" w:space="0"/>
            </w:tcBorders>
            <w:vAlign w:val="center"/>
          </w:tcPr>
          <w:p w14:paraId="1000C765">
            <w:pPr>
              <w:pStyle w:val="71"/>
              <w:spacing w:before="24" w:after="24"/>
              <w:rPr>
                <w:rFonts w:cs="Times New Roman"/>
              </w:rPr>
            </w:pPr>
            <w:r>
              <w:rPr>
                <w:rFonts w:cs="Times New Roman"/>
              </w:rPr>
              <w:t>详五、技术部分-三（技术标准和要求）-7.7.3节线缆选型表要求</w:t>
            </w:r>
          </w:p>
        </w:tc>
      </w:tr>
      <w:tr w14:paraId="0EEA9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35AE7B70">
            <w:pPr>
              <w:pStyle w:val="71"/>
              <w:spacing w:before="24" w:after="24"/>
              <w:rPr>
                <w:rFonts w:cs="Times New Roman"/>
              </w:rPr>
            </w:pPr>
            <w:r>
              <w:rPr>
                <w:rFonts w:cs="Times New Roman"/>
              </w:rPr>
              <w:t>39</w:t>
            </w:r>
          </w:p>
        </w:tc>
        <w:tc>
          <w:tcPr>
            <w:tcW w:w="1373" w:type="dxa"/>
            <w:vMerge w:val="restart"/>
            <w:tcBorders>
              <w:top w:val="nil"/>
              <w:left w:val="single" w:color="000000" w:sz="4" w:space="0"/>
              <w:bottom w:val="single" w:color="000000" w:sz="4" w:space="0"/>
              <w:right w:val="single" w:color="000000" w:sz="4" w:space="0"/>
            </w:tcBorders>
            <w:vAlign w:val="center"/>
          </w:tcPr>
          <w:p w14:paraId="01C2397B">
            <w:pPr>
              <w:pStyle w:val="71"/>
              <w:spacing w:before="24" w:after="24"/>
              <w:rPr>
                <w:rFonts w:cs="Times New Roman"/>
              </w:rPr>
            </w:pPr>
            <w:r>
              <w:rPr>
                <w:rFonts w:cs="Times New Roman"/>
              </w:rPr>
              <w:t>弱电系统</w:t>
            </w:r>
          </w:p>
        </w:tc>
        <w:tc>
          <w:tcPr>
            <w:tcW w:w="2476" w:type="dxa"/>
            <w:tcBorders>
              <w:top w:val="single" w:color="000000" w:sz="4" w:space="0"/>
              <w:left w:val="single" w:color="000000" w:sz="4" w:space="0"/>
              <w:bottom w:val="single" w:color="000000" w:sz="4" w:space="0"/>
              <w:right w:val="single" w:color="000000" w:sz="4" w:space="0"/>
            </w:tcBorders>
            <w:vAlign w:val="center"/>
          </w:tcPr>
          <w:p w14:paraId="1323C33B">
            <w:pPr>
              <w:pStyle w:val="71"/>
              <w:spacing w:before="24" w:after="24"/>
              <w:rPr>
                <w:rFonts w:cs="Times New Roman"/>
              </w:rPr>
            </w:pPr>
            <w:r>
              <w:rPr>
                <w:rFonts w:cs="Times New Roman"/>
              </w:rPr>
              <w:t>弱电户内多媒体配线箱</w:t>
            </w:r>
          </w:p>
        </w:tc>
        <w:tc>
          <w:tcPr>
            <w:tcW w:w="3373" w:type="dxa"/>
            <w:tcBorders>
              <w:top w:val="single" w:color="000000" w:sz="4" w:space="0"/>
              <w:left w:val="single" w:color="000000" w:sz="4" w:space="0"/>
              <w:bottom w:val="single" w:color="000000" w:sz="4" w:space="0"/>
              <w:right w:val="single" w:color="000000" w:sz="4" w:space="0"/>
            </w:tcBorders>
            <w:vAlign w:val="center"/>
          </w:tcPr>
          <w:p w14:paraId="5E0573F8">
            <w:pPr>
              <w:pStyle w:val="71"/>
              <w:spacing w:before="24" w:after="24"/>
              <w:rPr>
                <w:rFonts w:cs="Times New Roman"/>
              </w:rPr>
            </w:pPr>
            <w:r>
              <w:rPr>
                <w:rFonts w:cs="Times New Roman"/>
              </w:rPr>
              <w:t>按系统图规格、尺寸配置，带电源插座</w:t>
            </w:r>
          </w:p>
        </w:tc>
        <w:tc>
          <w:tcPr>
            <w:tcW w:w="1785" w:type="dxa"/>
            <w:tcBorders>
              <w:top w:val="single" w:color="000000" w:sz="4" w:space="0"/>
              <w:left w:val="single" w:color="000000" w:sz="4" w:space="0"/>
              <w:bottom w:val="single" w:color="000000" w:sz="4" w:space="0"/>
              <w:right w:val="single" w:color="000000" w:sz="4" w:space="0"/>
            </w:tcBorders>
            <w:vAlign w:val="center"/>
          </w:tcPr>
          <w:p w14:paraId="123ED128">
            <w:pPr>
              <w:pStyle w:val="71"/>
              <w:spacing w:before="24" w:after="24"/>
              <w:rPr>
                <w:rFonts w:cs="Times New Roman"/>
              </w:rPr>
            </w:pPr>
            <w:r>
              <w:rPr>
                <w:rFonts w:cs="Times New Roman"/>
              </w:rPr>
              <w:t>住宅、办公及商铺户内</w:t>
            </w:r>
          </w:p>
        </w:tc>
      </w:tr>
      <w:tr w14:paraId="4E4BA4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5919AA73">
            <w:pPr>
              <w:pStyle w:val="71"/>
              <w:spacing w:before="24" w:after="24"/>
              <w:rPr>
                <w:rFonts w:cs="Times New Roman"/>
              </w:rPr>
            </w:pPr>
            <w:r>
              <w:rPr>
                <w:rFonts w:cs="Times New Roman"/>
              </w:rPr>
              <w:t>40</w:t>
            </w:r>
          </w:p>
        </w:tc>
        <w:tc>
          <w:tcPr>
            <w:tcW w:w="1373" w:type="dxa"/>
            <w:vMerge w:val="continue"/>
            <w:tcBorders>
              <w:top w:val="nil"/>
              <w:left w:val="single" w:color="000000" w:sz="4" w:space="0"/>
              <w:bottom w:val="single" w:color="000000" w:sz="4" w:space="0"/>
              <w:right w:val="single" w:color="000000" w:sz="4" w:space="0"/>
            </w:tcBorders>
            <w:vAlign w:val="center"/>
          </w:tcPr>
          <w:p w14:paraId="48ACEB19">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2CC3F872">
            <w:pPr>
              <w:pStyle w:val="71"/>
              <w:spacing w:before="24" w:after="24"/>
              <w:rPr>
                <w:rFonts w:cs="Times New Roman"/>
              </w:rPr>
            </w:pPr>
            <w:r>
              <w:rPr>
                <w:rFonts w:cs="Times New Roman"/>
              </w:rPr>
              <w:t>电视插座</w:t>
            </w:r>
          </w:p>
        </w:tc>
        <w:tc>
          <w:tcPr>
            <w:tcW w:w="3373" w:type="dxa"/>
            <w:tcBorders>
              <w:top w:val="single" w:color="000000" w:sz="4" w:space="0"/>
              <w:left w:val="single" w:color="000000" w:sz="4" w:space="0"/>
              <w:bottom w:val="single" w:color="000000" w:sz="4" w:space="0"/>
              <w:right w:val="single" w:color="000000" w:sz="4" w:space="0"/>
            </w:tcBorders>
            <w:vAlign w:val="center"/>
          </w:tcPr>
          <w:p w14:paraId="751F097F">
            <w:pPr>
              <w:pStyle w:val="71"/>
              <w:spacing w:before="24" w:after="24"/>
              <w:rPr>
                <w:rFonts w:cs="Times New Roman"/>
              </w:rPr>
            </w:pPr>
            <w:r>
              <w:rPr>
                <w:rFonts w:cs="Times New Roman"/>
              </w:rPr>
              <w:t>86系列</w:t>
            </w:r>
          </w:p>
        </w:tc>
        <w:tc>
          <w:tcPr>
            <w:tcW w:w="1785" w:type="dxa"/>
            <w:tcBorders>
              <w:top w:val="single" w:color="000000" w:sz="4" w:space="0"/>
              <w:left w:val="single" w:color="000000" w:sz="4" w:space="0"/>
              <w:bottom w:val="single" w:color="000000" w:sz="4" w:space="0"/>
              <w:right w:val="single" w:color="000000" w:sz="4" w:space="0"/>
            </w:tcBorders>
            <w:vAlign w:val="center"/>
          </w:tcPr>
          <w:p w14:paraId="42BC5668">
            <w:pPr>
              <w:pStyle w:val="71"/>
              <w:spacing w:before="24" w:after="24"/>
              <w:rPr>
                <w:rFonts w:cs="Times New Roman"/>
              </w:rPr>
            </w:pPr>
            <w:r>
              <w:rPr>
                <w:rFonts w:cs="Times New Roman"/>
              </w:rPr>
              <w:t>住宅、办公及商铺户内</w:t>
            </w:r>
          </w:p>
        </w:tc>
      </w:tr>
      <w:tr w14:paraId="042BFA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46F78DF4">
            <w:pPr>
              <w:pStyle w:val="71"/>
              <w:spacing w:before="24" w:after="24"/>
              <w:rPr>
                <w:rFonts w:cs="Times New Roman"/>
              </w:rPr>
            </w:pPr>
            <w:r>
              <w:rPr>
                <w:rFonts w:cs="Times New Roman"/>
              </w:rPr>
              <w:t>41</w:t>
            </w:r>
          </w:p>
        </w:tc>
        <w:tc>
          <w:tcPr>
            <w:tcW w:w="1373" w:type="dxa"/>
            <w:vMerge w:val="continue"/>
            <w:tcBorders>
              <w:top w:val="nil"/>
              <w:left w:val="single" w:color="000000" w:sz="4" w:space="0"/>
              <w:bottom w:val="single" w:color="000000" w:sz="4" w:space="0"/>
              <w:right w:val="single" w:color="000000" w:sz="4" w:space="0"/>
            </w:tcBorders>
            <w:vAlign w:val="center"/>
          </w:tcPr>
          <w:p w14:paraId="220D9ED6">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7F933F5F">
            <w:pPr>
              <w:pStyle w:val="71"/>
              <w:spacing w:before="24" w:after="24"/>
              <w:rPr>
                <w:rFonts w:cs="Times New Roman"/>
              </w:rPr>
            </w:pPr>
            <w:r>
              <w:rPr>
                <w:rFonts w:cs="Times New Roman"/>
              </w:rPr>
              <w:t>电话插座</w:t>
            </w:r>
          </w:p>
        </w:tc>
        <w:tc>
          <w:tcPr>
            <w:tcW w:w="3373" w:type="dxa"/>
            <w:tcBorders>
              <w:top w:val="single" w:color="000000" w:sz="4" w:space="0"/>
              <w:left w:val="single" w:color="000000" w:sz="4" w:space="0"/>
              <w:bottom w:val="single" w:color="000000" w:sz="4" w:space="0"/>
              <w:right w:val="single" w:color="000000" w:sz="4" w:space="0"/>
            </w:tcBorders>
            <w:vAlign w:val="center"/>
          </w:tcPr>
          <w:p w14:paraId="4EF3123A">
            <w:pPr>
              <w:pStyle w:val="71"/>
              <w:spacing w:before="24" w:after="24"/>
              <w:rPr>
                <w:rFonts w:cs="Times New Roman"/>
              </w:rPr>
            </w:pPr>
            <w:r>
              <w:rPr>
                <w:rFonts w:cs="Times New Roman"/>
              </w:rPr>
              <w:t>86系列</w:t>
            </w:r>
          </w:p>
        </w:tc>
        <w:tc>
          <w:tcPr>
            <w:tcW w:w="1785" w:type="dxa"/>
            <w:tcBorders>
              <w:top w:val="single" w:color="000000" w:sz="4" w:space="0"/>
              <w:left w:val="single" w:color="000000" w:sz="4" w:space="0"/>
              <w:bottom w:val="single" w:color="000000" w:sz="4" w:space="0"/>
              <w:right w:val="single" w:color="000000" w:sz="4" w:space="0"/>
            </w:tcBorders>
            <w:vAlign w:val="center"/>
          </w:tcPr>
          <w:p w14:paraId="5E0F1881">
            <w:pPr>
              <w:pStyle w:val="71"/>
              <w:spacing w:before="24" w:after="24"/>
              <w:rPr>
                <w:rFonts w:cs="Times New Roman"/>
              </w:rPr>
            </w:pPr>
            <w:r>
              <w:rPr>
                <w:rFonts w:cs="Times New Roman"/>
              </w:rPr>
              <w:t>住宅、办公及商铺户内</w:t>
            </w:r>
          </w:p>
        </w:tc>
      </w:tr>
      <w:tr w14:paraId="11113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2626D792">
            <w:pPr>
              <w:pStyle w:val="71"/>
              <w:spacing w:before="24" w:after="24"/>
              <w:rPr>
                <w:rFonts w:cs="Times New Roman"/>
              </w:rPr>
            </w:pPr>
            <w:r>
              <w:rPr>
                <w:rFonts w:cs="Times New Roman"/>
              </w:rPr>
              <w:t>42</w:t>
            </w:r>
          </w:p>
        </w:tc>
        <w:tc>
          <w:tcPr>
            <w:tcW w:w="1373" w:type="dxa"/>
            <w:vMerge w:val="continue"/>
            <w:tcBorders>
              <w:top w:val="nil"/>
              <w:left w:val="single" w:color="000000" w:sz="4" w:space="0"/>
              <w:bottom w:val="single" w:color="000000" w:sz="4" w:space="0"/>
              <w:right w:val="single" w:color="000000" w:sz="4" w:space="0"/>
            </w:tcBorders>
            <w:vAlign w:val="center"/>
          </w:tcPr>
          <w:p w14:paraId="3B28B5E2">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23D681A2">
            <w:pPr>
              <w:pStyle w:val="71"/>
              <w:spacing w:before="24" w:after="24"/>
              <w:rPr>
                <w:rFonts w:cs="Times New Roman"/>
              </w:rPr>
            </w:pPr>
            <w:r>
              <w:rPr>
                <w:rFonts w:cs="Times New Roman"/>
              </w:rPr>
              <w:t>信息插座</w:t>
            </w:r>
          </w:p>
        </w:tc>
        <w:tc>
          <w:tcPr>
            <w:tcW w:w="3373" w:type="dxa"/>
            <w:tcBorders>
              <w:top w:val="single" w:color="000000" w:sz="4" w:space="0"/>
              <w:left w:val="single" w:color="000000" w:sz="4" w:space="0"/>
              <w:bottom w:val="single" w:color="000000" w:sz="4" w:space="0"/>
              <w:right w:val="single" w:color="000000" w:sz="4" w:space="0"/>
            </w:tcBorders>
            <w:vAlign w:val="center"/>
          </w:tcPr>
          <w:p w14:paraId="7737F838">
            <w:pPr>
              <w:pStyle w:val="71"/>
              <w:spacing w:before="24" w:after="24"/>
              <w:rPr>
                <w:rFonts w:cs="Times New Roman"/>
              </w:rPr>
            </w:pPr>
            <w:r>
              <w:rPr>
                <w:rFonts w:cs="Times New Roman"/>
              </w:rPr>
              <w:t>86系列双口，六类，非屏蔽</w:t>
            </w:r>
          </w:p>
        </w:tc>
        <w:tc>
          <w:tcPr>
            <w:tcW w:w="1785" w:type="dxa"/>
            <w:tcBorders>
              <w:top w:val="single" w:color="000000" w:sz="4" w:space="0"/>
              <w:left w:val="single" w:color="000000" w:sz="4" w:space="0"/>
              <w:bottom w:val="single" w:color="000000" w:sz="4" w:space="0"/>
              <w:right w:val="single" w:color="000000" w:sz="4" w:space="0"/>
            </w:tcBorders>
            <w:vAlign w:val="center"/>
          </w:tcPr>
          <w:p w14:paraId="393A6A6A">
            <w:pPr>
              <w:pStyle w:val="71"/>
              <w:spacing w:before="24" w:after="24"/>
              <w:rPr>
                <w:rFonts w:cs="Times New Roman"/>
              </w:rPr>
            </w:pPr>
            <w:r>
              <w:rPr>
                <w:rFonts w:cs="Times New Roman"/>
              </w:rPr>
              <w:t>住宅、办公及商铺户内</w:t>
            </w:r>
          </w:p>
        </w:tc>
      </w:tr>
      <w:tr w14:paraId="506EE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5C9A7920">
            <w:pPr>
              <w:pStyle w:val="71"/>
              <w:spacing w:before="24" w:after="24"/>
              <w:rPr>
                <w:rFonts w:cs="Times New Roman"/>
              </w:rPr>
            </w:pPr>
            <w:r>
              <w:rPr>
                <w:rFonts w:cs="Times New Roman"/>
              </w:rPr>
              <w:t>43</w:t>
            </w:r>
          </w:p>
        </w:tc>
        <w:tc>
          <w:tcPr>
            <w:tcW w:w="1373" w:type="dxa"/>
            <w:vMerge w:val="continue"/>
            <w:tcBorders>
              <w:top w:val="nil"/>
              <w:left w:val="single" w:color="000000" w:sz="4" w:space="0"/>
              <w:bottom w:val="single" w:color="000000" w:sz="4" w:space="0"/>
              <w:right w:val="single" w:color="000000" w:sz="4" w:space="0"/>
            </w:tcBorders>
            <w:vAlign w:val="center"/>
          </w:tcPr>
          <w:p w14:paraId="2D25A328">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17F109E7">
            <w:pPr>
              <w:pStyle w:val="71"/>
              <w:spacing w:before="24" w:after="24"/>
              <w:rPr>
                <w:rFonts w:cs="Times New Roman"/>
              </w:rPr>
            </w:pPr>
            <w:r>
              <w:rPr>
                <w:rFonts w:cs="Times New Roman"/>
              </w:rPr>
              <w:t>可视对讲室外主机</w:t>
            </w:r>
          </w:p>
        </w:tc>
        <w:tc>
          <w:tcPr>
            <w:tcW w:w="3373" w:type="dxa"/>
            <w:tcBorders>
              <w:top w:val="single" w:color="000000" w:sz="4" w:space="0"/>
              <w:left w:val="single" w:color="000000" w:sz="4" w:space="0"/>
              <w:bottom w:val="single" w:color="000000" w:sz="4" w:space="0"/>
              <w:right w:val="single" w:color="000000" w:sz="4" w:space="0"/>
            </w:tcBorders>
            <w:vAlign w:val="center"/>
          </w:tcPr>
          <w:p w14:paraId="1515AAA1">
            <w:pPr>
              <w:pStyle w:val="71"/>
              <w:spacing w:before="24" w:after="24"/>
              <w:rPr>
                <w:rFonts w:cs="Times New Roman"/>
              </w:rPr>
            </w:pPr>
            <w:r>
              <w:rPr>
                <w:rFonts w:cs="Times New Roman"/>
              </w:rPr>
              <w:t>按系统图规格、尺寸配置，带刷卡器</w:t>
            </w:r>
          </w:p>
        </w:tc>
        <w:tc>
          <w:tcPr>
            <w:tcW w:w="1785" w:type="dxa"/>
            <w:tcBorders>
              <w:top w:val="single" w:color="000000" w:sz="4" w:space="0"/>
              <w:left w:val="single" w:color="000000" w:sz="4" w:space="0"/>
              <w:bottom w:val="single" w:color="000000" w:sz="4" w:space="0"/>
              <w:right w:val="single" w:color="000000" w:sz="4" w:space="0"/>
            </w:tcBorders>
            <w:vAlign w:val="center"/>
          </w:tcPr>
          <w:p w14:paraId="7B3F8F71">
            <w:pPr>
              <w:pStyle w:val="71"/>
              <w:spacing w:before="24" w:after="24"/>
              <w:rPr>
                <w:rFonts w:cs="Times New Roman"/>
              </w:rPr>
            </w:pPr>
            <w:r>
              <w:rPr>
                <w:rFonts w:cs="Times New Roman"/>
              </w:rPr>
              <w:t>楼栋或单元门外</w:t>
            </w:r>
          </w:p>
        </w:tc>
      </w:tr>
      <w:tr w14:paraId="54479C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48D3AA65">
            <w:pPr>
              <w:pStyle w:val="71"/>
              <w:spacing w:before="24" w:after="24"/>
              <w:rPr>
                <w:rFonts w:cs="Times New Roman"/>
              </w:rPr>
            </w:pPr>
            <w:r>
              <w:rPr>
                <w:rFonts w:cs="Times New Roman"/>
              </w:rPr>
              <w:t>44</w:t>
            </w:r>
          </w:p>
        </w:tc>
        <w:tc>
          <w:tcPr>
            <w:tcW w:w="1373" w:type="dxa"/>
            <w:vMerge w:val="continue"/>
            <w:tcBorders>
              <w:top w:val="nil"/>
              <w:left w:val="single" w:color="000000" w:sz="4" w:space="0"/>
              <w:bottom w:val="single" w:color="000000" w:sz="4" w:space="0"/>
              <w:right w:val="single" w:color="000000" w:sz="4" w:space="0"/>
            </w:tcBorders>
            <w:vAlign w:val="center"/>
          </w:tcPr>
          <w:p w14:paraId="7B3CBFA7">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64915723">
            <w:pPr>
              <w:pStyle w:val="71"/>
              <w:spacing w:before="24" w:after="24"/>
              <w:rPr>
                <w:rFonts w:cs="Times New Roman"/>
              </w:rPr>
            </w:pPr>
            <w:r>
              <w:rPr>
                <w:rFonts w:cs="Times New Roman"/>
              </w:rPr>
              <w:t>可视对讲户内分机</w:t>
            </w:r>
          </w:p>
        </w:tc>
        <w:tc>
          <w:tcPr>
            <w:tcW w:w="3373" w:type="dxa"/>
            <w:tcBorders>
              <w:top w:val="single" w:color="000000" w:sz="4" w:space="0"/>
              <w:left w:val="single" w:color="000000" w:sz="4" w:space="0"/>
              <w:bottom w:val="single" w:color="000000" w:sz="4" w:space="0"/>
              <w:right w:val="single" w:color="000000" w:sz="4" w:space="0"/>
            </w:tcBorders>
            <w:vAlign w:val="center"/>
          </w:tcPr>
          <w:p w14:paraId="36C8C217">
            <w:pPr>
              <w:pStyle w:val="71"/>
              <w:spacing w:before="24" w:after="24"/>
              <w:rPr>
                <w:rFonts w:cs="Times New Roman"/>
              </w:rPr>
            </w:pPr>
            <w:r>
              <w:rPr>
                <w:rFonts w:cs="Times New Roman"/>
              </w:rPr>
              <w:t>按系统图规格、尺寸配置，彩色540P及以上</w:t>
            </w:r>
          </w:p>
        </w:tc>
        <w:tc>
          <w:tcPr>
            <w:tcW w:w="1785" w:type="dxa"/>
            <w:tcBorders>
              <w:top w:val="single" w:color="000000" w:sz="4" w:space="0"/>
              <w:left w:val="single" w:color="000000" w:sz="4" w:space="0"/>
              <w:bottom w:val="single" w:color="000000" w:sz="4" w:space="0"/>
              <w:right w:val="single" w:color="000000" w:sz="4" w:space="0"/>
            </w:tcBorders>
            <w:vAlign w:val="center"/>
          </w:tcPr>
          <w:p w14:paraId="4ECAC72B">
            <w:pPr>
              <w:pStyle w:val="71"/>
              <w:spacing w:before="24" w:after="24"/>
              <w:rPr>
                <w:rFonts w:cs="Times New Roman"/>
              </w:rPr>
            </w:pPr>
            <w:r>
              <w:rPr>
                <w:rFonts w:cs="Times New Roman"/>
              </w:rPr>
              <w:t>住宅户内</w:t>
            </w:r>
          </w:p>
        </w:tc>
      </w:tr>
      <w:tr w14:paraId="4E8A8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5A3E74B6">
            <w:pPr>
              <w:pStyle w:val="71"/>
              <w:spacing w:before="24" w:after="24"/>
              <w:rPr>
                <w:rFonts w:cs="Times New Roman"/>
              </w:rPr>
            </w:pPr>
            <w:r>
              <w:rPr>
                <w:rFonts w:cs="Times New Roman"/>
              </w:rPr>
              <w:t>45</w:t>
            </w:r>
          </w:p>
        </w:tc>
        <w:tc>
          <w:tcPr>
            <w:tcW w:w="1373" w:type="dxa"/>
            <w:vMerge w:val="continue"/>
            <w:tcBorders>
              <w:top w:val="nil"/>
              <w:left w:val="single" w:color="000000" w:sz="4" w:space="0"/>
              <w:bottom w:val="single" w:color="000000" w:sz="4" w:space="0"/>
              <w:right w:val="single" w:color="000000" w:sz="4" w:space="0"/>
            </w:tcBorders>
            <w:vAlign w:val="center"/>
          </w:tcPr>
          <w:p w14:paraId="29103D37">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6F092B50">
            <w:pPr>
              <w:pStyle w:val="71"/>
              <w:spacing w:before="24" w:after="24"/>
              <w:rPr>
                <w:rFonts w:cs="Times New Roman"/>
              </w:rPr>
            </w:pPr>
            <w:r>
              <w:rPr>
                <w:rFonts w:cs="Times New Roman"/>
              </w:rPr>
              <w:t>有线电视射频电缆</w:t>
            </w:r>
          </w:p>
        </w:tc>
        <w:tc>
          <w:tcPr>
            <w:tcW w:w="3373" w:type="dxa"/>
            <w:tcBorders>
              <w:top w:val="single" w:color="000000" w:sz="4" w:space="0"/>
              <w:left w:val="single" w:color="000000" w:sz="4" w:space="0"/>
              <w:bottom w:val="single" w:color="000000" w:sz="4" w:space="0"/>
              <w:right w:val="single" w:color="000000" w:sz="4" w:space="0"/>
            </w:tcBorders>
            <w:vAlign w:val="center"/>
          </w:tcPr>
          <w:p w14:paraId="4DCF8F14">
            <w:pPr>
              <w:pStyle w:val="71"/>
              <w:spacing w:before="24" w:after="24"/>
              <w:rPr>
                <w:rFonts w:cs="Times New Roman"/>
              </w:rPr>
            </w:pPr>
            <w:r>
              <w:rPr>
                <w:rFonts w:cs="Times New Roman"/>
              </w:rPr>
              <w:t>SYWV-75-截面根据图纸配置</w:t>
            </w:r>
          </w:p>
        </w:tc>
        <w:tc>
          <w:tcPr>
            <w:tcW w:w="1785" w:type="dxa"/>
            <w:tcBorders>
              <w:top w:val="single" w:color="000000" w:sz="4" w:space="0"/>
              <w:left w:val="single" w:color="000000" w:sz="4" w:space="0"/>
              <w:bottom w:val="single" w:color="000000" w:sz="4" w:space="0"/>
              <w:right w:val="single" w:color="000000" w:sz="4" w:space="0"/>
            </w:tcBorders>
            <w:vAlign w:val="center"/>
          </w:tcPr>
          <w:p w14:paraId="2EB0C536">
            <w:pPr>
              <w:pStyle w:val="71"/>
              <w:spacing w:before="24" w:after="24"/>
              <w:rPr>
                <w:rFonts w:cs="Times New Roman"/>
              </w:rPr>
            </w:pPr>
            <w:r>
              <w:rPr>
                <w:rFonts w:cs="Times New Roman"/>
              </w:rPr>
              <w:t>功能使用区域</w:t>
            </w:r>
          </w:p>
        </w:tc>
      </w:tr>
      <w:tr w14:paraId="244B1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332BAF22">
            <w:pPr>
              <w:pStyle w:val="71"/>
              <w:spacing w:before="24" w:after="24"/>
              <w:rPr>
                <w:rFonts w:cs="Times New Roman"/>
              </w:rPr>
            </w:pPr>
            <w:r>
              <w:rPr>
                <w:rFonts w:cs="Times New Roman"/>
              </w:rPr>
              <w:t>46</w:t>
            </w:r>
          </w:p>
        </w:tc>
        <w:tc>
          <w:tcPr>
            <w:tcW w:w="1373" w:type="dxa"/>
            <w:vMerge w:val="continue"/>
            <w:tcBorders>
              <w:top w:val="nil"/>
              <w:left w:val="single" w:color="000000" w:sz="4" w:space="0"/>
              <w:bottom w:val="single" w:color="000000" w:sz="4" w:space="0"/>
              <w:right w:val="single" w:color="000000" w:sz="4" w:space="0"/>
            </w:tcBorders>
            <w:vAlign w:val="center"/>
          </w:tcPr>
          <w:p w14:paraId="2DEA7D79">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17DC67CC">
            <w:pPr>
              <w:pStyle w:val="71"/>
              <w:spacing w:before="24" w:after="24"/>
              <w:rPr>
                <w:rFonts w:cs="Times New Roman"/>
              </w:rPr>
            </w:pPr>
            <w:r>
              <w:rPr>
                <w:rFonts w:cs="Times New Roman"/>
              </w:rPr>
              <w:t>数据对绞电缆</w:t>
            </w:r>
          </w:p>
        </w:tc>
        <w:tc>
          <w:tcPr>
            <w:tcW w:w="3373" w:type="dxa"/>
            <w:tcBorders>
              <w:top w:val="single" w:color="000000" w:sz="4" w:space="0"/>
              <w:left w:val="single" w:color="000000" w:sz="4" w:space="0"/>
              <w:bottom w:val="single" w:color="000000" w:sz="4" w:space="0"/>
              <w:right w:val="single" w:color="000000" w:sz="4" w:space="0"/>
            </w:tcBorders>
            <w:vAlign w:val="center"/>
          </w:tcPr>
          <w:p w14:paraId="7D86B29B">
            <w:pPr>
              <w:pStyle w:val="71"/>
              <w:spacing w:before="24" w:after="24"/>
              <w:rPr>
                <w:rFonts w:cs="Times New Roman"/>
              </w:rPr>
            </w:pPr>
            <w:r>
              <w:rPr>
                <w:rFonts w:cs="Times New Roman"/>
              </w:rPr>
              <w:t>Cat5e-4pairUTP以上</w:t>
            </w:r>
          </w:p>
        </w:tc>
        <w:tc>
          <w:tcPr>
            <w:tcW w:w="1785" w:type="dxa"/>
            <w:tcBorders>
              <w:top w:val="single" w:color="000000" w:sz="4" w:space="0"/>
              <w:left w:val="single" w:color="000000" w:sz="4" w:space="0"/>
              <w:bottom w:val="single" w:color="000000" w:sz="4" w:space="0"/>
              <w:right w:val="single" w:color="000000" w:sz="4" w:space="0"/>
            </w:tcBorders>
            <w:vAlign w:val="center"/>
          </w:tcPr>
          <w:p w14:paraId="337ED8AC">
            <w:pPr>
              <w:pStyle w:val="71"/>
              <w:spacing w:before="24" w:after="24"/>
              <w:rPr>
                <w:rFonts w:cs="Times New Roman"/>
              </w:rPr>
            </w:pPr>
            <w:r>
              <w:rPr>
                <w:rFonts w:cs="Times New Roman"/>
              </w:rPr>
              <w:t>功能使用区域</w:t>
            </w:r>
          </w:p>
        </w:tc>
      </w:tr>
      <w:tr w14:paraId="2311AF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707533DF">
            <w:pPr>
              <w:pStyle w:val="71"/>
              <w:spacing w:before="24" w:after="24"/>
              <w:rPr>
                <w:rFonts w:cs="Times New Roman"/>
              </w:rPr>
            </w:pPr>
            <w:r>
              <w:rPr>
                <w:rFonts w:cs="Times New Roman"/>
              </w:rPr>
              <w:t>47</w:t>
            </w:r>
          </w:p>
        </w:tc>
        <w:tc>
          <w:tcPr>
            <w:tcW w:w="1373" w:type="dxa"/>
            <w:vMerge w:val="continue"/>
            <w:tcBorders>
              <w:top w:val="nil"/>
              <w:left w:val="single" w:color="000000" w:sz="4" w:space="0"/>
              <w:bottom w:val="single" w:color="000000" w:sz="4" w:space="0"/>
              <w:right w:val="single" w:color="000000" w:sz="4" w:space="0"/>
            </w:tcBorders>
            <w:vAlign w:val="center"/>
          </w:tcPr>
          <w:p w14:paraId="5B53F403">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3EC4F6A0">
            <w:pPr>
              <w:pStyle w:val="71"/>
              <w:spacing w:before="24" w:after="24"/>
              <w:rPr>
                <w:rFonts w:cs="Times New Roman"/>
              </w:rPr>
            </w:pPr>
            <w:r>
              <w:rPr>
                <w:rFonts w:cs="Times New Roman"/>
              </w:rPr>
              <w:t>电话对绞电缆</w:t>
            </w:r>
          </w:p>
        </w:tc>
        <w:tc>
          <w:tcPr>
            <w:tcW w:w="3373" w:type="dxa"/>
            <w:tcBorders>
              <w:top w:val="single" w:color="000000" w:sz="4" w:space="0"/>
              <w:left w:val="single" w:color="000000" w:sz="4" w:space="0"/>
              <w:bottom w:val="single" w:color="000000" w:sz="4" w:space="0"/>
              <w:right w:val="single" w:color="000000" w:sz="4" w:space="0"/>
            </w:tcBorders>
            <w:vAlign w:val="center"/>
          </w:tcPr>
          <w:p w14:paraId="2536224E">
            <w:pPr>
              <w:pStyle w:val="71"/>
              <w:spacing w:before="24" w:after="24"/>
              <w:rPr>
                <w:rFonts w:cs="Times New Roman"/>
              </w:rPr>
            </w:pPr>
            <w:r>
              <w:rPr>
                <w:rFonts w:cs="Times New Roman"/>
              </w:rPr>
              <w:t>HBYV-2×0.5</w:t>
            </w:r>
          </w:p>
        </w:tc>
        <w:tc>
          <w:tcPr>
            <w:tcW w:w="1785" w:type="dxa"/>
            <w:tcBorders>
              <w:top w:val="single" w:color="000000" w:sz="4" w:space="0"/>
              <w:left w:val="single" w:color="000000" w:sz="4" w:space="0"/>
              <w:bottom w:val="single" w:color="000000" w:sz="4" w:space="0"/>
              <w:right w:val="single" w:color="000000" w:sz="4" w:space="0"/>
            </w:tcBorders>
            <w:vAlign w:val="center"/>
          </w:tcPr>
          <w:p w14:paraId="28CEDD6F">
            <w:pPr>
              <w:pStyle w:val="71"/>
              <w:spacing w:before="24" w:after="24"/>
              <w:rPr>
                <w:rFonts w:cs="Times New Roman"/>
              </w:rPr>
            </w:pPr>
            <w:r>
              <w:rPr>
                <w:rFonts w:cs="Times New Roman"/>
              </w:rPr>
              <w:t>功能使用区域</w:t>
            </w:r>
          </w:p>
        </w:tc>
      </w:tr>
      <w:tr w14:paraId="79E89D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788CB30B">
            <w:pPr>
              <w:pStyle w:val="71"/>
              <w:spacing w:before="24" w:after="24"/>
              <w:rPr>
                <w:rFonts w:cs="Times New Roman"/>
              </w:rPr>
            </w:pPr>
            <w:r>
              <w:rPr>
                <w:rFonts w:cs="Times New Roman"/>
              </w:rPr>
              <w:t>48</w:t>
            </w:r>
          </w:p>
        </w:tc>
        <w:tc>
          <w:tcPr>
            <w:tcW w:w="1373" w:type="dxa"/>
            <w:vMerge w:val="continue"/>
            <w:tcBorders>
              <w:top w:val="nil"/>
              <w:left w:val="single" w:color="000000" w:sz="4" w:space="0"/>
              <w:bottom w:val="single" w:color="000000" w:sz="4" w:space="0"/>
              <w:right w:val="single" w:color="000000" w:sz="4" w:space="0"/>
            </w:tcBorders>
            <w:vAlign w:val="center"/>
          </w:tcPr>
          <w:p w14:paraId="48BDA63B">
            <w:pPr>
              <w:pStyle w:val="71"/>
              <w:spacing w:before="24" w:after="24"/>
              <w:rPr>
                <w:rFonts w:cs="Times New Roman"/>
              </w:rPr>
            </w:pPr>
          </w:p>
        </w:tc>
        <w:tc>
          <w:tcPr>
            <w:tcW w:w="2476" w:type="dxa"/>
            <w:tcBorders>
              <w:top w:val="single" w:color="000000" w:sz="4" w:space="0"/>
              <w:left w:val="single" w:color="000000" w:sz="4" w:space="0"/>
              <w:bottom w:val="single" w:color="000000" w:sz="4" w:space="0"/>
              <w:right w:val="single" w:color="000000" w:sz="4" w:space="0"/>
            </w:tcBorders>
            <w:vAlign w:val="center"/>
          </w:tcPr>
          <w:p w14:paraId="2E9EFB61">
            <w:pPr>
              <w:pStyle w:val="71"/>
              <w:spacing w:before="24" w:after="24"/>
              <w:rPr>
                <w:rFonts w:cs="Times New Roman"/>
              </w:rPr>
            </w:pPr>
            <w:r>
              <w:rPr>
                <w:rFonts w:cs="Times New Roman"/>
              </w:rPr>
              <w:t>视频监控电缆</w:t>
            </w:r>
          </w:p>
        </w:tc>
        <w:tc>
          <w:tcPr>
            <w:tcW w:w="3373" w:type="dxa"/>
            <w:tcBorders>
              <w:top w:val="single" w:color="000000" w:sz="4" w:space="0"/>
              <w:left w:val="single" w:color="000000" w:sz="4" w:space="0"/>
              <w:bottom w:val="single" w:color="000000" w:sz="4" w:space="0"/>
              <w:right w:val="single" w:color="000000" w:sz="4" w:space="0"/>
            </w:tcBorders>
            <w:vAlign w:val="center"/>
          </w:tcPr>
          <w:p w14:paraId="241E78D4">
            <w:pPr>
              <w:pStyle w:val="71"/>
              <w:spacing w:before="24" w:after="24"/>
              <w:rPr>
                <w:rFonts w:cs="Times New Roman"/>
              </w:rPr>
            </w:pPr>
            <w:r>
              <w:rPr>
                <w:rFonts w:cs="Times New Roman"/>
              </w:rPr>
              <w:t>Cat5e-4pairUTP以上</w:t>
            </w:r>
          </w:p>
        </w:tc>
        <w:tc>
          <w:tcPr>
            <w:tcW w:w="1785" w:type="dxa"/>
            <w:tcBorders>
              <w:top w:val="single" w:color="000000" w:sz="4" w:space="0"/>
              <w:left w:val="single" w:color="000000" w:sz="4" w:space="0"/>
              <w:bottom w:val="single" w:color="000000" w:sz="4" w:space="0"/>
              <w:right w:val="single" w:color="000000" w:sz="4" w:space="0"/>
            </w:tcBorders>
            <w:vAlign w:val="center"/>
          </w:tcPr>
          <w:p w14:paraId="400E2685">
            <w:pPr>
              <w:pStyle w:val="71"/>
              <w:spacing w:before="24" w:after="24"/>
              <w:rPr>
                <w:rFonts w:cs="Times New Roman"/>
              </w:rPr>
            </w:pPr>
            <w:r>
              <w:rPr>
                <w:rFonts w:cs="Times New Roman"/>
              </w:rPr>
              <w:t>功能使用区域</w:t>
            </w:r>
          </w:p>
        </w:tc>
      </w:tr>
    </w:tbl>
    <w:p w14:paraId="6BEC21A8">
      <w:pPr>
        <w:pStyle w:val="54"/>
        <w:spacing w:before="24" w:after="24"/>
      </w:pPr>
    </w:p>
    <w:p w14:paraId="5CD419BF">
      <w:pPr>
        <w:spacing w:before="24" w:after="24"/>
        <w:rPr>
          <w:rFonts w:ascii="Times New Roman" w:hAnsi="Times New Roman" w:cs="Times New Roman"/>
        </w:rPr>
      </w:pPr>
      <w:r>
        <w:rPr>
          <w:rFonts w:ascii="Times New Roman" w:hAnsi="Times New Roman" w:cs="Times New Roman"/>
        </w:rPr>
        <w:br w:type="page"/>
      </w:r>
    </w:p>
    <w:p w14:paraId="4FECADFF">
      <w:pPr>
        <w:pStyle w:val="62"/>
      </w:pPr>
      <w:bookmarkStart w:id="218" w:name="_Toc221894239"/>
      <w:r>
        <w:t>（五）精装修专业构造做法</w:t>
      </w:r>
      <w:bookmarkEnd w:id="218"/>
    </w:p>
    <w:p w14:paraId="45DBE1E8">
      <w:pPr>
        <w:pStyle w:val="66"/>
        <w:rPr>
          <w:rFonts w:cs="Times New Roman"/>
        </w:rPr>
      </w:pPr>
      <w:r>
        <w:rPr>
          <w:rFonts w:cs="Times New Roman"/>
        </w:rPr>
        <w:t>1、办公类项目精装修做法及参数</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0"/>
        <w:gridCol w:w="1404"/>
        <w:gridCol w:w="1953"/>
        <w:gridCol w:w="4094"/>
        <w:gridCol w:w="1315"/>
      </w:tblGrid>
      <w:tr w14:paraId="3F1AE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800"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1F766C0E">
            <w:pPr>
              <w:pStyle w:val="71"/>
              <w:spacing w:before="24" w:after="24"/>
              <w:rPr>
                <w:rFonts w:cs="Times New Roman"/>
              </w:rPr>
            </w:pPr>
            <w:r>
              <w:rPr>
                <w:rFonts w:cs="Times New Roman"/>
              </w:rPr>
              <w:t>序号</w:t>
            </w:r>
          </w:p>
        </w:tc>
        <w:tc>
          <w:tcPr>
            <w:tcW w:w="1404"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1D1C28B5">
            <w:pPr>
              <w:pStyle w:val="71"/>
              <w:spacing w:before="24" w:after="24"/>
              <w:rPr>
                <w:rFonts w:cs="Times New Roman"/>
              </w:rPr>
            </w:pPr>
            <w:r>
              <w:rPr>
                <w:rFonts w:cs="Times New Roman"/>
              </w:rPr>
              <w:t>类型/设备/系统</w:t>
            </w:r>
          </w:p>
        </w:tc>
        <w:tc>
          <w:tcPr>
            <w:tcW w:w="1953"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5C527681">
            <w:pPr>
              <w:pStyle w:val="71"/>
              <w:spacing w:before="24" w:after="24"/>
              <w:rPr>
                <w:rFonts w:cs="Times New Roman"/>
              </w:rPr>
            </w:pPr>
            <w:r>
              <w:rPr>
                <w:rFonts w:cs="Times New Roman"/>
              </w:rPr>
              <w:t>土建：部位</w:t>
            </w:r>
          </w:p>
          <w:p w14:paraId="62990907">
            <w:pPr>
              <w:pStyle w:val="71"/>
              <w:spacing w:before="24" w:after="24"/>
              <w:rPr>
                <w:rFonts w:cs="Times New Roman"/>
              </w:rPr>
            </w:pPr>
            <w:r>
              <w:rPr>
                <w:rFonts w:cs="Times New Roman"/>
              </w:rPr>
              <w:t>安装：设备</w:t>
            </w:r>
          </w:p>
        </w:tc>
        <w:tc>
          <w:tcPr>
            <w:tcW w:w="4094"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23FC4D67">
            <w:pPr>
              <w:pStyle w:val="71"/>
              <w:spacing w:before="24" w:after="24"/>
              <w:rPr>
                <w:rFonts w:cs="Times New Roman"/>
              </w:rPr>
            </w:pPr>
            <w:r>
              <w:rPr>
                <w:rFonts w:cs="Times New Roman"/>
              </w:rPr>
              <w:t>土建：面层做法/规格参数</w:t>
            </w:r>
          </w:p>
          <w:p w14:paraId="21322590">
            <w:pPr>
              <w:pStyle w:val="71"/>
              <w:spacing w:before="24" w:after="24"/>
              <w:rPr>
                <w:rFonts w:cs="Times New Roman"/>
              </w:rPr>
            </w:pPr>
            <w:r>
              <w:rPr>
                <w:rFonts w:cs="Times New Roman"/>
              </w:rPr>
              <w:t>安装：做法/规格参数</w:t>
            </w:r>
          </w:p>
        </w:tc>
        <w:tc>
          <w:tcPr>
            <w:tcW w:w="1315"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1BD7C12F">
            <w:pPr>
              <w:pStyle w:val="71"/>
              <w:spacing w:before="24" w:after="24"/>
              <w:rPr>
                <w:rFonts w:cs="Times New Roman"/>
              </w:rPr>
            </w:pPr>
            <w:r>
              <w:rPr>
                <w:rFonts w:cs="Times New Roman"/>
              </w:rPr>
              <w:t>备注</w:t>
            </w:r>
          </w:p>
        </w:tc>
      </w:tr>
      <w:tr w14:paraId="21A2B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66" w:type="dxa"/>
            <w:gridSpan w:val="5"/>
            <w:tcBorders>
              <w:top w:val="single" w:color="000000" w:sz="4" w:space="0"/>
              <w:left w:val="single" w:color="000000" w:sz="4" w:space="0"/>
              <w:bottom w:val="single" w:color="000000" w:sz="4" w:space="0"/>
              <w:right w:val="single" w:color="000000" w:sz="4" w:space="0"/>
            </w:tcBorders>
            <w:vAlign w:val="center"/>
          </w:tcPr>
          <w:p w14:paraId="0526193C">
            <w:pPr>
              <w:pStyle w:val="71"/>
              <w:spacing w:before="24" w:after="24"/>
              <w:jc w:val="left"/>
              <w:rPr>
                <w:rFonts w:cs="Times New Roman"/>
              </w:rPr>
            </w:pPr>
            <w:r>
              <w:rPr>
                <w:rFonts w:cs="Times New Roman"/>
              </w:rPr>
              <w:t>适用于本次设计范围内行政办公类项目</w:t>
            </w:r>
          </w:p>
        </w:tc>
      </w:tr>
      <w:tr w14:paraId="1FCFA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66" w:type="dxa"/>
            <w:gridSpan w:val="5"/>
            <w:tcBorders>
              <w:top w:val="single" w:color="000000" w:sz="4" w:space="0"/>
              <w:left w:val="single" w:color="000000" w:sz="4" w:space="0"/>
              <w:bottom w:val="single" w:color="000000" w:sz="4" w:space="0"/>
              <w:right w:val="single" w:color="000000" w:sz="4" w:space="0"/>
            </w:tcBorders>
            <w:vAlign w:val="center"/>
          </w:tcPr>
          <w:p w14:paraId="7B69AAF0">
            <w:pPr>
              <w:pStyle w:val="71"/>
              <w:spacing w:before="24" w:after="24"/>
              <w:rPr>
                <w:rFonts w:cs="Times New Roman"/>
              </w:rPr>
            </w:pPr>
            <w:r>
              <w:rPr>
                <w:rFonts w:cs="Times New Roman"/>
              </w:rPr>
              <w:t>楼面</w:t>
            </w:r>
          </w:p>
        </w:tc>
      </w:tr>
      <w:tr w14:paraId="3D9BA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0" w:type="dxa"/>
            <w:tcBorders>
              <w:top w:val="single" w:color="000000" w:sz="4" w:space="0"/>
              <w:left w:val="single" w:color="000000" w:sz="4" w:space="0"/>
              <w:bottom w:val="single" w:color="000000" w:sz="4" w:space="0"/>
              <w:right w:val="single" w:color="000000" w:sz="4" w:space="0"/>
            </w:tcBorders>
            <w:vAlign w:val="center"/>
          </w:tcPr>
          <w:p w14:paraId="7C0E456B">
            <w:pPr>
              <w:pStyle w:val="71"/>
              <w:spacing w:before="24" w:after="24"/>
              <w:rPr>
                <w:rFonts w:cs="Times New Roman"/>
              </w:rPr>
            </w:pPr>
            <w:r>
              <w:rPr>
                <w:rFonts w:cs="Times New Roman"/>
              </w:rPr>
              <w:t>1</w:t>
            </w:r>
          </w:p>
        </w:tc>
        <w:tc>
          <w:tcPr>
            <w:tcW w:w="1404" w:type="dxa"/>
            <w:tcBorders>
              <w:top w:val="single" w:color="000000" w:sz="4" w:space="0"/>
              <w:left w:val="single" w:color="000000" w:sz="4" w:space="0"/>
              <w:bottom w:val="single" w:color="000000" w:sz="4" w:space="0"/>
              <w:right w:val="single" w:color="000000" w:sz="4" w:space="0"/>
            </w:tcBorders>
            <w:vAlign w:val="center"/>
          </w:tcPr>
          <w:p w14:paraId="4A8A131B">
            <w:pPr>
              <w:pStyle w:val="71"/>
              <w:spacing w:before="24" w:after="24"/>
              <w:rPr>
                <w:rFonts w:cs="Times New Roman"/>
              </w:rPr>
            </w:pPr>
            <w:r>
              <w:rPr>
                <w:rFonts w:cs="Times New Roman"/>
              </w:rPr>
              <w:t>楼面一</w:t>
            </w:r>
          </w:p>
        </w:tc>
        <w:tc>
          <w:tcPr>
            <w:tcW w:w="1953" w:type="dxa"/>
            <w:tcBorders>
              <w:top w:val="single" w:color="000000" w:sz="4" w:space="0"/>
              <w:left w:val="single" w:color="000000" w:sz="4" w:space="0"/>
              <w:bottom w:val="single" w:color="000000" w:sz="4" w:space="0"/>
              <w:right w:val="single" w:color="000000" w:sz="4" w:space="0"/>
            </w:tcBorders>
            <w:vAlign w:val="center"/>
          </w:tcPr>
          <w:p w14:paraId="2E0BC8C1">
            <w:pPr>
              <w:pStyle w:val="71"/>
              <w:spacing w:before="24" w:after="24"/>
              <w:rPr>
                <w:rFonts w:cs="Times New Roman"/>
              </w:rPr>
            </w:pPr>
            <w:r>
              <w:rPr>
                <w:rFonts w:cs="Times New Roman"/>
              </w:rPr>
              <w:t>门厅、公共大堂、电梯厅</w:t>
            </w:r>
          </w:p>
        </w:tc>
        <w:tc>
          <w:tcPr>
            <w:tcW w:w="4094" w:type="dxa"/>
            <w:tcBorders>
              <w:top w:val="single" w:color="000000" w:sz="4" w:space="0"/>
              <w:left w:val="single" w:color="000000" w:sz="4" w:space="0"/>
              <w:bottom w:val="single" w:color="000000" w:sz="4" w:space="0"/>
              <w:right w:val="single" w:color="000000" w:sz="4" w:space="0"/>
            </w:tcBorders>
            <w:vAlign w:val="center"/>
          </w:tcPr>
          <w:p w14:paraId="152154B4">
            <w:pPr>
              <w:pStyle w:val="71"/>
              <w:spacing w:before="24" w:after="24"/>
              <w:rPr>
                <w:rFonts w:cs="Times New Roman"/>
              </w:rPr>
            </w:pPr>
            <w:r>
              <w:rPr>
                <w:rFonts w:cs="Times New Roman"/>
              </w:rPr>
              <w:t>800*800防滑地砖，专用美缝剂美缝</w:t>
            </w:r>
          </w:p>
        </w:tc>
        <w:tc>
          <w:tcPr>
            <w:tcW w:w="1315" w:type="dxa"/>
            <w:tcBorders>
              <w:top w:val="single" w:color="000000" w:sz="4" w:space="0"/>
              <w:left w:val="single" w:color="000000" w:sz="4" w:space="0"/>
              <w:bottom w:val="single" w:color="000000" w:sz="4" w:space="0"/>
              <w:right w:val="single" w:color="000000" w:sz="4" w:space="0"/>
            </w:tcBorders>
            <w:vAlign w:val="center"/>
          </w:tcPr>
          <w:p w14:paraId="3ABB46E5">
            <w:pPr>
              <w:pStyle w:val="71"/>
              <w:spacing w:before="24" w:after="24"/>
              <w:rPr>
                <w:rFonts w:cs="Times New Roman"/>
              </w:rPr>
            </w:pPr>
          </w:p>
        </w:tc>
      </w:tr>
      <w:tr w14:paraId="20604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0" w:type="dxa"/>
            <w:tcBorders>
              <w:top w:val="single" w:color="000000" w:sz="4" w:space="0"/>
              <w:left w:val="single" w:color="000000" w:sz="4" w:space="0"/>
              <w:bottom w:val="single" w:color="000000" w:sz="4" w:space="0"/>
              <w:right w:val="single" w:color="000000" w:sz="4" w:space="0"/>
            </w:tcBorders>
            <w:vAlign w:val="center"/>
          </w:tcPr>
          <w:p w14:paraId="16616D09">
            <w:pPr>
              <w:pStyle w:val="71"/>
              <w:spacing w:before="24" w:after="24"/>
              <w:rPr>
                <w:rFonts w:cs="Times New Roman"/>
              </w:rPr>
            </w:pPr>
            <w:r>
              <w:rPr>
                <w:rFonts w:cs="Times New Roman"/>
              </w:rPr>
              <w:t>2</w:t>
            </w:r>
          </w:p>
        </w:tc>
        <w:tc>
          <w:tcPr>
            <w:tcW w:w="1404" w:type="dxa"/>
            <w:tcBorders>
              <w:top w:val="single" w:color="000000" w:sz="4" w:space="0"/>
              <w:left w:val="single" w:color="000000" w:sz="4" w:space="0"/>
              <w:bottom w:val="single" w:color="000000" w:sz="4" w:space="0"/>
              <w:right w:val="single" w:color="000000" w:sz="4" w:space="0"/>
            </w:tcBorders>
            <w:vAlign w:val="center"/>
          </w:tcPr>
          <w:p w14:paraId="32A0BB8D">
            <w:pPr>
              <w:pStyle w:val="71"/>
              <w:spacing w:before="24" w:after="24"/>
              <w:rPr>
                <w:rFonts w:cs="Times New Roman"/>
              </w:rPr>
            </w:pPr>
            <w:r>
              <w:rPr>
                <w:rFonts w:cs="Times New Roman"/>
              </w:rPr>
              <w:t>楼面二</w:t>
            </w:r>
          </w:p>
        </w:tc>
        <w:tc>
          <w:tcPr>
            <w:tcW w:w="1953" w:type="dxa"/>
            <w:tcBorders>
              <w:top w:val="single" w:color="000000" w:sz="4" w:space="0"/>
              <w:left w:val="single" w:color="000000" w:sz="4" w:space="0"/>
              <w:bottom w:val="single" w:color="000000" w:sz="4" w:space="0"/>
              <w:right w:val="single" w:color="000000" w:sz="4" w:space="0"/>
            </w:tcBorders>
            <w:vAlign w:val="center"/>
          </w:tcPr>
          <w:p w14:paraId="5B47DC6C">
            <w:pPr>
              <w:pStyle w:val="71"/>
              <w:spacing w:before="24" w:after="24"/>
              <w:rPr>
                <w:rFonts w:cs="Times New Roman"/>
              </w:rPr>
            </w:pPr>
            <w:r>
              <w:rPr>
                <w:rFonts w:cs="Times New Roman"/>
              </w:rPr>
              <w:t>会议室、办公室、洽谈室、接待室</w:t>
            </w:r>
          </w:p>
        </w:tc>
        <w:tc>
          <w:tcPr>
            <w:tcW w:w="4094" w:type="dxa"/>
            <w:tcBorders>
              <w:top w:val="single" w:color="000000" w:sz="4" w:space="0"/>
              <w:left w:val="single" w:color="000000" w:sz="4" w:space="0"/>
              <w:bottom w:val="single" w:color="000000" w:sz="4" w:space="0"/>
              <w:right w:val="single" w:color="000000" w:sz="4" w:space="0"/>
            </w:tcBorders>
            <w:vAlign w:val="center"/>
          </w:tcPr>
          <w:p w14:paraId="6EE01105">
            <w:pPr>
              <w:pStyle w:val="71"/>
              <w:spacing w:before="24" w:after="24"/>
              <w:rPr>
                <w:rFonts w:cs="Times New Roman"/>
              </w:rPr>
            </w:pPr>
            <w:r>
              <w:rPr>
                <w:rFonts w:cs="Times New Roman"/>
              </w:rPr>
              <w:t>600*600防滑地砖，专用美缝剂美缝</w:t>
            </w:r>
          </w:p>
        </w:tc>
        <w:tc>
          <w:tcPr>
            <w:tcW w:w="1315" w:type="dxa"/>
            <w:tcBorders>
              <w:top w:val="single" w:color="000000" w:sz="4" w:space="0"/>
              <w:left w:val="single" w:color="000000" w:sz="4" w:space="0"/>
              <w:bottom w:val="single" w:color="000000" w:sz="4" w:space="0"/>
              <w:right w:val="single" w:color="000000" w:sz="4" w:space="0"/>
            </w:tcBorders>
            <w:vAlign w:val="center"/>
          </w:tcPr>
          <w:p w14:paraId="24F9DB56">
            <w:pPr>
              <w:pStyle w:val="71"/>
              <w:spacing w:before="24" w:after="24"/>
              <w:rPr>
                <w:rFonts w:cs="Times New Roman"/>
              </w:rPr>
            </w:pPr>
          </w:p>
        </w:tc>
      </w:tr>
      <w:tr w14:paraId="1AB68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0" w:type="dxa"/>
            <w:tcBorders>
              <w:top w:val="single" w:color="000000" w:sz="4" w:space="0"/>
              <w:left w:val="single" w:color="000000" w:sz="4" w:space="0"/>
              <w:bottom w:val="single" w:color="000000" w:sz="4" w:space="0"/>
              <w:right w:val="single" w:color="000000" w:sz="4" w:space="0"/>
            </w:tcBorders>
            <w:vAlign w:val="center"/>
          </w:tcPr>
          <w:p w14:paraId="28E0987A">
            <w:pPr>
              <w:pStyle w:val="71"/>
              <w:spacing w:before="24" w:after="24"/>
              <w:rPr>
                <w:rFonts w:cs="Times New Roman"/>
              </w:rPr>
            </w:pPr>
            <w:r>
              <w:rPr>
                <w:rFonts w:cs="Times New Roman"/>
              </w:rPr>
              <w:t>2</w:t>
            </w:r>
          </w:p>
        </w:tc>
        <w:tc>
          <w:tcPr>
            <w:tcW w:w="1404" w:type="dxa"/>
            <w:tcBorders>
              <w:top w:val="single" w:color="000000" w:sz="4" w:space="0"/>
              <w:left w:val="single" w:color="000000" w:sz="4" w:space="0"/>
              <w:bottom w:val="single" w:color="000000" w:sz="4" w:space="0"/>
              <w:right w:val="single" w:color="000000" w:sz="4" w:space="0"/>
            </w:tcBorders>
            <w:vAlign w:val="center"/>
          </w:tcPr>
          <w:p w14:paraId="4B463EBC">
            <w:pPr>
              <w:pStyle w:val="71"/>
              <w:spacing w:before="24" w:after="24"/>
              <w:rPr>
                <w:rFonts w:cs="Times New Roman"/>
              </w:rPr>
            </w:pPr>
            <w:r>
              <w:rPr>
                <w:rFonts w:cs="Times New Roman"/>
              </w:rPr>
              <w:t>楼面二</w:t>
            </w:r>
          </w:p>
        </w:tc>
        <w:tc>
          <w:tcPr>
            <w:tcW w:w="1953" w:type="dxa"/>
            <w:tcBorders>
              <w:top w:val="single" w:color="000000" w:sz="4" w:space="0"/>
              <w:left w:val="single" w:color="000000" w:sz="4" w:space="0"/>
              <w:bottom w:val="single" w:color="000000" w:sz="4" w:space="0"/>
              <w:right w:val="single" w:color="000000" w:sz="4" w:space="0"/>
            </w:tcBorders>
            <w:vAlign w:val="center"/>
          </w:tcPr>
          <w:p w14:paraId="60E197E6">
            <w:pPr>
              <w:pStyle w:val="71"/>
              <w:spacing w:before="24" w:after="24"/>
              <w:rPr>
                <w:rFonts w:cs="Times New Roman"/>
              </w:rPr>
            </w:pPr>
            <w:r>
              <w:rPr>
                <w:rFonts w:cs="Times New Roman"/>
              </w:rPr>
              <w:t>厨房、餐厅、卫生间、楼梯间</w:t>
            </w:r>
          </w:p>
        </w:tc>
        <w:tc>
          <w:tcPr>
            <w:tcW w:w="4094" w:type="dxa"/>
            <w:tcBorders>
              <w:top w:val="single" w:color="000000" w:sz="4" w:space="0"/>
              <w:left w:val="single" w:color="000000" w:sz="4" w:space="0"/>
              <w:bottom w:val="single" w:color="000000" w:sz="4" w:space="0"/>
              <w:right w:val="single" w:color="000000" w:sz="4" w:space="0"/>
            </w:tcBorders>
            <w:vAlign w:val="center"/>
          </w:tcPr>
          <w:p w14:paraId="498D3815">
            <w:pPr>
              <w:pStyle w:val="71"/>
              <w:spacing w:before="24" w:after="24"/>
              <w:rPr>
                <w:rFonts w:cs="Times New Roman"/>
              </w:rPr>
            </w:pPr>
            <w:r>
              <w:rPr>
                <w:rFonts w:cs="Times New Roman"/>
              </w:rPr>
              <w:t>300*300防滑地砖，专用美缝剂美缝</w:t>
            </w:r>
          </w:p>
        </w:tc>
        <w:tc>
          <w:tcPr>
            <w:tcW w:w="1315" w:type="dxa"/>
            <w:tcBorders>
              <w:top w:val="single" w:color="000000" w:sz="4" w:space="0"/>
              <w:left w:val="single" w:color="000000" w:sz="4" w:space="0"/>
              <w:bottom w:val="single" w:color="000000" w:sz="4" w:space="0"/>
              <w:right w:val="single" w:color="000000" w:sz="4" w:space="0"/>
            </w:tcBorders>
            <w:vAlign w:val="center"/>
          </w:tcPr>
          <w:p w14:paraId="49AD5C30">
            <w:pPr>
              <w:pStyle w:val="71"/>
              <w:spacing w:before="24" w:after="24"/>
              <w:rPr>
                <w:rFonts w:cs="Times New Roman"/>
              </w:rPr>
            </w:pPr>
          </w:p>
        </w:tc>
      </w:tr>
      <w:tr w14:paraId="3A956D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66" w:type="dxa"/>
            <w:gridSpan w:val="5"/>
            <w:tcBorders>
              <w:top w:val="single" w:color="000000" w:sz="4" w:space="0"/>
              <w:left w:val="single" w:color="000000" w:sz="4" w:space="0"/>
              <w:bottom w:val="single" w:color="000000" w:sz="4" w:space="0"/>
              <w:right w:val="single" w:color="000000" w:sz="4" w:space="0"/>
            </w:tcBorders>
            <w:vAlign w:val="center"/>
          </w:tcPr>
          <w:p w14:paraId="665DE134">
            <w:pPr>
              <w:pStyle w:val="71"/>
              <w:spacing w:before="24" w:after="24"/>
              <w:rPr>
                <w:rFonts w:cs="Times New Roman"/>
              </w:rPr>
            </w:pPr>
            <w:r>
              <w:rPr>
                <w:rFonts w:cs="Times New Roman"/>
              </w:rPr>
              <w:t>内墙</w:t>
            </w:r>
          </w:p>
        </w:tc>
      </w:tr>
      <w:tr w14:paraId="7AF09C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0" w:type="dxa"/>
            <w:tcBorders>
              <w:top w:val="single" w:color="000000" w:sz="4" w:space="0"/>
              <w:left w:val="single" w:color="000000" w:sz="4" w:space="0"/>
              <w:bottom w:val="single" w:color="000000" w:sz="4" w:space="0"/>
              <w:right w:val="single" w:color="000000" w:sz="4" w:space="0"/>
            </w:tcBorders>
            <w:vAlign w:val="center"/>
          </w:tcPr>
          <w:p w14:paraId="119EFFEB">
            <w:pPr>
              <w:pStyle w:val="71"/>
              <w:spacing w:before="24" w:after="24"/>
              <w:rPr>
                <w:rFonts w:cs="Times New Roman"/>
              </w:rPr>
            </w:pPr>
            <w:r>
              <w:rPr>
                <w:rFonts w:cs="Times New Roman"/>
              </w:rPr>
              <w:t>1</w:t>
            </w:r>
          </w:p>
        </w:tc>
        <w:tc>
          <w:tcPr>
            <w:tcW w:w="1404" w:type="dxa"/>
            <w:tcBorders>
              <w:top w:val="single" w:color="000000" w:sz="4" w:space="0"/>
              <w:left w:val="single" w:color="000000" w:sz="4" w:space="0"/>
              <w:bottom w:val="single" w:color="000000" w:sz="4" w:space="0"/>
              <w:right w:val="single" w:color="000000" w:sz="4" w:space="0"/>
            </w:tcBorders>
            <w:vAlign w:val="center"/>
          </w:tcPr>
          <w:p w14:paraId="1BCC8635">
            <w:pPr>
              <w:pStyle w:val="71"/>
              <w:spacing w:before="24" w:after="24"/>
              <w:rPr>
                <w:rFonts w:cs="Times New Roman"/>
              </w:rPr>
            </w:pPr>
            <w:r>
              <w:rPr>
                <w:rFonts w:cs="Times New Roman"/>
              </w:rPr>
              <w:t>内墙一</w:t>
            </w:r>
          </w:p>
        </w:tc>
        <w:tc>
          <w:tcPr>
            <w:tcW w:w="1953" w:type="dxa"/>
            <w:tcBorders>
              <w:top w:val="single" w:color="000000" w:sz="4" w:space="0"/>
              <w:left w:val="single" w:color="000000" w:sz="4" w:space="0"/>
              <w:bottom w:val="single" w:color="000000" w:sz="4" w:space="0"/>
              <w:right w:val="single" w:color="000000" w:sz="4" w:space="0"/>
            </w:tcBorders>
            <w:vAlign w:val="center"/>
          </w:tcPr>
          <w:p w14:paraId="10455CB3">
            <w:pPr>
              <w:pStyle w:val="71"/>
              <w:spacing w:before="24" w:after="24"/>
              <w:rPr>
                <w:rFonts w:cs="Times New Roman"/>
              </w:rPr>
            </w:pPr>
            <w:r>
              <w:rPr>
                <w:rFonts w:cs="Times New Roman"/>
              </w:rPr>
              <w:t>会议室、办公室、洽谈室、接待室</w:t>
            </w:r>
          </w:p>
        </w:tc>
        <w:tc>
          <w:tcPr>
            <w:tcW w:w="4094" w:type="dxa"/>
            <w:tcBorders>
              <w:top w:val="single" w:color="000000" w:sz="4" w:space="0"/>
              <w:left w:val="single" w:color="000000" w:sz="4" w:space="0"/>
              <w:bottom w:val="single" w:color="000000" w:sz="4" w:space="0"/>
              <w:right w:val="single" w:color="000000" w:sz="4" w:space="0"/>
            </w:tcBorders>
            <w:vAlign w:val="center"/>
          </w:tcPr>
          <w:p w14:paraId="5001F068">
            <w:pPr>
              <w:pStyle w:val="71"/>
              <w:spacing w:before="24" w:after="24"/>
              <w:rPr>
                <w:rFonts w:cs="Times New Roman"/>
              </w:rPr>
            </w:pPr>
            <w:r>
              <w:rPr>
                <w:rFonts w:cs="Times New Roman"/>
              </w:rPr>
              <w:t>乳胶漆</w:t>
            </w:r>
          </w:p>
        </w:tc>
        <w:tc>
          <w:tcPr>
            <w:tcW w:w="1315" w:type="dxa"/>
            <w:tcBorders>
              <w:top w:val="single" w:color="000000" w:sz="4" w:space="0"/>
              <w:left w:val="single" w:color="000000" w:sz="4" w:space="0"/>
              <w:bottom w:val="single" w:color="000000" w:sz="4" w:space="0"/>
              <w:right w:val="single" w:color="000000" w:sz="4" w:space="0"/>
            </w:tcBorders>
            <w:vAlign w:val="center"/>
          </w:tcPr>
          <w:p w14:paraId="75709427">
            <w:pPr>
              <w:pStyle w:val="71"/>
              <w:spacing w:before="24" w:after="24"/>
              <w:rPr>
                <w:rFonts w:cs="Times New Roman"/>
              </w:rPr>
            </w:pPr>
          </w:p>
        </w:tc>
      </w:tr>
      <w:tr w14:paraId="79E467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0" w:type="dxa"/>
            <w:tcBorders>
              <w:top w:val="single" w:color="000000" w:sz="4" w:space="0"/>
              <w:left w:val="single" w:color="000000" w:sz="4" w:space="0"/>
              <w:bottom w:val="single" w:color="000000" w:sz="4" w:space="0"/>
              <w:right w:val="single" w:color="000000" w:sz="4" w:space="0"/>
            </w:tcBorders>
            <w:vAlign w:val="center"/>
          </w:tcPr>
          <w:p w14:paraId="7BA5FA84">
            <w:pPr>
              <w:pStyle w:val="71"/>
              <w:spacing w:before="24" w:after="24"/>
              <w:rPr>
                <w:rFonts w:cs="Times New Roman"/>
              </w:rPr>
            </w:pPr>
            <w:r>
              <w:rPr>
                <w:rFonts w:cs="Times New Roman"/>
              </w:rPr>
              <w:t>2</w:t>
            </w:r>
          </w:p>
        </w:tc>
        <w:tc>
          <w:tcPr>
            <w:tcW w:w="1404" w:type="dxa"/>
            <w:tcBorders>
              <w:top w:val="single" w:color="000000" w:sz="4" w:space="0"/>
              <w:left w:val="single" w:color="000000" w:sz="4" w:space="0"/>
              <w:bottom w:val="single" w:color="000000" w:sz="4" w:space="0"/>
              <w:right w:val="single" w:color="000000" w:sz="4" w:space="0"/>
            </w:tcBorders>
            <w:vAlign w:val="center"/>
          </w:tcPr>
          <w:p w14:paraId="298882A1">
            <w:pPr>
              <w:pStyle w:val="71"/>
              <w:spacing w:before="24" w:after="24"/>
              <w:rPr>
                <w:rFonts w:cs="Times New Roman"/>
              </w:rPr>
            </w:pPr>
            <w:r>
              <w:rPr>
                <w:rFonts w:cs="Times New Roman"/>
              </w:rPr>
              <w:t>内墙二</w:t>
            </w:r>
          </w:p>
        </w:tc>
        <w:tc>
          <w:tcPr>
            <w:tcW w:w="1953" w:type="dxa"/>
            <w:tcBorders>
              <w:top w:val="single" w:color="000000" w:sz="4" w:space="0"/>
              <w:left w:val="single" w:color="000000" w:sz="4" w:space="0"/>
              <w:bottom w:val="single" w:color="000000" w:sz="4" w:space="0"/>
              <w:right w:val="single" w:color="000000" w:sz="4" w:space="0"/>
            </w:tcBorders>
            <w:vAlign w:val="center"/>
          </w:tcPr>
          <w:p w14:paraId="75082AE2">
            <w:pPr>
              <w:pStyle w:val="71"/>
              <w:spacing w:before="24" w:after="24"/>
              <w:rPr>
                <w:rFonts w:cs="Times New Roman"/>
              </w:rPr>
            </w:pPr>
            <w:r>
              <w:rPr>
                <w:rFonts w:cs="Times New Roman"/>
              </w:rPr>
              <w:t>楼梯间、前室</w:t>
            </w:r>
          </w:p>
        </w:tc>
        <w:tc>
          <w:tcPr>
            <w:tcW w:w="4094" w:type="dxa"/>
            <w:tcBorders>
              <w:top w:val="single" w:color="000000" w:sz="4" w:space="0"/>
              <w:left w:val="single" w:color="000000" w:sz="4" w:space="0"/>
              <w:bottom w:val="single" w:color="000000" w:sz="4" w:space="0"/>
              <w:right w:val="single" w:color="000000" w:sz="4" w:space="0"/>
            </w:tcBorders>
            <w:vAlign w:val="center"/>
          </w:tcPr>
          <w:p w14:paraId="55621C7B">
            <w:pPr>
              <w:pStyle w:val="71"/>
              <w:spacing w:before="24" w:after="24"/>
              <w:rPr>
                <w:rFonts w:cs="Times New Roman"/>
              </w:rPr>
            </w:pPr>
            <w:r>
              <w:rPr>
                <w:rFonts w:cs="Times New Roman"/>
              </w:rPr>
              <w:t>无机涂料</w:t>
            </w:r>
          </w:p>
        </w:tc>
        <w:tc>
          <w:tcPr>
            <w:tcW w:w="1315" w:type="dxa"/>
            <w:tcBorders>
              <w:top w:val="single" w:color="000000" w:sz="4" w:space="0"/>
              <w:left w:val="single" w:color="000000" w:sz="4" w:space="0"/>
              <w:bottom w:val="single" w:color="000000" w:sz="4" w:space="0"/>
              <w:right w:val="single" w:color="000000" w:sz="4" w:space="0"/>
            </w:tcBorders>
            <w:vAlign w:val="center"/>
          </w:tcPr>
          <w:p w14:paraId="2FEB889B">
            <w:pPr>
              <w:pStyle w:val="71"/>
              <w:spacing w:before="24" w:after="24"/>
              <w:rPr>
                <w:rFonts w:cs="Times New Roman"/>
              </w:rPr>
            </w:pPr>
          </w:p>
        </w:tc>
      </w:tr>
      <w:tr w14:paraId="453FF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0" w:type="dxa"/>
            <w:tcBorders>
              <w:top w:val="single" w:color="000000" w:sz="4" w:space="0"/>
              <w:left w:val="single" w:color="000000" w:sz="4" w:space="0"/>
              <w:bottom w:val="single" w:color="000000" w:sz="4" w:space="0"/>
              <w:right w:val="single" w:color="000000" w:sz="4" w:space="0"/>
            </w:tcBorders>
            <w:vAlign w:val="center"/>
          </w:tcPr>
          <w:p w14:paraId="4A6AD2C8">
            <w:pPr>
              <w:pStyle w:val="71"/>
              <w:spacing w:before="24" w:after="24"/>
              <w:rPr>
                <w:rFonts w:cs="Times New Roman"/>
              </w:rPr>
            </w:pPr>
            <w:r>
              <w:rPr>
                <w:rFonts w:cs="Times New Roman"/>
              </w:rPr>
              <w:t>3</w:t>
            </w:r>
          </w:p>
        </w:tc>
        <w:tc>
          <w:tcPr>
            <w:tcW w:w="1404" w:type="dxa"/>
            <w:tcBorders>
              <w:top w:val="single" w:color="000000" w:sz="4" w:space="0"/>
              <w:left w:val="single" w:color="000000" w:sz="4" w:space="0"/>
              <w:bottom w:val="single" w:color="000000" w:sz="4" w:space="0"/>
              <w:right w:val="single" w:color="000000" w:sz="4" w:space="0"/>
            </w:tcBorders>
            <w:vAlign w:val="center"/>
          </w:tcPr>
          <w:p w14:paraId="7F2528A1">
            <w:pPr>
              <w:pStyle w:val="71"/>
              <w:spacing w:before="24" w:after="24"/>
              <w:rPr>
                <w:rFonts w:cs="Times New Roman"/>
              </w:rPr>
            </w:pPr>
            <w:r>
              <w:rPr>
                <w:rFonts w:cs="Times New Roman"/>
              </w:rPr>
              <w:t>内墙三</w:t>
            </w:r>
          </w:p>
        </w:tc>
        <w:tc>
          <w:tcPr>
            <w:tcW w:w="1953" w:type="dxa"/>
            <w:tcBorders>
              <w:top w:val="single" w:color="000000" w:sz="4" w:space="0"/>
              <w:left w:val="single" w:color="000000" w:sz="4" w:space="0"/>
              <w:bottom w:val="single" w:color="000000" w:sz="4" w:space="0"/>
              <w:right w:val="single" w:color="000000" w:sz="4" w:space="0"/>
            </w:tcBorders>
            <w:vAlign w:val="center"/>
          </w:tcPr>
          <w:p w14:paraId="4F94B0DB">
            <w:pPr>
              <w:pStyle w:val="71"/>
              <w:spacing w:before="24" w:after="24"/>
              <w:rPr>
                <w:rFonts w:cs="Times New Roman"/>
              </w:rPr>
            </w:pPr>
            <w:r>
              <w:rPr>
                <w:rFonts w:cs="Times New Roman"/>
              </w:rPr>
              <w:t>门厅、公共大堂、电梯厅</w:t>
            </w:r>
          </w:p>
        </w:tc>
        <w:tc>
          <w:tcPr>
            <w:tcW w:w="4094" w:type="dxa"/>
            <w:tcBorders>
              <w:top w:val="single" w:color="000000" w:sz="4" w:space="0"/>
              <w:left w:val="single" w:color="000000" w:sz="4" w:space="0"/>
              <w:bottom w:val="single" w:color="000000" w:sz="4" w:space="0"/>
              <w:right w:val="single" w:color="000000" w:sz="4" w:space="0"/>
            </w:tcBorders>
            <w:vAlign w:val="center"/>
          </w:tcPr>
          <w:p w14:paraId="1651B1E1">
            <w:pPr>
              <w:pStyle w:val="71"/>
              <w:spacing w:before="24" w:after="24"/>
              <w:jc w:val="both"/>
              <w:rPr>
                <w:rFonts w:cs="Times New Roman"/>
              </w:rPr>
            </w:pPr>
            <w:r>
              <w:rPr>
                <w:rFonts w:cs="Times New Roman"/>
              </w:rPr>
              <w:t>800*800面砖（高度至吊顶以上100mm，专用美缝剂美缝）</w:t>
            </w:r>
          </w:p>
        </w:tc>
        <w:tc>
          <w:tcPr>
            <w:tcW w:w="1315" w:type="dxa"/>
            <w:tcBorders>
              <w:top w:val="single" w:color="000000" w:sz="4" w:space="0"/>
              <w:left w:val="single" w:color="000000" w:sz="4" w:space="0"/>
              <w:bottom w:val="single" w:color="000000" w:sz="4" w:space="0"/>
              <w:right w:val="single" w:color="000000" w:sz="4" w:space="0"/>
            </w:tcBorders>
            <w:vAlign w:val="center"/>
          </w:tcPr>
          <w:p w14:paraId="5721C2ED">
            <w:pPr>
              <w:pStyle w:val="71"/>
              <w:spacing w:before="24" w:after="24"/>
              <w:rPr>
                <w:rFonts w:cs="Times New Roman"/>
              </w:rPr>
            </w:pPr>
          </w:p>
        </w:tc>
      </w:tr>
      <w:tr w14:paraId="3FCEDA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0" w:type="dxa"/>
            <w:tcBorders>
              <w:top w:val="single" w:color="000000" w:sz="4" w:space="0"/>
              <w:left w:val="single" w:color="000000" w:sz="4" w:space="0"/>
              <w:bottom w:val="single" w:color="000000" w:sz="4" w:space="0"/>
              <w:right w:val="single" w:color="000000" w:sz="4" w:space="0"/>
            </w:tcBorders>
            <w:vAlign w:val="center"/>
          </w:tcPr>
          <w:p w14:paraId="41ACF16C">
            <w:pPr>
              <w:pStyle w:val="71"/>
              <w:spacing w:before="24" w:after="24"/>
              <w:rPr>
                <w:rFonts w:cs="Times New Roman"/>
              </w:rPr>
            </w:pPr>
            <w:r>
              <w:rPr>
                <w:rFonts w:cs="Times New Roman"/>
              </w:rPr>
              <w:t>4</w:t>
            </w:r>
          </w:p>
        </w:tc>
        <w:tc>
          <w:tcPr>
            <w:tcW w:w="1404" w:type="dxa"/>
            <w:tcBorders>
              <w:top w:val="single" w:color="000000" w:sz="4" w:space="0"/>
              <w:left w:val="single" w:color="000000" w:sz="4" w:space="0"/>
              <w:bottom w:val="single" w:color="000000" w:sz="4" w:space="0"/>
              <w:right w:val="single" w:color="000000" w:sz="4" w:space="0"/>
            </w:tcBorders>
            <w:vAlign w:val="center"/>
          </w:tcPr>
          <w:p w14:paraId="22B699AC">
            <w:pPr>
              <w:pStyle w:val="71"/>
              <w:spacing w:before="24" w:after="24"/>
              <w:rPr>
                <w:rFonts w:cs="Times New Roman"/>
              </w:rPr>
            </w:pPr>
            <w:r>
              <w:rPr>
                <w:rFonts w:cs="Times New Roman"/>
              </w:rPr>
              <w:t>内墙四</w:t>
            </w:r>
          </w:p>
        </w:tc>
        <w:tc>
          <w:tcPr>
            <w:tcW w:w="1953" w:type="dxa"/>
            <w:tcBorders>
              <w:top w:val="single" w:color="000000" w:sz="4" w:space="0"/>
              <w:left w:val="single" w:color="000000" w:sz="4" w:space="0"/>
              <w:bottom w:val="single" w:color="000000" w:sz="4" w:space="0"/>
              <w:right w:val="single" w:color="000000" w:sz="4" w:space="0"/>
            </w:tcBorders>
            <w:vAlign w:val="center"/>
          </w:tcPr>
          <w:p w14:paraId="5232225E">
            <w:pPr>
              <w:pStyle w:val="71"/>
              <w:spacing w:before="24" w:after="24"/>
              <w:rPr>
                <w:rFonts w:cs="Times New Roman"/>
              </w:rPr>
            </w:pPr>
            <w:r>
              <w:rPr>
                <w:rFonts w:cs="Times New Roman"/>
              </w:rPr>
              <w:t>卫生间、厨房</w:t>
            </w:r>
          </w:p>
        </w:tc>
        <w:tc>
          <w:tcPr>
            <w:tcW w:w="4094" w:type="dxa"/>
            <w:tcBorders>
              <w:top w:val="single" w:color="000000" w:sz="4" w:space="0"/>
              <w:left w:val="single" w:color="000000" w:sz="4" w:space="0"/>
              <w:bottom w:val="single" w:color="000000" w:sz="4" w:space="0"/>
              <w:right w:val="single" w:color="000000" w:sz="4" w:space="0"/>
            </w:tcBorders>
            <w:vAlign w:val="center"/>
          </w:tcPr>
          <w:p w14:paraId="685D438B">
            <w:pPr>
              <w:pStyle w:val="71"/>
              <w:spacing w:before="24" w:after="24"/>
              <w:jc w:val="both"/>
              <w:rPr>
                <w:rFonts w:cs="Times New Roman"/>
              </w:rPr>
            </w:pPr>
            <w:r>
              <w:rPr>
                <w:rFonts w:cs="Times New Roman"/>
              </w:rPr>
              <w:t>300*600面砖（高度至吊顶以上100mm，专用美缝剂美缝）</w:t>
            </w:r>
          </w:p>
        </w:tc>
        <w:tc>
          <w:tcPr>
            <w:tcW w:w="1315" w:type="dxa"/>
            <w:tcBorders>
              <w:top w:val="single" w:color="000000" w:sz="4" w:space="0"/>
              <w:left w:val="single" w:color="000000" w:sz="4" w:space="0"/>
              <w:bottom w:val="single" w:color="000000" w:sz="4" w:space="0"/>
              <w:right w:val="single" w:color="000000" w:sz="4" w:space="0"/>
            </w:tcBorders>
            <w:vAlign w:val="center"/>
          </w:tcPr>
          <w:p w14:paraId="5CF50BB4">
            <w:pPr>
              <w:pStyle w:val="71"/>
              <w:spacing w:before="24" w:after="24"/>
              <w:rPr>
                <w:rFonts w:cs="Times New Roman"/>
              </w:rPr>
            </w:pPr>
          </w:p>
        </w:tc>
      </w:tr>
      <w:tr w14:paraId="195A2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66" w:type="dxa"/>
            <w:gridSpan w:val="5"/>
            <w:tcBorders>
              <w:top w:val="single" w:color="000000" w:sz="4" w:space="0"/>
              <w:left w:val="single" w:color="000000" w:sz="4" w:space="0"/>
              <w:bottom w:val="single" w:color="000000" w:sz="4" w:space="0"/>
              <w:right w:val="single" w:color="000000" w:sz="4" w:space="0"/>
            </w:tcBorders>
            <w:vAlign w:val="center"/>
          </w:tcPr>
          <w:p w14:paraId="7DB1641A">
            <w:pPr>
              <w:pStyle w:val="71"/>
              <w:spacing w:before="24" w:after="24"/>
              <w:rPr>
                <w:rFonts w:cs="Times New Roman"/>
              </w:rPr>
            </w:pPr>
            <w:r>
              <w:rPr>
                <w:rFonts w:cs="Times New Roman"/>
              </w:rPr>
              <w:t>顶棚</w:t>
            </w:r>
          </w:p>
        </w:tc>
      </w:tr>
      <w:tr w14:paraId="1E85E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0" w:type="dxa"/>
            <w:tcBorders>
              <w:top w:val="single" w:color="000000" w:sz="4" w:space="0"/>
              <w:left w:val="single" w:color="000000" w:sz="4" w:space="0"/>
              <w:bottom w:val="single" w:color="000000" w:sz="4" w:space="0"/>
              <w:right w:val="single" w:color="000000" w:sz="4" w:space="0"/>
            </w:tcBorders>
            <w:vAlign w:val="center"/>
          </w:tcPr>
          <w:p w14:paraId="32AAC659">
            <w:pPr>
              <w:pStyle w:val="71"/>
              <w:spacing w:before="24" w:after="24"/>
              <w:rPr>
                <w:rFonts w:cs="Times New Roman"/>
              </w:rPr>
            </w:pPr>
            <w:r>
              <w:rPr>
                <w:rFonts w:cs="Times New Roman"/>
              </w:rPr>
              <w:t>1</w:t>
            </w:r>
          </w:p>
        </w:tc>
        <w:tc>
          <w:tcPr>
            <w:tcW w:w="1404" w:type="dxa"/>
            <w:tcBorders>
              <w:top w:val="single" w:color="000000" w:sz="4" w:space="0"/>
              <w:left w:val="single" w:color="000000" w:sz="4" w:space="0"/>
              <w:bottom w:val="single" w:color="000000" w:sz="4" w:space="0"/>
              <w:right w:val="single" w:color="000000" w:sz="4" w:space="0"/>
            </w:tcBorders>
            <w:vAlign w:val="center"/>
          </w:tcPr>
          <w:p w14:paraId="5C88248A">
            <w:pPr>
              <w:pStyle w:val="71"/>
              <w:spacing w:before="24" w:after="24"/>
              <w:rPr>
                <w:rFonts w:cs="Times New Roman"/>
              </w:rPr>
            </w:pPr>
            <w:r>
              <w:rPr>
                <w:rFonts w:cs="Times New Roman"/>
              </w:rPr>
              <w:t>顶棚一</w:t>
            </w:r>
          </w:p>
        </w:tc>
        <w:tc>
          <w:tcPr>
            <w:tcW w:w="1953" w:type="dxa"/>
            <w:tcBorders>
              <w:top w:val="single" w:color="000000" w:sz="4" w:space="0"/>
              <w:left w:val="single" w:color="000000" w:sz="4" w:space="0"/>
              <w:bottom w:val="single" w:color="000000" w:sz="4" w:space="0"/>
              <w:right w:val="single" w:color="000000" w:sz="4" w:space="0"/>
            </w:tcBorders>
            <w:vAlign w:val="center"/>
          </w:tcPr>
          <w:p w14:paraId="6DEEA4A9">
            <w:pPr>
              <w:pStyle w:val="71"/>
              <w:spacing w:before="24" w:after="24"/>
              <w:jc w:val="both"/>
              <w:rPr>
                <w:rFonts w:cs="Times New Roman"/>
              </w:rPr>
            </w:pPr>
            <w:r>
              <w:rPr>
                <w:rFonts w:cs="Times New Roman"/>
              </w:rPr>
              <w:t>合用前室、楼梯间</w:t>
            </w:r>
          </w:p>
        </w:tc>
        <w:tc>
          <w:tcPr>
            <w:tcW w:w="4094" w:type="dxa"/>
            <w:tcBorders>
              <w:top w:val="single" w:color="000000" w:sz="4" w:space="0"/>
              <w:left w:val="single" w:color="000000" w:sz="4" w:space="0"/>
              <w:bottom w:val="single" w:color="000000" w:sz="4" w:space="0"/>
              <w:right w:val="single" w:color="000000" w:sz="4" w:space="0"/>
            </w:tcBorders>
            <w:vAlign w:val="center"/>
          </w:tcPr>
          <w:p w14:paraId="772FE220">
            <w:pPr>
              <w:pStyle w:val="71"/>
              <w:spacing w:before="24" w:after="24"/>
              <w:rPr>
                <w:rFonts w:cs="Times New Roman"/>
              </w:rPr>
            </w:pPr>
            <w:r>
              <w:rPr>
                <w:rFonts w:cs="Times New Roman"/>
              </w:rPr>
              <w:t>无机涂料</w:t>
            </w:r>
          </w:p>
        </w:tc>
        <w:tc>
          <w:tcPr>
            <w:tcW w:w="1315" w:type="dxa"/>
            <w:tcBorders>
              <w:top w:val="single" w:color="000000" w:sz="4" w:space="0"/>
              <w:left w:val="single" w:color="000000" w:sz="4" w:space="0"/>
              <w:bottom w:val="single" w:color="000000" w:sz="4" w:space="0"/>
              <w:right w:val="single" w:color="000000" w:sz="4" w:space="0"/>
            </w:tcBorders>
            <w:vAlign w:val="center"/>
          </w:tcPr>
          <w:p w14:paraId="0302D3D9">
            <w:pPr>
              <w:pStyle w:val="71"/>
              <w:spacing w:before="24" w:after="24"/>
              <w:rPr>
                <w:rFonts w:cs="Times New Roman"/>
              </w:rPr>
            </w:pPr>
          </w:p>
        </w:tc>
      </w:tr>
      <w:tr w14:paraId="6B5E5C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0" w:type="dxa"/>
            <w:tcBorders>
              <w:top w:val="single" w:color="000000" w:sz="4" w:space="0"/>
              <w:left w:val="single" w:color="000000" w:sz="4" w:space="0"/>
              <w:bottom w:val="single" w:color="000000" w:sz="4" w:space="0"/>
              <w:right w:val="single" w:color="000000" w:sz="4" w:space="0"/>
            </w:tcBorders>
            <w:vAlign w:val="center"/>
          </w:tcPr>
          <w:p w14:paraId="11F41E72">
            <w:pPr>
              <w:pStyle w:val="71"/>
              <w:spacing w:before="24" w:after="24"/>
              <w:rPr>
                <w:rFonts w:cs="Times New Roman"/>
              </w:rPr>
            </w:pPr>
            <w:r>
              <w:rPr>
                <w:rFonts w:cs="Times New Roman"/>
              </w:rPr>
              <w:t>2</w:t>
            </w:r>
          </w:p>
        </w:tc>
        <w:tc>
          <w:tcPr>
            <w:tcW w:w="1404" w:type="dxa"/>
            <w:tcBorders>
              <w:top w:val="single" w:color="000000" w:sz="4" w:space="0"/>
              <w:left w:val="single" w:color="000000" w:sz="4" w:space="0"/>
              <w:bottom w:val="single" w:color="000000" w:sz="4" w:space="0"/>
              <w:right w:val="single" w:color="000000" w:sz="4" w:space="0"/>
            </w:tcBorders>
            <w:vAlign w:val="center"/>
          </w:tcPr>
          <w:p w14:paraId="5D40A8F8">
            <w:pPr>
              <w:pStyle w:val="71"/>
              <w:spacing w:before="24" w:after="24"/>
              <w:rPr>
                <w:rFonts w:cs="Times New Roman"/>
              </w:rPr>
            </w:pPr>
            <w:r>
              <w:rPr>
                <w:rFonts w:cs="Times New Roman"/>
              </w:rPr>
              <w:t>顶棚二（防潮顶棚）</w:t>
            </w:r>
          </w:p>
        </w:tc>
        <w:tc>
          <w:tcPr>
            <w:tcW w:w="1953" w:type="dxa"/>
            <w:tcBorders>
              <w:top w:val="single" w:color="000000" w:sz="4" w:space="0"/>
              <w:left w:val="single" w:color="000000" w:sz="4" w:space="0"/>
              <w:bottom w:val="single" w:color="000000" w:sz="4" w:space="0"/>
              <w:right w:val="single" w:color="000000" w:sz="4" w:space="0"/>
            </w:tcBorders>
            <w:vAlign w:val="center"/>
          </w:tcPr>
          <w:p w14:paraId="149F1CB8">
            <w:pPr>
              <w:pStyle w:val="71"/>
              <w:spacing w:before="24" w:after="24"/>
              <w:jc w:val="both"/>
              <w:rPr>
                <w:rFonts w:cs="Times New Roman"/>
              </w:rPr>
            </w:pPr>
            <w:r>
              <w:rPr>
                <w:rFonts w:cs="Times New Roman"/>
              </w:rPr>
              <w:t>厨房、卫生间、盥洗室、公共卫生间等用水房间</w:t>
            </w:r>
          </w:p>
        </w:tc>
        <w:tc>
          <w:tcPr>
            <w:tcW w:w="4094" w:type="dxa"/>
            <w:tcBorders>
              <w:top w:val="single" w:color="000000" w:sz="4" w:space="0"/>
              <w:left w:val="single" w:color="000000" w:sz="4" w:space="0"/>
              <w:bottom w:val="single" w:color="000000" w:sz="4" w:space="0"/>
              <w:right w:val="single" w:color="000000" w:sz="4" w:space="0"/>
            </w:tcBorders>
            <w:vAlign w:val="center"/>
          </w:tcPr>
          <w:p w14:paraId="371D8487">
            <w:pPr>
              <w:pStyle w:val="71"/>
              <w:spacing w:before="24" w:after="24"/>
              <w:rPr>
                <w:rFonts w:cs="Times New Roman"/>
              </w:rPr>
            </w:pPr>
            <w:r>
              <w:rPr>
                <w:rFonts w:cs="Times New Roman"/>
              </w:rPr>
              <w:t>0.8mm铝扣板吊顶</w:t>
            </w:r>
          </w:p>
        </w:tc>
        <w:tc>
          <w:tcPr>
            <w:tcW w:w="1315" w:type="dxa"/>
            <w:tcBorders>
              <w:top w:val="single" w:color="000000" w:sz="4" w:space="0"/>
              <w:left w:val="single" w:color="000000" w:sz="4" w:space="0"/>
              <w:bottom w:val="single" w:color="000000" w:sz="4" w:space="0"/>
              <w:right w:val="single" w:color="000000" w:sz="4" w:space="0"/>
            </w:tcBorders>
            <w:vAlign w:val="center"/>
          </w:tcPr>
          <w:p w14:paraId="0272060A">
            <w:pPr>
              <w:pStyle w:val="71"/>
              <w:spacing w:before="24" w:after="24"/>
              <w:rPr>
                <w:rFonts w:cs="Times New Roman"/>
              </w:rPr>
            </w:pPr>
          </w:p>
        </w:tc>
      </w:tr>
      <w:tr w14:paraId="2F974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0" w:type="dxa"/>
            <w:tcBorders>
              <w:top w:val="single" w:color="000000" w:sz="4" w:space="0"/>
              <w:left w:val="single" w:color="000000" w:sz="4" w:space="0"/>
              <w:bottom w:val="single" w:color="000000" w:sz="4" w:space="0"/>
              <w:right w:val="single" w:color="000000" w:sz="4" w:space="0"/>
            </w:tcBorders>
            <w:vAlign w:val="center"/>
          </w:tcPr>
          <w:p w14:paraId="1E16A87B">
            <w:pPr>
              <w:pStyle w:val="71"/>
              <w:spacing w:before="24" w:after="24"/>
              <w:rPr>
                <w:rFonts w:cs="Times New Roman"/>
              </w:rPr>
            </w:pPr>
            <w:r>
              <w:rPr>
                <w:rFonts w:cs="Times New Roman"/>
              </w:rPr>
              <w:t>3</w:t>
            </w:r>
          </w:p>
        </w:tc>
        <w:tc>
          <w:tcPr>
            <w:tcW w:w="1404" w:type="dxa"/>
            <w:tcBorders>
              <w:top w:val="single" w:color="000000" w:sz="4" w:space="0"/>
              <w:left w:val="single" w:color="000000" w:sz="4" w:space="0"/>
              <w:bottom w:val="single" w:color="000000" w:sz="4" w:space="0"/>
              <w:right w:val="single" w:color="000000" w:sz="4" w:space="0"/>
            </w:tcBorders>
            <w:vAlign w:val="center"/>
          </w:tcPr>
          <w:p w14:paraId="664A274F">
            <w:pPr>
              <w:pStyle w:val="71"/>
              <w:spacing w:before="24" w:after="24"/>
              <w:rPr>
                <w:rFonts w:cs="Times New Roman"/>
              </w:rPr>
            </w:pPr>
            <w:r>
              <w:rPr>
                <w:rFonts w:cs="Times New Roman"/>
              </w:rPr>
              <w:t>顶棚三</w:t>
            </w:r>
          </w:p>
        </w:tc>
        <w:tc>
          <w:tcPr>
            <w:tcW w:w="1953" w:type="dxa"/>
            <w:tcBorders>
              <w:top w:val="single" w:color="000000" w:sz="4" w:space="0"/>
              <w:left w:val="single" w:color="000000" w:sz="4" w:space="0"/>
              <w:bottom w:val="single" w:color="000000" w:sz="4" w:space="0"/>
              <w:right w:val="single" w:color="000000" w:sz="4" w:space="0"/>
            </w:tcBorders>
            <w:vAlign w:val="center"/>
          </w:tcPr>
          <w:p w14:paraId="45D2FD7B">
            <w:pPr>
              <w:pStyle w:val="71"/>
              <w:spacing w:before="24" w:after="24"/>
              <w:jc w:val="both"/>
              <w:rPr>
                <w:rFonts w:cs="Times New Roman"/>
              </w:rPr>
            </w:pPr>
            <w:r>
              <w:rPr>
                <w:rFonts w:cs="Times New Roman"/>
              </w:rPr>
              <w:t>办公室</w:t>
            </w:r>
          </w:p>
        </w:tc>
        <w:tc>
          <w:tcPr>
            <w:tcW w:w="4094" w:type="dxa"/>
            <w:tcBorders>
              <w:top w:val="single" w:color="000000" w:sz="4" w:space="0"/>
              <w:left w:val="single" w:color="000000" w:sz="4" w:space="0"/>
              <w:bottom w:val="single" w:color="000000" w:sz="4" w:space="0"/>
              <w:right w:val="single" w:color="000000" w:sz="4" w:space="0"/>
            </w:tcBorders>
            <w:vAlign w:val="center"/>
          </w:tcPr>
          <w:p w14:paraId="4A533438">
            <w:pPr>
              <w:pStyle w:val="71"/>
              <w:spacing w:before="24" w:after="24"/>
              <w:rPr>
                <w:rFonts w:cs="Times New Roman"/>
              </w:rPr>
            </w:pPr>
            <w:r>
              <w:rPr>
                <w:rFonts w:cs="Times New Roman"/>
              </w:rPr>
              <w:t>无机涂料</w:t>
            </w:r>
          </w:p>
        </w:tc>
        <w:tc>
          <w:tcPr>
            <w:tcW w:w="1315" w:type="dxa"/>
            <w:tcBorders>
              <w:top w:val="single" w:color="000000" w:sz="4" w:space="0"/>
              <w:left w:val="single" w:color="000000" w:sz="4" w:space="0"/>
              <w:bottom w:val="single" w:color="000000" w:sz="4" w:space="0"/>
              <w:right w:val="single" w:color="000000" w:sz="4" w:space="0"/>
            </w:tcBorders>
            <w:vAlign w:val="center"/>
          </w:tcPr>
          <w:p w14:paraId="75072EB1">
            <w:pPr>
              <w:pStyle w:val="71"/>
              <w:spacing w:before="24" w:after="24"/>
              <w:rPr>
                <w:rFonts w:cs="Times New Roman"/>
              </w:rPr>
            </w:pPr>
          </w:p>
        </w:tc>
      </w:tr>
      <w:tr w14:paraId="05328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0" w:type="dxa"/>
            <w:tcBorders>
              <w:top w:val="single" w:color="000000" w:sz="4" w:space="0"/>
              <w:left w:val="single" w:color="000000" w:sz="4" w:space="0"/>
              <w:bottom w:val="single" w:color="000000" w:sz="4" w:space="0"/>
              <w:right w:val="single" w:color="000000" w:sz="4" w:space="0"/>
            </w:tcBorders>
            <w:vAlign w:val="center"/>
          </w:tcPr>
          <w:p w14:paraId="58AB2A97">
            <w:pPr>
              <w:pStyle w:val="71"/>
              <w:spacing w:before="24" w:after="24"/>
              <w:rPr>
                <w:rFonts w:cs="Times New Roman"/>
              </w:rPr>
            </w:pPr>
            <w:r>
              <w:rPr>
                <w:rFonts w:cs="Times New Roman"/>
              </w:rPr>
              <w:t>4</w:t>
            </w:r>
          </w:p>
        </w:tc>
        <w:tc>
          <w:tcPr>
            <w:tcW w:w="1404" w:type="dxa"/>
            <w:tcBorders>
              <w:top w:val="single" w:color="000000" w:sz="4" w:space="0"/>
              <w:left w:val="single" w:color="000000" w:sz="4" w:space="0"/>
              <w:bottom w:val="single" w:color="000000" w:sz="4" w:space="0"/>
              <w:right w:val="single" w:color="000000" w:sz="4" w:space="0"/>
            </w:tcBorders>
            <w:vAlign w:val="center"/>
          </w:tcPr>
          <w:p w14:paraId="398DD040">
            <w:pPr>
              <w:pStyle w:val="71"/>
              <w:spacing w:before="24" w:after="24"/>
              <w:rPr>
                <w:rFonts w:cs="Times New Roman"/>
              </w:rPr>
            </w:pPr>
            <w:r>
              <w:rPr>
                <w:rFonts w:cs="Times New Roman"/>
              </w:rPr>
              <w:t>顶棚四</w:t>
            </w:r>
          </w:p>
        </w:tc>
        <w:tc>
          <w:tcPr>
            <w:tcW w:w="1953" w:type="dxa"/>
            <w:tcBorders>
              <w:top w:val="single" w:color="000000" w:sz="4" w:space="0"/>
              <w:left w:val="single" w:color="000000" w:sz="4" w:space="0"/>
              <w:bottom w:val="single" w:color="000000" w:sz="4" w:space="0"/>
              <w:right w:val="single" w:color="000000" w:sz="4" w:space="0"/>
            </w:tcBorders>
            <w:vAlign w:val="center"/>
          </w:tcPr>
          <w:p w14:paraId="107B0896">
            <w:pPr>
              <w:pStyle w:val="71"/>
              <w:spacing w:before="24" w:after="24"/>
              <w:jc w:val="both"/>
              <w:rPr>
                <w:rFonts w:cs="Times New Roman"/>
              </w:rPr>
            </w:pPr>
            <w:r>
              <w:rPr>
                <w:rFonts w:cs="Times New Roman"/>
              </w:rPr>
              <w:t>首层大堂、电梯厅、高标准会议室</w:t>
            </w:r>
          </w:p>
        </w:tc>
        <w:tc>
          <w:tcPr>
            <w:tcW w:w="4094" w:type="dxa"/>
            <w:tcBorders>
              <w:top w:val="single" w:color="000000" w:sz="4" w:space="0"/>
              <w:left w:val="single" w:color="000000" w:sz="4" w:space="0"/>
              <w:bottom w:val="single" w:color="000000" w:sz="4" w:space="0"/>
              <w:right w:val="single" w:color="000000" w:sz="4" w:space="0"/>
            </w:tcBorders>
            <w:vAlign w:val="center"/>
          </w:tcPr>
          <w:p w14:paraId="5B051418">
            <w:pPr>
              <w:pStyle w:val="71"/>
              <w:spacing w:before="24" w:after="24"/>
              <w:rPr>
                <w:rFonts w:cs="Times New Roman"/>
              </w:rPr>
            </w:pPr>
            <w:r>
              <w:rPr>
                <w:rFonts w:cs="Times New Roman"/>
              </w:rPr>
              <w:t>装饰吊顶顶棚</w:t>
            </w:r>
          </w:p>
        </w:tc>
        <w:tc>
          <w:tcPr>
            <w:tcW w:w="1315" w:type="dxa"/>
            <w:tcBorders>
              <w:top w:val="single" w:color="000000" w:sz="4" w:space="0"/>
              <w:left w:val="single" w:color="000000" w:sz="4" w:space="0"/>
              <w:bottom w:val="single" w:color="000000" w:sz="4" w:space="0"/>
              <w:right w:val="single" w:color="000000" w:sz="4" w:space="0"/>
            </w:tcBorders>
            <w:vAlign w:val="center"/>
          </w:tcPr>
          <w:p w14:paraId="6CE0BFFF">
            <w:pPr>
              <w:pStyle w:val="71"/>
              <w:spacing w:before="24" w:after="24"/>
              <w:rPr>
                <w:rFonts w:cs="Times New Roman"/>
              </w:rPr>
            </w:pPr>
          </w:p>
        </w:tc>
      </w:tr>
    </w:tbl>
    <w:p w14:paraId="7F64945F">
      <w:pPr>
        <w:pStyle w:val="66"/>
        <w:rPr>
          <w:rFonts w:cs="Times New Roman"/>
        </w:rPr>
      </w:pPr>
      <w:r>
        <w:rPr>
          <w:rFonts w:cs="Times New Roman"/>
        </w:rPr>
        <w:t>2、教育类建筑精装修做法及参数</w:t>
      </w:r>
    </w:p>
    <w:tbl>
      <w:tblPr>
        <w:tblStyle w:val="30"/>
        <w:tblW w:w="95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7"/>
        <w:gridCol w:w="1262"/>
        <w:gridCol w:w="2462"/>
        <w:gridCol w:w="3390"/>
        <w:gridCol w:w="1638"/>
      </w:tblGrid>
      <w:tr w14:paraId="316F3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807"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509CFDF1">
            <w:pPr>
              <w:pStyle w:val="71"/>
              <w:spacing w:before="24" w:after="24"/>
              <w:rPr>
                <w:rFonts w:cs="Times New Roman"/>
              </w:rPr>
            </w:pPr>
            <w:r>
              <w:rPr>
                <w:rFonts w:cs="Times New Roman"/>
              </w:rPr>
              <w:t>序号</w:t>
            </w:r>
          </w:p>
        </w:tc>
        <w:tc>
          <w:tcPr>
            <w:tcW w:w="1262"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31C6E317">
            <w:pPr>
              <w:pStyle w:val="71"/>
              <w:spacing w:before="24" w:after="24"/>
              <w:rPr>
                <w:rFonts w:cs="Times New Roman"/>
              </w:rPr>
            </w:pPr>
            <w:r>
              <w:rPr>
                <w:rFonts w:cs="Times New Roman"/>
              </w:rPr>
              <w:t>类型/设备/系统</w:t>
            </w:r>
          </w:p>
        </w:tc>
        <w:tc>
          <w:tcPr>
            <w:tcW w:w="2462"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3602A958">
            <w:pPr>
              <w:pStyle w:val="71"/>
              <w:spacing w:before="24" w:after="24"/>
              <w:rPr>
                <w:rFonts w:cs="Times New Roman"/>
              </w:rPr>
            </w:pPr>
            <w:r>
              <w:rPr>
                <w:rFonts w:cs="Times New Roman"/>
              </w:rPr>
              <w:t>土建：部位</w:t>
            </w:r>
          </w:p>
          <w:p w14:paraId="1F277375">
            <w:pPr>
              <w:pStyle w:val="71"/>
              <w:spacing w:before="24" w:after="24"/>
              <w:rPr>
                <w:rFonts w:cs="Times New Roman"/>
              </w:rPr>
            </w:pPr>
            <w:r>
              <w:rPr>
                <w:rFonts w:cs="Times New Roman"/>
              </w:rPr>
              <w:t>安装：设备</w:t>
            </w:r>
          </w:p>
        </w:tc>
        <w:tc>
          <w:tcPr>
            <w:tcW w:w="3390"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478504DA">
            <w:pPr>
              <w:pStyle w:val="71"/>
              <w:spacing w:before="24" w:after="24"/>
              <w:rPr>
                <w:rFonts w:cs="Times New Roman"/>
              </w:rPr>
            </w:pPr>
            <w:r>
              <w:rPr>
                <w:rFonts w:cs="Times New Roman"/>
              </w:rPr>
              <w:t>土建：面层做法/规格参数</w:t>
            </w:r>
          </w:p>
          <w:p w14:paraId="5518059F">
            <w:pPr>
              <w:pStyle w:val="71"/>
              <w:spacing w:before="24" w:after="24"/>
              <w:rPr>
                <w:rFonts w:cs="Times New Roman"/>
              </w:rPr>
            </w:pPr>
            <w:r>
              <w:rPr>
                <w:rFonts w:cs="Times New Roman"/>
              </w:rPr>
              <w:t>安装：做法/规格参数</w:t>
            </w:r>
          </w:p>
        </w:tc>
        <w:tc>
          <w:tcPr>
            <w:tcW w:w="1638"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159C8A38">
            <w:pPr>
              <w:pStyle w:val="71"/>
              <w:spacing w:before="24" w:after="24"/>
              <w:rPr>
                <w:rFonts w:cs="Times New Roman"/>
              </w:rPr>
            </w:pPr>
            <w:r>
              <w:rPr>
                <w:rFonts w:cs="Times New Roman"/>
              </w:rPr>
              <w:t>备注</w:t>
            </w:r>
          </w:p>
        </w:tc>
      </w:tr>
      <w:tr w14:paraId="154694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59" w:type="dxa"/>
            <w:gridSpan w:val="5"/>
            <w:tcBorders>
              <w:top w:val="single" w:color="000000" w:sz="4" w:space="0"/>
              <w:left w:val="single" w:color="000000" w:sz="4" w:space="0"/>
              <w:bottom w:val="single" w:color="000000" w:sz="4" w:space="0"/>
              <w:right w:val="single" w:color="000000" w:sz="4" w:space="0"/>
            </w:tcBorders>
            <w:vAlign w:val="center"/>
          </w:tcPr>
          <w:p w14:paraId="12B3C2D8">
            <w:pPr>
              <w:pStyle w:val="71"/>
              <w:spacing w:before="24" w:after="24"/>
              <w:jc w:val="left"/>
              <w:rPr>
                <w:rFonts w:cs="Times New Roman"/>
              </w:rPr>
            </w:pPr>
            <w:r>
              <w:rPr>
                <w:rFonts w:cs="Times New Roman"/>
              </w:rPr>
              <w:t>适用于中学二期建设项目</w:t>
            </w:r>
          </w:p>
        </w:tc>
      </w:tr>
      <w:tr w14:paraId="48CCC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59" w:type="dxa"/>
            <w:gridSpan w:val="5"/>
            <w:tcBorders>
              <w:top w:val="single" w:color="000000" w:sz="4" w:space="0"/>
              <w:left w:val="single" w:color="000000" w:sz="4" w:space="0"/>
              <w:bottom w:val="single" w:color="000000" w:sz="4" w:space="0"/>
              <w:right w:val="single" w:color="000000" w:sz="4" w:space="0"/>
            </w:tcBorders>
            <w:vAlign w:val="center"/>
          </w:tcPr>
          <w:p w14:paraId="4FAA069E">
            <w:pPr>
              <w:pStyle w:val="71"/>
              <w:spacing w:before="24" w:after="24"/>
              <w:rPr>
                <w:rFonts w:cs="Times New Roman"/>
              </w:rPr>
            </w:pPr>
            <w:r>
              <w:rPr>
                <w:rFonts w:cs="Times New Roman"/>
              </w:rPr>
              <w:t>楼面</w:t>
            </w:r>
          </w:p>
        </w:tc>
      </w:tr>
      <w:tr w14:paraId="1521F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6" w:hRule="atLeast"/>
          <w:jc w:val="center"/>
        </w:trPr>
        <w:tc>
          <w:tcPr>
            <w:tcW w:w="807" w:type="dxa"/>
            <w:tcBorders>
              <w:top w:val="single" w:color="000000" w:sz="4" w:space="0"/>
              <w:left w:val="single" w:color="000000" w:sz="4" w:space="0"/>
              <w:bottom w:val="single" w:color="000000" w:sz="4" w:space="0"/>
              <w:right w:val="single" w:color="000000" w:sz="4" w:space="0"/>
            </w:tcBorders>
            <w:vAlign w:val="center"/>
          </w:tcPr>
          <w:p w14:paraId="728ADD39">
            <w:pPr>
              <w:pStyle w:val="71"/>
              <w:spacing w:before="24" w:after="24"/>
              <w:rPr>
                <w:rFonts w:cs="Times New Roman"/>
              </w:rPr>
            </w:pPr>
            <w:r>
              <w:rPr>
                <w:rFonts w:cs="Times New Roman"/>
              </w:rPr>
              <w:t>1</w:t>
            </w:r>
          </w:p>
        </w:tc>
        <w:tc>
          <w:tcPr>
            <w:tcW w:w="1262" w:type="dxa"/>
            <w:tcBorders>
              <w:top w:val="single" w:color="000000" w:sz="4" w:space="0"/>
              <w:left w:val="single" w:color="000000" w:sz="4" w:space="0"/>
              <w:bottom w:val="single" w:color="000000" w:sz="4" w:space="0"/>
              <w:right w:val="single" w:color="000000" w:sz="4" w:space="0"/>
            </w:tcBorders>
            <w:vAlign w:val="center"/>
          </w:tcPr>
          <w:p w14:paraId="5455C91E">
            <w:pPr>
              <w:pStyle w:val="71"/>
              <w:spacing w:before="24" w:after="24"/>
              <w:rPr>
                <w:rFonts w:cs="Times New Roman"/>
              </w:rPr>
            </w:pPr>
            <w:r>
              <w:rPr>
                <w:rFonts w:cs="Times New Roman"/>
              </w:rPr>
              <w:t>楼面一</w:t>
            </w:r>
          </w:p>
        </w:tc>
        <w:tc>
          <w:tcPr>
            <w:tcW w:w="2462" w:type="dxa"/>
            <w:tcBorders>
              <w:top w:val="single" w:color="000000" w:sz="4" w:space="0"/>
              <w:left w:val="single" w:color="000000" w:sz="4" w:space="0"/>
              <w:bottom w:val="single" w:color="000000" w:sz="4" w:space="0"/>
              <w:right w:val="single" w:color="000000" w:sz="4" w:space="0"/>
            </w:tcBorders>
            <w:vAlign w:val="center"/>
          </w:tcPr>
          <w:p w14:paraId="7A117603">
            <w:pPr>
              <w:pStyle w:val="71"/>
              <w:spacing w:before="24" w:after="24"/>
              <w:jc w:val="both"/>
              <w:rPr>
                <w:rFonts w:cs="Times New Roman"/>
              </w:rPr>
            </w:pPr>
            <w:r>
              <w:rPr>
                <w:rFonts w:cs="Times New Roman"/>
              </w:rPr>
              <w:t>普通教室、办公室、多功能活动室、阅览室、内走道、楼梯间、阳台、室外连廊</w:t>
            </w:r>
          </w:p>
        </w:tc>
        <w:tc>
          <w:tcPr>
            <w:tcW w:w="3390" w:type="dxa"/>
            <w:tcBorders>
              <w:top w:val="single" w:color="000000" w:sz="4" w:space="0"/>
              <w:left w:val="single" w:color="000000" w:sz="4" w:space="0"/>
              <w:bottom w:val="single" w:color="000000" w:sz="4" w:space="0"/>
              <w:right w:val="single" w:color="000000" w:sz="4" w:space="0"/>
            </w:tcBorders>
            <w:vAlign w:val="center"/>
          </w:tcPr>
          <w:p w14:paraId="0AE9436F">
            <w:pPr>
              <w:pStyle w:val="71"/>
              <w:spacing w:before="24" w:after="24"/>
              <w:rPr>
                <w:rFonts w:cs="Times New Roman"/>
              </w:rPr>
            </w:pPr>
            <w:r>
              <w:rPr>
                <w:rFonts w:cs="Times New Roman"/>
              </w:rPr>
              <w:t>水磨石面层</w:t>
            </w:r>
          </w:p>
        </w:tc>
        <w:tc>
          <w:tcPr>
            <w:tcW w:w="1638" w:type="dxa"/>
            <w:tcBorders>
              <w:top w:val="single" w:color="000000" w:sz="4" w:space="0"/>
              <w:left w:val="single" w:color="000000" w:sz="4" w:space="0"/>
              <w:bottom w:val="single" w:color="000000" w:sz="4" w:space="0"/>
              <w:right w:val="single" w:color="000000" w:sz="4" w:space="0"/>
            </w:tcBorders>
            <w:vAlign w:val="center"/>
          </w:tcPr>
          <w:p w14:paraId="31CCB3FF">
            <w:pPr>
              <w:pStyle w:val="71"/>
              <w:spacing w:before="24" w:after="24"/>
              <w:rPr>
                <w:rFonts w:cs="Times New Roman"/>
              </w:rPr>
            </w:pPr>
          </w:p>
        </w:tc>
      </w:tr>
      <w:tr w14:paraId="68B4D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7" w:type="dxa"/>
            <w:tcBorders>
              <w:top w:val="single" w:color="000000" w:sz="4" w:space="0"/>
              <w:left w:val="single" w:color="000000" w:sz="4" w:space="0"/>
              <w:bottom w:val="single" w:color="000000" w:sz="4" w:space="0"/>
              <w:right w:val="single" w:color="000000" w:sz="4" w:space="0"/>
            </w:tcBorders>
            <w:vAlign w:val="center"/>
          </w:tcPr>
          <w:p w14:paraId="53764855">
            <w:pPr>
              <w:pStyle w:val="71"/>
              <w:spacing w:before="24" w:after="24"/>
              <w:rPr>
                <w:rFonts w:cs="Times New Roman"/>
              </w:rPr>
            </w:pPr>
            <w:r>
              <w:rPr>
                <w:rFonts w:cs="Times New Roman"/>
              </w:rPr>
              <w:t>3</w:t>
            </w:r>
          </w:p>
        </w:tc>
        <w:tc>
          <w:tcPr>
            <w:tcW w:w="1262" w:type="dxa"/>
            <w:tcBorders>
              <w:top w:val="single" w:color="000000" w:sz="4" w:space="0"/>
              <w:left w:val="single" w:color="000000" w:sz="4" w:space="0"/>
              <w:bottom w:val="single" w:color="000000" w:sz="4" w:space="0"/>
              <w:right w:val="single" w:color="000000" w:sz="4" w:space="0"/>
            </w:tcBorders>
            <w:vAlign w:val="center"/>
          </w:tcPr>
          <w:p w14:paraId="7BC1D711">
            <w:pPr>
              <w:pStyle w:val="71"/>
              <w:spacing w:before="24" w:after="24"/>
              <w:rPr>
                <w:rFonts w:cs="Times New Roman"/>
              </w:rPr>
            </w:pPr>
            <w:r>
              <w:rPr>
                <w:rFonts w:cs="Times New Roman"/>
              </w:rPr>
              <w:t>楼面三</w:t>
            </w:r>
          </w:p>
        </w:tc>
        <w:tc>
          <w:tcPr>
            <w:tcW w:w="2462" w:type="dxa"/>
            <w:tcBorders>
              <w:top w:val="single" w:color="000000" w:sz="4" w:space="0"/>
              <w:left w:val="single" w:color="000000" w:sz="4" w:space="0"/>
              <w:bottom w:val="single" w:color="000000" w:sz="4" w:space="0"/>
              <w:right w:val="single" w:color="000000" w:sz="4" w:space="0"/>
            </w:tcBorders>
            <w:vAlign w:val="center"/>
          </w:tcPr>
          <w:p w14:paraId="5664A07C">
            <w:pPr>
              <w:pStyle w:val="71"/>
              <w:spacing w:before="24" w:after="24"/>
              <w:jc w:val="both"/>
              <w:rPr>
                <w:rFonts w:cs="Times New Roman"/>
              </w:rPr>
            </w:pPr>
            <w:r>
              <w:rPr>
                <w:rFonts w:cs="Times New Roman"/>
              </w:rPr>
              <w:t>门厅、休息厅、宿舍、值班室、餐厅、加工间、电梯厅</w:t>
            </w:r>
          </w:p>
        </w:tc>
        <w:tc>
          <w:tcPr>
            <w:tcW w:w="3390" w:type="dxa"/>
            <w:tcBorders>
              <w:top w:val="single" w:color="000000" w:sz="4" w:space="0"/>
              <w:left w:val="single" w:color="000000" w:sz="4" w:space="0"/>
              <w:bottom w:val="single" w:color="000000" w:sz="4" w:space="0"/>
              <w:right w:val="single" w:color="000000" w:sz="4" w:space="0"/>
            </w:tcBorders>
            <w:vAlign w:val="center"/>
          </w:tcPr>
          <w:p w14:paraId="6D6D91E1">
            <w:pPr>
              <w:pStyle w:val="71"/>
              <w:spacing w:before="24" w:after="24"/>
              <w:rPr>
                <w:rFonts w:cs="Times New Roman"/>
              </w:rPr>
            </w:pPr>
            <w:r>
              <w:rPr>
                <w:rFonts w:cs="Times New Roman"/>
              </w:rPr>
              <w:t>800*800防滑耐磨地砖，专用美缝剂美缝</w:t>
            </w:r>
          </w:p>
        </w:tc>
        <w:tc>
          <w:tcPr>
            <w:tcW w:w="1638" w:type="dxa"/>
            <w:tcBorders>
              <w:top w:val="single" w:color="000000" w:sz="4" w:space="0"/>
              <w:left w:val="single" w:color="000000" w:sz="4" w:space="0"/>
              <w:bottom w:val="single" w:color="000000" w:sz="4" w:space="0"/>
              <w:right w:val="single" w:color="000000" w:sz="4" w:space="0"/>
            </w:tcBorders>
            <w:vAlign w:val="center"/>
          </w:tcPr>
          <w:p w14:paraId="1F8266F7">
            <w:pPr>
              <w:pStyle w:val="71"/>
              <w:spacing w:before="24" w:after="24"/>
              <w:rPr>
                <w:rFonts w:cs="Times New Roman"/>
              </w:rPr>
            </w:pPr>
          </w:p>
        </w:tc>
      </w:tr>
      <w:tr w14:paraId="2265E1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7" w:type="dxa"/>
            <w:tcBorders>
              <w:top w:val="single" w:color="000000" w:sz="4" w:space="0"/>
              <w:left w:val="single" w:color="000000" w:sz="4" w:space="0"/>
              <w:bottom w:val="single" w:color="000000" w:sz="4" w:space="0"/>
              <w:right w:val="single" w:color="000000" w:sz="4" w:space="0"/>
            </w:tcBorders>
            <w:vAlign w:val="center"/>
          </w:tcPr>
          <w:p w14:paraId="7DFDA5E2">
            <w:pPr>
              <w:pStyle w:val="71"/>
              <w:spacing w:before="24" w:after="24"/>
              <w:rPr>
                <w:rFonts w:cs="Times New Roman"/>
              </w:rPr>
            </w:pPr>
            <w:r>
              <w:rPr>
                <w:rFonts w:cs="Times New Roman"/>
              </w:rPr>
              <w:t>4</w:t>
            </w:r>
          </w:p>
        </w:tc>
        <w:tc>
          <w:tcPr>
            <w:tcW w:w="1262" w:type="dxa"/>
            <w:tcBorders>
              <w:top w:val="single" w:color="000000" w:sz="4" w:space="0"/>
              <w:left w:val="single" w:color="000000" w:sz="4" w:space="0"/>
              <w:bottom w:val="single" w:color="000000" w:sz="4" w:space="0"/>
              <w:right w:val="single" w:color="000000" w:sz="4" w:space="0"/>
            </w:tcBorders>
            <w:vAlign w:val="center"/>
          </w:tcPr>
          <w:p w14:paraId="06D1C591">
            <w:pPr>
              <w:pStyle w:val="71"/>
              <w:spacing w:before="24" w:after="24"/>
              <w:rPr>
                <w:rFonts w:cs="Times New Roman"/>
              </w:rPr>
            </w:pPr>
            <w:r>
              <w:rPr>
                <w:rFonts w:cs="Times New Roman"/>
              </w:rPr>
              <w:t>楼面四</w:t>
            </w:r>
          </w:p>
        </w:tc>
        <w:tc>
          <w:tcPr>
            <w:tcW w:w="2462" w:type="dxa"/>
            <w:tcBorders>
              <w:top w:val="single" w:color="000000" w:sz="4" w:space="0"/>
              <w:left w:val="single" w:color="000000" w:sz="4" w:space="0"/>
              <w:bottom w:val="single" w:color="000000" w:sz="4" w:space="0"/>
              <w:right w:val="single" w:color="000000" w:sz="4" w:space="0"/>
            </w:tcBorders>
            <w:vAlign w:val="center"/>
          </w:tcPr>
          <w:p w14:paraId="389505E5">
            <w:pPr>
              <w:pStyle w:val="71"/>
              <w:spacing w:before="24" w:after="24"/>
              <w:jc w:val="both"/>
              <w:rPr>
                <w:rFonts w:cs="Times New Roman"/>
              </w:rPr>
            </w:pPr>
            <w:r>
              <w:rPr>
                <w:rFonts w:cs="Times New Roman"/>
              </w:rPr>
              <w:t>卫生间、厨房</w:t>
            </w:r>
          </w:p>
        </w:tc>
        <w:tc>
          <w:tcPr>
            <w:tcW w:w="3390" w:type="dxa"/>
            <w:tcBorders>
              <w:top w:val="single" w:color="000000" w:sz="4" w:space="0"/>
              <w:left w:val="single" w:color="000000" w:sz="4" w:space="0"/>
              <w:bottom w:val="single" w:color="000000" w:sz="4" w:space="0"/>
              <w:right w:val="single" w:color="000000" w:sz="4" w:space="0"/>
            </w:tcBorders>
            <w:vAlign w:val="center"/>
          </w:tcPr>
          <w:p w14:paraId="48100133">
            <w:pPr>
              <w:pStyle w:val="71"/>
              <w:spacing w:before="24" w:after="24"/>
              <w:rPr>
                <w:rFonts w:cs="Times New Roman"/>
              </w:rPr>
            </w:pPr>
            <w:r>
              <w:rPr>
                <w:rFonts w:cs="Times New Roman"/>
              </w:rPr>
              <w:t>300*300防滑地砖，专用美缝剂美缝</w:t>
            </w:r>
          </w:p>
        </w:tc>
        <w:tc>
          <w:tcPr>
            <w:tcW w:w="1638" w:type="dxa"/>
            <w:tcBorders>
              <w:top w:val="single" w:color="000000" w:sz="4" w:space="0"/>
              <w:left w:val="single" w:color="000000" w:sz="4" w:space="0"/>
              <w:bottom w:val="single" w:color="000000" w:sz="4" w:space="0"/>
              <w:right w:val="single" w:color="000000" w:sz="4" w:space="0"/>
            </w:tcBorders>
            <w:vAlign w:val="center"/>
          </w:tcPr>
          <w:p w14:paraId="290AE7A8">
            <w:pPr>
              <w:pStyle w:val="71"/>
              <w:spacing w:before="24" w:after="24"/>
              <w:rPr>
                <w:rFonts w:cs="Times New Roman"/>
              </w:rPr>
            </w:pPr>
          </w:p>
        </w:tc>
      </w:tr>
      <w:tr w14:paraId="52D75F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7" w:type="dxa"/>
            <w:tcBorders>
              <w:top w:val="single" w:color="000000" w:sz="4" w:space="0"/>
              <w:left w:val="single" w:color="000000" w:sz="4" w:space="0"/>
              <w:bottom w:val="single" w:color="000000" w:sz="4" w:space="0"/>
              <w:right w:val="single" w:color="000000" w:sz="4" w:space="0"/>
            </w:tcBorders>
            <w:vAlign w:val="center"/>
          </w:tcPr>
          <w:p w14:paraId="398D05BF">
            <w:pPr>
              <w:pStyle w:val="71"/>
              <w:spacing w:before="24" w:after="24"/>
              <w:rPr>
                <w:rFonts w:cs="Times New Roman"/>
              </w:rPr>
            </w:pPr>
            <w:r>
              <w:rPr>
                <w:rFonts w:cs="Times New Roman"/>
              </w:rPr>
              <w:t>6</w:t>
            </w:r>
          </w:p>
        </w:tc>
        <w:tc>
          <w:tcPr>
            <w:tcW w:w="1262" w:type="dxa"/>
            <w:tcBorders>
              <w:top w:val="single" w:color="000000" w:sz="4" w:space="0"/>
              <w:left w:val="single" w:color="000000" w:sz="4" w:space="0"/>
              <w:bottom w:val="single" w:color="000000" w:sz="4" w:space="0"/>
              <w:right w:val="single" w:color="000000" w:sz="4" w:space="0"/>
            </w:tcBorders>
            <w:vAlign w:val="center"/>
          </w:tcPr>
          <w:p w14:paraId="722255B0">
            <w:pPr>
              <w:pStyle w:val="71"/>
              <w:spacing w:before="24" w:after="24"/>
              <w:rPr>
                <w:rFonts w:cs="Times New Roman"/>
              </w:rPr>
            </w:pPr>
            <w:r>
              <w:rPr>
                <w:rFonts w:cs="Times New Roman"/>
              </w:rPr>
              <w:t>楼面六</w:t>
            </w:r>
          </w:p>
        </w:tc>
        <w:tc>
          <w:tcPr>
            <w:tcW w:w="2462" w:type="dxa"/>
            <w:tcBorders>
              <w:top w:val="single" w:color="000000" w:sz="4" w:space="0"/>
              <w:left w:val="single" w:color="000000" w:sz="4" w:space="0"/>
              <w:bottom w:val="single" w:color="000000" w:sz="4" w:space="0"/>
              <w:right w:val="single" w:color="000000" w:sz="4" w:space="0"/>
            </w:tcBorders>
            <w:vAlign w:val="center"/>
          </w:tcPr>
          <w:p w14:paraId="2A3E30F5">
            <w:pPr>
              <w:pStyle w:val="71"/>
              <w:spacing w:before="24" w:after="24"/>
              <w:jc w:val="both"/>
              <w:rPr>
                <w:rFonts w:cs="Times New Roman"/>
              </w:rPr>
            </w:pPr>
            <w:r>
              <w:rPr>
                <w:rFonts w:cs="Times New Roman"/>
              </w:rPr>
              <w:t>室内篮球、排球、羽毛球、乒乓球场地</w:t>
            </w:r>
          </w:p>
        </w:tc>
        <w:tc>
          <w:tcPr>
            <w:tcW w:w="3390" w:type="dxa"/>
            <w:tcBorders>
              <w:top w:val="single" w:color="000000" w:sz="4" w:space="0"/>
              <w:left w:val="single" w:color="000000" w:sz="4" w:space="0"/>
              <w:bottom w:val="single" w:color="000000" w:sz="4" w:space="0"/>
              <w:right w:val="single" w:color="000000" w:sz="4" w:space="0"/>
            </w:tcBorders>
            <w:vAlign w:val="center"/>
          </w:tcPr>
          <w:p w14:paraId="2EE8EFC3">
            <w:pPr>
              <w:pStyle w:val="71"/>
              <w:spacing w:before="24" w:after="24"/>
              <w:rPr>
                <w:rFonts w:cs="Times New Roman"/>
              </w:rPr>
            </w:pPr>
            <w:r>
              <w:rPr>
                <w:rFonts w:cs="Times New Roman"/>
              </w:rPr>
              <w:t>聚氯乙烯卷材面层</w:t>
            </w:r>
          </w:p>
        </w:tc>
        <w:tc>
          <w:tcPr>
            <w:tcW w:w="1638" w:type="dxa"/>
            <w:tcBorders>
              <w:top w:val="single" w:color="000000" w:sz="4" w:space="0"/>
              <w:left w:val="single" w:color="000000" w:sz="4" w:space="0"/>
              <w:bottom w:val="single" w:color="000000" w:sz="4" w:space="0"/>
              <w:right w:val="single" w:color="000000" w:sz="4" w:space="0"/>
            </w:tcBorders>
            <w:vAlign w:val="center"/>
          </w:tcPr>
          <w:p w14:paraId="3942CDA1">
            <w:pPr>
              <w:pStyle w:val="71"/>
              <w:spacing w:before="24" w:after="24"/>
              <w:rPr>
                <w:rFonts w:cs="Times New Roman"/>
              </w:rPr>
            </w:pPr>
          </w:p>
        </w:tc>
      </w:tr>
      <w:tr w14:paraId="47A5E2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7" w:type="dxa"/>
            <w:tcBorders>
              <w:top w:val="single" w:color="000000" w:sz="4" w:space="0"/>
              <w:left w:val="single" w:color="000000" w:sz="4" w:space="0"/>
              <w:bottom w:val="single" w:color="000000" w:sz="4" w:space="0"/>
              <w:right w:val="single" w:color="000000" w:sz="4" w:space="0"/>
            </w:tcBorders>
            <w:vAlign w:val="center"/>
          </w:tcPr>
          <w:p w14:paraId="2B739197">
            <w:pPr>
              <w:pStyle w:val="71"/>
              <w:spacing w:before="24" w:after="24"/>
              <w:rPr>
                <w:rFonts w:cs="Times New Roman"/>
              </w:rPr>
            </w:pPr>
            <w:r>
              <w:rPr>
                <w:rFonts w:cs="Times New Roman"/>
              </w:rPr>
              <w:t>7</w:t>
            </w:r>
          </w:p>
        </w:tc>
        <w:tc>
          <w:tcPr>
            <w:tcW w:w="1262" w:type="dxa"/>
            <w:tcBorders>
              <w:top w:val="single" w:color="000000" w:sz="4" w:space="0"/>
              <w:left w:val="single" w:color="000000" w:sz="4" w:space="0"/>
              <w:bottom w:val="single" w:color="000000" w:sz="4" w:space="0"/>
              <w:right w:val="single" w:color="000000" w:sz="4" w:space="0"/>
            </w:tcBorders>
            <w:vAlign w:val="center"/>
          </w:tcPr>
          <w:p w14:paraId="0BA516EA">
            <w:pPr>
              <w:pStyle w:val="71"/>
              <w:spacing w:before="24" w:after="24"/>
              <w:rPr>
                <w:rFonts w:cs="Times New Roman"/>
              </w:rPr>
            </w:pPr>
            <w:r>
              <w:rPr>
                <w:rFonts w:cs="Times New Roman"/>
              </w:rPr>
              <w:t>楼面七</w:t>
            </w:r>
          </w:p>
        </w:tc>
        <w:tc>
          <w:tcPr>
            <w:tcW w:w="2462" w:type="dxa"/>
            <w:tcBorders>
              <w:top w:val="single" w:color="000000" w:sz="4" w:space="0"/>
              <w:left w:val="single" w:color="000000" w:sz="4" w:space="0"/>
              <w:bottom w:val="single" w:color="000000" w:sz="4" w:space="0"/>
              <w:right w:val="single" w:color="000000" w:sz="4" w:space="0"/>
            </w:tcBorders>
            <w:vAlign w:val="center"/>
          </w:tcPr>
          <w:p w14:paraId="576CC64E">
            <w:pPr>
              <w:pStyle w:val="71"/>
              <w:spacing w:before="24" w:after="24"/>
              <w:jc w:val="both"/>
              <w:rPr>
                <w:rFonts w:cs="Times New Roman"/>
              </w:rPr>
            </w:pPr>
            <w:r>
              <w:rPr>
                <w:rFonts w:cs="Times New Roman"/>
              </w:rPr>
              <w:t>药品室、准备室、仪器室、化学实验室</w:t>
            </w:r>
          </w:p>
        </w:tc>
        <w:tc>
          <w:tcPr>
            <w:tcW w:w="3390" w:type="dxa"/>
            <w:tcBorders>
              <w:top w:val="single" w:color="000000" w:sz="4" w:space="0"/>
              <w:left w:val="single" w:color="000000" w:sz="4" w:space="0"/>
              <w:bottom w:val="single" w:color="000000" w:sz="4" w:space="0"/>
              <w:right w:val="single" w:color="000000" w:sz="4" w:space="0"/>
            </w:tcBorders>
            <w:vAlign w:val="center"/>
          </w:tcPr>
          <w:p w14:paraId="03007A21">
            <w:pPr>
              <w:pStyle w:val="71"/>
              <w:spacing w:before="24" w:after="24"/>
              <w:rPr>
                <w:rFonts w:cs="Times New Roman"/>
              </w:rPr>
            </w:pPr>
            <w:r>
              <w:rPr>
                <w:rFonts w:cs="Times New Roman"/>
              </w:rPr>
              <w:t>耐酸碱橡胶板板面层</w:t>
            </w:r>
          </w:p>
        </w:tc>
        <w:tc>
          <w:tcPr>
            <w:tcW w:w="1638" w:type="dxa"/>
            <w:tcBorders>
              <w:top w:val="single" w:color="000000" w:sz="4" w:space="0"/>
              <w:left w:val="single" w:color="000000" w:sz="4" w:space="0"/>
              <w:bottom w:val="single" w:color="000000" w:sz="4" w:space="0"/>
              <w:right w:val="single" w:color="000000" w:sz="4" w:space="0"/>
            </w:tcBorders>
            <w:vAlign w:val="center"/>
          </w:tcPr>
          <w:p w14:paraId="4459E4A8">
            <w:pPr>
              <w:pStyle w:val="71"/>
              <w:spacing w:before="24" w:after="24"/>
              <w:rPr>
                <w:rFonts w:cs="Times New Roman"/>
              </w:rPr>
            </w:pPr>
          </w:p>
        </w:tc>
      </w:tr>
      <w:tr w14:paraId="3D72E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7" w:type="dxa"/>
            <w:tcBorders>
              <w:top w:val="single" w:color="000000" w:sz="4" w:space="0"/>
              <w:left w:val="single" w:color="000000" w:sz="4" w:space="0"/>
              <w:bottom w:val="single" w:color="000000" w:sz="4" w:space="0"/>
              <w:right w:val="single" w:color="000000" w:sz="4" w:space="0"/>
            </w:tcBorders>
            <w:vAlign w:val="center"/>
          </w:tcPr>
          <w:p w14:paraId="41E9F8C1">
            <w:pPr>
              <w:pStyle w:val="71"/>
              <w:spacing w:before="24" w:after="24"/>
              <w:rPr>
                <w:rFonts w:cs="Times New Roman"/>
              </w:rPr>
            </w:pPr>
            <w:r>
              <w:rPr>
                <w:rFonts w:cs="Times New Roman"/>
              </w:rPr>
              <w:t>8</w:t>
            </w:r>
          </w:p>
        </w:tc>
        <w:tc>
          <w:tcPr>
            <w:tcW w:w="1262" w:type="dxa"/>
            <w:tcBorders>
              <w:top w:val="single" w:color="000000" w:sz="4" w:space="0"/>
              <w:left w:val="single" w:color="000000" w:sz="4" w:space="0"/>
              <w:bottom w:val="single" w:color="000000" w:sz="4" w:space="0"/>
              <w:right w:val="single" w:color="000000" w:sz="4" w:space="0"/>
            </w:tcBorders>
            <w:vAlign w:val="center"/>
          </w:tcPr>
          <w:p w14:paraId="47F8DE54">
            <w:pPr>
              <w:pStyle w:val="71"/>
              <w:spacing w:before="24" w:after="24"/>
              <w:rPr>
                <w:rFonts w:cs="Times New Roman"/>
              </w:rPr>
            </w:pPr>
            <w:r>
              <w:rPr>
                <w:rFonts w:cs="Times New Roman"/>
              </w:rPr>
              <w:t>楼面八</w:t>
            </w:r>
          </w:p>
        </w:tc>
        <w:tc>
          <w:tcPr>
            <w:tcW w:w="2462" w:type="dxa"/>
            <w:tcBorders>
              <w:top w:val="single" w:color="000000" w:sz="4" w:space="0"/>
              <w:left w:val="single" w:color="000000" w:sz="4" w:space="0"/>
              <w:bottom w:val="single" w:color="000000" w:sz="4" w:space="0"/>
              <w:right w:val="single" w:color="000000" w:sz="4" w:space="0"/>
            </w:tcBorders>
            <w:vAlign w:val="center"/>
          </w:tcPr>
          <w:p w14:paraId="31760AAB">
            <w:pPr>
              <w:pStyle w:val="71"/>
              <w:spacing w:before="24" w:after="24"/>
              <w:jc w:val="both"/>
              <w:rPr>
                <w:rFonts w:cs="Times New Roman"/>
              </w:rPr>
            </w:pPr>
            <w:r>
              <w:rPr>
                <w:rFonts w:cs="Times New Roman"/>
              </w:rPr>
              <w:t>舞蹈教室、音乐教室</w:t>
            </w:r>
          </w:p>
        </w:tc>
        <w:tc>
          <w:tcPr>
            <w:tcW w:w="3390" w:type="dxa"/>
            <w:tcBorders>
              <w:top w:val="single" w:color="000000" w:sz="4" w:space="0"/>
              <w:left w:val="single" w:color="000000" w:sz="4" w:space="0"/>
              <w:bottom w:val="single" w:color="000000" w:sz="4" w:space="0"/>
              <w:right w:val="single" w:color="000000" w:sz="4" w:space="0"/>
            </w:tcBorders>
            <w:vAlign w:val="center"/>
          </w:tcPr>
          <w:p w14:paraId="188406E8">
            <w:pPr>
              <w:pStyle w:val="71"/>
              <w:spacing w:before="24" w:after="24"/>
              <w:rPr>
                <w:rFonts w:cs="Times New Roman"/>
              </w:rPr>
            </w:pPr>
            <w:r>
              <w:rPr>
                <w:rFonts w:cs="Times New Roman"/>
              </w:rPr>
              <w:t>软木复合弹性地板</w:t>
            </w:r>
          </w:p>
        </w:tc>
        <w:tc>
          <w:tcPr>
            <w:tcW w:w="1638" w:type="dxa"/>
            <w:tcBorders>
              <w:top w:val="single" w:color="000000" w:sz="4" w:space="0"/>
              <w:left w:val="single" w:color="000000" w:sz="4" w:space="0"/>
              <w:bottom w:val="single" w:color="000000" w:sz="4" w:space="0"/>
              <w:right w:val="single" w:color="000000" w:sz="4" w:space="0"/>
            </w:tcBorders>
            <w:vAlign w:val="center"/>
          </w:tcPr>
          <w:p w14:paraId="1C09C262">
            <w:pPr>
              <w:pStyle w:val="71"/>
              <w:spacing w:before="24" w:after="24"/>
              <w:rPr>
                <w:rFonts w:cs="Times New Roman"/>
              </w:rPr>
            </w:pPr>
          </w:p>
        </w:tc>
      </w:tr>
      <w:tr w14:paraId="3A4A48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7" w:type="dxa"/>
            <w:tcBorders>
              <w:top w:val="single" w:color="000000" w:sz="4" w:space="0"/>
              <w:left w:val="single" w:color="000000" w:sz="4" w:space="0"/>
              <w:bottom w:val="single" w:color="000000" w:sz="4" w:space="0"/>
              <w:right w:val="single" w:color="000000" w:sz="4" w:space="0"/>
            </w:tcBorders>
            <w:vAlign w:val="center"/>
          </w:tcPr>
          <w:p w14:paraId="7B97EE6D">
            <w:pPr>
              <w:pStyle w:val="71"/>
              <w:spacing w:before="24" w:after="24"/>
              <w:rPr>
                <w:rFonts w:cs="Times New Roman"/>
              </w:rPr>
            </w:pPr>
            <w:r>
              <w:rPr>
                <w:rFonts w:cs="Times New Roman"/>
              </w:rPr>
              <w:t>9</w:t>
            </w:r>
          </w:p>
        </w:tc>
        <w:tc>
          <w:tcPr>
            <w:tcW w:w="1262" w:type="dxa"/>
            <w:tcBorders>
              <w:top w:val="single" w:color="000000" w:sz="4" w:space="0"/>
              <w:left w:val="single" w:color="000000" w:sz="4" w:space="0"/>
              <w:bottom w:val="single" w:color="000000" w:sz="4" w:space="0"/>
              <w:right w:val="single" w:color="000000" w:sz="4" w:space="0"/>
            </w:tcBorders>
            <w:vAlign w:val="center"/>
          </w:tcPr>
          <w:p w14:paraId="0EA2B5D9">
            <w:pPr>
              <w:pStyle w:val="71"/>
              <w:spacing w:before="24" w:after="24"/>
              <w:rPr>
                <w:rFonts w:cs="Times New Roman"/>
              </w:rPr>
            </w:pPr>
            <w:r>
              <w:rPr>
                <w:rFonts w:cs="Times New Roman"/>
              </w:rPr>
              <w:t>楼面九</w:t>
            </w:r>
          </w:p>
        </w:tc>
        <w:tc>
          <w:tcPr>
            <w:tcW w:w="2462" w:type="dxa"/>
            <w:tcBorders>
              <w:top w:val="single" w:color="000000" w:sz="4" w:space="0"/>
              <w:left w:val="single" w:color="000000" w:sz="4" w:space="0"/>
              <w:bottom w:val="single" w:color="000000" w:sz="4" w:space="0"/>
              <w:right w:val="single" w:color="000000" w:sz="4" w:space="0"/>
            </w:tcBorders>
            <w:vAlign w:val="center"/>
          </w:tcPr>
          <w:p w14:paraId="13270F31">
            <w:pPr>
              <w:pStyle w:val="71"/>
              <w:spacing w:before="24" w:after="24"/>
              <w:jc w:val="both"/>
              <w:rPr>
                <w:rFonts w:cs="Times New Roman"/>
              </w:rPr>
            </w:pPr>
            <w:r>
              <w:rPr>
                <w:rFonts w:cs="Times New Roman"/>
              </w:rPr>
              <w:t>计算机教室及其辅助用房、安防、网络监控室</w:t>
            </w:r>
          </w:p>
        </w:tc>
        <w:tc>
          <w:tcPr>
            <w:tcW w:w="3390" w:type="dxa"/>
            <w:tcBorders>
              <w:top w:val="single" w:color="000000" w:sz="4" w:space="0"/>
              <w:left w:val="single" w:color="000000" w:sz="4" w:space="0"/>
              <w:bottom w:val="single" w:color="000000" w:sz="4" w:space="0"/>
              <w:right w:val="single" w:color="000000" w:sz="4" w:space="0"/>
            </w:tcBorders>
            <w:vAlign w:val="center"/>
          </w:tcPr>
          <w:p w14:paraId="5C7E779B">
            <w:pPr>
              <w:pStyle w:val="71"/>
              <w:spacing w:before="24" w:after="24"/>
              <w:rPr>
                <w:rFonts w:cs="Times New Roman"/>
              </w:rPr>
            </w:pPr>
            <w:r>
              <w:rPr>
                <w:rFonts w:cs="Times New Roman"/>
              </w:rPr>
              <w:t>架空防静电活动地板</w:t>
            </w:r>
          </w:p>
          <w:p w14:paraId="7ABF66F9">
            <w:pPr>
              <w:pStyle w:val="71"/>
              <w:spacing w:before="24" w:after="24"/>
              <w:rPr>
                <w:rFonts w:cs="Times New Roman"/>
              </w:rPr>
            </w:pPr>
          </w:p>
        </w:tc>
        <w:tc>
          <w:tcPr>
            <w:tcW w:w="1638" w:type="dxa"/>
            <w:tcBorders>
              <w:top w:val="single" w:color="000000" w:sz="4" w:space="0"/>
              <w:left w:val="single" w:color="000000" w:sz="4" w:space="0"/>
              <w:bottom w:val="single" w:color="000000" w:sz="4" w:space="0"/>
              <w:right w:val="single" w:color="000000" w:sz="4" w:space="0"/>
            </w:tcBorders>
            <w:vAlign w:val="center"/>
          </w:tcPr>
          <w:p w14:paraId="1BDE4D5A">
            <w:pPr>
              <w:pStyle w:val="71"/>
              <w:spacing w:before="24" w:after="24"/>
              <w:rPr>
                <w:rFonts w:cs="Times New Roman"/>
              </w:rPr>
            </w:pPr>
          </w:p>
        </w:tc>
      </w:tr>
      <w:tr w14:paraId="12E7B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59" w:type="dxa"/>
            <w:gridSpan w:val="5"/>
            <w:tcBorders>
              <w:top w:val="single" w:color="000000" w:sz="4" w:space="0"/>
              <w:left w:val="single" w:color="000000" w:sz="4" w:space="0"/>
              <w:bottom w:val="single" w:color="000000" w:sz="4" w:space="0"/>
              <w:right w:val="single" w:color="000000" w:sz="4" w:space="0"/>
            </w:tcBorders>
            <w:vAlign w:val="center"/>
          </w:tcPr>
          <w:p w14:paraId="4EDD17D2">
            <w:pPr>
              <w:pStyle w:val="71"/>
              <w:spacing w:before="24" w:after="24"/>
              <w:rPr>
                <w:rFonts w:cs="Times New Roman"/>
              </w:rPr>
            </w:pPr>
            <w:r>
              <w:rPr>
                <w:rFonts w:cs="Times New Roman"/>
              </w:rPr>
              <w:t>内墙</w:t>
            </w:r>
          </w:p>
        </w:tc>
      </w:tr>
      <w:tr w14:paraId="27946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00" w:hRule="atLeast"/>
          <w:jc w:val="center"/>
        </w:trPr>
        <w:tc>
          <w:tcPr>
            <w:tcW w:w="807" w:type="dxa"/>
            <w:tcBorders>
              <w:top w:val="single" w:color="000000" w:sz="4" w:space="0"/>
              <w:left w:val="single" w:color="000000" w:sz="4" w:space="0"/>
              <w:bottom w:val="single" w:color="000000" w:sz="4" w:space="0"/>
              <w:right w:val="single" w:color="000000" w:sz="4" w:space="0"/>
            </w:tcBorders>
            <w:vAlign w:val="center"/>
          </w:tcPr>
          <w:p w14:paraId="5F733F6E">
            <w:pPr>
              <w:pStyle w:val="71"/>
              <w:spacing w:before="24" w:after="24"/>
              <w:rPr>
                <w:rFonts w:cs="Times New Roman"/>
              </w:rPr>
            </w:pPr>
            <w:r>
              <w:rPr>
                <w:rFonts w:cs="Times New Roman"/>
              </w:rPr>
              <w:t>1</w:t>
            </w:r>
          </w:p>
        </w:tc>
        <w:tc>
          <w:tcPr>
            <w:tcW w:w="1262" w:type="dxa"/>
            <w:tcBorders>
              <w:top w:val="single" w:color="000000" w:sz="4" w:space="0"/>
              <w:left w:val="single" w:color="000000" w:sz="4" w:space="0"/>
              <w:bottom w:val="single" w:color="000000" w:sz="4" w:space="0"/>
              <w:right w:val="single" w:color="000000" w:sz="4" w:space="0"/>
            </w:tcBorders>
            <w:vAlign w:val="center"/>
          </w:tcPr>
          <w:p w14:paraId="63555412">
            <w:pPr>
              <w:pStyle w:val="71"/>
              <w:spacing w:before="24" w:after="24"/>
              <w:rPr>
                <w:rFonts w:cs="Times New Roman"/>
              </w:rPr>
            </w:pPr>
            <w:r>
              <w:rPr>
                <w:rFonts w:cs="Times New Roman"/>
              </w:rPr>
              <w:t>内墙1</w:t>
            </w:r>
          </w:p>
        </w:tc>
        <w:tc>
          <w:tcPr>
            <w:tcW w:w="2462" w:type="dxa"/>
            <w:tcBorders>
              <w:top w:val="single" w:color="000000" w:sz="4" w:space="0"/>
              <w:left w:val="single" w:color="000000" w:sz="4" w:space="0"/>
              <w:bottom w:val="single" w:color="000000" w:sz="4" w:space="0"/>
              <w:right w:val="single" w:color="000000" w:sz="4" w:space="0"/>
            </w:tcBorders>
            <w:vAlign w:val="center"/>
          </w:tcPr>
          <w:p w14:paraId="5B873312">
            <w:pPr>
              <w:pStyle w:val="71"/>
              <w:spacing w:before="24" w:after="24"/>
              <w:jc w:val="both"/>
              <w:rPr>
                <w:rFonts w:cs="Times New Roman"/>
              </w:rPr>
            </w:pPr>
            <w:r>
              <w:rPr>
                <w:rFonts w:cs="Times New Roman"/>
              </w:rPr>
              <w:t>普通教室、办公室、阅览室、内走道、休息厅、宿舍、值班室、餐厅、室内篮球、排球、羽毛球、乒乓球场地、药品室、准备室、仪器室、化学实验室</w:t>
            </w:r>
          </w:p>
        </w:tc>
        <w:tc>
          <w:tcPr>
            <w:tcW w:w="3390" w:type="dxa"/>
            <w:tcBorders>
              <w:top w:val="single" w:color="000000" w:sz="4" w:space="0"/>
              <w:left w:val="single" w:color="000000" w:sz="4" w:space="0"/>
              <w:bottom w:val="single" w:color="000000" w:sz="4" w:space="0"/>
              <w:right w:val="single" w:color="000000" w:sz="4" w:space="0"/>
            </w:tcBorders>
            <w:vAlign w:val="center"/>
          </w:tcPr>
          <w:p w14:paraId="6CBF0F08">
            <w:pPr>
              <w:pStyle w:val="71"/>
              <w:spacing w:before="24" w:after="24"/>
              <w:rPr>
                <w:rFonts w:cs="Times New Roman"/>
              </w:rPr>
            </w:pPr>
            <w:r>
              <w:rPr>
                <w:rFonts w:cs="Times New Roman"/>
              </w:rPr>
              <w:t>乳胶漆</w:t>
            </w:r>
          </w:p>
        </w:tc>
        <w:tc>
          <w:tcPr>
            <w:tcW w:w="1638" w:type="dxa"/>
            <w:tcBorders>
              <w:top w:val="single" w:color="000000" w:sz="4" w:space="0"/>
              <w:left w:val="single" w:color="000000" w:sz="4" w:space="0"/>
              <w:bottom w:val="single" w:color="000000" w:sz="4" w:space="0"/>
              <w:right w:val="single" w:color="000000" w:sz="4" w:space="0"/>
            </w:tcBorders>
            <w:vAlign w:val="center"/>
          </w:tcPr>
          <w:p w14:paraId="78B08968">
            <w:pPr>
              <w:pStyle w:val="71"/>
              <w:spacing w:before="24" w:after="24"/>
              <w:rPr>
                <w:rFonts w:cs="Times New Roman"/>
              </w:rPr>
            </w:pPr>
          </w:p>
        </w:tc>
      </w:tr>
      <w:tr w14:paraId="0813FB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6" w:hRule="atLeast"/>
          <w:jc w:val="center"/>
        </w:trPr>
        <w:tc>
          <w:tcPr>
            <w:tcW w:w="807" w:type="dxa"/>
            <w:tcBorders>
              <w:top w:val="single" w:color="000000" w:sz="4" w:space="0"/>
              <w:left w:val="single" w:color="000000" w:sz="4" w:space="0"/>
              <w:bottom w:val="single" w:color="000000" w:sz="4" w:space="0"/>
              <w:right w:val="single" w:color="000000" w:sz="4" w:space="0"/>
            </w:tcBorders>
            <w:vAlign w:val="center"/>
          </w:tcPr>
          <w:p w14:paraId="02B538D0">
            <w:pPr>
              <w:pStyle w:val="71"/>
              <w:spacing w:before="24" w:after="24"/>
              <w:rPr>
                <w:rFonts w:cs="Times New Roman"/>
              </w:rPr>
            </w:pPr>
            <w:r>
              <w:rPr>
                <w:rFonts w:cs="Times New Roman"/>
              </w:rPr>
              <w:t>2</w:t>
            </w:r>
          </w:p>
        </w:tc>
        <w:tc>
          <w:tcPr>
            <w:tcW w:w="1262" w:type="dxa"/>
            <w:tcBorders>
              <w:top w:val="single" w:color="000000" w:sz="4" w:space="0"/>
              <w:left w:val="single" w:color="000000" w:sz="4" w:space="0"/>
              <w:bottom w:val="single" w:color="000000" w:sz="4" w:space="0"/>
              <w:right w:val="single" w:color="000000" w:sz="4" w:space="0"/>
            </w:tcBorders>
            <w:vAlign w:val="center"/>
          </w:tcPr>
          <w:p w14:paraId="7D513C5B">
            <w:pPr>
              <w:pStyle w:val="71"/>
              <w:spacing w:before="24" w:after="24"/>
              <w:rPr>
                <w:rFonts w:cs="Times New Roman"/>
              </w:rPr>
            </w:pPr>
            <w:r>
              <w:rPr>
                <w:rFonts w:cs="Times New Roman"/>
              </w:rPr>
              <w:t>内墙2</w:t>
            </w:r>
          </w:p>
        </w:tc>
        <w:tc>
          <w:tcPr>
            <w:tcW w:w="2462" w:type="dxa"/>
            <w:tcBorders>
              <w:top w:val="single" w:color="000000" w:sz="4" w:space="0"/>
              <w:left w:val="single" w:color="000000" w:sz="4" w:space="0"/>
              <w:bottom w:val="single" w:color="000000" w:sz="4" w:space="0"/>
              <w:right w:val="single" w:color="000000" w:sz="4" w:space="0"/>
            </w:tcBorders>
            <w:vAlign w:val="center"/>
          </w:tcPr>
          <w:p w14:paraId="30856320">
            <w:pPr>
              <w:pStyle w:val="71"/>
              <w:spacing w:before="24" w:after="24"/>
              <w:rPr>
                <w:rFonts w:cs="Times New Roman"/>
              </w:rPr>
            </w:pPr>
            <w:r>
              <w:rPr>
                <w:rFonts w:cs="Times New Roman"/>
              </w:rPr>
              <w:t>门厅、电梯厅</w:t>
            </w:r>
          </w:p>
        </w:tc>
        <w:tc>
          <w:tcPr>
            <w:tcW w:w="3390" w:type="dxa"/>
            <w:tcBorders>
              <w:top w:val="single" w:color="000000" w:sz="4" w:space="0"/>
              <w:left w:val="single" w:color="000000" w:sz="4" w:space="0"/>
              <w:bottom w:val="single" w:color="000000" w:sz="4" w:space="0"/>
              <w:right w:val="single" w:color="000000" w:sz="4" w:space="0"/>
            </w:tcBorders>
            <w:vAlign w:val="center"/>
          </w:tcPr>
          <w:p w14:paraId="08389AF8">
            <w:pPr>
              <w:pStyle w:val="71"/>
              <w:spacing w:before="24" w:after="24"/>
              <w:rPr>
                <w:rFonts w:cs="Times New Roman"/>
              </w:rPr>
            </w:pPr>
            <w:r>
              <w:rPr>
                <w:rFonts w:cs="Times New Roman"/>
              </w:rPr>
              <w:t>800*800面砖（高度至吊顶以上100mm，专业美缝）</w:t>
            </w:r>
          </w:p>
        </w:tc>
        <w:tc>
          <w:tcPr>
            <w:tcW w:w="1638" w:type="dxa"/>
            <w:tcBorders>
              <w:top w:val="single" w:color="000000" w:sz="4" w:space="0"/>
              <w:left w:val="single" w:color="000000" w:sz="4" w:space="0"/>
              <w:bottom w:val="single" w:color="000000" w:sz="4" w:space="0"/>
              <w:right w:val="single" w:color="000000" w:sz="4" w:space="0"/>
            </w:tcBorders>
            <w:vAlign w:val="center"/>
          </w:tcPr>
          <w:p w14:paraId="7E9DD57C">
            <w:pPr>
              <w:pStyle w:val="71"/>
              <w:spacing w:before="24" w:after="24"/>
              <w:rPr>
                <w:rFonts w:cs="Times New Roman"/>
              </w:rPr>
            </w:pPr>
          </w:p>
        </w:tc>
      </w:tr>
      <w:tr w14:paraId="2C63F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7" w:type="dxa"/>
            <w:tcBorders>
              <w:top w:val="single" w:color="000000" w:sz="4" w:space="0"/>
              <w:left w:val="single" w:color="000000" w:sz="4" w:space="0"/>
              <w:bottom w:val="single" w:color="000000" w:sz="4" w:space="0"/>
              <w:right w:val="single" w:color="000000" w:sz="4" w:space="0"/>
            </w:tcBorders>
            <w:vAlign w:val="center"/>
          </w:tcPr>
          <w:p w14:paraId="01A3FDF3">
            <w:pPr>
              <w:pStyle w:val="71"/>
              <w:spacing w:before="24" w:after="24"/>
              <w:rPr>
                <w:rFonts w:cs="Times New Roman"/>
              </w:rPr>
            </w:pPr>
            <w:r>
              <w:rPr>
                <w:rFonts w:cs="Times New Roman"/>
              </w:rPr>
              <w:t>3</w:t>
            </w:r>
          </w:p>
        </w:tc>
        <w:tc>
          <w:tcPr>
            <w:tcW w:w="1262" w:type="dxa"/>
            <w:tcBorders>
              <w:top w:val="single" w:color="000000" w:sz="4" w:space="0"/>
              <w:left w:val="single" w:color="000000" w:sz="4" w:space="0"/>
              <w:bottom w:val="single" w:color="000000" w:sz="4" w:space="0"/>
              <w:right w:val="single" w:color="000000" w:sz="4" w:space="0"/>
            </w:tcBorders>
            <w:vAlign w:val="center"/>
          </w:tcPr>
          <w:p w14:paraId="0B51F958">
            <w:pPr>
              <w:pStyle w:val="71"/>
              <w:spacing w:before="24" w:after="24"/>
              <w:rPr>
                <w:rFonts w:cs="Times New Roman"/>
              </w:rPr>
            </w:pPr>
            <w:r>
              <w:rPr>
                <w:rFonts w:cs="Times New Roman"/>
              </w:rPr>
              <w:t>内墙3</w:t>
            </w:r>
          </w:p>
        </w:tc>
        <w:tc>
          <w:tcPr>
            <w:tcW w:w="2462" w:type="dxa"/>
            <w:tcBorders>
              <w:top w:val="single" w:color="000000" w:sz="4" w:space="0"/>
              <w:left w:val="single" w:color="000000" w:sz="4" w:space="0"/>
              <w:bottom w:val="single" w:color="000000" w:sz="4" w:space="0"/>
              <w:right w:val="single" w:color="000000" w:sz="4" w:space="0"/>
            </w:tcBorders>
            <w:vAlign w:val="center"/>
          </w:tcPr>
          <w:p w14:paraId="62D762EF">
            <w:pPr>
              <w:pStyle w:val="71"/>
              <w:spacing w:before="24" w:after="24"/>
              <w:rPr>
                <w:rFonts w:cs="Times New Roman"/>
              </w:rPr>
            </w:pPr>
            <w:r>
              <w:rPr>
                <w:rFonts w:cs="Times New Roman"/>
              </w:rPr>
              <w:t>卫生间、开水间、、厨房、洗衣房</w:t>
            </w:r>
          </w:p>
        </w:tc>
        <w:tc>
          <w:tcPr>
            <w:tcW w:w="3390" w:type="dxa"/>
            <w:tcBorders>
              <w:top w:val="single" w:color="000000" w:sz="4" w:space="0"/>
              <w:left w:val="single" w:color="000000" w:sz="4" w:space="0"/>
              <w:bottom w:val="single" w:color="000000" w:sz="4" w:space="0"/>
              <w:right w:val="single" w:color="000000" w:sz="4" w:space="0"/>
            </w:tcBorders>
            <w:vAlign w:val="center"/>
          </w:tcPr>
          <w:p w14:paraId="7BFB587A">
            <w:pPr>
              <w:pStyle w:val="71"/>
              <w:spacing w:before="24" w:after="24"/>
              <w:rPr>
                <w:rFonts w:cs="Times New Roman"/>
              </w:rPr>
            </w:pPr>
            <w:r>
              <w:rPr>
                <w:rFonts w:cs="Times New Roman"/>
              </w:rPr>
              <w:t>300*600面砖（高度至吊顶以上100mm，专业美缝）</w:t>
            </w:r>
          </w:p>
        </w:tc>
        <w:tc>
          <w:tcPr>
            <w:tcW w:w="1638" w:type="dxa"/>
            <w:tcBorders>
              <w:top w:val="single" w:color="000000" w:sz="4" w:space="0"/>
              <w:left w:val="single" w:color="000000" w:sz="4" w:space="0"/>
              <w:bottom w:val="single" w:color="000000" w:sz="4" w:space="0"/>
              <w:right w:val="single" w:color="000000" w:sz="4" w:space="0"/>
            </w:tcBorders>
            <w:vAlign w:val="center"/>
          </w:tcPr>
          <w:p w14:paraId="747E4D2F">
            <w:pPr>
              <w:pStyle w:val="71"/>
              <w:spacing w:before="24" w:after="24"/>
              <w:rPr>
                <w:rFonts w:cs="Times New Roman"/>
              </w:rPr>
            </w:pPr>
          </w:p>
        </w:tc>
      </w:tr>
      <w:tr w14:paraId="6CF43D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7" w:type="dxa"/>
            <w:tcBorders>
              <w:top w:val="single" w:color="000000" w:sz="4" w:space="0"/>
              <w:left w:val="single" w:color="000000" w:sz="4" w:space="0"/>
              <w:bottom w:val="single" w:color="000000" w:sz="4" w:space="0"/>
              <w:right w:val="single" w:color="000000" w:sz="4" w:space="0"/>
            </w:tcBorders>
            <w:vAlign w:val="center"/>
          </w:tcPr>
          <w:p w14:paraId="110E0BAF">
            <w:pPr>
              <w:pStyle w:val="71"/>
              <w:spacing w:before="24" w:after="24"/>
              <w:rPr>
                <w:rFonts w:cs="Times New Roman"/>
              </w:rPr>
            </w:pPr>
            <w:r>
              <w:rPr>
                <w:rFonts w:cs="Times New Roman"/>
              </w:rPr>
              <w:t>6</w:t>
            </w:r>
          </w:p>
        </w:tc>
        <w:tc>
          <w:tcPr>
            <w:tcW w:w="1262" w:type="dxa"/>
            <w:tcBorders>
              <w:top w:val="single" w:color="000000" w:sz="4" w:space="0"/>
              <w:left w:val="single" w:color="000000" w:sz="4" w:space="0"/>
              <w:bottom w:val="single" w:color="000000" w:sz="4" w:space="0"/>
              <w:right w:val="single" w:color="000000" w:sz="4" w:space="0"/>
            </w:tcBorders>
            <w:vAlign w:val="center"/>
          </w:tcPr>
          <w:p w14:paraId="62E3005B">
            <w:pPr>
              <w:pStyle w:val="71"/>
              <w:spacing w:before="24" w:after="24"/>
              <w:rPr>
                <w:rFonts w:cs="Times New Roman"/>
              </w:rPr>
            </w:pPr>
            <w:r>
              <w:rPr>
                <w:rFonts w:cs="Times New Roman"/>
              </w:rPr>
              <w:t>内墙4</w:t>
            </w:r>
          </w:p>
        </w:tc>
        <w:tc>
          <w:tcPr>
            <w:tcW w:w="2462" w:type="dxa"/>
            <w:tcBorders>
              <w:top w:val="single" w:color="000000" w:sz="4" w:space="0"/>
              <w:left w:val="single" w:color="000000" w:sz="4" w:space="0"/>
              <w:bottom w:val="single" w:color="000000" w:sz="4" w:space="0"/>
              <w:right w:val="single" w:color="000000" w:sz="4" w:space="0"/>
            </w:tcBorders>
            <w:vAlign w:val="center"/>
          </w:tcPr>
          <w:p w14:paraId="39917D59">
            <w:pPr>
              <w:pStyle w:val="71"/>
              <w:spacing w:before="24" w:after="24"/>
              <w:rPr>
                <w:rFonts w:cs="Times New Roman"/>
              </w:rPr>
            </w:pPr>
            <w:r>
              <w:rPr>
                <w:rFonts w:cs="Times New Roman"/>
              </w:rPr>
              <w:t>楼梯间</w:t>
            </w:r>
          </w:p>
        </w:tc>
        <w:tc>
          <w:tcPr>
            <w:tcW w:w="3390" w:type="dxa"/>
            <w:tcBorders>
              <w:top w:val="single" w:color="000000" w:sz="4" w:space="0"/>
              <w:left w:val="single" w:color="000000" w:sz="4" w:space="0"/>
              <w:bottom w:val="single" w:color="000000" w:sz="4" w:space="0"/>
              <w:right w:val="single" w:color="000000" w:sz="4" w:space="0"/>
            </w:tcBorders>
            <w:vAlign w:val="center"/>
          </w:tcPr>
          <w:p w14:paraId="1D829474">
            <w:pPr>
              <w:pStyle w:val="71"/>
              <w:spacing w:before="24" w:after="24"/>
              <w:rPr>
                <w:rFonts w:cs="Times New Roman"/>
              </w:rPr>
            </w:pPr>
            <w:r>
              <w:rPr>
                <w:rFonts w:cs="Times New Roman"/>
              </w:rPr>
              <w:t>无机涂料</w:t>
            </w:r>
          </w:p>
        </w:tc>
        <w:tc>
          <w:tcPr>
            <w:tcW w:w="1638" w:type="dxa"/>
            <w:tcBorders>
              <w:top w:val="single" w:color="000000" w:sz="4" w:space="0"/>
              <w:left w:val="single" w:color="000000" w:sz="4" w:space="0"/>
              <w:bottom w:val="single" w:color="000000" w:sz="4" w:space="0"/>
              <w:right w:val="single" w:color="000000" w:sz="4" w:space="0"/>
            </w:tcBorders>
            <w:vAlign w:val="center"/>
          </w:tcPr>
          <w:p w14:paraId="3585E6CE">
            <w:pPr>
              <w:pStyle w:val="71"/>
              <w:spacing w:before="24" w:after="24"/>
              <w:rPr>
                <w:rFonts w:cs="Times New Roman"/>
              </w:rPr>
            </w:pPr>
          </w:p>
        </w:tc>
      </w:tr>
      <w:tr w14:paraId="3C0D3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7" w:type="dxa"/>
            <w:tcBorders>
              <w:top w:val="single" w:color="000000" w:sz="4" w:space="0"/>
              <w:left w:val="single" w:color="000000" w:sz="4" w:space="0"/>
              <w:bottom w:val="single" w:color="000000" w:sz="4" w:space="0"/>
              <w:right w:val="single" w:color="000000" w:sz="4" w:space="0"/>
            </w:tcBorders>
            <w:vAlign w:val="center"/>
          </w:tcPr>
          <w:p w14:paraId="70E0DCAF">
            <w:pPr>
              <w:pStyle w:val="71"/>
              <w:spacing w:before="24" w:after="24"/>
              <w:rPr>
                <w:rFonts w:cs="Times New Roman"/>
              </w:rPr>
            </w:pPr>
            <w:r>
              <w:rPr>
                <w:rFonts w:cs="Times New Roman"/>
              </w:rPr>
              <w:t>7</w:t>
            </w:r>
          </w:p>
        </w:tc>
        <w:tc>
          <w:tcPr>
            <w:tcW w:w="1262" w:type="dxa"/>
            <w:tcBorders>
              <w:top w:val="single" w:color="000000" w:sz="4" w:space="0"/>
              <w:left w:val="single" w:color="000000" w:sz="4" w:space="0"/>
              <w:bottom w:val="single" w:color="000000" w:sz="4" w:space="0"/>
              <w:right w:val="single" w:color="000000" w:sz="4" w:space="0"/>
            </w:tcBorders>
            <w:vAlign w:val="center"/>
          </w:tcPr>
          <w:p w14:paraId="7D7F0F72">
            <w:pPr>
              <w:pStyle w:val="71"/>
              <w:spacing w:before="24" w:after="24"/>
              <w:rPr>
                <w:rFonts w:cs="Times New Roman"/>
              </w:rPr>
            </w:pPr>
            <w:r>
              <w:rPr>
                <w:rFonts w:cs="Times New Roman"/>
              </w:rPr>
              <w:t>内墙5（墙裙）</w:t>
            </w:r>
          </w:p>
        </w:tc>
        <w:tc>
          <w:tcPr>
            <w:tcW w:w="2462" w:type="dxa"/>
            <w:tcBorders>
              <w:top w:val="single" w:color="000000" w:sz="4" w:space="0"/>
              <w:left w:val="single" w:color="000000" w:sz="4" w:space="0"/>
              <w:bottom w:val="single" w:color="000000" w:sz="4" w:space="0"/>
              <w:right w:val="single" w:color="000000" w:sz="4" w:space="0"/>
            </w:tcBorders>
            <w:vAlign w:val="center"/>
          </w:tcPr>
          <w:p w14:paraId="0E807B95">
            <w:pPr>
              <w:pStyle w:val="71"/>
              <w:spacing w:before="24" w:after="24"/>
              <w:rPr>
                <w:rFonts w:cs="Times New Roman"/>
              </w:rPr>
            </w:pPr>
            <w:r>
              <w:rPr>
                <w:rFonts w:cs="Times New Roman"/>
              </w:rPr>
              <w:t>教学用房及公共活动区域（墙裙）</w:t>
            </w:r>
          </w:p>
        </w:tc>
        <w:tc>
          <w:tcPr>
            <w:tcW w:w="3390" w:type="dxa"/>
            <w:tcBorders>
              <w:top w:val="single" w:color="000000" w:sz="4" w:space="0"/>
              <w:left w:val="single" w:color="000000" w:sz="4" w:space="0"/>
              <w:bottom w:val="single" w:color="000000" w:sz="4" w:space="0"/>
              <w:right w:val="single" w:color="000000" w:sz="4" w:space="0"/>
            </w:tcBorders>
            <w:vAlign w:val="center"/>
          </w:tcPr>
          <w:p w14:paraId="7211BDA5">
            <w:pPr>
              <w:pStyle w:val="71"/>
              <w:spacing w:before="24" w:after="24"/>
              <w:rPr>
                <w:rFonts w:cs="Times New Roman"/>
              </w:rPr>
            </w:pPr>
            <w:r>
              <w:rPr>
                <w:rFonts w:cs="Times New Roman"/>
              </w:rPr>
              <w:t>面砖（小学1.2米，中学1.4米，舞蹈教室、风雨操场2.1米）</w:t>
            </w:r>
          </w:p>
        </w:tc>
        <w:tc>
          <w:tcPr>
            <w:tcW w:w="1638" w:type="dxa"/>
            <w:tcBorders>
              <w:top w:val="single" w:color="000000" w:sz="4" w:space="0"/>
              <w:left w:val="single" w:color="000000" w:sz="4" w:space="0"/>
              <w:bottom w:val="single" w:color="000000" w:sz="4" w:space="0"/>
              <w:right w:val="single" w:color="000000" w:sz="4" w:space="0"/>
            </w:tcBorders>
            <w:vAlign w:val="center"/>
          </w:tcPr>
          <w:p w14:paraId="2DA55DD3">
            <w:pPr>
              <w:pStyle w:val="71"/>
              <w:spacing w:before="24" w:after="24"/>
              <w:rPr>
                <w:rFonts w:cs="Times New Roman"/>
              </w:rPr>
            </w:pPr>
          </w:p>
        </w:tc>
      </w:tr>
      <w:tr w14:paraId="7931D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59" w:type="dxa"/>
            <w:gridSpan w:val="5"/>
            <w:tcBorders>
              <w:top w:val="single" w:color="000000" w:sz="4" w:space="0"/>
              <w:left w:val="single" w:color="000000" w:sz="4" w:space="0"/>
              <w:bottom w:val="single" w:color="000000" w:sz="4" w:space="0"/>
              <w:right w:val="single" w:color="000000" w:sz="4" w:space="0"/>
            </w:tcBorders>
            <w:vAlign w:val="center"/>
          </w:tcPr>
          <w:p w14:paraId="62F557B0">
            <w:pPr>
              <w:pStyle w:val="71"/>
              <w:spacing w:before="24" w:after="24"/>
              <w:rPr>
                <w:rFonts w:cs="Times New Roman"/>
              </w:rPr>
            </w:pPr>
            <w:r>
              <w:rPr>
                <w:rFonts w:cs="Times New Roman"/>
              </w:rPr>
              <w:t>顶棚</w:t>
            </w:r>
          </w:p>
        </w:tc>
      </w:tr>
      <w:tr w14:paraId="141EFF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7" w:type="dxa"/>
            <w:tcBorders>
              <w:top w:val="single" w:color="000000" w:sz="4" w:space="0"/>
              <w:left w:val="single" w:color="000000" w:sz="4" w:space="0"/>
              <w:bottom w:val="single" w:color="000000" w:sz="4" w:space="0"/>
              <w:right w:val="single" w:color="000000" w:sz="4" w:space="0"/>
            </w:tcBorders>
            <w:vAlign w:val="center"/>
          </w:tcPr>
          <w:p w14:paraId="07C267B6">
            <w:pPr>
              <w:pStyle w:val="71"/>
              <w:spacing w:before="24" w:after="24"/>
              <w:rPr>
                <w:rFonts w:cs="Times New Roman"/>
              </w:rPr>
            </w:pPr>
            <w:r>
              <w:rPr>
                <w:rFonts w:cs="Times New Roman"/>
              </w:rPr>
              <w:t>1</w:t>
            </w:r>
          </w:p>
        </w:tc>
        <w:tc>
          <w:tcPr>
            <w:tcW w:w="1262" w:type="dxa"/>
            <w:tcBorders>
              <w:top w:val="single" w:color="000000" w:sz="4" w:space="0"/>
              <w:left w:val="single" w:color="000000" w:sz="4" w:space="0"/>
              <w:bottom w:val="single" w:color="000000" w:sz="4" w:space="0"/>
              <w:right w:val="single" w:color="000000" w:sz="4" w:space="0"/>
            </w:tcBorders>
            <w:vAlign w:val="center"/>
          </w:tcPr>
          <w:p w14:paraId="48115BE7">
            <w:pPr>
              <w:pStyle w:val="71"/>
              <w:spacing w:before="24" w:after="24"/>
              <w:rPr>
                <w:rFonts w:cs="Times New Roman"/>
              </w:rPr>
            </w:pPr>
            <w:r>
              <w:rPr>
                <w:rFonts w:cs="Times New Roman"/>
              </w:rPr>
              <w:t>顶棚1</w:t>
            </w:r>
          </w:p>
        </w:tc>
        <w:tc>
          <w:tcPr>
            <w:tcW w:w="2462" w:type="dxa"/>
            <w:tcBorders>
              <w:top w:val="single" w:color="000000" w:sz="4" w:space="0"/>
              <w:left w:val="single" w:color="000000" w:sz="4" w:space="0"/>
              <w:bottom w:val="single" w:color="000000" w:sz="4" w:space="0"/>
              <w:right w:val="single" w:color="000000" w:sz="4" w:space="0"/>
            </w:tcBorders>
            <w:vAlign w:val="center"/>
          </w:tcPr>
          <w:p w14:paraId="5CFF7BE4">
            <w:pPr>
              <w:pStyle w:val="71"/>
              <w:spacing w:before="24" w:after="24"/>
              <w:jc w:val="both"/>
              <w:rPr>
                <w:rFonts w:cs="Times New Roman"/>
              </w:rPr>
            </w:pPr>
            <w:r>
              <w:rPr>
                <w:rFonts w:cs="Times New Roman"/>
              </w:rPr>
              <w:t>普通教室及附属用房、教师（行政、校务教务）办公室、会议室、舞蹈教室、书法教室、科学教室、劳动教室、语言教室、教具储藏室、卫生保健室、心理咨询室、体质测试室、德育展览室、文印档案室、设备操作间、广播站、财务室、更衣室、管理用房、教师休息室、门厅、内走道、商业、保卫室、楼梯间</w:t>
            </w:r>
          </w:p>
        </w:tc>
        <w:tc>
          <w:tcPr>
            <w:tcW w:w="3390" w:type="dxa"/>
            <w:tcBorders>
              <w:top w:val="single" w:color="000000" w:sz="4" w:space="0"/>
              <w:left w:val="single" w:color="000000" w:sz="4" w:space="0"/>
              <w:bottom w:val="single" w:color="000000" w:sz="4" w:space="0"/>
              <w:right w:val="single" w:color="000000" w:sz="4" w:space="0"/>
            </w:tcBorders>
            <w:vAlign w:val="center"/>
          </w:tcPr>
          <w:p w14:paraId="5040C4E6">
            <w:pPr>
              <w:pStyle w:val="71"/>
              <w:spacing w:before="24" w:after="24"/>
              <w:rPr>
                <w:rFonts w:cs="Times New Roman"/>
              </w:rPr>
            </w:pPr>
            <w:r>
              <w:rPr>
                <w:rFonts w:cs="Times New Roman"/>
              </w:rPr>
              <w:t>无机涂料</w:t>
            </w:r>
          </w:p>
        </w:tc>
        <w:tc>
          <w:tcPr>
            <w:tcW w:w="1638" w:type="dxa"/>
            <w:tcBorders>
              <w:top w:val="single" w:color="000000" w:sz="4" w:space="0"/>
              <w:left w:val="single" w:color="000000" w:sz="4" w:space="0"/>
              <w:bottom w:val="single" w:color="000000" w:sz="4" w:space="0"/>
              <w:right w:val="single" w:color="000000" w:sz="4" w:space="0"/>
            </w:tcBorders>
            <w:vAlign w:val="center"/>
          </w:tcPr>
          <w:p w14:paraId="5FCE9B0C">
            <w:pPr>
              <w:pStyle w:val="71"/>
              <w:spacing w:before="24" w:after="24"/>
              <w:rPr>
                <w:rFonts w:cs="Times New Roman"/>
              </w:rPr>
            </w:pPr>
          </w:p>
        </w:tc>
      </w:tr>
      <w:tr w14:paraId="0D3D8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7" w:type="dxa"/>
            <w:tcBorders>
              <w:top w:val="single" w:color="000000" w:sz="4" w:space="0"/>
              <w:left w:val="single" w:color="000000" w:sz="4" w:space="0"/>
              <w:bottom w:val="single" w:color="000000" w:sz="4" w:space="0"/>
              <w:right w:val="single" w:color="000000" w:sz="4" w:space="0"/>
            </w:tcBorders>
            <w:vAlign w:val="center"/>
          </w:tcPr>
          <w:p w14:paraId="044F6495">
            <w:pPr>
              <w:pStyle w:val="71"/>
              <w:spacing w:before="24" w:after="24"/>
              <w:rPr>
                <w:rFonts w:cs="Times New Roman"/>
              </w:rPr>
            </w:pPr>
            <w:r>
              <w:rPr>
                <w:rFonts w:cs="Times New Roman"/>
              </w:rPr>
              <w:t>2</w:t>
            </w:r>
          </w:p>
        </w:tc>
        <w:tc>
          <w:tcPr>
            <w:tcW w:w="1262" w:type="dxa"/>
            <w:tcBorders>
              <w:top w:val="single" w:color="000000" w:sz="4" w:space="0"/>
              <w:left w:val="single" w:color="000000" w:sz="4" w:space="0"/>
              <w:bottom w:val="single" w:color="000000" w:sz="4" w:space="0"/>
              <w:right w:val="single" w:color="000000" w:sz="4" w:space="0"/>
            </w:tcBorders>
            <w:vAlign w:val="center"/>
          </w:tcPr>
          <w:p w14:paraId="74D2492B">
            <w:pPr>
              <w:pStyle w:val="71"/>
              <w:spacing w:before="24" w:after="24"/>
              <w:rPr>
                <w:rFonts w:cs="Times New Roman"/>
              </w:rPr>
            </w:pPr>
            <w:r>
              <w:rPr>
                <w:rFonts w:cs="Times New Roman"/>
              </w:rPr>
              <w:t>顶棚2</w:t>
            </w:r>
          </w:p>
        </w:tc>
        <w:tc>
          <w:tcPr>
            <w:tcW w:w="2462" w:type="dxa"/>
            <w:tcBorders>
              <w:top w:val="single" w:color="000000" w:sz="4" w:space="0"/>
              <w:left w:val="single" w:color="000000" w:sz="4" w:space="0"/>
              <w:bottom w:val="single" w:color="000000" w:sz="4" w:space="0"/>
              <w:right w:val="single" w:color="000000" w:sz="4" w:space="0"/>
            </w:tcBorders>
            <w:vAlign w:val="center"/>
          </w:tcPr>
          <w:p w14:paraId="424DFACB">
            <w:pPr>
              <w:pStyle w:val="71"/>
              <w:spacing w:before="24" w:after="24"/>
              <w:rPr>
                <w:rFonts w:cs="Times New Roman"/>
              </w:rPr>
            </w:pPr>
            <w:r>
              <w:rPr>
                <w:rFonts w:cs="Times New Roman"/>
              </w:rPr>
              <w:t>室外连廊</w:t>
            </w:r>
          </w:p>
        </w:tc>
        <w:tc>
          <w:tcPr>
            <w:tcW w:w="3390" w:type="dxa"/>
            <w:tcBorders>
              <w:top w:val="single" w:color="000000" w:sz="4" w:space="0"/>
              <w:left w:val="single" w:color="000000" w:sz="4" w:space="0"/>
              <w:bottom w:val="single" w:color="000000" w:sz="4" w:space="0"/>
              <w:right w:val="single" w:color="000000" w:sz="4" w:space="0"/>
            </w:tcBorders>
            <w:vAlign w:val="center"/>
          </w:tcPr>
          <w:p w14:paraId="449B2778">
            <w:pPr>
              <w:pStyle w:val="71"/>
              <w:spacing w:before="24" w:after="24"/>
              <w:rPr>
                <w:rFonts w:cs="Times New Roman"/>
              </w:rPr>
            </w:pPr>
            <w:r>
              <w:rPr>
                <w:rFonts w:cs="Times New Roman"/>
              </w:rPr>
              <w:t>白色防霉涂料</w:t>
            </w:r>
          </w:p>
        </w:tc>
        <w:tc>
          <w:tcPr>
            <w:tcW w:w="1638" w:type="dxa"/>
            <w:tcBorders>
              <w:top w:val="single" w:color="000000" w:sz="4" w:space="0"/>
              <w:left w:val="single" w:color="000000" w:sz="4" w:space="0"/>
              <w:bottom w:val="single" w:color="000000" w:sz="4" w:space="0"/>
              <w:right w:val="single" w:color="000000" w:sz="4" w:space="0"/>
            </w:tcBorders>
            <w:vAlign w:val="center"/>
          </w:tcPr>
          <w:p w14:paraId="0F460BC0">
            <w:pPr>
              <w:pStyle w:val="71"/>
              <w:spacing w:before="24" w:after="24"/>
              <w:rPr>
                <w:rFonts w:cs="Times New Roman"/>
              </w:rPr>
            </w:pPr>
          </w:p>
        </w:tc>
      </w:tr>
      <w:tr w14:paraId="798F76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7" w:type="dxa"/>
            <w:tcBorders>
              <w:top w:val="single" w:color="000000" w:sz="4" w:space="0"/>
              <w:left w:val="single" w:color="000000" w:sz="4" w:space="0"/>
              <w:bottom w:val="single" w:color="000000" w:sz="4" w:space="0"/>
              <w:right w:val="single" w:color="000000" w:sz="4" w:space="0"/>
            </w:tcBorders>
            <w:vAlign w:val="center"/>
          </w:tcPr>
          <w:p w14:paraId="0B764C85">
            <w:pPr>
              <w:pStyle w:val="71"/>
              <w:spacing w:before="24" w:after="24"/>
              <w:rPr>
                <w:rFonts w:cs="Times New Roman"/>
              </w:rPr>
            </w:pPr>
            <w:r>
              <w:rPr>
                <w:rFonts w:cs="Times New Roman"/>
              </w:rPr>
              <w:t>3</w:t>
            </w:r>
          </w:p>
        </w:tc>
        <w:tc>
          <w:tcPr>
            <w:tcW w:w="1262" w:type="dxa"/>
            <w:tcBorders>
              <w:top w:val="single" w:color="000000" w:sz="4" w:space="0"/>
              <w:left w:val="single" w:color="000000" w:sz="4" w:space="0"/>
              <w:bottom w:val="single" w:color="000000" w:sz="4" w:space="0"/>
              <w:right w:val="single" w:color="000000" w:sz="4" w:space="0"/>
            </w:tcBorders>
            <w:vAlign w:val="center"/>
          </w:tcPr>
          <w:p w14:paraId="54624463">
            <w:pPr>
              <w:pStyle w:val="71"/>
              <w:spacing w:before="24" w:after="24"/>
              <w:rPr>
                <w:rFonts w:cs="Times New Roman"/>
              </w:rPr>
            </w:pPr>
            <w:r>
              <w:rPr>
                <w:rFonts w:cs="Times New Roman"/>
              </w:rPr>
              <w:t>顶棚3</w:t>
            </w:r>
          </w:p>
        </w:tc>
        <w:tc>
          <w:tcPr>
            <w:tcW w:w="2462" w:type="dxa"/>
            <w:tcBorders>
              <w:top w:val="single" w:color="000000" w:sz="4" w:space="0"/>
              <w:left w:val="single" w:color="000000" w:sz="4" w:space="0"/>
              <w:bottom w:val="single" w:color="000000" w:sz="4" w:space="0"/>
              <w:right w:val="single" w:color="000000" w:sz="4" w:space="0"/>
            </w:tcBorders>
            <w:vAlign w:val="center"/>
          </w:tcPr>
          <w:p w14:paraId="58E65B09">
            <w:pPr>
              <w:pStyle w:val="71"/>
              <w:spacing w:before="24" w:after="24"/>
              <w:rPr>
                <w:rFonts w:cs="Times New Roman"/>
              </w:rPr>
            </w:pPr>
            <w:r>
              <w:rPr>
                <w:rFonts w:cs="Times New Roman"/>
              </w:rPr>
              <w:t>卫生间、饮水间</w:t>
            </w:r>
          </w:p>
        </w:tc>
        <w:tc>
          <w:tcPr>
            <w:tcW w:w="3390" w:type="dxa"/>
            <w:tcBorders>
              <w:top w:val="single" w:color="000000" w:sz="4" w:space="0"/>
              <w:left w:val="single" w:color="000000" w:sz="4" w:space="0"/>
              <w:bottom w:val="single" w:color="000000" w:sz="4" w:space="0"/>
              <w:right w:val="single" w:color="000000" w:sz="4" w:space="0"/>
            </w:tcBorders>
            <w:vAlign w:val="center"/>
          </w:tcPr>
          <w:p w14:paraId="183F56A4">
            <w:pPr>
              <w:pStyle w:val="71"/>
              <w:spacing w:before="24" w:after="24"/>
              <w:rPr>
                <w:rFonts w:cs="Times New Roman"/>
              </w:rPr>
            </w:pPr>
            <w:r>
              <w:rPr>
                <w:rFonts w:cs="Times New Roman"/>
              </w:rPr>
              <w:t>0.8mm铝扣板吊顶</w:t>
            </w:r>
          </w:p>
        </w:tc>
        <w:tc>
          <w:tcPr>
            <w:tcW w:w="1638" w:type="dxa"/>
            <w:tcBorders>
              <w:top w:val="single" w:color="000000" w:sz="4" w:space="0"/>
              <w:left w:val="single" w:color="000000" w:sz="4" w:space="0"/>
              <w:bottom w:val="single" w:color="000000" w:sz="4" w:space="0"/>
              <w:right w:val="single" w:color="000000" w:sz="4" w:space="0"/>
            </w:tcBorders>
            <w:vAlign w:val="center"/>
          </w:tcPr>
          <w:p w14:paraId="50EB9A68">
            <w:pPr>
              <w:pStyle w:val="71"/>
              <w:spacing w:before="24" w:after="24"/>
              <w:rPr>
                <w:rFonts w:cs="Times New Roman"/>
              </w:rPr>
            </w:pPr>
          </w:p>
        </w:tc>
      </w:tr>
      <w:tr w14:paraId="0E069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7" w:type="dxa"/>
            <w:tcBorders>
              <w:top w:val="single" w:color="000000" w:sz="4" w:space="0"/>
              <w:left w:val="single" w:color="000000" w:sz="4" w:space="0"/>
              <w:bottom w:val="single" w:color="000000" w:sz="4" w:space="0"/>
              <w:right w:val="single" w:color="000000" w:sz="4" w:space="0"/>
            </w:tcBorders>
            <w:vAlign w:val="center"/>
          </w:tcPr>
          <w:p w14:paraId="0FD13DB5">
            <w:pPr>
              <w:pStyle w:val="71"/>
              <w:spacing w:before="24" w:after="24"/>
              <w:rPr>
                <w:rFonts w:cs="Times New Roman"/>
              </w:rPr>
            </w:pPr>
            <w:r>
              <w:rPr>
                <w:rFonts w:cs="Times New Roman"/>
              </w:rPr>
              <w:t>4</w:t>
            </w:r>
          </w:p>
        </w:tc>
        <w:tc>
          <w:tcPr>
            <w:tcW w:w="1262" w:type="dxa"/>
            <w:tcBorders>
              <w:top w:val="single" w:color="000000" w:sz="4" w:space="0"/>
              <w:left w:val="single" w:color="000000" w:sz="4" w:space="0"/>
              <w:bottom w:val="single" w:color="000000" w:sz="4" w:space="0"/>
              <w:right w:val="single" w:color="000000" w:sz="4" w:space="0"/>
            </w:tcBorders>
            <w:vAlign w:val="center"/>
          </w:tcPr>
          <w:p w14:paraId="69390ECF">
            <w:pPr>
              <w:pStyle w:val="71"/>
              <w:spacing w:before="24" w:after="24"/>
              <w:rPr>
                <w:rFonts w:cs="Times New Roman"/>
              </w:rPr>
            </w:pPr>
            <w:r>
              <w:rPr>
                <w:rFonts w:cs="Times New Roman"/>
              </w:rPr>
              <w:t>顶棚4</w:t>
            </w:r>
          </w:p>
        </w:tc>
        <w:tc>
          <w:tcPr>
            <w:tcW w:w="2462" w:type="dxa"/>
            <w:tcBorders>
              <w:top w:val="single" w:color="000000" w:sz="4" w:space="0"/>
              <w:left w:val="single" w:color="000000" w:sz="4" w:space="0"/>
              <w:bottom w:val="single" w:color="000000" w:sz="4" w:space="0"/>
              <w:right w:val="single" w:color="000000" w:sz="4" w:space="0"/>
            </w:tcBorders>
            <w:vAlign w:val="center"/>
          </w:tcPr>
          <w:p w14:paraId="4CFA1508">
            <w:pPr>
              <w:pStyle w:val="71"/>
              <w:spacing w:before="24" w:after="24"/>
              <w:rPr>
                <w:rFonts w:cs="Times New Roman"/>
              </w:rPr>
            </w:pPr>
            <w:r>
              <w:rPr>
                <w:rFonts w:cs="Times New Roman"/>
              </w:rPr>
              <w:t>计算机教室及其辅助用房</w:t>
            </w:r>
          </w:p>
        </w:tc>
        <w:tc>
          <w:tcPr>
            <w:tcW w:w="3390" w:type="dxa"/>
            <w:tcBorders>
              <w:top w:val="single" w:color="000000" w:sz="4" w:space="0"/>
              <w:left w:val="single" w:color="000000" w:sz="4" w:space="0"/>
              <w:bottom w:val="single" w:color="000000" w:sz="4" w:space="0"/>
              <w:right w:val="single" w:color="000000" w:sz="4" w:space="0"/>
            </w:tcBorders>
            <w:vAlign w:val="center"/>
          </w:tcPr>
          <w:p w14:paraId="3105BB15">
            <w:pPr>
              <w:pStyle w:val="71"/>
              <w:spacing w:before="24" w:after="24"/>
              <w:rPr>
                <w:rFonts w:cs="Times New Roman"/>
              </w:rPr>
            </w:pPr>
            <w:r>
              <w:rPr>
                <w:rFonts w:cs="Times New Roman"/>
              </w:rPr>
              <w:t>白色涂料</w:t>
            </w:r>
          </w:p>
        </w:tc>
        <w:tc>
          <w:tcPr>
            <w:tcW w:w="1638" w:type="dxa"/>
            <w:tcBorders>
              <w:top w:val="single" w:color="000000" w:sz="4" w:space="0"/>
              <w:left w:val="single" w:color="000000" w:sz="4" w:space="0"/>
              <w:bottom w:val="single" w:color="000000" w:sz="4" w:space="0"/>
              <w:right w:val="single" w:color="000000" w:sz="4" w:space="0"/>
            </w:tcBorders>
            <w:vAlign w:val="center"/>
          </w:tcPr>
          <w:p w14:paraId="43E6F30A">
            <w:pPr>
              <w:pStyle w:val="71"/>
              <w:spacing w:before="24" w:after="24"/>
              <w:rPr>
                <w:rFonts w:cs="Times New Roman"/>
              </w:rPr>
            </w:pPr>
          </w:p>
        </w:tc>
      </w:tr>
      <w:tr w14:paraId="0634F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7" w:type="dxa"/>
            <w:tcBorders>
              <w:top w:val="single" w:color="000000" w:sz="4" w:space="0"/>
              <w:left w:val="single" w:color="000000" w:sz="4" w:space="0"/>
              <w:bottom w:val="single" w:color="000000" w:sz="4" w:space="0"/>
              <w:right w:val="single" w:color="000000" w:sz="4" w:space="0"/>
            </w:tcBorders>
            <w:vAlign w:val="center"/>
          </w:tcPr>
          <w:p w14:paraId="2E839C6D">
            <w:pPr>
              <w:pStyle w:val="71"/>
              <w:spacing w:before="24" w:after="24"/>
              <w:rPr>
                <w:rFonts w:cs="Times New Roman"/>
              </w:rPr>
            </w:pPr>
            <w:r>
              <w:rPr>
                <w:rFonts w:cs="Times New Roman"/>
              </w:rPr>
              <w:t>5</w:t>
            </w:r>
          </w:p>
        </w:tc>
        <w:tc>
          <w:tcPr>
            <w:tcW w:w="1262" w:type="dxa"/>
            <w:tcBorders>
              <w:top w:val="single" w:color="000000" w:sz="4" w:space="0"/>
              <w:left w:val="single" w:color="000000" w:sz="4" w:space="0"/>
              <w:bottom w:val="single" w:color="000000" w:sz="4" w:space="0"/>
              <w:right w:val="single" w:color="000000" w:sz="4" w:space="0"/>
            </w:tcBorders>
            <w:vAlign w:val="center"/>
          </w:tcPr>
          <w:p w14:paraId="0A14C051">
            <w:pPr>
              <w:pStyle w:val="71"/>
              <w:spacing w:before="24" w:after="24"/>
              <w:rPr>
                <w:rFonts w:cs="Times New Roman"/>
              </w:rPr>
            </w:pPr>
            <w:r>
              <w:rPr>
                <w:rFonts w:cs="Times New Roman"/>
              </w:rPr>
              <w:t>顶棚5（吸音顶）</w:t>
            </w:r>
          </w:p>
        </w:tc>
        <w:tc>
          <w:tcPr>
            <w:tcW w:w="2462" w:type="dxa"/>
            <w:tcBorders>
              <w:top w:val="single" w:color="000000" w:sz="4" w:space="0"/>
              <w:left w:val="single" w:color="000000" w:sz="4" w:space="0"/>
              <w:bottom w:val="single" w:color="000000" w:sz="4" w:space="0"/>
              <w:right w:val="single" w:color="000000" w:sz="4" w:space="0"/>
            </w:tcBorders>
            <w:vAlign w:val="center"/>
          </w:tcPr>
          <w:p w14:paraId="5922982D">
            <w:pPr>
              <w:pStyle w:val="71"/>
              <w:spacing w:before="24" w:after="24"/>
              <w:rPr>
                <w:rFonts w:cs="Times New Roman"/>
              </w:rPr>
            </w:pPr>
            <w:r>
              <w:rPr>
                <w:rFonts w:cs="Times New Roman"/>
              </w:rPr>
              <w:t>美术教室、音乐教室、多功能厅</w:t>
            </w:r>
          </w:p>
        </w:tc>
        <w:tc>
          <w:tcPr>
            <w:tcW w:w="3390" w:type="dxa"/>
            <w:tcBorders>
              <w:top w:val="single" w:color="000000" w:sz="4" w:space="0"/>
              <w:left w:val="single" w:color="000000" w:sz="4" w:space="0"/>
              <w:bottom w:val="single" w:color="000000" w:sz="4" w:space="0"/>
              <w:right w:val="single" w:color="000000" w:sz="4" w:space="0"/>
            </w:tcBorders>
            <w:vAlign w:val="center"/>
          </w:tcPr>
          <w:p w14:paraId="1F34CB65">
            <w:pPr>
              <w:pStyle w:val="71"/>
              <w:spacing w:before="24" w:after="24"/>
              <w:rPr>
                <w:rFonts w:cs="Times New Roman"/>
              </w:rPr>
            </w:pPr>
            <w:r>
              <w:rPr>
                <w:rFonts w:cs="Times New Roman"/>
              </w:rPr>
              <w:t>12+12mm厚穿孔石膏饰面板</w:t>
            </w:r>
          </w:p>
        </w:tc>
        <w:tc>
          <w:tcPr>
            <w:tcW w:w="1638" w:type="dxa"/>
            <w:tcBorders>
              <w:top w:val="single" w:color="000000" w:sz="4" w:space="0"/>
              <w:left w:val="single" w:color="000000" w:sz="4" w:space="0"/>
              <w:bottom w:val="single" w:color="000000" w:sz="4" w:space="0"/>
              <w:right w:val="single" w:color="000000" w:sz="4" w:space="0"/>
            </w:tcBorders>
            <w:vAlign w:val="center"/>
          </w:tcPr>
          <w:p w14:paraId="476B9B63">
            <w:pPr>
              <w:pStyle w:val="71"/>
              <w:spacing w:before="24" w:after="24"/>
              <w:rPr>
                <w:rFonts w:cs="Times New Roman"/>
              </w:rPr>
            </w:pPr>
          </w:p>
        </w:tc>
      </w:tr>
    </w:tbl>
    <w:p w14:paraId="3956BF90">
      <w:pPr>
        <w:pStyle w:val="73"/>
        <w:spacing w:before="24" w:after="24"/>
        <w:ind w:firstLine="482"/>
        <w:rPr>
          <w:rFonts w:cs="Times New Roman"/>
        </w:rPr>
      </w:pPr>
      <w:r>
        <w:rPr>
          <w:rFonts w:cs="Times New Roman"/>
        </w:rPr>
        <w:t>以上做法以最终的精装深化设计为准。</w:t>
      </w:r>
    </w:p>
    <w:p w14:paraId="4FFFBE45">
      <w:pPr>
        <w:spacing w:before="24" w:after="24"/>
        <w:rPr>
          <w:rFonts w:ascii="Times New Roman" w:hAnsi="Times New Roman" w:cs="Times New Roman"/>
        </w:rPr>
      </w:pPr>
      <w:r>
        <w:rPr>
          <w:rFonts w:ascii="Times New Roman" w:hAnsi="Times New Roman" w:cs="Times New Roman"/>
        </w:rPr>
        <w:br w:type="page"/>
      </w:r>
    </w:p>
    <w:p w14:paraId="2133376F">
      <w:pPr>
        <w:pStyle w:val="62"/>
      </w:pPr>
      <w:bookmarkStart w:id="219" w:name="_Toc221894240"/>
      <w:r>
        <w:t>（六）景观绿化专业-做法及设备参数清单表</w:t>
      </w:r>
      <w:bookmarkEnd w:id="219"/>
    </w:p>
    <w:p w14:paraId="44E2530C">
      <w:pPr>
        <w:pStyle w:val="54"/>
        <w:spacing w:before="24" w:after="24"/>
      </w:pPr>
      <w:r>
        <w:t>景观构造做法参考《环境景观-室外工程细部构造 15J012》《工程做法 23J909》等国标及地方图集，包括但不限于以下构造做法：</w:t>
      </w:r>
    </w:p>
    <w:tbl>
      <w:tblPr>
        <w:tblStyle w:val="30"/>
        <w:tblW w:w="93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0"/>
        <w:gridCol w:w="1267"/>
        <w:gridCol w:w="2436"/>
        <w:gridCol w:w="3085"/>
        <w:gridCol w:w="1869"/>
      </w:tblGrid>
      <w:tr w14:paraId="0A830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720"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3998D644">
            <w:pPr>
              <w:pStyle w:val="71"/>
              <w:spacing w:before="24" w:after="24"/>
              <w:rPr>
                <w:rFonts w:cs="Times New Roman"/>
              </w:rPr>
            </w:pPr>
            <w:r>
              <w:rPr>
                <w:rFonts w:cs="Times New Roman"/>
              </w:rPr>
              <w:t>序号</w:t>
            </w:r>
          </w:p>
        </w:tc>
        <w:tc>
          <w:tcPr>
            <w:tcW w:w="1267"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3760BF8D">
            <w:pPr>
              <w:pStyle w:val="71"/>
              <w:spacing w:before="24" w:after="24"/>
              <w:rPr>
                <w:rFonts w:cs="Times New Roman"/>
              </w:rPr>
            </w:pPr>
            <w:r>
              <w:rPr>
                <w:rFonts w:cs="Times New Roman"/>
              </w:rPr>
              <w:t>名称</w:t>
            </w:r>
          </w:p>
        </w:tc>
        <w:tc>
          <w:tcPr>
            <w:tcW w:w="2436"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15A15DB1">
            <w:pPr>
              <w:pStyle w:val="71"/>
              <w:spacing w:before="24" w:after="24"/>
              <w:rPr>
                <w:rFonts w:cs="Times New Roman"/>
              </w:rPr>
            </w:pPr>
            <w:r>
              <w:rPr>
                <w:rFonts w:cs="Times New Roman"/>
              </w:rPr>
              <w:t>部位</w:t>
            </w:r>
          </w:p>
        </w:tc>
        <w:tc>
          <w:tcPr>
            <w:tcW w:w="3085"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6A93FE21">
            <w:pPr>
              <w:pStyle w:val="71"/>
              <w:spacing w:before="24" w:after="24"/>
              <w:rPr>
                <w:rFonts w:cs="Times New Roman"/>
              </w:rPr>
            </w:pPr>
            <w:r>
              <w:rPr>
                <w:rFonts w:cs="Times New Roman"/>
              </w:rPr>
              <w:t>面层做法/规格参数</w:t>
            </w:r>
          </w:p>
        </w:tc>
        <w:tc>
          <w:tcPr>
            <w:tcW w:w="1869"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4A8925FC">
            <w:pPr>
              <w:pStyle w:val="71"/>
              <w:spacing w:before="24" w:after="24"/>
              <w:rPr>
                <w:rFonts w:cs="Times New Roman"/>
              </w:rPr>
            </w:pPr>
            <w:r>
              <w:rPr>
                <w:rFonts w:cs="Times New Roman"/>
              </w:rPr>
              <w:t>备注</w:t>
            </w:r>
          </w:p>
        </w:tc>
      </w:tr>
      <w:tr w14:paraId="79B47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8" w:hRule="atLeast"/>
          <w:jc w:val="center"/>
        </w:trPr>
        <w:tc>
          <w:tcPr>
            <w:tcW w:w="9377" w:type="dxa"/>
            <w:gridSpan w:val="5"/>
            <w:tcBorders>
              <w:top w:val="single" w:color="000000" w:sz="4" w:space="0"/>
              <w:left w:val="single" w:color="000000" w:sz="4" w:space="0"/>
              <w:bottom w:val="single" w:color="000000" w:sz="4" w:space="0"/>
              <w:right w:val="single" w:color="000000" w:sz="4" w:space="0"/>
            </w:tcBorders>
            <w:vAlign w:val="center"/>
          </w:tcPr>
          <w:p w14:paraId="5EC654EA">
            <w:pPr>
              <w:pStyle w:val="71"/>
              <w:spacing w:before="24" w:after="24"/>
              <w:rPr>
                <w:rFonts w:cs="Times New Roman"/>
              </w:rPr>
            </w:pPr>
            <w:r>
              <w:rPr>
                <w:rFonts w:cs="Times New Roman"/>
              </w:rPr>
              <w:t>景观构造做法</w:t>
            </w:r>
          </w:p>
        </w:tc>
      </w:tr>
      <w:tr w14:paraId="108E9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1BEA770A">
            <w:pPr>
              <w:pStyle w:val="71"/>
              <w:spacing w:before="24" w:after="24"/>
              <w:rPr>
                <w:rFonts w:cs="Times New Roman"/>
              </w:rPr>
            </w:pPr>
            <w:r>
              <w:rPr>
                <w:rFonts w:cs="Times New Roman"/>
              </w:rPr>
              <w:t>1</w:t>
            </w:r>
          </w:p>
        </w:tc>
        <w:tc>
          <w:tcPr>
            <w:tcW w:w="1267" w:type="dxa"/>
            <w:tcBorders>
              <w:top w:val="single" w:color="000000" w:sz="4" w:space="0"/>
              <w:left w:val="single" w:color="000000" w:sz="4" w:space="0"/>
              <w:bottom w:val="single" w:color="000000" w:sz="4" w:space="0"/>
              <w:right w:val="single" w:color="000000" w:sz="4" w:space="0"/>
            </w:tcBorders>
            <w:vAlign w:val="center"/>
          </w:tcPr>
          <w:p w14:paraId="0CE5741B">
            <w:pPr>
              <w:pStyle w:val="71"/>
              <w:spacing w:before="24" w:after="24"/>
              <w:rPr>
                <w:rFonts w:cs="Times New Roman"/>
              </w:rPr>
            </w:pPr>
            <w:r>
              <w:rPr>
                <w:rFonts w:cs="Times New Roman"/>
              </w:rPr>
              <w:t>彩色透水混凝土路面</w:t>
            </w:r>
          </w:p>
        </w:tc>
        <w:tc>
          <w:tcPr>
            <w:tcW w:w="2436" w:type="dxa"/>
            <w:tcBorders>
              <w:top w:val="single" w:color="000000" w:sz="4" w:space="0"/>
              <w:left w:val="single" w:color="000000" w:sz="4" w:space="0"/>
              <w:bottom w:val="single" w:color="000000" w:sz="4" w:space="0"/>
              <w:right w:val="single" w:color="000000" w:sz="4" w:space="0"/>
            </w:tcBorders>
            <w:vAlign w:val="center"/>
          </w:tcPr>
          <w:p w14:paraId="59A3EF7F">
            <w:pPr>
              <w:pStyle w:val="71"/>
              <w:spacing w:before="24" w:after="24"/>
              <w:rPr>
                <w:rFonts w:cs="Times New Roman"/>
              </w:rPr>
            </w:pPr>
            <w:r>
              <w:rPr>
                <w:rFonts w:cs="Times New Roman"/>
              </w:rPr>
              <w:t>2t以上的车行道、停车场、回车场</w:t>
            </w:r>
          </w:p>
        </w:tc>
        <w:tc>
          <w:tcPr>
            <w:tcW w:w="3085" w:type="dxa"/>
            <w:tcBorders>
              <w:top w:val="single" w:color="000000" w:sz="4" w:space="0"/>
              <w:left w:val="single" w:color="000000" w:sz="4" w:space="0"/>
              <w:bottom w:val="single" w:color="000000" w:sz="4" w:space="0"/>
              <w:right w:val="single" w:color="000000" w:sz="4" w:space="0"/>
            </w:tcBorders>
            <w:vAlign w:val="center"/>
          </w:tcPr>
          <w:p w14:paraId="0127C41E">
            <w:pPr>
              <w:pStyle w:val="71"/>
              <w:spacing w:before="24" w:after="24"/>
              <w:jc w:val="left"/>
              <w:rPr>
                <w:rFonts w:cs="Times New Roman"/>
              </w:rPr>
            </w:pPr>
            <w:r>
              <w:rPr>
                <w:rFonts w:cs="Times New Roman"/>
              </w:rPr>
              <w:t>1）双丙聚氨酯密封处理</w:t>
            </w:r>
          </w:p>
          <w:p w14:paraId="6D9B525E">
            <w:pPr>
              <w:pStyle w:val="71"/>
              <w:spacing w:before="24" w:after="24"/>
              <w:jc w:val="left"/>
              <w:rPr>
                <w:rFonts w:cs="Times New Roman"/>
              </w:rPr>
            </w:pPr>
            <w:r>
              <w:rPr>
                <w:rFonts w:cs="Times New Roman"/>
              </w:rPr>
              <w:t>2）30厚6mm粒径C25彩色强固透水混凝土</w:t>
            </w:r>
          </w:p>
          <w:p w14:paraId="7AB3C513">
            <w:pPr>
              <w:pStyle w:val="71"/>
              <w:spacing w:before="24" w:after="24"/>
              <w:jc w:val="left"/>
              <w:rPr>
                <w:rFonts w:cs="Times New Roman"/>
              </w:rPr>
            </w:pPr>
            <w:r>
              <w:rPr>
                <w:rFonts w:cs="Times New Roman"/>
              </w:rPr>
              <w:t>3）90（150、190）厚10mm粒径C2</w:t>
            </w:r>
            <w:r>
              <w:rPr>
                <w:rFonts w:hint="eastAsia" w:cs="Times New Roman"/>
              </w:rPr>
              <w:t>5</w:t>
            </w:r>
            <w:r>
              <w:rPr>
                <w:rFonts w:cs="Times New Roman"/>
              </w:rPr>
              <w:t>透水混凝土</w:t>
            </w:r>
          </w:p>
          <w:p w14:paraId="5D9C690E">
            <w:pPr>
              <w:pStyle w:val="71"/>
              <w:spacing w:before="24" w:after="24"/>
              <w:jc w:val="left"/>
              <w:rPr>
                <w:rFonts w:cs="Times New Roman"/>
              </w:rPr>
            </w:pPr>
            <w:r>
              <w:rPr>
                <w:rFonts w:cs="Times New Roman"/>
              </w:rPr>
              <w:t>4）30厚砂滤层</w:t>
            </w:r>
          </w:p>
          <w:p w14:paraId="5477215D">
            <w:pPr>
              <w:pStyle w:val="71"/>
              <w:spacing w:before="24" w:after="24"/>
              <w:jc w:val="left"/>
              <w:rPr>
                <w:rFonts w:cs="Times New Roman"/>
              </w:rPr>
            </w:pPr>
            <w:r>
              <w:rPr>
                <w:rFonts w:cs="Times New Roman"/>
              </w:rPr>
              <w:t>5）300厚级配砂石（压实）</w:t>
            </w:r>
          </w:p>
          <w:p w14:paraId="7947E079">
            <w:pPr>
              <w:pStyle w:val="71"/>
              <w:spacing w:before="24" w:after="24"/>
              <w:jc w:val="left"/>
              <w:rPr>
                <w:rFonts w:cs="Times New Roman"/>
              </w:rPr>
            </w:pPr>
            <w:r>
              <w:rPr>
                <w:rFonts w:cs="Times New Roman"/>
              </w:rPr>
              <w:t>（如需雨水回收时，铺设反滤土工布）</w:t>
            </w:r>
          </w:p>
          <w:p w14:paraId="557B6D2E">
            <w:pPr>
              <w:pStyle w:val="71"/>
              <w:spacing w:before="24" w:after="24"/>
              <w:jc w:val="left"/>
              <w:rPr>
                <w:rFonts w:cs="Times New Roman"/>
              </w:rPr>
            </w:pPr>
            <w:r>
              <w:rPr>
                <w:rFonts w:cs="Times New Roman"/>
              </w:rPr>
              <w:t>6）素土夯实</w:t>
            </w:r>
          </w:p>
        </w:tc>
        <w:tc>
          <w:tcPr>
            <w:tcW w:w="1869" w:type="dxa"/>
            <w:tcBorders>
              <w:top w:val="single" w:color="000000" w:sz="4" w:space="0"/>
              <w:left w:val="single" w:color="000000" w:sz="4" w:space="0"/>
              <w:bottom w:val="single" w:color="000000" w:sz="4" w:space="0"/>
              <w:right w:val="single" w:color="000000" w:sz="4" w:space="0"/>
            </w:tcBorders>
            <w:vAlign w:val="center"/>
          </w:tcPr>
          <w:p w14:paraId="7B1854D9">
            <w:pPr>
              <w:pStyle w:val="71"/>
              <w:spacing w:before="24" w:after="24"/>
              <w:jc w:val="both"/>
              <w:rPr>
                <w:rFonts w:cs="Times New Roman"/>
              </w:rPr>
            </w:pPr>
            <w:r>
              <w:rPr>
                <w:rFonts w:cs="Times New Roman"/>
              </w:rPr>
              <w:t>路面荷载按:行车荷载2-5t，选用90厚10mm粒径C25透水混凝土;</w:t>
            </w:r>
          </w:p>
          <w:p w14:paraId="6F7C128C">
            <w:pPr>
              <w:pStyle w:val="71"/>
              <w:spacing w:before="24" w:after="24"/>
              <w:jc w:val="both"/>
              <w:rPr>
                <w:rFonts w:cs="Times New Roman"/>
              </w:rPr>
            </w:pPr>
            <w:r>
              <w:rPr>
                <w:rFonts w:cs="Times New Roman"/>
              </w:rPr>
              <w:t>行车荷载5-8t，选用150厚10mm粒径C25透水混凝土;</w:t>
            </w:r>
          </w:p>
          <w:p w14:paraId="05E07FAC">
            <w:pPr>
              <w:pStyle w:val="71"/>
              <w:spacing w:before="24" w:after="24"/>
              <w:jc w:val="both"/>
              <w:rPr>
                <w:rFonts w:cs="Times New Roman"/>
              </w:rPr>
            </w:pPr>
            <w:r>
              <w:rPr>
                <w:rFonts w:cs="Times New Roman"/>
              </w:rPr>
              <w:t>行车荷载8-13t选用190厚10mm粒径C25透水混凝土</w:t>
            </w:r>
          </w:p>
        </w:tc>
      </w:tr>
      <w:tr w14:paraId="72F2D2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487EEE2E">
            <w:pPr>
              <w:pStyle w:val="71"/>
              <w:spacing w:before="24" w:after="24"/>
              <w:rPr>
                <w:rFonts w:cs="Times New Roman"/>
              </w:rPr>
            </w:pPr>
            <w:r>
              <w:rPr>
                <w:rFonts w:cs="Times New Roman"/>
              </w:rPr>
              <w:t>2</w:t>
            </w:r>
          </w:p>
        </w:tc>
        <w:tc>
          <w:tcPr>
            <w:tcW w:w="1267" w:type="dxa"/>
            <w:tcBorders>
              <w:top w:val="single" w:color="000000" w:sz="4" w:space="0"/>
              <w:left w:val="single" w:color="000000" w:sz="4" w:space="0"/>
              <w:bottom w:val="single" w:color="000000" w:sz="4" w:space="0"/>
              <w:right w:val="single" w:color="000000" w:sz="4" w:space="0"/>
            </w:tcBorders>
            <w:vAlign w:val="center"/>
          </w:tcPr>
          <w:p w14:paraId="48843034">
            <w:pPr>
              <w:pStyle w:val="71"/>
              <w:spacing w:before="24" w:after="24"/>
              <w:rPr>
                <w:rFonts w:cs="Times New Roman"/>
              </w:rPr>
            </w:pPr>
            <w:r>
              <w:rPr>
                <w:rFonts w:cs="Times New Roman"/>
              </w:rPr>
              <w:t>卵石路面</w:t>
            </w:r>
          </w:p>
        </w:tc>
        <w:tc>
          <w:tcPr>
            <w:tcW w:w="2436" w:type="dxa"/>
            <w:tcBorders>
              <w:top w:val="single" w:color="000000" w:sz="4" w:space="0"/>
              <w:left w:val="single" w:color="000000" w:sz="4" w:space="0"/>
              <w:bottom w:val="single" w:color="000000" w:sz="4" w:space="0"/>
              <w:right w:val="single" w:color="000000" w:sz="4" w:space="0"/>
            </w:tcBorders>
            <w:vAlign w:val="center"/>
          </w:tcPr>
          <w:p w14:paraId="123A1E66">
            <w:pPr>
              <w:pStyle w:val="71"/>
              <w:spacing w:before="24" w:after="24"/>
              <w:rPr>
                <w:rFonts w:cs="Times New Roman"/>
              </w:rPr>
            </w:pPr>
            <w:r>
              <w:rPr>
                <w:rFonts w:cs="Times New Roman"/>
              </w:rPr>
              <w:t>人行道</w:t>
            </w:r>
          </w:p>
        </w:tc>
        <w:tc>
          <w:tcPr>
            <w:tcW w:w="3085" w:type="dxa"/>
            <w:tcBorders>
              <w:top w:val="single" w:color="000000" w:sz="4" w:space="0"/>
              <w:left w:val="single" w:color="000000" w:sz="4" w:space="0"/>
              <w:bottom w:val="single" w:color="000000" w:sz="4" w:space="0"/>
              <w:right w:val="single" w:color="000000" w:sz="4" w:space="0"/>
            </w:tcBorders>
            <w:vAlign w:val="center"/>
          </w:tcPr>
          <w:p w14:paraId="5AACEAEC">
            <w:pPr>
              <w:pStyle w:val="71"/>
              <w:spacing w:before="24" w:after="24"/>
              <w:jc w:val="left"/>
              <w:rPr>
                <w:rFonts w:cs="Times New Roman"/>
              </w:rPr>
            </w:pPr>
            <w:r>
              <w:rPr>
                <w:rFonts w:cs="Times New Roman"/>
              </w:rPr>
              <w:t>1）50-110厚C20细石混凝土嵌卵石（碎石）面层</w:t>
            </w:r>
          </w:p>
          <w:p w14:paraId="36BD3E98">
            <w:pPr>
              <w:pStyle w:val="71"/>
              <w:spacing w:before="24" w:after="24"/>
              <w:jc w:val="left"/>
              <w:rPr>
                <w:rFonts w:cs="Times New Roman"/>
              </w:rPr>
            </w:pPr>
            <w:r>
              <w:rPr>
                <w:rFonts w:cs="Times New Roman"/>
              </w:rPr>
              <w:t>2）150厚C15混凝土</w:t>
            </w:r>
          </w:p>
          <w:p w14:paraId="1517256A">
            <w:pPr>
              <w:pStyle w:val="71"/>
              <w:spacing w:before="24" w:after="24"/>
              <w:jc w:val="left"/>
              <w:rPr>
                <w:rFonts w:cs="Times New Roman"/>
              </w:rPr>
            </w:pPr>
            <w:r>
              <w:rPr>
                <w:rFonts w:cs="Times New Roman"/>
              </w:rPr>
              <w:t>3）150厚灰土（或天然砂砾）</w:t>
            </w:r>
          </w:p>
          <w:p w14:paraId="3402FEF8">
            <w:pPr>
              <w:pStyle w:val="71"/>
              <w:spacing w:before="24" w:after="24"/>
              <w:jc w:val="left"/>
              <w:rPr>
                <w:rFonts w:cs="Times New Roman"/>
              </w:rPr>
            </w:pPr>
            <w:r>
              <w:rPr>
                <w:rFonts w:cs="Times New Roman"/>
              </w:rPr>
              <w:t>4）素土夯实</w:t>
            </w:r>
          </w:p>
        </w:tc>
        <w:tc>
          <w:tcPr>
            <w:tcW w:w="1869" w:type="dxa"/>
            <w:tcBorders>
              <w:top w:val="single" w:color="000000" w:sz="4" w:space="0"/>
              <w:left w:val="single" w:color="000000" w:sz="4" w:space="0"/>
              <w:bottom w:val="single" w:color="000000" w:sz="4" w:space="0"/>
              <w:right w:val="single" w:color="000000" w:sz="4" w:space="0"/>
            </w:tcBorders>
            <w:vAlign w:val="center"/>
          </w:tcPr>
          <w:p w14:paraId="71FC310E">
            <w:pPr>
              <w:pStyle w:val="71"/>
              <w:spacing w:before="24" w:after="24"/>
              <w:rPr>
                <w:rFonts w:cs="Times New Roman"/>
              </w:rPr>
            </w:pPr>
          </w:p>
        </w:tc>
      </w:tr>
      <w:tr w14:paraId="00B95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687FB8F9">
            <w:pPr>
              <w:pStyle w:val="71"/>
              <w:spacing w:before="24" w:after="24"/>
              <w:rPr>
                <w:rFonts w:cs="Times New Roman"/>
              </w:rPr>
            </w:pPr>
            <w:r>
              <w:rPr>
                <w:rFonts w:cs="Times New Roman"/>
              </w:rPr>
              <w:t>3</w:t>
            </w:r>
          </w:p>
        </w:tc>
        <w:tc>
          <w:tcPr>
            <w:tcW w:w="1267" w:type="dxa"/>
            <w:tcBorders>
              <w:top w:val="single" w:color="000000" w:sz="4" w:space="0"/>
              <w:left w:val="single" w:color="000000" w:sz="4" w:space="0"/>
              <w:bottom w:val="single" w:color="000000" w:sz="4" w:space="0"/>
              <w:right w:val="single" w:color="000000" w:sz="4" w:space="0"/>
            </w:tcBorders>
            <w:vAlign w:val="center"/>
          </w:tcPr>
          <w:p w14:paraId="06E821C5">
            <w:pPr>
              <w:pStyle w:val="71"/>
              <w:spacing w:before="24" w:after="24"/>
              <w:rPr>
                <w:rFonts w:cs="Times New Roman"/>
              </w:rPr>
            </w:pPr>
            <w:r>
              <w:rPr>
                <w:rFonts w:cs="Times New Roman"/>
              </w:rPr>
              <w:t>嵌草砖路面</w:t>
            </w:r>
          </w:p>
        </w:tc>
        <w:tc>
          <w:tcPr>
            <w:tcW w:w="2436" w:type="dxa"/>
            <w:tcBorders>
              <w:top w:val="single" w:color="000000" w:sz="4" w:space="0"/>
              <w:left w:val="single" w:color="000000" w:sz="4" w:space="0"/>
              <w:bottom w:val="single" w:color="000000" w:sz="4" w:space="0"/>
              <w:right w:val="single" w:color="000000" w:sz="4" w:space="0"/>
            </w:tcBorders>
            <w:vAlign w:val="center"/>
          </w:tcPr>
          <w:p w14:paraId="126438F8">
            <w:pPr>
              <w:pStyle w:val="71"/>
              <w:spacing w:before="24" w:after="24"/>
              <w:rPr>
                <w:rFonts w:cs="Times New Roman"/>
              </w:rPr>
            </w:pPr>
            <w:r>
              <w:rPr>
                <w:rFonts w:cs="Times New Roman"/>
              </w:rPr>
              <w:t>车行道、停车场、回车场</w:t>
            </w:r>
          </w:p>
        </w:tc>
        <w:tc>
          <w:tcPr>
            <w:tcW w:w="3085" w:type="dxa"/>
            <w:tcBorders>
              <w:top w:val="single" w:color="000000" w:sz="4" w:space="0"/>
              <w:left w:val="single" w:color="000000" w:sz="4" w:space="0"/>
              <w:bottom w:val="single" w:color="000000" w:sz="4" w:space="0"/>
              <w:right w:val="single" w:color="000000" w:sz="4" w:space="0"/>
            </w:tcBorders>
            <w:vAlign w:val="center"/>
          </w:tcPr>
          <w:p w14:paraId="29EA30A0">
            <w:pPr>
              <w:pStyle w:val="71"/>
              <w:spacing w:before="24" w:after="24"/>
              <w:jc w:val="left"/>
              <w:rPr>
                <w:rFonts w:cs="Times New Roman"/>
              </w:rPr>
            </w:pPr>
            <w:r>
              <w:rPr>
                <w:rFonts w:cs="Times New Roman"/>
              </w:rPr>
              <w:t>1）80厚C20混凝土预制嵌草水泥砖砖孔及砖缝处填种植土，内掺草籽</w:t>
            </w:r>
          </w:p>
          <w:p w14:paraId="18583C40">
            <w:pPr>
              <w:pStyle w:val="71"/>
              <w:spacing w:before="24" w:after="24"/>
              <w:jc w:val="left"/>
              <w:rPr>
                <w:rFonts w:cs="Times New Roman"/>
              </w:rPr>
            </w:pPr>
            <w:r>
              <w:rPr>
                <w:rFonts w:cs="Times New Roman"/>
              </w:rPr>
              <w:t>2）30厚黄土粗砂砂：土=1：1</w:t>
            </w:r>
          </w:p>
          <w:p w14:paraId="0C0C19BA">
            <w:pPr>
              <w:pStyle w:val="71"/>
              <w:spacing w:before="24" w:after="24"/>
              <w:jc w:val="left"/>
              <w:rPr>
                <w:rFonts w:cs="Times New Roman"/>
              </w:rPr>
            </w:pPr>
            <w:r>
              <w:rPr>
                <w:rFonts w:cs="Times New Roman"/>
              </w:rPr>
              <w:t>3）150厚碎石碾压密实</w:t>
            </w:r>
          </w:p>
          <w:p w14:paraId="4743AA12">
            <w:pPr>
              <w:pStyle w:val="71"/>
              <w:spacing w:before="24" w:after="24"/>
              <w:jc w:val="left"/>
              <w:rPr>
                <w:rFonts w:cs="Times New Roman"/>
              </w:rPr>
            </w:pPr>
            <w:r>
              <w:rPr>
                <w:rFonts w:cs="Times New Roman"/>
              </w:rPr>
              <w:t>4）300厚3：7灰土（分两步夯实）</w:t>
            </w:r>
          </w:p>
          <w:p w14:paraId="09E0428B">
            <w:pPr>
              <w:pStyle w:val="71"/>
              <w:spacing w:before="24" w:after="24"/>
              <w:jc w:val="left"/>
              <w:rPr>
                <w:rFonts w:cs="Times New Roman"/>
              </w:rPr>
            </w:pPr>
            <w:r>
              <w:rPr>
                <w:rFonts w:cs="Times New Roman"/>
              </w:rPr>
              <w:t>5）路基碾实，压实系数≥0.93</w:t>
            </w:r>
          </w:p>
        </w:tc>
        <w:tc>
          <w:tcPr>
            <w:tcW w:w="1869" w:type="dxa"/>
            <w:tcBorders>
              <w:top w:val="single" w:color="000000" w:sz="4" w:space="0"/>
              <w:left w:val="single" w:color="000000" w:sz="4" w:space="0"/>
              <w:bottom w:val="single" w:color="000000" w:sz="4" w:space="0"/>
              <w:right w:val="single" w:color="000000" w:sz="4" w:space="0"/>
            </w:tcBorders>
            <w:vAlign w:val="center"/>
          </w:tcPr>
          <w:p w14:paraId="7B658557">
            <w:pPr>
              <w:pStyle w:val="71"/>
              <w:spacing w:before="24" w:after="24"/>
              <w:rPr>
                <w:rFonts w:cs="Times New Roman"/>
              </w:rPr>
            </w:pPr>
          </w:p>
        </w:tc>
      </w:tr>
      <w:tr w14:paraId="21B23D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61A40B88">
            <w:pPr>
              <w:pStyle w:val="71"/>
              <w:spacing w:before="24" w:after="24"/>
              <w:rPr>
                <w:rFonts w:cs="Times New Roman"/>
              </w:rPr>
            </w:pPr>
            <w:r>
              <w:rPr>
                <w:rFonts w:cs="Times New Roman"/>
              </w:rPr>
              <w:t>4</w:t>
            </w:r>
          </w:p>
        </w:tc>
        <w:tc>
          <w:tcPr>
            <w:tcW w:w="1267" w:type="dxa"/>
            <w:tcBorders>
              <w:top w:val="single" w:color="000000" w:sz="4" w:space="0"/>
              <w:left w:val="single" w:color="000000" w:sz="4" w:space="0"/>
              <w:bottom w:val="single" w:color="000000" w:sz="4" w:space="0"/>
              <w:right w:val="single" w:color="000000" w:sz="4" w:space="0"/>
            </w:tcBorders>
            <w:vAlign w:val="center"/>
          </w:tcPr>
          <w:p w14:paraId="6D5B4675">
            <w:pPr>
              <w:pStyle w:val="71"/>
              <w:spacing w:before="24" w:after="24"/>
              <w:rPr>
                <w:rFonts w:cs="Times New Roman"/>
              </w:rPr>
            </w:pPr>
            <w:r>
              <w:rPr>
                <w:rFonts w:cs="Times New Roman"/>
              </w:rPr>
              <w:t>嵌草砖路面</w:t>
            </w:r>
          </w:p>
        </w:tc>
        <w:tc>
          <w:tcPr>
            <w:tcW w:w="2436" w:type="dxa"/>
            <w:tcBorders>
              <w:top w:val="single" w:color="000000" w:sz="4" w:space="0"/>
              <w:left w:val="single" w:color="000000" w:sz="4" w:space="0"/>
              <w:bottom w:val="single" w:color="000000" w:sz="4" w:space="0"/>
              <w:right w:val="single" w:color="000000" w:sz="4" w:space="0"/>
            </w:tcBorders>
            <w:vAlign w:val="center"/>
          </w:tcPr>
          <w:p w14:paraId="61AAEAF1">
            <w:pPr>
              <w:pStyle w:val="71"/>
              <w:spacing w:before="24" w:after="24"/>
              <w:rPr>
                <w:rFonts w:cs="Times New Roman"/>
              </w:rPr>
            </w:pPr>
            <w:r>
              <w:rPr>
                <w:rFonts w:cs="Times New Roman"/>
              </w:rPr>
              <w:t>步行道、甬路</w:t>
            </w:r>
          </w:p>
        </w:tc>
        <w:tc>
          <w:tcPr>
            <w:tcW w:w="3085" w:type="dxa"/>
            <w:tcBorders>
              <w:top w:val="single" w:color="000000" w:sz="4" w:space="0"/>
              <w:left w:val="single" w:color="000000" w:sz="4" w:space="0"/>
              <w:bottom w:val="single" w:color="000000" w:sz="4" w:space="0"/>
              <w:right w:val="single" w:color="000000" w:sz="4" w:space="0"/>
            </w:tcBorders>
            <w:vAlign w:val="center"/>
          </w:tcPr>
          <w:p w14:paraId="750403E0">
            <w:pPr>
              <w:pStyle w:val="71"/>
              <w:spacing w:before="24" w:after="24"/>
              <w:jc w:val="left"/>
              <w:rPr>
                <w:rFonts w:cs="Times New Roman"/>
              </w:rPr>
            </w:pPr>
            <w:r>
              <w:rPr>
                <w:rFonts w:cs="Times New Roman"/>
              </w:rPr>
              <w:t>1）60厚透水植草砖（内填种植土）</w:t>
            </w:r>
          </w:p>
          <w:p w14:paraId="3615B0E5">
            <w:pPr>
              <w:pStyle w:val="71"/>
              <w:spacing w:before="24" w:after="24"/>
              <w:jc w:val="left"/>
              <w:rPr>
                <w:rFonts w:cs="Times New Roman"/>
              </w:rPr>
            </w:pPr>
            <w:r>
              <w:rPr>
                <w:rFonts w:cs="Times New Roman"/>
              </w:rPr>
              <w:t>2）50厚黄土中砂混合垫层</w:t>
            </w:r>
          </w:p>
          <w:p w14:paraId="7930193B">
            <w:pPr>
              <w:pStyle w:val="71"/>
              <w:spacing w:before="24" w:after="24"/>
              <w:jc w:val="left"/>
              <w:rPr>
                <w:rFonts w:cs="Times New Roman"/>
              </w:rPr>
            </w:pPr>
            <w:r>
              <w:rPr>
                <w:rFonts w:cs="Times New Roman"/>
              </w:rPr>
              <w:t>3）150厚碎石中砂基层夯实</w:t>
            </w:r>
          </w:p>
          <w:p w14:paraId="4544D6AF">
            <w:pPr>
              <w:pStyle w:val="71"/>
              <w:spacing w:before="24" w:after="24"/>
              <w:jc w:val="left"/>
              <w:rPr>
                <w:rFonts w:cs="Times New Roman"/>
              </w:rPr>
            </w:pPr>
            <w:r>
              <w:rPr>
                <w:rFonts w:cs="Times New Roman"/>
              </w:rPr>
              <w:t>4）素土夯实</w:t>
            </w:r>
          </w:p>
        </w:tc>
        <w:tc>
          <w:tcPr>
            <w:tcW w:w="1869" w:type="dxa"/>
            <w:tcBorders>
              <w:top w:val="single" w:color="000000" w:sz="4" w:space="0"/>
              <w:left w:val="single" w:color="000000" w:sz="4" w:space="0"/>
              <w:bottom w:val="single" w:color="000000" w:sz="4" w:space="0"/>
              <w:right w:val="single" w:color="000000" w:sz="4" w:space="0"/>
            </w:tcBorders>
            <w:vAlign w:val="center"/>
          </w:tcPr>
          <w:p w14:paraId="7CECC0ED">
            <w:pPr>
              <w:pStyle w:val="71"/>
              <w:spacing w:before="24" w:after="24"/>
              <w:rPr>
                <w:rFonts w:cs="Times New Roman"/>
              </w:rPr>
            </w:pPr>
          </w:p>
        </w:tc>
      </w:tr>
      <w:tr w14:paraId="085C9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4DF33B4E">
            <w:pPr>
              <w:pStyle w:val="71"/>
              <w:spacing w:before="24" w:after="24"/>
              <w:rPr>
                <w:rFonts w:cs="Times New Roman"/>
              </w:rPr>
            </w:pPr>
            <w:r>
              <w:rPr>
                <w:rFonts w:cs="Times New Roman"/>
              </w:rPr>
              <w:t>5</w:t>
            </w:r>
          </w:p>
        </w:tc>
        <w:tc>
          <w:tcPr>
            <w:tcW w:w="1267" w:type="dxa"/>
            <w:tcBorders>
              <w:top w:val="single" w:color="000000" w:sz="4" w:space="0"/>
              <w:left w:val="single" w:color="000000" w:sz="4" w:space="0"/>
              <w:bottom w:val="single" w:color="000000" w:sz="4" w:space="0"/>
              <w:right w:val="single" w:color="000000" w:sz="4" w:space="0"/>
            </w:tcBorders>
            <w:vAlign w:val="center"/>
          </w:tcPr>
          <w:p w14:paraId="0736F5CF">
            <w:pPr>
              <w:pStyle w:val="71"/>
              <w:spacing w:before="24" w:after="24"/>
              <w:rPr>
                <w:rFonts w:cs="Times New Roman"/>
              </w:rPr>
            </w:pPr>
            <w:r>
              <w:rPr>
                <w:rFonts w:cs="Times New Roman"/>
              </w:rPr>
              <w:t>水洗石步道</w:t>
            </w:r>
          </w:p>
        </w:tc>
        <w:tc>
          <w:tcPr>
            <w:tcW w:w="2436" w:type="dxa"/>
            <w:tcBorders>
              <w:top w:val="single" w:color="000000" w:sz="4" w:space="0"/>
              <w:left w:val="single" w:color="000000" w:sz="4" w:space="0"/>
              <w:bottom w:val="single" w:color="000000" w:sz="4" w:space="0"/>
              <w:right w:val="single" w:color="000000" w:sz="4" w:space="0"/>
            </w:tcBorders>
            <w:vAlign w:val="center"/>
          </w:tcPr>
          <w:p w14:paraId="6280AAD6">
            <w:pPr>
              <w:pStyle w:val="71"/>
              <w:spacing w:before="24" w:after="24"/>
              <w:rPr>
                <w:rFonts w:cs="Times New Roman"/>
              </w:rPr>
            </w:pPr>
            <w:r>
              <w:rPr>
                <w:rFonts w:cs="Times New Roman"/>
              </w:rPr>
              <w:t>景观步行道</w:t>
            </w:r>
          </w:p>
        </w:tc>
        <w:tc>
          <w:tcPr>
            <w:tcW w:w="3085" w:type="dxa"/>
            <w:tcBorders>
              <w:top w:val="single" w:color="000000" w:sz="4" w:space="0"/>
              <w:left w:val="single" w:color="000000" w:sz="4" w:space="0"/>
              <w:bottom w:val="single" w:color="000000" w:sz="4" w:space="0"/>
              <w:right w:val="single" w:color="000000" w:sz="4" w:space="0"/>
            </w:tcBorders>
            <w:vAlign w:val="center"/>
          </w:tcPr>
          <w:p w14:paraId="7D26CD1F">
            <w:pPr>
              <w:pStyle w:val="71"/>
              <w:spacing w:before="24" w:after="24"/>
              <w:jc w:val="both"/>
              <w:rPr>
                <w:rFonts w:cs="Times New Roman"/>
              </w:rPr>
            </w:pPr>
            <w:r>
              <w:rPr>
                <w:rFonts w:cs="Times New Roman"/>
              </w:rPr>
              <w:t>1）水洗石饰面（颜色发包人定）粒径φ5-6</w:t>
            </w:r>
          </w:p>
          <w:p w14:paraId="5498285B">
            <w:pPr>
              <w:pStyle w:val="71"/>
              <w:spacing w:before="24" w:after="24"/>
              <w:jc w:val="both"/>
              <w:rPr>
                <w:rFonts w:cs="Times New Roman"/>
              </w:rPr>
            </w:pPr>
            <w:r>
              <w:rPr>
                <w:rFonts w:cs="Times New Roman"/>
              </w:rPr>
              <w:t>2）30厚M15水泥砂浆结合层内掺水重5%107胶</w:t>
            </w:r>
          </w:p>
          <w:p w14:paraId="6C50FBE7">
            <w:pPr>
              <w:pStyle w:val="71"/>
              <w:spacing w:before="24" w:after="24"/>
              <w:jc w:val="both"/>
              <w:rPr>
                <w:rFonts w:cs="Times New Roman"/>
              </w:rPr>
            </w:pPr>
            <w:r>
              <w:rPr>
                <w:rFonts w:cs="Times New Roman"/>
              </w:rPr>
              <w:t>3）50厚C15混凝土</w:t>
            </w:r>
          </w:p>
          <w:p w14:paraId="79DCCCBE">
            <w:pPr>
              <w:pStyle w:val="71"/>
              <w:spacing w:before="24" w:after="24"/>
              <w:jc w:val="both"/>
              <w:rPr>
                <w:rFonts w:cs="Times New Roman"/>
              </w:rPr>
            </w:pPr>
            <w:r>
              <w:rPr>
                <w:rFonts w:cs="Times New Roman"/>
              </w:rPr>
              <w:t>4）150厚碎石垫层夯实</w:t>
            </w:r>
          </w:p>
          <w:p w14:paraId="26A790BB">
            <w:pPr>
              <w:pStyle w:val="71"/>
              <w:spacing w:before="24" w:after="24"/>
              <w:jc w:val="both"/>
              <w:rPr>
                <w:rFonts w:cs="Times New Roman"/>
              </w:rPr>
            </w:pPr>
            <w:r>
              <w:rPr>
                <w:rFonts w:cs="Times New Roman"/>
              </w:rPr>
              <w:t>5）素土夯实，压实系数≥0.93</w:t>
            </w:r>
          </w:p>
        </w:tc>
        <w:tc>
          <w:tcPr>
            <w:tcW w:w="1869" w:type="dxa"/>
            <w:tcBorders>
              <w:top w:val="single" w:color="000000" w:sz="4" w:space="0"/>
              <w:left w:val="single" w:color="000000" w:sz="4" w:space="0"/>
              <w:bottom w:val="single" w:color="000000" w:sz="4" w:space="0"/>
              <w:right w:val="single" w:color="000000" w:sz="4" w:space="0"/>
            </w:tcBorders>
            <w:vAlign w:val="center"/>
          </w:tcPr>
          <w:p w14:paraId="05682B95">
            <w:pPr>
              <w:pStyle w:val="71"/>
              <w:spacing w:before="24" w:after="24"/>
              <w:rPr>
                <w:rFonts w:cs="Times New Roman"/>
              </w:rPr>
            </w:pPr>
          </w:p>
        </w:tc>
      </w:tr>
    </w:tbl>
    <w:p w14:paraId="633A1375">
      <w:pPr>
        <w:spacing w:before="24" w:after="24"/>
        <w:rPr>
          <w:rFonts w:ascii="Times New Roman" w:hAnsi="Times New Roman" w:cs="Times New Roman"/>
          <w:b/>
          <w:color w:val="0D0D0D" w:themeColor="text1" w:themeTint="F2"/>
          <w14:textFill>
            <w14:solidFill>
              <w14:schemeClr w14:val="tx1">
                <w14:lumMod w14:val="95000"/>
                <w14:lumOff w14:val="5000"/>
              </w14:schemeClr>
            </w14:solidFill>
          </w14:textFill>
        </w:rPr>
      </w:pPr>
      <w:r>
        <w:rPr>
          <w:rFonts w:ascii="Times New Roman" w:hAnsi="Times New Roman" w:cs="Times New Roman"/>
          <w:b/>
          <w:color w:val="0D0D0D" w:themeColor="text1" w:themeTint="F2"/>
          <w14:textFill>
            <w14:solidFill>
              <w14:schemeClr w14:val="tx1">
                <w14:lumMod w14:val="95000"/>
                <w14:lumOff w14:val="5000"/>
              </w14:schemeClr>
            </w14:solidFill>
          </w14:textFill>
        </w:rPr>
        <w:br w:type="page"/>
      </w:r>
    </w:p>
    <w:p w14:paraId="46094F1D">
      <w:pPr>
        <w:pStyle w:val="62"/>
      </w:pPr>
      <w:bookmarkStart w:id="220" w:name="_Toc221894241"/>
      <w:r>
        <w:t>（七）道路专业构造做法</w:t>
      </w:r>
      <w:bookmarkEnd w:id="220"/>
    </w:p>
    <w:tbl>
      <w:tblPr>
        <w:tblStyle w:val="30"/>
        <w:tblW w:w="93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3"/>
        <w:gridCol w:w="1288"/>
        <w:gridCol w:w="1185"/>
        <w:gridCol w:w="5239"/>
        <w:gridCol w:w="852"/>
      </w:tblGrid>
      <w:tr w14:paraId="54E11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3"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6E2CDCAE">
            <w:pPr>
              <w:pStyle w:val="71"/>
              <w:spacing w:before="24" w:after="24"/>
              <w:rPr>
                <w:rFonts w:cs="Times New Roman"/>
              </w:rPr>
            </w:pPr>
            <w:r>
              <w:rPr>
                <w:rFonts w:cs="Times New Roman"/>
              </w:rPr>
              <w:t>序号</w:t>
            </w:r>
          </w:p>
        </w:tc>
        <w:tc>
          <w:tcPr>
            <w:tcW w:w="1288"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4A1AF48C">
            <w:pPr>
              <w:pStyle w:val="71"/>
              <w:spacing w:before="24" w:after="24"/>
              <w:rPr>
                <w:rFonts w:cs="Times New Roman"/>
              </w:rPr>
            </w:pPr>
            <w:r>
              <w:rPr>
                <w:rFonts w:cs="Times New Roman"/>
              </w:rPr>
              <w:t>名称</w:t>
            </w:r>
          </w:p>
        </w:tc>
        <w:tc>
          <w:tcPr>
            <w:tcW w:w="1185"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07248A16">
            <w:pPr>
              <w:pStyle w:val="71"/>
              <w:spacing w:before="24" w:after="24"/>
              <w:rPr>
                <w:rFonts w:cs="Times New Roman"/>
              </w:rPr>
            </w:pPr>
            <w:r>
              <w:rPr>
                <w:rFonts w:cs="Times New Roman"/>
              </w:rPr>
              <w:t>部位</w:t>
            </w:r>
          </w:p>
        </w:tc>
        <w:tc>
          <w:tcPr>
            <w:tcW w:w="5239"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1FD21EB3">
            <w:pPr>
              <w:pStyle w:val="71"/>
              <w:spacing w:before="24" w:after="24"/>
              <w:rPr>
                <w:rFonts w:cs="Times New Roman"/>
              </w:rPr>
            </w:pPr>
            <w:r>
              <w:rPr>
                <w:rFonts w:cs="Times New Roman"/>
              </w:rPr>
              <w:t>面层做法/规格参数</w:t>
            </w:r>
          </w:p>
        </w:tc>
        <w:tc>
          <w:tcPr>
            <w:tcW w:w="852"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5AF06F0D">
            <w:pPr>
              <w:pStyle w:val="71"/>
              <w:spacing w:before="24" w:after="24"/>
              <w:rPr>
                <w:rFonts w:cs="Times New Roman"/>
              </w:rPr>
            </w:pPr>
            <w:r>
              <w:rPr>
                <w:rFonts w:cs="Times New Roman"/>
              </w:rPr>
              <w:t>备注</w:t>
            </w:r>
          </w:p>
        </w:tc>
      </w:tr>
      <w:tr w14:paraId="5C19C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347" w:type="dxa"/>
            <w:gridSpan w:val="5"/>
            <w:tcBorders>
              <w:top w:val="single" w:color="000000" w:sz="4" w:space="0"/>
              <w:left w:val="single" w:color="000000" w:sz="4" w:space="0"/>
              <w:bottom w:val="single" w:color="000000" w:sz="4" w:space="0"/>
              <w:right w:val="single" w:color="000000" w:sz="4" w:space="0"/>
            </w:tcBorders>
            <w:vAlign w:val="center"/>
          </w:tcPr>
          <w:p w14:paraId="5B4E0B71">
            <w:pPr>
              <w:pStyle w:val="71"/>
              <w:spacing w:before="24" w:after="24"/>
              <w:rPr>
                <w:rFonts w:cs="Times New Roman"/>
              </w:rPr>
            </w:pPr>
            <w:r>
              <w:rPr>
                <w:rFonts w:cs="Times New Roman"/>
              </w:rPr>
              <w:t>行车道路面结构</w:t>
            </w:r>
          </w:p>
        </w:tc>
      </w:tr>
      <w:tr w14:paraId="749701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6441658F">
            <w:pPr>
              <w:pStyle w:val="71"/>
              <w:spacing w:before="24" w:after="24"/>
              <w:rPr>
                <w:rFonts w:cs="Times New Roman"/>
              </w:rPr>
            </w:pPr>
            <w:r>
              <w:rPr>
                <w:rFonts w:cs="Times New Roman"/>
              </w:rPr>
              <w:t>1</w:t>
            </w:r>
          </w:p>
        </w:tc>
        <w:tc>
          <w:tcPr>
            <w:tcW w:w="1288" w:type="dxa"/>
            <w:tcBorders>
              <w:top w:val="single" w:color="000000" w:sz="4" w:space="0"/>
              <w:left w:val="single" w:color="000000" w:sz="4" w:space="0"/>
              <w:bottom w:val="single" w:color="000000" w:sz="4" w:space="0"/>
              <w:right w:val="single" w:color="000000" w:sz="4" w:space="0"/>
            </w:tcBorders>
            <w:vAlign w:val="center"/>
          </w:tcPr>
          <w:p w14:paraId="3BE20740">
            <w:pPr>
              <w:pStyle w:val="71"/>
              <w:spacing w:before="24" w:after="24"/>
              <w:rPr>
                <w:rFonts w:cs="Times New Roman"/>
              </w:rPr>
            </w:pPr>
            <w:r>
              <w:rPr>
                <w:rFonts w:cs="Times New Roman"/>
              </w:rPr>
              <w:t>路面结构</w:t>
            </w:r>
          </w:p>
        </w:tc>
        <w:tc>
          <w:tcPr>
            <w:tcW w:w="1185" w:type="dxa"/>
            <w:tcBorders>
              <w:top w:val="single" w:color="000000" w:sz="4" w:space="0"/>
              <w:left w:val="single" w:color="000000" w:sz="4" w:space="0"/>
              <w:bottom w:val="single" w:color="000000" w:sz="4" w:space="0"/>
              <w:right w:val="single" w:color="000000" w:sz="4" w:space="0"/>
            </w:tcBorders>
            <w:vAlign w:val="center"/>
          </w:tcPr>
          <w:p w14:paraId="693CF618">
            <w:pPr>
              <w:pStyle w:val="71"/>
              <w:spacing w:before="24" w:after="24"/>
              <w:rPr>
                <w:rFonts w:cs="Times New Roman"/>
              </w:rPr>
            </w:pPr>
            <w:r>
              <w:rPr>
                <w:rFonts w:cs="Times New Roman"/>
              </w:rPr>
              <w:t>主干道行车道路面</w:t>
            </w:r>
          </w:p>
        </w:tc>
        <w:tc>
          <w:tcPr>
            <w:tcW w:w="5239" w:type="dxa"/>
            <w:tcBorders>
              <w:top w:val="single" w:color="000000" w:sz="4" w:space="0"/>
              <w:left w:val="single" w:color="000000" w:sz="4" w:space="0"/>
              <w:bottom w:val="single" w:color="000000" w:sz="4" w:space="0"/>
              <w:right w:val="single" w:color="000000" w:sz="4" w:space="0"/>
            </w:tcBorders>
            <w:vAlign w:val="center"/>
          </w:tcPr>
          <w:p w14:paraId="62B9DA5F">
            <w:pPr>
              <w:pStyle w:val="71"/>
              <w:spacing w:before="24" w:after="24"/>
              <w:jc w:val="left"/>
              <w:rPr>
                <w:rFonts w:cs="Times New Roman"/>
              </w:rPr>
            </w:pPr>
            <w:r>
              <w:rPr>
                <w:rFonts w:cs="Times New Roman"/>
              </w:rPr>
              <w:t>1）4cm细粒式沥青混凝土 AC-13C（5％SBS 改性剂）</w:t>
            </w:r>
          </w:p>
          <w:p w14:paraId="0EFB5EAF">
            <w:pPr>
              <w:pStyle w:val="71"/>
              <w:spacing w:before="24" w:after="24"/>
              <w:jc w:val="left"/>
              <w:rPr>
                <w:rFonts w:cs="Times New Roman"/>
              </w:rPr>
            </w:pPr>
            <w:r>
              <w:rPr>
                <w:rFonts w:cs="Times New Roman"/>
              </w:rPr>
              <w:t>2）粘层</w:t>
            </w:r>
          </w:p>
          <w:p w14:paraId="5C6C0FD4">
            <w:pPr>
              <w:pStyle w:val="71"/>
              <w:spacing w:before="24" w:after="24"/>
              <w:jc w:val="left"/>
              <w:rPr>
                <w:rFonts w:cs="Times New Roman"/>
              </w:rPr>
            </w:pPr>
            <w:r>
              <w:rPr>
                <w:rFonts w:cs="Times New Roman"/>
              </w:rPr>
              <w:t>3）5cm粗粒式沥青混凝土 AC-20C</w:t>
            </w:r>
          </w:p>
          <w:p w14:paraId="38A810F5">
            <w:pPr>
              <w:pStyle w:val="71"/>
              <w:spacing w:before="24" w:after="24"/>
              <w:jc w:val="left"/>
              <w:rPr>
                <w:rFonts w:cs="Times New Roman"/>
              </w:rPr>
            </w:pPr>
            <w:r>
              <w:rPr>
                <w:rFonts w:cs="Times New Roman"/>
              </w:rPr>
              <w:t>4）粘层</w:t>
            </w:r>
          </w:p>
          <w:p w14:paraId="229F51C9">
            <w:pPr>
              <w:pStyle w:val="71"/>
              <w:spacing w:before="24" w:after="24"/>
              <w:jc w:val="left"/>
              <w:rPr>
                <w:rFonts w:cs="Times New Roman"/>
              </w:rPr>
            </w:pPr>
            <w:r>
              <w:rPr>
                <w:rFonts w:cs="Times New Roman"/>
              </w:rPr>
              <w:t>5）7cm粗粒式沥青混凝土 AC-25C</w:t>
            </w:r>
          </w:p>
          <w:p w14:paraId="55114A22">
            <w:pPr>
              <w:pStyle w:val="71"/>
              <w:spacing w:before="24" w:after="24"/>
              <w:jc w:val="left"/>
              <w:rPr>
                <w:rFonts w:cs="Times New Roman"/>
              </w:rPr>
            </w:pPr>
            <w:r>
              <w:rPr>
                <w:rFonts w:cs="Times New Roman"/>
              </w:rPr>
              <w:t>4）0.6cmBCR 稀浆封层</w:t>
            </w:r>
          </w:p>
          <w:p w14:paraId="1355EA73">
            <w:pPr>
              <w:pStyle w:val="71"/>
              <w:spacing w:before="24" w:after="24"/>
              <w:jc w:val="left"/>
              <w:rPr>
                <w:rFonts w:cs="Times New Roman"/>
              </w:rPr>
            </w:pPr>
            <w:r>
              <w:rPr>
                <w:rFonts w:cs="Times New Roman"/>
              </w:rPr>
              <w:t>5）PC-2 透层</w:t>
            </w:r>
          </w:p>
          <w:p w14:paraId="620FE710">
            <w:pPr>
              <w:pStyle w:val="71"/>
              <w:spacing w:before="24" w:after="24"/>
              <w:jc w:val="left"/>
              <w:rPr>
                <w:rFonts w:cs="Times New Roman"/>
              </w:rPr>
            </w:pPr>
            <w:r>
              <w:rPr>
                <w:rFonts w:cs="Times New Roman"/>
              </w:rPr>
              <w:t>6）36cm水泥稳定碎石 （水泥 5%）</w:t>
            </w:r>
          </w:p>
          <w:p w14:paraId="17202DE0">
            <w:pPr>
              <w:pStyle w:val="71"/>
              <w:spacing w:before="24" w:after="24"/>
              <w:jc w:val="left"/>
              <w:rPr>
                <w:rFonts w:cs="Times New Roman"/>
              </w:rPr>
            </w:pPr>
            <w:r>
              <w:rPr>
                <w:rFonts w:cs="Times New Roman"/>
              </w:rPr>
              <w:t>7）15cm级配碎石</w:t>
            </w:r>
          </w:p>
          <w:p w14:paraId="488CB4C7">
            <w:pPr>
              <w:pStyle w:val="71"/>
              <w:spacing w:before="24" w:after="24"/>
              <w:jc w:val="left"/>
              <w:rPr>
                <w:rFonts w:cs="Times New Roman"/>
              </w:rPr>
            </w:pPr>
            <w:r>
              <w:rPr>
                <w:rFonts w:cs="Times New Roman"/>
              </w:rPr>
              <w:t>8）80cm路床填料：碎石土（碎石含量≥70%）</w:t>
            </w:r>
          </w:p>
        </w:tc>
        <w:tc>
          <w:tcPr>
            <w:tcW w:w="852" w:type="dxa"/>
            <w:tcBorders>
              <w:top w:val="single" w:color="000000" w:sz="4" w:space="0"/>
              <w:left w:val="single" w:color="000000" w:sz="4" w:space="0"/>
              <w:bottom w:val="single" w:color="000000" w:sz="4" w:space="0"/>
              <w:right w:val="single" w:color="000000" w:sz="4" w:space="0"/>
            </w:tcBorders>
            <w:vAlign w:val="center"/>
          </w:tcPr>
          <w:p w14:paraId="59001E4B">
            <w:pPr>
              <w:pStyle w:val="71"/>
              <w:spacing w:before="24" w:after="24"/>
              <w:rPr>
                <w:rFonts w:cs="Times New Roman"/>
              </w:rPr>
            </w:pPr>
          </w:p>
        </w:tc>
      </w:tr>
      <w:tr w14:paraId="732552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347" w:type="dxa"/>
            <w:gridSpan w:val="5"/>
            <w:tcBorders>
              <w:top w:val="single" w:color="000000" w:sz="4" w:space="0"/>
              <w:left w:val="single" w:color="000000" w:sz="4" w:space="0"/>
              <w:bottom w:val="single" w:color="000000" w:sz="4" w:space="0"/>
              <w:right w:val="single" w:color="000000" w:sz="4" w:space="0"/>
            </w:tcBorders>
            <w:vAlign w:val="center"/>
          </w:tcPr>
          <w:p w14:paraId="60247EE7">
            <w:pPr>
              <w:pStyle w:val="71"/>
              <w:spacing w:before="24" w:after="24"/>
              <w:rPr>
                <w:rFonts w:cs="Times New Roman"/>
              </w:rPr>
            </w:pPr>
            <w:r>
              <w:rPr>
                <w:rFonts w:cs="Times New Roman"/>
              </w:rPr>
              <w:t>人行道路面结构</w:t>
            </w:r>
          </w:p>
        </w:tc>
      </w:tr>
      <w:tr w14:paraId="1A32A5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79E3E8EF">
            <w:pPr>
              <w:pStyle w:val="71"/>
              <w:spacing w:before="24" w:after="24"/>
              <w:rPr>
                <w:rFonts w:cs="Times New Roman"/>
              </w:rPr>
            </w:pPr>
            <w:r>
              <w:rPr>
                <w:rFonts w:cs="Times New Roman"/>
              </w:rPr>
              <w:t>2</w:t>
            </w:r>
          </w:p>
        </w:tc>
        <w:tc>
          <w:tcPr>
            <w:tcW w:w="1288" w:type="dxa"/>
            <w:tcBorders>
              <w:top w:val="single" w:color="000000" w:sz="4" w:space="0"/>
              <w:left w:val="single" w:color="000000" w:sz="4" w:space="0"/>
              <w:bottom w:val="single" w:color="000000" w:sz="4" w:space="0"/>
              <w:right w:val="single" w:color="000000" w:sz="4" w:space="0"/>
            </w:tcBorders>
            <w:vAlign w:val="center"/>
          </w:tcPr>
          <w:p w14:paraId="376C15BB">
            <w:pPr>
              <w:pStyle w:val="71"/>
              <w:spacing w:before="24" w:after="24"/>
              <w:rPr>
                <w:rFonts w:cs="Times New Roman"/>
              </w:rPr>
            </w:pPr>
            <w:r>
              <w:rPr>
                <w:rFonts w:cs="Times New Roman"/>
              </w:rPr>
              <w:t>路面结构</w:t>
            </w:r>
          </w:p>
        </w:tc>
        <w:tc>
          <w:tcPr>
            <w:tcW w:w="1185" w:type="dxa"/>
            <w:tcBorders>
              <w:top w:val="single" w:color="000000" w:sz="4" w:space="0"/>
              <w:left w:val="single" w:color="000000" w:sz="4" w:space="0"/>
              <w:bottom w:val="single" w:color="000000" w:sz="4" w:space="0"/>
              <w:right w:val="single" w:color="000000" w:sz="4" w:space="0"/>
            </w:tcBorders>
            <w:vAlign w:val="center"/>
          </w:tcPr>
          <w:p w14:paraId="488A78FB">
            <w:pPr>
              <w:pStyle w:val="71"/>
              <w:spacing w:before="24" w:after="24"/>
              <w:rPr>
                <w:rFonts w:cs="Times New Roman"/>
              </w:rPr>
            </w:pPr>
            <w:r>
              <w:rPr>
                <w:rFonts w:cs="Times New Roman"/>
              </w:rPr>
              <w:t>人行道路面</w:t>
            </w:r>
          </w:p>
        </w:tc>
        <w:tc>
          <w:tcPr>
            <w:tcW w:w="5239" w:type="dxa"/>
            <w:tcBorders>
              <w:top w:val="single" w:color="000000" w:sz="4" w:space="0"/>
              <w:left w:val="single" w:color="000000" w:sz="4" w:space="0"/>
              <w:bottom w:val="single" w:color="000000" w:sz="4" w:space="0"/>
              <w:right w:val="single" w:color="000000" w:sz="4" w:space="0"/>
            </w:tcBorders>
            <w:vAlign w:val="center"/>
          </w:tcPr>
          <w:p w14:paraId="03500B0E">
            <w:pPr>
              <w:pStyle w:val="71"/>
              <w:spacing w:before="24" w:after="24"/>
              <w:jc w:val="left"/>
              <w:rPr>
                <w:rFonts w:cs="Times New Roman"/>
              </w:rPr>
            </w:pPr>
            <w:r>
              <w:rPr>
                <w:rFonts w:cs="Times New Roman"/>
              </w:rPr>
              <w:t>1）6cm透水砖铺装</w:t>
            </w:r>
          </w:p>
          <w:p w14:paraId="30C4D1B5">
            <w:pPr>
              <w:pStyle w:val="71"/>
              <w:spacing w:before="24" w:after="24"/>
              <w:jc w:val="left"/>
              <w:rPr>
                <w:rFonts w:cs="Times New Roman"/>
              </w:rPr>
            </w:pPr>
            <w:r>
              <w:rPr>
                <w:rFonts w:cs="Times New Roman"/>
              </w:rPr>
              <w:t>2）3cm石屑</w:t>
            </w:r>
          </w:p>
          <w:p w14:paraId="09ADDA63">
            <w:pPr>
              <w:pStyle w:val="71"/>
              <w:spacing w:before="24" w:after="24"/>
              <w:jc w:val="left"/>
              <w:rPr>
                <w:rFonts w:cs="Times New Roman"/>
              </w:rPr>
            </w:pPr>
            <w:r>
              <w:rPr>
                <w:rFonts w:cs="Times New Roman"/>
              </w:rPr>
              <w:t>3）15cm透水混凝土（C20）</w:t>
            </w:r>
          </w:p>
          <w:p w14:paraId="6D9FB2F9">
            <w:pPr>
              <w:pStyle w:val="71"/>
              <w:spacing w:before="24" w:after="24"/>
              <w:jc w:val="left"/>
              <w:rPr>
                <w:rFonts w:cs="Times New Roman"/>
              </w:rPr>
            </w:pPr>
            <w:r>
              <w:rPr>
                <w:rFonts w:cs="Times New Roman"/>
              </w:rPr>
              <w:t>4）10cm砂砾石</w:t>
            </w:r>
          </w:p>
          <w:p w14:paraId="22A1DE57">
            <w:pPr>
              <w:pStyle w:val="71"/>
              <w:spacing w:before="24" w:after="24"/>
              <w:jc w:val="left"/>
              <w:rPr>
                <w:rFonts w:cs="Times New Roman"/>
              </w:rPr>
            </w:pPr>
            <w:r>
              <w:rPr>
                <w:rFonts w:cs="Times New Roman"/>
              </w:rPr>
              <w:t>5）30cm路床填料：碎石土（碎石含量≥70%）</w:t>
            </w:r>
          </w:p>
        </w:tc>
        <w:tc>
          <w:tcPr>
            <w:tcW w:w="852" w:type="dxa"/>
            <w:tcBorders>
              <w:top w:val="single" w:color="000000" w:sz="4" w:space="0"/>
              <w:left w:val="single" w:color="000000" w:sz="4" w:space="0"/>
              <w:bottom w:val="single" w:color="000000" w:sz="4" w:space="0"/>
              <w:right w:val="single" w:color="000000" w:sz="4" w:space="0"/>
            </w:tcBorders>
            <w:vAlign w:val="center"/>
          </w:tcPr>
          <w:p w14:paraId="36DB6807">
            <w:pPr>
              <w:pStyle w:val="71"/>
              <w:spacing w:before="24" w:after="24"/>
              <w:rPr>
                <w:rFonts w:cs="Times New Roman"/>
              </w:rPr>
            </w:pPr>
          </w:p>
        </w:tc>
      </w:tr>
      <w:tr w14:paraId="0E60C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240E2626">
            <w:pPr>
              <w:pStyle w:val="71"/>
              <w:spacing w:before="24" w:after="24"/>
              <w:rPr>
                <w:rFonts w:cs="Times New Roman"/>
              </w:rPr>
            </w:pPr>
            <w:r>
              <w:rPr>
                <w:rFonts w:cs="Times New Roman"/>
              </w:rPr>
              <w:t>3</w:t>
            </w:r>
          </w:p>
        </w:tc>
        <w:tc>
          <w:tcPr>
            <w:tcW w:w="1288" w:type="dxa"/>
            <w:tcBorders>
              <w:top w:val="single" w:color="000000" w:sz="4" w:space="0"/>
              <w:left w:val="single" w:color="000000" w:sz="4" w:space="0"/>
              <w:bottom w:val="single" w:color="000000" w:sz="4" w:space="0"/>
              <w:right w:val="single" w:color="000000" w:sz="4" w:space="0"/>
            </w:tcBorders>
            <w:vAlign w:val="center"/>
          </w:tcPr>
          <w:p w14:paraId="4DDA4064">
            <w:pPr>
              <w:pStyle w:val="71"/>
              <w:spacing w:before="24" w:after="24"/>
              <w:rPr>
                <w:rFonts w:cs="Times New Roman"/>
              </w:rPr>
            </w:pPr>
            <w:r>
              <w:rPr>
                <w:rFonts w:cs="Times New Roman"/>
              </w:rPr>
              <w:t>路缘石</w:t>
            </w:r>
          </w:p>
        </w:tc>
        <w:tc>
          <w:tcPr>
            <w:tcW w:w="1185" w:type="dxa"/>
            <w:tcBorders>
              <w:top w:val="single" w:color="000000" w:sz="4" w:space="0"/>
              <w:left w:val="single" w:color="000000" w:sz="4" w:space="0"/>
              <w:bottom w:val="single" w:color="000000" w:sz="4" w:space="0"/>
              <w:right w:val="single" w:color="000000" w:sz="4" w:space="0"/>
            </w:tcBorders>
            <w:vAlign w:val="center"/>
          </w:tcPr>
          <w:p w14:paraId="48E52C32">
            <w:pPr>
              <w:pStyle w:val="71"/>
              <w:spacing w:before="24" w:after="24"/>
              <w:rPr>
                <w:rFonts w:cs="Times New Roman"/>
              </w:rPr>
            </w:pPr>
            <w:r>
              <w:rPr>
                <w:rFonts w:cs="Times New Roman"/>
              </w:rPr>
              <w:t>路缘带</w:t>
            </w:r>
          </w:p>
        </w:tc>
        <w:tc>
          <w:tcPr>
            <w:tcW w:w="5239" w:type="dxa"/>
            <w:tcBorders>
              <w:top w:val="single" w:color="000000" w:sz="4" w:space="0"/>
              <w:left w:val="single" w:color="000000" w:sz="4" w:space="0"/>
              <w:bottom w:val="single" w:color="000000" w:sz="4" w:space="0"/>
              <w:right w:val="single" w:color="000000" w:sz="4" w:space="0"/>
            </w:tcBorders>
            <w:vAlign w:val="center"/>
          </w:tcPr>
          <w:p w14:paraId="1ADD5B46">
            <w:pPr>
              <w:pStyle w:val="71"/>
              <w:spacing w:before="24" w:after="24"/>
              <w:jc w:val="left"/>
              <w:rPr>
                <w:rFonts w:cs="Times New Roman"/>
              </w:rPr>
            </w:pPr>
            <w:r>
              <w:rPr>
                <w:rFonts w:cs="Times New Roman"/>
              </w:rPr>
              <w:t>1）立缘石：12cm×30cm（2cm×2cm切角）</w:t>
            </w:r>
          </w:p>
          <w:p w14:paraId="39034F7E">
            <w:pPr>
              <w:pStyle w:val="71"/>
              <w:spacing w:before="24" w:after="24"/>
              <w:jc w:val="left"/>
              <w:rPr>
                <w:rFonts w:cs="Times New Roman"/>
              </w:rPr>
            </w:pPr>
            <w:r>
              <w:rPr>
                <w:rFonts w:cs="Times New Roman"/>
              </w:rPr>
              <w:t>2）流水石：25cm×15cm（12cm）</w:t>
            </w:r>
          </w:p>
          <w:p w14:paraId="4F0D5E0D">
            <w:pPr>
              <w:pStyle w:val="71"/>
              <w:spacing w:before="24" w:after="24"/>
              <w:jc w:val="left"/>
              <w:rPr>
                <w:rFonts w:cs="Times New Roman"/>
              </w:rPr>
            </w:pPr>
            <w:r>
              <w:rPr>
                <w:rFonts w:cs="Times New Roman"/>
              </w:rPr>
              <w:t>3）平缘石：25cm×12cm</w:t>
            </w:r>
          </w:p>
          <w:p w14:paraId="4EDE0B4A">
            <w:pPr>
              <w:pStyle w:val="71"/>
              <w:spacing w:before="24" w:after="24"/>
              <w:jc w:val="left"/>
              <w:rPr>
                <w:rFonts w:cs="Times New Roman"/>
              </w:rPr>
            </w:pPr>
            <w:r>
              <w:rPr>
                <w:rFonts w:cs="Times New Roman"/>
              </w:rPr>
              <w:t>4）锁边石：12cm×25cm</w:t>
            </w:r>
          </w:p>
        </w:tc>
        <w:tc>
          <w:tcPr>
            <w:tcW w:w="852" w:type="dxa"/>
            <w:tcBorders>
              <w:top w:val="single" w:color="000000" w:sz="4" w:space="0"/>
              <w:left w:val="single" w:color="000000" w:sz="4" w:space="0"/>
              <w:bottom w:val="single" w:color="000000" w:sz="4" w:space="0"/>
              <w:right w:val="single" w:color="000000" w:sz="4" w:space="0"/>
            </w:tcBorders>
            <w:vAlign w:val="center"/>
          </w:tcPr>
          <w:p w14:paraId="3763E54F">
            <w:pPr>
              <w:pStyle w:val="71"/>
              <w:spacing w:before="24" w:after="24"/>
              <w:rPr>
                <w:rFonts w:cs="Times New Roman"/>
              </w:rPr>
            </w:pPr>
          </w:p>
        </w:tc>
      </w:tr>
    </w:tbl>
    <w:p w14:paraId="3312DB54">
      <w:pPr>
        <w:spacing w:before="24" w:after="24"/>
        <w:rPr>
          <w:rFonts w:ascii="Times New Roman" w:hAnsi="Times New Roman" w:cs="Times New Roman"/>
          <w:b/>
          <w:bCs/>
          <w:szCs w:val="28"/>
        </w:rPr>
      </w:pPr>
      <w:r>
        <w:rPr>
          <w:rFonts w:ascii="Times New Roman" w:hAnsi="Times New Roman" w:cs="Times New Roman"/>
          <w:b/>
          <w:bCs/>
          <w:szCs w:val="28"/>
        </w:rPr>
        <w:br w:type="page"/>
      </w:r>
    </w:p>
    <w:p w14:paraId="7574E607">
      <w:pPr>
        <w:pStyle w:val="53"/>
        <w:spacing w:before="24" w:after="24"/>
        <w:rPr>
          <w:rFonts w:cs="Times New Roman"/>
        </w:rPr>
      </w:pPr>
      <w:bookmarkStart w:id="221" w:name="_Toc221894242"/>
      <w:r>
        <w:rPr>
          <w:rFonts w:cs="Times New Roman"/>
        </w:rPr>
        <w:t>十五、附件</w:t>
      </w:r>
      <w:bookmarkEnd w:id="221"/>
    </w:p>
    <w:p w14:paraId="20A98372">
      <w:pPr>
        <w:pStyle w:val="62"/>
      </w:pPr>
      <w:bookmarkStart w:id="222" w:name="_Toc221894243"/>
      <w:r>
        <w:rPr>
          <w:lang w:bidi="en-US"/>
        </w:rPr>
        <w:t>附件：智慧工地</w:t>
      </w:r>
      <w:r>
        <w:t>技术要求</w:t>
      </w:r>
      <w:bookmarkEnd w:id="222"/>
    </w:p>
    <w:p w14:paraId="22246B48">
      <w:pPr>
        <w:pStyle w:val="54"/>
        <w:spacing w:before="24" w:after="24"/>
      </w:pPr>
      <w:r>
        <w:rPr>
          <w:lang w:bidi="en-US"/>
        </w:rPr>
        <w:t xml:space="preserve">1 </w:t>
      </w:r>
      <w:r>
        <w:t>总体要求</w:t>
      </w:r>
    </w:p>
    <w:p w14:paraId="6A346BD7">
      <w:pPr>
        <w:pStyle w:val="54"/>
        <w:spacing w:before="24" w:after="24"/>
        <w:rPr>
          <w:lang w:bidi="en-US"/>
        </w:rPr>
      </w:pPr>
      <w:r>
        <w:rPr>
          <w:lang w:bidi="en-US"/>
        </w:rPr>
        <w:t>1.1 智慧工地建设应在项目初期规划，其目标、范围及实施深度应结合项目特点、合约要求及各参与方的信息化水平综合确定。</w:t>
      </w:r>
    </w:p>
    <w:p w14:paraId="781A0A44">
      <w:pPr>
        <w:pStyle w:val="54"/>
        <w:spacing w:before="24" w:after="24"/>
        <w:rPr>
          <w:lang w:bidi="en-US"/>
        </w:rPr>
      </w:pPr>
      <w:r>
        <w:rPr>
          <w:lang w:bidi="en-US"/>
        </w:rPr>
        <w:t>1.2 应依照国家安全法规、网络安全等级保护要求及工地业务实际，合理划分数据安全区域，并通过边界防护、综合审计、漏洞扫描、病毒防护、身份认证等措施，加强全流程数据安全防护，防范数据泄露。</w:t>
      </w:r>
    </w:p>
    <w:p w14:paraId="1A08D9E0">
      <w:pPr>
        <w:pStyle w:val="54"/>
        <w:spacing w:before="24" w:after="24"/>
        <w:rPr>
          <w:lang w:bidi="en-US"/>
        </w:rPr>
      </w:pPr>
      <w:r>
        <w:rPr>
          <w:lang w:bidi="en-US"/>
        </w:rPr>
        <w:t>1.3 运行过程应符合国家信息安全与保密规定，实行统一身份认证和分权分域管理。</w:t>
      </w:r>
    </w:p>
    <w:p w14:paraId="609B33ED">
      <w:pPr>
        <w:pStyle w:val="54"/>
        <w:spacing w:before="24" w:after="24"/>
        <w:rPr>
          <w:sz w:val="24"/>
        </w:rPr>
      </w:pPr>
      <w:r>
        <w:rPr>
          <w:lang w:bidi="en-US"/>
        </w:rPr>
        <w:t xml:space="preserve">1.4 应确保数据处理与存储安全。数据处理安全可通过账号权限管理、定期审查、密码更新及信息加密等方式实现；数据存储安全可采用磁盘阵列、定期备份与异地容灾等手段保障。 </w:t>
      </w:r>
    </w:p>
    <w:p w14:paraId="3D23E4DD">
      <w:pPr>
        <w:pStyle w:val="54"/>
        <w:spacing w:before="24" w:after="24"/>
      </w:pPr>
      <w:r>
        <w:rPr>
          <w:lang w:bidi="en-US"/>
        </w:rPr>
        <w:t xml:space="preserve">2 </w:t>
      </w:r>
      <w:r>
        <w:rPr>
          <w:spacing w:val="-3"/>
        </w:rPr>
        <w:t>智慧工地系统逻辑架构</w:t>
      </w:r>
    </w:p>
    <w:p w14:paraId="250FBCFE">
      <w:pPr>
        <w:pStyle w:val="54"/>
        <w:spacing w:before="24" w:after="24"/>
      </w:pPr>
      <w:r>
        <w:drawing>
          <wp:anchor distT="0" distB="0" distL="114300" distR="114300" simplePos="0" relativeHeight="251660288" behindDoc="1" locked="0" layoutInCell="1" allowOverlap="1">
            <wp:simplePos x="0" y="0"/>
            <wp:positionH relativeFrom="column">
              <wp:posOffset>41275</wp:posOffset>
            </wp:positionH>
            <wp:positionV relativeFrom="paragraph">
              <wp:posOffset>643890</wp:posOffset>
            </wp:positionV>
            <wp:extent cx="5292090" cy="1902460"/>
            <wp:effectExtent l="0" t="0" r="3810" b="2540"/>
            <wp:wrapTopAndBottom/>
            <wp:docPr id="4577822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782218" name="图片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5292090" cy="1902460"/>
                    </a:xfrm>
                    <a:prstGeom prst="rect">
                      <a:avLst/>
                    </a:prstGeom>
                    <a:noFill/>
                    <a:ln>
                      <a:noFill/>
                    </a:ln>
                  </pic:spPr>
                </pic:pic>
              </a:graphicData>
            </a:graphic>
          </wp:anchor>
        </w:drawing>
      </w:r>
      <w:r>
        <w:rPr>
          <w:lang w:bidi="en-US"/>
        </w:rPr>
        <w:t>2.1</w:t>
      </w:r>
      <w:r>
        <w:rPr>
          <w:spacing w:val="-5"/>
        </w:rPr>
        <w:t>智慧工地系统由用户层、应用层、数据层、感知层构成，系统逻辑架构图如图</w:t>
      </w:r>
      <w:r>
        <w:t>1</w:t>
      </w:r>
      <w:r>
        <w:rPr>
          <w:spacing w:val="-15"/>
        </w:rPr>
        <w:t>所示。</w:t>
      </w:r>
    </w:p>
    <w:p w14:paraId="67D2136B">
      <w:pPr>
        <w:pStyle w:val="54"/>
        <w:spacing w:before="24" w:after="24"/>
        <w:ind w:firstLine="528"/>
        <w:jc w:val="center"/>
        <w:rPr>
          <w:spacing w:val="-8"/>
        </w:rPr>
      </w:pPr>
      <w:r>
        <w:rPr>
          <w:spacing w:val="-8"/>
        </w:rPr>
        <w:t>图1</w:t>
      </w:r>
      <w:r>
        <w:rPr>
          <w:spacing w:val="-8"/>
        </w:rPr>
        <w:tab/>
      </w:r>
      <w:r>
        <w:rPr>
          <w:spacing w:val="-8"/>
        </w:rPr>
        <w:t>智慧工地系统逻辑架构图</w:t>
      </w:r>
    </w:p>
    <w:p w14:paraId="013FE417">
      <w:pPr>
        <w:pStyle w:val="54"/>
        <w:spacing w:before="24" w:after="24"/>
      </w:pPr>
      <w:r>
        <w:rPr>
          <w:lang w:bidi="en-US"/>
        </w:rPr>
        <w:t>2.2用户层</w:t>
      </w:r>
    </w:p>
    <w:p w14:paraId="0B1DEF45">
      <w:pPr>
        <w:pStyle w:val="54"/>
        <w:spacing w:before="24" w:after="24"/>
        <w:ind w:firstLine="528"/>
      </w:pPr>
      <w:r>
        <w:rPr>
          <w:spacing w:val="-8"/>
        </w:rPr>
        <w:t xml:space="preserve">用户层包括但不限于建设行政主管部门、发包人、设计单位、施工单位和监理单位等各方责任主体。 </w:t>
      </w:r>
    </w:p>
    <w:p w14:paraId="1670E44A">
      <w:pPr>
        <w:pStyle w:val="54"/>
        <w:spacing w:before="24" w:after="24"/>
      </w:pPr>
      <w:r>
        <w:rPr>
          <w:lang w:bidi="en-US"/>
        </w:rPr>
        <w:t>2.3应用层</w:t>
      </w:r>
    </w:p>
    <w:p w14:paraId="03F2AF09">
      <w:pPr>
        <w:pStyle w:val="54"/>
        <w:spacing w:before="24" w:after="24"/>
        <w:ind w:firstLine="524"/>
      </w:pPr>
      <w:r>
        <w:rPr>
          <w:spacing w:val="-9"/>
        </w:rPr>
        <w:t>应用层包括但不限于工程信息、人员管理、安全管理、质量管理、绿色施工、电子文件管理及工地轻量化BIM</w:t>
      </w:r>
      <w:r>
        <w:rPr>
          <w:spacing w:val="-4"/>
        </w:rPr>
        <w:t>等智慧工地应用场景。</w:t>
      </w:r>
      <w:r>
        <w:t xml:space="preserve"> </w:t>
      </w:r>
    </w:p>
    <w:p w14:paraId="10319452">
      <w:pPr>
        <w:pStyle w:val="54"/>
        <w:spacing w:before="24" w:after="24"/>
      </w:pPr>
      <w:r>
        <w:rPr>
          <w:lang w:bidi="en-US"/>
        </w:rPr>
        <w:t>2.4数据层</w:t>
      </w:r>
    </w:p>
    <w:p w14:paraId="5913D7C8">
      <w:pPr>
        <w:pStyle w:val="54"/>
        <w:spacing w:before="24" w:after="24"/>
        <w:rPr>
          <w:lang w:bidi="en-US"/>
        </w:rPr>
      </w:pPr>
      <w:r>
        <w:rPr>
          <w:lang w:bidi="en-US"/>
        </w:rPr>
        <w:t>2.4.1 数据层包含静态数据与动态数据。静态数据指低频变化的信息，如项目基本信息、各方主体信息、施工人员档案、施工图纸及地理空间数据等。动态数据指随工程进度同步变化的信息，包括人员考勤、门禁通行、设备安全监测及扬尘噪声监测等。</w:t>
      </w:r>
    </w:p>
    <w:p w14:paraId="6949E883">
      <w:pPr>
        <w:pStyle w:val="54"/>
        <w:spacing w:before="24" w:after="24"/>
        <w:rPr>
          <w:lang w:bidi="en-US"/>
        </w:rPr>
      </w:pPr>
      <w:r>
        <w:rPr>
          <w:lang w:bidi="en-US"/>
        </w:rPr>
        <w:t>2.4.2 数据可通过人工录入、外部接口对接或感知设备采集获取。感知设备采集及外部系统接口应支持多协议转换与接入，并具备数据加密、转发与预处理等功能。接口应覆盖静态数据与动态数据的对接需求。</w:t>
      </w:r>
    </w:p>
    <w:p w14:paraId="5369CB72">
      <w:pPr>
        <w:pStyle w:val="54"/>
        <w:spacing w:before="24" w:after="24"/>
      </w:pPr>
      <w:r>
        <w:rPr>
          <w:lang w:bidi="en-US"/>
        </w:rPr>
        <w:t>2.4.3 数据类型需支持结构化与非结构化数据的系统对接，数据格式应满足文本、XML等多种形式的对接要求。</w:t>
      </w:r>
    </w:p>
    <w:p w14:paraId="1CAEB6CC">
      <w:pPr>
        <w:pStyle w:val="54"/>
        <w:spacing w:before="24" w:after="24"/>
      </w:pPr>
      <w:r>
        <w:rPr>
          <w:lang w:bidi="en-US"/>
        </w:rPr>
        <w:t>2.5感知层</w:t>
      </w:r>
    </w:p>
    <w:p w14:paraId="75A7768A">
      <w:pPr>
        <w:pStyle w:val="54"/>
        <w:spacing w:before="24" w:after="24"/>
      </w:pPr>
      <w:r>
        <w:rPr>
          <w:lang w:bidi="en-US"/>
        </w:rPr>
        <w:t xml:space="preserve">2.5.1感知层包括但不限于人员身份、视频图像、声音、空气环境、水电能耗、设备监测等感知设备， 应符合 JGJ/T 434 的规定。 </w:t>
      </w:r>
    </w:p>
    <w:p w14:paraId="347B8272">
      <w:pPr>
        <w:pStyle w:val="54"/>
        <w:spacing w:before="24" w:after="24"/>
      </w:pPr>
      <w:r>
        <w:rPr>
          <w:lang w:bidi="en-US"/>
        </w:rPr>
        <w:t xml:space="preserve">2.5.2感知设备应采用标准协议和接口，支持多种异构系统的集成和各类异构数据的处理，具备连接、控制和联动功能。 </w:t>
      </w:r>
    </w:p>
    <w:p w14:paraId="01482210">
      <w:pPr>
        <w:pStyle w:val="54"/>
        <w:spacing w:before="24" w:after="24"/>
        <w:ind w:firstLine="524"/>
        <w:rPr>
          <w:rFonts w:eastAsia="黑体"/>
        </w:rPr>
      </w:pPr>
      <w:r>
        <w:rPr>
          <w:spacing w:val="-9"/>
        </w:rPr>
        <w:t xml:space="preserve">2.5.3感知设备可参照附录 B 选用。 </w:t>
      </w:r>
    </w:p>
    <w:p w14:paraId="474F80B3">
      <w:pPr>
        <w:pStyle w:val="54"/>
        <w:spacing w:before="24" w:after="24"/>
      </w:pPr>
      <w:r>
        <w:rPr>
          <w:lang w:bidi="en-US"/>
        </w:rPr>
        <w:t xml:space="preserve">3 </w:t>
      </w:r>
      <w:r>
        <w:rPr>
          <w:spacing w:val="-3"/>
        </w:rPr>
        <w:t>智慧工地建设场景</w:t>
      </w:r>
    </w:p>
    <w:p w14:paraId="50093868">
      <w:pPr>
        <w:pStyle w:val="54"/>
        <w:spacing w:before="24" w:after="24"/>
      </w:pPr>
      <w:r>
        <w:rPr>
          <w:lang w:bidi="en-US"/>
        </w:rPr>
        <w:t>3.1</w:t>
      </w:r>
      <w:r>
        <w:t>工程信息</w:t>
      </w:r>
    </w:p>
    <w:p w14:paraId="0CC5C9DF">
      <w:pPr>
        <w:pStyle w:val="54"/>
        <w:spacing w:before="24" w:after="24"/>
        <w:ind w:firstLine="548"/>
        <w:rPr>
          <w:spacing w:val="-3"/>
        </w:rPr>
      </w:pPr>
      <w:r>
        <w:rPr>
          <w:spacing w:val="-3"/>
          <w:lang w:bidi="en-US"/>
        </w:rPr>
        <w:t>3.1.1基本要求</w:t>
      </w:r>
    </w:p>
    <w:p w14:paraId="1ADE2C8E">
      <w:pPr>
        <w:pStyle w:val="54"/>
        <w:spacing w:before="24" w:after="24"/>
        <w:ind w:firstLine="528"/>
      </w:pPr>
      <w:r>
        <w:rPr>
          <w:spacing w:val="-8"/>
        </w:rPr>
        <w:t>工程信息业务场景包括但不限于基本信息、施工组织设计要点、进度管理等，应用场景说明和要求</w:t>
      </w:r>
      <w:r>
        <w:rPr>
          <w:spacing w:val="-7"/>
        </w:rPr>
        <w:t>详见表</w:t>
      </w:r>
      <w:r>
        <w:t>1</w:t>
      </w:r>
      <w:r>
        <w:rPr>
          <w:spacing w:val="-3"/>
        </w:rPr>
        <w:t>。</w:t>
      </w:r>
      <w:r>
        <w:t xml:space="preserve"> </w:t>
      </w:r>
    </w:p>
    <w:p w14:paraId="5860146F">
      <w:pPr>
        <w:pStyle w:val="69"/>
        <w:rPr>
          <w:rFonts w:hint="eastAsia"/>
        </w:rPr>
      </w:pPr>
      <w:r>
        <w:t>表1工程信息应用场景说明和要求</w:t>
      </w:r>
    </w:p>
    <w:tbl>
      <w:tblPr>
        <w:tblStyle w:val="30"/>
        <w:tblW w:w="9441"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699"/>
        <w:gridCol w:w="1843"/>
        <w:gridCol w:w="5386"/>
        <w:gridCol w:w="1513"/>
      </w:tblGrid>
      <w:tr w14:paraId="6F604C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3" w:hRule="atLeast"/>
        </w:trPr>
        <w:tc>
          <w:tcPr>
            <w:tcW w:w="699" w:type="dxa"/>
            <w:tcBorders>
              <w:right w:val="single" w:color="000000" w:sz="4" w:space="0"/>
            </w:tcBorders>
            <w:vAlign w:val="center"/>
          </w:tcPr>
          <w:p w14:paraId="78FCBFC9">
            <w:pPr>
              <w:pStyle w:val="71"/>
              <w:spacing w:before="24" w:after="24"/>
              <w:rPr>
                <w:rFonts w:cs="Times New Roman"/>
              </w:rPr>
            </w:pPr>
            <w:r>
              <w:rPr>
                <w:rFonts w:cs="Times New Roman"/>
              </w:rPr>
              <w:t xml:space="preserve">序号 </w:t>
            </w:r>
          </w:p>
        </w:tc>
        <w:tc>
          <w:tcPr>
            <w:tcW w:w="1843" w:type="dxa"/>
            <w:tcBorders>
              <w:left w:val="single" w:color="000000" w:sz="4" w:space="0"/>
              <w:right w:val="single" w:color="000000" w:sz="4" w:space="0"/>
            </w:tcBorders>
            <w:vAlign w:val="center"/>
          </w:tcPr>
          <w:p w14:paraId="13567D94">
            <w:pPr>
              <w:pStyle w:val="71"/>
              <w:spacing w:before="24" w:after="24"/>
              <w:rPr>
                <w:rFonts w:cs="Times New Roman"/>
              </w:rPr>
            </w:pPr>
            <w:r>
              <w:rPr>
                <w:rFonts w:cs="Times New Roman"/>
              </w:rPr>
              <w:t xml:space="preserve">场景名称 </w:t>
            </w:r>
          </w:p>
        </w:tc>
        <w:tc>
          <w:tcPr>
            <w:tcW w:w="5386" w:type="dxa"/>
            <w:tcBorders>
              <w:left w:val="single" w:color="000000" w:sz="4" w:space="0"/>
              <w:right w:val="single" w:color="000000" w:sz="4" w:space="0"/>
            </w:tcBorders>
            <w:vAlign w:val="center"/>
          </w:tcPr>
          <w:p w14:paraId="781C5E78">
            <w:pPr>
              <w:pStyle w:val="71"/>
              <w:spacing w:before="24" w:after="24"/>
              <w:rPr>
                <w:rFonts w:cs="Times New Roman"/>
              </w:rPr>
            </w:pPr>
            <w:r>
              <w:rPr>
                <w:rFonts w:cs="Times New Roman"/>
              </w:rPr>
              <w:t>场景说明</w:t>
            </w:r>
          </w:p>
        </w:tc>
        <w:tc>
          <w:tcPr>
            <w:tcW w:w="1513" w:type="dxa"/>
            <w:tcBorders>
              <w:left w:val="single" w:color="000000" w:sz="4" w:space="0"/>
            </w:tcBorders>
            <w:vAlign w:val="center"/>
          </w:tcPr>
          <w:p w14:paraId="73611B46">
            <w:pPr>
              <w:pStyle w:val="71"/>
              <w:spacing w:before="24" w:after="24"/>
              <w:rPr>
                <w:rFonts w:cs="Times New Roman"/>
              </w:rPr>
            </w:pPr>
            <w:r>
              <w:rPr>
                <w:rFonts w:cs="Times New Roman"/>
              </w:rPr>
              <w:t xml:space="preserve">场景要求 </w:t>
            </w:r>
          </w:p>
        </w:tc>
      </w:tr>
      <w:tr w14:paraId="30A0EF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4" w:hRule="atLeast"/>
        </w:trPr>
        <w:tc>
          <w:tcPr>
            <w:tcW w:w="699" w:type="dxa"/>
            <w:tcBorders>
              <w:bottom w:val="single" w:color="000000" w:sz="4" w:space="0"/>
              <w:right w:val="single" w:color="000000" w:sz="4" w:space="0"/>
            </w:tcBorders>
            <w:vAlign w:val="center"/>
          </w:tcPr>
          <w:p w14:paraId="5C51B5A2">
            <w:pPr>
              <w:pStyle w:val="71"/>
              <w:spacing w:before="24" w:after="24"/>
              <w:rPr>
                <w:rFonts w:cs="Times New Roman"/>
              </w:rPr>
            </w:pPr>
            <w:r>
              <w:rPr>
                <w:rFonts w:cs="Times New Roman"/>
              </w:rPr>
              <w:t xml:space="preserve">1 </w:t>
            </w:r>
          </w:p>
        </w:tc>
        <w:tc>
          <w:tcPr>
            <w:tcW w:w="1843" w:type="dxa"/>
            <w:tcBorders>
              <w:left w:val="single" w:color="000000" w:sz="4" w:space="0"/>
              <w:bottom w:val="single" w:color="000000" w:sz="4" w:space="0"/>
              <w:right w:val="single" w:color="000000" w:sz="4" w:space="0"/>
            </w:tcBorders>
            <w:vAlign w:val="center"/>
          </w:tcPr>
          <w:p w14:paraId="45B1E2E4">
            <w:pPr>
              <w:pStyle w:val="71"/>
              <w:spacing w:before="24" w:after="24"/>
              <w:jc w:val="both"/>
              <w:rPr>
                <w:rFonts w:cs="Times New Roman"/>
              </w:rPr>
            </w:pPr>
            <w:r>
              <w:rPr>
                <w:rFonts w:cs="Times New Roman"/>
              </w:rPr>
              <w:t xml:space="preserve">基本信息 </w:t>
            </w:r>
          </w:p>
        </w:tc>
        <w:tc>
          <w:tcPr>
            <w:tcW w:w="5386" w:type="dxa"/>
            <w:tcBorders>
              <w:left w:val="single" w:color="000000" w:sz="4" w:space="0"/>
              <w:bottom w:val="single" w:color="000000" w:sz="4" w:space="0"/>
              <w:right w:val="single" w:color="000000" w:sz="4" w:space="0"/>
            </w:tcBorders>
            <w:vAlign w:val="center"/>
          </w:tcPr>
          <w:p w14:paraId="545A12E7">
            <w:pPr>
              <w:pStyle w:val="71"/>
              <w:spacing w:before="24" w:after="24"/>
              <w:jc w:val="both"/>
              <w:rPr>
                <w:rFonts w:cs="Times New Roman"/>
              </w:rPr>
            </w:pPr>
            <w:r>
              <w:rPr>
                <w:rFonts w:cs="Times New Roman"/>
              </w:rPr>
              <w:t xml:space="preserve">“基本信息”业务场景用于工程基本信息采集 </w:t>
            </w:r>
          </w:p>
        </w:tc>
        <w:tc>
          <w:tcPr>
            <w:tcW w:w="1513" w:type="dxa"/>
            <w:tcBorders>
              <w:left w:val="single" w:color="000000" w:sz="4" w:space="0"/>
              <w:bottom w:val="single" w:color="000000" w:sz="4" w:space="0"/>
            </w:tcBorders>
            <w:vAlign w:val="center"/>
          </w:tcPr>
          <w:p w14:paraId="1E940C19">
            <w:pPr>
              <w:pStyle w:val="71"/>
              <w:spacing w:before="24" w:after="24"/>
              <w:rPr>
                <w:rFonts w:cs="Times New Roman"/>
              </w:rPr>
            </w:pPr>
            <w:r>
              <w:rPr>
                <w:rFonts w:cs="Times New Roman"/>
              </w:rPr>
              <w:t xml:space="preserve">√ </w:t>
            </w:r>
          </w:p>
        </w:tc>
      </w:tr>
      <w:tr w14:paraId="44AE69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699" w:type="dxa"/>
            <w:tcBorders>
              <w:top w:val="single" w:color="000000" w:sz="4" w:space="0"/>
              <w:bottom w:val="single" w:color="000000" w:sz="4" w:space="0"/>
              <w:right w:val="single" w:color="000000" w:sz="4" w:space="0"/>
            </w:tcBorders>
            <w:vAlign w:val="center"/>
          </w:tcPr>
          <w:p w14:paraId="29093D1B">
            <w:pPr>
              <w:pStyle w:val="71"/>
              <w:spacing w:before="24" w:after="24"/>
              <w:rPr>
                <w:rFonts w:cs="Times New Roman"/>
              </w:rPr>
            </w:pPr>
            <w:r>
              <w:rPr>
                <w:rFonts w:cs="Times New Roman"/>
              </w:rPr>
              <w:t xml:space="preserve">2 </w:t>
            </w:r>
          </w:p>
        </w:tc>
        <w:tc>
          <w:tcPr>
            <w:tcW w:w="1843" w:type="dxa"/>
            <w:tcBorders>
              <w:top w:val="single" w:color="000000" w:sz="4" w:space="0"/>
              <w:left w:val="single" w:color="000000" w:sz="4" w:space="0"/>
              <w:bottom w:val="single" w:color="000000" w:sz="4" w:space="0"/>
              <w:right w:val="single" w:color="000000" w:sz="4" w:space="0"/>
            </w:tcBorders>
            <w:vAlign w:val="center"/>
          </w:tcPr>
          <w:p w14:paraId="627A105F">
            <w:pPr>
              <w:pStyle w:val="71"/>
              <w:spacing w:before="24" w:after="24"/>
              <w:jc w:val="both"/>
              <w:rPr>
                <w:rFonts w:cs="Times New Roman"/>
              </w:rPr>
            </w:pPr>
            <w:r>
              <w:rPr>
                <w:rFonts w:cs="Times New Roman"/>
              </w:rPr>
              <w:t xml:space="preserve">施工组织设计要点 </w:t>
            </w:r>
          </w:p>
        </w:tc>
        <w:tc>
          <w:tcPr>
            <w:tcW w:w="5386" w:type="dxa"/>
            <w:tcBorders>
              <w:top w:val="single" w:color="000000" w:sz="4" w:space="0"/>
              <w:left w:val="single" w:color="000000" w:sz="4" w:space="0"/>
              <w:bottom w:val="single" w:color="000000" w:sz="4" w:space="0"/>
              <w:right w:val="single" w:color="000000" w:sz="4" w:space="0"/>
            </w:tcBorders>
            <w:vAlign w:val="center"/>
          </w:tcPr>
          <w:p w14:paraId="7FD2E500">
            <w:pPr>
              <w:pStyle w:val="71"/>
              <w:spacing w:before="24" w:after="24"/>
              <w:jc w:val="both"/>
              <w:rPr>
                <w:rFonts w:cs="Times New Roman"/>
              </w:rPr>
            </w:pPr>
            <w:r>
              <w:rPr>
                <w:rFonts w:cs="Times New Roman"/>
              </w:rPr>
              <w:t xml:space="preserve">“施工组织设计要点”业务场景用于工期目标、施工重难点、投入人员、施工方案、进度计划等要点信息采集 </w:t>
            </w:r>
          </w:p>
        </w:tc>
        <w:tc>
          <w:tcPr>
            <w:tcW w:w="1513" w:type="dxa"/>
            <w:tcBorders>
              <w:top w:val="single" w:color="000000" w:sz="4" w:space="0"/>
              <w:left w:val="single" w:color="000000" w:sz="4" w:space="0"/>
              <w:bottom w:val="single" w:color="000000" w:sz="4" w:space="0"/>
            </w:tcBorders>
            <w:vAlign w:val="center"/>
          </w:tcPr>
          <w:p w14:paraId="58A81EB2">
            <w:pPr>
              <w:pStyle w:val="71"/>
              <w:spacing w:before="24" w:after="24"/>
              <w:rPr>
                <w:rFonts w:cs="Times New Roman"/>
              </w:rPr>
            </w:pPr>
            <w:r>
              <w:rPr>
                <w:rFonts w:cs="Times New Roman"/>
              </w:rPr>
              <w:t xml:space="preserve">√ </w:t>
            </w:r>
          </w:p>
        </w:tc>
      </w:tr>
      <w:tr w14:paraId="297F1A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5" w:hRule="atLeast"/>
        </w:trPr>
        <w:tc>
          <w:tcPr>
            <w:tcW w:w="699" w:type="dxa"/>
            <w:tcBorders>
              <w:top w:val="single" w:color="000000" w:sz="4" w:space="0"/>
              <w:bottom w:val="single" w:color="000000" w:sz="4" w:space="0"/>
              <w:right w:val="single" w:color="000000" w:sz="4" w:space="0"/>
            </w:tcBorders>
            <w:vAlign w:val="center"/>
          </w:tcPr>
          <w:p w14:paraId="721267B5">
            <w:pPr>
              <w:pStyle w:val="71"/>
              <w:spacing w:before="24" w:after="24"/>
              <w:rPr>
                <w:rFonts w:cs="Times New Roman"/>
              </w:rPr>
            </w:pPr>
            <w:r>
              <w:rPr>
                <w:rFonts w:cs="Times New Roman"/>
              </w:rPr>
              <w:t xml:space="preserve">3 </w:t>
            </w:r>
          </w:p>
        </w:tc>
        <w:tc>
          <w:tcPr>
            <w:tcW w:w="1843" w:type="dxa"/>
            <w:tcBorders>
              <w:top w:val="single" w:color="000000" w:sz="4" w:space="0"/>
              <w:left w:val="single" w:color="000000" w:sz="4" w:space="0"/>
              <w:bottom w:val="single" w:color="000000" w:sz="4" w:space="0"/>
              <w:right w:val="single" w:color="000000" w:sz="4" w:space="0"/>
            </w:tcBorders>
            <w:vAlign w:val="center"/>
          </w:tcPr>
          <w:p w14:paraId="47216F88">
            <w:pPr>
              <w:pStyle w:val="71"/>
              <w:spacing w:before="24" w:after="24"/>
              <w:jc w:val="both"/>
              <w:rPr>
                <w:rFonts w:cs="Times New Roman"/>
              </w:rPr>
            </w:pPr>
            <w:r>
              <w:rPr>
                <w:rFonts w:cs="Times New Roman"/>
              </w:rPr>
              <w:t xml:space="preserve">进度管理 </w:t>
            </w:r>
          </w:p>
        </w:tc>
        <w:tc>
          <w:tcPr>
            <w:tcW w:w="5386" w:type="dxa"/>
            <w:tcBorders>
              <w:top w:val="single" w:color="000000" w:sz="4" w:space="0"/>
              <w:left w:val="single" w:color="000000" w:sz="4" w:space="0"/>
              <w:bottom w:val="single" w:color="000000" w:sz="4" w:space="0"/>
              <w:right w:val="single" w:color="000000" w:sz="4" w:space="0"/>
            </w:tcBorders>
            <w:vAlign w:val="center"/>
          </w:tcPr>
          <w:p w14:paraId="68C09A15">
            <w:pPr>
              <w:pStyle w:val="71"/>
              <w:spacing w:before="24" w:after="24"/>
              <w:jc w:val="both"/>
              <w:rPr>
                <w:rFonts w:cs="Times New Roman"/>
              </w:rPr>
            </w:pPr>
            <w:r>
              <w:rPr>
                <w:rFonts w:cs="Times New Roman"/>
              </w:rPr>
              <w:t xml:space="preserve">“进度管理”业务场景用于工程实际进度、是否停工等信息采集 </w:t>
            </w:r>
          </w:p>
        </w:tc>
        <w:tc>
          <w:tcPr>
            <w:tcW w:w="1513" w:type="dxa"/>
            <w:tcBorders>
              <w:top w:val="single" w:color="000000" w:sz="4" w:space="0"/>
              <w:left w:val="single" w:color="000000" w:sz="4" w:space="0"/>
              <w:bottom w:val="single" w:color="000000" w:sz="4" w:space="0"/>
            </w:tcBorders>
            <w:vAlign w:val="center"/>
          </w:tcPr>
          <w:p w14:paraId="3FE40420">
            <w:pPr>
              <w:pStyle w:val="71"/>
              <w:spacing w:before="24" w:after="24"/>
              <w:rPr>
                <w:rFonts w:cs="Times New Roman"/>
              </w:rPr>
            </w:pPr>
            <w:r>
              <w:rPr>
                <w:rFonts w:cs="Times New Roman"/>
              </w:rPr>
              <w:t xml:space="preserve">√ </w:t>
            </w:r>
          </w:p>
        </w:tc>
      </w:tr>
      <w:tr w14:paraId="67CE03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5" w:hRule="atLeast"/>
        </w:trPr>
        <w:tc>
          <w:tcPr>
            <w:tcW w:w="699" w:type="dxa"/>
            <w:tcBorders>
              <w:top w:val="single" w:color="000000" w:sz="4" w:space="0"/>
              <w:bottom w:val="single" w:color="000000" w:sz="4" w:space="0"/>
              <w:right w:val="single" w:color="000000" w:sz="4" w:space="0"/>
            </w:tcBorders>
            <w:vAlign w:val="center"/>
          </w:tcPr>
          <w:p w14:paraId="0C17BADF">
            <w:pPr>
              <w:pStyle w:val="71"/>
              <w:spacing w:before="24" w:after="24"/>
              <w:rPr>
                <w:rFonts w:cs="Times New Roman"/>
              </w:rPr>
            </w:pPr>
            <w:r>
              <w:rPr>
                <w:rFonts w:cs="Times New Roman"/>
              </w:rPr>
              <w:t xml:space="preserve">4 </w:t>
            </w:r>
          </w:p>
        </w:tc>
        <w:tc>
          <w:tcPr>
            <w:tcW w:w="1843" w:type="dxa"/>
            <w:tcBorders>
              <w:top w:val="single" w:color="000000" w:sz="4" w:space="0"/>
              <w:left w:val="single" w:color="000000" w:sz="4" w:space="0"/>
              <w:bottom w:val="single" w:color="000000" w:sz="4" w:space="0"/>
              <w:right w:val="single" w:color="000000" w:sz="4" w:space="0"/>
            </w:tcBorders>
            <w:vAlign w:val="center"/>
          </w:tcPr>
          <w:p w14:paraId="0568B570">
            <w:pPr>
              <w:pStyle w:val="71"/>
              <w:spacing w:before="24" w:after="24"/>
              <w:jc w:val="both"/>
              <w:rPr>
                <w:rFonts w:cs="Times New Roman"/>
              </w:rPr>
            </w:pPr>
            <w:r>
              <w:rPr>
                <w:rFonts w:cs="Times New Roman"/>
              </w:rPr>
              <w:t xml:space="preserve">综合数据分析 </w:t>
            </w:r>
          </w:p>
        </w:tc>
        <w:tc>
          <w:tcPr>
            <w:tcW w:w="5386" w:type="dxa"/>
            <w:tcBorders>
              <w:top w:val="single" w:color="000000" w:sz="4" w:space="0"/>
              <w:left w:val="single" w:color="000000" w:sz="4" w:space="0"/>
              <w:bottom w:val="single" w:color="000000" w:sz="4" w:space="0"/>
              <w:right w:val="single" w:color="000000" w:sz="4" w:space="0"/>
            </w:tcBorders>
            <w:vAlign w:val="center"/>
          </w:tcPr>
          <w:p w14:paraId="1D05348D">
            <w:pPr>
              <w:pStyle w:val="71"/>
              <w:spacing w:before="24" w:after="24"/>
              <w:jc w:val="both"/>
              <w:rPr>
                <w:rFonts w:cs="Times New Roman"/>
              </w:rPr>
            </w:pPr>
            <w:r>
              <w:rPr>
                <w:rFonts w:cs="Times New Roman"/>
              </w:rPr>
              <w:t xml:space="preserve">对工程基本信息、进度信息等数据进行统计查询及报表生成 </w:t>
            </w:r>
          </w:p>
        </w:tc>
        <w:tc>
          <w:tcPr>
            <w:tcW w:w="1513" w:type="dxa"/>
            <w:tcBorders>
              <w:top w:val="single" w:color="000000" w:sz="4" w:space="0"/>
              <w:left w:val="single" w:color="000000" w:sz="4" w:space="0"/>
              <w:bottom w:val="single" w:color="000000" w:sz="4" w:space="0"/>
            </w:tcBorders>
            <w:vAlign w:val="center"/>
          </w:tcPr>
          <w:p w14:paraId="6BBDB4CD">
            <w:pPr>
              <w:pStyle w:val="71"/>
              <w:spacing w:before="24" w:after="24"/>
              <w:rPr>
                <w:rFonts w:cs="Times New Roman"/>
              </w:rPr>
            </w:pPr>
            <w:r>
              <w:rPr>
                <w:rFonts w:cs="Times New Roman"/>
              </w:rPr>
              <w:t xml:space="preserve">√ </w:t>
            </w:r>
          </w:p>
        </w:tc>
      </w:tr>
      <w:tr w14:paraId="1D3C24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5" w:hRule="atLeast"/>
        </w:trPr>
        <w:tc>
          <w:tcPr>
            <w:tcW w:w="9441" w:type="dxa"/>
            <w:gridSpan w:val="4"/>
            <w:tcBorders>
              <w:top w:val="single" w:color="000000" w:sz="4" w:space="0"/>
            </w:tcBorders>
            <w:vAlign w:val="center"/>
          </w:tcPr>
          <w:p w14:paraId="65663640">
            <w:pPr>
              <w:pStyle w:val="71"/>
              <w:spacing w:before="24" w:after="24"/>
              <w:jc w:val="both"/>
              <w:rPr>
                <w:rFonts w:cs="Times New Roman"/>
              </w:rPr>
            </w:pPr>
            <w:r>
              <w:rPr>
                <w:rFonts w:cs="Times New Roman"/>
              </w:rPr>
              <w:t xml:space="preserve">    注：√-必选项。 </w:t>
            </w:r>
          </w:p>
        </w:tc>
      </w:tr>
    </w:tbl>
    <w:p w14:paraId="2749326E">
      <w:pPr>
        <w:pStyle w:val="54"/>
        <w:spacing w:before="24" w:after="24"/>
      </w:pPr>
      <w:r>
        <w:rPr>
          <w:lang w:bidi="en-US"/>
        </w:rPr>
        <w:t>3.1.2</w:t>
      </w:r>
      <w:r>
        <w:rPr>
          <w:lang w:eastAsia="en-US" w:bidi="en-US"/>
        </w:rPr>
        <w:t>基本信息</w:t>
      </w:r>
    </w:p>
    <w:p w14:paraId="3E206FFE">
      <w:pPr>
        <w:pStyle w:val="54"/>
        <w:spacing w:before="24" w:after="24"/>
      </w:pPr>
      <w:r>
        <w:rPr>
          <w:lang w:bidi="en-US"/>
        </w:rPr>
        <w:t>3.1.2.1功能要求</w:t>
      </w:r>
    </w:p>
    <w:p w14:paraId="7D75286E">
      <w:pPr>
        <w:pStyle w:val="54"/>
        <w:spacing w:before="24" w:after="24"/>
      </w:pPr>
      <w:r>
        <w:rPr>
          <w:lang w:bidi="en-US"/>
        </w:rPr>
        <w:t>（1）</w:t>
      </w:r>
      <w:r>
        <w:rPr>
          <w:lang w:eastAsia="en-US" w:bidi="en-US"/>
        </w:rPr>
        <w:t xml:space="preserve">应建功能： </w:t>
      </w:r>
    </w:p>
    <w:p w14:paraId="129CF6E7">
      <w:pPr>
        <w:pStyle w:val="54"/>
        <w:spacing w:before="24" w:after="24"/>
      </w:pPr>
      <w:r>
        <w:rPr>
          <w:lang w:bidi="en-US"/>
        </w:rPr>
        <w:t>a）</w:t>
      </w:r>
      <w:r>
        <w:rPr>
          <w:spacing w:val="-2"/>
        </w:rPr>
        <w:t>基本信息采集</w:t>
      </w:r>
      <w:r>
        <w:rPr>
          <w:spacing w:val="-3"/>
        </w:rPr>
        <w:t>/</w:t>
      </w:r>
      <w:r>
        <w:rPr>
          <w:spacing w:val="-13"/>
        </w:rPr>
        <w:t>导入功能：按照项目、标段、单体等不同管理单元采集</w:t>
      </w:r>
      <w:r>
        <w:t>/</w:t>
      </w:r>
      <w:r>
        <w:rPr>
          <w:spacing w:val="-3"/>
        </w:rPr>
        <w:t xml:space="preserve">导入所属项目信息、所属标段信息、下辖单体信息等不同管理单元信息； </w:t>
      </w:r>
    </w:p>
    <w:p w14:paraId="2AB8C7F9">
      <w:pPr>
        <w:pStyle w:val="54"/>
        <w:spacing w:before="24" w:after="24"/>
      </w:pPr>
      <w:r>
        <w:rPr>
          <w:lang w:bidi="en-US"/>
        </w:rPr>
        <w:t>b）</w:t>
      </w:r>
      <w:r>
        <w:rPr>
          <w:spacing w:val="-1"/>
        </w:rPr>
        <w:t>基本信息统计查询功能：根据项目、标段、单体等不同查询条件，查询到与项目、标段、</w:t>
      </w:r>
      <w:r>
        <w:rPr>
          <w:spacing w:val="-3"/>
        </w:rPr>
        <w:t>单体等对应的信息结果。</w:t>
      </w:r>
      <w:r>
        <w:t xml:space="preserve"> </w:t>
      </w:r>
    </w:p>
    <w:p w14:paraId="0DDC5CF3">
      <w:pPr>
        <w:pStyle w:val="54"/>
        <w:spacing w:before="24" w:after="24"/>
      </w:pPr>
      <w:r>
        <w:rPr>
          <w:lang w:bidi="en-US"/>
        </w:rPr>
        <w:t>（2）</w:t>
      </w:r>
      <w:r>
        <w:rPr>
          <w:spacing w:val="-3"/>
        </w:rPr>
        <w:t>宜建功能：远程和移动智能终端查看项目基本信息和工程数据的功能。</w:t>
      </w:r>
      <w:r>
        <w:t xml:space="preserve"> </w:t>
      </w:r>
    </w:p>
    <w:p w14:paraId="59E68050">
      <w:pPr>
        <w:pStyle w:val="54"/>
        <w:spacing w:before="24" w:after="24"/>
      </w:pPr>
      <w:r>
        <w:rPr>
          <w:lang w:bidi="en-US"/>
        </w:rPr>
        <w:t>3.1.2.2数据要求</w:t>
      </w:r>
    </w:p>
    <w:p w14:paraId="7AD55314">
      <w:pPr>
        <w:pStyle w:val="54"/>
        <w:spacing w:before="24" w:after="24"/>
      </w:pPr>
      <w:r>
        <w:rPr>
          <w:lang w:bidi="en-US"/>
        </w:rPr>
        <w:t xml:space="preserve">（1）基本信息数据包括所属项目信息、所属标段信息、下辖单体信息等数据。 </w:t>
      </w:r>
    </w:p>
    <w:p w14:paraId="64E1142F">
      <w:pPr>
        <w:pStyle w:val="54"/>
        <w:spacing w:before="24" w:after="24"/>
      </w:pPr>
      <w:r>
        <w:rPr>
          <w:lang w:bidi="en-US"/>
        </w:rPr>
        <w:t xml:space="preserve">（2）所属项目信息数据包括项目编号、项目名称、项目分类、项目地点、发包人、总投资（万元）、总面积（平方米）、建设规模、建设性质、工程用途、是否重点项目、计划开工日期、计划竣工日期、建筑节能信息等数据。 </w:t>
      </w:r>
    </w:p>
    <w:p w14:paraId="29D03AE6">
      <w:pPr>
        <w:pStyle w:val="54"/>
        <w:spacing w:before="24" w:after="24"/>
      </w:pPr>
      <w:r>
        <w:rPr>
          <w:lang w:bidi="en-US"/>
        </w:rPr>
        <w:t xml:space="preserve">（3）所属标段信息数据包括但不限于标段编号、标段名称、标段内容、标段合同估算价（万元）、计划开工日期、工期、标段建立时间等数据。 </w:t>
      </w:r>
    </w:p>
    <w:p w14:paraId="34704BA4">
      <w:pPr>
        <w:pStyle w:val="54"/>
        <w:spacing w:before="24" w:after="24"/>
      </w:pPr>
      <w:r>
        <w:rPr>
          <w:lang w:bidi="en-US"/>
        </w:rPr>
        <w:t xml:space="preserve">（4）下辖单体信息数据包括但不限于项目编号、单体编码、单体建（构）筑物名称、工程总造价（万元）、地上建筑面积、地下建筑面积、建筑面积、地面层数、地下部分、建筑高度、工程规模、施工图审查环节记录编号、施工许可环节编号、质量监督记录编号、安全监督记录编号等数据。 </w:t>
      </w:r>
    </w:p>
    <w:p w14:paraId="5312B45C">
      <w:pPr>
        <w:pStyle w:val="54"/>
        <w:spacing w:before="24" w:after="24"/>
      </w:pPr>
      <w:r>
        <w:rPr>
          <w:lang w:bidi="en-US"/>
        </w:rPr>
        <w:t>3.1.3施工组织设计要点</w:t>
      </w:r>
    </w:p>
    <w:p w14:paraId="0F9E08D6">
      <w:pPr>
        <w:pStyle w:val="54"/>
        <w:spacing w:before="24" w:after="24"/>
      </w:pPr>
      <w:r>
        <w:rPr>
          <w:lang w:bidi="en-US"/>
        </w:rPr>
        <w:t>3.1.3.1功能要求</w:t>
      </w:r>
    </w:p>
    <w:p w14:paraId="3CC5C44C">
      <w:pPr>
        <w:pStyle w:val="54"/>
        <w:spacing w:before="24" w:after="24"/>
      </w:pPr>
      <w:r>
        <w:rPr>
          <w:lang w:bidi="en-US"/>
        </w:rPr>
        <w:t>（1）应建功能：</w:t>
      </w:r>
      <w:r>
        <w:t xml:space="preserve"> </w:t>
      </w:r>
    </w:p>
    <w:p w14:paraId="0A086730">
      <w:pPr>
        <w:pStyle w:val="54"/>
        <w:spacing w:before="24" w:after="24"/>
      </w:pPr>
      <w:r>
        <w:rPr>
          <w:lang w:bidi="en-US"/>
        </w:rPr>
        <w:t xml:space="preserve">a）施工组织设计文件管理功能：可按照项目、单体等不同管理单元上传施工组织设计文件、危大工程专项施工方案、其他类型施工方案等资料，可显示资料上传状态并能对上传版本进行管理； </w:t>
      </w:r>
    </w:p>
    <w:p w14:paraId="7F6B4C2A">
      <w:pPr>
        <w:pStyle w:val="54"/>
        <w:spacing w:before="24" w:after="24"/>
      </w:pPr>
      <w:r>
        <w:rPr>
          <w:lang w:bidi="en-US"/>
        </w:rPr>
        <w:t xml:space="preserve">b）危大工程清单动态管理功能：发包人可按施工组织设计文件建立危大工程清单，并进行申报、维护及动态管理； </w:t>
      </w:r>
    </w:p>
    <w:p w14:paraId="5255DC25">
      <w:pPr>
        <w:pStyle w:val="54"/>
        <w:spacing w:before="24" w:after="24"/>
      </w:pPr>
      <w:r>
        <w:rPr>
          <w:lang w:bidi="en-US"/>
        </w:rPr>
        <w:t xml:space="preserve">c）专家论证信息管理功能：对超过一定规模的危大工程、需要组织专家论证的分部分项工程， 可实现专家论证的相关材料上传及留痕管理功能； </w:t>
      </w:r>
    </w:p>
    <w:p w14:paraId="42EB5F11">
      <w:pPr>
        <w:pStyle w:val="54"/>
        <w:spacing w:before="24" w:after="24"/>
      </w:pPr>
      <w:r>
        <w:rPr>
          <w:lang w:bidi="en-US"/>
        </w:rPr>
        <w:t xml:space="preserve">d）危大工程验收管理功能：可在系统中上传危大工程验收资料及结论，并确认结束状态。 </w:t>
      </w:r>
    </w:p>
    <w:p w14:paraId="5AAAF108">
      <w:pPr>
        <w:pStyle w:val="54"/>
        <w:spacing w:before="24" w:after="24"/>
        <w:rPr>
          <w:sz w:val="15"/>
        </w:rPr>
      </w:pPr>
      <w:r>
        <w:rPr>
          <w:lang w:bidi="en-US"/>
        </w:rPr>
        <w:t>（2）</w:t>
      </w:r>
      <w:r>
        <w:rPr>
          <w:spacing w:val="-3"/>
        </w:rPr>
        <w:t>宜建功能：重大危险源监测数据预警分析功能。</w:t>
      </w:r>
      <w:r>
        <w:t xml:space="preserve"> </w:t>
      </w:r>
    </w:p>
    <w:p w14:paraId="6AEDA249">
      <w:pPr>
        <w:pStyle w:val="54"/>
        <w:spacing w:before="24" w:after="24"/>
      </w:pPr>
      <w:r>
        <w:rPr>
          <w:lang w:bidi="en-US"/>
        </w:rPr>
        <w:t>3.1.3.2数据要求</w:t>
      </w:r>
    </w:p>
    <w:p w14:paraId="3977B751">
      <w:pPr>
        <w:pStyle w:val="54"/>
        <w:spacing w:before="24" w:after="24"/>
      </w:pPr>
      <w:r>
        <w:rPr>
          <w:lang w:bidi="en-US"/>
        </w:rPr>
        <w:t xml:space="preserve">（1）施工组织设计数据包括但不限于项目级管理文件、专项施工方案等数据。 </w:t>
      </w:r>
    </w:p>
    <w:p w14:paraId="40C06E60">
      <w:pPr>
        <w:pStyle w:val="54"/>
        <w:spacing w:before="24" w:after="24"/>
      </w:pPr>
      <w:r>
        <w:rPr>
          <w:lang w:bidi="en-US"/>
        </w:rPr>
        <w:t xml:space="preserve">（2）项目级管理文件数据包括但不限于施工部署方案、施工进度计划、施工准备与资源配置计划、主要施工方法、施工现场平面布置、主要施工管理计划等数据。 </w:t>
      </w:r>
    </w:p>
    <w:p w14:paraId="31572B72">
      <w:pPr>
        <w:pStyle w:val="54"/>
        <w:spacing w:before="24" w:after="24"/>
      </w:pPr>
      <w:r>
        <w:rPr>
          <w:lang w:bidi="en-US"/>
        </w:rPr>
        <w:t xml:space="preserve">（3）专项施工方案数据包括但不限于基坑支护与降水工程专项施工方案、土方开挖工程专项施工方案、模板工程专项施工方案、起重吊装工程专项施工方案、脚手架工程专项施工方案、拆除及爆破工程专项施工方案、其它危险性较大的工程专项施工方案等数据。 </w:t>
      </w:r>
    </w:p>
    <w:p w14:paraId="782A94B2">
      <w:pPr>
        <w:pStyle w:val="54"/>
        <w:spacing w:before="24" w:after="24"/>
      </w:pPr>
      <w:r>
        <w:rPr>
          <w:lang w:bidi="en-US"/>
        </w:rPr>
        <w:t>3.1.4进度管理</w:t>
      </w:r>
    </w:p>
    <w:p w14:paraId="14975A2B">
      <w:pPr>
        <w:pStyle w:val="54"/>
        <w:spacing w:before="24" w:after="24"/>
      </w:pPr>
      <w:r>
        <w:rPr>
          <w:lang w:bidi="en-US"/>
        </w:rPr>
        <w:t>3.1.4.1功能要求</w:t>
      </w:r>
    </w:p>
    <w:p w14:paraId="0D6ACD82">
      <w:pPr>
        <w:pStyle w:val="54"/>
        <w:spacing w:before="24" w:after="24"/>
      </w:pPr>
      <w:r>
        <w:rPr>
          <w:lang w:bidi="en-US"/>
        </w:rPr>
        <w:t xml:space="preserve">（1）应建功能： </w:t>
      </w:r>
    </w:p>
    <w:p w14:paraId="555ABC4E">
      <w:pPr>
        <w:pStyle w:val="54"/>
        <w:spacing w:before="24" w:after="24"/>
      </w:pPr>
      <w:r>
        <w:rPr>
          <w:lang w:bidi="en-US"/>
        </w:rPr>
        <w:t xml:space="preserve">a）进度计划制定、过程跟踪和预警功能； </w:t>
      </w:r>
    </w:p>
    <w:p w14:paraId="14F6F280">
      <w:pPr>
        <w:pStyle w:val="54"/>
        <w:spacing w:before="24" w:after="24"/>
      </w:pPr>
      <w:r>
        <w:rPr>
          <w:lang w:bidi="en-US"/>
        </w:rPr>
        <w:t xml:space="preserve">b）与项目进度管理业务及企业自身项目管理系统融合的功能； </w:t>
      </w:r>
    </w:p>
    <w:p w14:paraId="60C1DD22">
      <w:pPr>
        <w:pStyle w:val="54"/>
        <w:spacing w:before="24" w:after="24"/>
      </w:pPr>
      <w:r>
        <w:rPr>
          <w:lang w:bidi="en-US"/>
        </w:rPr>
        <w:t>c）进度管理数据导入功能；</w:t>
      </w:r>
    </w:p>
    <w:p w14:paraId="084D49E1">
      <w:pPr>
        <w:pStyle w:val="54"/>
        <w:spacing w:before="24" w:after="24"/>
      </w:pPr>
      <w:r>
        <w:rPr>
          <w:lang w:bidi="en-US"/>
        </w:rPr>
        <w:t xml:space="preserve">d）进度信息统计查询功能：可根据工序划分、工序工程量、劳动量和机械台班数量、工序间的逻辑和时间管理等条件，对进度数据进行分类统计、分析、跟踪、辅助决策、动态预警。 </w:t>
      </w:r>
    </w:p>
    <w:p w14:paraId="1817FF21">
      <w:pPr>
        <w:pStyle w:val="54"/>
        <w:spacing w:before="24" w:after="24"/>
      </w:pPr>
      <w:r>
        <w:rPr>
          <w:lang w:bidi="en-US"/>
        </w:rPr>
        <w:t xml:space="preserve">（2）宜建功能：进度智能分析及纠偏功能，可对过程跟踪中采集的数据进行分类、储存、分析， 并按照工序逻辑和投入资源，对进度计划实现纠偏。 </w:t>
      </w:r>
    </w:p>
    <w:p w14:paraId="6BA345EA">
      <w:pPr>
        <w:pStyle w:val="54"/>
        <w:spacing w:before="24" w:after="24"/>
      </w:pPr>
      <w:r>
        <w:rPr>
          <w:lang w:bidi="en-US"/>
        </w:rPr>
        <w:t>3.1.4.2数据要求</w:t>
      </w:r>
    </w:p>
    <w:p w14:paraId="71BE134C">
      <w:pPr>
        <w:pStyle w:val="54"/>
        <w:spacing w:before="24" w:after="24"/>
      </w:pPr>
      <w:r>
        <w:rPr>
          <w:lang w:bidi="en-US"/>
        </w:rPr>
        <w:t xml:space="preserve">进度管理数据包括但不限于进场日期、计划开工日期、实际开工日期、开工审核上报日期、竣工日期、退场日期、退场审核上报日期、工序划分、工序工程量、投入劳动量和机械台班数量、现场进度图片等数据。 </w:t>
      </w:r>
    </w:p>
    <w:p w14:paraId="23F73D07">
      <w:pPr>
        <w:pStyle w:val="54"/>
        <w:spacing w:before="24" w:after="24"/>
      </w:pPr>
      <w:r>
        <w:rPr>
          <w:lang w:bidi="en-US"/>
        </w:rPr>
        <w:t>3.1.5综合数据分析</w:t>
      </w:r>
    </w:p>
    <w:p w14:paraId="5EECF71B">
      <w:pPr>
        <w:pStyle w:val="54"/>
        <w:spacing w:before="24" w:after="24"/>
      </w:pPr>
      <w:r>
        <w:rPr>
          <w:lang w:bidi="en-US"/>
        </w:rPr>
        <w:t>3.1.5.1功能要求</w:t>
      </w:r>
    </w:p>
    <w:p w14:paraId="43D09E2D">
      <w:pPr>
        <w:pStyle w:val="54"/>
        <w:spacing w:before="24" w:after="24"/>
      </w:pPr>
      <w:r>
        <w:rPr>
          <w:lang w:bidi="en-US"/>
        </w:rPr>
        <w:t>（1）应建功能：</w:t>
      </w:r>
      <w:r>
        <w:t xml:space="preserve"> </w:t>
      </w:r>
    </w:p>
    <w:p w14:paraId="3550F63F">
      <w:pPr>
        <w:pStyle w:val="54"/>
        <w:spacing w:before="24" w:after="24"/>
      </w:pPr>
      <w:r>
        <w:rPr>
          <w:lang w:bidi="en-US"/>
        </w:rPr>
        <w:t xml:space="preserve">a）统计查询功能：可对基本信息、进度信息等数据进行统计查询，统计查询指标可自定义； </w:t>
      </w:r>
    </w:p>
    <w:p w14:paraId="7E0396D0">
      <w:pPr>
        <w:pStyle w:val="54"/>
        <w:spacing w:before="24" w:after="24"/>
      </w:pPr>
      <w:r>
        <w:rPr>
          <w:lang w:bidi="en-US"/>
        </w:rPr>
        <w:t xml:space="preserve">b）报表管理功能：可自动生成统计查询报表并按照指定格式导出，统计查询报表具备柱状图、饼状图等展示方式。 </w:t>
      </w:r>
    </w:p>
    <w:p w14:paraId="6ABDB826">
      <w:pPr>
        <w:pStyle w:val="54"/>
        <w:spacing w:before="24" w:after="24"/>
      </w:pPr>
      <w:r>
        <w:rPr>
          <w:lang w:bidi="en-US"/>
        </w:rPr>
        <w:t xml:space="preserve">（2）宜建功能：自动计算单位工程或各分部分项工程的人、材、机的消耗量和相应的成本，可直观的显示出在各个阶段的资源需求，实现资源风险管控的功能。 </w:t>
      </w:r>
    </w:p>
    <w:p w14:paraId="0B4E7D1F">
      <w:pPr>
        <w:pStyle w:val="54"/>
        <w:spacing w:before="24" w:after="24"/>
      </w:pPr>
      <w:r>
        <w:rPr>
          <w:lang w:bidi="en-US"/>
        </w:rPr>
        <w:t>3.1.5.2数据要求</w:t>
      </w:r>
    </w:p>
    <w:p w14:paraId="5D22D6A4">
      <w:pPr>
        <w:pStyle w:val="54"/>
        <w:spacing w:before="24" w:after="24"/>
      </w:pPr>
      <w:r>
        <w:rPr>
          <w:lang w:bidi="en-US"/>
        </w:rPr>
        <w:t xml:space="preserve">综合分析数据包括但不限于与基本信息、施工组织设计要点信息、进度信息相关的时间、区划、项目类型等属性的统计及分析性数据。 </w:t>
      </w:r>
    </w:p>
    <w:p w14:paraId="1C913D41">
      <w:pPr>
        <w:pStyle w:val="54"/>
        <w:spacing w:before="24" w:after="24"/>
      </w:pPr>
      <w:r>
        <w:rPr>
          <w:lang w:bidi="en-US"/>
        </w:rPr>
        <w:t>3.2人员管理</w:t>
      </w:r>
    </w:p>
    <w:p w14:paraId="0AE79AC4">
      <w:pPr>
        <w:pStyle w:val="54"/>
        <w:spacing w:before="24" w:after="24"/>
      </w:pPr>
      <w:r>
        <w:rPr>
          <w:lang w:bidi="en-US"/>
        </w:rPr>
        <w:t>3.2.1基本要求</w:t>
      </w:r>
    </w:p>
    <w:p w14:paraId="722914DC">
      <w:pPr>
        <w:pStyle w:val="54"/>
        <w:spacing w:before="24" w:after="24"/>
      </w:pPr>
      <w:r>
        <w:rPr>
          <w:lang w:bidi="en-US"/>
        </w:rPr>
        <w:t xml:space="preserve">人员管理业务场景包括但不限于人员信息管理、人员考勤管理、薪资结算管理、健康管理等，应用场景说明和要求详见表2。 </w:t>
      </w:r>
    </w:p>
    <w:p w14:paraId="2D123CF3">
      <w:pPr>
        <w:pStyle w:val="69"/>
        <w:rPr>
          <w:rFonts w:hint="eastAsia"/>
        </w:rPr>
      </w:pPr>
      <w:r>
        <w:t>表2</w:t>
      </w:r>
      <w:r>
        <w:tab/>
      </w:r>
      <w:r>
        <w:t>人员管理应用场景说明和要求</w:t>
      </w:r>
    </w:p>
    <w:tbl>
      <w:tblPr>
        <w:tblStyle w:val="30"/>
        <w:tblW w:w="8699" w:type="dxa"/>
        <w:tblInd w:w="8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042"/>
        <w:gridCol w:w="1567"/>
        <w:gridCol w:w="5381"/>
        <w:gridCol w:w="697"/>
        <w:gridCol w:w="12"/>
      </w:tblGrid>
      <w:tr w14:paraId="22CBAD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gridAfter w:val="1"/>
          <w:wAfter w:w="12" w:type="dxa"/>
          <w:trHeight w:val="361" w:hRule="atLeast"/>
          <w:tblHeader/>
        </w:trPr>
        <w:tc>
          <w:tcPr>
            <w:tcW w:w="1042" w:type="dxa"/>
            <w:tcBorders>
              <w:right w:val="single" w:color="000000" w:sz="4" w:space="0"/>
            </w:tcBorders>
            <w:vAlign w:val="center"/>
          </w:tcPr>
          <w:p w14:paraId="2FB90807">
            <w:pPr>
              <w:pStyle w:val="71"/>
              <w:spacing w:before="24" w:after="24"/>
              <w:rPr>
                <w:rFonts w:cs="Times New Roman"/>
              </w:rPr>
            </w:pPr>
            <w:r>
              <w:rPr>
                <w:rFonts w:cs="Times New Roman"/>
              </w:rPr>
              <w:t xml:space="preserve">序号 </w:t>
            </w:r>
          </w:p>
        </w:tc>
        <w:tc>
          <w:tcPr>
            <w:tcW w:w="1567" w:type="dxa"/>
            <w:tcBorders>
              <w:left w:val="single" w:color="000000" w:sz="4" w:space="0"/>
              <w:right w:val="single" w:color="000000" w:sz="4" w:space="0"/>
            </w:tcBorders>
            <w:vAlign w:val="center"/>
          </w:tcPr>
          <w:p w14:paraId="6875AE89">
            <w:pPr>
              <w:pStyle w:val="71"/>
              <w:spacing w:before="24" w:after="24"/>
              <w:rPr>
                <w:rFonts w:cs="Times New Roman"/>
              </w:rPr>
            </w:pPr>
            <w:r>
              <w:rPr>
                <w:rFonts w:cs="Times New Roman"/>
              </w:rPr>
              <w:t xml:space="preserve">场景名称 </w:t>
            </w:r>
          </w:p>
        </w:tc>
        <w:tc>
          <w:tcPr>
            <w:tcW w:w="5381" w:type="dxa"/>
            <w:tcBorders>
              <w:left w:val="single" w:color="000000" w:sz="4" w:space="0"/>
              <w:right w:val="single" w:color="000000" w:sz="4" w:space="0"/>
            </w:tcBorders>
            <w:vAlign w:val="center"/>
          </w:tcPr>
          <w:p w14:paraId="05B5AE3E">
            <w:pPr>
              <w:pStyle w:val="71"/>
              <w:spacing w:before="24" w:after="24"/>
              <w:rPr>
                <w:rFonts w:cs="Times New Roman"/>
              </w:rPr>
            </w:pPr>
            <w:r>
              <w:rPr>
                <w:rFonts w:cs="Times New Roman"/>
              </w:rPr>
              <w:t xml:space="preserve">场景说明 </w:t>
            </w:r>
          </w:p>
        </w:tc>
        <w:tc>
          <w:tcPr>
            <w:tcW w:w="697" w:type="dxa"/>
            <w:tcBorders>
              <w:left w:val="single" w:color="000000" w:sz="4" w:space="0"/>
            </w:tcBorders>
            <w:vAlign w:val="center"/>
          </w:tcPr>
          <w:p w14:paraId="25EA264A">
            <w:pPr>
              <w:pStyle w:val="71"/>
              <w:spacing w:before="24" w:after="24"/>
              <w:rPr>
                <w:rFonts w:cs="Times New Roman"/>
              </w:rPr>
            </w:pPr>
            <w:r>
              <w:rPr>
                <w:rFonts w:cs="Times New Roman"/>
              </w:rPr>
              <w:t xml:space="preserve">场景要求 </w:t>
            </w:r>
          </w:p>
        </w:tc>
      </w:tr>
      <w:tr w14:paraId="206329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gridAfter w:val="1"/>
          <w:wAfter w:w="12" w:type="dxa"/>
          <w:trHeight w:val="344" w:hRule="atLeast"/>
        </w:trPr>
        <w:tc>
          <w:tcPr>
            <w:tcW w:w="1042" w:type="dxa"/>
            <w:tcBorders>
              <w:bottom w:val="single" w:color="000000" w:sz="4" w:space="0"/>
              <w:right w:val="single" w:color="000000" w:sz="4" w:space="0"/>
            </w:tcBorders>
            <w:vAlign w:val="center"/>
          </w:tcPr>
          <w:p w14:paraId="7AC5AEE1">
            <w:pPr>
              <w:pStyle w:val="71"/>
              <w:spacing w:before="24" w:after="24"/>
              <w:rPr>
                <w:rFonts w:cs="Times New Roman"/>
              </w:rPr>
            </w:pPr>
            <w:r>
              <w:rPr>
                <w:rFonts w:cs="Times New Roman"/>
              </w:rPr>
              <w:t xml:space="preserve">1 </w:t>
            </w:r>
          </w:p>
        </w:tc>
        <w:tc>
          <w:tcPr>
            <w:tcW w:w="1567" w:type="dxa"/>
            <w:tcBorders>
              <w:left w:val="single" w:color="000000" w:sz="4" w:space="0"/>
              <w:bottom w:val="single" w:color="000000" w:sz="4" w:space="0"/>
              <w:right w:val="single" w:color="000000" w:sz="4" w:space="0"/>
            </w:tcBorders>
            <w:vAlign w:val="center"/>
          </w:tcPr>
          <w:p w14:paraId="0CD2EA7F">
            <w:pPr>
              <w:pStyle w:val="71"/>
              <w:spacing w:before="24" w:after="24"/>
              <w:rPr>
                <w:rFonts w:cs="Times New Roman"/>
              </w:rPr>
            </w:pPr>
            <w:r>
              <w:rPr>
                <w:rFonts w:cs="Times New Roman"/>
              </w:rPr>
              <w:t xml:space="preserve">人员信息管理 </w:t>
            </w:r>
          </w:p>
        </w:tc>
        <w:tc>
          <w:tcPr>
            <w:tcW w:w="5381" w:type="dxa"/>
            <w:tcBorders>
              <w:left w:val="single" w:color="000000" w:sz="4" w:space="0"/>
              <w:bottom w:val="single" w:color="000000" w:sz="4" w:space="0"/>
              <w:right w:val="single" w:color="000000" w:sz="4" w:space="0"/>
            </w:tcBorders>
            <w:vAlign w:val="center"/>
          </w:tcPr>
          <w:p w14:paraId="127ACE40">
            <w:pPr>
              <w:pStyle w:val="71"/>
              <w:spacing w:before="24" w:after="24"/>
              <w:jc w:val="both"/>
              <w:rPr>
                <w:rFonts w:cs="Times New Roman"/>
              </w:rPr>
            </w:pPr>
            <w:r>
              <w:rPr>
                <w:rFonts w:cs="Times New Roman"/>
              </w:rPr>
              <w:t xml:space="preserve">对施工现场管理人员与建筑工人的实名制信息进行综合管理 </w:t>
            </w:r>
          </w:p>
        </w:tc>
        <w:tc>
          <w:tcPr>
            <w:tcW w:w="697" w:type="dxa"/>
            <w:tcBorders>
              <w:left w:val="single" w:color="000000" w:sz="4" w:space="0"/>
              <w:bottom w:val="single" w:color="000000" w:sz="4" w:space="0"/>
            </w:tcBorders>
            <w:vAlign w:val="center"/>
          </w:tcPr>
          <w:p w14:paraId="0C472500">
            <w:pPr>
              <w:pStyle w:val="71"/>
              <w:spacing w:before="24" w:after="24"/>
              <w:rPr>
                <w:rFonts w:cs="Times New Roman"/>
              </w:rPr>
            </w:pPr>
            <w:r>
              <w:rPr>
                <w:rFonts w:cs="Times New Roman"/>
              </w:rPr>
              <w:t xml:space="preserve">√ </w:t>
            </w:r>
          </w:p>
        </w:tc>
      </w:tr>
      <w:tr w14:paraId="2C5CC3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gridAfter w:val="1"/>
          <w:wAfter w:w="12" w:type="dxa"/>
          <w:trHeight w:val="624" w:hRule="atLeast"/>
        </w:trPr>
        <w:tc>
          <w:tcPr>
            <w:tcW w:w="1042" w:type="dxa"/>
            <w:tcBorders>
              <w:top w:val="single" w:color="000000" w:sz="4" w:space="0"/>
              <w:bottom w:val="single" w:color="000000" w:sz="4" w:space="0"/>
              <w:right w:val="single" w:color="000000" w:sz="4" w:space="0"/>
            </w:tcBorders>
            <w:vAlign w:val="center"/>
          </w:tcPr>
          <w:p w14:paraId="174A24AF">
            <w:pPr>
              <w:pStyle w:val="71"/>
              <w:spacing w:before="24" w:after="24"/>
              <w:rPr>
                <w:rFonts w:cs="Times New Roman"/>
              </w:rPr>
            </w:pPr>
            <w:r>
              <w:rPr>
                <w:rFonts w:cs="Times New Roman"/>
              </w:rPr>
              <w:t xml:space="preserve">2 </w:t>
            </w:r>
          </w:p>
        </w:tc>
        <w:tc>
          <w:tcPr>
            <w:tcW w:w="1567" w:type="dxa"/>
            <w:tcBorders>
              <w:top w:val="single" w:color="000000" w:sz="4" w:space="0"/>
              <w:left w:val="single" w:color="000000" w:sz="4" w:space="0"/>
              <w:bottom w:val="single" w:color="000000" w:sz="4" w:space="0"/>
              <w:right w:val="single" w:color="000000" w:sz="4" w:space="0"/>
            </w:tcBorders>
            <w:vAlign w:val="center"/>
          </w:tcPr>
          <w:p w14:paraId="126E0ACB">
            <w:pPr>
              <w:pStyle w:val="71"/>
              <w:spacing w:before="24" w:after="24"/>
              <w:rPr>
                <w:rFonts w:cs="Times New Roman"/>
              </w:rPr>
            </w:pPr>
            <w:r>
              <w:rPr>
                <w:rFonts w:cs="Times New Roman"/>
              </w:rPr>
              <w:t xml:space="preserve">人员考勤管理 </w:t>
            </w:r>
          </w:p>
        </w:tc>
        <w:tc>
          <w:tcPr>
            <w:tcW w:w="5381" w:type="dxa"/>
            <w:tcBorders>
              <w:top w:val="single" w:color="000000" w:sz="4" w:space="0"/>
              <w:left w:val="single" w:color="000000" w:sz="4" w:space="0"/>
              <w:bottom w:val="single" w:color="000000" w:sz="4" w:space="0"/>
              <w:right w:val="single" w:color="000000" w:sz="4" w:space="0"/>
            </w:tcBorders>
            <w:vAlign w:val="center"/>
          </w:tcPr>
          <w:p w14:paraId="22A0D096">
            <w:pPr>
              <w:pStyle w:val="71"/>
              <w:spacing w:before="24" w:after="24"/>
              <w:jc w:val="both"/>
              <w:rPr>
                <w:rFonts w:cs="Times New Roman"/>
              </w:rPr>
            </w:pPr>
            <w:r>
              <w:rPr>
                <w:rFonts w:cs="Times New Roman"/>
              </w:rPr>
              <w:t>通过打卡机、闸机或人脸识别仪等设备对进出场人员进行考勤，规</w:t>
            </w:r>
          </w:p>
          <w:p w14:paraId="0E6EBEDF">
            <w:pPr>
              <w:pStyle w:val="71"/>
              <w:spacing w:before="24" w:after="24"/>
              <w:jc w:val="both"/>
              <w:rPr>
                <w:rFonts w:cs="Times New Roman"/>
              </w:rPr>
            </w:pPr>
            <w:r>
              <w:rPr>
                <w:rFonts w:cs="Times New Roman"/>
              </w:rPr>
              <w:t xml:space="preserve">范项目现场实名制管理 </w:t>
            </w:r>
          </w:p>
        </w:tc>
        <w:tc>
          <w:tcPr>
            <w:tcW w:w="697" w:type="dxa"/>
            <w:tcBorders>
              <w:top w:val="single" w:color="000000" w:sz="4" w:space="0"/>
              <w:left w:val="single" w:color="000000" w:sz="4" w:space="0"/>
              <w:bottom w:val="single" w:color="000000" w:sz="4" w:space="0"/>
            </w:tcBorders>
            <w:vAlign w:val="center"/>
          </w:tcPr>
          <w:p w14:paraId="499D2337">
            <w:pPr>
              <w:pStyle w:val="71"/>
              <w:spacing w:before="24" w:after="24"/>
              <w:rPr>
                <w:rFonts w:cs="Times New Roman"/>
              </w:rPr>
            </w:pPr>
            <w:r>
              <w:rPr>
                <w:rFonts w:cs="Times New Roman"/>
              </w:rPr>
              <w:t xml:space="preserve">√ </w:t>
            </w:r>
          </w:p>
        </w:tc>
      </w:tr>
      <w:tr w14:paraId="5CA7CF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gridAfter w:val="1"/>
          <w:wAfter w:w="12" w:type="dxa"/>
          <w:trHeight w:val="345" w:hRule="atLeast"/>
        </w:trPr>
        <w:tc>
          <w:tcPr>
            <w:tcW w:w="1042" w:type="dxa"/>
            <w:tcBorders>
              <w:top w:val="single" w:color="000000" w:sz="4" w:space="0"/>
              <w:bottom w:val="single" w:color="000000" w:sz="4" w:space="0"/>
              <w:right w:val="single" w:color="000000" w:sz="4" w:space="0"/>
            </w:tcBorders>
            <w:vAlign w:val="center"/>
          </w:tcPr>
          <w:p w14:paraId="7DBC73E0">
            <w:pPr>
              <w:pStyle w:val="71"/>
              <w:spacing w:before="24" w:after="24"/>
              <w:rPr>
                <w:rFonts w:cs="Times New Roman"/>
              </w:rPr>
            </w:pPr>
            <w:r>
              <w:rPr>
                <w:rFonts w:cs="Times New Roman"/>
              </w:rPr>
              <w:t xml:space="preserve">3 </w:t>
            </w:r>
          </w:p>
        </w:tc>
        <w:tc>
          <w:tcPr>
            <w:tcW w:w="1567" w:type="dxa"/>
            <w:tcBorders>
              <w:top w:val="single" w:color="000000" w:sz="4" w:space="0"/>
              <w:left w:val="single" w:color="000000" w:sz="4" w:space="0"/>
              <w:bottom w:val="single" w:color="000000" w:sz="4" w:space="0"/>
              <w:right w:val="single" w:color="000000" w:sz="4" w:space="0"/>
            </w:tcBorders>
            <w:vAlign w:val="center"/>
          </w:tcPr>
          <w:p w14:paraId="41B64698">
            <w:pPr>
              <w:pStyle w:val="71"/>
              <w:spacing w:before="24" w:after="24"/>
              <w:rPr>
                <w:rFonts w:cs="Times New Roman"/>
              </w:rPr>
            </w:pPr>
            <w:r>
              <w:rPr>
                <w:rFonts w:cs="Times New Roman"/>
              </w:rPr>
              <w:t xml:space="preserve">薪资结算管理 </w:t>
            </w:r>
          </w:p>
        </w:tc>
        <w:tc>
          <w:tcPr>
            <w:tcW w:w="5381" w:type="dxa"/>
            <w:tcBorders>
              <w:top w:val="single" w:color="000000" w:sz="4" w:space="0"/>
              <w:left w:val="single" w:color="000000" w:sz="4" w:space="0"/>
              <w:bottom w:val="single" w:color="000000" w:sz="4" w:space="0"/>
              <w:right w:val="single" w:color="000000" w:sz="4" w:space="0"/>
            </w:tcBorders>
            <w:vAlign w:val="center"/>
          </w:tcPr>
          <w:p w14:paraId="08BF168E">
            <w:pPr>
              <w:pStyle w:val="71"/>
              <w:spacing w:before="24" w:after="24"/>
              <w:jc w:val="both"/>
              <w:rPr>
                <w:rFonts w:cs="Times New Roman"/>
              </w:rPr>
            </w:pPr>
            <w:r>
              <w:rPr>
                <w:rFonts w:cs="Times New Roman"/>
              </w:rPr>
              <w:t xml:space="preserve">对本项目劳务人员薪资结算的发放进行管理 </w:t>
            </w:r>
          </w:p>
        </w:tc>
        <w:tc>
          <w:tcPr>
            <w:tcW w:w="697" w:type="dxa"/>
            <w:tcBorders>
              <w:top w:val="single" w:color="000000" w:sz="4" w:space="0"/>
              <w:left w:val="single" w:color="000000" w:sz="4" w:space="0"/>
              <w:bottom w:val="single" w:color="000000" w:sz="4" w:space="0"/>
            </w:tcBorders>
            <w:vAlign w:val="center"/>
          </w:tcPr>
          <w:p w14:paraId="25D0F731">
            <w:pPr>
              <w:pStyle w:val="71"/>
              <w:spacing w:before="24" w:after="24"/>
              <w:rPr>
                <w:rFonts w:cs="Times New Roman"/>
              </w:rPr>
            </w:pPr>
            <w:r>
              <w:rPr>
                <w:rFonts w:cs="Times New Roman"/>
              </w:rPr>
              <w:t xml:space="preserve">√ </w:t>
            </w:r>
          </w:p>
        </w:tc>
      </w:tr>
      <w:tr w14:paraId="47E196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gridAfter w:val="1"/>
          <w:wAfter w:w="12" w:type="dxa"/>
          <w:trHeight w:val="345" w:hRule="atLeast"/>
        </w:trPr>
        <w:tc>
          <w:tcPr>
            <w:tcW w:w="1042" w:type="dxa"/>
            <w:tcBorders>
              <w:top w:val="single" w:color="000000" w:sz="4" w:space="0"/>
              <w:bottom w:val="single" w:color="000000" w:sz="4" w:space="0"/>
              <w:right w:val="single" w:color="000000" w:sz="4" w:space="0"/>
            </w:tcBorders>
            <w:vAlign w:val="center"/>
          </w:tcPr>
          <w:p w14:paraId="2CD8932C">
            <w:pPr>
              <w:pStyle w:val="71"/>
              <w:spacing w:before="24" w:after="24"/>
              <w:rPr>
                <w:rFonts w:cs="Times New Roman"/>
              </w:rPr>
            </w:pPr>
            <w:r>
              <w:rPr>
                <w:rFonts w:cs="Times New Roman"/>
              </w:rPr>
              <w:t xml:space="preserve">4 </w:t>
            </w:r>
          </w:p>
        </w:tc>
        <w:tc>
          <w:tcPr>
            <w:tcW w:w="1567" w:type="dxa"/>
            <w:tcBorders>
              <w:top w:val="single" w:color="000000" w:sz="4" w:space="0"/>
              <w:left w:val="single" w:color="000000" w:sz="4" w:space="0"/>
              <w:bottom w:val="single" w:color="000000" w:sz="4" w:space="0"/>
              <w:right w:val="single" w:color="000000" w:sz="4" w:space="0"/>
            </w:tcBorders>
            <w:vAlign w:val="center"/>
          </w:tcPr>
          <w:p w14:paraId="0B92C3D9">
            <w:pPr>
              <w:pStyle w:val="71"/>
              <w:spacing w:before="24" w:after="24"/>
              <w:rPr>
                <w:rFonts w:cs="Times New Roman"/>
              </w:rPr>
            </w:pPr>
            <w:r>
              <w:rPr>
                <w:rFonts w:cs="Times New Roman"/>
              </w:rPr>
              <w:t xml:space="preserve">健康管理 </w:t>
            </w:r>
          </w:p>
        </w:tc>
        <w:tc>
          <w:tcPr>
            <w:tcW w:w="5381" w:type="dxa"/>
            <w:tcBorders>
              <w:top w:val="single" w:color="000000" w:sz="4" w:space="0"/>
              <w:left w:val="single" w:color="000000" w:sz="4" w:space="0"/>
              <w:bottom w:val="single" w:color="000000" w:sz="4" w:space="0"/>
              <w:right w:val="single" w:color="000000" w:sz="4" w:space="0"/>
            </w:tcBorders>
            <w:vAlign w:val="center"/>
          </w:tcPr>
          <w:p w14:paraId="18700C8A">
            <w:pPr>
              <w:pStyle w:val="71"/>
              <w:spacing w:before="24" w:after="24"/>
              <w:jc w:val="both"/>
              <w:rPr>
                <w:rFonts w:cs="Times New Roman"/>
              </w:rPr>
            </w:pPr>
            <w:r>
              <w:rPr>
                <w:rFonts w:cs="Times New Roman"/>
              </w:rPr>
              <w:t xml:space="preserve">对工地现场工作人员健康档案信息进行采集、记录、存储管理 </w:t>
            </w:r>
          </w:p>
        </w:tc>
        <w:tc>
          <w:tcPr>
            <w:tcW w:w="697" w:type="dxa"/>
            <w:tcBorders>
              <w:top w:val="single" w:color="000000" w:sz="4" w:space="0"/>
              <w:left w:val="single" w:color="000000" w:sz="4" w:space="0"/>
              <w:bottom w:val="single" w:color="000000" w:sz="4" w:space="0"/>
            </w:tcBorders>
            <w:vAlign w:val="center"/>
          </w:tcPr>
          <w:p w14:paraId="1D9DC029">
            <w:pPr>
              <w:pStyle w:val="71"/>
              <w:spacing w:before="24" w:after="24"/>
              <w:rPr>
                <w:rFonts w:cs="Times New Roman"/>
              </w:rPr>
            </w:pPr>
            <w:r>
              <w:rPr>
                <w:rFonts w:cs="Times New Roman"/>
              </w:rPr>
              <w:t xml:space="preserve">√ </w:t>
            </w:r>
          </w:p>
        </w:tc>
      </w:tr>
      <w:tr w14:paraId="6516D1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gridAfter w:val="1"/>
          <w:wAfter w:w="12" w:type="dxa"/>
          <w:trHeight w:val="345" w:hRule="atLeast"/>
        </w:trPr>
        <w:tc>
          <w:tcPr>
            <w:tcW w:w="1042" w:type="dxa"/>
            <w:tcBorders>
              <w:top w:val="single" w:color="000000" w:sz="4" w:space="0"/>
              <w:bottom w:val="single" w:color="000000" w:sz="4" w:space="0"/>
              <w:right w:val="single" w:color="000000" w:sz="4" w:space="0"/>
            </w:tcBorders>
            <w:vAlign w:val="center"/>
          </w:tcPr>
          <w:p w14:paraId="3468A8A4">
            <w:pPr>
              <w:pStyle w:val="71"/>
              <w:spacing w:before="24" w:after="24"/>
              <w:rPr>
                <w:rFonts w:cs="Times New Roman"/>
              </w:rPr>
            </w:pPr>
            <w:r>
              <w:rPr>
                <w:rFonts w:cs="Times New Roman"/>
              </w:rPr>
              <w:t xml:space="preserve">5 </w:t>
            </w:r>
          </w:p>
        </w:tc>
        <w:tc>
          <w:tcPr>
            <w:tcW w:w="1567" w:type="dxa"/>
            <w:tcBorders>
              <w:top w:val="single" w:color="000000" w:sz="4" w:space="0"/>
              <w:left w:val="single" w:color="000000" w:sz="4" w:space="0"/>
              <w:bottom w:val="single" w:color="000000" w:sz="4" w:space="0"/>
              <w:right w:val="single" w:color="000000" w:sz="4" w:space="0"/>
            </w:tcBorders>
            <w:vAlign w:val="center"/>
          </w:tcPr>
          <w:p w14:paraId="2E1A768B">
            <w:pPr>
              <w:pStyle w:val="71"/>
              <w:spacing w:before="24" w:after="24"/>
              <w:rPr>
                <w:rFonts w:cs="Times New Roman"/>
              </w:rPr>
            </w:pPr>
            <w:r>
              <w:rPr>
                <w:rFonts w:cs="Times New Roman"/>
              </w:rPr>
              <w:t xml:space="preserve">特种作业人员管理 </w:t>
            </w:r>
          </w:p>
        </w:tc>
        <w:tc>
          <w:tcPr>
            <w:tcW w:w="5381" w:type="dxa"/>
            <w:tcBorders>
              <w:top w:val="single" w:color="000000" w:sz="4" w:space="0"/>
              <w:left w:val="single" w:color="000000" w:sz="4" w:space="0"/>
              <w:bottom w:val="single" w:color="000000" w:sz="4" w:space="0"/>
              <w:right w:val="single" w:color="000000" w:sz="4" w:space="0"/>
            </w:tcBorders>
            <w:vAlign w:val="center"/>
          </w:tcPr>
          <w:p w14:paraId="4842799A">
            <w:pPr>
              <w:pStyle w:val="71"/>
              <w:spacing w:before="24" w:after="24"/>
              <w:jc w:val="both"/>
              <w:rPr>
                <w:rFonts w:cs="Times New Roman"/>
              </w:rPr>
            </w:pPr>
            <w:r>
              <w:rPr>
                <w:rFonts w:cs="Times New Roman"/>
              </w:rPr>
              <w:t xml:space="preserve">对施工现场特种作业人员进行综合管理 </w:t>
            </w:r>
          </w:p>
        </w:tc>
        <w:tc>
          <w:tcPr>
            <w:tcW w:w="697" w:type="dxa"/>
            <w:tcBorders>
              <w:top w:val="single" w:color="000000" w:sz="4" w:space="0"/>
              <w:left w:val="single" w:color="000000" w:sz="4" w:space="0"/>
              <w:bottom w:val="single" w:color="000000" w:sz="4" w:space="0"/>
            </w:tcBorders>
            <w:vAlign w:val="center"/>
          </w:tcPr>
          <w:p w14:paraId="393FF13F">
            <w:pPr>
              <w:pStyle w:val="71"/>
              <w:spacing w:before="24" w:after="24"/>
              <w:rPr>
                <w:rFonts w:cs="Times New Roman"/>
              </w:rPr>
            </w:pPr>
            <w:r>
              <w:rPr>
                <w:rFonts w:cs="Times New Roman"/>
              </w:rPr>
              <w:t xml:space="preserve">√ </w:t>
            </w:r>
          </w:p>
        </w:tc>
      </w:tr>
      <w:tr w14:paraId="74655B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5" w:hRule="atLeast"/>
        </w:trPr>
        <w:tc>
          <w:tcPr>
            <w:tcW w:w="1042" w:type="dxa"/>
            <w:tcBorders>
              <w:top w:val="single" w:color="000000" w:sz="4" w:space="0"/>
              <w:bottom w:val="single" w:color="000000" w:sz="4" w:space="0"/>
              <w:right w:val="single" w:color="000000" w:sz="4" w:space="0"/>
            </w:tcBorders>
            <w:vAlign w:val="center"/>
          </w:tcPr>
          <w:p w14:paraId="3778D697">
            <w:pPr>
              <w:pStyle w:val="71"/>
              <w:spacing w:before="24" w:after="24"/>
              <w:rPr>
                <w:rFonts w:cs="Times New Roman"/>
              </w:rPr>
            </w:pPr>
            <w:r>
              <w:rPr>
                <w:rFonts w:cs="Times New Roman"/>
              </w:rPr>
              <w:t xml:space="preserve">6 </w:t>
            </w:r>
          </w:p>
        </w:tc>
        <w:tc>
          <w:tcPr>
            <w:tcW w:w="1567" w:type="dxa"/>
            <w:tcBorders>
              <w:top w:val="single" w:color="000000" w:sz="4" w:space="0"/>
              <w:left w:val="single" w:color="000000" w:sz="4" w:space="0"/>
              <w:bottom w:val="single" w:color="000000" w:sz="4" w:space="0"/>
              <w:right w:val="single" w:color="000000" w:sz="4" w:space="0"/>
            </w:tcBorders>
            <w:vAlign w:val="center"/>
          </w:tcPr>
          <w:p w14:paraId="31CD28A9">
            <w:pPr>
              <w:pStyle w:val="71"/>
              <w:spacing w:before="24" w:after="24"/>
              <w:rPr>
                <w:rFonts w:cs="Times New Roman"/>
              </w:rPr>
            </w:pPr>
            <w:r>
              <w:rPr>
                <w:rFonts w:cs="Times New Roman"/>
              </w:rPr>
              <w:t xml:space="preserve">门禁管理 </w:t>
            </w:r>
          </w:p>
        </w:tc>
        <w:tc>
          <w:tcPr>
            <w:tcW w:w="5381" w:type="dxa"/>
            <w:tcBorders>
              <w:top w:val="single" w:color="000000" w:sz="4" w:space="0"/>
              <w:left w:val="single" w:color="000000" w:sz="4" w:space="0"/>
              <w:bottom w:val="single" w:color="000000" w:sz="4" w:space="0"/>
              <w:right w:val="single" w:color="000000" w:sz="4" w:space="0"/>
            </w:tcBorders>
            <w:vAlign w:val="center"/>
          </w:tcPr>
          <w:p w14:paraId="269DB203">
            <w:pPr>
              <w:pStyle w:val="71"/>
              <w:spacing w:before="24" w:after="24"/>
              <w:jc w:val="both"/>
              <w:rPr>
                <w:rFonts w:cs="Times New Roman"/>
              </w:rPr>
            </w:pPr>
            <w:r>
              <w:rPr>
                <w:rFonts w:cs="Times New Roman"/>
              </w:rPr>
              <w:t xml:space="preserve">对施工现场进出口门禁进行综合管理 </w:t>
            </w:r>
          </w:p>
        </w:tc>
        <w:tc>
          <w:tcPr>
            <w:tcW w:w="709" w:type="dxa"/>
            <w:gridSpan w:val="2"/>
            <w:tcBorders>
              <w:top w:val="single" w:color="000000" w:sz="4" w:space="0"/>
              <w:left w:val="single" w:color="000000" w:sz="4" w:space="0"/>
              <w:bottom w:val="single" w:color="000000" w:sz="4" w:space="0"/>
            </w:tcBorders>
            <w:vAlign w:val="center"/>
          </w:tcPr>
          <w:p w14:paraId="0AC2F609">
            <w:pPr>
              <w:pStyle w:val="71"/>
              <w:spacing w:before="24" w:after="24"/>
              <w:rPr>
                <w:rFonts w:cs="Times New Roman"/>
              </w:rPr>
            </w:pPr>
            <w:r>
              <w:rPr>
                <w:rFonts w:cs="Times New Roman"/>
              </w:rPr>
              <w:t xml:space="preserve">√ </w:t>
            </w:r>
          </w:p>
        </w:tc>
      </w:tr>
      <w:tr w14:paraId="3FBE3D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2" w:hRule="atLeast"/>
        </w:trPr>
        <w:tc>
          <w:tcPr>
            <w:tcW w:w="1042" w:type="dxa"/>
            <w:tcBorders>
              <w:top w:val="single" w:color="000000" w:sz="4" w:space="0"/>
              <w:bottom w:val="single" w:color="000000" w:sz="4" w:space="0"/>
              <w:right w:val="single" w:color="000000" w:sz="4" w:space="0"/>
            </w:tcBorders>
            <w:vAlign w:val="center"/>
          </w:tcPr>
          <w:p w14:paraId="6F7B2D0D">
            <w:pPr>
              <w:pStyle w:val="71"/>
              <w:spacing w:before="24" w:after="24"/>
              <w:rPr>
                <w:rFonts w:cs="Times New Roman"/>
              </w:rPr>
            </w:pPr>
            <w:r>
              <w:rPr>
                <w:rFonts w:cs="Times New Roman"/>
              </w:rPr>
              <w:t xml:space="preserve">7 </w:t>
            </w:r>
          </w:p>
        </w:tc>
        <w:tc>
          <w:tcPr>
            <w:tcW w:w="1567" w:type="dxa"/>
            <w:tcBorders>
              <w:top w:val="single" w:color="000000" w:sz="4" w:space="0"/>
              <w:left w:val="single" w:color="000000" w:sz="4" w:space="0"/>
              <w:bottom w:val="single" w:color="000000" w:sz="4" w:space="0"/>
              <w:right w:val="single" w:color="000000" w:sz="4" w:space="0"/>
            </w:tcBorders>
            <w:vAlign w:val="center"/>
          </w:tcPr>
          <w:p w14:paraId="637C3BE3">
            <w:pPr>
              <w:pStyle w:val="71"/>
              <w:spacing w:before="24" w:after="24"/>
              <w:rPr>
                <w:rFonts w:cs="Times New Roman"/>
              </w:rPr>
            </w:pPr>
            <w:r>
              <w:rPr>
                <w:rFonts w:cs="Times New Roman"/>
              </w:rPr>
              <w:t xml:space="preserve">人员轨迹 </w:t>
            </w:r>
          </w:p>
        </w:tc>
        <w:tc>
          <w:tcPr>
            <w:tcW w:w="5381" w:type="dxa"/>
            <w:tcBorders>
              <w:top w:val="single" w:color="000000" w:sz="4" w:space="0"/>
              <w:left w:val="single" w:color="000000" w:sz="4" w:space="0"/>
              <w:bottom w:val="single" w:color="000000" w:sz="4" w:space="0"/>
              <w:right w:val="single" w:color="000000" w:sz="4" w:space="0"/>
            </w:tcBorders>
            <w:vAlign w:val="center"/>
          </w:tcPr>
          <w:p w14:paraId="30127085">
            <w:pPr>
              <w:pStyle w:val="71"/>
              <w:spacing w:before="24" w:after="24"/>
              <w:jc w:val="both"/>
              <w:rPr>
                <w:rFonts w:cs="Times New Roman"/>
              </w:rPr>
            </w:pPr>
            <w:r>
              <w:rPr>
                <w:rFonts w:cs="Times New Roman"/>
              </w:rPr>
              <w:t xml:space="preserve">利用智能化设备设置，实时调取人员信息和移动轨迹 </w:t>
            </w:r>
          </w:p>
        </w:tc>
        <w:tc>
          <w:tcPr>
            <w:tcW w:w="709" w:type="dxa"/>
            <w:gridSpan w:val="2"/>
            <w:tcBorders>
              <w:top w:val="single" w:color="000000" w:sz="4" w:space="0"/>
              <w:left w:val="single" w:color="000000" w:sz="4" w:space="0"/>
              <w:bottom w:val="single" w:color="000000" w:sz="4" w:space="0"/>
            </w:tcBorders>
            <w:vAlign w:val="center"/>
          </w:tcPr>
          <w:p w14:paraId="4E737E39">
            <w:pPr>
              <w:pStyle w:val="71"/>
              <w:spacing w:before="24" w:after="24"/>
              <w:rPr>
                <w:rFonts w:cs="Times New Roman"/>
              </w:rPr>
            </w:pPr>
            <w:r>
              <w:rPr>
                <w:rFonts w:ascii="Cambria Math" w:hAnsi="Cambria Math" w:cs="Cambria Math"/>
              </w:rPr>
              <w:t>△</w:t>
            </w:r>
            <w:r>
              <w:rPr>
                <w:rFonts w:cs="Times New Roman"/>
              </w:rPr>
              <w:t xml:space="preserve"> </w:t>
            </w:r>
          </w:p>
        </w:tc>
      </w:tr>
      <w:tr w14:paraId="673A9B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7" w:hRule="atLeast"/>
        </w:trPr>
        <w:tc>
          <w:tcPr>
            <w:tcW w:w="1042" w:type="dxa"/>
            <w:tcBorders>
              <w:top w:val="single" w:color="000000" w:sz="4" w:space="0"/>
              <w:bottom w:val="single" w:color="000000" w:sz="4" w:space="0"/>
              <w:right w:val="single" w:color="000000" w:sz="4" w:space="0"/>
            </w:tcBorders>
            <w:vAlign w:val="center"/>
          </w:tcPr>
          <w:p w14:paraId="0052ED6E">
            <w:pPr>
              <w:pStyle w:val="71"/>
              <w:spacing w:before="24" w:after="24"/>
              <w:rPr>
                <w:rFonts w:cs="Times New Roman"/>
              </w:rPr>
            </w:pPr>
            <w:r>
              <w:rPr>
                <w:rFonts w:cs="Times New Roman"/>
              </w:rPr>
              <w:t xml:space="preserve">8 </w:t>
            </w:r>
          </w:p>
        </w:tc>
        <w:tc>
          <w:tcPr>
            <w:tcW w:w="1567" w:type="dxa"/>
            <w:tcBorders>
              <w:top w:val="single" w:color="000000" w:sz="4" w:space="0"/>
              <w:left w:val="single" w:color="000000" w:sz="4" w:space="0"/>
              <w:bottom w:val="single" w:color="000000" w:sz="4" w:space="0"/>
              <w:right w:val="single" w:color="000000" w:sz="4" w:space="0"/>
            </w:tcBorders>
            <w:vAlign w:val="center"/>
          </w:tcPr>
          <w:p w14:paraId="086B34CF">
            <w:pPr>
              <w:pStyle w:val="71"/>
              <w:spacing w:before="24" w:after="24"/>
              <w:rPr>
                <w:rFonts w:cs="Times New Roman"/>
              </w:rPr>
            </w:pPr>
            <w:r>
              <w:rPr>
                <w:rFonts w:cs="Times New Roman"/>
              </w:rPr>
              <w:t xml:space="preserve">人员在岗监测 </w:t>
            </w:r>
          </w:p>
        </w:tc>
        <w:tc>
          <w:tcPr>
            <w:tcW w:w="5381" w:type="dxa"/>
            <w:tcBorders>
              <w:top w:val="single" w:color="000000" w:sz="4" w:space="0"/>
              <w:left w:val="single" w:color="000000" w:sz="4" w:space="0"/>
              <w:bottom w:val="single" w:color="000000" w:sz="4" w:space="0"/>
              <w:right w:val="single" w:color="000000" w:sz="4" w:space="0"/>
            </w:tcBorders>
            <w:vAlign w:val="center"/>
          </w:tcPr>
          <w:p w14:paraId="13D5A43F">
            <w:pPr>
              <w:pStyle w:val="71"/>
              <w:spacing w:before="24" w:after="24"/>
              <w:jc w:val="both"/>
              <w:rPr>
                <w:rFonts w:cs="Times New Roman"/>
              </w:rPr>
            </w:pPr>
            <w:r>
              <w:rPr>
                <w:rFonts w:cs="Times New Roman"/>
              </w:rPr>
              <w:t xml:space="preserve">利用智能化设备设置，实时监测管理人员在岗履责情况 </w:t>
            </w:r>
          </w:p>
        </w:tc>
        <w:tc>
          <w:tcPr>
            <w:tcW w:w="709" w:type="dxa"/>
            <w:gridSpan w:val="2"/>
            <w:tcBorders>
              <w:top w:val="single" w:color="000000" w:sz="4" w:space="0"/>
              <w:left w:val="single" w:color="000000" w:sz="4" w:space="0"/>
              <w:bottom w:val="single" w:color="000000" w:sz="4" w:space="0"/>
            </w:tcBorders>
            <w:vAlign w:val="center"/>
          </w:tcPr>
          <w:p w14:paraId="060ACBD7">
            <w:pPr>
              <w:pStyle w:val="71"/>
              <w:spacing w:before="24" w:after="24"/>
              <w:rPr>
                <w:rFonts w:cs="Times New Roman"/>
              </w:rPr>
            </w:pPr>
            <w:r>
              <w:rPr>
                <w:rFonts w:ascii="Cambria Math" w:hAnsi="Cambria Math" w:cs="Cambria Math"/>
              </w:rPr>
              <w:t>△</w:t>
            </w:r>
            <w:r>
              <w:rPr>
                <w:rFonts w:cs="Times New Roman"/>
              </w:rPr>
              <w:t xml:space="preserve"> </w:t>
            </w:r>
          </w:p>
        </w:tc>
      </w:tr>
      <w:tr w14:paraId="49D796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7" w:hRule="atLeast"/>
        </w:trPr>
        <w:tc>
          <w:tcPr>
            <w:tcW w:w="1042" w:type="dxa"/>
            <w:tcBorders>
              <w:top w:val="single" w:color="000000" w:sz="4" w:space="0"/>
              <w:bottom w:val="single" w:color="000000" w:sz="4" w:space="0"/>
              <w:right w:val="single" w:color="000000" w:sz="4" w:space="0"/>
            </w:tcBorders>
            <w:vAlign w:val="center"/>
          </w:tcPr>
          <w:p w14:paraId="4E7A1136">
            <w:pPr>
              <w:pStyle w:val="71"/>
              <w:spacing w:before="24" w:after="24"/>
              <w:rPr>
                <w:rFonts w:cs="Times New Roman"/>
              </w:rPr>
            </w:pPr>
            <w:r>
              <w:rPr>
                <w:rFonts w:cs="Times New Roman"/>
                <w:lang w:bidi="en-US"/>
              </w:rPr>
              <w:t>9</w:t>
            </w:r>
          </w:p>
        </w:tc>
        <w:tc>
          <w:tcPr>
            <w:tcW w:w="1567" w:type="dxa"/>
            <w:tcBorders>
              <w:top w:val="single" w:color="000000" w:sz="4" w:space="0"/>
              <w:left w:val="single" w:color="000000" w:sz="4" w:space="0"/>
              <w:bottom w:val="single" w:color="000000" w:sz="4" w:space="0"/>
              <w:right w:val="single" w:color="000000" w:sz="4" w:space="0"/>
            </w:tcBorders>
            <w:vAlign w:val="center"/>
          </w:tcPr>
          <w:p w14:paraId="3BF3354F">
            <w:pPr>
              <w:pStyle w:val="71"/>
              <w:spacing w:before="24" w:after="24"/>
              <w:rPr>
                <w:rFonts w:cs="Times New Roman"/>
              </w:rPr>
            </w:pPr>
            <w:r>
              <w:rPr>
                <w:rFonts w:cs="Times New Roman"/>
              </w:rPr>
              <w:t xml:space="preserve">陌生人识别 </w:t>
            </w:r>
          </w:p>
        </w:tc>
        <w:tc>
          <w:tcPr>
            <w:tcW w:w="5381" w:type="dxa"/>
            <w:tcBorders>
              <w:top w:val="single" w:color="000000" w:sz="4" w:space="0"/>
              <w:left w:val="single" w:color="000000" w:sz="4" w:space="0"/>
              <w:bottom w:val="single" w:color="000000" w:sz="4" w:space="0"/>
              <w:right w:val="single" w:color="000000" w:sz="4" w:space="0"/>
            </w:tcBorders>
            <w:vAlign w:val="center"/>
          </w:tcPr>
          <w:p w14:paraId="7C50F8BA">
            <w:pPr>
              <w:pStyle w:val="71"/>
              <w:spacing w:before="24" w:after="24"/>
              <w:jc w:val="both"/>
              <w:rPr>
                <w:rFonts w:cs="Times New Roman"/>
              </w:rPr>
            </w:pPr>
            <w:r>
              <w:rPr>
                <w:rFonts w:cs="Times New Roman"/>
              </w:rPr>
              <w:t>利用智能化设备设置，实现外部人员未经允许擅自出入项目区域，</w:t>
            </w:r>
          </w:p>
          <w:p w14:paraId="49630064">
            <w:pPr>
              <w:pStyle w:val="71"/>
              <w:spacing w:before="24" w:after="24"/>
              <w:jc w:val="both"/>
              <w:rPr>
                <w:rFonts w:cs="Times New Roman"/>
              </w:rPr>
            </w:pPr>
            <w:r>
              <w:rPr>
                <w:rFonts w:cs="Times New Roman"/>
              </w:rPr>
              <w:t xml:space="preserve">发现异常时主动报警，进行异常告警推送 </w:t>
            </w:r>
          </w:p>
        </w:tc>
        <w:tc>
          <w:tcPr>
            <w:tcW w:w="709" w:type="dxa"/>
            <w:gridSpan w:val="2"/>
            <w:tcBorders>
              <w:top w:val="single" w:color="000000" w:sz="4" w:space="0"/>
              <w:left w:val="single" w:color="000000" w:sz="4" w:space="0"/>
              <w:bottom w:val="single" w:color="000000" w:sz="4" w:space="0"/>
            </w:tcBorders>
            <w:vAlign w:val="center"/>
          </w:tcPr>
          <w:p w14:paraId="7612C9E0">
            <w:pPr>
              <w:pStyle w:val="71"/>
              <w:spacing w:before="24" w:after="24"/>
              <w:rPr>
                <w:rFonts w:cs="Times New Roman"/>
              </w:rPr>
            </w:pPr>
            <w:r>
              <w:rPr>
                <w:rFonts w:ascii="Cambria Math" w:hAnsi="Cambria Math" w:cs="Cambria Math"/>
              </w:rPr>
              <w:t>△</w:t>
            </w:r>
            <w:r>
              <w:rPr>
                <w:rFonts w:cs="Times New Roman"/>
              </w:rPr>
              <w:t xml:space="preserve"> </w:t>
            </w:r>
          </w:p>
        </w:tc>
      </w:tr>
      <w:tr w14:paraId="536D62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7" w:hRule="atLeast"/>
        </w:trPr>
        <w:tc>
          <w:tcPr>
            <w:tcW w:w="1042" w:type="dxa"/>
            <w:tcBorders>
              <w:top w:val="single" w:color="000000" w:sz="4" w:space="0"/>
              <w:bottom w:val="single" w:color="000000" w:sz="4" w:space="0"/>
              <w:right w:val="single" w:color="000000" w:sz="4" w:space="0"/>
            </w:tcBorders>
            <w:vAlign w:val="center"/>
          </w:tcPr>
          <w:p w14:paraId="6EB59DB7">
            <w:pPr>
              <w:pStyle w:val="71"/>
              <w:spacing w:before="24" w:after="24"/>
              <w:rPr>
                <w:rFonts w:cs="Times New Roman"/>
              </w:rPr>
            </w:pPr>
            <w:r>
              <w:rPr>
                <w:rFonts w:cs="Times New Roman"/>
              </w:rPr>
              <w:t>10</w:t>
            </w:r>
          </w:p>
        </w:tc>
        <w:tc>
          <w:tcPr>
            <w:tcW w:w="1567" w:type="dxa"/>
            <w:tcBorders>
              <w:top w:val="single" w:color="000000" w:sz="4" w:space="0"/>
              <w:left w:val="single" w:color="000000" w:sz="4" w:space="0"/>
              <w:bottom w:val="single" w:color="000000" w:sz="4" w:space="0"/>
              <w:right w:val="single" w:color="000000" w:sz="4" w:space="0"/>
            </w:tcBorders>
            <w:vAlign w:val="center"/>
          </w:tcPr>
          <w:p w14:paraId="487060ED">
            <w:pPr>
              <w:pStyle w:val="71"/>
              <w:spacing w:before="24" w:after="24"/>
              <w:rPr>
                <w:rFonts w:cs="Times New Roman"/>
              </w:rPr>
            </w:pPr>
            <w:r>
              <w:rPr>
                <w:rFonts w:cs="Times New Roman"/>
              </w:rPr>
              <w:t xml:space="preserve">综合数据分析 </w:t>
            </w:r>
          </w:p>
        </w:tc>
        <w:tc>
          <w:tcPr>
            <w:tcW w:w="5381" w:type="dxa"/>
            <w:tcBorders>
              <w:top w:val="single" w:color="000000" w:sz="4" w:space="0"/>
              <w:left w:val="single" w:color="000000" w:sz="4" w:space="0"/>
              <w:bottom w:val="single" w:color="000000" w:sz="4" w:space="0"/>
              <w:right w:val="single" w:color="000000" w:sz="4" w:space="0"/>
            </w:tcBorders>
            <w:vAlign w:val="center"/>
          </w:tcPr>
          <w:p w14:paraId="1A435039">
            <w:pPr>
              <w:pStyle w:val="71"/>
              <w:spacing w:before="24" w:after="24"/>
              <w:jc w:val="both"/>
              <w:rPr>
                <w:rFonts w:cs="Times New Roman"/>
              </w:rPr>
            </w:pPr>
            <w:r>
              <w:rPr>
                <w:rFonts w:cs="Times New Roman"/>
              </w:rPr>
              <w:t>对施工现场人员信息、考勤信息、薪资信息、健康管理信息等数据</w:t>
            </w:r>
          </w:p>
          <w:p w14:paraId="2369524E">
            <w:pPr>
              <w:pStyle w:val="71"/>
              <w:spacing w:before="24" w:after="24"/>
              <w:jc w:val="both"/>
              <w:rPr>
                <w:rFonts w:cs="Times New Roman"/>
              </w:rPr>
            </w:pPr>
            <w:r>
              <w:rPr>
                <w:rFonts w:cs="Times New Roman"/>
              </w:rPr>
              <w:t xml:space="preserve">进行统计分析，并可生成各类报表 </w:t>
            </w:r>
          </w:p>
        </w:tc>
        <w:tc>
          <w:tcPr>
            <w:tcW w:w="709" w:type="dxa"/>
            <w:gridSpan w:val="2"/>
            <w:tcBorders>
              <w:top w:val="single" w:color="000000" w:sz="4" w:space="0"/>
              <w:left w:val="single" w:color="000000" w:sz="4" w:space="0"/>
              <w:bottom w:val="single" w:color="000000" w:sz="4" w:space="0"/>
            </w:tcBorders>
            <w:vAlign w:val="center"/>
          </w:tcPr>
          <w:p w14:paraId="1A874BA3">
            <w:pPr>
              <w:pStyle w:val="71"/>
              <w:spacing w:before="24" w:after="24"/>
              <w:rPr>
                <w:rFonts w:cs="Times New Roman"/>
              </w:rPr>
            </w:pPr>
            <w:r>
              <w:rPr>
                <w:rFonts w:cs="Times New Roman"/>
              </w:rPr>
              <w:t xml:space="preserve">√ </w:t>
            </w:r>
          </w:p>
        </w:tc>
      </w:tr>
      <w:tr w14:paraId="19B051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gridAfter w:val="1"/>
          <w:wAfter w:w="12" w:type="dxa"/>
          <w:trHeight w:val="347" w:hRule="atLeast"/>
        </w:trPr>
        <w:tc>
          <w:tcPr>
            <w:tcW w:w="8687" w:type="dxa"/>
            <w:gridSpan w:val="4"/>
            <w:tcBorders>
              <w:top w:val="single" w:color="000000" w:sz="4" w:space="0"/>
            </w:tcBorders>
            <w:vAlign w:val="center"/>
          </w:tcPr>
          <w:p w14:paraId="2672B5AC">
            <w:pPr>
              <w:pStyle w:val="71"/>
              <w:spacing w:before="24" w:after="24"/>
              <w:rPr>
                <w:rFonts w:cs="Times New Roman"/>
              </w:rPr>
            </w:pPr>
            <w:r>
              <w:rPr>
                <w:rFonts w:cs="Times New Roman"/>
              </w:rPr>
              <w:t>注：√-必选项；</w:t>
            </w:r>
            <w:r>
              <w:rPr>
                <w:rFonts w:ascii="Cambria Math" w:hAnsi="Cambria Math" w:cs="Cambria Math"/>
              </w:rPr>
              <w:t>△</w:t>
            </w:r>
            <w:r>
              <w:rPr>
                <w:rFonts w:cs="Times New Roman"/>
              </w:rPr>
              <w:t xml:space="preserve">-可选项。 </w:t>
            </w:r>
          </w:p>
        </w:tc>
      </w:tr>
    </w:tbl>
    <w:p w14:paraId="1C2E3A60">
      <w:pPr>
        <w:pStyle w:val="54"/>
        <w:spacing w:before="24" w:after="24"/>
      </w:pPr>
      <w:r>
        <w:rPr>
          <w:lang w:bidi="en-US"/>
        </w:rPr>
        <w:t>3.2.2人员信息管理</w:t>
      </w:r>
    </w:p>
    <w:p w14:paraId="34822355">
      <w:pPr>
        <w:pStyle w:val="54"/>
        <w:spacing w:before="24" w:after="24"/>
      </w:pPr>
      <w:r>
        <w:rPr>
          <w:lang w:bidi="en-US"/>
        </w:rPr>
        <w:t>3.2.2.1功能要求</w:t>
      </w:r>
    </w:p>
    <w:p w14:paraId="7F923F07">
      <w:pPr>
        <w:pStyle w:val="54"/>
        <w:spacing w:before="24" w:after="24"/>
      </w:pPr>
      <w:r>
        <w:rPr>
          <w:lang w:bidi="en-US"/>
        </w:rPr>
        <w:t>（1）应建功能：</w:t>
      </w:r>
      <w:r>
        <w:t xml:space="preserve"> </w:t>
      </w:r>
    </w:p>
    <w:p w14:paraId="2888F6DD">
      <w:pPr>
        <w:pStyle w:val="54"/>
        <w:spacing w:before="24" w:after="24"/>
      </w:pPr>
      <w:r>
        <w:rPr>
          <w:lang w:bidi="en-US"/>
        </w:rPr>
        <w:t xml:space="preserve">a）人员信息采集管理功能：可对建设、施工、监理等单位现场人员的信息采集、上传、导入； </w:t>
      </w:r>
    </w:p>
    <w:p w14:paraId="297357ED">
      <w:pPr>
        <w:pStyle w:val="54"/>
        <w:spacing w:before="24" w:after="24"/>
      </w:pPr>
      <w:r>
        <w:rPr>
          <w:lang w:bidi="en-US"/>
        </w:rPr>
        <w:t xml:space="preserve">b）人员信息比对管理功能：可对人员资格、聘用关系等信息进行比对管理，能够与外部系统实现数据交换，并可自动同步比对数据。 </w:t>
      </w:r>
    </w:p>
    <w:p w14:paraId="4900D831">
      <w:pPr>
        <w:pStyle w:val="54"/>
        <w:spacing w:before="24" w:after="24"/>
      </w:pPr>
      <w:r>
        <w:rPr>
          <w:lang w:bidi="en-US"/>
        </w:rPr>
        <w:t xml:space="preserve">（2）宜建功能：用工考勤、门禁、监控、人脸识别比对、信息统计与上传等综合管理功能。 </w:t>
      </w:r>
    </w:p>
    <w:p w14:paraId="4072B960">
      <w:pPr>
        <w:pStyle w:val="54"/>
        <w:spacing w:before="24" w:after="24"/>
      </w:pPr>
      <w:r>
        <w:rPr>
          <w:lang w:bidi="en-US"/>
        </w:rPr>
        <w:t>3.2.2.2数据要求</w:t>
      </w:r>
    </w:p>
    <w:p w14:paraId="0C3E6F18">
      <w:pPr>
        <w:pStyle w:val="54"/>
        <w:spacing w:before="24" w:after="24"/>
      </w:pPr>
      <w:r>
        <w:rPr>
          <w:lang w:bidi="en-US"/>
        </w:rPr>
        <w:t xml:space="preserve">（1）人员信息管理数据包括但不限于基本信息、资格信息、聘用关系信息、生物信息等数据。 </w:t>
      </w:r>
    </w:p>
    <w:p w14:paraId="5238AFAE">
      <w:pPr>
        <w:pStyle w:val="54"/>
        <w:spacing w:before="24" w:after="24"/>
      </w:pPr>
      <w:r>
        <w:rPr>
          <w:lang w:bidi="en-US"/>
        </w:rPr>
        <w:t xml:space="preserve">（2）基本信息数据包括但不限于工人姓名、证件类型、证件编号、性别、民族、出生日期、籍贯、住址、头像、手机号码、当前工种、当前职称、当前职称等级等数据。 </w:t>
      </w:r>
    </w:p>
    <w:p w14:paraId="63B87662">
      <w:pPr>
        <w:pStyle w:val="54"/>
        <w:spacing w:before="24" w:after="24"/>
      </w:pPr>
      <w:r>
        <w:rPr>
          <w:lang w:bidi="en-US"/>
        </w:rPr>
        <w:t xml:space="preserve">（3）资格信息数据包括但不限于证件类型、证件编号、证书类型、证书名称、证书有效起始日期、证书有效截止日期、资格状态等数据。 </w:t>
      </w:r>
    </w:p>
    <w:p w14:paraId="36A27514">
      <w:pPr>
        <w:pStyle w:val="54"/>
        <w:spacing w:before="24" w:after="24"/>
      </w:pPr>
      <w:r>
        <w:rPr>
          <w:lang w:bidi="en-US"/>
        </w:rPr>
        <w:t xml:space="preserve">（4）聘用关系信息数据包括但不限于企业编码、人员编号、岗位职务、聘用方式、入职日期、考勤等数据。 </w:t>
      </w:r>
    </w:p>
    <w:p w14:paraId="11725430">
      <w:pPr>
        <w:pStyle w:val="54"/>
        <w:spacing w:before="24" w:after="24"/>
        <w:rPr>
          <w:sz w:val="15"/>
        </w:rPr>
      </w:pPr>
      <w:r>
        <w:rPr>
          <w:lang w:bidi="en-US"/>
        </w:rPr>
        <w:t>（5）生物信息数据包括但不限于人脸、指纹、虹膜等人体信息数据和形体信息数据。</w:t>
      </w:r>
      <w:r>
        <w:rPr>
          <w:spacing w:val="-3"/>
        </w:rPr>
        <w:t xml:space="preserve"> </w:t>
      </w:r>
    </w:p>
    <w:p w14:paraId="6A1479B2">
      <w:pPr>
        <w:pStyle w:val="54"/>
        <w:spacing w:before="24" w:after="24"/>
      </w:pPr>
      <w:r>
        <w:rPr>
          <w:lang w:bidi="en-US"/>
        </w:rPr>
        <w:t>3.2.3人员考勤管理</w:t>
      </w:r>
    </w:p>
    <w:p w14:paraId="2E8D8DB6">
      <w:pPr>
        <w:pStyle w:val="54"/>
        <w:spacing w:before="24" w:after="24"/>
      </w:pPr>
      <w:r>
        <w:rPr>
          <w:lang w:bidi="en-US"/>
        </w:rPr>
        <w:t>3.2.3.1功能要求</w:t>
      </w:r>
    </w:p>
    <w:p w14:paraId="0782561D">
      <w:pPr>
        <w:pStyle w:val="54"/>
        <w:spacing w:before="24" w:after="24"/>
      </w:pPr>
      <w:r>
        <w:rPr>
          <w:lang w:bidi="en-US"/>
        </w:rPr>
        <w:t>（1）应建功能：</w:t>
      </w:r>
      <w:r>
        <w:t xml:space="preserve"> </w:t>
      </w:r>
    </w:p>
    <w:p w14:paraId="2E2E4597">
      <w:pPr>
        <w:pStyle w:val="54"/>
        <w:spacing w:before="24" w:after="24"/>
      </w:pPr>
      <w:r>
        <w:rPr>
          <w:lang w:bidi="en-US"/>
        </w:rPr>
        <w:t xml:space="preserve">a）考勤组划分、考勤记录查询、今日考勤数据、考勤数据统计分析、班组考勤管理、管理人员考勤管理、实时考勤记录等功能； </w:t>
      </w:r>
    </w:p>
    <w:p w14:paraId="40308E64">
      <w:pPr>
        <w:pStyle w:val="54"/>
        <w:spacing w:before="24" w:after="24"/>
      </w:pPr>
      <w:r>
        <w:rPr>
          <w:lang w:bidi="en-US"/>
        </w:rPr>
        <w:t xml:space="preserve">b）考勤分布计算工时、考勤次数计算工时、考勤时长计算工时、早中晚考勤计算工时等功能。 </w:t>
      </w:r>
    </w:p>
    <w:p w14:paraId="21D378AF">
      <w:pPr>
        <w:pStyle w:val="54"/>
        <w:spacing w:before="24" w:after="24"/>
      </w:pPr>
      <w:r>
        <w:rPr>
          <w:lang w:bidi="en-US"/>
        </w:rPr>
        <w:t xml:space="preserve">（2）宜建功能： </w:t>
      </w:r>
    </w:p>
    <w:p w14:paraId="48C989B2">
      <w:pPr>
        <w:pStyle w:val="54"/>
        <w:spacing w:before="24" w:after="24"/>
      </w:pPr>
      <w:r>
        <w:rPr>
          <w:lang w:bidi="en-US"/>
        </w:rPr>
        <w:t xml:space="preserve">a）远程和移动智能终端查看考勤数据的功能； </w:t>
      </w:r>
    </w:p>
    <w:p w14:paraId="76B44D60">
      <w:pPr>
        <w:pStyle w:val="54"/>
        <w:spacing w:before="24" w:after="24"/>
      </w:pPr>
      <w:r>
        <w:rPr>
          <w:lang w:bidi="en-US"/>
        </w:rPr>
        <w:t xml:space="preserve">b）考勤信息多渠道（包括但不限于考勤机、门禁道闸、人脸识别摄像机等）采集功能。 </w:t>
      </w:r>
    </w:p>
    <w:p w14:paraId="7E09424C">
      <w:pPr>
        <w:pStyle w:val="54"/>
        <w:spacing w:before="24" w:after="24"/>
      </w:pPr>
      <w:r>
        <w:rPr>
          <w:lang w:bidi="en-US"/>
        </w:rPr>
        <w:t>3.2.3.2数据要求</w:t>
      </w:r>
    </w:p>
    <w:p w14:paraId="44416980">
      <w:pPr>
        <w:pStyle w:val="54"/>
        <w:spacing w:before="24" w:after="24"/>
      </w:pPr>
      <w:r>
        <w:rPr>
          <w:lang w:bidi="en-US"/>
        </w:rPr>
        <w:t xml:space="preserve">人员考勤管理数据包括但不限于姓名、性别、联系方式、证件号码、岗位、到岗考勤时间、离岗考勤时间等数据。 </w:t>
      </w:r>
    </w:p>
    <w:p w14:paraId="1C793223">
      <w:pPr>
        <w:pStyle w:val="54"/>
        <w:spacing w:before="24" w:after="24"/>
      </w:pPr>
      <w:r>
        <w:rPr>
          <w:lang w:bidi="en-US"/>
        </w:rPr>
        <w:t>3.2.4薪资结算管理</w:t>
      </w:r>
    </w:p>
    <w:p w14:paraId="70852BFF">
      <w:pPr>
        <w:pStyle w:val="54"/>
        <w:spacing w:before="24" w:after="24"/>
      </w:pPr>
      <w:r>
        <w:rPr>
          <w:lang w:bidi="en-US"/>
        </w:rPr>
        <w:t>3.2.4.1功能要求</w:t>
      </w:r>
    </w:p>
    <w:p w14:paraId="3FF5DA2F">
      <w:pPr>
        <w:pStyle w:val="54"/>
        <w:spacing w:before="24" w:after="24"/>
      </w:pPr>
      <w:r>
        <w:rPr>
          <w:lang w:bidi="en-US"/>
        </w:rPr>
        <w:t xml:space="preserve">（1）应建功能： </w:t>
      </w:r>
    </w:p>
    <w:p w14:paraId="55C0235A">
      <w:pPr>
        <w:pStyle w:val="54"/>
        <w:spacing w:before="24" w:after="24"/>
      </w:pPr>
      <w:r>
        <w:rPr>
          <w:lang w:bidi="en-US"/>
        </w:rPr>
        <w:t xml:space="preserve">a）薪资发放过程管理功能：可联动实名制考勤记录，根据劳务人员的实际考勤时长自动计算工资，并通过线上进行人员工资发放； </w:t>
      </w:r>
    </w:p>
    <w:p w14:paraId="47190B36">
      <w:pPr>
        <w:pStyle w:val="54"/>
        <w:spacing w:before="24" w:after="24"/>
      </w:pPr>
      <w:r>
        <w:rPr>
          <w:lang w:bidi="en-US"/>
        </w:rPr>
        <w:t xml:space="preserve">b）薪资预警管理功能：可记录并查阅本项目劳务人员薪资结算的发放记录，对项目有考勤无薪资或者有薪资无考勤的情况实现异常预警。 </w:t>
      </w:r>
    </w:p>
    <w:p w14:paraId="26CFF674">
      <w:pPr>
        <w:pStyle w:val="54"/>
        <w:spacing w:before="24" w:after="24"/>
      </w:pPr>
      <w:r>
        <w:rPr>
          <w:lang w:bidi="en-US"/>
        </w:rPr>
        <w:t xml:space="preserve">（2）宜建功能：多维度薪资数据统计分析功能。 </w:t>
      </w:r>
    </w:p>
    <w:p w14:paraId="132E7FD5">
      <w:pPr>
        <w:pStyle w:val="54"/>
        <w:spacing w:before="24" w:after="24"/>
      </w:pPr>
      <w:r>
        <w:rPr>
          <w:lang w:bidi="en-US"/>
        </w:rPr>
        <w:t>3.2.4.2数据要求</w:t>
      </w:r>
    </w:p>
    <w:p w14:paraId="79EAD0FD">
      <w:pPr>
        <w:pStyle w:val="54"/>
        <w:spacing w:before="24" w:after="24"/>
      </w:pPr>
      <w:r>
        <w:rPr>
          <w:lang w:bidi="en-US"/>
        </w:rPr>
        <w:t xml:space="preserve">薪资结算管理数据包括但不限于被发放人姓名、工资单编号、证件类型、证件号码、务工工种、发放工资银行卡号、发放工资银行名称、应发金额、实发金额、出勤天数、总工时、银行发放日期、发放状态、延迟发放的预警信息等数据。 </w:t>
      </w:r>
    </w:p>
    <w:p w14:paraId="4060661B">
      <w:pPr>
        <w:pStyle w:val="54"/>
        <w:spacing w:before="24" w:after="24"/>
      </w:pPr>
      <w:r>
        <w:rPr>
          <w:lang w:bidi="en-US"/>
        </w:rPr>
        <w:t>3.2.5健康管理</w:t>
      </w:r>
    </w:p>
    <w:p w14:paraId="4D39FEBD">
      <w:pPr>
        <w:pStyle w:val="54"/>
        <w:spacing w:before="24" w:after="24"/>
      </w:pPr>
      <w:r>
        <w:rPr>
          <w:lang w:bidi="en-US"/>
        </w:rPr>
        <w:t>3.2.5.1功能要求</w:t>
      </w:r>
    </w:p>
    <w:p w14:paraId="44EE65D6">
      <w:pPr>
        <w:pStyle w:val="54"/>
        <w:spacing w:before="24" w:after="24"/>
      </w:pPr>
      <w:r>
        <w:rPr>
          <w:lang w:bidi="en-US"/>
        </w:rPr>
        <w:t xml:space="preserve">（1）应建功能：对工地现场工作人员健康档案信息进行采集、记录、存储等功能。 </w:t>
      </w:r>
    </w:p>
    <w:p w14:paraId="08C5A008">
      <w:pPr>
        <w:pStyle w:val="54"/>
        <w:spacing w:before="24" w:after="24"/>
      </w:pPr>
      <w:r>
        <w:rPr>
          <w:lang w:bidi="en-US"/>
        </w:rPr>
        <w:t xml:space="preserve">（2）宜建功能：多种健康安全的测量及应急功能，包括但不限于配备血压仪、体温计、绷带、特效药、AED 除颤器等设备。 </w:t>
      </w:r>
    </w:p>
    <w:p w14:paraId="20990BDB">
      <w:pPr>
        <w:pStyle w:val="54"/>
        <w:spacing w:before="24" w:after="24"/>
      </w:pPr>
      <w:r>
        <w:rPr>
          <w:lang w:bidi="en-US"/>
        </w:rPr>
        <w:t>3.2.5.2数据要求</w:t>
      </w:r>
    </w:p>
    <w:p w14:paraId="2A6885D6">
      <w:pPr>
        <w:pStyle w:val="54"/>
        <w:spacing w:before="24" w:after="24"/>
      </w:pPr>
      <w:r>
        <w:rPr>
          <w:lang w:bidi="en-US"/>
        </w:rPr>
        <w:t xml:space="preserve">健康管理数据包括但不限于姓名、性别、年龄、岗位、体检时间、体检项目（血常规、血型、血压、肝功、心电图、胸透等）等数据。 </w:t>
      </w:r>
    </w:p>
    <w:p w14:paraId="06E31BD7">
      <w:pPr>
        <w:pStyle w:val="54"/>
        <w:spacing w:before="24" w:after="24"/>
      </w:pPr>
      <w:r>
        <w:rPr>
          <w:lang w:bidi="en-US"/>
        </w:rPr>
        <w:t>3.2.6特种作业人员管理</w:t>
      </w:r>
    </w:p>
    <w:p w14:paraId="51AFCA51">
      <w:pPr>
        <w:pStyle w:val="54"/>
        <w:spacing w:before="24" w:after="24"/>
      </w:pPr>
      <w:r>
        <w:rPr>
          <w:lang w:bidi="en-US"/>
        </w:rPr>
        <w:t>3.2.6.1功能要求</w:t>
      </w:r>
    </w:p>
    <w:p w14:paraId="5FF15CA4">
      <w:pPr>
        <w:pStyle w:val="54"/>
        <w:spacing w:before="24" w:after="24"/>
      </w:pPr>
      <w:r>
        <w:rPr>
          <w:lang w:bidi="en-US"/>
        </w:rPr>
        <w:t xml:space="preserve">（1）应建功能：建立特种作业人员信息库，记录特种作业人员信息的功能。 </w:t>
      </w:r>
    </w:p>
    <w:p w14:paraId="497BE9E7">
      <w:pPr>
        <w:pStyle w:val="54"/>
        <w:spacing w:before="24" w:after="24"/>
      </w:pPr>
      <w:r>
        <w:rPr>
          <w:lang w:bidi="en-US"/>
        </w:rPr>
        <w:t xml:space="preserve">（2）宜建功能：特种作业人员与设备信息的关联管理功能。 </w:t>
      </w:r>
    </w:p>
    <w:p w14:paraId="31C91318">
      <w:pPr>
        <w:pStyle w:val="54"/>
        <w:spacing w:before="24" w:after="24"/>
      </w:pPr>
      <w:r>
        <w:rPr>
          <w:lang w:bidi="en-US"/>
        </w:rPr>
        <w:t>3.2.6.2数据要求</w:t>
      </w:r>
    </w:p>
    <w:p w14:paraId="09EE40D6">
      <w:pPr>
        <w:pStyle w:val="54"/>
        <w:spacing w:before="24" w:after="24"/>
      </w:pPr>
      <w:r>
        <w:rPr>
          <w:lang w:bidi="en-US"/>
        </w:rPr>
        <w:t xml:space="preserve">特种作业人员管理数据包括但不限于特种作业人员姓名、性别、手机号码、证件类型、证件编号、证书类型、专业编码、类别/工种、证书等级、证书名称、证书有效起始日期、证书有效截止日期、发证机关、发证日期、资格状态等数据。 </w:t>
      </w:r>
    </w:p>
    <w:p w14:paraId="1439FF4D">
      <w:pPr>
        <w:pStyle w:val="54"/>
        <w:spacing w:before="24" w:after="24"/>
      </w:pPr>
      <w:r>
        <w:rPr>
          <w:lang w:bidi="en-US"/>
        </w:rPr>
        <w:t>3.2.7门禁管理</w:t>
      </w:r>
    </w:p>
    <w:p w14:paraId="1003F13C">
      <w:pPr>
        <w:pStyle w:val="54"/>
        <w:spacing w:before="24" w:after="24"/>
      </w:pPr>
      <w:r>
        <w:rPr>
          <w:lang w:bidi="en-US"/>
        </w:rPr>
        <w:t>3.2.7.1功能要求</w:t>
      </w:r>
    </w:p>
    <w:p w14:paraId="024A507C">
      <w:pPr>
        <w:pStyle w:val="54"/>
        <w:spacing w:before="24" w:after="24"/>
      </w:pPr>
      <w:r>
        <w:rPr>
          <w:lang w:bidi="en-US"/>
        </w:rPr>
        <w:t xml:space="preserve">（1）应建功能： </w:t>
      </w:r>
    </w:p>
    <w:p w14:paraId="77FE55AC">
      <w:pPr>
        <w:pStyle w:val="54"/>
        <w:spacing w:before="24" w:after="24"/>
      </w:pPr>
      <w:r>
        <w:rPr>
          <w:lang w:bidi="en-US"/>
        </w:rPr>
        <w:t xml:space="preserve">a）门禁权限设置功能：可实现人员身份验证、进出信息存储的功能； </w:t>
      </w:r>
    </w:p>
    <w:p w14:paraId="7329A344">
      <w:pPr>
        <w:pStyle w:val="54"/>
        <w:spacing w:before="24" w:after="24"/>
      </w:pPr>
      <w:r>
        <w:rPr>
          <w:lang w:bidi="en-US"/>
        </w:rPr>
        <w:t xml:space="preserve">b）进出逻辑管理功能：在设定的计时周期内，不允许出现连续进场记录或连续出场记录。 </w:t>
      </w:r>
    </w:p>
    <w:p w14:paraId="1F695B52">
      <w:pPr>
        <w:pStyle w:val="54"/>
        <w:spacing w:before="24" w:after="24"/>
      </w:pPr>
      <w:r>
        <w:rPr>
          <w:lang w:bidi="en-US"/>
        </w:rPr>
        <w:t xml:space="preserve">（2）宜建功能：远程管理端录入人员信息，设备端验证出行的功能。 </w:t>
      </w:r>
    </w:p>
    <w:p w14:paraId="27E116C2">
      <w:pPr>
        <w:pStyle w:val="54"/>
        <w:spacing w:before="24" w:after="24"/>
      </w:pPr>
      <w:r>
        <w:rPr>
          <w:lang w:bidi="en-US"/>
        </w:rPr>
        <w:t>3.2.7.2数据要求</w:t>
      </w:r>
    </w:p>
    <w:p w14:paraId="0132CC46">
      <w:pPr>
        <w:pStyle w:val="54"/>
        <w:spacing w:before="24" w:after="24"/>
      </w:pPr>
      <w:r>
        <w:rPr>
          <w:lang w:bidi="en-US"/>
        </w:rPr>
        <w:t xml:space="preserve">门禁管理数据包括但不限于姓名、性别、手机号码、证件类型、证件编号、发卡时间、进场时间、退场时间、销卡时间、门禁卡号、门禁卡类型、进场时间、出场时间等数据。 </w:t>
      </w:r>
    </w:p>
    <w:p w14:paraId="14D34AF6">
      <w:pPr>
        <w:pStyle w:val="54"/>
        <w:spacing w:before="24" w:after="24"/>
      </w:pPr>
      <w:r>
        <w:rPr>
          <w:lang w:bidi="en-US"/>
        </w:rPr>
        <w:t>3.2.8人员轨迹</w:t>
      </w:r>
    </w:p>
    <w:p w14:paraId="08EF7552">
      <w:pPr>
        <w:pStyle w:val="54"/>
        <w:spacing w:before="24" w:after="24"/>
      </w:pPr>
      <w:r>
        <w:rPr>
          <w:lang w:bidi="en-US"/>
        </w:rPr>
        <w:t>3.2.8.1功能要求</w:t>
      </w:r>
    </w:p>
    <w:p w14:paraId="6574815F">
      <w:pPr>
        <w:pStyle w:val="54"/>
        <w:spacing w:before="24" w:after="24"/>
      </w:pPr>
      <w:r>
        <w:rPr>
          <w:lang w:bidi="en-US"/>
        </w:rPr>
        <w:t xml:space="preserve">（1）具备记录施工现场人员工种、所在位置、进入施工区域的时间和停留时间等功能。 </w:t>
      </w:r>
    </w:p>
    <w:p w14:paraId="41941302">
      <w:pPr>
        <w:pStyle w:val="54"/>
        <w:spacing w:before="24" w:after="24"/>
        <w:rPr>
          <w:sz w:val="20"/>
        </w:rPr>
      </w:pPr>
      <w:r>
        <w:rPr>
          <w:lang w:bidi="en-US"/>
        </w:rPr>
        <w:t>（2）具备查看施工现场相关工地人员的历史活动轨迹功能：直接输入人员姓名可查看其历史活动情况。</w:t>
      </w:r>
    </w:p>
    <w:p w14:paraId="68AA0EB0">
      <w:pPr>
        <w:pStyle w:val="54"/>
        <w:spacing w:before="24" w:after="24"/>
      </w:pPr>
      <w:r>
        <w:rPr>
          <w:lang w:bidi="en-US"/>
        </w:rPr>
        <w:t>3.2.8.2数据要求</w:t>
      </w:r>
    </w:p>
    <w:p w14:paraId="5F026368">
      <w:pPr>
        <w:pStyle w:val="54"/>
        <w:spacing w:before="24" w:after="24"/>
      </w:pPr>
      <w:r>
        <w:rPr>
          <w:lang w:bidi="en-US"/>
        </w:rPr>
        <w:t>人员轨迹数据包括但不限于人员到岗时间、离岸时间、工作区域、在某区域停留时间等数据。</w:t>
      </w:r>
    </w:p>
    <w:p w14:paraId="79AC7514">
      <w:pPr>
        <w:pStyle w:val="54"/>
        <w:spacing w:before="24" w:after="24"/>
      </w:pPr>
      <w:r>
        <w:rPr>
          <w:lang w:bidi="en-US"/>
        </w:rPr>
        <w:t>3.2.9人员在岗监测</w:t>
      </w:r>
    </w:p>
    <w:p w14:paraId="68147A79">
      <w:pPr>
        <w:pStyle w:val="54"/>
        <w:spacing w:before="24" w:after="24"/>
      </w:pPr>
      <w:r>
        <w:rPr>
          <w:lang w:bidi="en-US"/>
        </w:rPr>
        <w:t>3.2.9.1功能要求</w:t>
      </w:r>
    </w:p>
    <w:p w14:paraId="74AB57AF">
      <w:pPr>
        <w:pStyle w:val="54"/>
        <w:spacing w:before="24" w:after="24"/>
      </w:pPr>
      <w:r>
        <w:rPr>
          <w:lang w:bidi="en-US"/>
        </w:rPr>
        <w:t>具备实时监测并记录管理人员在岗在位的功能。</w:t>
      </w:r>
    </w:p>
    <w:p w14:paraId="6C4FCBB5">
      <w:pPr>
        <w:pStyle w:val="54"/>
        <w:spacing w:before="24" w:after="24"/>
      </w:pPr>
      <w:r>
        <w:rPr>
          <w:lang w:bidi="en-US"/>
        </w:rPr>
        <w:t>3.2.9.2数据要求</w:t>
      </w:r>
    </w:p>
    <w:p w14:paraId="4C46D7C3">
      <w:pPr>
        <w:pStyle w:val="54"/>
        <w:spacing w:before="24" w:after="24"/>
      </w:pPr>
      <w:r>
        <w:rPr>
          <w:lang w:bidi="en-US"/>
        </w:rPr>
        <w:t>人员</w:t>
      </w:r>
      <w:r>
        <w:t>在岗监测数据包括但不限于姓名、工种（职务）、联系方式、脱岗、睡岗、离岗的开始时间、持续时间、报警信息等数据。</w:t>
      </w:r>
    </w:p>
    <w:p w14:paraId="54D03B2A">
      <w:pPr>
        <w:pStyle w:val="54"/>
        <w:spacing w:before="24" w:after="24"/>
      </w:pPr>
      <w:r>
        <w:rPr>
          <w:lang w:bidi="en-US"/>
        </w:rPr>
        <w:t>3.2.10人员在岗监测</w:t>
      </w:r>
    </w:p>
    <w:p w14:paraId="537AA69A">
      <w:pPr>
        <w:pStyle w:val="54"/>
        <w:spacing w:before="24" w:after="24"/>
      </w:pPr>
      <w:r>
        <w:rPr>
          <w:lang w:bidi="en-US"/>
        </w:rPr>
        <w:t>3.2.10.1功能要求</w:t>
      </w:r>
    </w:p>
    <w:p w14:paraId="235654D0">
      <w:pPr>
        <w:pStyle w:val="54"/>
        <w:spacing w:before="24" w:after="24"/>
        <w:rPr>
          <w:sz w:val="15"/>
        </w:rPr>
      </w:pPr>
      <w:r>
        <w:rPr>
          <w:lang w:bidi="en-US"/>
        </w:rPr>
        <w:t>具备人脸识别功能：可对施工现场非工作人员及时识别并预警。</w:t>
      </w:r>
      <w:r>
        <w:t xml:space="preserve"> </w:t>
      </w:r>
    </w:p>
    <w:p w14:paraId="4200747F">
      <w:pPr>
        <w:pStyle w:val="54"/>
        <w:spacing w:before="24" w:after="24"/>
      </w:pPr>
      <w:r>
        <w:rPr>
          <w:lang w:bidi="en-US"/>
        </w:rPr>
        <w:t>3.2.10.2数据要求</w:t>
      </w:r>
    </w:p>
    <w:p w14:paraId="26820A2C">
      <w:pPr>
        <w:pStyle w:val="54"/>
        <w:spacing w:before="24" w:after="24"/>
        <w:rPr>
          <w:sz w:val="15"/>
        </w:rPr>
      </w:pPr>
      <w:r>
        <w:t xml:space="preserve">陌生人识别数据包括但不限于发现时间、地点、抓拍照片、处理人、处理时间、处理结果等数据。 </w:t>
      </w:r>
    </w:p>
    <w:p w14:paraId="65CD123F">
      <w:pPr>
        <w:pStyle w:val="54"/>
        <w:spacing w:before="24" w:after="24"/>
      </w:pPr>
      <w:r>
        <w:rPr>
          <w:lang w:bidi="en-US"/>
        </w:rPr>
        <w:t>3.2.11综合数据分析</w:t>
      </w:r>
    </w:p>
    <w:p w14:paraId="0741FA0B">
      <w:pPr>
        <w:pStyle w:val="54"/>
        <w:spacing w:before="24" w:after="24"/>
      </w:pPr>
      <w:r>
        <w:rPr>
          <w:lang w:bidi="en-US"/>
        </w:rPr>
        <w:t>3.2.11.1功能要求</w:t>
      </w:r>
    </w:p>
    <w:p w14:paraId="092234D7">
      <w:pPr>
        <w:pStyle w:val="54"/>
        <w:spacing w:before="24" w:after="24"/>
        <w:rPr>
          <w:sz w:val="17"/>
        </w:rPr>
      </w:pPr>
      <w:r>
        <w:rPr>
          <w:lang w:bidi="en-US"/>
        </w:rPr>
        <w:t>（1）应建功能：</w:t>
      </w:r>
      <w:r>
        <w:t xml:space="preserve"> </w:t>
      </w:r>
    </w:p>
    <w:p w14:paraId="0051E278">
      <w:pPr>
        <w:pStyle w:val="54"/>
        <w:spacing w:before="24" w:after="24"/>
      </w:pPr>
      <w:r>
        <w:rPr>
          <w:lang w:bidi="en-US"/>
        </w:rPr>
        <w:t xml:space="preserve">a）统计查询功能：可对人员信息、考勤信息、薪资信息、健康管理信息等数据进行分类统计查询； </w:t>
      </w:r>
    </w:p>
    <w:p w14:paraId="6069B835">
      <w:pPr>
        <w:pStyle w:val="54"/>
        <w:spacing w:before="24" w:after="24"/>
      </w:pPr>
      <w:r>
        <w:rPr>
          <w:lang w:bidi="en-US"/>
        </w:rPr>
        <w:t xml:space="preserve">b）报表管理功能：可自动生成统计查询报表并按照指定格式导出，统计查询报表具备柱状图、饼状图等展示方式。 </w:t>
      </w:r>
    </w:p>
    <w:p w14:paraId="52CCC64F">
      <w:pPr>
        <w:pStyle w:val="54"/>
        <w:spacing w:before="24" w:after="24"/>
        <w:rPr>
          <w:sz w:val="15"/>
        </w:rPr>
      </w:pPr>
      <w:r>
        <w:rPr>
          <w:lang w:bidi="en-US"/>
        </w:rPr>
        <w:t>（2）宜建功能：对人员轨迹、薪资支付、在岗状态等进行异常分析与预警的功能。</w:t>
      </w:r>
      <w:r>
        <w:rPr>
          <w:spacing w:val="-3"/>
        </w:rPr>
        <w:t xml:space="preserve"> </w:t>
      </w:r>
    </w:p>
    <w:p w14:paraId="14E0B2FF">
      <w:pPr>
        <w:pStyle w:val="54"/>
        <w:spacing w:before="24" w:after="24"/>
      </w:pPr>
      <w:r>
        <w:rPr>
          <w:lang w:bidi="en-US"/>
        </w:rPr>
        <w:t>3.2.11.2数据要求</w:t>
      </w:r>
    </w:p>
    <w:p w14:paraId="0B3FA281">
      <w:pPr>
        <w:pStyle w:val="54"/>
        <w:spacing w:before="24" w:after="24"/>
      </w:pPr>
      <w:r>
        <w:rPr>
          <w:lang w:bidi="en-US"/>
        </w:rPr>
        <w:t xml:space="preserve">综合分析数据包括但不限于与人员信息、考勤信息、薪资信息、健康管理信息等相关的时间、区划、项目类型等属性的统计及分析性数据。 </w:t>
      </w:r>
    </w:p>
    <w:p w14:paraId="2349D561">
      <w:pPr>
        <w:pStyle w:val="54"/>
        <w:spacing w:before="24" w:after="24"/>
      </w:pPr>
      <w:r>
        <w:rPr>
          <w:lang w:bidi="en-US"/>
        </w:rPr>
        <w:t>4.2安全管理</w:t>
      </w:r>
    </w:p>
    <w:p w14:paraId="628BABA6">
      <w:pPr>
        <w:pStyle w:val="54"/>
        <w:spacing w:before="24" w:after="24"/>
      </w:pPr>
      <w:r>
        <w:rPr>
          <w:lang w:bidi="en-US"/>
        </w:rPr>
        <w:t>4.2.1基本要求</w:t>
      </w:r>
    </w:p>
    <w:p w14:paraId="2344EF1A">
      <w:pPr>
        <w:pStyle w:val="54"/>
        <w:spacing w:before="24" w:after="24"/>
      </w:pPr>
      <w:r>
        <w:rPr>
          <w:lang w:bidi="en-US"/>
        </w:rPr>
        <w:t xml:space="preserve">安全管理业务场景包括但不限于安全防范、设备安全管理及安全帽穿戴检测等，应用场景说明和要求详见表3。 </w:t>
      </w:r>
    </w:p>
    <w:p w14:paraId="26956C39">
      <w:pPr>
        <w:pStyle w:val="69"/>
        <w:rPr>
          <w:rFonts w:hint="eastAsia"/>
        </w:rPr>
      </w:pPr>
      <w:r>
        <w:t>表3</w:t>
      </w:r>
      <w:r>
        <w:tab/>
      </w:r>
      <w:r>
        <w:t xml:space="preserve"> 人员管理应用场景说明和要求</w:t>
      </w:r>
    </w:p>
    <w:tbl>
      <w:tblPr>
        <w:tblStyle w:val="30"/>
        <w:tblW w:w="9062"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00"/>
        <w:gridCol w:w="960"/>
        <w:gridCol w:w="1040"/>
        <w:gridCol w:w="5228"/>
        <w:gridCol w:w="1134"/>
      </w:tblGrid>
      <w:tr w14:paraId="38F33A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4" w:hRule="atLeast"/>
          <w:tblHeader/>
        </w:trPr>
        <w:tc>
          <w:tcPr>
            <w:tcW w:w="700" w:type="dxa"/>
            <w:tcBorders>
              <w:right w:val="single" w:color="000000" w:sz="4" w:space="0"/>
            </w:tcBorders>
            <w:vAlign w:val="center"/>
          </w:tcPr>
          <w:p w14:paraId="4D658DE3">
            <w:pPr>
              <w:pStyle w:val="71"/>
              <w:spacing w:before="24" w:after="24"/>
              <w:rPr>
                <w:rFonts w:cs="Times New Roman"/>
              </w:rPr>
            </w:pPr>
            <w:r>
              <w:rPr>
                <w:rFonts w:cs="Times New Roman"/>
              </w:rPr>
              <w:t xml:space="preserve">序号 </w:t>
            </w:r>
          </w:p>
        </w:tc>
        <w:tc>
          <w:tcPr>
            <w:tcW w:w="2000" w:type="dxa"/>
            <w:gridSpan w:val="2"/>
            <w:tcBorders>
              <w:left w:val="single" w:color="000000" w:sz="4" w:space="0"/>
              <w:right w:val="single" w:color="000000" w:sz="4" w:space="0"/>
            </w:tcBorders>
            <w:vAlign w:val="center"/>
          </w:tcPr>
          <w:p w14:paraId="4C012CBC">
            <w:pPr>
              <w:pStyle w:val="71"/>
              <w:spacing w:before="24" w:after="24"/>
              <w:rPr>
                <w:rFonts w:cs="Times New Roman"/>
              </w:rPr>
            </w:pPr>
            <w:r>
              <w:rPr>
                <w:rFonts w:cs="Times New Roman"/>
              </w:rPr>
              <w:t>场景名称</w:t>
            </w:r>
          </w:p>
        </w:tc>
        <w:tc>
          <w:tcPr>
            <w:tcW w:w="5228" w:type="dxa"/>
            <w:tcBorders>
              <w:left w:val="single" w:color="000000" w:sz="4" w:space="0"/>
              <w:right w:val="single" w:color="000000" w:sz="4" w:space="0"/>
            </w:tcBorders>
            <w:vAlign w:val="center"/>
          </w:tcPr>
          <w:p w14:paraId="641DF805">
            <w:pPr>
              <w:pStyle w:val="71"/>
              <w:spacing w:before="24" w:after="24"/>
              <w:rPr>
                <w:rFonts w:cs="Times New Roman"/>
              </w:rPr>
            </w:pPr>
            <w:r>
              <w:rPr>
                <w:rFonts w:cs="Times New Roman"/>
              </w:rPr>
              <w:t>场景说明</w:t>
            </w:r>
          </w:p>
        </w:tc>
        <w:tc>
          <w:tcPr>
            <w:tcW w:w="1134" w:type="dxa"/>
            <w:tcBorders>
              <w:left w:val="single" w:color="000000" w:sz="4" w:space="0"/>
            </w:tcBorders>
            <w:vAlign w:val="center"/>
          </w:tcPr>
          <w:p w14:paraId="6CC0BBD8">
            <w:pPr>
              <w:pStyle w:val="71"/>
              <w:spacing w:before="24" w:after="24"/>
              <w:rPr>
                <w:rFonts w:cs="Times New Roman"/>
              </w:rPr>
            </w:pPr>
            <w:r>
              <w:rPr>
                <w:rFonts w:cs="Times New Roman"/>
              </w:rPr>
              <w:t>场景要求</w:t>
            </w:r>
          </w:p>
        </w:tc>
      </w:tr>
      <w:tr w14:paraId="69B1FB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39" w:hRule="atLeast"/>
        </w:trPr>
        <w:tc>
          <w:tcPr>
            <w:tcW w:w="700" w:type="dxa"/>
            <w:tcBorders>
              <w:bottom w:val="single" w:color="000000" w:sz="4" w:space="0"/>
              <w:right w:val="single" w:color="000000" w:sz="4" w:space="0"/>
            </w:tcBorders>
            <w:vAlign w:val="center"/>
          </w:tcPr>
          <w:p w14:paraId="6609530F">
            <w:pPr>
              <w:pStyle w:val="71"/>
              <w:spacing w:before="24" w:after="24"/>
              <w:rPr>
                <w:rFonts w:cs="Times New Roman"/>
              </w:rPr>
            </w:pPr>
            <w:r>
              <w:rPr>
                <w:rFonts w:cs="Times New Roman"/>
              </w:rPr>
              <w:t>1</w:t>
            </w:r>
          </w:p>
        </w:tc>
        <w:tc>
          <w:tcPr>
            <w:tcW w:w="960" w:type="dxa"/>
            <w:vMerge w:val="restart"/>
            <w:tcBorders>
              <w:left w:val="single" w:color="000000" w:sz="4" w:space="0"/>
              <w:bottom w:val="single" w:color="000000" w:sz="4" w:space="0"/>
              <w:right w:val="single" w:color="000000" w:sz="4" w:space="0"/>
            </w:tcBorders>
            <w:vAlign w:val="center"/>
          </w:tcPr>
          <w:p w14:paraId="0EC44F34">
            <w:pPr>
              <w:pStyle w:val="71"/>
              <w:spacing w:before="24" w:after="24"/>
              <w:rPr>
                <w:rFonts w:cs="Times New Roman"/>
              </w:rPr>
            </w:pPr>
            <w:r>
              <w:rPr>
                <w:rFonts w:cs="Times New Roman"/>
              </w:rPr>
              <w:t>安全防范</w:t>
            </w:r>
          </w:p>
        </w:tc>
        <w:tc>
          <w:tcPr>
            <w:tcW w:w="1040" w:type="dxa"/>
            <w:tcBorders>
              <w:left w:val="single" w:color="000000" w:sz="4" w:space="0"/>
              <w:bottom w:val="single" w:color="000000" w:sz="4" w:space="0"/>
              <w:right w:val="single" w:color="000000" w:sz="4" w:space="0"/>
            </w:tcBorders>
            <w:vAlign w:val="center"/>
          </w:tcPr>
          <w:p w14:paraId="1C1F2ED2">
            <w:pPr>
              <w:pStyle w:val="71"/>
              <w:spacing w:before="24" w:after="24"/>
              <w:rPr>
                <w:rFonts w:cs="Times New Roman"/>
              </w:rPr>
            </w:pPr>
            <w:r>
              <w:rPr>
                <w:rFonts w:cs="Times New Roman"/>
              </w:rPr>
              <w:t>安全教育</w:t>
            </w:r>
          </w:p>
        </w:tc>
        <w:tc>
          <w:tcPr>
            <w:tcW w:w="5228" w:type="dxa"/>
            <w:tcBorders>
              <w:left w:val="single" w:color="000000" w:sz="4" w:space="0"/>
              <w:bottom w:val="single" w:color="000000" w:sz="4" w:space="0"/>
              <w:right w:val="single" w:color="000000" w:sz="4" w:space="0"/>
            </w:tcBorders>
            <w:vAlign w:val="center"/>
          </w:tcPr>
          <w:p w14:paraId="7353F937">
            <w:pPr>
              <w:pStyle w:val="71"/>
              <w:spacing w:before="24" w:after="24"/>
              <w:jc w:val="both"/>
              <w:rPr>
                <w:rFonts w:cs="Times New Roman"/>
              </w:rPr>
            </w:pPr>
            <w:r>
              <w:rPr>
                <w:rFonts w:cs="Times New Roman"/>
              </w:rPr>
              <w:t>通过项目设置的相关问题或观看相关视频，提高现场工人的安全意识，加强对项目管理制度的了解与掌握，可实现针对不同的工种推送不同类型的培训考核</w:t>
            </w:r>
          </w:p>
        </w:tc>
        <w:tc>
          <w:tcPr>
            <w:tcW w:w="1134" w:type="dxa"/>
            <w:tcBorders>
              <w:left w:val="single" w:color="000000" w:sz="4" w:space="0"/>
              <w:bottom w:val="single" w:color="000000" w:sz="4" w:space="0"/>
            </w:tcBorders>
            <w:vAlign w:val="center"/>
          </w:tcPr>
          <w:p w14:paraId="778CA565">
            <w:pPr>
              <w:pStyle w:val="71"/>
              <w:spacing w:before="24" w:after="24"/>
              <w:rPr>
                <w:rFonts w:cs="Times New Roman"/>
              </w:rPr>
            </w:pPr>
            <w:r>
              <w:rPr>
                <w:rFonts w:cs="Times New Roman"/>
              </w:rPr>
              <w:t>√</w:t>
            </w:r>
          </w:p>
        </w:tc>
      </w:tr>
      <w:tr w14:paraId="0915BA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1" w:hRule="atLeast"/>
        </w:trPr>
        <w:tc>
          <w:tcPr>
            <w:tcW w:w="700" w:type="dxa"/>
            <w:tcBorders>
              <w:top w:val="single" w:color="000000" w:sz="4" w:space="0"/>
              <w:bottom w:val="single" w:color="000000" w:sz="4" w:space="0"/>
              <w:right w:val="single" w:color="000000" w:sz="4" w:space="0"/>
            </w:tcBorders>
            <w:vAlign w:val="center"/>
          </w:tcPr>
          <w:p w14:paraId="6C0EB3D6">
            <w:pPr>
              <w:pStyle w:val="71"/>
              <w:spacing w:before="24" w:after="24"/>
              <w:rPr>
                <w:rFonts w:cs="Times New Roman"/>
              </w:rPr>
            </w:pPr>
            <w:r>
              <w:rPr>
                <w:rFonts w:cs="Times New Roman"/>
              </w:rPr>
              <w:t>2</w:t>
            </w:r>
          </w:p>
        </w:tc>
        <w:tc>
          <w:tcPr>
            <w:tcW w:w="960" w:type="dxa"/>
            <w:vMerge w:val="continue"/>
            <w:tcBorders>
              <w:top w:val="nil"/>
              <w:left w:val="single" w:color="000000" w:sz="4" w:space="0"/>
              <w:bottom w:val="single" w:color="000000" w:sz="4" w:space="0"/>
              <w:right w:val="single" w:color="000000" w:sz="4" w:space="0"/>
            </w:tcBorders>
            <w:vAlign w:val="center"/>
          </w:tcPr>
          <w:p w14:paraId="0B1617F9">
            <w:pPr>
              <w:pStyle w:val="71"/>
              <w:spacing w:before="24" w:after="24"/>
              <w:rPr>
                <w:rFonts w:cs="Times New Roman"/>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69A26F6A">
            <w:pPr>
              <w:pStyle w:val="71"/>
              <w:spacing w:before="24" w:after="24"/>
              <w:rPr>
                <w:rFonts w:cs="Times New Roman"/>
              </w:rPr>
            </w:pPr>
            <w:r>
              <w:rPr>
                <w:rFonts w:cs="Times New Roman"/>
              </w:rPr>
              <w:t>安全巡查</w:t>
            </w:r>
          </w:p>
        </w:tc>
        <w:tc>
          <w:tcPr>
            <w:tcW w:w="5228" w:type="dxa"/>
            <w:tcBorders>
              <w:top w:val="single" w:color="000000" w:sz="4" w:space="0"/>
              <w:left w:val="single" w:color="000000" w:sz="4" w:space="0"/>
              <w:bottom w:val="single" w:color="000000" w:sz="4" w:space="0"/>
              <w:right w:val="single" w:color="000000" w:sz="4" w:space="0"/>
            </w:tcBorders>
            <w:vAlign w:val="center"/>
          </w:tcPr>
          <w:p w14:paraId="17992C0C">
            <w:pPr>
              <w:pStyle w:val="71"/>
              <w:spacing w:before="24" w:after="24"/>
              <w:jc w:val="both"/>
              <w:rPr>
                <w:rFonts w:cs="Times New Roman"/>
              </w:rPr>
            </w:pPr>
            <w:r>
              <w:rPr>
                <w:rFonts w:cs="Times New Roman"/>
              </w:rPr>
              <w:t>能够根据项目施工现场情况，推送巡检任务。对未按巡检任务完成巡检的，系统应及时报警并推送给相关人员</w:t>
            </w:r>
          </w:p>
        </w:tc>
        <w:tc>
          <w:tcPr>
            <w:tcW w:w="1134" w:type="dxa"/>
            <w:tcBorders>
              <w:top w:val="single" w:color="000000" w:sz="4" w:space="0"/>
              <w:left w:val="single" w:color="000000" w:sz="4" w:space="0"/>
              <w:bottom w:val="single" w:color="000000" w:sz="4" w:space="0"/>
            </w:tcBorders>
            <w:vAlign w:val="center"/>
          </w:tcPr>
          <w:p w14:paraId="6A3B8978">
            <w:pPr>
              <w:pStyle w:val="71"/>
              <w:spacing w:before="24" w:after="24"/>
              <w:rPr>
                <w:rFonts w:cs="Times New Roman"/>
              </w:rPr>
            </w:pPr>
            <w:r>
              <w:rPr>
                <w:rFonts w:cs="Times New Roman"/>
              </w:rPr>
              <w:t>√</w:t>
            </w:r>
          </w:p>
        </w:tc>
      </w:tr>
      <w:tr w14:paraId="2D7B0F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40" w:hRule="atLeast"/>
        </w:trPr>
        <w:tc>
          <w:tcPr>
            <w:tcW w:w="700" w:type="dxa"/>
            <w:tcBorders>
              <w:top w:val="single" w:color="000000" w:sz="4" w:space="0"/>
              <w:bottom w:val="single" w:color="000000" w:sz="4" w:space="0"/>
              <w:right w:val="single" w:color="000000" w:sz="4" w:space="0"/>
            </w:tcBorders>
            <w:vAlign w:val="center"/>
          </w:tcPr>
          <w:p w14:paraId="21AF0E00">
            <w:pPr>
              <w:pStyle w:val="71"/>
              <w:spacing w:before="24" w:after="24"/>
              <w:rPr>
                <w:rFonts w:cs="Times New Roman"/>
              </w:rPr>
            </w:pPr>
            <w:r>
              <w:rPr>
                <w:rFonts w:cs="Times New Roman"/>
              </w:rPr>
              <w:t>3</w:t>
            </w:r>
          </w:p>
        </w:tc>
        <w:tc>
          <w:tcPr>
            <w:tcW w:w="960" w:type="dxa"/>
            <w:vMerge w:val="restart"/>
            <w:tcBorders>
              <w:top w:val="single" w:color="000000" w:sz="4" w:space="0"/>
              <w:left w:val="single" w:color="000000" w:sz="4" w:space="0"/>
              <w:bottom w:val="single" w:color="000000" w:sz="4" w:space="0"/>
              <w:right w:val="single" w:color="000000" w:sz="4" w:space="0"/>
            </w:tcBorders>
            <w:vAlign w:val="center"/>
          </w:tcPr>
          <w:p w14:paraId="53B8DBAF">
            <w:pPr>
              <w:pStyle w:val="71"/>
              <w:spacing w:before="24" w:after="24"/>
              <w:rPr>
                <w:rFonts w:cs="Times New Roman"/>
              </w:rPr>
            </w:pPr>
          </w:p>
          <w:p w14:paraId="75D09F90">
            <w:pPr>
              <w:pStyle w:val="71"/>
              <w:spacing w:before="24" w:after="24"/>
              <w:rPr>
                <w:rFonts w:cs="Times New Roman"/>
              </w:rPr>
            </w:pPr>
          </w:p>
          <w:p w14:paraId="5F865318">
            <w:pPr>
              <w:pStyle w:val="71"/>
              <w:spacing w:before="24" w:after="24"/>
              <w:rPr>
                <w:rFonts w:cs="Times New Roman"/>
              </w:rPr>
            </w:pPr>
          </w:p>
          <w:p w14:paraId="3F2E9C41">
            <w:pPr>
              <w:pStyle w:val="71"/>
              <w:spacing w:before="24" w:after="24"/>
              <w:rPr>
                <w:rFonts w:cs="Times New Roman"/>
              </w:rPr>
            </w:pPr>
          </w:p>
          <w:p w14:paraId="7A2D4FF6">
            <w:pPr>
              <w:pStyle w:val="71"/>
              <w:spacing w:before="24" w:after="24"/>
              <w:rPr>
                <w:rFonts w:cs="Times New Roman"/>
              </w:rPr>
            </w:pPr>
          </w:p>
          <w:p w14:paraId="37619537">
            <w:pPr>
              <w:pStyle w:val="71"/>
              <w:spacing w:before="24" w:after="24"/>
              <w:rPr>
                <w:rFonts w:cs="Times New Roman"/>
              </w:rPr>
            </w:pPr>
          </w:p>
          <w:p w14:paraId="35A63AC5">
            <w:pPr>
              <w:pStyle w:val="71"/>
              <w:spacing w:before="24" w:after="24"/>
              <w:rPr>
                <w:rFonts w:cs="Times New Roman"/>
              </w:rPr>
            </w:pPr>
            <w:r>
              <w:rPr>
                <w:rFonts w:cs="Times New Roman"/>
              </w:rPr>
              <w:t>设备安全管理</w:t>
            </w:r>
          </w:p>
        </w:tc>
        <w:tc>
          <w:tcPr>
            <w:tcW w:w="1040" w:type="dxa"/>
            <w:tcBorders>
              <w:top w:val="single" w:color="000000" w:sz="4" w:space="0"/>
              <w:left w:val="single" w:color="000000" w:sz="4" w:space="0"/>
              <w:bottom w:val="single" w:color="000000" w:sz="4" w:space="0"/>
              <w:right w:val="single" w:color="000000" w:sz="4" w:space="0"/>
            </w:tcBorders>
            <w:vAlign w:val="center"/>
          </w:tcPr>
          <w:p w14:paraId="45295E99">
            <w:pPr>
              <w:pStyle w:val="71"/>
              <w:spacing w:before="24" w:after="24"/>
              <w:rPr>
                <w:rFonts w:cs="Times New Roman"/>
              </w:rPr>
            </w:pPr>
            <w:r>
              <w:rPr>
                <w:rFonts w:cs="Times New Roman"/>
              </w:rPr>
              <w:t>施工升降机安全监测</w:t>
            </w:r>
          </w:p>
        </w:tc>
        <w:tc>
          <w:tcPr>
            <w:tcW w:w="5228" w:type="dxa"/>
            <w:tcBorders>
              <w:top w:val="single" w:color="000000" w:sz="4" w:space="0"/>
              <w:left w:val="single" w:color="000000" w:sz="4" w:space="0"/>
              <w:bottom w:val="single" w:color="000000" w:sz="4" w:space="0"/>
              <w:right w:val="single" w:color="000000" w:sz="4" w:space="0"/>
            </w:tcBorders>
            <w:vAlign w:val="center"/>
          </w:tcPr>
          <w:p w14:paraId="5F1EF4EA">
            <w:pPr>
              <w:pStyle w:val="71"/>
              <w:spacing w:before="24" w:after="24"/>
              <w:jc w:val="both"/>
              <w:rPr>
                <w:rFonts w:cs="Times New Roman"/>
              </w:rPr>
            </w:pPr>
            <w:r>
              <w:rPr>
                <w:rFonts w:cs="Times New Roman"/>
              </w:rPr>
              <w:t>通过人脸、指纹等身份认证功能，实现人员持证上岗。通过传感器等设备，实现实时监测升降机运行参数，若出现异常，立即进行异常告警推送</w:t>
            </w:r>
          </w:p>
        </w:tc>
        <w:tc>
          <w:tcPr>
            <w:tcW w:w="1134" w:type="dxa"/>
            <w:tcBorders>
              <w:top w:val="single" w:color="000000" w:sz="4" w:space="0"/>
              <w:left w:val="single" w:color="000000" w:sz="4" w:space="0"/>
              <w:bottom w:val="single" w:color="000000" w:sz="4" w:space="0"/>
            </w:tcBorders>
            <w:vAlign w:val="center"/>
          </w:tcPr>
          <w:p w14:paraId="41A68CF9">
            <w:pPr>
              <w:pStyle w:val="71"/>
              <w:spacing w:before="24" w:after="24"/>
              <w:rPr>
                <w:rFonts w:cs="Times New Roman"/>
              </w:rPr>
            </w:pPr>
            <w:r>
              <w:rPr>
                <w:rFonts w:cs="Times New Roman"/>
              </w:rPr>
              <w:t>√</w:t>
            </w:r>
          </w:p>
        </w:tc>
      </w:tr>
      <w:tr w14:paraId="7BA6F9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39" w:hRule="atLeast"/>
        </w:trPr>
        <w:tc>
          <w:tcPr>
            <w:tcW w:w="700" w:type="dxa"/>
            <w:tcBorders>
              <w:top w:val="single" w:color="000000" w:sz="4" w:space="0"/>
              <w:bottom w:val="single" w:color="000000" w:sz="4" w:space="0"/>
              <w:right w:val="single" w:color="000000" w:sz="4" w:space="0"/>
            </w:tcBorders>
            <w:vAlign w:val="center"/>
          </w:tcPr>
          <w:p w14:paraId="651792FC">
            <w:pPr>
              <w:pStyle w:val="71"/>
              <w:spacing w:before="24" w:after="24"/>
              <w:rPr>
                <w:rFonts w:cs="Times New Roman"/>
              </w:rPr>
            </w:pPr>
            <w:r>
              <w:rPr>
                <w:rFonts w:cs="Times New Roman"/>
              </w:rPr>
              <w:t>4</w:t>
            </w:r>
          </w:p>
        </w:tc>
        <w:tc>
          <w:tcPr>
            <w:tcW w:w="960" w:type="dxa"/>
            <w:vMerge w:val="continue"/>
            <w:tcBorders>
              <w:top w:val="nil"/>
              <w:left w:val="single" w:color="000000" w:sz="4" w:space="0"/>
              <w:bottom w:val="single" w:color="000000" w:sz="4" w:space="0"/>
              <w:right w:val="single" w:color="000000" w:sz="4" w:space="0"/>
            </w:tcBorders>
            <w:vAlign w:val="center"/>
          </w:tcPr>
          <w:p w14:paraId="546EB8C5">
            <w:pPr>
              <w:pStyle w:val="71"/>
              <w:spacing w:before="24" w:after="24"/>
              <w:rPr>
                <w:rFonts w:cs="Times New Roman"/>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36B334A2">
            <w:pPr>
              <w:pStyle w:val="71"/>
              <w:spacing w:before="24" w:after="24"/>
              <w:rPr>
                <w:rFonts w:cs="Times New Roman"/>
              </w:rPr>
            </w:pPr>
            <w:r>
              <w:rPr>
                <w:rFonts w:cs="Times New Roman"/>
              </w:rPr>
              <w:t>塔式起重机安全监测</w:t>
            </w:r>
          </w:p>
        </w:tc>
        <w:tc>
          <w:tcPr>
            <w:tcW w:w="5228" w:type="dxa"/>
            <w:tcBorders>
              <w:top w:val="single" w:color="000000" w:sz="4" w:space="0"/>
              <w:left w:val="single" w:color="000000" w:sz="4" w:space="0"/>
              <w:bottom w:val="single" w:color="000000" w:sz="4" w:space="0"/>
              <w:right w:val="single" w:color="000000" w:sz="4" w:space="0"/>
            </w:tcBorders>
            <w:vAlign w:val="center"/>
          </w:tcPr>
          <w:p w14:paraId="13F7073E">
            <w:pPr>
              <w:pStyle w:val="71"/>
              <w:spacing w:before="24" w:after="24"/>
              <w:jc w:val="both"/>
              <w:rPr>
                <w:rFonts w:cs="Times New Roman"/>
              </w:rPr>
            </w:pPr>
            <w:r>
              <w:rPr>
                <w:rFonts w:cs="Times New Roman"/>
              </w:rPr>
              <w:t>通过人脸、指纹等身份认证功能，实现人员持证上岗。通过传感器等设备，实现实时监测塔吊运行参数，若出现异常，立即进行异常告警推送</w:t>
            </w:r>
          </w:p>
        </w:tc>
        <w:tc>
          <w:tcPr>
            <w:tcW w:w="1134" w:type="dxa"/>
            <w:tcBorders>
              <w:top w:val="single" w:color="000000" w:sz="4" w:space="0"/>
              <w:left w:val="single" w:color="000000" w:sz="4" w:space="0"/>
              <w:bottom w:val="single" w:color="000000" w:sz="4" w:space="0"/>
            </w:tcBorders>
            <w:vAlign w:val="center"/>
          </w:tcPr>
          <w:p w14:paraId="06DD8794">
            <w:pPr>
              <w:pStyle w:val="71"/>
              <w:spacing w:before="24" w:after="24"/>
              <w:rPr>
                <w:rFonts w:cs="Times New Roman"/>
              </w:rPr>
            </w:pPr>
            <w:r>
              <w:rPr>
                <w:rFonts w:cs="Times New Roman"/>
              </w:rPr>
              <w:t>√</w:t>
            </w:r>
          </w:p>
        </w:tc>
      </w:tr>
      <w:tr w14:paraId="7C23CE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39" w:hRule="atLeast"/>
        </w:trPr>
        <w:tc>
          <w:tcPr>
            <w:tcW w:w="700" w:type="dxa"/>
            <w:tcBorders>
              <w:top w:val="single" w:color="000000" w:sz="4" w:space="0"/>
              <w:bottom w:val="single" w:color="000000" w:sz="4" w:space="0"/>
              <w:right w:val="single" w:color="000000" w:sz="4" w:space="0"/>
            </w:tcBorders>
            <w:vAlign w:val="center"/>
          </w:tcPr>
          <w:p w14:paraId="4FB041F3">
            <w:pPr>
              <w:pStyle w:val="71"/>
              <w:spacing w:before="24" w:after="24"/>
              <w:rPr>
                <w:rFonts w:cs="Times New Roman"/>
              </w:rPr>
            </w:pPr>
            <w:r>
              <w:rPr>
                <w:rFonts w:cs="Times New Roman"/>
              </w:rPr>
              <w:t>5</w:t>
            </w:r>
          </w:p>
        </w:tc>
        <w:tc>
          <w:tcPr>
            <w:tcW w:w="960" w:type="dxa"/>
            <w:vMerge w:val="continue"/>
            <w:tcBorders>
              <w:top w:val="nil"/>
              <w:left w:val="single" w:color="000000" w:sz="4" w:space="0"/>
              <w:bottom w:val="single" w:color="000000" w:sz="4" w:space="0"/>
              <w:right w:val="single" w:color="000000" w:sz="4" w:space="0"/>
            </w:tcBorders>
            <w:vAlign w:val="center"/>
          </w:tcPr>
          <w:p w14:paraId="37DEF4E6">
            <w:pPr>
              <w:pStyle w:val="71"/>
              <w:spacing w:before="24" w:after="24"/>
              <w:rPr>
                <w:rFonts w:cs="Times New Roman"/>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7F65EB6D">
            <w:pPr>
              <w:pStyle w:val="71"/>
              <w:spacing w:before="24" w:after="24"/>
              <w:rPr>
                <w:rFonts w:cs="Times New Roman"/>
              </w:rPr>
            </w:pPr>
            <w:r>
              <w:rPr>
                <w:rFonts w:cs="Times New Roman"/>
              </w:rPr>
              <w:t>其他类起重</w:t>
            </w:r>
          </w:p>
          <w:p w14:paraId="0405A691">
            <w:pPr>
              <w:pStyle w:val="71"/>
              <w:spacing w:before="24" w:after="24"/>
              <w:rPr>
                <w:rFonts w:cs="Times New Roman"/>
              </w:rPr>
            </w:pPr>
            <w:r>
              <w:rPr>
                <w:rFonts w:cs="Times New Roman"/>
              </w:rPr>
              <w:t>机械安全监测</w:t>
            </w:r>
          </w:p>
        </w:tc>
        <w:tc>
          <w:tcPr>
            <w:tcW w:w="5228" w:type="dxa"/>
            <w:tcBorders>
              <w:top w:val="single" w:color="000000" w:sz="4" w:space="0"/>
              <w:left w:val="single" w:color="000000" w:sz="4" w:space="0"/>
              <w:bottom w:val="single" w:color="000000" w:sz="4" w:space="0"/>
              <w:right w:val="single" w:color="000000" w:sz="4" w:space="0"/>
            </w:tcBorders>
            <w:vAlign w:val="center"/>
          </w:tcPr>
          <w:p w14:paraId="67D3C6CA">
            <w:pPr>
              <w:pStyle w:val="71"/>
              <w:spacing w:before="24" w:after="24"/>
              <w:jc w:val="both"/>
              <w:rPr>
                <w:rFonts w:cs="Times New Roman"/>
              </w:rPr>
            </w:pPr>
            <w:r>
              <w:rPr>
                <w:rFonts w:cs="Times New Roman"/>
              </w:rPr>
              <w:t>通过人脸、指纹等身份认证功能，实现人员持证上岗。通过传感器等设备，实现实时监测起重机运行参数，若出现异常，立即进行异常告警推送</w:t>
            </w:r>
          </w:p>
        </w:tc>
        <w:tc>
          <w:tcPr>
            <w:tcW w:w="1134" w:type="dxa"/>
            <w:tcBorders>
              <w:top w:val="single" w:color="000000" w:sz="4" w:space="0"/>
              <w:left w:val="single" w:color="000000" w:sz="4" w:space="0"/>
              <w:bottom w:val="single" w:color="000000" w:sz="4" w:space="0"/>
            </w:tcBorders>
            <w:vAlign w:val="center"/>
          </w:tcPr>
          <w:p w14:paraId="427E237A">
            <w:pPr>
              <w:pStyle w:val="71"/>
              <w:spacing w:before="24" w:after="24"/>
              <w:rPr>
                <w:rFonts w:cs="Times New Roman"/>
              </w:rPr>
            </w:pPr>
            <w:r>
              <w:rPr>
                <w:rFonts w:cs="Times New Roman"/>
              </w:rPr>
              <w:t>√</w:t>
            </w:r>
          </w:p>
        </w:tc>
      </w:tr>
      <w:tr w14:paraId="2D4E49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39" w:hRule="atLeast"/>
        </w:trPr>
        <w:tc>
          <w:tcPr>
            <w:tcW w:w="700" w:type="dxa"/>
            <w:tcBorders>
              <w:top w:val="single" w:color="000000" w:sz="4" w:space="0"/>
              <w:bottom w:val="single" w:color="000000" w:sz="4" w:space="0"/>
              <w:right w:val="single" w:color="000000" w:sz="4" w:space="0"/>
            </w:tcBorders>
            <w:vAlign w:val="center"/>
          </w:tcPr>
          <w:p w14:paraId="04C7DD29">
            <w:pPr>
              <w:pStyle w:val="71"/>
              <w:spacing w:before="24" w:after="24"/>
              <w:rPr>
                <w:rFonts w:cs="Times New Roman"/>
              </w:rPr>
            </w:pPr>
            <w:r>
              <w:rPr>
                <w:rFonts w:cs="Times New Roman"/>
              </w:rPr>
              <w:t>6</w:t>
            </w:r>
          </w:p>
        </w:tc>
        <w:tc>
          <w:tcPr>
            <w:tcW w:w="960" w:type="dxa"/>
            <w:vMerge w:val="continue"/>
            <w:tcBorders>
              <w:top w:val="nil"/>
              <w:left w:val="single" w:color="000000" w:sz="4" w:space="0"/>
              <w:bottom w:val="single" w:color="000000" w:sz="4" w:space="0"/>
              <w:right w:val="single" w:color="000000" w:sz="4" w:space="0"/>
            </w:tcBorders>
            <w:vAlign w:val="center"/>
          </w:tcPr>
          <w:p w14:paraId="027C1217">
            <w:pPr>
              <w:pStyle w:val="71"/>
              <w:spacing w:before="24" w:after="24"/>
              <w:rPr>
                <w:rFonts w:cs="Times New Roman"/>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6CCEA590">
            <w:pPr>
              <w:pStyle w:val="71"/>
              <w:spacing w:before="24" w:after="24"/>
              <w:rPr>
                <w:rFonts w:cs="Times New Roman"/>
              </w:rPr>
            </w:pPr>
            <w:r>
              <w:rPr>
                <w:rFonts w:cs="Times New Roman"/>
              </w:rPr>
              <w:t>升降式安全防护平台监</w:t>
            </w:r>
          </w:p>
          <w:p w14:paraId="4EB281C5">
            <w:pPr>
              <w:pStyle w:val="71"/>
              <w:spacing w:before="24" w:after="24"/>
              <w:rPr>
                <w:rFonts w:cs="Times New Roman"/>
              </w:rPr>
            </w:pPr>
            <w:r>
              <w:rPr>
                <w:rFonts w:cs="Times New Roman"/>
              </w:rPr>
              <w:t>测</w:t>
            </w:r>
          </w:p>
        </w:tc>
        <w:tc>
          <w:tcPr>
            <w:tcW w:w="5228" w:type="dxa"/>
            <w:tcBorders>
              <w:top w:val="single" w:color="000000" w:sz="4" w:space="0"/>
              <w:left w:val="single" w:color="000000" w:sz="4" w:space="0"/>
              <w:bottom w:val="single" w:color="000000" w:sz="4" w:space="0"/>
              <w:right w:val="single" w:color="000000" w:sz="4" w:space="0"/>
            </w:tcBorders>
            <w:vAlign w:val="center"/>
          </w:tcPr>
          <w:p w14:paraId="31294818">
            <w:pPr>
              <w:pStyle w:val="71"/>
              <w:spacing w:before="24" w:after="24"/>
              <w:jc w:val="both"/>
              <w:rPr>
                <w:rFonts w:cs="Times New Roman"/>
              </w:rPr>
            </w:pPr>
            <w:r>
              <w:rPr>
                <w:rFonts w:cs="Times New Roman"/>
              </w:rPr>
              <w:t>通过人脸、指纹等身份认证功能，实现人员持证上岗。通过传感器等设备，实现实时监测防护平台运行参数，若出现异常，立即进行异常告警推送</w:t>
            </w:r>
          </w:p>
        </w:tc>
        <w:tc>
          <w:tcPr>
            <w:tcW w:w="1134" w:type="dxa"/>
            <w:tcBorders>
              <w:top w:val="single" w:color="000000" w:sz="4" w:space="0"/>
              <w:left w:val="single" w:color="000000" w:sz="4" w:space="0"/>
              <w:bottom w:val="single" w:color="000000" w:sz="4" w:space="0"/>
            </w:tcBorders>
            <w:vAlign w:val="center"/>
          </w:tcPr>
          <w:p w14:paraId="17BF9F48">
            <w:pPr>
              <w:pStyle w:val="71"/>
              <w:spacing w:before="24" w:after="24"/>
              <w:rPr>
                <w:rFonts w:cs="Times New Roman"/>
              </w:rPr>
            </w:pPr>
            <w:r>
              <w:rPr>
                <w:rFonts w:cs="Times New Roman"/>
              </w:rPr>
              <w:t>√</w:t>
            </w:r>
          </w:p>
        </w:tc>
      </w:tr>
      <w:tr w14:paraId="14B58A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40" w:hRule="atLeast"/>
        </w:trPr>
        <w:tc>
          <w:tcPr>
            <w:tcW w:w="700" w:type="dxa"/>
            <w:tcBorders>
              <w:top w:val="single" w:color="000000" w:sz="4" w:space="0"/>
              <w:bottom w:val="single" w:color="000000" w:sz="4" w:space="0"/>
              <w:right w:val="single" w:color="000000" w:sz="4" w:space="0"/>
            </w:tcBorders>
            <w:vAlign w:val="center"/>
          </w:tcPr>
          <w:p w14:paraId="2F658944">
            <w:pPr>
              <w:pStyle w:val="71"/>
              <w:spacing w:before="24" w:after="24"/>
              <w:rPr>
                <w:rFonts w:cs="Times New Roman"/>
              </w:rPr>
            </w:pPr>
            <w:r>
              <w:rPr>
                <w:rFonts w:cs="Times New Roman"/>
              </w:rPr>
              <w:t>7</w:t>
            </w:r>
          </w:p>
        </w:tc>
        <w:tc>
          <w:tcPr>
            <w:tcW w:w="960" w:type="dxa"/>
            <w:vMerge w:val="continue"/>
            <w:tcBorders>
              <w:top w:val="nil"/>
              <w:left w:val="single" w:color="000000" w:sz="4" w:space="0"/>
              <w:bottom w:val="single" w:color="000000" w:sz="4" w:space="0"/>
              <w:right w:val="single" w:color="000000" w:sz="4" w:space="0"/>
            </w:tcBorders>
            <w:vAlign w:val="center"/>
          </w:tcPr>
          <w:p w14:paraId="654FB52A">
            <w:pPr>
              <w:pStyle w:val="71"/>
              <w:spacing w:before="24" w:after="24"/>
              <w:rPr>
                <w:rFonts w:cs="Times New Roman"/>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3DE606B1">
            <w:pPr>
              <w:pStyle w:val="71"/>
              <w:spacing w:before="24" w:after="24"/>
              <w:rPr>
                <w:rFonts w:cs="Times New Roman"/>
              </w:rPr>
            </w:pPr>
            <w:r>
              <w:rPr>
                <w:rFonts w:cs="Times New Roman"/>
              </w:rPr>
              <w:t>卸料平台安全监测</w:t>
            </w:r>
          </w:p>
        </w:tc>
        <w:tc>
          <w:tcPr>
            <w:tcW w:w="5228" w:type="dxa"/>
            <w:tcBorders>
              <w:top w:val="single" w:color="000000" w:sz="4" w:space="0"/>
              <w:left w:val="single" w:color="000000" w:sz="4" w:space="0"/>
              <w:bottom w:val="single" w:color="000000" w:sz="4" w:space="0"/>
              <w:right w:val="single" w:color="000000" w:sz="4" w:space="0"/>
            </w:tcBorders>
            <w:vAlign w:val="center"/>
          </w:tcPr>
          <w:p w14:paraId="3C9B867F">
            <w:pPr>
              <w:pStyle w:val="71"/>
              <w:spacing w:before="24" w:after="24"/>
              <w:jc w:val="both"/>
              <w:rPr>
                <w:rFonts w:cs="Times New Roman"/>
              </w:rPr>
            </w:pPr>
            <w:r>
              <w:rPr>
                <w:rFonts w:cs="Times New Roman"/>
              </w:rPr>
              <w:t>通过人脸、指纹等身份认证功能，实现人员持证上岗。通过传感器等设备，实现实时监测卸料平台运行参数，若出现超载等异常，立即进行异常告警推送</w:t>
            </w:r>
          </w:p>
        </w:tc>
        <w:tc>
          <w:tcPr>
            <w:tcW w:w="1134" w:type="dxa"/>
            <w:tcBorders>
              <w:top w:val="single" w:color="000000" w:sz="4" w:space="0"/>
              <w:left w:val="single" w:color="000000" w:sz="4" w:space="0"/>
              <w:bottom w:val="single" w:color="000000" w:sz="4" w:space="0"/>
            </w:tcBorders>
            <w:vAlign w:val="center"/>
          </w:tcPr>
          <w:p w14:paraId="358399F1">
            <w:pPr>
              <w:pStyle w:val="71"/>
              <w:spacing w:before="24" w:after="24"/>
              <w:rPr>
                <w:rFonts w:cs="Times New Roman"/>
              </w:rPr>
            </w:pPr>
            <w:r>
              <w:rPr>
                <w:rFonts w:cs="Times New Roman"/>
              </w:rPr>
              <w:t xml:space="preserve">√ </w:t>
            </w:r>
          </w:p>
        </w:tc>
      </w:tr>
      <w:tr w14:paraId="3FD420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56" w:hRule="atLeast"/>
        </w:trPr>
        <w:tc>
          <w:tcPr>
            <w:tcW w:w="700" w:type="dxa"/>
            <w:tcBorders>
              <w:top w:val="single" w:color="000000" w:sz="4" w:space="0"/>
              <w:bottom w:val="single" w:color="000000" w:sz="4" w:space="0"/>
              <w:right w:val="single" w:color="000000" w:sz="4" w:space="0"/>
            </w:tcBorders>
            <w:vAlign w:val="center"/>
          </w:tcPr>
          <w:p w14:paraId="13872DA0">
            <w:pPr>
              <w:pStyle w:val="71"/>
              <w:spacing w:before="24" w:after="24"/>
              <w:rPr>
                <w:rFonts w:cs="Times New Roman"/>
              </w:rPr>
            </w:pPr>
            <w:r>
              <w:rPr>
                <w:rFonts w:cs="Times New Roman"/>
              </w:rPr>
              <w:t xml:space="preserve">8 </w:t>
            </w:r>
          </w:p>
        </w:tc>
        <w:tc>
          <w:tcPr>
            <w:tcW w:w="960" w:type="dxa"/>
            <w:vMerge w:val="restart"/>
            <w:tcBorders>
              <w:top w:val="single" w:color="000000" w:sz="4" w:space="0"/>
              <w:left w:val="single" w:color="000000" w:sz="4" w:space="0"/>
              <w:right w:val="single" w:color="000000" w:sz="4" w:space="0"/>
            </w:tcBorders>
            <w:vAlign w:val="center"/>
          </w:tcPr>
          <w:p w14:paraId="43EE0673">
            <w:pPr>
              <w:pStyle w:val="71"/>
              <w:spacing w:before="24" w:after="24"/>
              <w:rPr>
                <w:rFonts w:cs="Times New Roman"/>
              </w:rPr>
            </w:pPr>
          </w:p>
          <w:p w14:paraId="1D7A53E1">
            <w:pPr>
              <w:pStyle w:val="71"/>
              <w:spacing w:before="24" w:after="24"/>
              <w:rPr>
                <w:rFonts w:cs="Times New Roman"/>
              </w:rPr>
            </w:pPr>
          </w:p>
          <w:p w14:paraId="78F09A01">
            <w:pPr>
              <w:pStyle w:val="71"/>
              <w:spacing w:before="24" w:after="24"/>
              <w:rPr>
                <w:rFonts w:cs="Times New Roman"/>
              </w:rPr>
            </w:pPr>
            <w:r>
              <w:rPr>
                <w:rFonts w:cs="Times New Roman"/>
              </w:rPr>
              <w:t xml:space="preserve">建构筑物深基坑及高支模安全监测 </w:t>
            </w:r>
          </w:p>
        </w:tc>
        <w:tc>
          <w:tcPr>
            <w:tcW w:w="1040" w:type="dxa"/>
            <w:tcBorders>
              <w:top w:val="single" w:color="000000" w:sz="4" w:space="0"/>
              <w:left w:val="single" w:color="000000" w:sz="4" w:space="0"/>
              <w:bottom w:val="single" w:color="000000" w:sz="4" w:space="0"/>
              <w:right w:val="single" w:color="000000" w:sz="4" w:space="0"/>
            </w:tcBorders>
            <w:vAlign w:val="center"/>
          </w:tcPr>
          <w:p w14:paraId="41510C34">
            <w:pPr>
              <w:pStyle w:val="71"/>
              <w:spacing w:before="24" w:after="24"/>
              <w:rPr>
                <w:rFonts w:cs="Times New Roman"/>
              </w:rPr>
            </w:pPr>
            <w:r>
              <w:rPr>
                <w:rFonts w:cs="Times New Roman"/>
              </w:rPr>
              <w:t xml:space="preserve">建构筑物建设监测 </w:t>
            </w:r>
          </w:p>
        </w:tc>
        <w:tc>
          <w:tcPr>
            <w:tcW w:w="5228" w:type="dxa"/>
            <w:tcBorders>
              <w:top w:val="single" w:color="000000" w:sz="4" w:space="0"/>
              <w:left w:val="single" w:color="000000" w:sz="4" w:space="0"/>
              <w:bottom w:val="single" w:color="000000" w:sz="4" w:space="0"/>
              <w:right w:val="single" w:color="000000" w:sz="4" w:space="0"/>
            </w:tcBorders>
            <w:vAlign w:val="center"/>
          </w:tcPr>
          <w:p w14:paraId="5D4DF9D6">
            <w:pPr>
              <w:pStyle w:val="71"/>
              <w:spacing w:before="24" w:after="24"/>
              <w:jc w:val="both"/>
              <w:rPr>
                <w:rFonts w:cs="Times New Roman"/>
              </w:rPr>
            </w:pPr>
            <w:r>
              <w:rPr>
                <w:rFonts w:cs="Times New Roman"/>
              </w:rPr>
              <w:t xml:space="preserve">实时监测建构筑物施工过程中的应力变化数据，若超出预警值， 进行异常告警推送 </w:t>
            </w:r>
          </w:p>
        </w:tc>
        <w:tc>
          <w:tcPr>
            <w:tcW w:w="1134" w:type="dxa"/>
            <w:tcBorders>
              <w:top w:val="single" w:color="000000" w:sz="4" w:space="0"/>
              <w:left w:val="single" w:color="000000" w:sz="4" w:space="0"/>
              <w:bottom w:val="single" w:color="000000" w:sz="4" w:space="0"/>
            </w:tcBorders>
            <w:vAlign w:val="center"/>
          </w:tcPr>
          <w:p w14:paraId="13766382">
            <w:pPr>
              <w:pStyle w:val="71"/>
              <w:spacing w:before="24" w:after="24"/>
              <w:rPr>
                <w:rFonts w:cs="Times New Roman"/>
              </w:rPr>
            </w:pPr>
            <w:r>
              <w:rPr>
                <w:rFonts w:ascii="Cambria Math" w:hAnsi="Cambria Math" w:cs="Cambria Math"/>
              </w:rPr>
              <w:t>△</w:t>
            </w:r>
            <w:r>
              <w:rPr>
                <w:rFonts w:cs="Times New Roman"/>
              </w:rPr>
              <w:t xml:space="preserve"> </w:t>
            </w:r>
          </w:p>
        </w:tc>
      </w:tr>
      <w:tr w14:paraId="35336C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5" w:hRule="atLeast"/>
        </w:trPr>
        <w:tc>
          <w:tcPr>
            <w:tcW w:w="700" w:type="dxa"/>
            <w:tcBorders>
              <w:top w:val="single" w:color="000000" w:sz="4" w:space="0"/>
              <w:bottom w:val="single" w:color="000000" w:sz="4" w:space="0"/>
              <w:right w:val="single" w:color="000000" w:sz="4" w:space="0"/>
            </w:tcBorders>
            <w:vAlign w:val="center"/>
          </w:tcPr>
          <w:p w14:paraId="47F98499">
            <w:pPr>
              <w:pStyle w:val="71"/>
              <w:spacing w:before="24" w:after="24"/>
              <w:rPr>
                <w:rFonts w:cs="Times New Roman"/>
              </w:rPr>
            </w:pPr>
            <w:r>
              <w:rPr>
                <w:rFonts w:cs="Times New Roman"/>
              </w:rPr>
              <w:t xml:space="preserve">9 </w:t>
            </w:r>
          </w:p>
        </w:tc>
        <w:tc>
          <w:tcPr>
            <w:tcW w:w="960" w:type="dxa"/>
            <w:vMerge w:val="continue"/>
            <w:tcBorders>
              <w:top w:val="nil"/>
              <w:left w:val="single" w:color="000000" w:sz="4" w:space="0"/>
              <w:right w:val="single" w:color="000000" w:sz="4" w:space="0"/>
            </w:tcBorders>
            <w:vAlign w:val="center"/>
          </w:tcPr>
          <w:p w14:paraId="4A60BE6B">
            <w:pPr>
              <w:pStyle w:val="71"/>
              <w:spacing w:before="24" w:after="24"/>
              <w:rPr>
                <w:rFonts w:cs="Times New Roman"/>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7C75EABB">
            <w:pPr>
              <w:pStyle w:val="71"/>
              <w:spacing w:before="24" w:after="24"/>
              <w:rPr>
                <w:rFonts w:cs="Times New Roman"/>
              </w:rPr>
            </w:pPr>
            <w:r>
              <w:rPr>
                <w:rFonts w:cs="Times New Roman"/>
              </w:rPr>
              <w:t>、</w:t>
            </w:r>
          </w:p>
          <w:p w14:paraId="52BAFC4C">
            <w:pPr>
              <w:pStyle w:val="71"/>
              <w:spacing w:before="24" w:after="24"/>
              <w:rPr>
                <w:rFonts w:cs="Times New Roman"/>
              </w:rPr>
            </w:pPr>
            <w:r>
              <w:rPr>
                <w:rFonts w:cs="Times New Roman"/>
              </w:rPr>
              <w:t>深基坑安全</w:t>
            </w:r>
          </w:p>
          <w:p w14:paraId="6A6DCCE5">
            <w:pPr>
              <w:pStyle w:val="71"/>
              <w:spacing w:before="24" w:after="24"/>
              <w:rPr>
                <w:rFonts w:cs="Times New Roman"/>
              </w:rPr>
            </w:pPr>
            <w:r>
              <w:rPr>
                <w:rFonts w:cs="Times New Roman"/>
              </w:rPr>
              <w:t xml:space="preserve">监测 </w:t>
            </w:r>
          </w:p>
        </w:tc>
        <w:tc>
          <w:tcPr>
            <w:tcW w:w="5228" w:type="dxa"/>
            <w:tcBorders>
              <w:top w:val="single" w:color="000000" w:sz="4" w:space="0"/>
              <w:left w:val="single" w:color="000000" w:sz="4" w:space="0"/>
              <w:bottom w:val="single" w:color="000000" w:sz="4" w:space="0"/>
              <w:right w:val="single" w:color="000000" w:sz="4" w:space="0"/>
            </w:tcBorders>
            <w:vAlign w:val="center"/>
          </w:tcPr>
          <w:p w14:paraId="115A4C81">
            <w:pPr>
              <w:pStyle w:val="71"/>
              <w:spacing w:before="24" w:after="24"/>
              <w:jc w:val="both"/>
              <w:rPr>
                <w:rFonts w:cs="Times New Roman"/>
              </w:rPr>
            </w:pPr>
            <w:r>
              <w:rPr>
                <w:rFonts w:cs="Times New Roman"/>
              </w:rPr>
              <w:t xml:space="preserve">通过信息化手段，对基坑监测数据进行汇总、整理、分析，若超出预警值，现场语音报警提示并进行异常告警推送 </w:t>
            </w:r>
          </w:p>
        </w:tc>
        <w:tc>
          <w:tcPr>
            <w:tcW w:w="1134" w:type="dxa"/>
            <w:tcBorders>
              <w:top w:val="single" w:color="000000" w:sz="4" w:space="0"/>
              <w:left w:val="single" w:color="000000" w:sz="4" w:space="0"/>
              <w:bottom w:val="single" w:color="000000" w:sz="4" w:space="0"/>
            </w:tcBorders>
            <w:vAlign w:val="center"/>
          </w:tcPr>
          <w:p w14:paraId="5035A623">
            <w:pPr>
              <w:pStyle w:val="71"/>
              <w:spacing w:before="24" w:after="24"/>
              <w:rPr>
                <w:rFonts w:cs="Times New Roman"/>
              </w:rPr>
            </w:pPr>
            <w:r>
              <w:rPr>
                <w:rFonts w:ascii="Cambria Math" w:hAnsi="Cambria Math" w:cs="Cambria Math"/>
              </w:rPr>
              <w:t>△</w:t>
            </w:r>
            <w:r>
              <w:rPr>
                <w:rFonts w:cs="Times New Roman"/>
              </w:rPr>
              <w:t xml:space="preserve"> </w:t>
            </w:r>
          </w:p>
        </w:tc>
      </w:tr>
      <w:tr w14:paraId="166512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36" w:hRule="atLeast"/>
        </w:trPr>
        <w:tc>
          <w:tcPr>
            <w:tcW w:w="700" w:type="dxa"/>
            <w:tcBorders>
              <w:top w:val="single" w:color="000000" w:sz="4" w:space="0"/>
              <w:bottom w:val="single" w:color="000000" w:sz="4" w:space="0"/>
              <w:right w:val="single" w:color="000000" w:sz="4" w:space="0"/>
            </w:tcBorders>
            <w:vAlign w:val="center"/>
          </w:tcPr>
          <w:p w14:paraId="10C9BD90">
            <w:pPr>
              <w:pStyle w:val="71"/>
              <w:spacing w:before="24" w:after="24"/>
              <w:rPr>
                <w:rFonts w:cs="Times New Roman"/>
              </w:rPr>
            </w:pPr>
            <w:r>
              <w:rPr>
                <w:rFonts w:cs="Times New Roman"/>
              </w:rPr>
              <w:t xml:space="preserve">10 </w:t>
            </w:r>
          </w:p>
        </w:tc>
        <w:tc>
          <w:tcPr>
            <w:tcW w:w="960" w:type="dxa"/>
            <w:vMerge w:val="continue"/>
            <w:tcBorders>
              <w:top w:val="nil"/>
              <w:left w:val="single" w:color="000000" w:sz="4" w:space="0"/>
              <w:bottom w:val="single" w:color="auto" w:sz="4" w:space="0"/>
              <w:right w:val="single" w:color="000000" w:sz="4" w:space="0"/>
            </w:tcBorders>
            <w:vAlign w:val="center"/>
          </w:tcPr>
          <w:p w14:paraId="2679EE2B">
            <w:pPr>
              <w:pStyle w:val="71"/>
              <w:spacing w:before="24" w:after="24"/>
              <w:rPr>
                <w:rFonts w:cs="Times New Roman"/>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2EB2AB95">
            <w:pPr>
              <w:pStyle w:val="71"/>
              <w:spacing w:before="24" w:after="24"/>
              <w:rPr>
                <w:rFonts w:cs="Times New Roman"/>
              </w:rPr>
            </w:pPr>
          </w:p>
          <w:p w14:paraId="176D434E">
            <w:pPr>
              <w:pStyle w:val="71"/>
              <w:spacing w:before="24" w:after="24"/>
              <w:rPr>
                <w:rFonts w:cs="Times New Roman"/>
              </w:rPr>
            </w:pPr>
            <w:r>
              <w:rPr>
                <w:rFonts w:cs="Times New Roman"/>
              </w:rPr>
              <w:t xml:space="preserve">高支模安全监测 </w:t>
            </w:r>
          </w:p>
        </w:tc>
        <w:tc>
          <w:tcPr>
            <w:tcW w:w="5228" w:type="dxa"/>
            <w:tcBorders>
              <w:top w:val="single" w:color="000000" w:sz="4" w:space="0"/>
              <w:left w:val="single" w:color="000000" w:sz="4" w:space="0"/>
              <w:bottom w:val="single" w:color="000000" w:sz="4" w:space="0"/>
              <w:right w:val="single" w:color="000000" w:sz="4" w:space="0"/>
            </w:tcBorders>
            <w:vAlign w:val="center"/>
          </w:tcPr>
          <w:p w14:paraId="55BBC873">
            <w:pPr>
              <w:pStyle w:val="71"/>
              <w:spacing w:before="24" w:after="24"/>
              <w:jc w:val="both"/>
              <w:rPr>
                <w:rFonts w:cs="Times New Roman"/>
              </w:rPr>
            </w:pPr>
            <w:r>
              <w:rPr>
                <w:rFonts w:cs="Times New Roman"/>
              </w:rPr>
              <w:t xml:space="preserve">利用传感器，实现实时监测混凝土浇筑过程中高支模系统的轴压位移、倾斜等变化情况，若超过预警值后，现场语音报警提示并进行异常告警推送 </w:t>
            </w:r>
          </w:p>
        </w:tc>
        <w:tc>
          <w:tcPr>
            <w:tcW w:w="1134" w:type="dxa"/>
            <w:tcBorders>
              <w:top w:val="single" w:color="000000" w:sz="4" w:space="0"/>
              <w:left w:val="single" w:color="000000" w:sz="4" w:space="0"/>
              <w:bottom w:val="single" w:color="000000" w:sz="4" w:space="0"/>
            </w:tcBorders>
            <w:vAlign w:val="center"/>
          </w:tcPr>
          <w:p w14:paraId="2005B7B3">
            <w:pPr>
              <w:pStyle w:val="71"/>
              <w:spacing w:before="24" w:after="24"/>
              <w:rPr>
                <w:rFonts w:cs="Times New Roman"/>
              </w:rPr>
            </w:pPr>
            <w:r>
              <w:rPr>
                <w:rFonts w:cs="Times New Roman"/>
              </w:rPr>
              <w:t>、</w:t>
            </w:r>
            <w:r>
              <w:rPr>
                <w:rFonts w:ascii="Cambria Math" w:hAnsi="Cambria Math" w:cs="Cambria Math"/>
              </w:rPr>
              <w:t>△</w:t>
            </w:r>
            <w:r>
              <w:rPr>
                <w:rFonts w:cs="Times New Roman"/>
              </w:rPr>
              <w:t xml:space="preserve"> </w:t>
            </w:r>
          </w:p>
        </w:tc>
      </w:tr>
      <w:tr w14:paraId="32F7A1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36" w:hRule="atLeast"/>
        </w:trPr>
        <w:tc>
          <w:tcPr>
            <w:tcW w:w="700" w:type="dxa"/>
            <w:tcBorders>
              <w:top w:val="single" w:color="000000" w:sz="4" w:space="0"/>
              <w:bottom w:val="single" w:color="000000" w:sz="4" w:space="0"/>
              <w:right w:val="single" w:color="auto" w:sz="4" w:space="0"/>
            </w:tcBorders>
            <w:vAlign w:val="center"/>
          </w:tcPr>
          <w:p w14:paraId="3E7B6691">
            <w:pPr>
              <w:pStyle w:val="71"/>
              <w:spacing w:before="24" w:after="24"/>
              <w:rPr>
                <w:rFonts w:cs="Times New Roman"/>
              </w:rPr>
            </w:pPr>
            <w:r>
              <w:rPr>
                <w:rFonts w:cs="Times New Roman"/>
              </w:rPr>
              <w:t>11</w:t>
            </w:r>
          </w:p>
        </w:tc>
        <w:tc>
          <w:tcPr>
            <w:tcW w:w="960" w:type="dxa"/>
            <w:vMerge w:val="restart"/>
            <w:tcBorders>
              <w:top w:val="single" w:color="auto" w:sz="4" w:space="0"/>
              <w:left w:val="single" w:color="auto" w:sz="4" w:space="0"/>
              <w:bottom w:val="single" w:color="auto" w:sz="4" w:space="0"/>
              <w:right w:val="single" w:color="auto" w:sz="4" w:space="0"/>
            </w:tcBorders>
            <w:vAlign w:val="center"/>
          </w:tcPr>
          <w:p w14:paraId="1F1A9FAB">
            <w:pPr>
              <w:pStyle w:val="71"/>
              <w:spacing w:before="24" w:after="24"/>
              <w:rPr>
                <w:rFonts w:cs="Times New Roman"/>
              </w:rPr>
            </w:pPr>
            <w:r>
              <w:rPr>
                <w:rFonts w:cs="Times New Roman"/>
              </w:rPr>
              <w:t>有限空间有毒有害气体及浓烟明火监</w:t>
            </w:r>
          </w:p>
          <w:p w14:paraId="5B6C388A">
            <w:pPr>
              <w:pStyle w:val="71"/>
              <w:spacing w:before="24" w:after="24"/>
              <w:rPr>
                <w:rFonts w:cs="Times New Roman"/>
              </w:rPr>
            </w:pPr>
            <w:r>
              <w:rPr>
                <w:rFonts w:cs="Times New Roman"/>
              </w:rPr>
              <w:t xml:space="preserve">测 </w:t>
            </w:r>
          </w:p>
        </w:tc>
        <w:tc>
          <w:tcPr>
            <w:tcW w:w="1040" w:type="dxa"/>
            <w:tcBorders>
              <w:top w:val="single" w:color="000000" w:sz="4" w:space="0"/>
              <w:left w:val="single" w:color="auto" w:sz="4" w:space="0"/>
              <w:bottom w:val="single" w:color="000000" w:sz="4" w:space="0"/>
              <w:right w:val="single" w:color="000000" w:sz="4" w:space="0"/>
            </w:tcBorders>
            <w:vAlign w:val="center"/>
          </w:tcPr>
          <w:p w14:paraId="61C1E2AB">
            <w:pPr>
              <w:pStyle w:val="71"/>
              <w:spacing w:before="24" w:after="24"/>
              <w:rPr>
                <w:rFonts w:cs="Times New Roman"/>
              </w:rPr>
            </w:pPr>
            <w:r>
              <w:rPr>
                <w:rFonts w:cs="Times New Roman"/>
              </w:rPr>
              <w:t>有限空间有毒有害气体</w:t>
            </w:r>
          </w:p>
          <w:p w14:paraId="6621A079">
            <w:pPr>
              <w:pStyle w:val="71"/>
              <w:spacing w:before="24" w:after="24"/>
              <w:rPr>
                <w:rFonts w:cs="Times New Roman"/>
              </w:rPr>
            </w:pPr>
            <w:r>
              <w:rPr>
                <w:rFonts w:cs="Times New Roman"/>
              </w:rPr>
              <w:t xml:space="preserve">监测 </w:t>
            </w:r>
          </w:p>
        </w:tc>
        <w:tc>
          <w:tcPr>
            <w:tcW w:w="5228" w:type="dxa"/>
            <w:tcBorders>
              <w:top w:val="single" w:color="000000" w:sz="4" w:space="0"/>
              <w:left w:val="single" w:color="000000" w:sz="4" w:space="0"/>
              <w:bottom w:val="single" w:color="000000" w:sz="4" w:space="0"/>
              <w:right w:val="single" w:color="000000" w:sz="4" w:space="0"/>
            </w:tcBorders>
            <w:vAlign w:val="center"/>
          </w:tcPr>
          <w:p w14:paraId="33162071">
            <w:pPr>
              <w:pStyle w:val="71"/>
              <w:spacing w:before="24" w:after="24"/>
              <w:jc w:val="both"/>
              <w:rPr>
                <w:rFonts w:cs="Times New Roman"/>
              </w:rPr>
            </w:pPr>
            <w:r>
              <w:rPr>
                <w:rFonts w:cs="Times New Roman"/>
              </w:rPr>
              <w:t xml:space="preserve">通过传感器设备监测有限空间内有毒有害气体并预警 </w:t>
            </w:r>
          </w:p>
        </w:tc>
        <w:tc>
          <w:tcPr>
            <w:tcW w:w="1134" w:type="dxa"/>
            <w:tcBorders>
              <w:top w:val="single" w:color="000000" w:sz="4" w:space="0"/>
              <w:left w:val="single" w:color="000000" w:sz="4" w:space="0"/>
              <w:bottom w:val="single" w:color="000000" w:sz="4" w:space="0"/>
            </w:tcBorders>
            <w:vAlign w:val="center"/>
          </w:tcPr>
          <w:p w14:paraId="72E76AC3">
            <w:pPr>
              <w:pStyle w:val="71"/>
              <w:spacing w:before="24" w:after="24"/>
              <w:rPr>
                <w:rFonts w:cs="Times New Roman"/>
              </w:rPr>
            </w:pPr>
            <w:r>
              <w:rPr>
                <w:rFonts w:cs="Times New Roman"/>
              </w:rPr>
              <w:t>□</w:t>
            </w:r>
          </w:p>
        </w:tc>
      </w:tr>
      <w:tr w14:paraId="61822C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36" w:hRule="atLeast"/>
        </w:trPr>
        <w:tc>
          <w:tcPr>
            <w:tcW w:w="700" w:type="dxa"/>
            <w:tcBorders>
              <w:top w:val="single" w:color="000000" w:sz="4" w:space="0"/>
              <w:bottom w:val="single" w:color="000000" w:sz="4" w:space="0"/>
              <w:right w:val="single" w:color="auto" w:sz="4" w:space="0"/>
            </w:tcBorders>
            <w:vAlign w:val="center"/>
          </w:tcPr>
          <w:p w14:paraId="60F2933B">
            <w:pPr>
              <w:pStyle w:val="71"/>
              <w:spacing w:before="24" w:after="24"/>
              <w:rPr>
                <w:rFonts w:cs="Times New Roman"/>
              </w:rPr>
            </w:pPr>
            <w:r>
              <w:rPr>
                <w:rFonts w:cs="Times New Roman"/>
              </w:rPr>
              <w:t xml:space="preserve">12 </w:t>
            </w:r>
          </w:p>
        </w:tc>
        <w:tc>
          <w:tcPr>
            <w:tcW w:w="960" w:type="dxa"/>
            <w:vMerge w:val="continue"/>
            <w:tcBorders>
              <w:top w:val="single" w:color="auto" w:sz="4" w:space="0"/>
              <w:left w:val="single" w:color="auto" w:sz="4" w:space="0"/>
              <w:bottom w:val="single" w:color="auto" w:sz="4" w:space="0"/>
              <w:right w:val="single" w:color="auto" w:sz="4" w:space="0"/>
            </w:tcBorders>
            <w:vAlign w:val="center"/>
          </w:tcPr>
          <w:p w14:paraId="55071CFE">
            <w:pPr>
              <w:pStyle w:val="71"/>
              <w:spacing w:before="24" w:after="24"/>
              <w:rPr>
                <w:rFonts w:cs="Times New Roman"/>
              </w:rPr>
            </w:pPr>
          </w:p>
        </w:tc>
        <w:tc>
          <w:tcPr>
            <w:tcW w:w="1040" w:type="dxa"/>
            <w:tcBorders>
              <w:top w:val="single" w:color="000000" w:sz="4" w:space="0"/>
              <w:left w:val="single" w:color="auto" w:sz="4" w:space="0"/>
              <w:bottom w:val="single" w:color="000000" w:sz="4" w:space="0"/>
              <w:right w:val="single" w:color="000000" w:sz="4" w:space="0"/>
            </w:tcBorders>
            <w:vAlign w:val="center"/>
          </w:tcPr>
          <w:p w14:paraId="0CF01EF5">
            <w:pPr>
              <w:pStyle w:val="71"/>
              <w:spacing w:before="24" w:after="24"/>
              <w:rPr>
                <w:rFonts w:cs="Times New Roman"/>
              </w:rPr>
            </w:pPr>
            <w:r>
              <w:rPr>
                <w:rFonts w:cs="Times New Roman"/>
              </w:rPr>
              <w:t>浓烟明火监</w:t>
            </w:r>
          </w:p>
          <w:p w14:paraId="72E058F2">
            <w:pPr>
              <w:pStyle w:val="71"/>
              <w:spacing w:before="24" w:after="24"/>
              <w:rPr>
                <w:rFonts w:cs="Times New Roman"/>
              </w:rPr>
            </w:pPr>
            <w:r>
              <w:rPr>
                <w:rFonts w:cs="Times New Roman"/>
              </w:rPr>
              <w:t xml:space="preserve">测 </w:t>
            </w:r>
          </w:p>
        </w:tc>
        <w:tc>
          <w:tcPr>
            <w:tcW w:w="5228" w:type="dxa"/>
            <w:tcBorders>
              <w:top w:val="single" w:color="000000" w:sz="4" w:space="0"/>
              <w:left w:val="single" w:color="000000" w:sz="4" w:space="0"/>
              <w:bottom w:val="single" w:color="000000" w:sz="4" w:space="0"/>
              <w:right w:val="single" w:color="000000" w:sz="4" w:space="0"/>
            </w:tcBorders>
            <w:vAlign w:val="center"/>
          </w:tcPr>
          <w:p w14:paraId="23C121BE">
            <w:pPr>
              <w:pStyle w:val="71"/>
              <w:spacing w:before="24" w:after="24"/>
              <w:jc w:val="both"/>
              <w:rPr>
                <w:rFonts w:cs="Times New Roman"/>
              </w:rPr>
            </w:pPr>
            <w:r>
              <w:rPr>
                <w:rFonts w:cs="Times New Roman"/>
              </w:rPr>
              <w:t xml:space="preserve">通过智能化设备如烟感探测器、监控摄像机实时监测区域内日常消防安全状况，若发现大量烟雾，立即报警，避免引发火灾 </w:t>
            </w:r>
          </w:p>
        </w:tc>
        <w:tc>
          <w:tcPr>
            <w:tcW w:w="1134" w:type="dxa"/>
            <w:tcBorders>
              <w:top w:val="single" w:color="000000" w:sz="4" w:space="0"/>
              <w:left w:val="single" w:color="000000" w:sz="4" w:space="0"/>
              <w:bottom w:val="single" w:color="000000" w:sz="4" w:space="0"/>
            </w:tcBorders>
            <w:vAlign w:val="center"/>
          </w:tcPr>
          <w:p w14:paraId="43384A2B">
            <w:pPr>
              <w:pStyle w:val="71"/>
              <w:spacing w:before="24" w:after="24"/>
              <w:jc w:val="both"/>
              <w:rPr>
                <w:rFonts w:cs="Times New Roman"/>
              </w:rPr>
            </w:pPr>
            <w:r>
              <w:rPr>
                <w:rFonts w:ascii="Cambria Math" w:hAnsi="Cambria Math" w:cs="Cambria Math"/>
              </w:rPr>
              <w:t>△</w:t>
            </w:r>
          </w:p>
        </w:tc>
      </w:tr>
      <w:tr w14:paraId="5406D7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36" w:hRule="atLeast"/>
        </w:trPr>
        <w:tc>
          <w:tcPr>
            <w:tcW w:w="700" w:type="dxa"/>
            <w:tcBorders>
              <w:top w:val="single" w:color="000000" w:sz="4" w:space="0"/>
              <w:bottom w:val="single" w:color="000000" w:sz="4" w:space="0"/>
              <w:right w:val="single" w:color="auto" w:sz="4" w:space="0"/>
            </w:tcBorders>
            <w:vAlign w:val="center"/>
          </w:tcPr>
          <w:p w14:paraId="59FCFAB4">
            <w:pPr>
              <w:pStyle w:val="71"/>
              <w:spacing w:before="24" w:after="24"/>
              <w:rPr>
                <w:rFonts w:cs="Times New Roman"/>
              </w:rPr>
            </w:pPr>
            <w:r>
              <w:rPr>
                <w:rFonts w:cs="Times New Roman"/>
              </w:rPr>
              <w:t xml:space="preserve">13 </w:t>
            </w:r>
          </w:p>
        </w:tc>
        <w:tc>
          <w:tcPr>
            <w:tcW w:w="960" w:type="dxa"/>
            <w:tcBorders>
              <w:top w:val="single" w:color="auto" w:sz="4" w:space="0"/>
              <w:left w:val="single" w:color="auto" w:sz="4" w:space="0"/>
              <w:bottom w:val="single" w:color="auto" w:sz="4" w:space="0"/>
              <w:right w:val="single" w:color="auto" w:sz="4" w:space="0"/>
            </w:tcBorders>
            <w:vAlign w:val="center"/>
          </w:tcPr>
          <w:p w14:paraId="592AA381">
            <w:pPr>
              <w:pStyle w:val="71"/>
              <w:spacing w:before="24" w:after="24"/>
              <w:rPr>
                <w:rFonts w:cs="Times New Roman"/>
              </w:rPr>
            </w:pPr>
            <w:r>
              <w:rPr>
                <w:rFonts w:cs="Times New Roman"/>
              </w:rPr>
              <w:t>乱堆物料</w:t>
            </w:r>
          </w:p>
          <w:p w14:paraId="53CF7D14">
            <w:pPr>
              <w:pStyle w:val="71"/>
              <w:spacing w:before="24" w:after="24"/>
              <w:rPr>
                <w:rFonts w:cs="Times New Roman"/>
              </w:rPr>
            </w:pPr>
            <w:r>
              <w:rPr>
                <w:rFonts w:cs="Times New Roman"/>
              </w:rPr>
              <w:t xml:space="preserve">平台监测 </w:t>
            </w:r>
          </w:p>
        </w:tc>
        <w:tc>
          <w:tcPr>
            <w:tcW w:w="1040" w:type="dxa"/>
            <w:tcBorders>
              <w:top w:val="single" w:color="000000" w:sz="4" w:space="0"/>
              <w:left w:val="single" w:color="auto" w:sz="4" w:space="0"/>
              <w:bottom w:val="single" w:color="000000" w:sz="4" w:space="0"/>
              <w:right w:val="single" w:color="000000" w:sz="4" w:space="0"/>
            </w:tcBorders>
            <w:vAlign w:val="center"/>
          </w:tcPr>
          <w:p w14:paraId="59FE53B6">
            <w:pPr>
              <w:pStyle w:val="71"/>
              <w:spacing w:before="24" w:after="24"/>
              <w:rPr>
                <w:rFonts w:cs="Times New Roman"/>
              </w:rPr>
            </w:pPr>
            <w:r>
              <w:rPr>
                <w:rFonts w:cs="Times New Roman"/>
              </w:rPr>
              <w:t>乱堆物料监</w:t>
            </w:r>
          </w:p>
          <w:p w14:paraId="0CDE5918">
            <w:pPr>
              <w:pStyle w:val="71"/>
              <w:spacing w:before="24" w:after="24"/>
              <w:rPr>
                <w:rFonts w:cs="Times New Roman"/>
              </w:rPr>
            </w:pPr>
            <w:r>
              <w:rPr>
                <w:rFonts w:cs="Times New Roman"/>
              </w:rPr>
              <w:t xml:space="preserve">测 </w:t>
            </w:r>
          </w:p>
        </w:tc>
        <w:tc>
          <w:tcPr>
            <w:tcW w:w="5228" w:type="dxa"/>
            <w:tcBorders>
              <w:top w:val="single" w:color="000000" w:sz="4" w:space="0"/>
              <w:left w:val="single" w:color="000000" w:sz="4" w:space="0"/>
              <w:bottom w:val="single" w:color="000000" w:sz="4" w:space="0"/>
              <w:right w:val="single" w:color="000000" w:sz="4" w:space="0"/>
            </w:tcBorders>
            <w:vAlign w:val="center"/>
          </w:tcPr>
          <w:p w14:paraId="490C9761">
            <w:pPr>
              <w:pStyle w:val="71"/>
              <w:spacing w:before="24" w:after="24"/>
              <w:jc w:val="both"/>
              <w:rPr>
                <w:rFonts w:cs="Times New Roman"/>
              </w:rPr>
            </w:pPr>
            <w:r>
              <w:rPr>
                <w:rFonts w:cs="Times New Roman"/>
              </w:rPr>
              <w:t xml:space="preserve">对区域内物料的乱堆放行为进行监测并预警 </w:t>
            </w:r>
          </w:p>
        </w:tc>
        <w:tc>
          <w:tcPr>
            <w:tcW w:w="1134" w:type="dxa"/>
            <w:tcBorders>
              <w:top w:val="single" w:color="000000" w:sz="4" w:space="0"/>
              <w:left w:val="single" w:color="000000" w:sz="4" w:space="0"/>
              <w:bottom w:val="single" w:color="000000" w:sz="4" w:space="0"/>
            </w:tcBorders>
            <w:vAlign w:val="center"/>
          </w:tcPr>
          <w:p w14:paraId="03183DC8">
            <w:pPr>
              <w:pStyle w:val="71"/>
              <w:spacing w:before="24" w:after="24"/>
              <w:jc w:val="both"/>
              <w:rPr>
                <w:rFonts w:cs="Times New Roman"/>
              </w:rPr>
            </w:pPr>
            <w:r>
              <w:rPr>
                <w:rFonts w:ascii="Cambria Math" w:hAnsi="Cambria Math" w:cs="Cambria Math"/>
              </w:rPr>
              <w:t>△</w:t>
            </w:r>
            <w:r>
              <w:rPr>
                <w:rFonts w:cs="Times New Roman"/>
              </w:rPr>
              <w:t xml:space="preserve"> </w:t>
            </w:r>
          </w:p>
        </w:tc>
      </w:tr>
      <w:tr w14:paraId="3FB27C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36" w:hRule="atLeast"/>
        </w:trPr>
        <w:tc>
          <w:tcPr>
            <w:tcW w:w="700" w:type="dxa"/>
            <w:tcBorders>
              <w:top w:val="single" w:color="000000" w:sz="4" w:space="0"/>
              <w:bottom w:val="single" w:color="000000" w:sz="4" w:space="0"/>
              <w:right w:val="single" w:color="auto" w:sz="4" w:space="0"/>
            </w:tcBorders>
            <w:vAlign w:val="center"/>
          </w:tcPr>
          <w:p w14:paraId="25846705">
            <w:pPr>
              <w:pStyle w:val="71"/>
              <w:spacing w:before="24" w:after="24"/>
              <w:rPr>
                <w:rFonts w:cs="Times New Roman"/>
              </w:rPr>
            </w:pPr>
            <w:r>
              <w:rPr>
                <w:rFonts w:cs="Times New Roman"/>
              </w:rPr>
              <w:t>14</w:t>
            </w:r>
          </w:p>
        </w:tc>
        <w:tc>
          <w:tcPr>
            <w:tcW w:w="960" w:type="dxa"/>
            <w:tcBorders>
              <w:top w:val="single" w:color="auto" w:sz="4" w:space="0"/>
              <w:left w:val="single" w:color="auto" w:sz="4" w:space="0"/>
              <w:bottom w:val="single" w:color="auto" w:sz="4" w:space="0"/>
              <w:right w:val="single" w:color="auto" w:sz="4" w:space="0"/>
            </w:tcBorders>
            <w:vAlign w:val="center"/>
          </w:tcPr>
          <w:p w14:paraId="6370E82E">
            <w:pPr>
              <w:pStyle w:val="71"/>
              <w:spacing w:before="24" w:after="24"/>
              <w:rPr>
                <w:rFonts w:cs="Times New Roman"/>
              </w:rPr>
            </w:pPr>
            <w:r>
              <w:rPr>
                <w:rFonts w:cs="Times New Roman"/>
              </w:rPr>
              <w:t>临边防护</w:t>
            </w:r>
          </w:p>
          <w:p w14:paraId="7D8823D8">
            <w:pPr>
              <w:pStyle w:val="71"/>
              <w:spacing w:before="24" w:after="24"/>
              <w:rPr>
                <w:rFonts w:cs="Times New Roman"/>
              </w:rPr>
            </w:pPr>
            <w:r>
              <w:rPr>
                <w:rFonts w:cs="Times New Roman"/>
              </w:rPr>
              <w:t xml:space="preserve">监测 </w:t>
            </w:r>
          </w:p>
        </w:tc>
        <w:tc>
          <w:tcPr>
            <w:tcW w:w="1040" w:type="dxa"/>
            <w:tcBorders>
              <w:top w:val="single" w:color="000000" w:sz="4" w:space="0"/>
              <w:left w:val="single" w:color="auto" w:sz="4" w:space="0"/>
              <w:bottom w:val="single" w:color="000000" w:sz="4" w:space="0"/>
              <w:right w:val="single" w:color="000000" w:sz="4" w:space="0"/>
            </w:tcBorders>
            <w:vAlign w:val="center"/>
          </w:tcPr>
          <w:p w14:paraId="6AD40E53">
            <w:pPr>
              <w:pStyle w:val="71"/>
              <w:spacing w:before="24" w:after="24"/>
              <w:rPr>
                <w:rFonts w:cs="Times New Roman"/>
              </w:rPr>
            </w:pPr>
            <w:r>
              <w:rPr>
                <w:rFonts w:cs="Times New Roman"/>
              </w:rPr>
              <w:t>临边防护监</w:t>
            </w:r>
          </w:p>
          <w:p w14:paraId="643685E7">
            <w:pPr>
              <w:pStyle w:val="71"/>
              <w:spacing w:before="24" w:after="24"/>
              <w:rPr>
                <w:rFonts w:cs="Times New Roman"/>
              </w:rPr>
            </w:pPr>
            <w:r>
              <w:rPr>
                <w:rFonts w:cs="Times New Roman"/>
              </w:rPr>
              <w:t xml:space="preserve">测 </w:t>
            </w:r>
          </w:p>
        </w:tc>
        <w:tc>
          <w:tcPr>
            <w:tcW w:w="5228" w:type="dxa"/>
            <w:tcBorders>
              <w:top w:val="single" w:color="000000" w:sz="4" w:space="0"/>
              <w:left w:val="single" w:color="000000" w:sz="4" w:space="0"/>
              <w:bottom w:val="single" w:color="000000" w:sz="4" w:space="0"/>
              <w:right w:val="single" w:color="000000" w:sz="4" w:space="0"/>
            </w:tcBorders>
            <w:vAlign w:val="center"/>
          </w:tcPr>
          <w:p w14:paraId="1ABBE395">
            <w:pPr>
              <w:pStyle w:val="71"/>
              <w:spacing w:before="24" w:after="24"/>
              <w:jc w:val="both"/>
              <w:rPr>
                <w:rFonts w:cs="Times New Roman"/>
              </w:rPr>
            </w:pPr>
            <w:r>
              <w:rPr>
                <w:rFonts w:cs="Times New Roman"/>
              </w:rPr>
              <w:t xml:space="preserve">通过智能化设备，实时监测施工现场临边防护网状态，若出现破坏，进行异常告警推送 </w:t>
            </w:r>
          </w:p>
        </w:tc>
        <w:tc>
          <w:tcPr>
            <w:tcW w:w="1134" w:type="dxa"/>
            <w:tcBorders>
              <w:top w:val="single" w:color="000000" w:sz="4" w:space="0"/>
              <w:left w:val="single" w:color="000000" w:sz="4" w:space="0"/>
              <w:bottom w:val="single" w:color="000000" w:sz="4" w:space="0"/>
            </w:tcBorders>
            <w:vAlign w:val="center"/>
          </w:tcPr>
          <w:p w14:paraId="35169DDA">
            <w:pPr>
              <w:pStyle w:val="71"/>
              <w:spacing w:before="24" w:after="24"/>
              <w:jc w:val="both"/>
              <w:rPr>
                <w:rFonts w:cs="Times New Roman"/>
              </w:rPr>
            </w:pPr>
            <w:r>
              <w:rPr>
                <w:rFonts w:ascii="Cambria Math" w:hAnsi="Cambria Math" w:cs="Cambria Math"/>
              </w:rPr>
              <w:t>△</w:t>
            </w:r>
            <w:r>
              <w:rPr>
                <w:rFonts w:cs="Times New Roman"/>
              </w:rPr>
              <w:t xml:space="preserve"> </w:t>
            </w:r>
          </w:p>
        </w:tc>
      </w:tr>
      <w:tr w14:paraId="498390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36" w:hRule="atLeast"/>
        </w:trPr>
        <w:tc>
          <w:tcPr>
            <w:tcW w:w="700" w:type="dxa"/>
            <w:tcBorders>
              <w:top w:val="single" w:color="000000" w:sz="4" w:space="0"/>
              <w:bottom w:val="single" w:color="000000" w:sz="4" w:space="0"/>
              <w:right w:val="single" w:color="000000" w:sz="4" w:space="0"/>
            </w:tcBorders>
            <w:vAlign w:val="center"/>
          </w:tcPr>
          <w:p w14:paraId="3D4DDFFB">
            <w:pPr>
              <w:pStyle w:val="71"/>
              <w:spacing w:before="24" w:after="24"/>
              <w:rPr>
                <w:rFonts w:cs="Times New Roman"/>
              </w:rPr>
            </w:pPr>
            <w:r>
              <w:rPr>
                <w:rFonts w:cs="Times New Roman"/>
              </w:rPr>
              <w:t>15</w:t>
            </w:r>
          </w:p>
        </w:tc>
        <w:tc>
          <w:tcPr>
            <w:tcW w:w="960" w:type="dxa"/>
            <w:tcBorders>
              <w:top w:val="single" w:color="auto" w:sz="4" w:space="0"/>
              <w:left w:val="single" w:color="000000" w:sz="4" w:space="0"/>
              <w:bottom w:val="nil"/>
              <w:right w:val="single" w:color="000000" w:sz="4" w:space="0"/>
            </w:tcBorders>
            <w:vAlign w:val="center"/>
          </w:tcPr>
          <w:p w14:paraId="6F96712E">
            <w:pPr>
              <w:pStyle w:val="71"/>
              <w:spacing w:before="24" w:after="24"/>
              <w:rPr>
                <w:rFonts w:cs="Times New Roman"/>
              </w:rPr>
            </w:pPr>
          </w:p>
          <w:p w14:paraId="7980D91C">
            <w:pPr>
              <w:pStyle w:val="71"/>
              <w:spacing w:before="24" w:after="24"/>
              <w:rPr>
                <w:rFonts w:cs="Times New Roman"/>
              </w:rPr>
            </w:pPr>
            <w:r>
              <w:rPr>
                <w:rFonts w:cs="Times New Roman"/>
              </w:rPr>
              <w:t xml:space="preserve">智能广播 </w:t>
            </w:r>
          </w:p>
        </w:tc>
        <w:tc>
          <w:tcPr>
            <w:tcW w:w="1040" w:type="dxa"/>
            <w:tcBorders>
              <w:top w:val="single" w:color="000000" w:sz="4" w:space="0"/>
              <w:left w:val="single" w:color="000000" w:sz="4" w:space="0"/>
              <w:bottom w:val="single" w:color="000000" w:sz="4" w:space="0"/>
              <w:right w:val="single" w:color="000000" w:sz="4" w:space="0"/>
            </w:tcBorders>
            <w:vAlign w:val="center"/>
          </w:tcPr>
          <w:p w14:paraId="5F15FA7C">
            <w:pPr>
              <w:pStyle w:val="71"/>
              <w:spacing w:before="24" w:after="24"/>
              <w:rPr>
                <w:rFonts w:cs="Times New Roman"/>
              </w:rPr>
            </w:pPr>
          </w:p>
          <w:p w14:paraId="693755DD">
            <w:pPr>
              <w:pStyle w:val="71"/>
              <w:spacing w:before="24" w:after="24"/>
              <w:rPr>
                <w:rFonts w:cs="Times New Roman"/>
              </w:rPr>
            </w:pPr>
            <w:r>
              <w:rPr>
                <w:rFonts w:cs="Times New Roman"/>
              </w:rPr>
              <w:t xml:space="preserve">智能广播 </w:t>
            </w:r>
          </w:p>
        </w:tc>
        <w:tc>
          <w:tcPr>
            <w:tcW w:w="5228" w:type="dxa"/>
            <w:tcBorders>
              <w:top w:val="single" w:color="000000" w:sz="4" w:space="0"/>
              <w:left w:val="single" w:color="000000" w:sz="4" w:space="0"/>
              <w:bottom w:val="single" w:color="000000" w:sz="4" w:space="0"/>
              <w:right w:val="single" w:color="000000" w:sz="4" w:space="0"/>
            </w:tcBorders>
            <w:vAlign w:val="center"/>
          </w:tcPr>
          <w:p w14:paraId="0AE5F1EE">
            <w:pPr>
              <w:pStyle w:val="71"/>
              <w:spacing w:before="24" w:after="24"/>
              <w:jc w:val="both"/>
              <w:rPr>
                <w:rFonts w:cs="Times New Roman"/>
              </w:rPr>
            </w:pPr>
            <w:r>
              <w:rPr>
                <w:rFonts w:cs="Times New Roman"/>
              </w:rPr>
              <w:t xml:space="preserve">通过智能广播为工地提供信息广播功能，并对工地现场违纪违规行为进行远程喊话告警 </w:t>
            </w:r>
          </w:p>
        </w:tc>
        <w:tc>
          <w:tcPr>
            <w:tcW w:w="1134" w:type="dxa"/>
            <w:tcBorders>
              <w:top w:val="single" w:color="000000" w:sz="4" w:space="0"/>
              <w:left w:val="single" w:color="000000" w:sz="4" w:space="0"/>
              <w:bottom w:val="single" w:color="000000" w:sz="4" w:space="0"/>
            </w:tcBorders>
            <w:vAlign w:val="center"/>
          </w:tcPr>
          <w:p w14:paraId="327EE77E">
            <w:pPr>
              <w:pStyle w:val="71"/>
              <w:spacing w:before="24" w:after="24"/>
              <w:jc w:val="both"/>
              <w:rPr>
                <w:rFonts w:cs="Times New Roman"/>
              </w:rPr>
            </w:pPr>
            <w:r>
              <w:rPr>
                <w:rFonts w:ascii="Cambria Math" w:hAnsi="Cambria Math" w:cs="Cambria Math"/>
              </w:rPr>
              <w:t>△</w:t>
            </w:r>
            <w:r>
              <w:rPr>
                <w:rFonts w:cs="Times New Roman"/>
              </w:rPr>
              <w:t xml:space="preserve"> </w:t>
            </w:r>
          </w:p>
        </w:tc>
      </w:tr>
      <w:tr w14:paraId="0F91F9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36" w:hRule="atLeast"/>
        </w:trPr>
        <w:tc>
          <w:tcPr>
            <w:tcW w:w="9062" w:type="dxa"/>
            <w:gridSpan w:val="5"/>
            <w:tcBorders>
              <w:top w:val="single" w:color="000000" w:sz="4" w:space="0"/>
            </w:tcBorders>
            <w:vAlign w:val="center"/>
          </w:tcPr>
          <w:p w14:paraId="57572C57">
            <w:pPr>
              <w:pStyle w:val="71"/>
              <w:spacing w:before="24" w:after="24"/>
              <w:jc w:val="both"/>
              <w:rPr>
                <w:rFonts w:cs="Times New Roman"/>
              </w:rPr>
            </w:pPr>
            <w:r>
              <w:rPr>
                <w:rFonts w:cs="Times New Roman"/>
              </w:rPr>
              <w:t>注1：√-必选项；</w:t>
            </w:r>
            <w:r>
              <w:rPr>
                <w:rFonts w:ascii="Cambria Math" w:hAnsi="Cambria Math" w:cs="Cambria Math"/>
              </w:rPr>
              <w:t>△</w:t>
            </w:r>
            <w:r>
              <w:rPr>
                <w:rFonts w:cs="Times New Roman"/>
              </w:rPr>
              <w:t xml:space="preserve">-可选项。 </w:t>
            </w:r>
          </w:p>
          <w:p w14:paraId="464CE8F6">
            <w:pPr>
              <w:pStyle w:val="71"/>
              <w:spacing w:before="24" w:after="24"/>
              <w:jc w:val="both"/>
              <w:rPr>
                <w:rFonts w:cs="Times New Roman"/>
              </w:rPr>
            </w:pPr>
            <w:r>
              <w:rPr>
                <w:rFonts w:cs="Times New Roman"/>
              </w:rPr>
              <w:t xml:space="preserve">注2：□-有限空间施工作业工地为必选项，其他工地为可选项。 </w:t>
            </w:r>
          </w:p>
        </w:tc>
      </w:tr>
    </w:tbl>
    <w:p w14:paraId="6E23AF7E">
      <w:pPr>
        <w:pStyle w:val="54"/>
        <w:spacing w:before="24" w:after="24"/>
      </w:pPr>
      <w:r>
        <w:rPr>
          <w:lang w:bidi="en-US"/>
        </w:rPr>
        <w:t>4</w:t>
      </w:r>
      <w:r>
        <w:rPr>
          <w:lang w:eastAsia="en-US" w:bidi="en-US"/>
        </w:rPr>
        <w:t>.2.</w:t>
      </w:r>
      <w:r>
        <w:rPr>
          <w:lang w:bidi="en-US"/>
        </w:rPr>
        <w:t>2安全防范</w:t>
      </w:r>
    </w:p>
    <w:p w14:paraId="6A107293">
      <w:pPr>
        <w:pStyle w:val="54"/>
        <w:spacing w:before="24" w:after="24"/>
      </w:pPr>
      <w:r>
        <w:rPr>
          <w:lang w:bidi="en-US"/>
        </w:rPr>
        <w:t>4</w:t>
      </w:r>
      <w:r>
        <w:rPr>
          <w:lang w:eastAsia="en-US" w:bidi="en-US"/>
        </w:rPr>
        <w:t>.</w:t>
      </w:r>
      <w:r>
        <w:rPr>
          <w:lang w:bidi="en-US"/>
        </w:rPr>
        <w:t>2</w:t>
      </w:r>
      <w:r>
        <w:rPr>
          <w:lang w:eastAsia="en-US" w:bidi="en-US"/>
        </w:rPr>
        <w:t>.2.</w:t>
      </w:r>
      <w:r>
        <w:rPr>
          <w:lang w:bidi="en-US"/>
        </w:rPr>
        <w:t>1</w:t>
      </w:r>
      <w:r>
        <w:rPr>
          <w:lang w:eastAsia="en-US" w:bidi="en-US"/>
        </w:rPr>
        <w:t>安全</w:t>
      </w:r>
      <w:r>
        <w:rPr>
          <w:lang w:bidi="en-US"/>
        </w:rPr>
        <w:t>教育</w:t>
      </w:r>
    </w:p>
    <w:p w14:paraId="140870B5">
      <w:pPr>
        <w:pStyle w:val="54"/>
        <w:spacing w:before="24" w:after="24"/>
      </w:pPr>
      <w:r>
        <w:rPr>
          <w:lang w:bidi="en-US"/>
        </w:rPr>
        <w:t>（1）功能要求</w:t>
      </w:r>
    </w:p>
    <w:p w14:paraId="22D89A89">
      <w:pPr>
        <w:pStyle w:val="54"/>
        <w:spacing w:before="24" w:after="24"/>
      </w:pPr>
      <w:r>
        <w:rPr>
          <w:lang w:bidi="en-US"/>
        </w:rPr>
        <w:t>1）应建功能：</w:t>
      </w:r>
    </w:p>
    <w:p w14:paraId="6AAD37E2">
      <w:pPr>
        <w:pStyle w:val="54"/>
        <w:spacing w:before="24" w:after="24"/>
      </w:pPr>
      <w:r>
        <w:rPr>
          <w:lang w:bidi="en-US"/>
        </w:rPr>
        <w:t>a）安全教育功能：可采用培训视频、远程会议等方式进行安全培训；</w:t>
      </w:r>
    </w:p>
    <w:p w14:paraId="1245C933">
      <w:pPr>
        <w:pStyle w:val="54"/>
        <w:spacing w:before="24" w:after="24"/>
      </w:pPr>
      <w:r>
        <w:rPr>
          <w:lang w:bidi="en-US"/>
        </w:rPr>
        <w:t>b）安全教育统计报表功能：可按培训类型记录工人安全教育内容及时长，并导出统计表格；培训类型包括但不限于三级安全教育、班前例会、季节性安全教育、专项安全教育；</w:t>
      </w:r>
    </w:p>
    <w:p w14:paraId="1A4452D1">
      <w:pPr>
        <w:pStyle w:val="54"/>
        <w:spacing w:before="24" w:after="24"/>
      </w:pPr>
      <w:r>
        <w:rPr>
          <w:lang w:bidi="en-US"/>
        </w:rPr>
        <w:t>c）安全教育培训专题管理功能：专题应覆盖工程施工常见安全事故伤害类型，包括但不限于高处坠落、物体打击、火灾、机械伤害、触电、坍塌。</w:t>
      </w:r>
    </w:p>
    <w:p w14:paraId="4A29D2A0">
      <w:pPr>
        <w:pStyle w:val="54"/>
        <w:spacing w:before="24" w:after="24"/>
      </w:pPr>
      <w:r>
        <w:rPr>
          <w:lang w:bidi="en-US"/>
        </w:rPr>
        <w:t>2）宜建功能：安全事故体验功能，可在工地现场建设VR安全体验馆。</w:t>
      </w:r>
    </w:p>
    <w:p w14:paraId="41820E87">
      <w:pPr>
        <w:pStyle w:val="54"/>
        <w:spacing w:before="24" w:after="24"/>
      </w:pPr>
      <w:r>
        <w:rPr>
          <w:lang w:bidi="en-US"/>
        </w:rPr>
        <w:t>（2）数据要求</w:t>
      </w:r>
    </w:p>
    <w:p w14:paraId="3574390B">
      <w:pPr>
        <w:pStyle w:val="54"/>
        <w:spacing w:before="24" w:after="24"/>
      </w:pPr>
      <w:r>
        <w:rPr>
          <w:lang w:bidi="en-US"/>
        </w:rPr>
        <w:t>安全</w:t>
      </w:r>
      <w:r>
        <w:rPr>
          <w:spacing w:val="-3"/>
        </w:rPr>
        <w:t>教育培训数据包括但不限于培训时间、培训时长、培训类型、培训人、培训简述、参加培训的工人列表等数据。</w:t>
      </w:r>
    </w:p>
    <w:p w14:paraId="46BD3955">
      <w:pPr>
        <w:pStyle w:val="54"/>
        <w:spacing w:before="24" w:after="24"/>
      </w:pPr>
      <w:r>
        <w:rPr>
          <w:lang w:bidi="en-US"/>
        </w:rPr>
        <w:t>4.3.2.2安全巡查</w:t>
      </w:r>
    </w:p>
    <w:p w14:paraId="644D3FA7">
      <w:pPr>
        <w:pStyle w:val="54"/>
        <w:spacing w:before="24" w:after="24"/>
        <w:rPr>
          <w:lang w:bidi="en-US"/>
        </w:rPr>
      </w:pPr>
      <w:r>
        <w:rPr>
          <w:lang w:bidi="en-US"/>
        </w:rPr>
        <w:t>（1）功能要求</w:t>
      </w:r>
    </w:p>
    <w:p w14:paraId="028FD857">
      <w:pPr>
        <w:pStyle w:val="54"/>
        <w:spacing w:before="24" w:after="24"/>
        <w:rPr>
          <w:sz w:val="17"/>
        </w:rPr>
      </w:pPr>
      <w:r>
        <w:rPr>
          <w:lang w:bidi="en-US"/>
        </w:rPr>
        <w:t>1）应建功能：</w:t>
      </w:r>
      <w:r>
        <w:t xml:space="preserve"> </w:t>
      </w:r>
    </w:p>
    <w:p w14:paraId="636B3FF2">
      <w:pPr>
        <w:pStyle w:val="54"/>
        <w:spacing w:before="24" w:after="24"/>
      </w:pPr>
      <w:r>
        <w:rPr>
          <w:lang w:bidi="en-US"/>
        </w:rPr>
        <w:t xml:space="preserve">a）安全制度到位情况统计功能：可对项目安全生产责任制、安全文明施工制度、方案及措施等文件是否上传进行跟踪管理； </w:t>
      </w:r>
    </w:p>
    <w:p w14:paraId="2481058E">
      <w:pPr>
        <w:pStyle w:val="54"/>
        <w:spacing w:before="24" w:after="24"/>
      </w:pPr>
      <w:r>
        <w:rPr>
          <w:lang w:bidi="en-US"/>
        </w:rPr>
        <w:t xml:space="preserve">b）巡检任务推送功能：可根据项目施工现场情况，制定重点巡检内容并进行推送；按巡检任务开展巡检的，巡检人员在巡检点位将巡检现场照片上传系统，并生成巡检记录；未按巡检任务开展巡检的，系统能及时报警并推送给相关人员； </w:t>
      </w:r>
    </w:p>
    <w:p w14:paraId="04BECC84">
      <w:pPr>
        <w:pStyle w:val="54"/>
        <w:spacing w:before="24" w:after="24"/>
      </w:pPr>
      <w:r>
        <w:rPr>
          <w:lang w:bidi="en-US"/>
        </w:rPr>
        <w:t xml:space="preserve">c）统计、分析和查询巡检信息的功能。 </w:t>
      </w:r>
    </w:p>
    <w:p w14:paraId="26B892B6">
      <w:pPr>
        <w:pStyle w:val="54"/>
        <w:spacing w:before="24" w:after="24"/>
      </w:pPr>
      <w:r>
        <w:rPr>
          <w:lang w:bidi="en-US"/>
        </w:rPr>
        <w:t>2）</w:t>
      </w:r>
      <w:r>
        <w:t xml:space="preserve">宜建功能：自动判断巡检人员是否履行巡检任务的功能，可通过摄像机、定位设备等实现自动判断。 </w:t>
      </w:r>
    </w:p>
    <w:p w14:paraId="11E110C9">
      <w:pPr>
        <w:pStyle w:val="54"/>
        <w:spacing w:before="24" w:after="24"/>
      </w:pPr>
      <w:r>
        <w:rPr>
          <w:lang w:bidi="en-US"/>
        </w:rPr>
        <w:t>（2）数据要求</w:t>
      </w:r>
    </w:p>
    <w:p w14:paraId="024D9922">
      <w:pPr>
        <w:pStyle w:val="54"/>
        <w:spacing w:before="24" w:after="24"/>
        <w:rPr>
          <w:sz w:val="15"/>
        </w:rPr>
      </w:pPr>
      <w:r>
        <w:t xml:space="preserve">安全巡查数据包括但不限于巡检人、巡检时间、巡检点位、巡检时效、巡检内容等数据。 </w:t>
      </w:r>
    </w:p>
    <w:p w14:paraId="75F863F9">
      <w:pPr>
        <w:pStyle w:val="54"/>
        <w:spacing w:before="24" w:after="24"/>
      </w:pPr>
      <w:r>
        <w:rPr>
          <w:lang w:bidi="en-US"/>
        </w:rPr>
        <w:t>4.3.3设备安全管理</w:t>
      </w:r>
    </w:p>
    <w:p w14:paraId="55203142">
      <w:pPr>
        <w:pStyle w:val="54"/>
        <w:spacing w:before="24" w:after="24"/>
      </w:pPr>
      <w:r>
        <w:rPr>
          <w:lang w:bidi="en-US"/>
        </w:rPr>
        <w:t>4.3.3.1施工升降机安全监测</w:t>
      </w:r>
    </w:p>
    <w:p w14:paraId="4F0E8DD0">
      <w:pPr>
        <w:pStyle w:val="54"/>
        <w:spacing w:before="24" w:after="24"/>
      </w:pPr>
      <w:r>
        <w:rPr>
          <w:lang w:bidi="en-US"/>
        </w:rPr>
        <w:t>（1）功能要求</w:t>
      </w:r>
    </w:p>
    <w:p w14:paraId="7C63406C">
      <w:pPr>
        <w:pStyle w:val="54"/>
        <w:spacing w:before="24" w:after="24"/>
      </w:pPr>
      <w:r>
        <w:rPr>
          <w:lang w:bidi="en-US"/>
        </w:rPr>
        <w:t xml:space="preserve">1）应建功能： </w:t>
      </w:r>
    </w:p>
    <w:p w14:paraId="06AB639A">
      <w:pPr>
        <w:pStyle w:val="54"/>
        <w:spacing w:before="24" w:after="24"/>
      </w:pPr>
      <w:r>
        <w:rPr>
          <w:lang w:bidi="en-US"/>
        </w:rPr>
        <w:t xml:space="preserve">a）倾角监测功能：利用高精度的双轴倾角传感器，能够精确、快速测量升降机的倾斜度，具备倾覆预警报警功能； </w:t>
      </w:r>
    </w:p>
    <w:p w14:paraId="7818C1DD">
      <w:pPr>
        <w:pStyle w:val="54"/>
        <w:spacing w:before="24" w:after="24"/>
      </w:pPr>
      <w:r>
        <w:rPr>
          <w:lang w:bidi="en-US"/>
        </w:rPr>
        <w:t xml:space="preserve">b）制动控制功能：具有制动输出接口，可以在紧急或限制的情况下，控制升降机的上升启停； </w:t>
      </w:r>
    </w:p>
    <w:p w14:paraId="68D240F4">
      <w:pPr>
        <w:pStyle w:val="54"/>
        <w:spacing w:before="24" w:after="24"/>
      </w:pPr>
      <w:r>
        <w:rPr>
          <w:lang w:bidi="en-US"/>
        </w:rPr>
        <w:t xml:space="preserve">c）前门/后门接口侦测功能：具有用于监测前门/后门状态的接口，连接前门/后门限位器对前门/后门的开闭状态进行监测，可对升降机上升启停条件进行侦测； </w:t>
      </w:r>
    </w:p>
    <w:p w14:paraId="6512D2A4">
      <w:pPr>
        <w:pStyle w:val="54"/>
        <w:spacing w:before="24" w:after="24"/>
      </w:pPr>
      <w:r>
        <w:rPr>
          <w:lang w:bidi="en-US"/>
        </w:rPr>
        <w:t xml:space="preserve">d）操作员和管理员身份认证功能：利用高精度的人脸识别设备，能够精准、快速识别人脸或身份标签，可以上传操作员和管理员姓名、身份证等信息，对操作员和管理员进行识别，识别率应不小于 98%，通过的人员方能操作设备，并且把操作人员的信息保存上传； </w:t>
      </w:r>
    </w:p>
    <w:p w14:paraId="1E27BD0A">
      <w:pPr>
        <w:pStyle w:val="54"/>
        <w:spacing w:before="24" w:after="24"/>
      </w:pPr>
      <w:r>
        <w:rPr>
          <w:lang w:bidi="en-US"/>
        </w:rPr>
        <w:t xml:space="preserve">e）信息采集终端功能：利用信息采集终端，对设备数据实时收集，并进行本地存储及上传，根据告警状态，为操作员、乘客提供语音报警； </w:t>
      </w:r>
    </w:p>
    <w:p w14:paraId="758BEBD7">
      <w:pPr>
        <w:pStyle w:val="54"/>
        <w:spacing w:before="24" w:after="24"/>
      </w:pPr>
      <w:r>
        <w:rPr>
          <w:lang w:bidi="en-US"/>
        </w:rPr>
        <w:t xml:space="preserve">f）信息显示终端功能：利用信息显示终端，可进行设备信息数据展示、参数设置。 </w:t>
      </w:r>
    </w:p>
    <w:p w14:paraId="13E394B0">
      <w:pPr>
        <w:pStyle w:val="54"/>
        <w:spacing w:before="24" w:after="24"/>
      </w:pPr>
      <w:r>
        <w:rPr>
          <w:lang w:bidi="en-US"/>
        </w:rPr>
        <w:t xml:space="preserve">2）宜建功能： </w:t>
      </w:r>
    </w:p>
    <w:p w14:paraId="1CCBE7E6">
      <w:pPr>
        <w:pStyle w:val="54"/>
        <w:spacing w:before="24" w:after="24"/>
      </w:pPr>
      <w:r>
        <w:rPr>
          <w:lang w:bidi="en-US"/>
        </w:rPr>
        <w:t xml:space="preserve">a）高度监测功能：利用高精度的高度点位传感器，实时监测吊笼的运行高度； </w:t>
      </w:r>
    </w:p>
    <w:p w14:paraId="558C32BA">
      <w:pPr>
        <w:pStyle w:val="54"/>
        <w:spacing w:before="24" w:after="24"/>
      </w:pPr>
      <w:r>
        <w:rPr>
          <w:lang w:bidi="en-US"/>
        </w:rPr>
        <w:t xml:space="preserve">b）人数识别功能：利用高精度的人数识别摄像机，通过视频分析技术，对乘坐人员数量进行统计，具备超员报警功能； </w:t>
      </w:r>
    </w:p>
    <w:p w14:paraId="7E82F10B">
      <w:pPr>
        <w:pStyle w:val="54"/>
        <w:spacing w:before="24" w:after="24"/>
      </w:pPr>
      <w:r>
        <w:rPr>
          <w:lang w:bidi="en-US"/>
        </w:rPr>
        <w:t xml:space="preserve">c）佩戴安全帽识别功能：利用高精度的摄像机，通过视频分析技术，对乘坐人员是否佩戴安全帽进行识别，发现未佩戴安全帽人员实时报警。 </w:t>
      </w:r>
    </w:p>
    <w:p w14:paraId="00662D49">
      <w:pPr>
        <w:pStyle w:val="54"/>
        <w:spacing w:before="24" w:after="24"/>
      </w:pPr>
      <w:r>
        <w:rPr>
          <w:lang w:bidi="en-US"/>
        </w:rPr>
        <w:t>（2）数据要求</w:t>
      </w:r>
    </w:p>
    <w:p w14:paraId="6AE3E76A">
      <w:pPr>
        <w:pStyle w:val="54"/>
        <w:spacing w:before="24" w:after="24"/>
      </w:pPr>
      <w:r>
        <w:rPr>
          <w:lang w:bidi="en-US"/>
        </w:rPr>
        <w:t xml:space="preserve">施工升降机安全监测数据包括但不限于设备出厂编号或设备主机编码、规格型号、生产厂家名称、设备使用年限、出厂日期、驾驶员身份认证结果、数据上传时间、实时高度、实时倾斜度、实时人数、实时起重量、是否超载、传感器状态、前后门状态等数据。 </w:t>
      </w:r>
    </w:p>
    <w:p w14:paraId="4431B98E">
      <w:pPr>
        <w:pStyle w:val="54"/>
        <w:spacing w:before="24" w:after="24"/>
      </w:pPr>
      <w:r>
        <w:rPr>
          <w:lang w:bidi="en-US"/>
        </w:rPr>
        <w:t>4.3.3.2塔式起重机安全监测</w:t>
      </w:r>
    </w:p>
    <w:p w14:paraId="42A861F7">
      <w:pPr>
        <w:pStyle w:val="54"/>
        <w:spacing w:before="24" w:after="24"/>
      </w:pPr>
      <w:r>
        <w:rPr>
          <w:lang w:bidi="en-US"/>
        </w:rPr>
        <w:t>（1）功能要求</w:t>
      </w:r>
    </w:p>
    <w:p w14:paraId="50C3115A">
      <w:pPr>
        <w:pStyle w:val="54"/>
        <w:spacing w:before="24" w:after="24"/>
      </w:pPr>
      <w:r>
        <w:rPr>
          <w:lang w:bidi="en-US"/>
        </w:rPr>
        <w:t>1）应建功能：</w:t>
      </w:r>
      <w:r>
        <w:t xml:space="preserve"> </w:t>
      </w:r>
    </w:p>
    <w:p w14:paraId="667D949E">
      <w:pPr>
        <w:pStyle w:val="54"/>
        <w:spacing w:before="24" w:after="24"/>
      </w:pPr>
      <w:r>
        <w:rPr>
          <w:lang w:bidi="en-US"/>
        </w:rPr>
        <w:t xml:space="preserve">a）高度信息采集功能：通过采集塔机吊钩起升高度信息并实时传输至主控单元，监测吊钩上下位移； </w:t>
      </w:r>
    </w:p>
    <w:p w14:paraId="7ABB52F4">
      <w:pPr>
        <w:pStyle w:val="54"/>
        <w:spacing w:before="24" w:after="24"/>
      </w:pPr>
      <w:r>
        <w:rPr>
          <w:lang w:bidi="en-US"/>
        </w:rPr>
        <w:t xml:space="preserve">b）幅度信息采集功能：通过采集塔机变幅小车位移信息并实时传输至主控单元，监测小车位移； </w:t>
      </w:r>
    </w:p>
    <w:p w14:paraId="7F6A4782">
      <w:pPr>
        <w:pStyle w:val="54"/>
        <w:spacing w:before="24" w:after="24"/>
      </w:pPr>
      <w:r>
        <w:rPr>
          <w:lang w:bidi="en-US"/>
        </w:rPr>
        <w:t xml:space="preserve">c）重量信息采集功能：通过采集塔机吊载信息并实施传输至主控单元，监测塔机吊载重量，塔机超载作业可实时报警； </w:t>
      </w:r>
    </w:p>
    <w:p w14:paraId="2B464395">
      <w:pPr>
        <w:pStyle w:val="54"/>
        <w:spacing w:before="24" w:after="24"/>
      </w:pPr>
      <w:r>
        <w:rPr>
          <w:lang w:eastAsia="en-US" w:bidi="en-US"/>
        </w:rPr>
        <w:t xml:space="preserve">d）力矩信息采集功能：可采集塔机起重力矩百分比信息； </w:t>
      </w:r>
    </w:p>
    <w:p w14:paraId="419B809F">
      <w:pPr>
        <w:pStyle w:val="54"/>
        <w:spacing w:before="24" w:after="24"/>
      </w:pPr>
      <w:r>
        <w:rPr>
          <w:lang w:bidi="en-US"/>
        </w:rPr>
        <w:t xml:space="preserve">e）风速信息采集功能：可采集塔机上方的风速信息； </w:t>
      </w:r>
    </w:p>
    <w:p w14:paraId="05A23745">
      <w:pPr>
        <w:pStyle w:val="54"/>
        <w:spacing w:before="24" w:after="24"/>
      </w:pPr>
      <w:r>
        <w:rPr>
          <w:lang w:bidi="en-US"/>
        </w:rPr>
        <w:t xml:space="preserve">f）工况信息展示功能：可实时显示塔机工况信息，并能够语音提示司机按规范操作； </w:t>
      </w:r>
    </w:p>
    <w:p w14:paraId="3B2F0DEF">
      <w:pPr>
        <w:pStyle w:val="54"/>
        <w:spacing w:before="24" w:after="24"/>
      </w:pPr>
      <w:r>
        <w:rPr>
          <w:lang w:bidi="en-US"/>
        </w:rPr>
        <w:t xml:space="preserve">g）身份认证功能：利用高精度的人脸识别设备，能够精准、快速识别人脸或身份标签，可以上传人员姓名、身份证等信息，对管理员和操作员进行识别，识别率应不小于 98%，通过的人员方能操作设备，并且把操作人员的信息保存上传。 </w:t>
      </w:r>
    </w:p>
    <w:p w14:paraId="173668B0">
      <w:pPr>
        <w:pStyle w:val="54"/>
        <w:spacing w:before="24" w:after="24"/>
      </w:pPr>
      <w:r>
        <w:rPr>
          <w:lang w:bidi="en-US"/>
        </w:rPr>
        <w:t xml:space="preserve">2）宜建功能： </w:t>
      </w:r>
    </w:p>
    <w:p w14:paraId="1D5AD9C4">
      <w:pPr>
        <w:pStyle w:val="54"/>
        <w:spacing w:before="24" w:after="24"/>
      </w:pPr>
      <w:r>
        <w:rPr>
          <w:lang w:bidi="en-US"/>
        </w:rPr>
        <w:t xml:space="preserve">a）回转信息采集功能：通过采集塔机回转角度信息并实时传输至主控单元，监测塔机回转角度； </w:t>
      </w:r>
    </w:p>
    <w:p w14:paraId="41610606">
      <w:pPr>
        <w:pStyle w:val="54"/>
        <w:spacing w:before="24" w:after="24"/>
      </w:pPr>
      <w:r>
        <w:rPr>
          <w:lang w:bidi="en-US"/>
        </w:rPr>
        <w:t xml:space="preserve">b）防碰撞预警功能：群塔作业时周边塔机与本塔机即将发生碰撞危险时能自动进行语音预警和报警限制； </w:t>
      </w:r>
    </w:p>
    <w:p w14:paraId="4230FB82">
      <w:pPr>
        <w:pStyle w:val="54"/>
        <w:spacing w:before="24" w:after="24"/>
      </w:pPr>
      <w:r>
        <w:rPr>
          <w:lang w:bidi="en-US"/>
        </w:rPr>
        <w:t xml:space="preserve">c）继电器控制功能：可输出控制信息，控制塔机电控柜，禁止塔机向不安全方向动作； </w:t>
      </w:r>
    </w:p>
    <w:p w14:paraId="6C2D7035">
      <w:pPr>
        <w:pStyle w:val="54"/>
        <w:spacing w:before="24" w:after="24"/>
      </w:pPr>
      <w:r>
        <w:rPr>
          <w:lang w:bidi="en-US"/>
        </w:rPr>
        <w:t xml:space="preserve">d）倾角信息采集功能：可采集塔身倾斜角度信息，并实时传输至主控单元； </w:t>
      </w:r>
    </w:p>
    <w:p w14:paraId="2636941F">
      <w:pPr>
        <w:pStyle w:val="54"/>
        <w:spacing w:before="24" w:after="24"/>
      </w:pPr>
      <w:r>
        <w:rPr>
          <w:lang w:bidi="en-US"/>
        </w:rPr>
        <w:t xml:space="preserve">e）吊钩可视化功能：配备变焦变倍摄像机，以观测吊钩下方的作业情况，并根据主机指令实现自动变倍变焦。 </w:t>
      </w:r>
    </w:p>
    <w:p w14:paraId="16DD2E46">
      <w:pPr>
        <w:pStyle w:val="54"/>
        <w:spacing w:before="24" w:after="24"/>
      </w:pPr>
      <w:r>
        <w:rPr>
          <w:lang w:bidi="en-US"/>
        </w:rPr>
        <w:t>（1）数据要求</w:t>
      </w:r>
    </w:p>
    <w:p w14:paraId="3E44F212">
      <w:pPr>
        <w:pStyle w:val="54"/>
        <w:spacing w:before="24" w:after="24"/>
      </w:pPr>
      <w:r>
        <w:rPr>
          <w:lang w:bidi="en-US"/>
        </w:rPr>
        <w:t xml:space="preserve">1）塔式起重机安全监测数据包括但不限于建筑起重机械设备产权备案信息、建筑起重机械安装（拆卸）告知信息、建筑起重机械检验检测信息、建筑起重机械使用登记信息、驾驶员身份认证结果、数据上传时间、实时高度、实时幅度、实时起重量、力矩百分比、报警信息等数据。 </w:t>
      </w:r>
    </w:p>
    <w:p w14:paraId="760770AE">
      <w:pPr>
        <w:pStyle w:val="54"/>
        <w:spacing w:before="24" w:after="24"/>
      </w:pPr>
      <w:r>
        <w:rPr>
          <w:lang w:bidi="en-US"/>
        </w:rPr>
        <w:t xml:space="preserve">2）建筑起重机械设备产权备案信息数据包括但不限于设备备案编号、设备类别、产权单位名称、备案管理部门名称、备案日期、备案状态、出厂编号、规格型号、生产厂家名称、设备使用年限、出厂日期、额定起重力矩、最大幅度、最大起升高度等数据。 </w:t>
      </w:r>
    </w:p>
    <w:p w14:paraId="167AC2BE">
      <w:pPr>
        <w:pStyle w:val="54"/>
        <w:spacing w:before="24" w:after="24"/>
      </w:pPr>
      <w:r>
        <w:rPr>
          <w:lang w:bidi="en-US"/>
        </w:rPr>
        <w:t xml:space="preserve">3）建筑起重机械安装（拆卸）告知信息数据包括但不限于设备备案编号、作业类型、安装（拆卸）企业名称、安装（拆卸）企业主要负责人姓名、安装（拆卸）企业主要负责人身份证件类型、安装（拆卸）企业主要负责人身份证件号码、安装（拆卸）企业项目专职安全生产管理人员姓名、安装（拆卸）企业项目专职安全生产管理人员身份证件类型、安装（拆卸）企业项目专职安全生产管理人员身份证件号码、建筑施工特种作业人员姓名、建筑施工特种作业人员身份证件类型、建筑施工特种作业人员身份证件号码、建筑施工特种作业人员操作资格证书编号、计划安装（拆卸）日期、安装（拆卸） 告知管理部门日期等数据。 </w:t>
      </w:r>
    </w:p>
    <w:p w14:paraId="7E8DAC7D">
      <w:pPr>
        <w:pStyle w:val="54"/>
        <w:spacing w:before="24" w:after="24"/>
      </w:pPr>
      <w:r>
        <w:rPr>
          <w:lang w:bidi="en-US"/>
        </w:rPr>
        <w:t xml:space="preserve">4）建筑起重机械检验检测信息数据包括但不限于设备备案编号、检验检测单位名称、检验检测人员姓名、检验检测人员身份证件类型、检验检测人员身份证件号码、检验检测日期、检验检测报告日期、检验检测结论等数据。 </w:t>
      </w:r>
    </w:p>
    <w:p w14:paraId="1C1F43D4">
      <w:pPr>
        <w:pStyle w:val="54"/>
        <w:spacing w:before="24" w:after="24"/>
      </w:pPr>
      <w:r>
        <w:rPr>
          <w:lang w:bidi="en-US"/>
        </w:rPr>
        <w:t xml:space="preserve">5）建筑起重机械使用登记信息数据包括但不限于设备备案编号、使用单位名称、建筑施工特种作业人员姓名、建筑施工特种作业人员身份证件类型、建筑施工特种作业人员身份证件号码、建筑施工特种作业人员操作资格证书编号、验收日期、使用登记管理部门、使用登记日期等数据。 </w:t>
      </w:r>
    </w:p>
    <w:p w14:paraId="7679DEC6">
      <w:pPr>
        <w:pStyle w:val="54"/>
        <w:spacing w:before="24" w:after="24"/>
      </w:pPr>
      <w:r>
        <w:rPr>
          <w:lang w:bidi="en-US"/>
        </w:rPr>
        <w:t>4.3.3.3其他类起重机械安全监测</w:t>
      </w:r>
    </w:p>
    <w:p w14:paraId="3C644C10">
      <w:pPr>
        <w:pStyle w:val="54"/>
        <w:spacing w:before="24" w:after="24"/>
      </w:pPr>
      <w:r>
        <w:rPr>
          <w:lang w:bidi="en-US"/>
        </w:rPr>
        <w:t>（1）功能要求</w:t>
      </w:r>
    </w:p>
    <w:p w14:paraId="6EC6DEA5">
      <w:pPr>
        <w:pStyle w:val="54"/>
        <w:spacing w:before="24" w:after="24"/>
      </w:pPr>
      <w:r>
        <w:rPr>
          <w:lang w:bidi="en-US"/>
        </w:rPr>
        <w:t>1）应建功能：</w:t>
      </w:r>
      <w:r>
        <w:rPr>
          <w:spacing w:val="-1"/>
        </w:rPr>
        <w:t xml:space="preserve"> </w:t>
      </w:r>
    </w:p>
    <w:p w14:paraId="5E58622A">
      <w:pPr>
        <w:pStyle w:val="54"/>
        <w:spacing w:before="24" w:after="24"/>
      </w:pPr>
      <w:r>
        <w:rPr>
          <w:lang w:bidi="en-US"/>
        </w:rPr>
        <w:t xml:space="preserve">a）机械基本信息管理、运行监测管理功能； </w:t>
      </w:r>
    </w:p>
    <w:p w14:paraId="7FBAD9C5">
      <w:pPr>
        <w:pStyle w:val="54"/>
        <w:spacing w:before="24" w:after="24"/>
      </w:pPr>
      <w:r>
        <w:rPr>
          <w:lang w:bidi="en-US"/>
        </w:rPr>
        <w:t xml:space="preserve">b）安全监测功能：可识别、管理起重机械司机身份，设定起重机械限制作业区域，辅助作业人员可视化操作，实时采集运行数据，自动分析运行数据、报警、禁止危险动作。 </w:t>
      </w:r>
    </w:p>
    <w:p w14:paraId="3E4145B7">
      <w:pPr>
        <w:pStyle w:val="54"/>
        <w:spacing w:before="24" w:after="24"/>
        <w:rPr>
          <w:sz w:val="15"/>
        </w:rPr>
      </w:pPr>
      <w:r>
        <w:rPr>
          <w:lang w:bidi="en-US"/>
        </w:rPr>
        <w:t xml:space="preserve">2）宜建功能：远程和移动智能终端管理机械基本信息及运行监控、维修保养等信息的功能。 </w:t>
      </w:r>
    </w:p>
    <w:p w14:paraId="691C4DBA">
      <w:pPr>
        <w:pStyle w:val="54"/>
        <w:spacing w:before="24" w:after="24"/>
      </w:pPr>
      <w:r>
        <w:rPr>
          <w:lang w:bidi="en-US"/>
        </w:rPr>
        <w:t>（2）数据要求</w:t>
      </w:r>
    </w:p>
    <w:p w14:paraId="7DDEC703">
      <w:pPr>
        <w:pStyle w:val="54"/>
        <w:spacing w:before="24" w:after="24"/>
      </w:pPr>
      <w:r>
        <w:rPr>
          <w:lang w:bidi="en-US"/>
        </w:rPr>
        <w:t xml:space="preserve">其他类起重机械安全监测数据包括但不限于规格型号、生产厂家、机械设备备案证明、进出场记录、小车幅度、吊钩高度、回转角度、吊物重量、力矩百分比、风速、荷载、运行速度等数据。 </w:t>
      </w:r>
    </w:p>
    <w:p w14:paraId="6685B440">
      <w:pPr>
        <w:pStyle w:val="54"/>
        <w:spacing w:before="24" w:after="24"/>
      </w:pPr>
      <w:r>
        <w:rPr>
          <w:lang w:bidi="en-US"/>
        </w:rPr>
        <w:t>4.3.3.4附着升降作业安全防护平台监测</w:t>
      </w:r>
    </w:p>
    <w:p w14:paraId="3260E653">
      <w:pPr>
        <w:pStyle w:val="54"/>
        <w:spacing w:before="24" w:after="24"/>
      </w:pPr>
      <w:r>
        <w:rPr>
          <w:lang w:bidi="en-US"/>
        </w:rPr>
        <w:t>（1）功能要求</w:t>
      </w:r>
    </w:p>
    <w:p w14:paraId="4A70C748">
      <w:pPr>
        <w:pStyle w:val="54"/>
        <w:spacing w:before="24" w:after="24"/>
      </w:pPr>
      <w:r>
        <w:rPr>
          <w:lang w:bidi="en-US"/>
        </w:rPr>
        <w:t xml:space="preserve">1）应建功能： </w:t>
      </w:r>
    </w:p>
    <w:p w14:paraId="6399F9C8">
      <w:pPr>
        <w:pStyle w:val="54"/>
        <w:spacing w:before="24" w:after="24"/>
      </w:pPr>
      <w:r>
        <w:rPr>
          <w:lang w:bidi="en-US"/>
        </w:rPr>
        <w:t xml:space="preserve">a）载重信息采集功能：可采集附着升降作业安全防护平台的载重信息并实时传输至主控单元， 平台超载能发出报警信息。 </w:t>
      </w:r>
    </w:p>
    <w:p w14:paraId="25106BB0">
      <w:pPr>
        <w:pStyle w:val="54"/>
        <w:spacing w:before="24" w:after="24"/>
      </w:pPr>
      <w:r>
        <w:rPr>
          <w:lang w:bidi="en-US"/>
        </w:rPr>
        <w:t xml:space="preserve">b）制动控制功能：具有制动输出接口，可在紧急或限制的情况下，控制附着升降作业安全防护平台的升降启停，并发出报警信号。 </w:t>
      </w:r>
    </w:p>
    <w:p w14:paraId="02000659">
      <w:pPr>
        <w:pStyle w:val="54"/>
        <w:spacing w:before="24" w:after="24"/>
      </w:pPr>
      <w:r>
        <w:rPr>
          <w:lang w:bidi="en-US"/>
        </w:rPr>
        <w:t xml:space="preserve">c）身份认证功能：利用高精度的人脸识别设备，能够精准、快速识别人脸或身份标签，可以上传人员姓名、身份证等信息，对管理员和操作员进行识别，识别率应≥98%，通过的人员方能操作设备，并且把操作人员的信息保存上传。 </w:t>
      </w:r>
    </w:p>
    <w:p w14:paraId="56003BC7">
      <w:pPr>
        <w:pStyle w:val="54"/>
        <w:spacing w:before="24" w:after="24"/>
      </w:pPr>
      <w:r>
        <w:rPr>
          <w:lang w:bidi="en-US"/>
        </w:rPr>
        <w:t xml:space="preserve">2）宜建功能： </w:t>
      </w:r>
    </w:p>
    <w:p w14:paraId="62022B04">
      <w:pPr>
        <w:pStyle w:val="54"/>
        <w:spacing w:before="24" w:after="24"/>
      </w:pPr>
      <w:r>
        <w:rPr>
          <w:lang w:bidi="en-US"/>
        </w:rPr>
        <w:t xml:space="preserve">a）倾斜度信息采集功能：通过采集附着升降作业安全防护平台的倾斜度信息并实时传输至主控单元，监测平台倾斜度，超出设定值实时预警报警。 </w:t>
      </w:r>
    </w:p>
    <w:p w14:paraId="0839349D">
      <w:pPr>
        <w:pStyle w:val="54"/>
        <w:spacing w:before="24" w:after="24"/>
      </w:pPr>
      <w:r>
        <w:rPr>
          <w:lang w:bidi="en-US"/>
        </w:rPr>
        <w:t xml:space="preserve">b）高度信息采集功能：通过采集附着升降作业安全防护平台的起升高度信息并实时传输至主控单元，监测平台高度，对超高实时预警报警。 </w:t>
      </w:r>
    </w:p>
    <w:p w14:paraId="15A41DB1">
      <w:pPr>
        <w:pStyle w:val="54"/>
        <w:spacing w:before="24" w:after="24"/>
      </w:pPr>
      <w:r>
        <w:rPr>
          <w:lang w:bidi="en-US"/>
        </w:rPr>
        <w:t>（2）数据要求</w:t>
      </w:r>
    </w:p>
    <w:p w14:paraId="5413BAAF">
      <w:pPr>
        <w:pStyle w:val="54"/>
        <w:spacing w:before="24" w:after="24"/>
      </w:pPr>
      <w:r>
        <w:rPr>
          <w:lang w:bidi="en-US"/>
        </w:rPr>
        <w:t xml:space="preserve">附着升降作业安全防护平台监测数据包括但不限于设备出厂编号或设备主机编码、规格型号、生产厂家名称、驾驶员身份认证结果、数据上传时间、平台实时载重量、是否超载、实时高度实时倾斜度、门锁状态、传感器状态信息等数据。 </w:t>
      </w:r>
    </w:p>
    <w:p w14:paraId="13EDABEF">
      <w:pPr>
        <w:pStyle w:val="54"/>
        <w:spacing w:before="24" w:after="24"/>
      </w:pPr>
      <w:r>
        <w:rPr>
          <w:lang w:bidi="en-US"/>
        </w:rPr>
        <w:t>4.3.3.5卸料平台安全监测</w:t>
      </w:r>
    </w:p>
    <w:p w14:paraId="1FE9B9EE">
      <w:pPr>
        <w:pStyle w:val="54"/>
        <w:spacing w:before="24" w:after="24"/>
      </w:pPr>
      <w:r>
        <w:rPr>
          <w:lang w:bidi="en-US"/>
        </w:rPr>
        <w:t>（1）功能要求</w:t>
      </w:r>
    </w:p>
    <w:p w14:paraId="648EAB96">
      <w:pPr>
        <w:pStyle w:val="54"/>
        <w:spacing w:before="24" w:after="24"/>
      </w:pPr>
      <w:r>
        <w:rPr>
          <w:lang w:bidi="en-US"/>
        </w:rPr>
        <w:t xml:space="preserve">1）应建功能： </w:t>
      </w:r>
    </w:p>
    <w:p w14:paraId="5059884F">
      <w:pPr>
        <w:pStyle w:val="54"/>
        <w:spacing w:before="24" w:after="24"/>
      </w:pPr>
      <w:r>
        <w:rPr>
          <w:lang w:bidi="en-US"/>
        </w:rPr>
        <w:t xml:space="preserve">a）读取、识别、记录、连接数据库、实时上传数据的功能； </w:t>
      </w:r>
    </w:p>
    <w:p w14:paraId="15CF3158">
      <w:pPr>
        <w:pStyle w:val="54"/>
        <w:spacing w:before="24" w:after="24"/>
      </w:pPr>
      <w:r>
        <w:rPr>
          <w:lang w:bidi="en-US"/>
        </w:rPr>
        <w:t xml:space="preserve">b）远程监控平台记录、查询、预警分析与统计功能； </w:t>
      </w:r>
    </w:p>
    <w:p w14:paraId="48A4ACFF">
      <w:pPr>
        <w:pStyle w:val="54"/>
        <w:spacing w:before="24" w:after="24"/>
      </w:pPr>
      <w:r>
        <w:rPr>
          <w:lang w:bidi="en-US"/>
        </w:rPr>
        <w:t xml:space="preserve">c）自动监测载物实时重量、超载报警、实时远程报警等功能。 </w:t>
      </w:r>
    </w:p>
    <w:p w14:paraId="708D9D08">
      <w:pPr>
        <w:pStyle w:val="54"/>
        <w:spacing w:before="24" w:after="24"/>
      </w:pPr>
      <w:r>
        <w:rPr>
          <w:lang w:bidi="en-US"/>
        </w:rPr>
        <w:t xml:space="preserve">2）宜建功能：水平度信息采集功能，可采集平台的水平度信息并实时传输至主控单元。 </w:t>
      </w:r>
    </w:p>
    <w:p w14:paraId="03CE396A">
      <w:pPr>
        <w:pStyle w:val="54"/>
        <w:spacing w:before="24" w:after="24"/>
      </w:pPr>
      <w:r>
        <w:rPr>
          <w:lang w:bidi="en-US"/>
        </w:rPr>
        <w:t>（2）数据要求</w:t>
      </w:r>
    </w:p>
    <w:p w14:paraId="197D5494">
      <w:pPr>
        <w:pStyle w:val="54"/>
        <w:spacing w:before="24" w:after="24"/>
      </w:pPr>
      <w:r>
        <w:rPr>
          <w:lang w:bidi="en-US"/>
        </w:rPr>
        <w:t xml:space="preserve">卸料平台安全监测数据包括但不限于当前设备编号、规格型号、生产厂家名称、数据上报时间、当前载重、载重百分比、设备当前电池电压、当前电量百分比、警报状态等数据。 </w:t>
      </w:r>
    </w:p>
    <w:p w14:paraId="782266A9">
      <w:pPr>
        <w:pStyle w:val="54"/>
        <w:spacing w:before="24" w:after="24"/>
      </w:pPr>
      <w:r>
        <w:rPr>
          <w:lang w:bidi="en-US"/>
        </w:rPr>
        <w:t>4.3.4建构筑物、深基坑及高支模安全监测</w:t>
      </w:r>
    </w:p>
    <w:p w14:paraId="5AC96ABD">
      <w:pPr>
        <w:pStyle w:val="54"/>
        <w:spacing w:before="24" w:after="24"/>
      </w:pPr>
      <w:r>
        <w:rPr>
          <w:lang w:bidi="en-US"/>
        </w:rPr>
        <w:t>4.3.4.1建构筑物建设监测</w:t>
      </w:r>
    </w:p>
    <w:p w14:paraId="7C10AC8C">
      <w:pPr>
        <w:pStyle w:val="54"/>
        <w:spacing w:before="24" w:after="24"/>
      </w:pPr>
      <w:r>
        <w:rPr>
          <w:lang w:bidi="en-US"/>
        </w:rPr>
        <w:t>（1）功能要求</w:t>
      </w:r>
    </w:p>
    <w:p w14:paraId="26B87989">
      <w:pPr>
        <w:pStyle w:val="54"/>
        <w:spacing w:before="24" w:after="24"/>
      </w:pPr>
      <w:r>
        <w:rPr>
          <w:lang w:bidi="en-US"/>
        </w:rPr>
        <w:t xml:space="preserve">1）具备建构筑物建设状态监测功能。 </w:t>
      </w:r>
    </w:p>
    <w:p w14:paraId="0E1B4E38">
      <w:pPr>
        <w:pStyle w:val="54"/>
        <w:spacing w:before="24" w:after="24"/>
      </w:pPr>
      <w:r>
        <w:rPr>
          <w:lang w:bidi="en-US"/>
        </w:rPr>
        <w:t xml:space="preserve">2）具备数据采集、数据展示、图表绘制、统计分析、安全预警和系统管理等功能。 </w:t>
      </w:r>
    </w:p>
    <w:p w14:paraId="48947ED4">
      <w:pPr>
        <w:pStyle w:val="54"/>
        <w:spacing w:before="24" w:after="24"/>
      </w:pPr>
      <w:r>
        <w:rPr>
          <w:lang w:bidi="en-US"/>
        </w:rPr>
        <w:t xml:space="preserve">3）具备动态跟踪管理功能。 </w:t>
      </w:r>
    </w:p>
    <w:p w14:paraId="03D2659C">
      <w:pPr>
        <w:pStyle w:val="54"/>
        <w:spacing w:before="24" w:after="24"/>
      </w:pPr>
      <w:r>
        <w:rPr>
          <w:lang w:bidi="en-US"/>
        </w:rPr>
        <w:t xml:space="preserve">4）具备关联 BIM 功能。 </w:t>
      </w:r>
    </w:p>
    <w:p w14:paraId="3990B5F0">
      <w:pPr>
        <w:pStyle w:val="54"/>
        <w:spacing w:before="24" w:after="24"/>
      </w:pPr>
      <w:r>
        <w:rPr>
          <w:lang w:bidi="en-US"/>
        </w:rPr>
        <w:t>（2）数据要求</w:t>
      </w:r>
    </w:p>
    <w:p w14:paraId="7FA08EBA">
      <w:pPr>
        <w:pStyle w:val="54"/>
        <w:spacing w:before="24" w:after="24"/>
      </w:pPr>
      <w:r>
        <w:rPr>
          <w:lang w:bidi="en-US"/>
        </w:rPr>
        <w:t xml:space="preserve">建构筑物建设监测数据包括但不限于水平位移、倾角、沉降、地下水位、钢筋应力、土压力、锚杆应力、混凝土温度、载重等数据。 </w:t>
      </w:r>
    </w:p>
    <w:p w14:paraId="4D906DE8">
      <w:pPr>
        <w:pStyle w:val="54"/>
        <w:spacing w:before="24" w:after="24"/>
      </w:pPr>
      <w:r>
        <w:rPr>
          <w:lang w:bidi="en-US"/>
        </w:rPr>
        <w:t>4.3.4.2深基坑安全监测</w:t>
      </w:r>
    </w:p>
    <w:p w14:paraId="38D52C55">
      <w:pPr>
        <w:pStyle w:val="54"/>
        <w:spacing w:before="24" w:after="24"/>
      </w:pPr>
      <w:r>
        <w:rPr>
          <w:lang w:bidi="en-US"/>
        </w:rPr>
        <w:t>（1）功能要求</w:t>
      </w:r>
    </w:p>
    <w:p w14:paraId="6512848E">
      <w:pPr>
        <w:pStyle w:val="54"/>
        <w:spacing w:before="24" w:after="24"/>
      </w:pPr>
      <w:r>
        <w:rPr>
          <w:lang w:bidi="en-US"/>
        </w:rPr>
        <w:t xml:space="preserve">1）具备关键数据实时监测功能：可实现支护结构、地下水状况、基坑底部及周边土体、周边建筑物、周边管线及设施、周边地表位移实时监测。 </w:t>
      </w:r>
    </w:p>
    <w:p w14:paraId="127426F6">
      <w:pPr>
        <w:pStyle w:val="54"/>
        <w:spacing w:before="24" w:after="24"/>
      </w:pPr>
      <w:r>
        <w:rPr>
          <w:lang w:bidi="en-US"/>
        </w:rPr>
        <w:t xml:space="preserve">2）具备自动记录运行数据及预警数据功能。 </w:t>
      </w:r>
    </w:p>
    <w:p w14:paraId="0D076A03">
      <w:pPr>
        <w:pStyle w:val="54"/>
        <w:spacing w:before="24" w:after="24"/>
      </w:pPr>
      <w:r>
        <w:rPr>
          <w:lang w:bidi="en-US"/>
        </w:rPr>
        <w:t xml:space="preserve">3）具备监测数据实时展示功能：可实现支撑（锚）轴力、深层水平位移、地表水平位移、地表竖向位移、建筑物倾斜、建筑物沉降、地表及建筑物裂缝、地下水位等监测数据实时展示。 </w:t>
      </w:r>
    </w:p>
    <w:p w14:paraId="707AA2DE">
      <w:pPr>
        <w:pStyle w:val="54"/>
        <w:spacing w:before="24" w:after="24"/>
      </w:pPr>
      <w:r>
        <w:rPr>
          <w:lang w:bidi="en-US"/>
        </w:rPr>
        <w:t>（2）数据要求</w:t>
      </w:r>
    </w:p>
    <w:p w14:paraId="2BC71E2E">
      <w:pPr>
        <w:pStyle w:val="54"/>
        <w:spacing w:before="24" w:after="24"/>
      </w:pPr>
      <w:r>
        <w:rPr>
          <w:lang w:bidi="en-US"/>
        </w:rPr>
        <w:t xml:space="preserve">深基坑监测数据包括但不限于深层水平位移、倾角、沉降、地下水位、钢筋应力、土压力、锚杆应力、混凝土温度等数据。 </w:t>
      </w:r>
    </w:p>
    <w:p w14:paraId="10DD842F">
      <w:pPr>
        <w:pStyle w:val="54"/>
        <w:spacing w:before="24" w:after="24"/>
      </w:pPr>
      <w:r>
        <w:rPr>
          <w:lang w:bidi="en-US"/>
        </w:rPr>
        <w:t>4.3.4.3高支模安全监测</w:t>
      </w:r>
    </w:p>
    <w:p w14:paraId="1D24BEC4">
      <w:pPr>
        <w:pStyle w:val="54"/>
        <w:spacing w:before="24" w:after="24"/>
      </w:pPr>
      <w:r>
        <w:rPr>
          <w:lang w:bidi="en-US"/>
        </w:rPr>
        <w:t>（1）功能要求</w:t>
      </w:r>
    </w:p>
    <w:p w14:paraId="25B727D1">
      <w:pPr>
        <w:pStyle w:val="54"/>
        <w:spacing w:before="24" w:after="24"/>
      </w:pPr>
      <w:r>
        <w:rPr>
          <w:lang w:bidi="en-US"/>
        </w:rPr>
        <w:t xml:space="preserve">1）具备关键数据实时监测功能：可实现高支模的架体基础变形、立杆垂直度、水平挠度、立杆轴力等实时监测。 </w:t>
      </w:r>
    </w:p>
    <w:p w14:paraId="7E7F42C1">
      <w:pPr>
        <w:pStyle w:val="54"/>
        <w:spacing w:before="24" w:after="24"/>
      </w:pPr>
      <w:r>
        <w:rPr>
          <w:lang w:bidi="en-US"/>
        </w:rPr>
        <w:t xml:space="preserve">2）具备自动记录运行数据及预警数据功能。 </w:t>
      </w:r>
    </w:p>
    <w:p w14:paraId="7330F167">
      <w:pPr>
        <w:pStyle w:val="54"/>
        <w:spacing w:before="24" w:after="24"/>
      </w:pPr>
      <w:r>
        <w:rPr>
          <w:lang w:bidi="en-US"/>
        </w:rPr>
        <w:t>（2）数据要求</w:t>
      </w:r>
    </w:p>
    <w:p w14:paraId="37A9F008">
      <w:pPr>
        <w:pStyle w:val="54"/>
        <w:spacing w:before="24" w:after="24"/>
      </w:pPr>
      <w:r>
        <w:rPr>
          <w:lang w:bidi="en-US"/>
        </w:rPr>
        <w:t xml:space="preserve">高支模安全监测数据包括但不限于倾角、位移、载重等数据。  </w:t>
      </w:r>
    </w:p>
    <w:p w14:paraId="0D6A473D">
      <w:pPr>
        <w:pStyle w:val="54"/>
        <w:spacing w:before="24" w:after="24"/>
      </w:pPr>
      <w:r>
        <w:rPr>
          <w:lang w:bidi="en-US"/>
        </w:rPr>
        <w:t>4.3.5安全帽穿戴监测</w:t>
      </w:r>
    </w:p>
    <w:p w14:paraId="413BAAF4">
      <w:pPr>
        <w:pStyle w:val="54"/>
        <w:spacing w:before="24" w:after="24"/>
      </w:pPr>
      <w:r>
        <w:rPr>
          <w:lang w:bidi="en-US"/>
        </w:rPr>
        <w:t>4.3.5.1功能要求</w:t>
      </w:r>
    </w:p>
    <w:p w14:paraId="291A2A89">
      <w:pPr>
        <w:pStyle w:val="54"/>
        <w:spacing w:before="24" w:after="24"/>
      </w:pPr>
      <w:r>
        <w:rPr>
          <w:lang w:bidi="en-US"/>
        </w:rPr>
        <w:t xml:space="preserve">（1）应建功能：未戴安全帽行为监测功能，对现场未戴安全帽人员进行智能识别并报警，可自动抓拍留存影像资料。 </w:t>
      </w:r>
    </w:p>
    <w:p w14:paraId="6BDE7FB7">
      <w:pPr>
        <w:pStyle w:val="54"/>
        <w:spacing w:before="24" w:after="24"/>
      </w:pPr>
      <w:r>
        <w:rPr>
          <w:lang w:bidi="en-US"/>
        </w:rPr>
        <w:t xml:space="preserve">（2）宜建功能：远程和移动智能终端进行实时查看未戴安全帽预警信息的功能。 </w:t>
      </w:r>
    </w:p>
    <w:p w14:paraId="51D6874A">
      <w:pPr>
        <w:pStyle w:val="54"/>
        <w:spacing w:before="24" w:after="24"/>
      </w:pPr>
      <w:r>
        <w:rPr>
          <w:lang w:bidi="en-US"/>
        </w:rPr>
        <w:t>4.3.5.2数据要求</w:t>
      </w:r>
    </w:p>
    <w:p w14:paraId="2E110CCF">
      <w:pPr>
        <w:pStyle w:val="54"/>
        <w:spacing w:before="24" w:after="24"/>
      </w:pPr>
      <w:r>
        <w:rPr>
          <w:lang w:bidi="en-US"/>
        </w:rPr>
        <w:t xml:space="preserve">安全帽穿戴监测数据包括但不限于未戴安全帽发现地点、发现时间、违规人姓名、处理人、处理结果、处理时间等数据。 </w:t>
      </w:r>
    </w:p>
    <w:p w14:paraId="5F251C64">
      <w:pPr>
        <w:pStyle w:val="54"/>
        <w:spacing w:before="24" w:after="24"/>
      </w:pPr>
      <w:r>
        <w:rPr>
          <w:lang w:bidi="en-US"/>
        </w:rPr>
        <w:t>4.3.6有限空间有毒有害气体及浓烟明火监测</w:t>
      </w:r>
    </w:p>
    <w:p w14:paraId="2DBF1533">
      <w:pPr>
        <w:pStyle w:val="54"/>
        <w:spacing w:before="24" w:after="24"/>
      </w:pPr>
      <w:r>
        <w:rPr>
          <w:lang w:bidi="en-US"/>
        </w:rPr>
        <w:t>4.3.6.1有限空间有毒有害气体监测</w:t>
      </w:r>
    </w:p>
    <w:p w14:paraId="169D1C72">
      <w:pPr>
        <w:pStyle w:val="54"/>
        <w:spacing w:before="24" w:after="24"/>
      </w:pPr>
      <w:r>
        <w:rPr>
          <w:lang w:bidi="en-US"/>
        </w:rPr>
        <w:t>（1）功能要求</w:t>
      </w:r>
    </w:p>
    <w:p w14:paraId="24590FDE">
      <w:pPr>
        <w:pStyle w:val="54"/>
        <w:spacing w:before="24" w:after="24"/>
      </w:pPr>
      <w:r>
        <w:rPr>
          <w:lang w:bidi="en-US"/>
        </w:rPr>
        <w:t xml:space="preserve">1）应建功能：有毒有害气体浓度监测与报警功能，可通过安装烟雾/气体传感器对有限空间内的有毒有害气体浓度进行监测，超标时系统实时报警。 </w:t>
      </w:r>
    </w:p>
    <w:p w14:paraId="07C271F2">
      <w:pPr>
        <w:pStyle w:val="54"/>
        <w:spacing w:before="24" w:after="24"/>
      </w:pPr>
      <w:r>
        <w:rPr>
          <w:lang w:bidi="en-US"/>
        </w:rPr>
        <w:t xml:space="preserve">2）宜建功能：联动控制功能，检测到气体浓度达到阈值时，可自动启动排风机并发出声光报警。 </w:t>
      </w:r>
    </w:p>
    <w:p w14:paraId="499A1087">
      <w:pPr>
        <w:pStyle w:val="54"/>
        <w:spacing w:before="24" w:after="24"/>
      </w:pPr>
      <w:r>
        <w:rPr>
          <w:lang w:bidi="en-US"/>
        </w:rPr>
        <w:t>（2）数据要求</w:t>
      </w:r>
    </w:p>
    <w:p w14:paraId="3678ED0D">
      <w:pPr>
        <w:pStyle w:val="54"/>
        <w:spacing w:before="24" w:after="24"/>
      </w:pPr>
      <w:r>
        <w:rPr>
          <w:lang w:bidi="en-US"/>
        </w:rPr>
        <w:t xml:space="preserve">有限空间有毒有害气体监测数据包括但不限于监测设备的名称、规格型号、生产厂家、安装时间、维保检查时间、气体泄露时间、地点、浓度值、处理人、处理时间等数据。 </w:t>
      </w:r>
    </w:p>
    <w:p w14:paraId="582AD5AD">
      <w:pPr>
        <w:pStyle w:val="54"/>
        <w:spacing w:before="24" w:after="24"/>
      </w:pPr>
      <w:r>
        <w:rPr>
          <w:lang w:bidi="en-US"/>
        </w:rPr>
        <w:t>4.3.6.2浓烟明火监测</w:t>
      </w:r>
    </w:p>
    <w:p w14:paraId="7E543266">
      <w:pPr>
        <w:pStyle w:val="54"/>
        <w:spacing w:before="24" w:after="24"/>
      </w:pPr>
      <w:r>
        <w:rPr>
          <w:lang w:bidi="en-US"/>
        </w:rPr>
        <w:t>（1）功能要求</w:t>
      </w:r>
    </w:p>
    <w:p w14:paraId="7F1E6A1D">
      <w:pPr>
        <w:pStyle w:val="54"/>
        <w:spacing w:before="24" w:after="24"/>
      </w:pPr>
      <w:r>
        <w:rPr>
          <w:lang w:bidi="en-US"/>
        </w:rPr>
        <w:t xml:space="preserve">1）具备浓烟明火监测与报警功能：可通过智能烟感探测器或视频监控设备进行浓烟明火监测，若发生浓烟明火事件，实时发出声光报警。 </w:t>
      </w:r>
    </w:p>
    <w:p w14:paraId="4CD9CC80">
      <w:pPr>
        <w:pStyle w:val="54"/>
        <w:spacing w:before="24" w:after="24"/>
      </w:pPr>
      <w:r>
        <w:rPr>
          <w:lang w:bidi="en-US"/>
        </w:rPr>
        <w:t xml:space="preserve">2）具备现场浓烟明火场景的智能识别、报警及自动抓拍留存视频资料的功能。 </w:t>
      </w:r>
    </w:p>
    <w:p w14:paraId="5A872EFA">
      <w:pPr>
        <w:pStyle w:val="54"/>
        <w:spacing w:before="24" w:after="24"/>
      </w:pPr>
      <w:r>
        <w:rPr>
          <w:lang w:bidi="en-US"/>
        </w:rPr>
        <w:t>（2）数据要求</w:t>
      </w:r>
    </w:p>
    <w:p w14:paraId="0F221CEB">
      <w:pPr>
        <w:pStyle w:val="54"/>
        <w:spacing w:before="24" w:after="24"/>
      </w:pPr>
      <w:r>
        <w:rPr>
          <w:lang w:bidi="en-US"/>
        </w:rPr>
        <w:t xml:space="preserve">浓烟明火监测数据包括但不限于监测设备的名称、规格型号、生产厂家、安装时间、维保检查时间、发生时间、地点、处理人、处理时间、影像资料等数据。 </w:t>
      </w:r>
    </w:p>
    <w:p w14:paraId="2ABC0CA9">
      <w:pPr>
        <w:pStyle w:val="54"/>
        <w:spacing w:before="24" w:after="24"/>
      </w:pPr>
      <w:r>
        <w:rPr>
          <w:lang w:bidi="en-US"/>
        </w:rPr>
        <w:t>4.3.7乱堆物料监测</w:t>
      </w:r>
    </w:p>
    <w:p w14:paraId="0B3E6619">
      <w:pPr>
        <w:pStyle w:val="54"/>
        <w:spacing w:before="24" w:after="24"/>
      </w:pPr>
      <w:r>
        <w:rPr>
          <w:lang w:bidi="en-US"/>
        </w:rPr>
        <w:t>4.3.7.1功能要求</w:t>
      </w:r>
    </w:p>
    <w:p w14:paraId="73DF711F">
      <w:pPr>
        <w:pStyle w:val="54"/>
        <w:spacing w:before="24" w:after="24"/>
      </w:pPr>
      <w:r>
        <w:rPr>
          <w:lang w:bidi="en-US"/>
        </w:rPr>
        <w:t xml:space="preserve">具备乱堆物料监测及报警功能：可通过监控设备对工地现场乱堆物料进行监测，发现乱堆物料行为实时预警报警。 </w:t>
      </w:r>
    </w:p>
    <w:p w14:paraId="5E039A43">
      <w:pPr>
        <w:pStyle w:val="54"/>
        <w:spacing w:before="24" w:after="24"/>
      </w:pPr>
      <w:r>
        <w:rPr>
          <w:lang w:bidi="en-US"/>
        </w:rPr>
        <w:t>4.3.7.2数据要求</w:t>
      </w:r>
    </w:p>
    <w:p w14:paraId="4B41DAAD">
      <w:pPr>
        <w:pStyle w:val="54"/>
        <w:spacing w:before="24" w:after="24"/>
      </w:pPr>
      <w:r>
        <w:rPr>
          <w:lang w:bidi="en-US"/>
        </w:rPr>
        <w:t xml:space="preserve">乱堆物料监测数据包括但不限于乱堆物料的时间、地点、所属物料，预警人、处理时间、整改后的影像资料等数据。 </w:t>
      </w:r>
    </w:p>
    <w:p w14:paraId="386EECA0">
      <w:pPr>
        <w:pStyle w:val="54"/>
        <w:spacing w:before="24" w:after="24"/>
      </w:pPr>
      <w:r>
        <w:rPr>
          <w:lang w:bidi="en-US"/>
        </w:rPr>
        <w:t>4.3.8临边防护监测</w:t>
      </w:r>
    </w:p>
    <w:p w14:paraId="12787E6F">
      <w:pPr>
        <w:pStyle w:val="54"/>
        <w:spacing w:before="24" w:after="24"/>
      </w:pPr>
      <w:r>
        <w:rPr>
          <w:lang w:bidi="en-US"/>
        </w:rPr>
        <w:t>4.3.8.1功能要求</w:t>
      </w:r>
    </w:p>
    <w:p w14:paraId="339726AA">
      <w:pPr>
        <w:pStyle w:val="54"/>
        <w:spacing w:before="24" w:after="24"/>
      </w:pPr>
      <w:r>
        <w:rPr>
          <w:lang w:bidi="en-US"/>
        </w:rPr>
        <w:t xml:space="preserve">具备临边防护网实时监测及报警功能：可利用物联网技术、通过GPS定位、红外探测以及双磁吸声光报警等装置，对临边防护网实时监测，防护网遭到破坏时实时报警。 </w:t>
      </w:r>
    </w:p>
    <w:p w14:paraId="48B32664">
      <w:pPr>
        <w:pStyle w:val="54"/>
        <w:spacing w:before="24" w:after="24"/>
      </w:pPr>
      <w:r>
        <w:rPr>
          <w:lang w:bidi="en-US"/>
        </w:rPr>
        <w:t>4.3.8.2数据要求</w:t>
      </w:r>
    </w:p>
    <w:p w14:paraId="1BD4B3FB">
      <w:pPr>
        <w:pStyle w:val="54"/>
        <w:spacing w:before="24" w:after="24"/>
      </w:pPr>
      <w:r>
        <w:rPr>
          <w:lang w:bidi="en-US"/>
        </w:rPr>
        <w:t xml:space="preserve">临边防护监测数据包括但不限于临边防护网的位置、报警数据、报警时间、报警地点、违规人员信息等数据。 </w:t>
      </w:r>
    </w:p>
    <w:p w14:paraId="4A095C01">
      <w:pPr>
        <w:pStyle w:val="54"/>
        <w:spacing w:before="24" w:after="24"/>
      </w:pPr>
      <w:r>
        <w:rPr>
          <w:lang w:bidi="en-US"/>
        </w:rPr>
        <w:t>4.3.9智能广播</w:t>
      </w:r>
    </w:p>
    <w:p w14:paraId="641B7890">
      <w:pPr>
        <w:pStyle w:val="54"/>
        <w:spacing w:before="24" w:after="24"/>
      </w:pPr>
      <w:r>
        <w:rPr>
          <w:lang w:bidi="en-US"/>
        </w:rPr>
        <w:t>4.3.9.1功能要求</w:t>
      </w:r>
    </w:p>
    <w:p w14:paraId="0CED233A">
      <w:pPr>
        <w:pStyle w:val="54"/>
        <w:spacing w:before="24" w:after="24"/>
      </w:pPr>
      <w:r>
        <w:rPr>
          <w:lang w:bidi="en-US"/>
        </w:rPr>
        <w:t xml:space="preserve">（1）具备对不同分区进行远程控制的功能：终端控制可进行点对点、点对多点、多点对多点控制、定时播报。 </w:t>
      </w:r>
    </w:p>
    <w:p w14:paraId="006D25AA">
      <w:pPr>
        <w:pStyle w:val="54"/>
        <w:spacing w:before="24" w:after="24"/>
      </w:pPr>
      <w:r>
        <w:rPr>
          <w:lang w:bidi="en-US"/>
        </w:rPr>
        <w:t xml:space="preserve">（2）具备人员靠近危险区域时自动广播危险提示的功能。 </w:t>
      </w:r>
    </w:p>
    <w:p w14:paraId="764AAA12">
      <w:pPr>
        <w:pStyle w:val="54"/>
        <w:spacing w:before="24" w:after="24"/>
      </w:pPr>
      <w:r>
        <w:rPr>
          <w:lang w:bidi="en-US"/>
        </w:rPr>
        <w:t xml:space="preserve">（3）具备多种形式语音输出、文字编辑转换语音、APP、网络远程对讲的功能。 </w:t>
      </w:r>
    </w:p>
    <w:p w14:paraId="296B610A">
      <w:pPr>
        <w:pStyle w:val="54"/>
        <w:spacing w:before="24" w:after="24"/>
      </w:pPr>
      <w:r>
        <w:rPr>
          <w:lang w:bidi="en-US"/>
        </w:rPr>
        <w:t>4.3.9.2数据要求</w:t>
      </w:r>
    </w:p>
    <w:p w14:paraId="17767C40">
      <w:pPr>
        <w:pStyle w:val="54"/>
        <w:spacing w:before="24" w:after="24"/>
      </w:pPr>
      <w:r>
        <w:rPr>
          <w:lang w:bidi="en-US"/>
        </w:rPr>
        <w:t xml:space="preserve">智能广播数据包括但不限于播放开始时间、结束时间、播放分区、播放内容等数据。 </w:t>
      </w:r>
    </w:p>
    <w:p w14:paraId="37895EE5">
      <w:pPr>
        <w:pStyle w:val="54"/>
        <w:spacing w:before="24" w:after="24"/>
      </w:pPr>
      <w:r>
        <w:rPr>
          <w:lang w:bidi="en-US"/>
        </w:rPr>
        <w:t>4.4质量管理</w:t>
      </w:r>
    </w:p>
    <w:p w14:paraId="2C0A4126">
      <w:pPr>
        <w:pStyle w:val="54"/>
        <w:spacing w:before="24" w:after="24"/>
      </w:pPr>
      <w:r>
        <w:rPr>
          <w:lang w:bidi="en-US"/>
        </w:rPr>
        <w:t>4.4.1基本要求</w:t>
      </w:r>
    </w:p>
    <w:p w14:paraId="20720CFF">
      <w:pPr>
        <w:pStyle w:val="54"/>
        <w:spacing w:before="24" w:after="24"/>
      </w:pPr>
      <w:r>
        <w:rPr>
          <w:lang w:bidi="en-US"/>
        </w:rPr>
        <w:t xml:space="preserve">质量管理业务场景包括但不限于物料管理、装配式建筑预制构件管理、主体结构检测、桩基检测等， 应用场景说明和要求详见表4。 </w:t>
      </w:r>
    </w:p>
    <w:p w14:paraId="52696355">
      <w:pPr>
        <w:pStyle w:val="69"/>
        <w:rPr>
          <w:rFonts w:hint="eastAsia"/>
        </w:rPr>
      </w:pPr>
      <w:r>
        <w:t>表4</w:t>
      </w:r>
      <w:r>
        <w:tab/>
      </w:r>
      <w:r>
        <w:t>质量管理应用场景说明和要求</w:t>
      </w:r>
    </w:p>
    <w:tbl>
      <w:tblPr>
        <w:tblStyle w:val="30"/>
        <w:tblW w:w="0" w:type="auto"/>
        <w:tblInd w:w="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44"/>
        <w:gridCol w:w="1250"/>
        <w:gridCol w:w="5670"/>
        <w:gridCol w:w="1423"/>
      </w:tblGrid>
      <w:tr w14:paraId="48CF1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1" w:hRule="atLeast"/>
        </w:trPr>
        <w:tc>
          <w:tcPr>
            <w:tcW w:w="744" w:type="dxa"/>
            <w:vAlign w:val="center"/>
          </w:tcPr>
          <w:p w14:paraId="3014A5C5">
            <w:pPr>
              <w:pStyle w:val="71"/>
              <w:spacing w:before="24" w:after="24"/>
              <w:rPr>
                <w:rFonts w:cs="Times New Roman"/>
              </w:rPr>
            </w:pPr>
            <w:r>
              <w:rPr>
                <w:rFonts w:cs="Times New Roman"/>
              </w:rPr>
              <w:t xml:space="preserve">序号 </w:t>
            </w:r>
          </w:p>
        </w:tc>
        <w:tc>
          <w:tcPr>
            <w:tcW w:w="1250" w:type="dxa"/>
            <w:vAlign w:val="center"/>
          </w:tcPr>
          <w:p w14:paraId="23285401">
            <w:pPr>
              <w:pStyle w:val="71"/>
              <w:spacing w:before="24" w:after="24"/>
              <w:rPr>
                <w:rFonts w:cs="Times New Roman"/>
              </w:rPr>
            </w:pPr>
            <w:r>
              <w:rPr>
                <w:rFonts w:cs="Times New Roman"/>
              </w:rPr>
              <w:t xml:space="preserve">场景名称 </w:t>
            </w:r>
          </w:p>
        </w:tc>
        <w:tc>
          <w:tcPr>
            <w:tcW w:w="5670" w:type="dxa"/>
            <w:vAlign w:val="center"/>
          </w:tcPr>
          <w:p w14:paraId="5D2B713E">
            <w:pPr>
              <w:pStyle w:val="71"/>
              <w:spacing w:before="24" w:after="24"/>
              <w:rPr>
                <w:rFonts w:cs="Times New Roman"/>
              </w:rPr>
            </w:pPr>
            <w:r>
              <w:rPr>
                <w:rFonts w:cs="Times New Roman"/>
              </w:rPr>
              <w:t xml:space="preserve">场景说明 </w:t>
            </w:r>
          </w:p>
        </w:tc>
        <w:tc>
          <w:tcPr>
            <w:tcW w:w="1423" w:type="dxa"/>
            <w:vAlign w:val="center"/>
          </w:tcPr>
          <w:p w14:paraId="66A45148">
            <w:pPr>
              <w:pStyle w:val="71"/>
              <w:spacing w:before="24" w:after="24"/>
              <w:rPr>
                <w:rFonts w:cs="Times New Roman"/>
              </w:rPr>
            </w:pPr>
            <w:r>
              <w:rPr>
                <w:rFonts w:cs="Times New Roman"/>
              </w:rPr>
              <w:t xml:space="preserve">场景要求 </w:t>
            </w:r>
          </w:p>
        </w:tc>
      </w:tr>
      <w:tr w14:paraId="2BD02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4" w:hRule="atLeast"/>
        </w:trPr>
        <w:tc>
          <w:tcPr>
            <w:tcW w:w="744" w:type="dxa"/>
            <w:vAlign w:val="center"/>
          </w:tcPr>
          <w:p w14:paraId="4BC02D51">
            <w:pPr>
              <w:pStyle w:val="71"/>
              <w:spacing w:before="24" w:after="24"/>
              <w:rPr>
                <w:rFonts w:cs="Times New Roman"/>
              </w:rPr>
            </w:pPr>
            <w:r>
              <w:rPr>
                <w:rFonts w:cs="Times New Roman"/>
              </w:rPr>
              <w:t xml:space="preserve">1 </w:t>
            </w:r>
          </w:p>
        </w:tc>
        <w:tc>
          <w:tcPr>
            <w:tcW w:w="1250" w:type="dxa"/>
            <w:vAlign w:val="center"/>
          </w:tcPr>
          <w:p w14:paraId="269750CC">
            <w:pPr>
              <w:pStyle w:val="71"/>
              <w:spacing w:before="24" w:after="24"/>
              <w:rPr>
                <w:rFonts w:cs="Times New Roman"/>
              </w:rPr>
            </w:pPr>
            <w:r>
              <w:rPr>
                <w:rFonts w:cs="Times New Roman"/>
              </w:rPr>
              <w:t xml:space="preserve">物料管理 </w:t>
            </w:r>
          </w:p>
        </w:tc>
        <w:tc>
          <w:tcPr>
            <w:tcW w:w="5670" w:type="dxa"/>
            <w:vAlign w:val="center"/>
          </w:tcPr>
          <w:p w14:paraId="160369D2">
            <w:pPr>
              <w:pStyle w:val="71"/>
              <w:spacing w:before="24" w:after="24"/>
              <w:jc w:val="both"/>
              <w:rPr>
                <w:rFonts w:cs="Times New Roman"/>
              </w:rPr>
            </w:pPr>
            <w:r>
              <w:rPr>
                <w:rFonts w:cs="Times New Roman"/>
              </w:rPr>
              <w:t xml:space="preserve">对物料数据进行统计、查询、分析及预警，实现物料全过程管理 </w:t>
            </w:r>
          </w:p>
        </w:tc>
        <w:tc>
          <w:tcPr>
            <w:tcW w:w="1423" w:type="dxa"/>
            <w:vAlign w:val="center"/>
          </w:tcPr>
          <w:p w14:paraId="1BFF4A40">
            <w:pPr>
              <w:pStyle w:val="71"/>
              <w:spacing w:before="24" w:after="24"/>
              <w:rPr>
                <w:rFonts w:cs="Times New Roman"/>
              </w:rPr>
            </w:pPr>
            <w:r>
              <w:rPr>
                <w:rFonts w:cs="Times New Roman"/>
              </w:rPr>
              <w:t xml:space="preserve">√ </w:t>
            </w:r>
          </w:p>
        </w:tc>
      </w:tr>
      <w:tr w14:paraId="19712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4" w:hRule="atLeast"/>
        </w:trPr>
        <w:tc>
          <w:tcPr>
            <w:tcW w:w="744" w:type="dxa"/>
            <w:vAlign w:val="center"/>
          </w:tcPr>
          <w:p w14:paraId="6C39AE46">
            <w:pPr>
              <w:pStyle w:val="71"/>
              <w:spacing w:before="24" w:after="24"/>
              <w:rPr>
                <w:rFonts w:cs="Times New Roman"/>
              </w:rPr>
            </w:pPr>
            <w:r>
              <w:rPr>
                <w:rFonts w:cs="Times New Roman"/>
              </w:rPr>
              <w:t xml:space="preserve">2 </w:t>
            </w:r>
          </w:p>
        </w:tc>
        <w:tc>
          <w:tcPr>
            <w:tcW w:w="1250" w:type="dxa"/>
            <w:vAlign w:val="center"/>
          </w:tcPr>
          <w:p w14:paraId="7BDFADC9">
            <w:pPr>
              <w:pStyle w:val="71"/>
              <w:spacing w:before="24" w:after="24"/>
              <w:rPr>
                <w:rFonts w:cs="Times New Roman"/>
              </w:rPr>
            </w:pPr>
            <w:r>
              <w:rPr>
                <w:rFonts w:cs="Times New Roman"/>
              </w:rPr>
              <w:t xml:space="preserve">数字化巡检 </w:t>
            </w:r>
          </w:p>
        </w:tc>
        <w:tc>
          <w:tcPr>
            <w:tcW w:w="5670" w:type="dxa"/>
            <w:vAlign w:val="center"/>
          </w:tcPr>
          <w:p w14:paraId="4F1AE9AF">
            <w:pPr>
              <w:pStyle w:val="71"/>
              <w:spacing w:before="24" w:after="24"/>
              <w:jc w:val="both"/>
              <w:rPr>
                <w:rFonts w:cs="Times New Roman"/>
              </w:rPr>
            </w:pPr>
            <w:r>
              <w:rPr>
                <w:rFonts w:cs="Times New Roman"/>
                <w:spacing w:val="-2"/>
              </w:rPr>
              <w:t>系统通过传感等有关技术实现巡检数据采集，对未按巡检任务完成</w:t>
            </w:r>
            <w:r>
              <w:rPr>
                <w:rFonts w:cs="Times New Roman"/>
              </w:rPr>
              <w:t xml:space="preserve">巡检的，系统及时告警并推送给相关人员 </w:t>
            </w:r>
          </w:p>
        </w:tc>
        <w:tc>
          <w:tcPr>
            <w:tcW w:w="1423" w:type="dxa"/>
            <w:vAlign w:val="center"/>
          </w:tcPr>
          <w:p w14:paraId="5683CD8B">
            <w:pPr>
              <w:pStyle w:val="71"/>
              <w:spacing w:before="24" w:after="24"/>
              <w:rPr>
                <w:rFonts w:cs="Times New Roman"/>
              </w:rPr>
            </w:pPr>
            <w:r>
              <w:rPr>
                <w:rFonts w:cs="Times New Roman"/>
              </w:rPr>
              <w:t xml:space="preserve">√ </w:t>
            </w:r>
          </w:p>
        </w:tc>
      </w:tr>
      <w:tr w14:paraId="0073D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4" w:hRule="atLeast"/>
        </w:trPr>
        <w:tc>
          <w:tcPr>
            <w:tcW w:w="744" w:type="dxa"/>
            <w:vAlign w:val="center"/>
          </w:tcPr>
          <w:p w14:paraId="250D3F45">
            <w:pPr>
              <w:pStyle w:val="71"/>
              <w:spacing w:before="24" w:after="24"/>
              <w:rPr>
                <w:rFonts w:cs="Times New Roman"/>
              </w:rPr>
            </w:pPr>
            <w:r>
              <w:rPr>
                <w:rFonts w:cs="Times New Roman"/>
                <w:lang w:bidi="en-US"/>
              </w:rPr>
              <w:t>3</w:t>
            </w:r>
          </w:p>
        </w:tc>
        <w:tc>
          <w:tcPr>
            <w:tcW w:w="1250" w:type="dxa"/>
            <w:vAlign w:val="center"/>
          </w:tcPr>
          <w:p w14:paraId="0840FEDB">
            <w:pPr>
              <w:pStyle w:val="71"/>
              <w:spacing w:before="24" w:after="24"/>
              <w:rPr>
                <w:rFonts w:cs="Times New Roman"/>
              </w:rPr>
            </w:pPr>
            <w:r>
              <w:rPr>
                <w:rFonts w:cs="Times New Roman"/>
              </w:rPr>
              <w:t xml:space="preserve">数字化测量 </w:t>
            </w:r>
          </w:p>
        </w:tc>
        <w:tc>
          <w:tcPr>
            <w:tcW w:w="5670" w:type="dxa"/>
            <w:vAlign w:val="center"/>
          </w:tcPr>
          <w:p w14:paraId="407DC14B">
            <w:pPr>
              <w:pStyle w:val="71"/>
              <w:spacing w:before="24" w:after="24"/>
              <w:jc w:val="both"/>
              <w:rPr>
                <w:rFonts w:cs="Times New Roman"/>
              </w:rPr>
            </w:pPr>
            <w:r>
              <w:rPr>
                <w:rFonts w:cs="Times New Roman"/>
                <w:spacing w:val="-3"/>
              </w:rPr>
              <w:t>通过在施工现场安装数字化测量设备，对工地各种通用及专业数据</w:t>
            </w:r>
            <w:r>
              <w:rPr>
                <w:rFonts w:cs="Times New Roman"/>
              </w:rPr>
              <w:t xml:space="preserve">采集系统实时的测控 </w:t>
            </w:r>
          </w:p>
        </w:tc>
        <w:tc>
          <w:tcPr>
            <w:tcW w:w="1423" w:type="dxa"/>
            <w:vAlign w:val="center"/>
          </w:tcPr>
          <w:p w14:paraId="336D3AC1">
            <w:pPr>
              <w:pStyle w:val="71"/>
              <w:spacing w:before="24" w:after="24"/>
              <w:rPr>
                <w:rFonts w:cs="Times New Roman"/>
              </w:rPr>
            </w:pPr>
            <w:r>
              <w:rPr>
                <w:rFonts w:ascii="Cambria Math" w:hAnsi="Cambria Math" w:eastAsia="宋体" w:cs="Cambria Math"/>
              </w:rPr>
              <w:t>△</w:t>
            </w:r>
            <w:r>
              <w:rPr>
                <w:rFonts w:cs="Times New Roman"/>
              </w:rPr>
              <w:t xml:space="preserve"> </w:t>
            </w:r>
          </w:p>
        </w:tc>
      </w:tr>
      <w:tr w14:paraId="1215E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4" w:hRule="atLeast"/>
        </w:trPr>
        <w:tc>
          <w:tcPr>
            <w:tcW w:w="744" w:type="dxa"/>
            <w:vAlign w:val="center"/>
          </w:tcPr>
          <w:p w14:paraId="76EB806A">
            <w:pPr>
              <w:pStyle w:val="71"/>
              <w:spacing w:before="24" w:after="24"/>
              <w:rPr>
                <w:rFonts w:cs="Times New Roman"/>
              </w:rPr>
            </w:pPr>
            <w:r>
              <w:rPr>
                <w:rFonts w:cs="Times New Roman"/>
                <w:lang w:bidi="en-US"/>
              </w:rPr>
              <w:t>4</w:t>
            </w:r>
          </w:p>
        </w:tc>
        <w:tc>
          <w:tcPr>
            <w:tcW w:w="1250" w:type="dxa"/>
            <w:vAlign w:val="center"/>
          </w:tcPr>
          <w:p w14:paraId="43AA5214">
            <w:pPr>
              <w:pStyle w:val="71"/>
              <w:spacing w:before="24" w:after="24"/>
              <w:rPr>
                <w:rFonts w:cs="Times New Roman"/>
              </w:rPr>
            </w:pPr>
            <w:r>
              <w:rPr>
                <w:rFonts w:cs="Times New Roman"/>
              </w:rPr>
              <w:t xml:space="preserve">大体积混凝土温度监测 </w:t>
            </w:r>
          </w:p>
        </w:tc>
        <w:tc>
          <w:tcPr>
            <w:tcW w:w="5670" w:type="dxa"/>
            <w:vAlign w:val="center"/>
          </w:tcPr>
          <w:p w14:paraId="781B9A1C">
            <w:pPr>
              <w:pStyle w:val="71"/>
              <w:spacing w:before="24" w:after="24"/>
              <w:jc w:val="both"/>
              <w:rPr>
                <w:rFonts w:cs="Times New Roman"/>
              </w:rPr>
            </w:pPr>
            <w:r>
              <w:rPr>
                <w:rFonts w:cs="Times New Roman"/>
                <w:spacing w:val="-2"/>
              </w:rPr>
              <w:t>对现场大体积混凝土温度数据采集和汇总分析，及时发现工程隐患</w:t>
            </w:r>
            <w:r>
              <w:rPr>
                <w:rFonts w:cs="Times New Roman"/>
              </w:rPr>
              <w:t xml:space="preserve">信息  </w:t>
            </w:r>
          </w:p>
        </w:tc>
        <w:tc>
          <w:tcPr>
            <w:tcW w:w="1423" w:type="dxa"/>
            <w:vAlign w:val="center"/>
          </w:tcPr>
          <w:p w14:paraId="55F42400">
            <w:pPr>
              <w:pStyle w:val="71"/>
              <w:spacing w:before="24" w:after="24"/>
              <w:rPr>
                <w:rFonts w:cs="Times New Roman"/>
              </w:rPr>
            </w:pPr>
            <w:r>
              <w:rPr>
                <w:rFonts w:ascii="Cambria Math" w:hAnsi="Cambria Math" w:eastAsia="宋体" w:cs="Cambria Math"/>
              </w:rPr>
              <w:t>△</w:t>
            </w:r>
            <w:r>
              <w:rPr>
                <w:rFonts w:cs="Times New Roman"/>
              </w:rPr>
              <w:t xml:space="preserve"> </w:t>
            </w:r>
          </w:p>
        </w:tc>
      </w:tr>
      <w:tr w14:paraId="078C3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4" w:hRule="atLeast"/>
        </w:trPr>
        <w:tc>
          <w:tcPr>
            <w:tcW w:w="9087" w:type="dxa"/>
            <w:gridSpan w:val="4"/>
            <w:vAlign w:val="center"/>
          </w:tcPr>
          <w:p w14:paraId="6DA5AA89">
            <w:pPr>
              <w:pStyle w:val="71"/>
              <w:spacing w:before="24" w:after="24"/>
              <w:jc w:val="left"/>
              <w:rPr>
                <w:rFonts w:cs="Times New Roman"/>
              </w:rPr>
            </w:pPr>
            <w:r>
              <w:rPr>
                <w:rFonts w:cs="Times New Roman"/>
              </w:rPr>
              <w:t>注：√-必选项；</w:t>
            </w:r>
            <w:r>
              <w:rPr>
                <w:rFonts w:ascii="Cambria Math" w:hAnsi="Cambria Math" w:eastAsia="宋体" w:cs="Cambria Math"/>
              </w:rPr>
              <w:t>△</w:t>
            </w:r>
            <w:r>
              <w:rPr>
                <w:rFonts w:cs="Times New Roman"/>
              </w:rPr>
              <w:t>-可选项。</w:t>
            </w:r>
          </w:p>
        </w:tc>
      </w:tr>
    </w:tbl>
    <w:p w14:paraId="28BD0CB6">
      <w:pPr>
        <w:pStyle w:val="54"/>
        <w:spacing w:before="24" w:after="24"/>
      </w:pPr>
      <w:r>
        <w:rPr>
          <w:lang w:bidi="en-US"/>
        </w:rPr>
        <w:t>4.4.2物料管理</w:t>
      </w:r>
    </w:p>
    <w:p w14:paraId="779D61F4">
      <w:pPr>
        <w:pStyle w:val="54"/>
        <w:spacing w:before="24" w:after="24"/>
      </w:pPr>
      <w:r>
        <w:rPr>
          <w:lang w:bidi="en-US"/>
        </w:rPr>
        <w:t>4.4.2.1功能要求</w:t>
      </w:r>
    </w:p>
    <w:p w14:paraId="6BC3C48D">
      <w:pPr>
        <w:pStyle w:val="54"/>
        <w:spacing w:before="24" w:after="24"/>
      </w:pPr>
      <w:r>
        <w:rPr>
          <w:lang w:bidi="en-US"/>
        </w:rPr>
        <w:t>（1）应建功能：读取、识别、记录、连接数据库、实时上传物料数据的功能。</w:t>
      </w:r>
      <w:r>
        <w:rPr>
          <w:spacing w:val="-3"/>
        </w:rPr>
        <w:t xml:space="preserve"> </w:t>
      </w:r>
    </w:p>
    <w:p w14:paraId="50583940">
      <w:pPr>
        <w:pStyle w:val="54"/>
        <w:spacing w:before="24" w:after="24"/>
      </w:pPr>
      <w:r>
        <w:rPr>
          <w:lang w:bidi="en-US"/>
        </w:rPr>
        <w:t xml:space="preserve">（2）宜建功能： </w:t>
      </w:r>
    </w:p>
    <w:p w14:paraId="639938F8">
      <w:pPr>
        <w:pStyle w:val="54"/>
        <w:spacing w:before="24" w:after="24"/>
      </w:pPr>
      <w:r>
        <w:rPr>
          <w:lang w:bidi="en-US"/>
        </w:rPr>
        <w:t xml:space="preserve">a）对检验检测数据进行统计、查询、分析、预警及验证检验检测报告的功能； </w:t>
      </w:r>
    </w:p>
    <w:p w14:paraId="082B7171">
      <w:pPr>
        <w:pStyle w:val="54"/>
        <w:spacing w:before="24" w:after="24"/>
      </w:pPr>
      <w:r>
        <w:rPr>
          <w:lang w:bidi="en-US"/>
        </w:rPr>
        <w:t xml:space="preserve">b）工地、检测机构、管理部门数据共享对接的功能。 </w:t>
      </w:r>
    </w:p>
    <w:p w14:paraId="05ABAC62">
      <w:pPr>
        <w:pStyle w:val="54"/>
        <w:spacing w:before="24" w:after="24"/>
      </w:pPr>
      <w:r>
        <w:rPr>
          <w:lang w:bidi="en-US"/>
        </w:rPr>
        <w:t>4.4.2.2数据要求</w:t>
      </w:r>
    </w:p>
    <w:p w14:paraId="2600E526">
      <w:pPr>
        <w:pStyle w:val="54"/>
        <w:spacing w:before="24" w:after="24"/>
      </w:pPr>
      <w:r>
        <w:rPr>
          <w:lang w:bidi="en-US"/>
        </w:rPr>
        <w:t xml:space="preserve">物料管理数据包括但不限于物料名称、规格型号、材质、数量、生产单位、供应单位、进场日期、复试结果、入库时间、入库数量、库存总量、收料人、出库时间、出库数量、库存余量、使用部位、发料人、领料单位、领料人、物料退场时间、退场原因、退场数量、退料人等数据。 </w:t>
      </w:r>
    </w:p>
    <w:p w14:paraId="0B63A977">
      <w:pPr>
        <w:pStyle w:val="54"/>
        <w:spacing w:before="24" w:after="24"/>
      </w:pPr>
      <w:r>
        <w:rPr>
          <w:lang w:bidi="en-US"/>
        </w:rPr>
        <w:t>4.4.3数字化巡检</w:t>
      </w:r>
    </w:p>
    <w:p w14:paraId="0968F8B9">
      <w:pPr>
        <w:pStyle w:val="54"/>
        <w:spacing w:before="24" w:after="24"/>
      </w:pPr>
      <w:r>
        <w:rPr>
          <w:lang w:bidi="en-US"/>
        </w:rPr>
        <w:t>4.4.3.1功能要求</w:t>
      </w:r>
    </w:p>
    <w:p w14:paraId="1B1A976B">
      <w:pPr>
        <w:pStyle w:val="54"/>
        <w:spacing w:before="24" w:after="24"/>
      </w:pPr>
      <w:r>
        <w:rPr>
          <w:lang w:bidi="en-US"/>
        </w:rPr>
        <w:t xml:space="preserve">（1）应建功能： </w:t>
      </w:r>
    </w:p>
    <w:p w14:paraId="662F9EEA">
      <w:pPr>
        <w:pStyle w:val="54"/>
        <w:spacing w:before="24" w:after="24"/>
      </w:pPr>
      <w:r>
        <w:rPr>
          <w:lang w:bidi="en-US"/>
        </w:rPr>
        <w:t xml:space="preserve">a）手持终端快速识别RFID 电子标签，实现数据采集功能； </w:t>
      </w:r>
    </w:p>
    <w:p w14:paraId="4BF055F1">
      <w:pPr>
        <w:pStyle w:val="54"/>
        <w:spacing w:before="24" w:after="24"/>
      </w:pPr>
      <w:r>
        <w:rPr>
          <w:lang w:bidi="en-US"/>
        </w:rPr>
        <w:t xml:space="preserve">b）巡检目标识别、异常行为记录功能；  c）拍照取证功能：可对巡检目标拍照留存； </w:t>
      </w:r>
    </w:p>
    <w:p w14:paraId="5E1DDDB5">
      <w:pPr>
        <w:pStyle w:val="54"/>
        <w:spacing w:before="24" w:after="24"/>
      </w:pPr>
      <w:r>
        <w:rPr>
          <w:lang w:bidi="en-US"/>
        </w:rPr>
        <w:t xml:space="preserve">d）危险区域巡检任务自动推送功能：可对工地上的塔吊、升降梯、吊篮等重要设施和临边洞口、通道口、新增施工楼面等危险区域进行巡检任务自动推送； </w:t>
      </w:r>
    </w:p>
    <w:p w14:paraId="3ACF5CD2">
      <w:pPr>
        <w:pStyle w:val="54"/>
        <w:spacing w:before="24" w:after="24"/>
      </w:pPr>
      <w:r>
        <w:rPr>
          <w:lang w:bidi="en-US"/>
        </w:rPr>
        <w:t xml:space="preserve">e）巡检任务推送功能：可根据项目施工现场情况，制定重点巡检内容并进行推送；按巡检任务开展巡检的，巡检人员在巡检点位将巡检现场照片上传系统，并生成巡检记录；未按巡检任务开展巡检的，系统能及时报警并推送给相关人员。 </w:t>
      </w:r>
    </w:p>
    <w:p w14:paraId="4028A5A0">
      <w:pPr>
        <w:pStyle w:val="54"/>
        <w:spacing w:before="24" w:after="24"/>
      </w:pPr>
      <w:r>
        <w:rPr>
          <w:lang w:bidi="en-US"/>
        </w:rPr>
        <w:t xml:space="preserve">（2）宜建功能： </w:t>
      </w:r>
    </w:p>
    <w:p w14:paraId="7266D3F2">
      <w:pPr>
        <w:pStyle w:val="54"/>
        <w:spacing w:before="24" w:after="24"/>
      </w:pPr>
      <w:r>
        <w:rPr>
          <w:lang w:bidi="en-US"/>
        </w:rPr>
        <w:t xml:space="preserve">a）巡检操作人员进行人脸识别认证的功能：进行授权认证后方可作业； </w:t>
      </w:r>
    </w:p>
    <w:p w14:paraId="6DDDEF89">
      <w:pPr>
        <w:pStyle w:val="54"/>
        <w:spacing w:before="24" w:after="24"/>
      </w:pPr>
      <w:r>
        <w:rPr>
          <w:lang w:bidi="en-US"/>
        </w:rPr>
        <w:t xml:space="preserve">b）GPS 定位功能：可用于记录作业时的位置信息； </w:t>
      </w:r>
    </w:p>
    <w:p w14:paraId="763B4816">
      <w:pPr>
        <w:pStyle w:val="54"/>
        <w:spacing w:before="24" w:after="24"/>
      </w:pPr>
      <w:r>
        <w:rPr>
          <w:lang w:bidi="en-US"/>
        </w:rPr>
        <w:t xml:space="preserve">c）巡检自动提醒功能：可自动判断当前施工面楼层是第几层，施工楼层新增一层后系统能自动推送通知及告警信息，发送给巡检人员和监管人员提醒当前楼层需要开始巡检； </w:t>
      </w:r>
    </w:p>
    <w:p w14:paraId="5B4974CB">
      <w:pPr>
        <w:pStyle w:val="54"/>
        <w:spacing w:before="24" w:after="24"/>
      </w:pPr>
      <w:r>
        <w:rPr>
          <w:lang w:bidi="en-US"/>
        </w:rPr>
        <w:t xml:space="preserve">d）远程和移动智能终端实时查看安全巡检记录，及时进行跟踪处理的功能； </w:t>
      </w:r>
    </w:p>
    <w:p w14:paraId="2C1272E1">
      <w:pPr>
        <w:pStyle w:val="54"/>
        <w:spacing w:before="24" w:after="24"/>
      </w:pPr>
      <w:r>
        <w:rPr>
          <w:lang w:bidi="en-US"/>
        </w:rPr>
        <w:t xml:space="preserve">e）验收巡检功能：可与设计要求进行比对并反馈结果，针对不符合设计要求的提出相应的工艺工法进行处理。 </w:t>
      </w:r>
    </w:p>
    <w:p w14:paraId="5ACDE120">
      <w:pPr>
        <w:pStyle w:val="54"/>
        <w:spacing w:before="24" w:after="24"/>
      </w:pPr>
      <w:r>
        <w:rPr>
          <w:lang w:bidi="en-US"/>
        </w:rPr>
        <w:t>4.4.3.2数据要求</w:t>
      </w:r>
    </w:p>
    <w:p w14:paraId="27427C17">
      <w:pPr>
        <w:pStyle w:val="54"/>
        <w:spacing w:before="24" w:after="24"/>
      </w:pPr>
      <w:r>
        <w:rPr>
          <w:lang w:bidi="en-US"/>
        </w:rPr>
        <w:t xml:space="preserve">数字化巡检数据包括但不限于巡检人、巡检时间、巡检部位、巡检问题描述、巡检结论，巡检问题整改人、整改时间、整改效果说明，复检时间、复检人、复检结论等数据。 </w:t>
      </w:r>
    </w:p>
    <w:p w14:paraId="3C9F54AC">
      <w:pPr>
        <w:pStyle w:val="54"/>
        <w:spacing w:before="24" w:after="24"/>
      </w:pPr>
      <w:r>
        <w:rPr>
          <w:lang w:bidi="en-US"/>
        </w:rPr>
        <w:t>4.4.5数字化测量</w:t>
      </w:r>
    </w:p>
    <w:p w14:paraId="47802DEA">
      <w:pPr>
        <w:pStyle w:val="54"/>
        <w:spacing w:before="24" w:after="24"/>
      </w:pPr>
      <w:r>
        <w:rPr>
          <w:lang w:bidi="en-US"/>
        </w:rPr>
        <w:t>4.4.5.1功能要求</w:t>
      </w:r>
    </w:p>
    <w:p w14:paraId="1B6E4546">
      <w:pPr>
        <w:pStyle w:val="54"/>
        <w:spacing w:before="24" w:after="24"/>
      </w:pPr>
      <w:r>
        <w:rPr>
          <w:lang w:bidi="en-US"/>
        </w:rPr>
        <w:t xml:space="preserve">（1）具备远距离（不超过 50m）测量功能：可通过安装在施工现场制高点处（如塔吊）的全景成像测距摄像机，对工地施工作业面的钢筋间距或直径等尺寸进行测量。 </w:t>
      </w:r>
    </w:p>
    <w:p w14:paraId="70644B0B">
      <w:pPr>
        <w:pStyle w:val="54"/>
        <w:spacing w:before="24" w:after="24"/>
      </w:pPr>
      <w:r>
        <w:rPr>
          <w:lang w:bidi="en-US"/>
        </w:rPr>
        <w:t xml:space="preserve">（2）具备监控面全景图生成功能：可对施工作业面节点进行自动扫描截图、上传存储、全景拼图，生成现场监控面全景图。 </w:t>
      </w:r>
    </w:p>
    <w:p w14:paraId="529FE32D">
      <w:pPr>
        <w:pStyle w:val="54"/>
        <w:spacing w:before="24" w:after="24"/>
      </w:pPr>
      <w:r>
        <w:rPr>
          <w:lang w:bidi="en-US"/>
        </w:rPr>
        <w:t xml:space="preserve">（3）具备测量结果自动跟踪 CAD 图纸进行比对的功能。 </w:t>
      </w:r>
    </w:p>
    <w:p w14:paraId="5ADB0AB1">
      <w:pPr>
        <w:pStyle w:val="54"/>
        <w:spacing w:before="24" w:after="24"/>
      </w:pPr>
      <w:r>
        <w:rPr>
          <w:lang w:bidi="en-US"/>
        </w:rPr>
        <w:t xml:space="preserve">（4）具备鼠标点击进入后查找工程作业面位置所对应的 CAD 图纸的功能。 </w:t>
      </w:r>
    </w:p>
    <w:p w14:paraId="2035FDDF">
      <w:pPr>
        <w:pStyle w:val="54"/>
        <w:spacing w:before="24" w:after="24"/>
      </w:pPr>
      <w:r>
        <w:rPr>
          <w:lang w:bidi="en-US"/>
        </w:rPr>
        <w:t xml:space="preserve">（5）具备自动识别新增楼层、自动推送巡检任务的功能。 </w:t>
      </w:r>
    </w:p>
    <w:p w14:paraId="5259181F">
      <w:pPr>
        <w:pStyle w:val="54"/>
        <w:spacing w:before="24" w:after="24"/>
      </w:pPr>
      <w:r>
        <w:rPr>
          <w:lang w:bidi="en-US"/>
        </w:rPr>
        <w:t xml:space="preserve">（6）具备自动扫描施工围挡，发现围挡占道自动告警的功能。 </w:t>
      </w:r>
    </w:p>
    <w:p w14:paraId="3EFF3B5F">
      <w:pPr>
        <w:pStyle w:val="54"/>
        <w:spacing w:before="24" w:after="24"/>
      </w:pPr>
      <w:r>
        <w:rPr>
          <w:lang w:bidi="en-US"/>
        </w:rPr>
        <w:t xml:space="preserve">（7）具备深基坑、高支模测量实景可比对图像定位的功能。 </w:t>
      </w:r>
    </w:p>
    <w:p w14:paraId="60958ABE">
      <w:pPr>
        <w:pStyle w:val="54"/>
        <w:spacing w:before="24" w:after="24"/>
      </w:pPr>
      <w:r>
        <w:rPr>
          <w:lang w:bidi="en-US"/>
        </w:rPr>
        <w:t xml:space="preserve">（8）具备吊钩远程测量辅助定位功能。 </w:t>
      </w:r>
    </w:p>
    <w:p w14:paraId="63F8960E">
      <w:pPr>
        <w:pStyle w:val="54"/>
        <w:spacing w:before="24" w:after="24"/>
      </w:pPr>
      <w:r>
        <w:rPr>
          <w:lang w:bidi="en-US"/>
        </w:rPr>
        <w:t xml:space="preserve">（9）具备通过标定混凝土浇筑前后的高度，自动计算显示混凝土浇筑的厚度的功能。 </w:t>
      </w:r>
    </w:p>
    <w:p w14:paraId="52A17AAA">
      <w:pPr>
        <w:pStyle w:val="54"/>
        <w:spacing w:before="24" w:after="24"/>
      </w:pPr>
      <w:r>
        <w:rPr>
          <w:lang w:bidi="en-US"/>
        </w:rPr>
        <w:t xml:space="preserve">（10）具备见证取样功能。 </w:t>
      </w:r>
    </w:p>
    <w:p w14:paraId="17EBB4F6">
      <w:pPr>
        <w:pStyle w:val="54"/>
        <w:spacing w:before="24" w:after="24"/>
      </w:pPr>
      <w:r>
        <w:rPr>
          <w:lang w:bidi="en-US"/>
        </w:rPr>
        <w:t>4.4.5.2数据要求</w:t>
      </w:r>
    </w:p>
    <w:p w14:paraId="4889F5BE">
      <w:pPr>
        <w:pStyle w:val="54"/>
        <w:spacing w:before="24" w:after="24"/>
      </w:pPr>
      <w:r>
        <w:rPr>
          <w:lang w:bidi="en-US"/>
        </w:rPr>
        <w:t xml:space="preserve">数字化测量数据包括但不限于影像数据、图片数据、测量数据、摄像机位置信息数据、摄像机属性信息数据、视频预警信息数据、历史记录信息等数据。 </w:t>
      </w:r>
    </w:p>
    <w:p w14:paraId="6FA55296">
      <w:pPr>
        <w:pStyle w:val="54"/>
        <w:spacing w:before="24" w:after="24"/>
      </w:pPr>
      <w:r>
        <w:rPr>
          <w:lang w:bidi="en-US"/>
        </w:rPr>
        <w:t>4.4.6大体积混凝土温度监测</w:t>
      </w:r>
    </w:p>
    <w:p w14:paraId="345E3928">
      <w:pPr>
        <w:pStyle w:val="54"/>
        <w:spacing w:before="24" w:after="24"/>
      </w:pPr>
      <w:r>
        <w:rPr>
          <w:lang w:bidi="en-US"/>
        </w:rPr>
        <w:t>4.4.6.1功能要求</w:t>
      </w:r>
    </w:p>
    <w:p w14:paraId="1DC38654">
      <w:pPr>
        <w:pStyle w:val="54"/>
        <w:spacing w:before="24" w:after="24"/>
      </w:pPr>
      <w:r>
        <w:rPr>
          <w:lang w:bidi="en-US"/>
        </w:rPr>
        <w:t xml:space="preserve">（1）具备实时监测大体积混凝土温度的功能。 </w:t>
      </w:r>
    </w:p>
    <w:p w14:paraId="71051356">
      <w:pPr>
        <w:pStyle w:val="54"/>
        <w:spacing w:before="24" w:after="24"/>
      </w:pPr>
      <w:r>
        <w:rPr>
          <w:lang w:bidi="en-US"/>
        </w:rPr>
        <w:t xml:space="preserve">（2）具备温度、时间参数的显示、存储、处理等功能。 </w:t>
      </w:r>
    </w:p>
    <w:p w14:paraId="6AC3CDBD">
      <w:pPr>
        <w:pStyle w:val="54"/>
        <w:spacing w:before="24" w:after="24"/>
      </w:pPr>
      <w:r>
        <w:rPr>
          <w:lang w:bidi="en-US"/>
        </w:rPr>
        <w:t>（3）具备信息数据统计、分析、查询功能：能够及时发现工程隐患信息，发送预警和整改信息。</w:t>
      </w:r>
    </w:p>
    <w:p w14:paraId="74B8C378">
      <w:pPr>
        <w:pStyle w:val="54"/>
        <w:spacing w:before="24" w:after="24"/>
      </w:pPr>
      <w:r>
        <w:rPr>
          <w:lang w:bidi="en-US"/>
        </w:rPr>
        <w:t>4.4.6.2数据要求</w:t>
      </w:r>
    </w:p>
    <w:p w14:paraId="6F2FBD70">
      <w:pPr>
        <w:pStyle w:val="54"/>
        <w:spacing w:before="24" w:after="24"/>
      </w:pPr>
      <w:r>
        <w:rPr>
          <w:lang w:bidi="en-US"/>
        </w:rPr>
        <w:t xml:space="preserve">大体积混凝土温度监测数据包括但不限于混凝土生产工艺、强度等级、原材料、配合比、入模温度、混凝土浇筑体里表温差、降温速率及环境温度等数据。 </w:t>
      </w:r>
    </w:p>
    <w:p w14:paraId="158372CB">
      <w:pPr>
        <w:pStyle w:val="54"/>
        <w:spacing w:before="24" w:after="24"/>
      </w:pPr>
      <w:r>
        <w:rPr>
          <w:lang w:bidi="en-US"/>
        </w:rPr>
        <w:t>4.5绿色施工</w:t>
      </w:r>
    </w:p>
    <w:p w14:paraId="6ED78805">
      <w:pPr>
        <w:pStyle w:val="54"/>
        <w:spacing w:before="24" w:after="24"/>
      </w:pPr>
      <w:r>
        <w:rPr>
          <w:lang w:bidi="en-US"/>
        </w:rPr>
        <w:t>4.5.1基本要求</w:t>
      </w:r>
    </w:p>
    <w:p w14:paraId="5D8A2372">
      <w:pPr>
        <w:pStyle w:val="54"/>
        <w:spacing w:before="24" w:after="24"/>
      </w:pPr>
      <w:r>
        <w:rPr>
          <w:lang w:bidi="en-US"/>
        </w:rPr>
        <w:t xml:space="preserve">绿色施工业务场景包括但不限于扬尘监测管理、噪声监测管理、自动喷淋联控、水电能耗监测等， 应用场景说明和要求详见表5。 </w:t>
      </w:r>
    </w:p>
    <w:p w14:paraId="177EC188">
      <w:pPr>
        <w:pStyle w:val="69"/>
        <w:rPr>
          <w:rFonts w:hint="eastAsia"/>
        </w:rPr>
      </w:pPr>
      <w:r>
        <w:t>表5</w:t>
      </w:r>
      <w:r>
        <w:tab/>
      </w:r>
      <w:r>
        <w:t>绿色施工应用场景说明和要求</w:t>
      </w:r>
    </w:p>
    <w:tbl>
      <w:tblPr>
        <w:tblStyle w:val="30"/>
        <w:tblW w:w="9184" w:type="dxa"/>
        <w:tblInd w:w="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906"/>
        <w:gridCol w:w="1694"/>
        <w:gridCol w:w="5308"/>
        <w:gridCol w:w="1276"/>
      </w:tblGrid>
      <w:tr w14:paraId="008F27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blHeader/>
        </w:trPr>
        <w:tc>
          <w:tcPr>
            <w:tcW w:w="906" w:type="dxa"/>
            <w:tcBorders>
              <w:right w:val="single" w:color="000000" w:sz="4" w:space="0"/>
            </w:tcBorders>
            <w:vAlign w:val="center"/>
          </w:tcPr>
          <w:p w14:paraId="74D32E35">
            <w:pPr>
              <w:pStyle w:val="71"/>
              <w:spacing w:before="24" w:after="24"/>
              <w:rPr>
                <w:rFonts w:cs="Times New Roman"/>
              </w:rPr>
            </w:pPr>
            <w:r>
              <w:rPr>
                <w:rFonts w:cs="Times New Roman"/>
              </w:rPr>
              <w:t xml:space="preserve">序号 </w:t>
            </w:r>
          </w:p>
        </w:tc>
        <w:tc>
          <w:tcPr>
            <w:tcW w:w="1694" w:type="dxa"/>
            <w:tcBorders>
              <w:left w:val="single" w:color="000000" w:sz="4" w:space="0"/>
              <w:right w:val="single" w:color="000000" w:sz="4" w:space="0"/>
            </w:tcBorders>
            <w:vAlign w:val="center"/>
          </w:tcPr>
          <w:p w14:paraId="64A0A31C">
            <w:pPr>
              <w:pStyle w:val="71"/>
              <w:spacing w:before="24" w:after="24"/>
              <w:rPr>
                <w:rFonts w:cs="Times New Roman"/>
              </w:rPr>
            </w:pPr>
            <w:r>
              <w:rPr>
                <w:rFonts w:cs="Times New Roman"/>
              </w:rPr>
              <w:t xml:space="preserve">场景名称 </w:t>
            </w:r>
          </w:p>
        </w:tc>
        <w:tc>
          <w:tcPr>
            <w:tcW w:w="5308" w:type="dxa"/>
            <w:tcBorders>
              <w:left w:val="single" w:color="000000" w:sz="4" w:space="0"/>
              <w:right w:val="single" w:color="000000" w:sz="4" w:space="0"/>
            </w:tcBorders>
            <w:vAlign w:val="center"/>
          </w:tcPr>
          <w:p w14:paraId="019E4CC1">
            <w:pPr>
              <w:pStyle w:val="71"/>
              <w:spacing w:before="24" w:after="24"/>
              <w:rPr>
                <w:rFonts w:cs="Times New Roman"/>
              </w:rPr>
            </w:pPr>
            <w:r>
              <w:rPr>
                <w:rFonts w:cs="Times New Roman"/>
              </w:rPr>
              <w:t xml:space="preserve">场景说明 </w:t>
            </w:r>
          </w:p>
        </w:tc>
        <w:tc>
          <w:tcPr>
            <w:tcW w:w="1276" w:type="dxa"/>
            <w:tcBorders>
              <w:left w:val="single" w:color="000000" w:sz="4" w:space="0"/>
            </w:tcBorders>
            <w:vAlign w:val="center"/>
          </w:tcPr>
          <w:p w14:paraId="30F34AF3">
            <w:pPr>
              <w:pStyle w:val="71"/>
              <w:spacing w:before="24" w:after="24"/>
              <w:rPr>
                <w:rFonts w:cs="Times New Roman"/>
              </w:rPr>
            </w:pPr>
            <w:r>
              <w:rPr>
                <w:rFonts w:cs="Times New Roman"/>
              </w:rPr>
              <w:t xml:space="preserve">场景要求 </w:t>
            </w:r>
          </w:p>
        </w:tc>
      </w:tr>
      <w:tr w14:paraId="26E858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35" w:hRule="atLeast"/>
        </w:trPr>
        <w:tc>
          <w:tcPr>
            <w:tcW w:w="906" w:type="dxa"/>
            <w:tcBorders>
              <w:bottom w:val="single" w:color="000000" w:sz="4" w:space="0"/>
              <w:right w:val="single" w:color="000000" w:sz="4" w:space="0"/>
            </w:tcBorders>
            <w:vAlign w:val="center"/>
          </w:tcPr>
          <w:p w14:paraId="0ED8A886">
            <w:pPr>
              <w:pStyle w:val="71"/>
              <w:spacing w:before="24" w:after="24"/>
              <w:rPr>
                <w:rFonts w:cs="Times New Roman"/>
              </w:rPr>
            </w:pPr>
            <w:r>
              <w:rPr>
                <w:rFonts w:cs="Times New Roman"/>
              </w:rPr>
              <w:t xml:space="preserve">1 </w:t>
            </w:r>
          </w:p>
        </w:tc>
        <w:tc>
          <w:tcPr>
            <w:tcW w:w="1694" w:type="dxa"/>
            <w:tcBorders>
              <w:left w:val="single" w:color="000000" w:sz="4" w:space="0"/>
              <w:bottom w:val="single" w:color="000000" w:sz="4" w:space="0"/>
              <w:right w:val="single" w:color="000000" w:sz="4" w:space="0"/>
            </w:tcBorders>
            <w:vAlign w:val="center"/>
          </w:tcPr>
          <w:p w14:paraId="28C5D345">
            <w:pPr>
              <w:pStyle w:val="71"/>
              <w:spacing w:before="24" w:after="24"/>
              <w:rPr>
                <w:rFonts w:cs="Times New Roman"/>
              </w:rPr>
            </w:pPr>
            <w:r>
              <w:rPr>
                <w:rFonts w:cs="Times New Roman"/>
              </w:rPr>
              <w:t xml:space="preserve">扬尘监测管理 </w:t>
            </w:r>
          </w:p>
        </w:tc>
        <w:tc>
          <w:tcPr>
            <w:tcW w:w="5308" w:type="dxa"/>
            <w:tcBorders>
              <w:left w:val="single" w:color="000000" w:sz="4" w:space="0"/>
              <w:bottom w:val="single" w:color="000000" w:sz="4" w:space="0"/>
              <w:right w:val="single" w:color="000000" w:sz="4" w:space="0"/>
            </w:tcBorders>
            <w:vAlign w:val="center"/>
          </w:tcPr>
          <w:p w14:paraId="4846B656">
            <w:pPr>
              <w:pStyle w:val="71"/>
              <w:spacing w:before="24" w:after="24"/>
              <w:jc w:val="both"/>
              <w:rPr>
                <w:rFonts w:cs="Times New Roman"/>
              </w:rPr>
            </w:pPr>
            <w:r>
              <w:rPr>
                <w:rFonts w:cs="Times New Roman"/>
              </w:rPr>
              <w:t>实时采集施工现场 PM2.5、PM10 数值，并上传至智慧工地系统， 当监测数值超过设定数值，系统自动报警，还可以联动喷淋设备，</w:t>
            </w:r>
          </w:p>
          <w:p w14:paraId="5BCDEAE4">
            <w:pPr>
              <w:pStyle w:val="71"/>
              <w:spacing w:before="24" w:after="24"/>
              <w:jc w:val="both"/>
              <w:rPr>
                <w:rFonts w:cs="Times New Roman"/>
              </w:rPr>
            </w:pPr>
            <w:r>
              <w:rPr>
                <w:rFonts w:cs="Times New Roman"/>
              </w:rPr>
              <w:t xml:space="preserve">实现自动降尘 </w:t>
            </w:r>
          </w:p>
        </w:tc>
        <w:tc>
          <w:tcPr>
            <w:tcW w:w="1276" w:type="dxa"/>
            <w:tcBorders>
              <w:left w:val="single" w:color="000000" w:sz="4" w:space="0"/>
              <w:bottom w:val="single" w:color="000000" w:sz="4" w:space="0"/>
            </w:tcBorders>
            <w:vAlign w:val="center"/>
          </w:tcPr>
          <w:p w14:paraId="05B90B04">
            <w:pPr>
              <w:pStyle w:val="71"/>
              <w:spacing w:before="24" w:after="24"/>
              <w:jc w:val="both"/>
              <w:rPr>
                <w:rFonts w:cs="Times New Roman"/>
              </w:rPr>
            </w:pPr>
            <w:r>
              <w:rPr>
                <w:rFonts w:cs="Times New Roman"/>
              </w:rPr>
              <w:t xml:space="preserve">√ </w:t>
            </w:r>
          </w:p>
        </w:tc>
      </w:tr>
      <w:tr w14:paraId="2539AB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906" w:type="dxa"/>
            <w:tcBorders>
              <w:top w:val="single" w:color="000000" w:sz="4" w:space="0"/>
              <w:bottom w:val="single" w:color="000000" w:sz="4" w:space="0"/>
              <w:right w:val="single" w:color="000000" w:sz="4" w:space="0"/>
            </w:tcBorders>
            <w:vAlign w:val="center"/>
          </w:tcPr>
          <w:p w14:paraId="3A9005CB">
            <w:pPr>
              <w:pStyle w:val="71"/>
              <w:spacing w:before="24" w:after="24"/>
              <w:rPr>
                <w:rFonts w:cs="Times New Roman"/>
              </w:rPr>
            </w:pPr>
            <w:r>
              <w:rPr>
                <w:rFonts w:cs="Times New Roman"/>
              </w:rPr>
              <w:t xml:space="preserve">2 </w:t>
            </w:r>
          </w:p>
        </w:tc>
        <w:tc>
          <w:tcPr>
            <w:tcW w:w="1694" w:type="dxa"/>
            <w:tcBorders>
              <w:top w:val="single" w:color="000000" w:sz="4" w:space="0"/>
              <w:left w:val="single" w:color="000000" w:sz="4" w:space="0"/>
              <w:bottom w:val="single" w:color="000000" w:sz="4" w:space="0"/>
              <w:right w:val="single" w:color="000000" w:sz="4" w:space="0"/>
            </w:tcBorders>
            <w:vAlign w:val="center"/>
          </w:tcPr>
          <w:p w14:paraId="423B20B3">
            <w:pPr>
              <w:pStyle w:val="71"/>
              <w:spacing w:before="24" w:after="24"/>
              <w:rPr>
                <w:rFonts w:cs="Times New Roman"/>
              </w:rPr>
            </w:pPr>
            <w:r>
              <w:rPr>
                <w:rFonts w:cs="Times New Roman"/>
              </w:rPr>
              <w:t xml:space="preserve">噪声监测管理 </w:t>
            </w:r>
          </w:p>
        </w:tc>
        <w:tc>
          <w:tcPr>
            <w:tcW w:w="5308" w:type="dxa"/>
            <w:tcBorders>
              <w:top w:val="single" w:color="000000" w:sz="4" w:space="0"/>
              <w:left w:val="single" w:color="000000" w:sz="4" w:space="0"/>
              <w:bottom w:val="single" w:color="000000" w:sz="4" w:space="0"/>
              <w:right w:val="single" w:color="000000" w:sz="4" w:space="0"/>
            </w:tcBorders>
            <w:vAlign w:val="center"/>
          </w:tcPr>
          <w:p w14:paraId="716258B4">
            <w:pPr>
              <w:pStyle w:val="71"/>
              <w:spacing w:before="24" w:after="24"/>
              <w:jc w:val="both"/>
              <w:rPr>
                <w:rFonts w:cs="Times New Roman"/>
              </w:rPr>
            </w:pPr>
            <w:r>
              <w:rPr>
                <w:rFonts w:cs="Times New Roman"/>
              </w:rPr>
              <w:t>实时采集施工现场噪声数值，并上传至智慧工地系统，当监测数</w:t>
            </w:r>
          </w:p>
          <w:p w14:paraId="64F1DDE3">
            <w:pPr>
              <w:pStyle w:val="71"/>
              <w:spacing w:before="24" w:after="24"/>
              <w:jc w:val="both"/>
              <w:rPr>
                <w:rFonts w:cs="Times New Roman"/>
              </w:rPr>
            </w:pPr>
            <w:r>
              <w:rPr>
                <w:rFonts w:cs="Times New Roman"/>
              </w:rPr>
              <w:t xml:space="preserve">值超过设定数值，系统自动报警 </w:t>
            </w:r>
          </w:p>
        </w:tc>
        <w:tc>
          <w:tcPr>
            <w:tcW w:w="1276" w:type="dxa"/>
            <w:tcBorders>
              <w:top w:val="single" w:color="000000" w:sz="4" w:space="0"/>
              <w:left w:val="single" w:color="000000" w:sz="4" w:space="0"/>
              <w:bottom w:val="single" w:color="000000" w:sz="4" w:space="0"/>
            </w:tcBorders>
            <w:vAlign w:val="center"/>
          </w:tcPr>
          <w:p w14:paraId="2DDA27E8">
            <w:pPr>
              <w:pStyle w:val="71"/>
              <w:spacing w:before="24" w:after="24"/>
              <w:jc w:val="both"/>
              <w:rPr>
                <w:rFonts w:cs="Times New Roman"/>
              </w:rPr>
            </w:pPr>
            <w:r>
              <w:rPr>
                <w:rFonts w:cs="Times New Roman"/>
              </w:rPr>
              <w:t xml:space="preserve">√ </w:t>
            </w:r>
          </w:p>
        </w:tc>
      </w:tr>
      <w:tr w14:paraId="6C799F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36" w:hRule="atLeast"/>
        </w:trPr>
        <w:tc>
          <w:tcPr>
            <w:tcW w:w="906" w:type="dxa"/>
            <w:tcBorders>
              <w:top w:val="single" w:color="000000" w:sz="4" w:space="0"/>
              <w:bottom w:val="single" w:color="000000" w:sz="4" w:space="0"/>
              <w:right w:val="single" w:color="000000" w:sz="4" w:space="0"/>
            </w:tcBorders>
            <w:vAlign w:val="center"/>
          </w:tcPr>
          <w:p w14:paraId="30874E3E">
            <w:pPr>
              <w:pStyle w:val="71"/>
              <w:spacing w:before="24" w:after="24"/>
              <w:rPr>
                <w:rFonts w:cs="Times New Roman"/>
              </w:rPr>
            </w:pPr>
            <w:r>
              <w:rPr>
                <w:rFonts w:cs="Times New Roman"/>
              </w:rPr>
              <w:t xml:space="preserve">3 </w:t>
            </w:r>
          </w:p>
        </w:tc>
        <w:tc>
          <w:tcPr>
            <w:tcW w:w="1694" w:type="dxa"/>
            <w:tcBorders>
              <w:top w:val="single" w:color="000000" w:sz="4" w:space="0"/>
              <w:left w:val="single" w:color="000000" w:sz="4" w:space="0"/>
              <w:bottom w:val="single" w:color="000000" w:sz="4" w:space="0"/>
              <w:right w:val="single" w:color="000000" w:sz="4" w:space="0"/>
            </w:tcBorders>
            <w:vAlign w:val="center"/>
          </w:tcPr>
          <w:p w14:paraId="51D171BF">
            <w:pPr>
              <w:pStyle w:val="71"/>
              <w:spacing w:before="24" w:after="24"/>
              <w:rPr>
                <w:rFonts w:cs="Times New Roman"/>
              </w:rPr>
            </w:pPr>
            <w:r>
              <w:rPr>
                <w:rFonts w:cs="Times New Roman"/>
              </w:rPr>
              <w:t xml:space="preserve">自动喷淋联控 </w:t>
            </w:r>
          </w:p>
        </w:tc>
        <w:tc>
          <w:tcPr>
            <w:tcW w:w="5308" w:type="dxa"/>
            <w:tcBorders>
              <w:top w:val="single" w:color="000000" w:sz="4" w:space="0"/>
              <w:left w:val="single" w:color="000000" w:sz="4" w:space="0"/>
              <w:bottom w:val="single" w:color="000000" w:sz="4" w:space="0"/>
              <w:right w:val="single" w:color="000000" w:sz="4" w:space="0"/>
            </w:tcBorders>
            <w:vAlign w:val="center"/>
          </w:tcPr>
          <w:p w14:paraId="6B058254">
            <w:pPr>
              <w:pStyle w:val="71"/>
              <w:spacing w:before="24" w:after="24"/>
              <w:jc w:val="both"/>
              <w:rPr>
                <w:rFonts w:cs="Times New Roman"/>
              </w:rPr>
            </w:pPr>
            <w:r>
              <w:rPr>
                <w:rFonts w:cs="Times New Roman"/>
              </w:rPr>
              <w:t>当扬尘监测值超过在智慧工地系统中设定的数值后，自动喷淋控制系统通过接收系统发出的开关指令，实现自动、及时喷淋降尘，</w:t>
            </w:r>
          </w:p>
          <w:p w14:paraId="4D65B777">
            <w:pPr>
              <w:pStyle w:val="71"/>
              <w:spacing w:before="24" w:after="24"/>
              <w:jc w:val="both"/>
              <w:rPr>
                <w:rFonts w:cs="Times New Roman"/>
              </w:rPr>
            </w:pPr>
            <w:r>
              <w:rPr>
                <w:rFonts w:cs="Times New Roman"/>
              </w:rPr>
              <w:t xml:space="preserve">同时系统可设置自动喷淋时间段，每天定时喷淋，避免环境污染 </w:t>
            </w:r>
          </w:p>
        </w:tc>
        <w:tc>
          <w:tcPr>
            <w:tcW w:w="1276" w:type="dxa"/>
            <w:tcBorders>
              <w:top w:val="single" w:color="000000" w:sz="4" w:space="0"/>
              <w:left w:val="single" w:color="000000" w:sz="4" w:space="0"/>
              <w:bottom w:val="single" w:color="000000" w:sz="4" w:space="0"/>
            </w:tcBorders>
            <w:vAlign w:val="center"/>
          </w:tcPr>
          <w:p w14:paraId="523C403F">
            <w:pPr>
              <w:pStyle w:val="71"/>
              <w:spacing w:before="24" w:after="24"/>
              <w:jc w:val="both"/>
              <w:rPr>
                <w:rFonts w:cs="Times New Roman"/>
              </w:rPr>
            </w:pPr>
            <w:r>
              <w:rPr>
                <w:rFonts w:cs="Times New Roman"/>
              </w:rPr>
              <w:t xml:space="preserve">√ </w:t>
            </w:r>
          </w:p>
        </w:tc>
      </w:tr>
      <w:tr w14:paraId="1C8641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35" w:hRule="atLeast"/>
        </w:trPr>
        <w:tc>
          <w:tcPr>
            <w:tcW w:w="906" w:type="dxa"/>
            <w:tcBorders>
              <w:top w:val="single" w:color="000000" w:sz="4" w:space="0"/>
              <w:bottom w:val="single" w:color="000000" w:sz="4" w:space="0"/>
              <w:right w:val="single" w:color="000000" w:sz="4" w:space="0"/>
            </w:tcBorders>
            <w:vAlign w:val="center"/>
          </w:tcPr>
          <w:p w14:paraId="10F94EA5">
            <w:pPr>
              <w:pStyle w:val="71"/>
              <w:spacing w:before="24" w:after="24"/>
              <w:rPr>
                <w:rFonts w:cs="Times New Roman"/>
              </w:rPr>
            </w:pPr>
            <w:r>
              <w:rPr>
                <w:rFonts w:cs="Times New Roman"/>
              </w:rPr>
              <w:t xml:space="preserve">4 </w:t>
            </w:r>
          </w:p>
        </w:tc>
        <w:tc>
          <w:tcPr>
            <w:tcW w:w="1694" w:type="dxa"/>
            <w:tcBorders>
              <w:top w:val="single" w:color="000000" w:sz="4" w:space="0"/>
              <w:left w:val="single" w:color="000000" w:sz="4" w:space="0"/>
              <w:bottom w:val="single" w:color="000000" w:sz="4" w:space="0"/>
              <w:right w:val="single" w:color="000000" w:sz="4" w:space="0"/>
            </w:tcBorders>
            <w:vAlign w:val="center"/>
          </w:tcPr>
          <w:p w14:paraId="474ADA0C">
            <w:pPr>
              <w:pStyle w:val="71"/>
              <w:spacing w:before="24" w:after="24"/>
              <w:rPr>
                <w:rFonts w:cs="Times New Roman"/>
              </w:rPr>
            </w:pPr>
            <w:r>
              <w:rPr>
                <w:rFonts w:cs="Times New Roman"/>
              </w:rPr>
              <w:t xml:space="preserve">水电能耗监测 </w:t>
            </w:r>
          </w:p>
        </w:tc>
        <w:tc>
          <w:tcPr>
            <w:tcW w:w="5308" w:type="dxa"/>
            <w:tcBorders>
              <w:top w:val="single" w:color="000000" w:sz="4" w:space="0"/>
              <w:left w:val="single" w:color="000000" w:sz="4" w:space="0"/>
              <w:bottom w:val="single" w:color="000000" w:sz="4" w:space="0"/>
              <w:right w:val="single" w:color="000000" w:sz="4" w:space="0"/>
            </w:tcBorders>
            <w:vAlign w:val="center"/>
          </w:tcPr>
          <w:p w14:paraId="1D9BCA7D">
            <w:pPr>
              <w:pStyle w:val="71"/>
              <w:spacing w:before="24" w:after="24"/>
              <w:jc w:val="both"/>
              <w:rPr>
                <w:rFonts w:cs="Times New Roman"/>
              </w:rPr>
            </w:pPr>
            <w:r>
              <w:rPr>
                <w:rFonts w:cs="Times New Roman"/>
              </w:rPr>
              <w:t xml:space="preserve">实时监测项目部办公区、生活区、施工区用电用水，同时按日、周、月、季度等区间统计，通过与计划值对比分析现场用电用水量是否超标，为项目节能节水管理提供数据支撑 </w:t>
            </w:r>
          </w:p>
        </w:tc>
        <w:tc>
          <w:tcPr>
            <w:tcW w:w="1276" w:type="dxa"/>
            <w:tcBorders>
              <w:top w:val="single" w:color="000000" w:sz="4" w:space="0"/>
              <w:left w:val="single" w:color="000000" w:sz="4" w:space="0"/>
              <w:bottom w:val="single" w:color="000000" w:sz="4" w:space="0"/>
            </w:tcBorders>
            <w:vAlign w:val="center"/>
          </w:tcPr>
          <w:p w14:paraId="7CB3E5DD">
            <w:pPr>
              <w:pStyle w:val="71"/>
              <w:spacing w:before="24" w:after="24"/>
              <w:jc w:val="both"/>
              <w:rPr>
                <w:rFonts w:cs="Times New Roman"/>
              </w:rPr>
            </w:pPr>
            <w:r>
              <w:rPr>
                <w:rFonts w:ascii="Cambria Math" w:hAnsi="Cambria Math" w:cs="Cambria Math"/>
              </w:rPr>
              <w:t>△</w:t>
            </w:r>
            <w:r>
              <w:rPr>
                <w:rFonts w:cs="Times New Roman"/>
              </w:rPr>
              <w:t xml:space="preserve"> </w:t>
            </w:r>
          </w:p>
        </w:tc>
      </w:tr>
      <w:tr w14:paraId="08FDB8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38" w:hRule="atLeast"/>
        </w:trPr>
        <w:tc>
          <w:tcPr>
            <w:tcW w:w="906" w:type="dxa"/>
            <w:tcBorders>
              <w:top w:val="single" w:color="000000" w:sz="4" w:space="0"/>
              <w:bottom w:val="single" w:color="000000" w:sz="4" w:space="0"/>
              <w:right w:val="single" w:color="000000" w:sz="4" w:space="0"/>
            </w:tcBorders>
            <w:vAlign w:val="center"/>
          </w:tcPr>
          <w:p w14:paraId="659BF7A3">
            <w:pPr>
              <w:pStyle w:val="71"/>
              <w:spacing w:before="24" w:after="24"/>
              <w:rPr>
                <w:rFonts w:cs="Times New Roman"/>
              </w:rPr>
            </w:pPr>
            <w:r>
              <w:rPr>
                <w:rFonts w:cs="Times New Roman"/>
              </w:rPr>
              <w:t xml:space="preserve">5 </w:t>
            </w:r>
          </w:p>
        </w:tc>
        <w:tc>
          <w:tcPr>
            <w:tcW w:w="1694" w:type="dxa"/>
            <w:tcBorders>
              <w:top w:val="single" w:color="000000" w:sz="4" w:space="0"/>
              <w:left w:val="single" w:color="000000" w:sz="4" w:space="0"/>
              <w:bottom w:val="single" w:color="000000" w:sz="4" w:space="0"/>
              <w:right w:val="single" w:color="000000" w:sz="4" w:space="0"/>
            </w:tcBorders>
            <w:vAlign w:val="center"/>
          </w:tcPr>
          <w:p w14:paraId="2B78208D">
            <w:pPr>
              <w:pStyle w:val="71"/>
              <w:spacing w:before="24" w:after="24"/>
              <w:rPr>
                <w:rFonts w:cs="Times New Roman"/>
              </w:rPr>
            </w:pPr>
            <w:r>
              <w:rPr>
                <w:rFonts w:cs="Times New Roman"/>
              </w:rPr>
              <w:t xml:space="preserve">渣土车未冲洗监测 </w:t>
            </w:r>
          </w:p>
        </w:tc>
        <w:tc>
          <w:tcPr>
            <w:tcW w:w="5308" w:type="dxa"/>
            <w:tcBorders>
              <w:top w:val="single" w:color="000000" w:sz="4" w:space="0"/>
              <w:left w:val="single" w:color="000000" w:sz="4" w:space="0"/>
              <w:bottom w:val="single" w:color="000000" w:sz="4" w:space="0"/>
              <w:right w:val="single" w:color="000000" w:sz="4" w:space="0"/>
            </w:tcBorders>
            <w:vAlign w:val="center"/>
          </w:tcPr>
          <w:p w14:paraId="3A85901F">
            <w:pPr>
              <w:pStyle w:val="71"/>
              <w:spacing w:before="24" w:after="24"/>
              <w:jc w:val="both"/>
              <w:rPr>
                <w:rFonts w:cs="Times New Roman"/>
              </w:rPr>
            </w:pPr>
            <w:r>
              <w:rPr>
                <w:rFonts w:cs="Times New Roman"/>
              </w:rPr>
              <w:t xml:space="preserve">依靠智能识别高清摄像机，判断工地出入车辆是否清洗并对车辆进行抓拍，监测数据和图像实时上传到智慧工地系统，实现在线管理、违规预警 </w:t>
            </w:r>
          </w:p>
        </w:tc>
        <w:tc>
          <w:tcPr>
            <w:tcW w:w="1276" w:type="dxa"/>
            <w:tcBorders>
              <w:top w:val="single" w:color="000000" w:sz="4" w:space="0"/>
              <w:left w:val="single" w:color="000000" w:sz="4" w:space="0"/>
              <w:bottom w:val="single" w:color="000000" w:sz="4" w:space="0"/>
            </w:tcBorders>
            <w:vAlign w:val="center"/>
          </w:tcPr>
          <w:p w14:paraId="30F6D95E">
            <w:pPr>
              <w:pStyle w:val="71"/>
              <w:spacing w:before="24" w:after="24"/>
              <w:jc w:val="both"/>
              <w:rPr>
                <w:rFonts w:cs="Times New Roman"/>
              </w:rPr>
            </w:pPr>
            <w:r>
              <w:rPr>
                <w:rFonts w:ascii="Cambria Math" w:hAnsi="Cambria Math" w:cs="Cambria Math"/>
              </w:rPr>
              <w:t>△</w:t>
            </w:r>
            <w:r>
              <w:rPr>
                <w:rFonts w:cs="Times New Roman"/>
              </w:rPr>
              <w:t xml:space="preserve"> </w:t>
            </w:r>
          </w:p>
        </w:tc>
      </w:tr>
      <w:tr w14:paraId="2ACF36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36" w:hRule="atLeast"/>
        </w:trPr>
        <w:tc>
          <w:tcPr>
            <w:tcW w:w="906" w:type="dxa"/>
            <w:tcBorders>
              <w:top w:val="single" w:color="000000" w:sz="4" w:space="0"/>
              <w:bottom w:val="single" w:color="000000" w:sz="4" w:space="0"/>
              <w:right w:val="single" w:color="000000" w:sz="4" w:space="0"/>
            </w:tcBorders>
            <w:vAlign w:val="center"/>
          </w:tcPr>
          <w:p w14:paraId="08980550">
            <w:pPr>
              <w:pStyle w:val="71"/>
              <w:spacing w:before="24" w:after="24"/>
              <w:rPr>
                <w:rFonts w:cs="Times New Roman"/>
              </w:rPr>
            </w:pPr>
            <w:r>
              <w:rPr>
                <w:rFonts w:cs="Times New Roman"/>
              </w:rPr>
              <w:t xml:space="preserve">6 </w:t>
            </w:r>
          </w:p>
        </w:tc>
        <w:tc>
          <w:tcPr>
            <w:tcW w:w="1694" w:type="dxa"/>
            <w:tcBorders>
              <w:top w:val="single" w:color="000000" w:sz="4" w:space="0"/>
              <w:left w:val="single" w:color="000000" w:sz="4" w:space="0"/>
              <w:bottom w:val="single" w:color="000000" w:sz="4" w:space="0"/>
              <w:right w:val="single" w:color="000000" w:sz="4" w:space="0"/>
            </w:tcBorders>
            <w:vAlign w:val="center"/>
          </w:tcPr>
          <w:p w14:paraId="4B1082E3">
            <w:pPr>
              <w:pStyle w:val="71"/>
              <w:spacing w:before="24" w:after="24"/>
              <w:rPr>
                <w:rFonts w:cs="Times New Roman"/>
              </w:rPr>
            </w:pPr>
            <w:r>
              <w:rPr>
                <w:rFonts w:cs="Times New Roman"/>
              </w:rPr>
              <w:t xml:space="preserve">渣土车未加盖监测 </w:t>
            </w:r>
          </w:p>
        </w:tc>
        <w:tc>
          <w:tcPr>
            <w:tcW w:w="5308" w:type="dxa"/>
            <w:tcBorders>
              <w:top w:val="single" w:color="000000" w:sz="4" w:space="0"/>
              <w:left w:val="single" w:color="000000" w:sz="4" w:space="0"/>
              <w:bottom w:val="single" w:color="000000" w:sz="4" w:space="0"/>
              <w:right w:val="single" w:color="000000" w:sz="4" w:space="0"/>
            </w:tcBorders>
            <w:vAlign w:val="center"/>
          </w:tcPr>
          <w:p w14:paraId="537A1A7A">
            <w:pPr>
              <w:pStyle w:val="71"/>
              <w:spacing w:before="24" w:after="24"/>
              <w:jc w:val="both"/>
              <w:rPr>
                <w:rFonts w:cs="Times New Roman"/>
              </w:rPr>
            </w:pPr>
            <w:r>
              <w:rPr>
                <w:rFonts w:cs="Times New Roman"/>
              </w:rPr>
              <w:t xml:space="preserve">依靠智能识别高清摄像机，判断工地出入渣土车辆货箱是否加盖并对车辆进行抓拍，监测数据和图像实时上传到智慧工地系统，实现在线管理、违规预警 </w:t>
            </w:r>
          </w:p>
        </w:tc>
        <w:tc>
          <w:tcPr>
            <w:tcW w:w="1276" w:type="dxa"/>
            <w:tcBorders>
              <w:top w:val="single" w:color="000000" w:sz="4" w:space="0"/>
              <w:left w:val="single" w:color="000000" w:sz="4" w:space="0"/>
              <w:bottom w:val="single" w:color="000000" w:sz="4" w:space="0"/>
            </w:tcBorders>
            <w:vAlign w:val="center"/>
          </w:tcPr>
          <w:p w14:paraId="0E569643">
            <w:pPr>
              <w:pStyle w:val="71"/>
              <w:spacing w:before="24" w:after="24"/>
              <w:jc w:val="both"/>
              <w:rPr>
                <w:rFonts w:cs="Times New Roman"/>
              </w:rPr>
            </w:pPr>
            <w:r>
              <w:rPr>
                <w:rFonts w:ascii="Cambria Math" w:hAnsi="Cambria Math" w:cs="Cambria Math"/>
              </w:rPr>
              <w:t>△</w:t>
            </w:r>
            <w:r>
              <w:rPr>
                <w:rFonts w:cs="Times New Roman"/>
              </w:rPr>
              <w:t xml:space="preserve"> </w:t>
            </w:r>
          </w:p>
        </w:tc>
      </w:tr>
      <w:tr w14:paraId="27C1EE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4" w:hRule="atLeast"/>
        </w:trPr>
        <w:tc>
          <w:tcPr>
            <w:tcW w:w="9184" w:type="dxa"/>
            <w:gridSpan w:val="4"/>
            <w:tcBorders>
              <w:top w:val="single" w:color="000000" w:sz="4" w:space="0"/>
            </w:tcBorders>
            <w:vAlign w:val="center"/>
          </w:tcPr>
          <w:p w14:paraId="6A7BBB00">
            <w:pPr>
              <w:pStyle w:val="71"/>
              <w:spacing w:before="24" w:after="24"/>
              <w:jc w:val="both"/>
              <w:rPr>
                <w:rFonts w:cs="Times New Roman"/>
              </w:rPr>
            </w:pPr>
            <w:r>
              <w:rPr>
                <w:rFonts w:cs="Times New Roman"/>
              </w:rPr>
              <w:t>注：√-必选项；</w:t>
            </w:r>
            <w:r>
              <w:rPr>
                <w:rFonts w:ascii="Cambria Math" w:hAnsi="Cambria Math" w:cs="Cambria Math"/>
              </w:rPr>
              <w:t>△</w:t>
            </w:r>
            <w:r>
              <w:rPr>
                <w:rFonts w:cs="Times New Roman"/>
              </w:rPr>
              <w:t xml:space="preserve">-可选项。 </w:t>
            </w:r>
          </w:p>
        </w:tc>
      </w:tr>
    </w:tbl>
    <w:p w14:paraId="55D75180">
      <w:pPr>
        <w:pStyle w:val="54"/>
        <w:spacing w:before="24" w:after="24"/>
      </w:pPr>
      <w:r>
        <w:rPr>
          <w:lang w:bidi="en-US"/>
        </w:rPr>
        <w:t>4.5.2扬尘监测管理</w:t>
      </w:r>
    </w:p>
    <w:p w14:paraId="405E8C58">
      <w:pPr>
        <w:pStyle w:val="54"/>
        <w:spacing w:before="24" w:after="24"/>
      </w:pPr>
      <w:r>
        <w:rPr>
          <w:lang w:bidi="en-US"/>
        </w:rPr>
        <w:t>4.5.2.1功能要求</w:t>
      </w:r>
    </w:p>
    <w:p w14:paraId="063AD494">
      <w:pPr>
        <w:pStyle w:val="54"/>
        <w:spacing w:before="24" w:after="24"/>
      </w:pPr>
      <w:r>
        <w:rPr>
          <w:lang w:bidi="en-US"/>
        </w:rPr>
        <w:t>（1）应建要求</w:t>
      </w:r>
    </w:p>
    <w:p w14:paraId="19F9E59E">
      <w:pPr>
        <w:pStyle w:val="54"/>
        <w:spacing w:before="24" w:after="24"/>
      </w:pPr>
      <w:r>
        <w:rPr>
          <w:lang w:bidi="en-US"/>
        </w:rPr>
        <w:t>a）关键数据监测功能：监测数据包括但不限于PM2.5、PM10、温湿度、风速风向、大气压力、TSP；监测数据分为实时监测数据和阶段监测数据，实时监测数据为实时监测的数据或最近1分钟监测数据的均值，阶段监测数据为15分钟内监测数据的均值；监测数据应支持无线传输、本地显示屏实时显示；</w:t>
      </w:r>
    </w:p>
    <w:p w14:paraId="22EAAC8D">
      <w:pPr>
        <w:pStyle w:val="54"/>
        <w:spacing w:before="24" w:after="24"/>
      </w:pPr>
      <w:r>
        <w:rPr>
          <w:lang w:bidi="en-US"/>
        </w:rPr>
        <w:t xml:space="preserve">b）监测数据预警功能：实时监测数据达到预警限值时，应记录预警时间、监测数据、超标时长，并发送预警信号，启动降尘设备； </w:t>
      </w:r>
    </w:p>
    <w:p w14:paraId="1FEA6202">
      <w:pPr>
        <w:pStyle w:val="54"/>
        <w:spacing w:before="24" w:after="24"/>
      </w:pPr>
      <w:r>
        <w:rPr>
          <w:lang w:bidi="en-US"/>
        </w:rPr>
        <w:t xml:space="preserve">c）监测数据统计分析功能：可支持曲线、图表等多种展示方式。 </w:t>
      </w:r>
    </w:p>
    <w:p w14:paraId="7DBEB6D2">
      <w:pPr>
        <w:pStyle w:val="54"/>
        <w:spacing w:before="24" w:after="24"/>
      </w:pPr>
      <w:r>
        <w:rPr>
          <w:lang w:bidi="en-US"/>
        </w:rPr>
        <w:t xml:space="preserve">（2）宜建功能： </w:t>
      </w:r>
    </w:p>
    <w:p w14:paraId="18789D2A">
      <w:pPr>
        <w:pStyle w:val="54"/>
        <w:spacing w:before="24" w:after="24"/>
      </w:pPr>
      <w:r>
        <w:rPr>
          <w:lang w:bidi="en-US"/>
        </w:rPr>
        <w:t xml:space="preserve">a）远程设置预警值和超标值功能； </w:t>
      </w:r>
    </w:p>
    <w:p w14:paraId="663205EF">
      <w:pPr>
        <w:pStyle w:val="54"/>
        <w:spacing w:before="24" w:after="24"/>
      </w:pPr>
      <w:r>
        <w:rPr>
          <w:lang w:bidi="en-US"/>
        </w:rPr>
        <w:t xml:space="preserve">b）降尘设备启动和关闭信息记录功能。 </w:t>
      </w:r>
    </w:p>
    <w:p w14:paraId="281A8C13">
      <w:pPr>
        <w:pStyle w:val="54"/>
        <w:spacing w:before="24" w:after="24"/>
      </w:pPr>
      <w:r>
        <w:rPr>
          <w:lang w:bidi="en-US"/>
        </w:rPr>
        <w:t>4.5.2.2数据要求</w:t>
      </w:r>
    </w:p>
    <w:p w14:paraId="1D7C7E1C">
      <w:pPr>
        <w:pStyle w:val="54"/>
        <w:spacing w:before="24" w:after="24"/>
      </w:pPr>
      <w:r>
        <w:rPr>
          <w:lang w:bidi="en-US"/>
        </w:rPr>
        <w:t xml:space="preserve">扬尘监测管理数据包括但不限于扬尘实时监测数据、阶段监测数据、预警值、超标值、预警时间、超标时长等数据。  </w:t>
      </w:r>
    </w:p>
    <w:p w14:paraId="4BFEBD68">
      <w:pPr>
        <w:pStyle w:val="54"/>
        <w:spacing w:before="24" w:after="24"/>
      </w:pPr>
      <w:r>
        <w:rPr>
          <w:lang w:bidi="en-US"/>
        </w:rPr>
        <w:t>4.5.3噪声监测管理</w:t>
      </w:r>
    </w:p>
    <w:p w14:paraId="06B51255">
      <w:pPr>
        <w:pStyle w:val="54"/>
        <w:spacing w:before="24" w:after="24"/>
      </w:pPr>
      <w:r>
        <w:rPr>
          <w:lang w:bidi="en-US"/>
        </w:rPr>
        <w:t>4.5.3.1功能要求</w:t>
      </w:r>
    </w:p>
    <w:p w14:paraId="6B8CE84B">
      <w:pPr>
        <w:pStyle w:val="54"/>
        <w:spacing w:before="24" w:after="24"/>
      </w:pPr>
      <w:r>
        <w:rPr>
          <w:lang w:bidi="en-US"/>
        </w:rPr>
        <w:t xml:space="preserve">（1）应建功能： </w:t>
      </w:r>
    </w:p>
    <w:p w14:paraId="17B885E7">
      <w:pPr>
        <w:pStyle w:val="54"/>
        <w:spacing w:before="24" w:after="24"/>
      </w:pPr>
      <w:r>
        <w:rPr>
          <w:lang w:bidi="en-US"/>
        </w:rPr>
        <w:t xml:space="preserve">a）噪声监测功能：可测量被测环境中的噪声值； </w:t>
      </w:r>
    </w:p>
    <w:p w14:paraId="1CF59DC0">
      <w:pPr>
        <w:pStyle w:val="54"/>
        <w:spacing w:before="24" w:after="24"/>
      </w:pPr>
      <w:r>
        <w:rPr>
          <w:lang w:bidi="en-US"/>
        </w:rPr>
        <w:t xml:space="preserve">b）噪声热力图生成功能：可根据传感器数据绘制噪声热力图。 </w:t>
      </w:r>
    </w:p>
    <w:p w14:paraId="15B19662">
      <w:pPr>
        <w:pStyle w:val="54"/>
        <w:spacing w:before="24" w:after="24"/>
      </w:pPr>
      <w:r>
        <w:rPr>
          <w:lang w:bidi="en-US"/>
        </w:rPr>
        <w:t xml:space="preserve">（2）宜建功能：噪声监测数据预警功能，监测数据达到预警限值时，应记录预警时间、监测数据、超标时长，并实时发送预警信号。 </w:t>
      </w:r>
    </w:p>
    <w:p w14:paraId="58E2F9F4">
      <w:pPr>
        <w:pStyle w:val="54"/>
        <w:spacing w:before="24" w:after="24"/>
      </w:pPr>
      <w:r>
        <w:rPr>
          <w:lang w:bidi="en-US"/>
        </w:rPr>
        <w:t>4.5.3.2数据要求</w:t>
      </w:r>
    </w:p>
    <w:p w14:paraId="169BE301">
      <w:pPr>
        <w:pStyle w:val="54"/>
        <w:spacing w:before="24" w:after="24"/>
      </w:pPr>
      <w:r>
        <w:rPr>
          <w:lang w:bidi="en-US"/>
        </w:rPr>
        <w:t xml:space="preserve">噪声监测管理数据包括但不限于噪声实时监测数据、阶段监测数据、预警值、预警时间、超标值、超标时长等数据。 </w:t>
      </w:r>
    </w:p>
    <w:p w14:paraId="75605D46">
      <w:pPr>
        <w:pStyle w:val="54"/>
        <w:spacing w:before="24" w:after="24"/>
      </w:pPr>
      <w:r>
        <w:rPr>
          <w:lang w:bidi="en-US"/>
        </w:rPr>
        <w:t>4.5.4自动喷淋联控</w:t>
      </w:r>
    </w:p>
    <w:p w14:paraId="0CE74450">
      <w:pPr>
        <w:pStyle w:val="54"/>
        <w:spacing w:before="24" w:after="24"/>
      </w:pPr>
      <w:r>
        <w:rPr>
          <w:lang w:bidi="en-US"/>
        </w:rPr>
        <w:t>4.5.4.1功能要求</w:t>
      </w:r>
    </w:p>
    <w:p w14:paraId="1F346A89">
      <w:pPr>
        <w:pStyle w:val="54"/>
        <w:spacing w:before="24" w:after="24"/>
      </w:pPr>
      <w:r>
        <w:rPr>
          <w:lang w:bidi="en-US"/>
        </w:rPr>
        <w:t xml:space="preserve">（1）具备实时上传喷淋设备工作状态的功能。 </w:t>
      </w:r>
    </w:p>
    <w:p w14:paraId="38E7C976">
      <w:pPr>
        <w:pStyle w:val="54"/>
        <w:spacing w:before="24" w:after="24"/>
      </w:pPr>
      <w:r>
        <w:rPr>
          <w:lang w:bidi="en-US"/>
        </w:rPr>
        <w:t xml:space="preserve">（2）具备远程启停喷淋设备（围挡喷淋、雾炮机）的功能。 </w:t>
      </w:r>
    </w:p>
    <w:p w14:paraId="2F28767B">
      <w:pPr>
        <w:pStyle w:val="54"/>
        <w:spacing w:before="24" w:after="24"/>
      </w:pPr>
      <w:r>
        <w:rPr>
          <w:lang w:bidi="en-US"/>
        </w:rPr>
        <w:t xml:space="preserve">（3）具备和扬尘监测系统联动的功能：当检测到扬尘数据达到设定的超标值时，自动开启喷淋， 并在参数回归正常时停止喷淋。 </w:t>
      </w:r>
    </w:p>
    <w:p w14:paraId="3E561284">
      <w:pPr>
        <w:pStyle w:val="54"/>
        <w:spacing w:before="24" w:after="24"/>
      </w:pPr>
      <w:r>
        <w:rPr>
          <w:lang w:bidi="en-US"/>
        </w:rPr>
        <w:t xml:space="preserve">（4）具备定时开关喷淋设备的功能：可通过设置时间段进行周期性喷淋。 </w:t>
      </w:r>
    </w:p>
    <w:p w14:paraId="071136E3">
      <w:pPr>
        <w:pStyle w:val="54"/>
        <w:spacing w:before="24" w:after="24"/>
      </w:pPr>
      <w:r>
        <w:rPr>
          <w:lang w:bidi="en-US"/>
        </w:rPr>
        <w:t xml:space="preserve">（5）具备显示喷淋控制时间等信息的功能。 </w:t>
      </w:r>
    </w:p>
    <w:p w14:paraId="3A734947">
      <w:pPr>
        <w:pStyle w:val="54"/>
        <w:spacing w:before="24" w:after="24"/>
      </w:pPr>
      <w:r>
        <w:rPr>
          <w:lang w:bidi="en-US"/>
        </w:rPr>
        <w:t>4.5.4.2数据要求</w:t>
      </w:r>
    </w:p>
    <w:p w14:paraId="73CF0613">
      <w:pPr>
        <w:pStyle w:val="54"/>
        <w:spacing w:before="24" w:after="24"/>
      </w:pPr>
      <w:r>
        <w:rPr>
          <w:lang w:bidi="en-US"/>
        </w:rPr>
        <w:t xml:space="preserve">自动喷淋联控数据包括但不限于喷淋设备状态、开启时间、关闭时间、启动时长等数据。 </w:t>
      </w:r>
    </w:p>
    <w:p w14:paraId="68290C93">
      <w:pPr>
        <w:pStyle w:val="54"/>
        <w:spacing w:before="24" w:after="24"/>
      </w:pPr>
      <w:r>
        <w:rPr>
          <w:lang w:bidi="en-US"/>
        </w:rPr>
        <w:t>4.5.5水电能耗监测</w:t>
      </w:r>
    </w:p>
    <w:p w14:paraId="09D43F0B">
      <w:pPr>
        <w:pStyle w:val="54"/>
        <w:spacing w:before="24" w:after="24"/>
      </w:pPr>
      <w:r>
        <w:rPr>
          <w:lang w:bidi="en-US"/>
        </w:rPr>
        <w:t>4.5.5.1功能要求</w:t>
      </w:r>
    </w:p>
    <w:p w14:paraId="2E834218">
      <w:pPr>
        <w:pStyle w:val="54"/>
        <w:spacing w:before="24" w:after="24"/>
      </w:pPr>
      <w:r>
        <w:rPr>
          <w:lang w:bidi="en-US"/>
        </w:rPr>
        <w:t xml:space="preserve">（1）具备远程抄表、实时监测、展现水电消耗趋势的功能。 </w:t>
      </w:r>
    </w:p>
    <w:p w14:paraId="7C8B55ED">
      <w:pPr>
        <w:pStyle w:val="54"/>
        <w:spacing w:before="24" w:after="24"/>
      </w:pPr>
      <w:r>
        <w:rPr>
          <w:lang w:bidi="en-US"/>
        </w:rPr>
        <w:t xml:space="preserve">（2）具备定量定额分配能源、异常判断、自动预警、历史数据分析与统计功能。 </w:t>
      </w:r>
    </w:p>
    <w:p w14:paraId="086C62AE">
      <w:pPr>
        <w:pStyle w:val="54"/>
        <w:spacing w:before="24" w:after="24"/>
      </w:pPr>
      <w:r>
        <w:rPr>
          <w:lang w:bidi="en-US"/>
        </w:rPr>
        <w:t xml:space="preserve">（3）具备实时发送水表、电表数据到后端平台，平台同步呈现的功能。 </w:t>
      </w:r>
    </w:p>
    <w:p w14:paraId="4112712C">
      <w:pPr>
        <w:pStyle w:val="54"/>
        <w:spacing w:before="24" w:after="24"/>
      </w:pPr>
      <w:r>
        <w:rPr>
          <w:lang w:bidi="en-US"/>
        </w:rPr>
        <w:t xml:space="preserve">（4）具备设置阈值，自动判断异常用电、用水情况，并发送数据信息的功能。 </w:t>
      </w:r>
    </w:p>
    <w:p w14:paraId="7B8C7528">
      <w:pPr>
        <w:pStyle w:val="54"/>
        <w:spacing w:before="24" w:after="24"/>
      </w:pPr>
      <w:r>
        <w:rPr>
          <w:lang w:bidi="en-US"/>
        </w:rPr>
        <w:t>4.5.5.2数据要求</w:t>
      </w:r>
    </w:p>
    <w:p w14:paraId="56776702">
      <w:pPr>
        <w:pStyle w:val="54"/>
        <w:spacing w:before="24" w:after="24"/>
      </w:pPr>
      <w:r>
        <w:rPr>
          <w:lang w:bidi="en-US"/>
        </w:rPr>
        <w:t xml:space="preserve">水电能耗监测数据包括但不限于总用电量、总用水量、单位建筑面积用电量、单位建筑面积用水量等数据。 </w:t>
      </w:r>
    </w:p>
    <w:p w14:paraId="3DB78BB9">
      <w:pPr>
        <w:pStyle w:val="54"/>
        <w:spacing w:before="24" w:after="24"/>
      </w:pPr>
      <w:r>
        <w:rPr>
          <w:lang w:bidi="en-US"/>
        </w:rPr>
        <w:t>4.5.6渣土车未冲洗监测</w:t>
      </w:r>
    </w:p>
    <w:p w14:paraId="4578036F">
      <w:pPr>
        <w:pStyle w:val="54"/>
        <w:spacing w:before="24" w:after="24"/>
      </w:pPr>
      <w:r>
        <w:rPr>
          <w:lang w:bidi="en-US"/>
        </w:rPr>
        <w:t>4.5.6.1功能要求</w:t>
      </w:r>
    </w:p>
    <w:p w14:paraId="2828A140">
      <w:pPr>
        <w:pStyle w:val="54"/>
        <w:spacing w:before="24" w:after="24"/>
      </w:pPr>
      <w:r>
        <w:rPr>
          <w:lang w:bidi="en-US"/>
        </w:rPr>
        <w:t xml:space="preserve">（1）具备未冲洗车辆绕行识别功能：对绕过工地出入口设置的冲洗台，直接跳过冲洗程序出场上路的车辆进行自动识别、报警和视频证据上报。 </w:t>
      </w:r>
    </w:p>
    <w:p w14:paraId="39BEEB9E">
      <w:pPr>
        <w:pStyle w:val="54"/>
        <w:spacing w:before="24" w:after="24"/>
      </w:pPr>
      <w:r>
        <w:rPr>
          <w:lang w:bidi="en-US"/>
        </w:rPr>
        <w:t xml:space="preserve">（2）具备过冲洗台未冲洗车辆识别功能：对进入工地出入口设置的冲洗台，但未做停留直接驶出的车辆进行自动识别、报警和视频证据上报。 </w:t>
      </w:r>
    </w:p>
    <w:p w14:paraId="6C61DE4B">
      <w:pPr>
        <w:pStyle w:val="54"/>
        <w:spacing w:before="24" w:after="24"/>
      </w:pPr>
      <w:r>
        <w:rPr>
          <w:lang w:bidi="en-US"/>
        </w:rPr>
        <w:t xml:space="preserve">（3）具备车辆冲洗不充分识别功能：对进入工地出入口设置的冲洗台，但停留冲洗的时间未达到规定要求，使得冲洗不充分，车轮、车身不干净，未达到上路洁净标准就驶出上路的车辆进行自动识别、报警和视频证据上报。 </w:t>
      </w:r>
    </w:p>
    <w:p w14:paraId="0199D18B">
      <w:pPr>
        <w:pStyle w:val="54"/>
        <w:spacing w:before="24" w:after="24"/>
      </w:pPr>
      <w:r>
        <w:rPr>
          <w:lang w:bidi="en-US"/>
        </w:rPr>
        <w:t>4.5.6.2数据要求</w:t>
      </w:r>
    </w:p>
    <w:p w14:paraId="0508835D">
      <w:pPr>
        <w:pStyle w:val="54"/>
        <w:spacing w:before="24" w:after="24"/>
      </w:pPr>
      <w:r>
        <w:rPr>
          <w:lang w:bidi="en-US"/>
        </w:rPr>
        <w:t xml:space="preserve">渣土车未冲洗监测数据包括但不限于未冲洗渣土车的车牌、司机信息、抓拍时间、抓拍图片、处理人、处理结果等数据。 </w:t>
      </w:r>
    </w:p>
    <w:p w14:paraId="32A42D4D">
      <w:pPr>
        <w:pStyle w:val="54"/>
        <w:spacing w:before="24" w:after="24"/>
      </w:pPr>
      <w:r>
        <w:rPr>
          <w:lang w:bidi="en-US"/>
        </w:rPr>
        <w:t>4.5.7渣土车未加盖监测</w:t>
      </w:r>
    </w:p>
    <w:p w14:paraId="5F6AAFE1">
      <w:pPr>
        <w:pStyle w:val="54"/>
        <w:spacing w:before="24" w:after="24"/>
      </w:pPr>
      <w:r>
        <w:rPr>
          <w:lang w:bidi="en-US"/>
        </w:rPr>
        <w:t>4.5.7.1功能要求</w:t>
      </w:r>
    </w:p>
    <w:p w14:paraId="1AEA418A">
      <w:pPr>
        <w:pStyle w:val="54"/>
        <w:spacing w:before="24" w:after="24"/>
      </w:pPr>
      <w:r>
        <w:rPr>
          <w:lang w:bidi="en-US"/>
        </w:rPr>
        <w:t xml:space="preserve">具备渣土车未加盖监测及报警功能：对未遮盖篷布的渣土车进行自动识别，并记录车牌、司机信息， 实时预警报警。 </w:t>
      </w:r>
    </w:p>
    <w:p w14:paraId="27E1116B">
      <w:pPr>
        <w:pStyle w:val="54"/>
        <w:spacing w:before="24" w:after="24"/>
      </w:pPr>
      <w:r>
        <w:rPr>
          <w:lang w:bidi="en-US"/>
        </w:rPr>
        <w:t>4.5.7.2数据要求</w:t>
      </w:r>
    </w:p>
    <w:p w14:paraId="0065F7E3">
      <w:pPr>
        <w:pStyle w:val="54"/>
        <w:spacing w:before="24" w:after="24"/>
      </w:pPr>
      <w:r>
        <w:rPr>
          <w:lang w:bidi="en-US"/>
        </w:rPr>
        <w:t>渣土车未加盖监测数据包括但不限于未加盖渣土车的车牌、司机信息、抓拍时间、抓拍图片、处理人、处理结果等数据。</w:t>
      </w:r>
      <w:r>
        <w:t xml:space="preserve"> </w:t>
      </w:r>
    </w:p>
    <w:p w14:paraId="62E373EA">
      <w:pPr>
        <w:pStyle w:val="54"/>
        <w:spacing w:before="24" w:after="24"/>
      </w:pPr>
      <w:r>
        <w:rPr>
          <w:lang w:bidi="en-US"/>
        </w:rPr>
        <w:t>4.6电子文件管理</w:t>
      </w:r>
    </w:p>
    <w:p w14:paraId="4AE2B78B">
      <w:pPr>
        <w:pStyle w:val="54"/>
        <w:spacing w:before="24" w:after="24"/>
        <w:rPr>
          <w:sz w:val="15"/>
        </w:rPr>
      </w:pPr>
      <w:r>
        <w:rPr>
          <w:lang w:bidi="en-US"/>
        </w:rPr>
        <w:t>4.6.1基本要求</w:t>
      </w:r>
    </w:p>
    <w:p w14:paraId="76A8280F">
      <w:pPr>
        <w:pStyle w:val="54"/>
        <w:spacing w:before="24" w:after="24"/>
      </w:pPr>
      <w:r>
        <w:rPr>
          <w:lang w:bidi="en-US"/>
        </w:rPr>
        <w:t xml:space="preserve">电子文件管理业务场景包括但不限于施工管理类文件、监理管理类文件、施工记录文件、验收记录文件等采集及共享管理，场景要求属于必选项。 </w:t>
      </w:r>
    </w:p>
    <w:p w14:paraId="2C15BC1D">
      <w:pPr>
        <w:pStyle w:val="54"/>
        <w:spacing w:before="24" w:after="24"/>
      </w:pPr>
      <w:r>
        <w:rPr>
          <w:lang w:bidi="en-US"/>
        </w:rPr>
        <w:t>4.6.2功能要求</w:t>
      </w:r>
    </w:p>
    <w:p w14:paraId="58DE7754">
      <w:pPr>
        <w:pStyle w:val="54"/>
        <w:spacing w:before="24" w:after="24"/>
      </w:pPr>
      <w:r>
        <w:rPr>
          <w:lang w:bidi="en-US"/>
        </w:rPr>
        <w:t xml:space="preserve">4.6.2.1应建功能： </w:t>
      </w:r>
    </w:p>
    <w:p w14:paraId="6994C6B4">
      <w:pPr>
        <w:pStyle w:val="54"/>
        <w:spacing w:before="24" w:after="24"/>
      </w:pPr>
      <w:r>
        <w:rPr>
          <w:lang w:bidi="en-US"/>
        </w:rPr>
        <w:t xml:space="preserve">a）电子文件上传管理功能：可按照项目、单体工程随工程进度上传施工管理类文件、监理管理类文件、施工记录文件、验收记录文件等； </w:t>
      </w:r>
    </w:p>
    <w:p w14:paraId="0B97C488">
      <w:pPr>
        <w:pStyle w:val="54"/>
        <w:spacing w:before="24" w:after="24"/>
      </w:pPr>
      <w:r>
        <w:rPr>
          <w:lang w:bidi="en-US"/>
        </w:rPr>
        <w:t xml:space="preserve">b）电子文件预归档管理功能：可按照工程档案归档要求进行文件组织； </w:t>
      </w:r>
    </w:p>
    <w:p w14:paraId="585B406A">
      <w:pPr>
        <w:pStyle w:val="54"/>
        <w:spacing w:before="24" w:after="24"/>
      </w:pPr>
      <w:r>
        <w:rPr>
          <w:lang w:bidi="en-US"/>
        </w:rPr>
        <w:t xml:space="preserve">c）电子文件查询管理功能：可按照项目、单体工程对电子文件进行查询、调阅等。 </w:t>
      </w:r>
    </w:p>
    <w:p w14:paraId="3FC30663">
      <w:pPr>
        <w:pStyle w:val="54"/>
        <w:spacing w:before="24" w:after="24"/>
        <w:rPr>
          <w:sz w:val="15"/>
        </w:rPr>
      </w:pPr>
      <w:r>
        <w:rPr>
          <w:lang w:bidi="en-US"/>
        </w:rPr>
        <w:t xml:space="preserve">4.6.2.2宜建功能：电子文件同步生成管理功能，可根据工地现场动态数据同步生成电子文件。 </w:t>
      </w:r>
    </w:p>
    <w:p w14:paraId="37D8E2AD">
      <w:pPr>
        <w:pStyle w:val="54"/>
        <w:spacing w:before="24" w:after="24"/>
      </w:pPr>
      <w:r>
        <w:rPr>
          <w:lang w:bidi="en-US"/>
        </w:rPr>
        <w:t>4.6.3数据要求</w:t>
      </w:r>
    </w:p>
    <w:p w14:paraId="167CD11B">
      <w:pPr>
        <w:pStyle w:val="54"/>
        <w:spacing w:before="24" w:after="24"/>
        <w:rPr>
          <w:lang w:bidi="en-US"/>
        </w:rPr>
      </w:pPr>
      <w:r>
        <w:rPr>
          <w:lang w:bidi="en-US"/>
        </w:rPr>
        <w:t>电子文件管理数据，包括数据内容、文件组织方式及文件格式等具体要求，详见附录C。</w:t>
      </w:r>
    </w:p>
    <w:p w14:paraId="4D6EAC82">
      <w:pPr>
        <w:pStyle w:val="54"/>
        <w:spacing w:before="24" w:after="24"/>
        <w:rPr>
          <w:lang w:bidi="en-US"/>
        </w:rPr>
      </w:pPr>
      <w:r>
        <w:rPr>
          <w:lang w:bidi="en-US"/>
        </w:rPr>
        <w:t>4.7 工地轻量化BIM</w:t>
      </w:r>
    </w:p>
    <w:p w14:paraId="29DCDDCE">
      <w:pPr>
        <w:pStyle w:val="54"/>
        <w:spacing w:before="24" w:after="24"/>
        <w:rPr>
          <w:lang w:bidi="en-US"/>
        </w:rPr>
      </w:pPr>
      <w:r>
        <w:rPr>
          <w:lang w:bidi="en-US"/>
        </w:rPr>
        <w:t>4.7.1 基本要求</w:t>
      </w:r>
    </w:p>
    <w:p w14:paraId="1935F4DD">
      <w:pPr>
        <w:pStyle w:val="54"/>
        <w:spacing w:before="24" w:after="24"/>
        <w:rPr>
          <w:lang w:bidi="en-US"/>
        </w:rPr>
      </w:pPr>
      <w:r>
        <w:rPr>
          <w:lang w:bidi="en-US"/>
        </w:rPr>
        <w:t>4.7.1.1 根据项目规模及重要程度确定工地BIM模型的范围与精度。</w:t>
      </w:r>
    </w:p>
    <w:p w14:paraId="45FF91A2">
      <w:pPr>
        <w:pStyle w:val="54"/>
        <w:spacing w:before="24" w:after="24"/>
        <w:rPr>
          <w:lang w:bidi="en-US"/>
        </w:rPr>
      </w:pPr>
      <w:r>
        <w:rPr>
          <w:lang w:bidi="en-US"/>
        </w:rPr>
        <w:t>4.7.1.2 工地BIM应用应覆盖施工全过程，包括施工准备、施工图深化设计、工程施工、竣工验收及后期管理等阶段。</w:t>
      </w:r>
    </w:p>
    <w:p w14:paraId="7882DB66">
      <w:pPr>
        <w:pStyle w:val="54"/>
        <w:spacing w:before="24" w:after="24"/>
        <w:rPr>
          <w:lang w:bidi="en-US"/>
        </w:rPr>
      </w:pPr>
      <w:r>
        <w:rPr>
          <w:lang w:bidi="en-US"/>
        </w:rPr>
        <w:t>4.7.1.3 工地BIM模型宜基于设计阶段的施工图及相关工程文件创建，集成信息于模型中，为后续工作提供完整准确的数据支持。</w:t>
      </w:r>
    </w:p>
    <w:p w14:paraId="4F27D94E">
      <w:pPr>
        <w:pStyle w:val="54"/>
        <w:spacing w:before="24" w:after="24"/>
      </w:pPr>
      <w:r>
        <w:rPr>
          <w:lang w:bidi="en-US"/>
        </w:rPr>
        <w:t xml:space="preserve">4.7.1.4 应采用相应技术手段对工地BIM模型进行轻量化处理，在确保数据完整的前提下减小模型体量，使其适配电脑、手机等常规终端设备。 </w:t>
      </w:r>
    </w:p>
    <w:p w14:paraId="46C86BEA">
      <w:pPr>
        <w:pStyle w:val="54"/>
        <w:spacing w:before="24" w:after="24"/>
      </w:pPr>
      <w:r>
        <w:rPr>
          <w:lang w:bidi="en-US"/>
        </w:rPr>
        <w:t>4.7.2功能要求</w:t>
      </w:r>
    </w:p>
    <w:p w14:paraId="11E0BD0A">
      <w:pPr>
        <w:pStyle w:val="54"/>
        <w:spacing w:before="24" w:after="24"/>
        <w:rPr>
          <w:lang w:bidi="en-US"/>
        </w:rPr>
      </w:pPr>
      <w:r>
        <w:rPr>
          <w:lang w:bidi="en-US"/>
        </w:rPr>
        <w:t>4.7.2.1 施工准备阶段：支持场地分析、基坑与建筑及设备模型分析、设计方案比对等功能。</w:t>
      </w:r>
    </w:p>
    <w:p w14:paraId="75C0D19E">
      <w:pPr>
        <w:pStyle w:val="54"/>
        <w:spacing w:before="24" w:after="24"/>
        <w:rPr>
          <w:lang w:bidi="en-US"/>
        </w:rPr>
      </w:pPr>
      <w:r>
        <w:rPr>
          <w:lang w:bidi="en-US"/>
        </w:rPr>
        <w:t>4.7.2.2 施工图深化设计阶段：用于确定并优化基坑、建筑体、设备等模型的尺寸与高度，进行冲突检测，并支持全模型仿真漫游。</w:t>
      </w:r>
    </w:p>
    <w:p w14:paraId="013681F4">
      <w:pPr>
        <w:pStyle w:val="54"/>
        <w:spacing w:before="24" w:after="24"/>
        <w:rPr>
          <w:lang w:bidi="en-US"/>
        </w:rPr>
      </w:pPr>
      <w:r>
        <w:rPr>
          <w:lang w:bidi="en-US"/>
        </w:rPr>
        <w:t>4.7.2.3 项目工程施工阶段：具备人员与设备管理功能，并能按需为各相关方提供基坑、建筑及设备等模型数据。</w:t>
      </w:r>
    </w:p>
    <w:p w14:paraId="23242251">
      <w:pPr>
        <w:pStyle w:val="54"/>
        <w:spacing w:before="24" w:after="24"/>
        <w:rPr>
          <w:lang w:bidi="en-US"/>
        </w:rPr>
      </w:pPr>
      <w:r>
        <w:rPr>
          <w:lang w:bidi="en-US"/>
        </w:rPr>
        <w:t>4.7.2.4 项目竣工验收阶段：支持施工质量与进度控制、成果交付，以及人员与设备的审查管理。</w:t>
      </w:r>
    </w:p>
    <w:p w14:paraId="3C454B81">
      <w:pPr>
        <w:pStyle w:val="54"/>
        <w:spacing w:before="24" w:after="24"/>
        <w:rPr>
          <w:sz w:val="15"/>
        </w:rPr>
      </w:pPr>
      <w:r>
        <w:rPr>
          <w:lang w:bidi="en-US"/>
        </w:rPr>
        <w:t>4.7.2.5 后期管理阶段：提供工地数据查询、项目管理审查及成果资料管理等功能。</w:t>
      </w:r>
      <w:r>
        <w:rPr>
          <w:spacing w:val="-3"/>
        </w:rPr>
        <w:t xml:space="preserve"> </w:t>
      </w:r>
    </w:p>
    <w:p w14:paraId="496E5D2E">
      <w:pPr>
        <w:pStyle w:val="54"/>
        <w:spacing w:before="24" w:after="24"/>
      </w:pPr>
      <w:r>
        <w:rPr>
          <w:lang w:bidi="en-US"/>
        </w:rPr>
        <w:t>4.7.3数据要求</w:t>
      </w:r>
    </w:p>
    <w:p w14:paraId="29F9909E">
      <w:pPr>
        <w:pStyle w:val="54"/>
        <w:spacing w:before="24" w:after="24"/>
      </w:pPr>
      <w:r>
        <w:rPr>
          <w:lang w:bidi="en-US"/>
        </w:rPr>
        <w:t>4.7.3.1几何模型数据</w:t>
      </w:r>
    </w:p>
    <w:p w14:paraId="662DCE3E">
      <w:pPr>
        <w:pStyle w:val="54"/>
        <w:spacing w:before="24" w:after="24"/>
        <w:rPr>
          <w:lang w:bidi="en-US"/>
        </w:rPr>
      </w:pPr>
      <w:r>
        <w:rPr>
          <w:lang w:bidi="en-US"/>
        </w:rPr>
        <w:t>（1）施工准备阶段：包含施工场地BIM方案的二维示意，以及各专业三维构件在尺寸、形状、位置、材质与设备等方面的基本定义。</w:t>
      </w:r>
    </w:p>
    <w:p w14:paraId="064E205B">
      <w:pPr>
        <w:pStyle w:val="54"/>
        <w:spacing w:before="24" w:after="24"/>
        <w:rPr>
          <w:lang w:bidi="en-US"/>
        </w:rPr>
      </w:pPr>
      <w:r>
        <w:rPr>
          <w:lang w:bidi="en-US"/>
        </w:rPr>
        <w:t>（2）施工图深化设计阶段：包含施工场地及各专业三维构件的详细定义。</w:t>
      </w:r>
    </w:p>
    <w:p w14:paraId="7E3BF1E3">
      <w:pPr>
        <w:pStyle w:val="54"/>
        <w:spacing w:before="24" w:after="24"/>
        <w:rPr>
          <w:lang w:bidi="en-US"/>
        </w:rPr>
      </w:pPr>
      <w:r>
        <w:rPr>
          <w:lang w:bidi="en-US"/>
        </w:rPr>
        <w:t>（3）项目工程施工阶段：包含施工场地及各专业三维构件的工艺定义。</w:t>
      </w:r>
    </w:p>
    <w:p w14:paraId="5CBB7F75">
      <w:pPr>
        <w:pStyle w:val="54"/>
        <w:spacing w:before="24" w:after="24"/>
      </w:pPr>
      <w:r>
        <w:rPr>
          <w:lang w:bidi="en-US"/>
        </w:rPr>
        <w:t xml:space="preserve">（4）项目竣工验收及后期管理阶段：包含施工场地及各专业三维构件与实际完全一致的最终定义。 </w:t>
      </w:r>
    </w:p>
    <w:p w14:paraId="20159E39">
      <w:pPr>
        <w:pStyle w:val="54"/>
        <w:spacing w:before="24" w:after="24"/>
      </w:pPr>
      <w:r>
        <w:rPr>
          <w:lang w:bidi="en-US"/>
        </w:rPr>
        <w:t>4.7.3.2非几何模型数据</w:t>
      </w:r>
    </w:p>
    <w:p w14:paraId="7863A7B4">
      <w:pPr>
        <w:pStyle w:val="54"/>
        <w:spacing w:before="24" w:after="24"/>
        <w:rPr>
          <w:lang w:bidi="en-US"/>
        </w:rPr>
      </w:pPr>
      <w:r>
        <w:rPr>
          <w:lang w:bidi="en-US"/>
        </w:rPr>
        <w:t>（1）施工准备阶段：包括施工场地及各专业构件的安装尺寸、类型、规格等关键参数。</w:t>
      </w:r>
    </w:p>
    <w:p w14:paraId="22258AAB">
      <w:pPr>
        <w:pStyle w:val="54"/>
        <w:spacing w:before="24" w:after="24"/>
        <w:rPr>
          <w:lang w:bidi="en-US"/>
        </w:rPr>
      </w:pPr>
      <w:r>
        <w:rPr>
          <w:lang w:bidi="en-US"/>
        </w:rPr>
        <w:t>（2）施工图深化设计阶段：包括施工场地及各专业构件的详细规格、主要技术指标与性能参数等。</w:t>
      </w:r>
    </w:p>
    <w:p w14:paraId="154599B7">
      <w:pPr>
        <w:pStyle w:val="54"/>
        <w:spacing w:before="24" w:after="24"/>
        <w:rPr>
          <w:lang w:bidi="en-US"/>
        </w:rPr>
      </w:pPr>
      <w:r>
        <w:rPr>
          <w:lang w:bidi="en-US"/>
        </w:rPr>
        <w:t>（3）项目工程施工阶段：包括施工场地及各专业构件的加工、安装、施工临时设施、机械、进度、造价、质量安全及绿色环保等相关信息。</w:t>
      </w:r>
    </w:p>
    <w:p w14:paraId="2A26C1EC">
      <w:pPr>
        <w:pStyle w:val="54"/>
        <w:spacing w:before="24" w:after="24"/>
      </w:pPr>
      <w:r>
        <w:rPr>
          <w:lang w:bidi="en-US"/>
        </w:rPr>
        <w:t xml:space="preserve">（4）项目竣工验收及后期管理阶段：包括最终模型应包含的全部竣工验收资料。 </w:t>
      </w:r>
    </w:p>
    <w:p w14:paraId="2BEA364E">
      <w:pPr>
        <w:pStyle w:val="54"/>
        <w:spacing w:before="24" w:after="24"/>
      </w:pPr>
      <w:r>
        <w:rPr>
          <w:lang w:bidi="en-US"/>
        </w:rPr>
        <w:t>5 其它管理要求</w:t>
      </w:r>
    </w:p>
    <w:p w14:paraId="53321152">
      <w:pPr>
        <w:pStyle w:val="54"/>
        <w:spacing w:before="24" w:after="24"/>
        <w:ind w:firstLine="548"/>
        <w:rPr>
          <w:spacing w:val="-3"/>
        </w:rPr>
      </w:pPr>
      <w:r>
        <w:rPr>
          <w:spacing w:val="-3"/>
          <w:lang w:bidi="en-US"/>
        </w:rPr>
        <w:t>5.1为高质量推进德钦县城搬迁项目，实现全过程数字化、精细化与智能化管控，本项目采用由发包人统一建设与运维的“德钦县城搬迁信息化管控平台”（以下简称“本平台”）。该平台集成项目协同管理、进度成本控制、质量安全监管、资料归档及现场实时监控等全流程管理功能，是项目唯一的核心管理工具与官方信息通道。</w:t>
      </w:r>
    </w:p>
    <w:p w14:paraId="42CF5F77">
      <w:pPr>
        <w:pStyle w:val="54"/>
        <w:spacing w:before="24" w:after="24"/>
        <w:ind w:firstLine="548"/>
        <w:rPr>
          <w:spacing w:val="-3"/>
        </w:rPr>
      </w:pPr>
      <w:r>
        <w:rPr>
          <w:spacing w:val="-3"/>
          <w:lang w:bidi="en-US"/>
        </w:rPr>
        <w:t>5.2承包人作为平台使用者，必须无条件接入并使用本平台完成其合同标段。</w:t>
      </w:r>
    </w:p>
    <w:p w14:paraId="288E288E">
      <w:pPr>
        <w:pStyle w:val="54"/>
        <w:spacing w:before="24" w:after="24"/>
        <w:ind w:firstLine="548"/>
        <w:rPr>
          <w:spacing w:val="-3"/>
        </w:rPr>
      </w:pPr>
      <w:r>
        <w:rPr>
          <w:spacing w:val="-3"/>
          <w:lang w:bidi="en-US"/>
        </w:rPr>
        <w:t>5.3承包人须负责其合同标段内，为全面应用本平台所需全部硬件设备的采购、安装、调试、运维与数据接入，并承担相应费用。</w:t>
      </w:r>
    </w:p>
    <w:p w14:paraId="70B69EA2">
      <w:pPr>
        <w:pStyle w:val="54"/>
        <w:spacing w:before="24" w:after="24"/>
        <w:ind w:firstLine="548"/>
        <w:rPr>
          <w:spacing w:val="-3"/>
        </w:rPr>
      </w:pPr>
      <w:r>
        <w:rPr>
          <w:spacing w:val="-3"/>
          <w:lang w:bidi="en-US"/>
        </w:rPr>
        <w:t>5.4</w:t>
      </w:r>
      <w:r>
        <w:rPr>
          <w:spacing w:val="-3"/>
        </w:rPr>
        <w:t>承包人应在收到平台账号后通过平台完成所有业务流程的发起、审批、处理与归档。</w:t>
      </w:r>
    </w:p>
    <w:p w14:paraId="28F09EE5">
      <w:pPr>
        <w:pStyle w:val="54"/>
        <w:spacing w:before="24" w:after="24"/>
        <w:ind w:firstLine="548"/>
        <w:rPr>
          <w:spacing w:val="-3"/>
        </w:rPr>
      </w:pPr>
      <w:r>
        <w:rPr>
          <w:spacing w:val="-3"/>
          <w:lang w:bidi="en-US"/>
        </w:rPr>
        <w:t>5.5违约与罚则</w:t>
      </w:r>
    </w:p>
    <w:p w14:paraId="320C7C5A">
      <w:pPr>
        <w:pStyle w:val="54"/>
        <w:spacing w:before="24" w:after="24"/>
        <w:ind w:firstLine="548"/>
        <w:rPr>
          <w:spacing w:val="-3"/>
        </w:rPr>
      </w:pPr>
      <w:r>
        <w:rPr>
          <w:spacing w:val="-3"/>
          <w:lang w:bidi="en-US"/>
        </w:rPr>
        <w:t>5.5.1对无正当理由不配合平台使用、未按规定时效录入或更新信息的，处以人民币2000元/次的违约金，并责令限期整改。</w:t>
      </w:r>
    </w:p>
    <w:p w14:paraId="240B5546">
      <w:pPr>
        <w:pStyle w:val="54"/>
        <w:spacing w:before="24" w:after="24"/>
        <w:ind w:firstLine="548"/>
        <w:rPr>
          <w:spacing w:val="-3"/>
        </w:rPr>
      </w:pPr>
      <w:r>
        <w:rPr>
          <w:spacing w:val="-3"/>
          <w:lang w:bidi="en-US"/>
        </w:rPr>
        <w:t>5.5.2如发现承包人存在数据造假、恶意篡改、故意瞒报等行为，处以人民币5000元/次的违约金。若因关键数据造假导致项目决策偏差或造成损失的，承包人须承担全部相应责任及损失。</w:t>
      </w:r>
    </w:p>
    <w:p w14:paraId="61D32A55">
      <w:pPr>
        <w:pStyle w:val="54"/>
        <w:spacing w:before="24" w:after="24"/>
        <w:ind w:firstLine="548"/>
        <w:rPr>
          <w:spacing w:val="-3"/>
        </w:rPr>
      </w:pPr>
      <w:r>
        <w:rPr>
          <w:spacing w:val="-3"/>
          <w:lang w:bidi="en-US"/>
        </w:rPr>
        <w:t>5.5.3承包人如违反本要求，发包人有权依据合同及法律规定追究其违约责任。</w:t>
      </w:r>
    </w:p>
    <w:p w14:paraId="7D0BD8CA">
      <w:pPr>
        <w:pStyle w:val="69"/>
        <w:rPr>
          <w:rFonts w:hint="eastAsia"/>
        </w:rPr>
      </w:pPr>
      <w:r>
        <w:t>附录A  智慧工地建设内容及业务场景要求</w:t>
      </w:r>
    </w:p>
    <w:tbl>
      <w:tblPr>
        <w:tblStyle w:val="30"/>
        <w:tblW w:w="9204" w:type="dxa"/>
        <w:tblInd w:w="0" w:type="dxa"/>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Layout w:type="fixed"/>
        <w:tblCellMar>
          <w:top w:w="0" w:type="dxa"/>
          <w:left w:w="0" w:type="dxa"/>
          <w:bottom w:w="0" w:type="dxa"/>
          <w:right w:w="0" w:type="dxa"/>
        </w:tblCellMar>
      </w:tblPr>
      <w:tblGrid>
        <w:gridCol w:w="977"/>
        <w:gridCol w:w="1607"/>
        <w:gridCol w:w="1517"/>
        <w:gridCol w:w="3544"/>
        <w:gridCol w:w="1559"/>
      </w:tblGrid>
      <w:tr w14:paraId="17EB1D86">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11" w:hRule="atLeast"/>
          <w:tblHeader/>
        </w:trPr>
        <w:tc>
          <w:tcPr>
            <w:tcW w:w="977" w:type="dxa"/>
            <w:vAlign w:val="center"/>
          </w:tcPr>
          <w:p w14:paraId="4A88BC63">
            <w:pPr>
              <w:pStyle w:val="71"/>
              <w:spacing w:before="24" w:after="24"/>
              <w:rPr>
                <w:rFonts w:cs="Times New Roman"/>
              </w:rPr>
            </w:pPr>
            <w:r>
              <w:rPr>
                <w:rFonts w:cs="Times New Roman"/>
              </w:rPr>
              <w:t xml:space="preserve">序号 </w:t>
            </w:r>
          </w:p>
        </w:tc>
        <w:tc>
          <w:tcPr>
            <w:tcW w:w="1607" w:type="dxa"/>
            <w:vAlign w:val="center"/>
          </w:tcPr>
          <w:p w14:paraId="7AAFF74E">
            <w:pPr>
              <w:pStyle w:val="71"/>
              <w:spacing w:before="24" w:after="24"/>
              <w:rPr>
                <w:rFonts w:cs="Times New Roman"/>
              </w:rPr>
            </w:pPr>
            <w:r>
              <w:rPr>
                <w:rFonts w:cs="Times New Roman"/>
              </w:rPr>
              <w:t xml:space="preserve">类别 </w:t>
            </w:r>
          </w:p>
        </w:tc>
        <w:tc>
          <w:tcPr>
            <w:tcW w:w="1517" w:type="dxa"/>
            <w:vAlign w:val="center"/>
          </w:tcPr>
          <w:p w14:paraId="4BAF6744">
            <w:pPr>
              <w:pStyle w:val="71"/>
              <w:spacing w:before="24" w:after="24"/>
              <w:rPr>
                <w:rFonts w:cs="Times New Roman"/>
              </w:rPr>
            </w:pPr>
            <w:r>
              <w:rPr>
                <w:rFonts w:cs="Times New Roman"/>
              </w:rPr>
              <w:t xml:space="preserve">业务应用 </w:t>
            </w:r>
          </w:p>
        </w:tc>
        <w:tc>
          <w:tcPr>
            <w:tcW w:w="3544" w:type="dxa"/>
            <w:vAlign w:val="center"/>
          </w:tcPr>
          <w:p w14:paraId="23198654">
            <w:pPr>
              <w:pStyle w:val="71"/>
              <w:spacing w:before="24" w:after="24"/>
              <w:rPr>
                <w:rFonts w:cs="Times New Roman"/>
              </w:rPr>
            </w:pPr>
            <w:r>
              <w:rPr>
                <w:rFonts w:cs="Times New Roman"/>
              </w:rPr>
              <w:t xml:space="preserve">场景名称 </w:t>
            </w:r>
          </w:p>
        </w:tc>
        <w:tc>
          <w:tcPr>
            <w:tcW w:w="1559" w:type="dxa"/>
            <w:vAlign w:val="center"/>
          </w:tcPr>
          <w:p w14:paraId="25430A33">
            <w:pPr>
              <w:pStyle w:val="71"/>
              <w:spacing w:before="24" w:after="24"/>
              <w:rPr>
                <w:rFonts w:cs="Times New Roman"/>
              </w:rPr>
            </w:pPr>
            <w:r>
              <w:rPr>
                <w:rFonts w:cs="Times New Roman"/>
              </w:rPr>
              <w:t xml:space="preserve">场景要求 </w:t>
            </w:r>
          </w:p>
        </w:tc>
      </w:tr>
      <w:tr w14:paraId="7FD70B8D">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977" w:type="dxa"/>
            <w:vAlign w:val="center"/>
          </w:tcPr>
          <w:p w14:paraId="31D84CBC">
            <w:pPr>
              <w:pStyle w:val="71"/>
              <w:spacing w:before="24" w:after="24"/>
              <w:rPr>
                <w:rFonts w:cs="Times New Roman"/>
              </w:rPr>
            </w:pPr>
            <w:r>
              <w:rPr>
                <w:rFonts w:cs="Times New Roman"/>
              </w:rPr>
              <w:t xml:space="preserve">1 </w:t>
            </w:r>
          </w:p>
        </w:tc>
        <w:tc>
          <w:tcPr>
            <w:tcW w:w="1607" w:type="dxa"/>
            <w:vMerge w:val="restart"/>
            <w:vAlign w:val="center"/>
          </w:tcPr>
          <w:p w14:paraId="5204A4D5">
            <w:pPr>
              <w:pStyle w:val="71"/>
              <w:spacing w:before="24" w:after="24"/>
              <w:rPr>
                <w:rFonts w:cs="Times New Roman"/>
              </w:rPr>
            </w:pPr>
            <w:r>
              <w:rPr>
                <w:rFonts w:cs="Times New Roman"/>
              </w:rPr>
              <w:t xml:space="preserve">工程信息 </w:t>
            </w:r>
          </w:p>
        </w:tc>
        <w:tc>
          <w:tcPr>
            <w:tcW w:w="1517" w:type="dxa"/>
            <w:vMerge w:val="restart"/>
            <w:vAlign w:val="center"/>
          </w:tcPr>
          <w:p w14:paraId="173465BC">
            <w:pPr>
              <w:pStyle w:val="71"/>
              <w:spacing w:before="24" w:after="24"/>
              <w:rPr>
                <w:rFonts w:cs="Times New Roman"/>
              </w:rPr>
            </w:pPr>
            <w:r>
              <w:rPr>
                <w:rFonts w:cs="Times New Roman"/>
              </w:rPr>
              <w:t xml:space="preserve">- </w:t>
            </w:r>
          </w:p>
        </w:tc>
        <w:tc>
          <w:tcPr>
            <w:tcW w:w="3544" w:type="dxa"/>
            <w:vAlign w:val="center"/>
          </w:tcPr>
          <w:p w14:paraId="502F956B">
            <w:pPr>
              <w:pStyle w:val="71"/>
              <w:spacing w:before="24" w:after="24"/>
              <w:rPr>
                <w:rFonts w:cs="Times New Roman"/>
              </w:rPr>
            </w:pPr>
            <w:r>
              <w:rPr>
                <w:rFonts w:cs="Times New Roman"/>
              </w:rPr>
              <w:t xml:space="preserve">基本信息 </w:t>
            </w:r>
          </w:p>
        </w:tc>
        <w:tc>
          <w:tcPr>
            <w:tcW w:w="1559" w:type="dxa"/>
            <w:vAlign w:val="center"/>
          </w:tcPr>
          <w:p w14:paraId="4C840595">
            <w:pPr>
              <w:pStyle w:val="71"/>
              <w:spacing w:before="24" w:after="24"/>
              <w:rPr>
                <w:rFonts w:cs="Times New Roman"/>
              </w:rPr>
            </w:pPr>
            <w:r>
              <w:rPr>
                <w:rFonts w:cs="Times New Roman"/>
              </w:rPr>
              <w:t xml:space="preserve">√ </w:t>
            </w:r>
          </w:p>
        </w:tc>
      </w:tr>
      <w:tr w14:paraId="43FF875B">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14" w:hRule="atLeast"/>
        </w:trPr>
        <w:tc>
          <w:tcPr>
            <w:tcW w:w="977" w:type="dxa"/>
            <w:vAlign w:val="center"/>
          </w:tcPr>
          <w:p w14:paraId="77E32C09">
            <w:pPr>
              <w:pStyle w:val="71"/>
              <w:spacing w:before="24" w:after="24"/>
              <w:rPr>
                <w:rFonts w:cs="Times New Roman"/>
              </w:rPr>
            </w:pPr>
            <w:r>
              <w:rPr>
                <w:rFonts w:cs="Times New Roman"/>
              </w:rPr>
              <w:t xml:space="preserve">2 </w:t>
            </w:r>
          </w:p>
        </w:tc>
        <w:tc>
          <w:tcPr>
            <w:tcW w:w="1607" w:type="dxa"/>
            <w:vMerge w:val="continue"/>
            <w:vAlign w:val="center"/>
          </w:tcPr>
          <w:p w14:paraId="611D535F">
            <w:pPr>
              <w:pStyle w:val="71"/>
              <w:spacing w:before="24" w:after="24"/>
              <w:rPr>
                <w:rFonts w:cs="Times New Roman"/>
              </w:rPr>
            </w:pPr>
          </w:p>
        </w:tc>
        <w:tc>
          <w:tcPr>
            <w:tcW w:w="1517" w:type="dxa"/>
            <w:vMerge w:val="continue"/>
            <w:vAlign w:val="center"/>
          </w:tcPr>
          <w:p w14:paraId="3D145853">
            <w:pPr>
              <w:pStyle w:val="71"/>
              <w:spacing w:before="24" w:after="24"/>
              <w:rPr>
                <w:rFonts w:cs="Times New Roman"/>
              </w:rPr>
            </w:pPr>
          </w:p>
        </w:tc>
        <w:tc>
          <w:tcPr>
            <w:tcW w:w="3544" w:type="dxa"/>
            <w:vAlign w:val="center"/>
          </w:tcPr>
          <w:p w14:paraId="508D48CF">
            <w:pPr>
              <w:pStyle w:val="71"/>
              <w:spacing w:before="24" w:after="24"/>
              <w:rPr>
                <w:rFonts w:cs="Times New Roman"/>
              </w:rPr>
            </w:pPr>
            <w:r>
              <w:rPr>
                <w:rFonts w:cs="Times New Roman"/>
              </w:rPr>
              <w:t xml:space="preserve">施工组织设计要点信息 </w:t>
            </w:r>
          </w:p>
        </w:tc>
        <w:tc>
          <w:tcPr>
            <w:tcW w:w="1559" w:type="dxa"/>
            <w:vAlign w:val="center"/>
          </w:tcPr>
          <w:p w14:paraId="572F132D">
            <w:pPr>
              <w:pStyle w:val="71"/>
              <w:spacing w:before="24" w:after="24"/>
              <w:rPr>
                <w:rFonts w:cs="Times New Roman"/>
              </w:rPr>
            </w:pPr>
            <w:r>
              <w:rPr>
                <w:rFonts w:cs="Times New Roman"/>
              </w:rPr>
              <w:t xml:space="preserve">√ </w:t>
            </w:r>
          </w:p>
        </w:tc>
      </w:tr>
      <w:tr w14:paraId="22E344C5">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977" w:type="dxa"/>
            <w:vAlign w:val="center"/>
          </w:tcPr>
          <w:p w14:paraId="3CF87803">
            <w:pPr>
              <w:pStyle w:val="71"/>
              <w:spacing w:before="24" w:after="24"/>
              <w:rPr>
                <w:rFonts w:cs="Times New Roman"/>
              </w:rPr>
            </w:pPr>
            <w:r>
              <w:rPr>
                <w:rFonts w:cs="Times New Roman"/>
              </w:rPr>
              <w:t xml:space="preserve">3 </w:t>
            </w:r>
          </w:p>
        </w:tc>
        <w:tc>
          <w:tcPr>
            <w:tcW w:w="1607" w:type="dxa"/>
            <w:vMerge w:val="continue"/>
            <w:vAlign w:val="center"/>
          </w:tcPr>
          <w:p w14:paraId="2320EFA5">
            <w:pPr>
              <w:pStyle w:val="71"/>
              <w:spacing w:before="24" w:after="24"/>
              <w:rPr>
                <w:rFonts w:cs="Times New Roman"/>
              </w:rPr>
            </w:pPr>
          </w:p>
        </w:tc>
        <w:tc>
          <w:tcPr>
            <w:tcW w:w="1517" w:type="dxa"/>
            <w:vMerge w:val="continue"/>
            <w:vAlign w:val="center"/>
          </w:tcPr>
          <w:p w14:paraId="41965DA4">
            <w:pPr>
              <w:pStyle w:val="71"/>
              <w:spacing w:before="24" w:after="24"/>
              <w:rPr>
                <w:rFonts w:cs="Times New Roman"/>
              </w:rPr>
            </w:pPr>
          </w:p>
        </w:tc>
        <w:tc>
          <w:tcPr>
            <w:tcW w:w="3544" w:type="dxa"/>
            <w:vAlign w:val="center"/>
          </w:tcPr>
          <w:p w14:paraId="4093281B">
            <w:pPr>
              <w:pStyle w:val="71"/>
              <w:spacing w:before="24" w:after="24"/>
              <w:rPr>
                <w:rFonts w:cs="Times New Roman"/>
              </w:rPr>
            </w:pPr>
            <w:r>
              <w:rPr>
                <w:rFonts w:cs="Times New Roman"/>
              </w:rPr>
              <w:t xml:space="preserve">进度管理 </w:t>
            </w:r>
          </w:p>
        </w:tc>
        <w:tc>
          <w:tcPr>
            <w:tcW w:w="1559" w:type="dxa"/>
            <w:vAlign w:val="center"/>
          </w:tcPr>
          <w:p w14:paraId="6876713E">
            <w:pPr>
              <w:pStyle w:val="71"/>
              <w:spacing w:before="24" w:after="24"/>
              <w:rPr>
                <w:rFonts w:cs="Times New Roman"/>
              </w:rPr>
            </w:pPr>
            <w:r>
              <w:rPr>
                <w:rFonts w:cs="Times New Roman"/>
              </w:rPr>
              <w:t xml:space="preserve">√ </w:t>
            </w:r>
          </w:p>
        </w:tc>
      </w:tr>
      <w:tr w14:paraId="736DD254">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977" w:type="dxa"/>
            <w:vAlign w:val="center"/>
          </w:tcPr>
          <w:p w14:paraId="03D20CF7">
            <w:pPr>
              <w:pStyle w:val="71"/>
              <w:spacing w:before="24" w:after="24"/>
              <w:rPr>
                <w:rFonts w:cs="Times New Roman"/>
              </w:rPr>
            </w:pPr>
            <w:r>
              <w:rPr>
                <w:rFonts w:cs="Times New Roman"/>
              </w:rPr>
              <w:t xml:space="preserve">4 </w:t>
            </w:r>
          </w:p>
        </w:tc>
        <w:tc>
          <w:tcPr>
            <w:tcW w:w="1607" w:type="dxa"/>
            <w:vMerge w:val="continue"/>
            <w:vAlign w:val="center"/>
          </w:tcPr>
          <w:p w14:paraId="2C481994">
            <w:pPr>
              <w:pStyle w:val="71"/>
              <w:spacing w:before="24" w:after="24"/>
              <w:rPr>
                <w:rFonts w:cs="Times New Roman"/>
              </w:rPr>
            </w:pPr>
          </w:p>
        </w:tc>
        <w:tc>
          <w:tcPr>
            <w:tcW w:w="1517" w:type="dxa"/>
            <w:vMerge w:val="continue"/>
            <w:vAlign w:val="center"/>
          </w:tcPr>
          <w:p w14:paraId="6509FEEE">
            <w:pPr>
              <w:pStyle w:val="71"/>
              <w:spacing w:before="24" w:after="24"/>
              <w:rPr>
                <w:rFonts w:cs="Times New Roman"/>
              </w:rPr>
            </w:pPr>
          </w:p>
        </w:tc>
        <w:tc>
          <w:tcPr>
            <w:tcW w:w="3544" w:type="dxa"/>
            <w:vAlign w:val="center"/>
          </w:tcPr>
          <w:p w14:paraId="4B85EB31">
            <w:pPr>
              <w:pStyle w:val="71"/>
              <w:spacing w:before="24" w:after="24"/>
              <w:rPr>
                <w:rFonts w:cs="Times New Roman"/>
              </w:rPr>
            </w:pPr>
            <w:r>
              <w:rPr>
                <w:rFonts w:cs="Times New Roman"/>
              </w:rPr>
              <w:t xml:space="preserve">综合数据分析 </w:t>
            </w:r>
          </w:p>
        </w:tc>
        <w:tc>
          <w:tcPr>
            <w:tcW w:w="1559" w:type="dxa"/>
            <w:vAlign w:val="center"/>
          </w:tcPr>
          <w:p w14:paraId="6B9CA4DE">
            <w:pPr>
              <w:pStyle w:val="71"/>
              <w:spacing w:before="24" w:after="24"/>
              <w:rPr>
                <w:rFonts w:cs="Times New Roman"/>
              </w:rPr>
            </w:pPr>
            <w:r>
              <w:rPr>
                <w:rFonts w:cs="Times New Roman"/>
              </w:rPr>
              <w:t xml:space="preserve">√ </w:t>
            </w:r>
          </w:p>
        </w:tc>
      </w:tr>
      <w:tr w14:paraId="301FA042">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977" w:type="dxa"/>
            <w:vAlign w:val="center"/>
          </w:tcPr>
          <w:p w14:paraId="572AE01E">
            <w:pPr>
              <w:pStyle w:val="71"/>
              <w:spacing w:before="24" w:after="24"/>
              <w:rPr>
                <w:rFonts w:cs="Times New Roman"/>
              </w:rPr>
            </w:pPr>
            <w:r>
              <w:rPr>
                <w:rFonts w:cs="Times New Roman"/>
              </w:rPr>
              <w:t xml:space="preserve">5 </w:t>
            </w:r>
          </w:p>
        </w:tc>
        <w:tc>
          <w:tcPr>
            <w:tcW w:w="1607" w:type="dxa"/>
            <w:vMerge w:val="restart"/>
            <w:vAlign w:val="center"/>
          </w:tcPr>
          <w:p w14:paraId="22E4C5A1">
            <w:pPr>
              <w:pStyle w:val="71"/>
              <w:spacing w:before="24" w:after="24"/>
              <w:rPr>
                <w:rFonts w:cs="Times New Roman"/>
              </w:rPr>
            </w:pPr>
          </w:p>
          <w:p w14:paraId="3D7E6617">
            <w:pPr>
              <w:pStyle w:val="71"/>
              <w:spacing w:before="24" w:after="24"/>
              <w:rPr>
                <w:rFonts w:cs="Times New Roman"/>
              </w:rPr>
            </w:pPr>
          </w:p>
          <w:p w14:paraId="351F4777">
            <w:pPr>
              <w:pStyle w:val="71"/>
              <w:spacing w:before="24" w:after="24"/>
              <w:rPr>
                <w:rFonts w:cs="Times New Roman"/>
              </w:rPr>
            </w:pPr>
          </w:p>
          <w:p w14:paraId="0C05622C">
            <w:pPr>
              <w:pStyle w:val="71"/>
              <w:spacing w:before="24" w:after="24"/>
              <w:rPr>
                <w:rFonts w:cs="Times New Roman"/>
              </w:rPr>
            </w:pPr>
          </w:p>
          <w:p w14:paraId="4593DF77">
            <w:pPr>
              <w:pStyle w:val="71"/>
              <w:spacing w:before="24" w:after="24"/>
              <w:rPr>
                <w:rFonts w:cs="Times New Roman"/>
              </w:rPr>
            </w:pPr>
          </w:p>
          <w:p w14:paraId="54F0BBE2">
            <w:pPr>
              <w:pStyle w:val="71"/>
              <w:spacing w:before="24" w:after="24"/>
              <w:rPr>
                <w:rFonts w:cs="Times New Roman"/>
              </w:rPr>
            </w:pPr>
          </w:p>
          <w:p w14:paraId="3264BD45">
            <w:pPr>
              <w:pStyle w:val="71"/>
              <w:spacing w:before="24" w:after="24"/>
              <w:rPr>
                <w:rFonts w:cs="Times New Roman"/>
              </w:rPr>
            </w:pPr>
          </w:p>
          <w:p w14:paraId="5DBDD6AF">
            <w:pPr>
              <w:pStyle w:val="71"/>
              <w:spacing w:before="24" w:after="24"/>
              <w:rPr>
                <w:rFonts w:cs="Times New Roman"/>
              </w:rPr>
            </w:pPr>
            <w:r>
              <w:rPr>
                <w:rFonts w:cs="Times New Roman"/>
              </w:rPr>
              <w:t xml:space="preserve">人员管理 </w:t>
            </w:r>
          </w:p>
        </w:tc>
        <w:tc>
          <w:tcPr>
            <w:tcW w:w="1517" w:type="dxa"/>
            <w:vMerge w:val="restart"/>
            <w:vAlign w:val="center"/>
          </w:tcPr>
          <w:p w14:paraId="56E1D083">
            <w:pPr>
              <w:pStyle w:val="71"/>
              <w:spacing w:before="24" w:after="24"/>
              <w:rPr>
                <w:rFonts w:cs="Times New Roman"/>
              </w:rPr>
            </w:pPr>
          </w:p>
          <w:p w14:paraId="300922BC">
            <w:pPr>
              <w:pStyle w:val="71"/>
              <w:spacing w:before="24" w:after="24"/>
              <w:rPr>
                <w:rFonts w:cs="Times New Roman"/>
              </w:rPr>
            </w:pPr>
          </w:p>
          <w:p w14:paraId="69864469">
            <w:pPr>
              <w:pStyle w:val="71"/>
              <w:spacing w:before="24" w:after="24"/>
              <w:rPr>
                <w:rFonts w:cs="Times New Roman"/>
              </w:rPr>
            </w:pPr>
          </w:p>
          <w:p w14:paraId="5EFB603C">
            <w:pPr>
              <w:pStyle w:val="71"/>
              <w:spacing w:before="24" w:after="24"/>
              <w:rPr>
                <w:rFonts w:cs="Times New Roman"/>
              </w:rPr>
            </w:pPr>
          </w:p>
          <w:p w14:paraId="6CA7D3CE">
            <w:pPr>
              <w:pStyle w:val="71"/>
              <w:spacing w:before="24" w:after="24"/>
              <w:rPr>
                <w:rFonts w:cs="Times New Roman"/>
              </w:rPr>
            </w:pPr>
          </w:p>
          <w:p w14:paraId="7D758942">
            <w:pPr>
              <w:pStyle w:val="71"/>
              <w:spacing w:before="24" w:after="24"/>
              <w:rPr>
                <w:rFonts w:cs="Times New Roman"/>
              </w:rPr>
            </w:pPr>
          </w:p>
          <w:p w14:paraId="211F99E5">
            <w:pPr>
              <w:pStyle w:val="71"/>
              <w:spacing w:before="24" w:after="24"/>
              <w:rPr>
                <w:rFonts w:cs="Times New Roman"/>
              </w:rPr>
            </w:pPr>
          </w:p>
          <w:p w14:paraId="545FB5D7">
            <w:pPr>
              <w:pStyle w:val="71"/>
              <w:spacing w:before="24" w:after="24"/>
              <w:rPr>
                <w:rFonts w:cs="Times New Roman"/>
              </w:rPr>
            </w:pPr>
            <w:r>
              <w:rPr>
                <w:rFonts w:cs="Times New Roman"/>
              </w:rPr>
              <w:t xml:space="preserve">- </w:t>
            </w:r>
          </w:p>
        </w:tc>
        <w:tc>
          <w:tcPr>
            <w:tcW w:w="3544" w:type="dxa"/>
            <w:vAlign w:val="center"/>
          </w:tcPr>
          <w:p w14:paraId="76CFD62A">
            <w:pPr>
              <w:pStyle w:val="71"/>
              <w:spacing w:before="24" w:after="24"/>
              <w:rPr>
                <w:rFonts w:cs="Times New Roman"/>
              </w:rPr>
            </w:pPr>
            <w:r>
              <w:rPr>
                <w:rFonts w:cs="Times New Roman"/>
              </w:rPr>
              <w:t xml:space="preserve">人员信息管理 </w:t>
            </w:r>
          </w:p>
        </w:tc>
        <w:tc>
          <w:tcPr>
            <w:tcW w:w="1559" w:type="dxa"/>
            <w:vAlign w:val="center"/>
          </w:tcPr>
          <w:p w14:paraId="1E57FA07">
            <w:pPr>
              <w:pStyle w:val="71"/>
              <w:spacing w:before="24" w:after="24"/>
              <w:rPr>
                <w:rFonts w:cs="Times New Roman"/>
              </w:rPr>
            </w:pPr>
            <w:r>
              <w:rPr>
                <w:rFonts w:cs="Times New Roman"/>
              </w:rPr>
              <w:t xml:space="preserve">√ </w:t>
            </w:r>
          </w:p>
        </w:tc>
      </w:tr>
      <w:tr w14:paraId="378ED7F4">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977" w:type="dxa"/>
            <w:vAlign w:val="center"/>
          </w:tcPr>
          <w:p w14:paraId="4853C2EB">
            <w:pPr>
              <w:pStyle w:val="71"/>
              <w:spacing w:before="24" w:after="24"/>
              <w:rPr>
                <w:rFonts w:cs="Times New Roman"/>
              </w:rPr>
            </w:pPr>
            <w:r>
              <w:rPr>
                <w:rFonts w:cs="Times New Roman"/>
              </w:rPr>
              <w:t xml:space="preserve">6 </w:t>
            </w:r>
          </w:p>
        </w:tc>
        <w:tc>
          <w:tcPr>
            <w:tcW w:w="1607" w:type="dxa"/>
            <w:vMerge w:val="continue"/>
            <w:vAlign w:val="center"/>
          </w:tcPr>
          <w:p w14:paraId="50697B06">
            <w:pPr>
              <w:pStyle w:val="71"/>
              <w:spacing w:before="24" w:after="24"/>
              <w:rPr>
                <w:rFonts w:cs="Times New Roman"/>
              </w:rPr>
            </w:pPr>
          </w:p>
        </w:tc>
        <w:tc>
          <w:tcPr>
            <w:tcW w:w="1517" w:type="dxa"/>
            <w:vMerge w:val="continue"/>
            <w:vAlign w:val="center"/>
          </w:tcPr>
          <w:p w14:paraId="79A18438">
            <w:pPr>
              <w:pStyle w:val="71"/>
              <w:spacing w:before="24" w:after="24"/>
              <w:rPr>
                <w:rFonts w:cs="Times New Roman"/>
              </w:rPr>
            </w:pPr>
          </w:p>
        </w:tc>
        <w:tc>
          <w:tcPr>
            <w:tcW w:w="3544" w:type="dxa"/>
            <w:vAlign w:val="center"/>
          </w:tcPr>
          <w:p w14:paraId="445A5FE4">
            <w:pPr>
              <w:pStyle w:val="71"/>
              <w:spacing w:before="24" w:after="24"/>
              <w:rPr>
                <w:rFonts w:cs="Times New Roman"/>
              </w:rPr>
            </w:pPr>
            <w:r>
              <w:rPr>
                <w:rFonts w:cs="Times New Roman"/>
              </w:rPr>
              <w:t xml:space="preserve">人员考勤管理 </w:t>
            </w:r>
          </w:p>
        </w:tc>
        <w:tc>
          <w:tcPr>
            <w:tcW w:w="1559" w:type="dxa"/>
            <w:vAlign w:val="center"/>
          </w:tcPr>
          <w:p w14:paraId="5A1D77EE">
            <w:pPr>
              <w:pStyle w:val="71"/>
              <w:spacing w:before="24" w:after="24"/>
              <w:rPr>
                <w:rFonts w:cs="Times New Roman"/>
              </w:rPr>
            </w:pPr>
            <w:r>
              <w:rPr>
                <w:rFonts w:cs="Times New Roman"/>
              </w:rPr>
              <w:t xml:space="preserve">√ </w:t>
            </w:r>
          </w:p>
        </w:tc>
      </w:tr>
      <w:tr w14:paraId="077C99BB">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977" w:type="dxa"/>
            <w:vAlign w:val="center"/>
          </w:tcPr>
          <w:p w14:paraId="7DFF7418">
            <w:pPr>
              <w:pStyle w:val="71"/>
              <w:spacing w:before="24" w:after="24"/>
              <w:rPr>
                <w:rFonts w:cs="Times New Roman"/>
              </w:rPr>
            </w:pPr>
            <w:r>
              <w:rPr>
                <w:rFonts w:cs="Times New Roman"/>
              </w:rPr>
              <w:t xml:space="preserve">7 </w:t>
            </w:r>
          </w:p>
        </w:tc>
        <w:tc>
          <w:tcPr>
            <w:tcW w:w="1607" w:type="dxa"/>
            <w:vMerge w:val="continue"/>
            <w:vAlign w:val="center"/>
          </w:tcPr>
          <w:p w14:paraId="4C15AF5C">
            <w:pPr>
              <w:pStyle w:val="71"/>
              <w:spacing w:before="24" w:after="24"/>
              <w:rPr>
                <w:rFonts w:cs="Times New Roman"/>
              </w:rPr>
            </w:pPr>
          </w:p>
        </w:tc>
        <w:tc>
          <w:tcPr>
            <w:tcW w:w="1517" w:type="dxa"/>
            <w:vMerge w:val="continue"/>
            <w:vAlign w:val="center"/>
          </w:tcPr>
          <w:p w14:paraId="76F532F6">
            <w:pPr>
              <w:pStyle w:val="71"/>
              <w:spacing w:before="24" w:after="24"/>
              <w:rPr>
                <w:rFonts w:cs="Times New Roman"/>
              </w:rPr>
            </w:pPr>
          </w:p>
        </w:tc>
        <w:tc>
          <w:tcPr>
            <w:tcW w:w="3544" w:type="dxa"/>
            <w:vAlign w:val="center"/>
          </w:tcPr>
          <w:p w14:paraId="37B0FFB4">
            <w:pPr>
              <w:pStyle w:val="71"/>
              <w:spacing w:before="24" w:after="24"/>
              <w:rPr>
                <w:rFonts w:cs="Times New Roman"/>
              </w:rPr>
            </w:pPr>
            <w:r>
              <w:rPr>
                <w:rFonts w:cs="Times New Roman"/>
              </w:rPr>
              <w:t xml:space="preserve">薪资结算管理 </w:t>
            </w:r>
          </w:p>
        </w:tc>
        <w:tc>
          <w:tcPr>
            <w:tcW w:w="1559" w:type="dxa"/>
            <w:vAlign w:val="center"/>
          </w:tcPr>
          <w:p w14:paraId="1C4E6B71">
            <w:pPr>
              <w:pStyle w:val="71"/>
              <w:spacing w:before="24" w:after="24"/>
              <w:rPr>
                <w:rFonts w:cs="Times New Roman"/>
              </w:rPr>
            </w:pPr>
            <w:r>
              <w:rPr>
                <w:rFonts w:cs="Times New Roman"/>
              </w:rPr>
              <w:t xml:space="preserve">√ </w:t>
            </w:r>
          </w:p>
        </w:tc>
      </w:tr>
      <w:tr w14:paraId="3A8ADEB5">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13" w:hRule="atLeast"/>
        </w:trPr>
        <w:tc>
          <w:tcPr>
            <w:tcW w:w="977" w:type="dxa"/>
            <w:vAlign w:val="center"/>
          </w:tcPr>
          <w:p w14:paraId="52225FF1">
            <w:pPr>
              <w:pStyle w:val="71"/>
              <w:spacing w:before="24" w:after="24"/>
              <w:rPr>
                <w:rFonts w:cs="Times New Roman"/>
              </w:rPr>
            </w:pPr>
            <w:r>
              <w:rPr>
                <w:rFonts w:cs="Times New Roman"/>
              </w:rPr>
              <w:t xml:space="preserve">8 </w:t>
            </w:r>
          </w:p>
        </w:tc>
        <w:tc>
          <w:tcPr>
            <w:tcW w:w="1607" w:type="dxa"/>
            <w:vMerge w:val="continue"/>
            <w:vAlign w:val="center"/>
          </w:tcPr>
          <w:p w14:paraId="0BC7858F">
            <w:pPr>
              <w:pStyle w:val="71"/>
              <w:spacing w:before="24" w:after="24"/>
              <w:rPr>
                <w:rFonts w:cs="Times New Roman"/>
              </w:rPr>
            </w:pPr>
          </w:p>
        </w:tc>
        <w:tc>
          <w:tcPr>
            <w:tcW w:w="1517" w:type="dxa"/>
            <w:vMerge w:val="continue"/>
            <w:vAlign w:val="center"/>
          </w:tcPr>
          <w:p w14:paraId="005B6CBC">
            <w:pPr>
              <w:pStyle w:val="71"/>
              <w:spacing w:before="24" w:after="24"/>
              <w:rPr>
                <w:rFonts w:cs="Times New Roman"/>
              </w:rPr>
            </w:pPr>
          </w:p>
        </w:tc>
        <w:tc>
          <w:tcPr>
            <w:tcW w:w="3544" w:type="dxa"/>
            <w:vAlign w:val="center"/>
          </w:tcPr>
          <w:p w14:paraId="4E671B19">
            <w:pPr>
              <w:pStyle w:val="71"/>
              <w:spacing w:before="24" w:after="24"/>
              <w:rPr>
                <w:rFonts w:cs="Times New Roman"/>
              </w:rPr>
            </w:pPr>
            <w:r>
              <w:rPr>
                <w:rFonts w:cs="Times New Roman"/>
              </w:rPr>
              <w:t xml:space="preserve">健康管理 </w:t>
            </w:r>
          </w:p>
        </w:tc>
        <w:tc>
          <w:tcPr>
            <w:tcW w:w="1559" w:type="dxa"/>
            <w:vAlign w:val="center"/>
          </w:tcPr>
          <w:p w14:paraId="64876DC4">
            <w:pPr>
              <w:pStyle w:val="71"/>
              <w:spacing w:before="24" w:after="24"/>
              <w:rPr>
                <w:rFonts w:cs="Times New Roman"/>
              </w:rPr>
            </w:pPr>
            <w:r>
              <w:rPr>
                <w:rFonts w:cs="Times New Roman"/>
              </w:rPr>
              <w:t xml:space="preserve">√ </w:t>
            </w:r>
          </w:p>
        </w:tc>
      </w:tr>
      <w:tr w14:paraId="590CF5E7">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977" w:type="dxa"/>
            <w:vAlign w:val="center"/>
          </w:tcPr>
          <w:p w14:paraId="7C8E8BCF">
            <w:pPr>
              <w:pStyle w:val="71"/>
              <w:spacing w:before="24" w:after="24"/>
              <w:rPr>
                <w:rFonts w:cs="Times New Roman"/>
              </w:rPr>
            </w:pPr>
            <w:r>
              <w:rPr>
                <w:rFonts w:cs="Times New Roman"/>
              </w:rPr>
              <w:t xml:space="preserve">9 </w:t>
            </w:r>
          </w:p>
        </w:tc>
        <w:tc>
          <w:tcPr>
            <w:tcW w:w="1607" w:type="dxa"/>
            <w:vMerge w:val="continue"/>
            <w:vAlign w:val="center"/>
          </w:tcPr>
          <w:p w14:paraId="03967E09">
            <w:pPr>
              <w:pStyle w:val="71"/>
              <w:spacing w:before="24" w:after="24"/>
              <w:rPr>
                <w:rFonts w:cs="Times New Roman"/>
              </w:rPr>
            </w:pPr>
          </w:p>
        </w:tc>
        <w:tc>
          <w:tcPr>
            <w:tcW w:w="1517" w:type="dxa"/>
            <w:vMerge w:val="continue"/>
            <w:vAlign w:val="center"/>
          </w:tcPr>
          <w:p w14:paraId="3F6DE03C">
            <w:pPr>
              <w:pStyle w:val="71"/>
              <w:spacing w:before="24" w:after="24"/>
              <w:rPr>
                <w:rFonts w:cs="Times New Roman"/>
              </w:rPr>
            </w:pPr>
          </w:p>
        </w:tc>
        <w:tc>
          <w:tcPr>
            <w:tcW w:w="3544" w:type="dxa"/>
            <w:vAlign w:val="center"/>
          </w:tcPr>
          <w:p w14:paraId="754023C7">
            <w:pPr>
              <w:pStyle w:val="71"/>
              <w:spacing w:before="24" w:after="24"/>
              <w:rPr>
                <w:rFonts w:cs="Times New Roman"/>
              </w:rPr>
            </w:pPr>
            <w:r>
              <w:rPr>
                <w:rFonts w:cs="Times New Roman"/>
              </w:rPr>
              <w:t xml:space="preserve">特种人员管理 </w:t>
            </w:r>
          </w:p>
        </w:tc>
        <w:tc>
          <w:tcPr>
            <w:tcW w:w="1559" w:type="dxa"/>
            <w:vAlign w:val="center"/>
          </w:tcPr>
          <w:p w14:paraId="38A97C29">
            <w:pPr>
              <w:pStyle w:val="71"/>
              <w:spacing w:before="24" w:after="24"/>
              <w:rPr>
                <w:rFonts w:cs="Times New Roman"/>
              </w:rPr>
            </w:pPr>
            <w:r>
              <w:rPr>
                <w:rFonts w:cs="Times New Roman"/>
              </w:rPr>
              <w:t xml:space="preserve">√ </w:t>
            </w:r>
          </w:p>
        </w:tc>
      </w:tr>
      <w:tr w14:paraId="31F529AB">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977" w:type="dxa"/>
            <w:vAlign w:val="center"/>
          </w:tcPr>
          <w:p w14:paraId="614283EB">
            <w:pPr>
              <w:pStyle w:val="71"/>
              <w:spacing w:before="24" w:after="24"/>
              <w:rPr>
                <w:rFonts w:cs="Times New Roman"/>
              </w:rPr>
            </w:pPr>
            <w:r>
              <w:rPr>
                <w:rFonts w:cs="Times New Roman"/>
              </w:rPr>
              <w:t xml:space="preserve">10 </w:t>
            </w:r>
          </w:p>
        </w:tc>
        <w:tc>
          <w:tcPr>
            <w:tcW w:w="1607" w:type="dxa"/>
            <w:vMerge w:val="continue"/>
            <w:vAlign w:val="center"/>
          </w:tcPr>
          <w:p w14:paraId="4FCBC8E1">
            <w:pPr>
              <w:pStyle w:val="71"/>
              <w:spacing w:before="24" w:after="24"/>
              <w:rPr>
                <w:rFonts w:cs="Times New Roman"/>
              </w:rPr>
            </w:pPr>
          </w:p>
        </w:tc>
        <w:tc>
          <w:tcPr>
            <w:tcW w:w="1517" w:type="dxa"/>
            <w:vMerge w:val="continue"/>
            <w:vAlign w:val="center"/>
          </w:tcPr>
          <w:p w14:paraId="57E638E7">
            <w:pPr>
              <w:pStyle w:val="71"/>
              <w:spacing w:before="24" w:after="24"/>
              <w:rPr>
                <w:rFonts w:cs="Times New Roman"/>
              </w:rPr>
            </w:pPr>
          </w:p>
        </w:tc>
        <w:tc>
          <w:tcPr>
            <w:tcW w:w="3544" w:type="dxa"/>
            <w:vAlign w:val="center"/>
          </w:tcPr>
          <w:p w14:paraId="3621D59A">
            <w:pPr>
              <w:pStyle w:val="71"/>
              <w:spacing w:before="24" w:after="24"/>
              <w:rPr>
                <w:rFonts w:cs="Times New Roman"/>
              </w:rPr>
            </w:pPr>
            <w:r>
              <w:rPr>
                <w:rFonts w:cs="Times New Roman"/>
              </w:rPr>
              <w:t xml:space="preserve">门禁管理 </w:t>
            </w:r>
          </w:p>
        </w:tc>
        <w:tc>
          <w:tcPr>
            <w:tcW w:w="1559" w:type="dxa"/>
            <w:vAlign w:val="center"/>
          </w:tcPr>
          <w:p w14:paraId="4B0C4D10">
            <w:pPr>
              <w:pStyle w:val="71"/>
              <w:spacing w:before="24" w:after="24"/>
              <w:rPr>
                <w:rFonts w:cs="Times New Roman"/>
              </w:rPr>
            </w:pPr>
            <w:r>
              <w:rPr>
                <w:rFonts w:cs="Times New Roman"/>
              </w:rPr>
              <w:t xml:space="preserve">√ </w:t>
            </w:r>
          </w:p>
        </w:tc>
      </w:tr>
      <w:tr w14:paraId="255A21D1">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977" w:type="dxa"/>
            <w:vAlign w:val="center"/>
          </w:tcPr>
          <w:p w14:paraId="254C4A35">
            <w:pPr>
              <w:pStyle w:val="71"/>
              <w:spacing w:before="24" w:after="24"/>
              <w:rPr>
                <w:rFonts w:cs="Times New Roman"/>
              </w:rPr>
            </w:pPr>
            <w:r>
              <w:rPr>
                <w:rFonts w:cs="Times New Roman"/>
              </w:rPr>
              <w:t xml:space="preserve">11 </w:t>
            </w:r>
          </w:p>
        </w:tc>
        <w:tc>
          <w:tcPr>
            <w:tcW w:w="1607" w:type="dxa"/>
            <w:vMerge w:val="continue"/>
            <w:vAlign w:val="center"/>
          </w:tcPr>
          <w:p w14:paraId="7AC798DC">
            <w:pPr>
              <w:pStyle w:val="71"/>
              <w:spacing w:before="24" w:after="24"/>
              <w:rPr>
                <w:rFonts w:cs="Times New Roman"/>
              </w:rPr>
            </w:pPr>
          </w:p>
        </w:tc>
        <w:tc>
          <w:tcPr>
            <w:tcW w:w="1517" w:type="dxa"/>
            <w:vMerge w:val="continue"/>
            <w:vAlign w:val="center"/>
          </w:tcPr>
          <w:p w14:paraId="5640264F">
            <w:pPr>
              <w:pStyle w:val="71"/>
              <w:spacing w:before="24" w:after="24"/>
              <w:rPr>
                <w:rFonts w:cs="Times New Roman"/>
              </w:rPr>
            </w:pPr>
          </w:p>
        </w:tc>
        <w:tc>
          <w:tcPr>
            <w:tcW w:w="3544" w:type="dxa"/>
            <w:vAlign w:val="center"/>
          </w:tcPr>
          <w:p w14:paraId="760A7E3C">
            <w:pPr>
              <w:pStyle w:val="71"/>
              <w:spacing w:before="24" w:after="24"/>
              <w:rPr>
                <w:rFonts w:cs="Times New Roman"/>
              </w:rPr>
            </w:pPr>
            <w:r>
              <w:rPr>
                <w:rFonts w:cs="Times New Roman"/>
              </w:rPr>
              <w:t xml:space="preserve">人员轨迹 </w:t>
            </w:r>
          </w:p>
        </w:tc>
        <w:tc>
          <w:tcPr>
            <w:tcW w:w="1559" w:type="dxa"/>
            <w:vAlign w:val="center"/>
          </w:tcPr>
          <w:p w14:paraId="0B99C653">
            <w:pPr>
              <w:pStyle w:val="71"/>
              <w:spacing w:before="24" w:after="24"/>
              <w:rPr>
                <w:rFonts w:cs="Times New Roman"/>
              </w:rPr>
            </w:pPr>
            <w:r>
              <w:rPr>
                <w:rFonts w:ascii="Cambria Math" w:hAnsi="Cambria Math" w:cs="Cambria Math"/>
              </w:rPr>
              <w:t>△</w:t>
            </w:r>
            <w:r>
              <w:rPr>
                <w:rFonts w:cs="Times New Roman"/>
              </w:rPr>
              <w:t xml:space="preserve"> </w:t>
            </w:r>
          </w:p>
        </w:tc>
      </w:tr>
      <w:tr w14:paraId="5023DACB">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977" w:type="dxa"/>
            <w:vAlign w:val="center"/>
          </w:tcPr>
          <w:p w14:paraId="0DD0033B">
            <w:pPr>
              <w:pStyle w:val="71"/>
              <w:spacing w:before="24" w:after="24"/>
              <w:rPr>
                <w:rFonts w:cs="Times New Roman"/>
              </w:rPr>
            </w:pPr>
            <w:r>
              <w:rPr>
                <w:rFonts w:cs="Times New Roman"/>
              </w:rPr>
              <w:t xml:space="preserve">12 </w:t>
            </w:r>
          </w:p>
        </w:tc>
        <w:tc>
          <w:tcPr>
            <w:tcW w:w="1607" w:type="dxa"/>
            <w:vMerge w:val="continue"/>
            <w:vAlign w:val="center"/>
          </w:tcPr>
          <w:p w14:paraId="001899AC">
            <w:pPr>
              <w:pStyle w:val="71"/>
              <w:spacing w:before="24" w:after="24"/>
              <w:rPr>
                <w:rFonts w:cs="Times New Roman"/>
              </w:rPr>
            </w:pPr>
          </w:p>
        </w:tc>
        <w:tc>
          <w:tcPr>
            <w:tcW w:w="1517" w:type="dxa"/>
            <w:vMerge w:val="continue"/>
            <w:vAlign w:val="center"/>
          </w:tcPr>
          <w:p w14:paraId="4ACC078B">
            <w:pPr>
              <w:pStyle w:val="71"/>
              <w:spacing w:before="24" w:after="24"/>
              <w:rPr>
                <w:rFonts w:cs="Times New Roman"/>
              </w:rPr>
            </w:pPr>
          </w:p>
        </w:tc>
        <w:tc>
          <w:tcPr>
            <w:tcW w:w="3544" w:type="dxa"/>
            <w:vAlign w:val="center"/>
          </w:tcPr>
          <w:p w14:paraId="104A31D9">
            <w:pPr>
              <w:pStyle w:val="71"/>
              <w:spacing w:before="24" w:after="24"/>
              <w:rPr>
                <w:rFonts w:cs="Times New Roman"/>
              </w:rPr>
            </w:pPr>
            <w:r>
              <w:rPr>
                <w:rFonts w:cs="Times New Roman"/>
              </w:rPr>
              <w:t xml:space="preserve">人员在岗监测 </w:t>
            </w:r>
          </w:p>
        </w:tc>
        <w:tc>
          <w:tcPr>
            <w:tcW w:w="1559" w:type="dxa"/>
            <w:vAlign w:val="center"/>
          </w:tcPr>
          <w:p w14:paraId="0967047D">
            <w:pPr>
              <w:pStyle w:val="71"/>
              <w:spacing w:before="24" w:after="24"/>
              <w:rPr>
                <w:rFonts w:cs="Times New Roman"/>
              </w:rPr>
            </w:pPr>
            <w:r>
              <w:rPr>
                <w:rFonts w:ascii="Cambria Math" w:hAnsi="Cambria Math" w:cs="Cambria Math"/>
              </w:rPr>
              <w:t>△</w:t>
            </w:r>
            <w:r>
              <w:rPr>
                <w:rFonts w:cs="Times New Roman"/>
              </w:rPr>
              <w:t xml:space="preserve"> </w:t>
            </w:r>
          </w:p>
        </w:tc>
      </w:tr>
      <w:tr w14:paraId="7EDA8FBB">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14" w:hRule="atLeast"/>
        </w:trPr>
        <w:tc>
          <w:tcPr>
            <w:tcW w:w="977" w:type="dxa"/>
            <w:vAlign w:val="center"/>
          </w:tcPr>
          <w:p w14:paraId="0A8D7E1C">
            <w:pPr>
              <w:pStyle w:val="71"/>
              <w:spacing w:before="24" w:after="24"/>
              <w:rPr>
                <w:rFonts w:cs="Times New Roman"/>
              </w:rPr>
            </w:pPr>
            <w:r>
              <w:rPr>
                <w:rFonts w:cs="Times New Roman"/>
              </w:rPr>
              <w:t>13</w:t>
            </w:r>
          </w:p>
        </w:tc>
        <w:tc>
          <w:tcPr>
            <w:tcW w:w="1607" w:type="dxa"/>
            <w:vMerge w:val="continue"/>
            <w:vAlign w:val="center"/>
          </w:tcPr>
          <w:p w14:paraId="712B9BE9">
            <w:pPr>
              <w:pStyle w:val="71"/>
              <w:spacing w:before="24" w:after="24"/>
              <w:rPr>
                <w:rFonts w:cs="Times New Roman"/>
              </w:rPr>
            </w:pPr>
          </w:p>
        </w:tc>
        <w:tc>
          <w:tcPr>
            <w:tcW w:w="1517" w:type="dxa"/>
            <w:vMerge w:val="continue"/>
            <w:vAlign w:val="center"/>
          </w:tcPr>
          <w:p w14:paraId="31092C23">
            <w:pPr>
              <w:pStyle w:val="71"/>
              <w:spacing w:before="24" w:after="24"/>
              <w:rPr>
                <w:rFonts w:cs="Times New Roman"/>
              </w:rPr>
            </w:pPr>
          </w:p>
        </w:tc>
        <w:tc>
          <w:tcPr>
            <w:tcW w:w="3544" w:type="dxa"/>
            <w:vAlign w:val="center"/>
          </w:tcPr>
          <w:p w14:paraId="47EF032C">
            <w:pPr>
              <w:pStyle w:val="71"/>
              <w:spacing w:before="24" w:after="24"/>
              <w:rPr>
                <w:rFonts w:cs="Times New Roman"/>
              </w:rPr>
            </w:pPr>
            <w:r>
              <w:rPr>
                <w:rFonts w:cs="Times New Roman"/>
              </w:rPr>
              <w:t xml:space="preserve">陌生人识别 </w:t>
            </w:r>
          </w:p>
        </w:tc>
        <w:tc>
          <w:tcPr>
            <w:tcW w:w="1559" w:type="dxa"/>
            <w:vAlign w:val="center"/>
          </w:tcPr>
          <w:p w14:paraId="37597B43">
            <w:pPr>
              <w:pStyle w:val="71"/>
              <w:spacing w:before="24" w:after="24"/>
              <w:rPr>
                <w:rFonts w:cs="Times New Roman"/>
              </w:rPr>
            </w:pPr>
            <w:r>
              <w:rPr>
                <w:rFonts w:ascii="Cambria Math" w:hAnsi="Cambria Math" w:cs="Cambria Math"/>
              </w:rPr>
              <w:t>△</w:t>
            </w:r>
            <w:r>
              <w:rPr>
                <w:rFonts w:cs="Times New Roman"/>
              </w:rPr>
              <w:t xml:space="preserve"> </w:t>
            </w:r>
          </w:p>
        </w:tc>
      </w:tr>
      <w:tr w14:paraId="27EF2081">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977" w:type="dxa"/>
            <w:vAlign w:val="center"/>
          </w:tcPr>
          <w:p w14:paraId="21C8E355">
            <w:pPr>
              <w:pStyle w:val="71"/>
              <w:spacing w:before="24" w:after="24"/>
              <w:rPr>
                <w:rFonts w:cs="Times New Roman"/>
              </w:rPr>
            </w:pPr>
            <w:r>
              <w:rPr>
                <w:rFonts w:cs="Times New Roman"/>
              </w:rPr>
              <w:t>14</w:t>
            </w:r>
          </w:p>
        </w:tc>
        <w:tc>
          <w:tcPr>
            <w:tcW w:w="1607" w:type="dxa"/>
            <w:vMerge w:val="continue"/>
            <w:vAlign w:val="center"/>
          </w:tcPr>
          <w:p w14:paraId="32C60B06">
            <w:pPr>
              <w:pStyle w:val="71"/>
              <w:spacing w:before="24" w:after="24"/>
              <w:rPr>
                <w:rFonts w:cs="Times New Roman"/>
              </w:rPr>
            </w:pPr>
          </w:p>
        </w:tc>
        <w:tc>
          <w:tcPr>
            <w:tcW w:w="1517" w:type="dxa"/>
            <w:vMerge w:val="continue"/>
            <w:vAlign w:val="center"/>
          </w:tcPr>
          <w:p w14:paraId="72A1A22B">
            <w:pPr>
              <w:pStyle w:val="71"/>
              <w:spacing w:before="24" w:after="24"/>
              <w:rPr>
                <w:rFonts w:cs="Times New Roman"/>
              </w:rPr>
            </w:pPr>
          </w:p>
        </w:tc>
        <w:tc>
          <w:tcPr>
            <w:tcW w:w="3544" w:type="dxa"/>
            <w:vAlign w:val="center"/>
          </w:tcPr>
          <w:p w14:paraId="3DD74647">
            <w:pPr>
              <w:pStyle w:val="71"/>
              <w:spacing w:before="24" w:after="24"/>
              <w:rPr>
                <w:rFonts w:cs="Times New Roman"/>
              </w:rPr>
            </w:pPr>
            <w:r>
              <w:rPr>
                <w:rFonts w:cs="Times New Roman"/>
              </w:rPr>
              <w:t xml:space="preserve">综合数据分析 </w:t>
            </w:r>
          </w:p>
        </w:tc>
        <w:tc>
          <w:tcPr>
            <w:tcW w:w="1559" w:type="dxa"/>
            <w:vAlign w:val="center"/>
          </w:tcPr>
          <w:p w14:paraId="06AFF8F9">
            <w:pPr>
              <w:pStyle w:val="71"/>
              <w:spacing w:before="24" w:after="24"/>
              <w:rPr>
                <w:rFonts w:cs="Times New Roman"/>
              </w:rPr>
            </w:pPr>
            <w:r>
              <w:rPr>
                <w:rFonts w:cs="Times New Roman"/>
              </w:rPr>
              <w:t xml:space="preserve">√ </w:t>
            </w:r>
          </w:p>
        </w:tc>
      </w:tr>
      <w:tr w14:paraId="3C1EFEA1">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06" w:hRule="atLeast"/>
        </w:trPr>
        <w:tc>
          <w:tcPr>
            <w:tcW w:w="977" w:type="dxa"/>
            <w:vAlign w:val="center"/>
          </w:tcPr>
          <w:p w14:paraId="1BBEC99C">
            <w:pPr>
              <w:pStyle w:val="71"/>
              <w:spacing w:before="24" w:after="24"/>
              <w:rPr>
                <w:rFonts w:cs="Times New Roman"/>
              </w:rPr>
            </w:pPr>
            <w:r>
              <w:rPr>
                <w:rFonts w:cs="Times New Roman"/>
              </w:rPr>
              <w:t>15</w:t>
            </w:r>
          </w:p>
        </w:tc>
        <w:tc>
          <w:tcPr>
            <w:tcW w:w="1607" w:type="dxa"/>
            <w:vMerge w:val="restart"/>
            <w:vAlign w:val="center"/>
          </w:tcPr>
          <w:p w14:paraId="014929DC">
            <w:pPr>
              <w:pStyle w:val="71"/>
              <w:spacing w:before="24" w:after="24"/>
              <w:rPr>
                <w:rFonts w:cs="Times New Roman"/>
              </w:rPr>
            </w:pPr>
            <w:r>
              <w:rPr>
                <w:rFonts w:cs="Times New Roman"/>
              </w:rPr>
              <w:t xml:space="preserve">安全管理 </w:t>
            </w:r>
          </w:p>
          <w:p w14:paraId="6ED79BA2">
            <w:pPr>
              <w:pStyle w:val="71"/>
              <w:spacing w:before="24" w:after="24"/>
              <w:rPr>
                <w:rFonts w:cs="Times New Roman"/>
              </w:rPr>
            </w:pPr>
            <w:r>
              <w:rPr>
                <w:rFonts w:cs="Times New Roman"/>
              </w:rPr>
              <w:t xml:space="preserve"> </w:t>
            </w:r>
          </w:p>
        </w:tc>
        <w:tc>
          <w:tcPr>
            <w:tcW w:w="1517" w:type="dxa"/>
            <w:vMerge w:val="restart"/>
            <w:vAlign w:val="center"/>
          </w:tcPr>
          <w:p w14:paraId="607A9754">
            <w:pPr>
              <w:pStyle w:val="71"/>
              <w:spacing w:before="24" w:after="24"/>
              <w:rPr>
                <w:rFonts w:cs="Times New Roman"/>
              </w:rPr>
            </w:pPr>
          </w:p>
          <w:p w14:paraId="5A0C5219">
            <w:pPr>
              <w:pStyle w:val="71"/>
              <w:spacing w:before="24" w:after="24"/>
              <w:rPr>
                <w:rFonts w:cs="Times New Roman"/>
              </w:rPr>
            </w:pPr>
            <w:r>
              <w:rPr>
                <w:rFonts w:cs="Times New Roman"/>
              </w:rPr>
              <w:t xml:space="preserve">安全防范 </w:t>
            </w:r>
          </w:p>
        </w:tc>
        <w:tc>
          <w:tcPr>
            <w:tcW w:w="3544" w:type="dxa"/>
            <w:vAlign w:val="center"/>
          </w:tcPr>
          <w:p w14:paraId="25B66818">
            <w:pPr>
              <w:pStyle w:val="71"/>
              <w:spacing w:before="24" w:after="24"/>
              <w:rPr>
                <w:rFonts w:cs="Times New Roman"/>
              </w:rPr>
            </w:pPr>
            <w:r>
              <w:rPr>
                <w:rFonts w:cs="Times New Roman"/>
              </w:rPr>
              <w:t xml:space="preserve">安全教育 </w:t>
            </w:r>
          </w:p>
        </w:tc>
        <w:tc>
          <w:tcPr>
            <w:tcW w:w="1559" w:type="dxa"/>
            <w:vAlign w:val="center"/>
          </w:tcPr>
          <w:p w14:paraId="61C4207B">
            <w:pPr>
              <w:pStyle w:val="71"/>
              <w:spacing w:before="24" w:after="24"/>
              <w:rPr>
                <w:rFonts w:cs="Times New Roman"/>
              </w:rPr>
            </w:pPr>
            <w:r>
              <w:rPr>
                <w:rFonts w:cs="Times New Roman"/>
              </w:rPr>
              <w:t xml:space="preserve">√ </w:t>
            </w:r>
          </w:p>
        </w:tc>
      </w:tr>
      <w:tr w14:paraId="124C0AE6">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01" w:hRule="atLeast"/>
        </w:trPr>
        <w:tc>
          <w:tcPr>
            <w:tcW w:w="977" w:type="dxa"/>
            <w:vAlign w:val="center"/>
          </w:tcPr>
          <w:p w14:paraId="0C1B2834">
            <w:pPr>
              <w:pStyle w:val="71"/>
              <w:spacing w:before="24" w:after="24"/>
              <w:rPr>
                <w:rFonts w:cs="Times New Roman"/>
              </w:rPr>
            </w:pPr>
            <w:r>
              <w:rPr>
                <w:rFonts w:cs="Times New Roman"/>
              </w:rPr>
              <w:t xml:space="preserve">16 </w:t>
            </w:r>
          </w:p>
        </w:tc>
        <w:tc>
          <w:tcPr>
            <w:tcW w:w="1607" w:type="dxa"/>
            <w:vMerge w:val="continue"/>
            <w:vAlign w:val="center"/>
          </w:tcPr>
          <w:p w14:paraId="08E211D6">
            <w:pPr>
              <w:pStyle w:val="71"/>
              <w:spacing w:before="24" w:after="24"/>
              <w:rPr>
                <w:rFonts w:cs="Times New Roman"/>
              </w:rPr>
            </w:pPr>
          </w:p>
        </w:tc>
        <w:tc>
          <w:tcPr>
            <w:tcW w:w="1517" w:type="dxa"/>
            <w:vMerge w:val="continue"/>
            <w:vAlign w:val="center"/>
          </w:tcPr>
          <w:p w14:paraId="63D2E208">
            <w:pPr>
              <w:pStyle w:val="71"/>
              <w:spacing w:before="24" w:after="24"/>
              <w:rPr>
                <w:rFonts w:cs="Times New Roman"/>
              </w:rPr>
            </w:pPr>
          </w:p>
        </w:tc>
        <w:tc>
          <w:tcPr>
            <w:tcW w:w="3544" w:type="dxa"/>
            <w:vAlign w:val="center"/>
          </w:tcPr>
          <w:p w14:paraId="2C363BF4">
            <w:pPr>
              <w:pStyle w:val="71"/>
              <w:spacing w:before="24" w:after="24"/>
              <w:rPr>
                <w:rFonts w:cs="Times New Roman"/>
              </w:rPr>
            </w:pPr>
            <w:r>
              <w:rPr>
                <w:rFonts w:cs="Times New Roman"/>
              </w:rPr>
              <w:t xml:space="preserve">安全巡查 </w:t>
            </w:r>
          </w:p>
        </w:tc>
        <w:tc>
          <w:tcPr>
            <w:tcW w:w="1559" w:type="dxa"/>
            <w:vAlign w:val="center"/>
          </w:tcPr>
          <w:p w14:paraId="37A6BA76">
            <w:pPr>
              <w:pStyle w:val="71"/>
              <w:spacing w:before="24" w:after="24"/>
              <w:rPr>
                <w:rFonts w:cs="Times New Roman"/>
              </w:rPr>
            </w:pPr>
            <w:r>
              <w:rPr>
                <w:rFonts w:cs="Times New Roman"/>
              </w:rPr>
              <w:t xml:space="preserve">√ </w:t>
            </w:r>
          </w:p>
        </w:tc>
      </w:tr>
      <w:tr w14:paraId="08876906">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01" w:hRule="atLeast"/>
        </w:trPr>
        <w:tc>
          <w:tcPr>
            <w:tcW w:w="977" w:type="dxa"/>
            <w:vAlign w:val="center"/>
          </w:tcPr>
          <w:p w14:paraId="0A4ADEB8">
            <w:pPr>
              <w:pStyle w:val="71"/>
              <w:spacing w:before="24" w:after="24"/>
              <w:rPr>
                <w:rFonts w:cs="Times New Roman"/>
              </w:rPr>
            </w:pPr>
            <w:r>
              <w:rPr>
                <w:rFonts w:cs="Times New Roman"/>
              </w:rPr>
              <w:t xml:space="preserve">17 </w:t>
            </w:r>
          </w:p>
        </w:tc>
        <w:tc>
          <w:tcPr>
            <w:tcW w:w="1607" w:type="dxa"/>
            <w:vMerge w:val="continue"/>
            <w:vAlign w:val="center"/>
          </w:tcPr>
          <w:p w14:paraId="754EDF0E">
            <w:pPr>
              <w:pStyle w:val="71"/>
              <w:spacing w:before="24" w:after="24"/>
              <w:rPr>
                <w:rFonts w:cs="Times New Roman"/>
              </w:rPr>
            </w:pPr>
          </w:p>
        </w:tc>
        <w:tc>
          <w:tcPr>
            <w:tcW w:w="1517" w:type="dxa"/>
            <w:vMerge w:val="restart"/>
            <w:vAlign w:val="center"/>
          </w:tcPr>
          <w:p w14:paraId="6DD00E59">
            <w:pPr>
              <w:pStyle w:val="71"/>
              <w:spacing w:before="24" w:after="24"/>
              <w:rPr>
                <w:rFonts w:cs="Times New Roman"/>
              </w:rPr>
            </w:pPr>
          </w:p>
          <w:p w14:paraId="61C36CAF">
            <w:pPr>
              <w:pStyle w:val="71"/>
              <w:spacing w:before="24" w:after="24"/>
              <w:rPr>
                <w:rFonts w:cs="Times New Roman"/>
              </w:rPr>
            </w:pPr>
          </w:p>
          <w:p w14:paraId="212D5543">
            <w:pPr>
              <w:pStyle w:val="71"/>
              <w:spacing w:before="24" w:after="24"/>
              <w:rPr>
                <w:rFonts w:cs="Times New Roman"/>
              </w:rPr>
            </w:pPr>
          </w:p>
          <w:p w14:paraId="632C9D17">
            <w:pPr>
              <w:pStyle w:val="71"/>
              <w:spacing w:before="24" w:after="24"/>
              <w:rPr>
                <w:rFonts w:cs="Times New Roman"/>
              </w:rPr>
            </w:pPr>
            <w:r>
              <w:rPr>
                <w:rFonts w:cs="Times New Roman"/>
              </w:rPr>
              <w:t xml:space="preserve">设备安全管理 </w:t>
            </w:r>
          </w:p>
        </w:tc>
        <w:tc>
          <w:tcPr>
            <w:tcW w:w="3544" w:type="dxa"/>
            <w:vAlign w:val="center"/>
          </w:tcPr>
          <w:p w14:paraId="41936C93">
            <w:pPr>
              <w:pStyle w:val="71"/>
              <w:spacing w:before="24" w:after="24"/>
              <w:rPr>
                <w:rFonts w:cs="Times New Roman"/>
              </w:rPr>
            </w:pPr>
            <w:r>
              <w:rPr>
                <w:rFonts w:cs="Times New Roman"/>
              </w:rPr>
              <w:t xml:space="preserve">施工升降机安全监测 </w:t>
            </w:r>
          </w:p>
        </w:tc>
        <w:tc>
          <w:tcPr>
            <w:tcW w:w="1559" w:type="dxa"/>
            <w:vAlign w:val="center"/>
          </w:tcPr>
          <w:p w14:paraId="4FB9087C">
            <w:pPr>
              <w:pStyle w:val="71"/>
              <w:spacing w:before="24" w:after="24"/>
              <w:rPr>
                <w:rFonts w:cs="Times New Roman"/>
              </w:rPr>
            </w:pPr>
            <w:r>
              <w:rPr>
                <w:rFonts w:cs="Times New Roman"/>
              </w:rPr>
              <w:t xml:space="preserve">√ </w:t>
            </w:r>
          </w:p>
        </w:tc>
      </w:tr>
      <w:tr w14:paraId="35BC6D93">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01" w:hRule="atLeast"/>
        </w:trPr>
        <w:tc>
          <w:tcPr>
            <w:tcW w:w="977" w:type="dxa"/>
            <w:vAlign w:val="center"/>
          </w:tcPr>
          <w:p w14:paraId="4DD4B4D7">
            <w:pPr>
              <w:pStyle w:val="71"/>
              <w:spacing w:before="24" w:after="24"/>
              <w:rPr>
                <w:rFonts w:cs="Times New Roman"/>
              </w:rPr>
            </w:pPr>
            <w:r>
              <w:rPr>
                <w:rFonts w:cs="Times New Roman"/>
              </w:rPr>
              <w:t xml:space="preserve">18 </w:t>
            </w:r>
          </w:p>
        </w:tc>
        <w:tc>
          <w:tcPr>
            <w:tcW w:w="1607" w:type="dxa"/>
            <w:vMerge w:val="continue"/>
            <w:vAlign w:val="center"/>
          </w:tcPr>
          <w:p w14:paraId="742A75A4">
            <w:pPr>
              <w:pStyle w:val="71"/>
              <w:spacing w:before="24" w:after="24"/>
              <w:rPr>
                <w:rFonts w:cs="Times New Roman"/>
              </w:rPr>
            </w:pPr>
          </w:p>
        </w:tc>
        <w:tc>
          <w:tcPr>
            <w:tcW w:w="1517" w:type="dxa"/>
            <w:vMerge w:val="continue"/>
            <w:vAlign w:val="center"/>
          </w:tcPr>
          <w:p w14:paraId="1BF0171B">
            <w:pPr>
              <w:pStyle w:val="71"/>
              <w:spacing w:before="24" w:after="24"/>
              <w:rPr>
                <w:rFonts w:cs="Times New Roman"/>
              </w:rPr>
            </w:pPr>
          </w:p>
        </w:tc>
        <w:tc>
          <w:tcPr>
            <w:tcW w:w="3544" w:type="dxa"/>
            <w:vAlign w:val="center"/>
          </w:tcPr>
          <w:p w14:paraId="64B32A78">
            <w:pPr>
              <w:pStyle w:val="71"/>
              <w:spacing w:before="24" w:after="24"/>
              <w:rPr>
                <w:rFonts w:cs="Times New Roman"/>
              </w:rPr>
            </w:pPr>
            <w:r>
              <w:rPr>
                <w:rFonts w:cs="Times New Roman"/>
              </w:rPr>
              <w:t xml:space="preserve">塔式起重机安全监测 </w:t>
            </w:r>
          </w:p>
        </w:tc>
        <w:tc>
          <w:tcPr>
            <w:tcW w:w="1559" w:type="dxa"/>
            <w:vAlign w:val="center"/>
          </w:tcPr>
          <w:p w14:paraId="48711842">
            <w:pPr>
              <w:pStyle w:val="71"/>
              <w:spacing w:before="24" w:after="24"/>
              <w:rPr>
                <w:rFonts w:cs="Times New Roman"/>
              </w:rPr>
            </w:pPr>
            <w:r>
              <w:rPr>
                <w:rFonts w:cs="Times New Roman"/>
              </w:rPr>
              <w:t xml:space="preserve">√ </w:t>
            </w:r>
          </w:p>
        </w:tc>
      </w:tr>
      <w:tr w14:paraId="699EC8AA">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04" w:hRule="atLeast"/>
        </w:trPr>
        <w:tc>
          <w:tcPr>
            <w:tcW w:w="977" w:type="dxa"/>
            <w:vAlign w:val="center"/>
          </w:tcPr>
          <w:p w14:paraId="18C472D4">
            <w:pPr>
              <w:pStyle w:val="71"/>
              <w:spacing w:before="24" w:after="24"/>
              <w:rPr>
                <w:rFonts w:cs="Times New Roman"/>
              </w:rPr>
            </w:pPr>
            <w:r>
              <w:rPr>
                <w:rFonts w:cs="Times New Roman"/>
              </w:rPr>
              <w:t xml:space="preserve">19 </w:t>
            </w:r>
          </w:p>
        </w:tc>
        <w:tc>
          <w:tcPr>
            <w:tcW w:w="1607" w:type="dxa"/>
            <w:vMerge w:val="continue"/>
            <w:vAlign w:val="center"/>
          </w:tcPr>
          <w:p w14:paraId="4375DB00">
            <w:pPr>
              <w:pStyle w:val="71"/>
              <w:spacing w:before="24" w:after="24"/>
              <w:rPr>
                <w:rFonts w:cs="Times New Roman"/>
              </w:rPr>
            </w:pPr>
          </w:p>
        </w:tc>
        <w:tc>
          <w:tcPr>
            <w:tcW w:w="1517" w:type="dxa"/>
            <w:vMerge w:val="continue"/>
            <w:vAlign w:val="center"/>
          </w:tcPr>
          <w:p w14:paraId="1B5F5A61">
            <w:pPr>
              <w:pStyle w:val="71"/>
              <w:spacing w:before="24" w:after="24"/>
              <w:rPr>
                <w:rFonts w:cs="Times New Roman"/>
              </w:rPr>
            </w:pPr>
          </w:p>
        </w:tc>
        <w:tc>
          <w:tcPr>
            <w:tcW w:w="3544" w:type="dxa"/>
            <w:vAlign w:val="center"/>
          </w:tcPr>
          <w:p w14:paraId="341B0ABD">
            <w:pPr>
              <w:pStyle w:val="71"/>
              <w:spacing w:before="24" w:after="24"/>
              <w:rPr>
                <w:rFonts w:cs="Times New Roman"/>
              </w:rPr>
            </w:pPr>
            <w:r>
              <w:rPr>
                <w:rFonts w:cs="Times New Roman"/>
              </w:rPr>
              <w:t xml:space="preserve">其他类起重机械安全监测 </w:t>
            </w:r>
          </w:p>
        </w:tc>
        <w:tc>
          <w:tcPr>
            <w:tcW w:w="1559" w:type="dxa"/>
            <w:vAlign w:val="center"/>
          </w:tcPr>
          <w:p w14:paraId="0C77C3CA">
            <w:pPr>
              <w:pStyle w:val="71"/>
              <w:spacing w:before="24" w:after="24"/>
              <w:rPr>
                <w:rFonts w:cs="Times New Roman"/>
              </w:rPr>
            </w:pPr>
            <w:r>
              <w:rPr>
                <w:rFonts w:cs="Times New Roman"/>
              </w:rPr>
              <w:t xml:space="preserve">√ </w:t>
            </w:r>
          </w:p>
        </w:tc>
      </w:tr>
      <w:tr w14:paraId="2ABC05E7">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01" w:hRule="atLeast"/>
        </w:trPr>
        <w:tc>
          <w:tcPr>
            <w:tcW w:w="977" w:type="dxa"/>
            <w:vAlign w:val="center"/>
          </w:tcPr>
          <w:p w14:paraId="0B850903">
            <w:pPr>
              <w:pStyle w:val="71"/>
              <w:spacing w:before="24" w:after="24"/>
              <w:rPr>
                <w:rFonts w:cs="Times New Roman"/>
              </w:rPr>
            </w:pPr>
            <w:r>
              <w:rPr>
                <w:rFonts w:cs="Times New Roman"/>
              </w:rPr>
              <w:t xml:space="preserve">20 </w:t>
            </w:r>
          </w:p>
        </w:tc>
        <w:tc>
          <w:tcPr>
            <w:tcW w:w="1607" w:type="dxa"/>
            <w:vMerge w:val="continue"/>
            <w:vAlign w:val="center"/>
          </w:tcPr>
          <w:p w14:paraId="09B7771C">
            <w:pPr>
              <w:pStyle w:val="71"/>
              <w:spacing w:before="24" w:after="24"/>
              <w:rPr>
                <w:rFonts w:cs="Times New Roman"/>
              </w:rPr>
            </w:pPr>
          </w:p>
        </w:tc>
        <w:tc>
          <w:tcPr>
            <w:tcW w:w="1517" w:type="dxa"/>
            <w:vMerge w:val="continue"/>
            <w:vAlign w:val="center"/>
          </w:tcPr>
          <w:p w14:paraId="5E61176E">
            <w:pPr>
              <w:pStyle w:val="71"/>
              <w:spacing w:before="24" w:after="24"/>
              <w:rPr>
                <w:rFonts w:cs="Times New Roman"/>
              </w:rPr>
            </w:pPr>
          </w:p>
        </w:tc>
        <w:tc>
          <w:tcPr>
            <w:tcW w:w="3544" w:type="dxa"/>
            <w:vAlign w:val="center"/>
          </w:tcPr>
          <w:p w14:paraId="4DCCC1E2">
            <w:pPr>
              <w:pStyle w:val="71"/>
              <w:spacing w:before="24" w:after="24"/>
              <w:rPr>
                <w:rFonts w:cs="Times New Roman"/>
              </w:rPr>
            </w:pPr>
            <w:r>
              <w:rPr>
                <w:rFonts w:cs="Times New Roman"/>
              </w:rPr>
              <w:t xml:space="preserve">附着升降作业安全防护平台监测 </w:t>
            </w:r>
          </w:p>
        </w:tc>
        <w:tc>
          <w:tcPr>
            <w:tcW w:w="1559" w:type="dxa"/>
            <w:vAlign w:val="center"/>
          </w:tcPr>
          <w:p w14:paraId="4336DCA9">
            <w:pPr>
              <w:pStyle w:val="71"/>
              <w:spacing w:before="24" w:after="24"/>
              <w:rPr>
                <w:rFonts w:cs="Times New Roman"/>
              </w:rPr>
            </w:pPr>
            <w:r>
              <w:rPr>
                <w:rFonts w:cs="Times New Roman"/>
              </w:rPr>
              <w:t xml:space="preserve">√ </w:t>
            </w:r>
          </w:p>
        </w:tc>
      </w:tr>
      <w:tr w14:paraId="0DF49742">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01" w:hRule="atLeast"/>
        </w:trPr>
        <w:tc>
          <w:tcPr>
            <w:tcW w:w="977" w:type="dxa"/>
            <w:vAlign w:val="center"/>
          </w:tcPr>
          <w:p w14:paraId="0A3B45D7">
            <w:pPr>
              <w:pStyle w:val="71"/>
              <w:spacing w:before="24" w:after="24"/>
              <w:rPr>
                <w:rFonts w:cs="Times New Roman"/>
              </w:rPr>
            </w:pPr>
            <w:r>
              <w:rPr>
                <w:rFonts w:cs="Times New Roman"/>
              </w:rPr>
              <w:t xml:space="preserve">21 </w:t>
            </w:r>
          </w:p>
        </w:tc>
        <w:tc>
          <w:tcPr>
            <w:tcW w:w="1607" w:type="dxa"/>
            <w:vMerge w:val="continue"/>
            <w:vAlign w:val="center"/>
          </w:tcPr>
          <w:p w14:paraId="1EF2F132">
            <w:pPr>
              <w:pStyle w:val="71"/>
              <w:spacing w:before="24" w:after="24"/>
              <w:rPr>
                <w:rFonts w:cs="Times New Roman"/>
              </w:rPr>
            </w:pPr>
          </w:p>
        </w:tc>
        <w:tc>
          <w:tcPr>
            <w:tcW w:w="1517" w:type="dxa"/>
            <w:vMerge w:val="continue"/>
            <w:vAlign w:val="center"/>
          </w:tcPr>
          <w:p w14:paraId="691BC575">
            <w:pPr>
              <w:pStyle w:val="71"/>
              <w:spacing w:before="24" w:after="24"/>
              <w:rPr>
                <w:rFonts w:cs="Times New Roman"/>
              </w:rPr>
            </w:pPr>
          </w:p>
        </w:tc>
        <w:tc>
          <w:tcPr>
            <w:tcW w:w="3544" w:type="dxa"/>
            <w:vAlign w:val="center"/>
          </w:tcPr>
          <w:p w14:paraId="6972FF7B">
            <w:pPr>
              <w:pStyle w:val="71"/>
              <w:spacing w:before="24" w:after="24"/>
              <w:rPr>
                <w:rFonts w:cs="Times New Roman"/>
              </w:rPr>
            </w:pPr>
            <w:r>
              <w:rPr>
                <w:rFonts w:cs="Times New Roman"/>
              </w:rPr>
              <w:t xml:space="preserve">卸料平台安全监测 </w:t>
            </w:r>
          </w:p>
        </w:tc>
        <w:tc>
          <w:tcPr>
            <w:tcW w:w="1559" w:type="dxa"/>
            <w:vAlign w:val="center"/>
          </w:tcPr>
          <w:p w14:paraId="7BBFF3B0">
            <w:pPr>
              <w:pStyle w:val="71"/>
              <w:spacing w:before="24" w:after="24"/>
              <w:rPr>
                <w:rFonts w:cs="Times New Roman"/>
              </w:rPr>
            </w:pPr>
            <w:r>
              <w:rPr>
                <w:rFonts w:cs="Times New Roman"/>
              </w:rPr>
              <w:t xml:space="preserve">√ </w:t>
            </w:r>
          </w:p>
        </w:tc>
      </w:tr>
      <w:tr w14:paraId="373D8AC2">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01" w:hRule="atLeast"/>
        </w:trPr>
        <w:tc>
          <w:tcPr>
            <w:tcW w:w="977" w:type="dxa"/>
            <w:vAlign w:val="center"/>
          </w:tcPr>
          <w:p w14:paraId="7B5B7D3D">
            <w:pPr>
              <w:pStyle w:val="71"/>
              <w:spacing w:before="24" w:after="24"/>
              <w:rPr>
                <w:rFonts w:cs="Times New Roman"/>
              </w:rPr>
            </w:pPr>
            <w:r>
              <w:rPr>
                <w:rFonts w:cs="Times New Roman"/>
              </w:rPr>
              <w:t xml:space="preserve">22 </w:t>
            </w:r>
          </w:p>
        </w:tc>
        <w:tc>
          <w:tcPr>
            <w:tcW w:w="1607" w:type="dxa"/>
            <w:vMerge w:val="continue"/>
            <w:vAlign w:val="center"/>
          </w:tcPr>
          <w:p w14:paraId="7FE08B30">
            <w:pPr>
              <w:pStyle w:val="71"/>
              <w:spacing w:before="24" w:after="24"/>
              <w:rPr>
                <w:rFonts w:cs="Times New Roman"/>
              </w:rPr>
            </w:pPr>
          </w:p>
        </w:tc>
        <w:tc>
          <w:tcPr>
            <w:tcW w:w="1517" w:type="dxa"/>
            <w:vMerge w:val="restart"/>
            <w:vAlign w:val="center"/>
          </w:tcPr>
          <w:p w14:paraId="64489E5B">
            <w:pPr>
              <w:pStyle w:val="71"/>
              <w:spacing w:before="24" w:after="24"/>
              <w:rPr>
                <w:rFonts w:cs="Times New Roman"/>
              </w:rPr>
            </w:pPr>
          </w:p>
          <w:p w14:paraId="50EFF4E1">
            <w:pPr>
              <w:pStyle w:val="71"/>
              <w:spacing w:before="24" w:after="24"/>
              <w:rPr>
                <w:rFonts w:cs="Times New Roman"/>
              </w:rPr>
            </w:pPr>
            <w:r>
              <w:rPr>
                <w:rFonts w:cs="Times New Roman"/>
              </w:rPr>
              <w:t>建构筑物、</w:t>
            </w:r>
            <w:r>
              <w:rPr>
                <w:rFonts w:cs="Times New Roman"/>
                <w:strike/>
                <w:highlight w:val="cyan"/>
              </w:rPr>
              <w:t>深基坑及高支模安全监测、安全帽穿戴监测</w:t>
            </w:r>
            <w:r>
              <w:rPr>
                <w:rFonts w:cs="Times New Roman"/>
              </w:rPr>
              <w:t xml:space="preserve"> </w:t>
            </w:r>
          </w:p>
        </w:tc>
        <w:tc>
          <w:tcPr>
            <w:tcW w:w="3544" w:type="dxa"/>
            <w:vAlign w:val="center"/>
          </w:tcPr>
          <w:p w14:paraId="20924431">
            <w:pPr>
              <w:pStyle w:val="71"/>
              <w:spacing w:before="24" w:after="24"/>
              <w:rPr>
                <w:rFonts w:cs="Times New Roman"/>
              </w:rPr>
            </w:pPr>
            <w:r>
              <w:rPr>
                <w:rFonts w:cs="Times New Roman"/>
              </w:rPr>
              <w:t xml:space="preserve">建构筑物建设监测 </w:t>
            </w:r>
          </w:p>
        </w:tc>
        <w:tc>
          <w:tcPr>
            <w:tcW w:w="1559" w:type="dxa"/>
            <w:vAlign w:val="center"/>
          </w:tcPr>
          <w:p w14:paraId="264EC739">
            <w:pPr>
              <w:pStyle w:val="71"/>
              <w:spacing w:before="24" w:after="24"/>
              <w:rPr>
                <w:rFonts w:cs="Times New Roman"/>
              </w:rPr>
            </w:pPr>
            <w:r>
              <w:rPr>
                <w:rFonts w:ascii="Cambria Math" w:hAnsi="Cambria Math" w:cs="Cambria Math"/>
              </w:rPr>
              <w:t>△</w:t>
            </w:r>
            <w:r>
              <w:rPr>
                <w:rFonts w:cs="Times New Roman"/>
              </w:rPr>
              <w:t xml:space="preserve"> </w:t>
            </w:r>
          </w:p>
        </w:tc>
      </w:tr>
      <w:tr w14:paraId="50B0CAF8">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02" w:hRule="atLeast"/>
        </w:trPr>
        <w:tc>
          <w:tcPr>
            <w:tcW w:w="977" w:type="dxa"/>
            <w:vAlign w:val="center"/>
          </w:tcPr>
          <w:p w14:paraId="4F00FF08">
            <w:pPr>
              <w:pStyle w:val="71"/>
              <w:spacing w:before="24" w:after="24"/>
              <w:rPr>
                <w:rFonts w:cs="Times New Roman"/>
              </w:rPr>
            </w:pPr>
            <w:r>
              <w:rPr>
                <w:rFonts w:cs="Times New Roman"/>
              </w:rPr>
              <w:t xml:space="preserve">23 </w:t>
            </w:r>
          </w:p>
        </w:tc>
        <w:tc>
          <w:tcPr>
            <w:tcW w:w="1607" w:type="dxa"/>
            <w:vMerge w:val="continue"/>
            <w:vAlign w:val="center"/>
          </w:tcPr>
          <w:p w14:paraId="7444A57A">
            <w:pPr>
              <w:pStyle w:val="71"/>
              <w:spacing w:before="24" w:after="24"/>
              <w:rPr>
                <w:rFonts w:cs="Times New Roman"/>
              </w:rPr>
            </w:pPr>
          </w:p>
        </w:tc>
        <w:tc>
          <w:tcPr>
            <w:tcW w:w="1517" w:type="dxa"/>
            <w:vMerge w:val="continue"/>
            <w:vAlign w:val="center"/>
          </w:tcPr>
          <w:p w14:paraId="088D35C8">
            <w:pPr>
              <w:pStyle w:val="71"/>
              <w:spacing w:before="24" w:after="24"/>
              <w:rPr>
                <w:rFonts w:cs="Times New Roman"/>
              </w:rPr>
            </w:pPr>
          </w:p>
        </w:tc>
        <w:tc>
          <w:tcPr>
            <w:tcW w:w="3544" w:type="dxa"/>
            <w:vAlign w:val="center"/>
          </w:tcPr>
          <w:p w14:paraId="2C54E1E5">
            <w:pPr>
              <w:pStyle w:val="71"/>
              <w:spacing w:before="24" w:after="24"/>
              <w:rPr>
                <w:rFonts w:cs="Times New Roman"/>
                <w:strike/>
                <w:highlight w:val="cyan"/>
              </w:rPr>
            </w:pPr>
            <w:r>
              <w:rPr>
                <w:rFonts w:cs="Times New Roman"/>
                <w:strike/>
                <w:highlight w:val="cyan"/>
              </w:rPr>
              <w:t xml:space="preserve">深基坑安全监测 </w:t>
            </w:r>
          </w:p>
        </w:tc>
        <w:tc>
          <w:tcPr>
            <w:tcW w:w="1559" w:type="dxa"/>
            <w:vAlign w:val="center"/>
          </w:tcPr>
          <w:p w14:paraId="4F6AD66C">
            <w:pPr>
              <w:pStyle w:val="71"/>
              <w:spacing w:before="24" w:after="24"/>
              <w:rPr>
                <w:rFonts w:cs="Times New Roman"/>
              </w:rPr>
            </w:pPr>
            <w:r>
              <w:rPr>
                <w:rFonts w:ascii="Cambria Math" w:hAnsi="Cambria Math" w:cs="Cambria Math"/>
              </w:rPr>
              <w:t>△</w:t>
            </w:r>
            <w:r>
              <w:rPr>
                <w:rFonts w:cs="Times New Roman"/>
              </w:rPr>
              <w:t xml:space="preserve"> </w:t>
            </w:r>
          </w:p>
        </w:tc>
      </w:tr>
      <w:tr w14:paraId="41F71998">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01" w:hRule="atLeast"/>
        </w:trPr>
        <w:tc>
          <w:tcPr>
            <w:tcW w:w="977" w:type="dxa"/>
            <w:vAlign w:val="center"/>
          </w:tcPr>
          <w:p w14:paraId="29676EDA">
            <w:pPr>
              <w:pStyle w:val="71"/>
              <w:spacing w:before="24" w:after="24"/>
              <w:rPr>
                <w:rFonts w:cs="Times New Roman"/>
              </w:rPr>
            </w:pPr>
            <w:r>
              <w:rPr>
                <w:rFonts w:cs="Times New Roman"/>
              </w:rPr>
              <w:t xml:space="preserve">24 </w:t>
            </w:r>
          </w:p>
        </w:tc>
        <w:tc>
          <w:tcPr>
            <w:tcW w:w="1607" w:type="dxa"/>
            <w:vMerge w:val="continue"/>
            <w:vAlign w:val="center"/>
          </w:tcPr>
          <w:p w14:paraId="0014641C">
            <w:pPr>
              <w:pStyle w:val="71"/>
              <w:spacing w:before="24" w:after="24"/>
              <w:rPr>
                <w:rFonts w:cs="Times New Roman"/>
              </w:rPr>
            </w:pPr>
          </w:p>
        </w:tc>
        <w:tc>
          <w:tcPr>
            <w:tcW w:w="1517" w:type="dxa"/>
            <w:vMerge w:val="continue"/>
            <w:vAlign w:val="center"/>
          </w:tcPr>
          <w:p w14:paraId="29514184">
            <w:pPr>
              <w:pStyle w:val="71"/>
              <w:spacing w:before="24" w:after="24"/>
              <w:rPr>
                <w:rFonts w:cs="Times New Roman"/>
              </w:rPr>
            </w:pPr>
          </w:p>
        </w:tc>
        <w:tc>
          <w:tcPr>
            <w:tcW w:w="3544" w:type="dxa"/>
            <w:vAlign w:val="center"/>
          </w:tcPr>
          <w:p w14:paraId="2D4B3966">
            <w:pPr>
              <w:pStyle w:val="71"/>
              <w:spacing w:before="24" w:after="24"/>
              <w:rPr>
                <w:rFonts w:cs="Times New Roman"/>
                <w:strike/>
                <w:highlight w:val="cyan"/>
              </w:rPr>
            </w:pPr>
            <w:r>
              <w:rPr>
                <w:rFonts w:cs="Times New Roman"/>
                <w:strike/>
                <w:highlight w:val="cyan"/>
              </w:rPr>
              <w:t xml:space="preserve">高支模安全监测 </w:t>
            </w:r>
          </w:p>
        </w:tc>
        <w:tc>
          <w:tcPr>
            <w:tcW w:w="1559" w:type="dxa"/>
            <w:vAlign w:val="center"/>
          </w:tcPr>
          <w:p w14:paraId="39E5DA5E">
            <w:pPr>
              <w:pStyle w:val="71"/>
              <w:spacing w:before="24" w:after="24"/>
              <w:rPr>
                <w:rFonts w:cs="Times New Roman"/>
              </w:rPr>
            </w:pPr>
            <w:r>
              <w:rPr>
                <w:rFonts w:ascii="Cambria Math" w:hAnsi="Cambria Math" w:cs="Cambria Math"/>
              </w:rPr>
              <w:t>△</w:t>
            </w:r>
            <w:r>
              <w:rPr>
                <w:rFonts w:cs="Times New Roman"/>
              </w:rPr>
              <w:t xml:space="preserve"> </w:t>
            </w:r>
          </w:p>
        </w:tc>
      </w:tr>
      <w:tr w14:paraId="53EFD8CD">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01" w:hRule="atLeast"/>
        </w:trPr>
        <w:tc>
          <w:tcPr>
            <w:tcW w:w="977" w:type="dxa"/>
            <w:vAlign w:val="center"/>
          </w:tcPr>
          <w:p w14:paraId="3F9DC711">
            <w:pPr>
              <w:pStyle w:val="71"/>
              <w:spacing w:before="24" w:after="24"/>
              <w:rPr>
                <w:rFonts w:cs="Times New Roman"/>
              </w:rPr>
            </w:pPr>
            <w:r>
              <w:rPr>
                <w:rFonts w:cs="Times New Roman"/>
              </w:rPr>
              <w:t xml:space="preserve">25 </w:t>
            </w:r>
          </w:p>
        </w:tc>
        <w:tc>
          <w:tcPr>
            <w:tcW w:w="1607" w:type="dxa"/>
            <w:vMerge w:val="continue"/>
            <w:vAlign w:val="center"/>
          </w:tcPr>
          <w:p w14:paraId="22EAB1C4">
            <w:pPr>
              <w:pStyle w:val="71"/>
              <w:spacing w:before="24" w:after="24"/>
              <w:rPr>
                <w:rFonts w:cs="Times New Roman"/>
              </w:rPr>
            </w:pPr>
          </w:p>
        </w:tc>
        <w:tc>
          <w:tcPr>
            <w:tcW w:w="1517" w:type="dxa"/>
            <w:vMerge w:val="continue"/>
            <w:vAlign w:val="center"/>
          </w:tcPr>
          <w:p w14:paraId="20B276D5">
            <w:pPr>
              <w:pStyle w:val="71"/>
              <w:spacing w:before="24" w:after="24"/>
              <w:rPr>
                <w:rFonts w:cs="Times New Roman"/>
              </w:rPr>
            </w:pPr>
          </w:p>
        </w:tc>
        <w:tc>
          <w:tcPr>
            <w:tcW w:w="3544" w:type="dxa"/>
            <w:vAlign w:val="center"/>
          </w:tcPr>
          <w:p w14:paraId="79859FEB">
            <w:pPr>
              <w:pStyle w:val="71"/>
              <w:spacing w:before="24" w:after="24"/>
              <w:rPr>
                <w:rFonts w:cs="Times New Roman"/>
                <w:strike/>
                <w:highlight w:val="cyan"/>
              </w:rPr>
            </w:pPr>
            <w:r>
              <w:rPr>
                <w:rFonts w:cs="Times New Roman"/>
                <w:strike/>
                <w:highlight w:val="cyan"/>
              </w:rPr>
              <w:t xml:space="preserve">安全帽穿戴监测 </w:t>
            </w:r>
          </w:p>
        </w:tc>
        <w:tc>
          <w:tcPr>
            <w:tcW w:w="1559" w:type="dxa"/>
            <w:vAlign w:val="center"/>
          </w:tcPr>
          <w:p w14:paraId="1654F2B5">
            <w:pPr>
              <w:pStyle w:val="71"/>
              <w:spacing w:before="24" w:after="24"/>
              <w:rPr>
                <w:rFonts w:cs="Times New Roman"/>
              </w:rPr>
            </w:pPr>
            <w:r>
              <w:rPr>
                <w:rFonts w:cs="Times New Roman"/>
              </w:rPr>
              <w:t xml:space="preserve">√ </w:t>
            </w:r>
          </w:p>
        </w:tc>
      </w:tr>
      <w:tr w14:paraId="2F0E3BB1">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01" w:hRule="atLeast"/>
        </w:trPr>
        <w:tc>
          <w:tcPr>
            <w:tcW w:w="977" w:type="dxa"/>
            <w:vAlign w:val="center"/>
          </w:tcPr>
          <w:p w14:paraId="335D2284">
            <w:pPr>
              <w:pStyle w:val="71"/>
              <w:spacing w:before="24" w:after="24"/>
              <w:rPr>
                <w:rFonts w:cs="Times New Roman"/>
              </w:rPr>
            </w:pPr>
            <w:r>
              <w:rPr>
                <w:rFonts w:cs="Times New Roman"/>
              </w:rPr>
              <w:t xml:space="preserve">26 </w:t>
            </w:r>
          </w:p>
        </w:tc>
        <w:tc>
          <w:tcPr>
            <w:tcW w:w="1607" w:type="dxa"/>
            <w:vMerge w:val="continue"/>
            <w:vAlign w:val="center"/>
          </w:tcPr>
          <w:p w14:paraId="1701E6F7">
            <w:pPr>
              <w:pStyle w:val="71"/>
              <w:spacing w:before="24" w:after="24"/>
              <w:rPr>
                <w:rFonts w:cs="Times New Roman"/>
              </w:rPr>
            </w:pPr>
          </w:p>
        </w:tc>
        <w:tc>
          <w:tcPr>
            <w:tcW w:w="1517" w:type="dxa"/>
            <w:vMerge w:val="restart"/>
            <w:vAlign w:val="center"/>
          </w:tcPr>
          <w:p w14:paraId="3F06505F">
            <w:pPr>
              <w:pStyle w:val="71"/>
              <w:spacing w:before="24" w:after="24"/>
              <w:rPr>
                <w:rFonts w:cs="Times New Roman"/>
              </w:rPr>
            </w:pPr>
            <w:r>
              <w:rPr>
                <w:rFonts w:cs="Times New Roman"/>
              </w:rPr>
              <w:t>有限空间有毒有害气</w:t>
            </w:r>
          </w:p>
          <w:p w14:paraId="704620A7">
            <w:pPr>
              <w:pStyle w:val="71"/>
              <w:spacing w:before="24" w:after="24"/>
              <w:rPr>
                <w:rFonts w:cs="Times New Roman"/>
              </w:rPr>
            </w:pPr>
            <w:r>
              <w:rPr>
                <w:rFonts w:cs="Times New Roman"/>
              </w:rPr>
              <w:t xml:space="preserve">体及浓烟明火监测 </w:t>
            </w:r>
          </w:p>
        </w:tc>
        <w:tc>
          <w:tcPr>
            <w:tcW w:w="3544" w:type="dxa"/>
            <w:vAlign w:val="center"/>
          </w:tcPr>
          <w:p w14:paraId="4D5FA632">
            <w:pPr>
              <w:pStyle w:val="71"/>
              <w:spacing w:before="24" w:after="24"/>
              <w:rPr>
                <w:rFonts w:cs="Times New Roman"/>
              </w:rPr>
            </w:pPr>
            <w:r>
              <w:rPr>
                <w:rFonts w:cs="Times New Roman"/>
              </w:rPr>
              <w:t xml:space="preserve">有限空间有毒有害气体监测 </w:t>
            </w:r>
          </w:p>
        </w:tc>
        <w:tc>
          <w:tcPr>
            <w:tcW w:w="1559" w:type="dxa"/>
            <w:vAlign w:val="center"/>
          </w:tcPr>
          <w:p w14:paraId="6977ABFF">
            <w:pPr>
              <w:pStyle w:val="71"/>
              <w:spacing w:before="24" w:after="24"/>
              <w:rPr>
                <w:rFonts w:cs="Times New Roman"/>
              </w:rPr>
            </w:pPr>
            <w:r>
              <w:rPr>
                <w:rFonts w:cs="Times New Roman"/>
              </w:rPr>
              <w:t xml:space="preserve">□ </w:t>
            </w:r>
          </w:p>
        </w:tc>
      </w:tr>
      <w:tr w14:paraId="0B612457">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01" w:hRule="atLeast"/>
        </w:trPr>
        <w:tc>
          <w:tcPr>
            <w:tcW w:w="977" w:type="dxa"/>
            <w:vAlign w:val="center"/>
          </w:tcPr>
          <w:p w14:paraId="5014B7E9">
            <w:pPr>
              <w:pStyle w:val="71"/>
              <w:spacing w:before="24" w:after="24"/>
              <w:rPr>
                <w:rFonts w:cs="Times New Roman"/>
              </w:rPr>
            </w:pPr>
            <w:r>
              <w:rPr>
                <w:rFonts w:cs="Times New Roman"/>
              </w:rPr>
              <w:t>27</w:t>
            </w:r>
          </w:p>
        </w:tc>
        <w:tc>
          <w:tcPr>
            <w:tcW w:w="1607" w:type="dxa"/>
            <w:vMerge w:val="continue"/>
            <w:vAlign w:val="center"/>
          </w:tcPr>
          <w:p w14:paraId="45E051D7">
            <w:pPr>
              <w:pStyle w:val="71"/>
              <w:spacing w:before="24" w:after="24"/>
              <w:rPr>
                <w:rFonts w:cs="Times New Roman"/>
              </w:rPr>
            </w:pPr>
          </w:p>
        </w:tc>
        <w:tc>
          <w:tcPr>
            <w:tcW w:w="1517" w:type="dxa"/>
            <w:vMerge w:val="continue"/>
            <w:vAlign w:val="center"/>
          </w:tcPr>
          <w:p w14:paraId="49B08A09">
            <w:pPr>
              <w:pStyle w:val="71"/>
              <w:spacing w:before="24" w:after="24"/>
              <w:rPr>
                <w:rFonts w:cs="Times New Roman"/>
              </w:rPr>
            </w:pPr>
          </w:p>
        </w:tc>
        <w:tc>
          <w:tcPr>
            <w:tcW w:w="3544" w:type="dxa"/>
            <w:vAlign w:val="center"/>
          </w:tcPr>
          <w:p w14:paraId="14AC4873">
            <w:pPr>
              <w:pStyle w:val="71"/>
              <w:spacing w:before="24" w:after="24"/>
              <w:rPr>
                <w:rFonts w:cs="Times New Roman"/>
              </w:rPr>
            </w:pPr>
            <w:r>
              <w:rPr>
                <w:rFonts w:cs="Times New Roman"/>
              </w:rPr>
              <w:t xml:space="preserve">浓烟明火监测 </w:t>
            </w:r>
          </w:p>
        </w:tc>
        <w:tc>
          <w:tcPr>
            <w:tcW w:w="1559" w:type="dxa"/>
            <w:vAlign w:val="center"/>
          </w:tcPr>
          <w:p w14:paraId="30641AB3">
            <w:pPr>
              <w:pStyle w:val="71"/>
              <w:spacing w:before="24" w:after="24"/>
              <w:rPr>
                <w:rFonts w:cs="Times New Roman"/>
              </w:rPr>
            </w:pPr>
            <w:r>
              <w:rPr>
                <w:rFonts w:ascii="Cambria Math" w:hAnsi="Cambria Math" w:cs="Cambria Math"/>
              </w:rPr>
              <w:t>△</w:t>
            </w:r>
            <w:r>
              <w:rPr>
                <w:rFonts w:cs="Times New Roman"/>
              </w:rPr>
              <w:t xml:space="preserve"> </w:t>
            </w:r>
          </w:p>
        </w:tc>
      </w:tr>
      <w:tr w14:paraId="3BA43747">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01" w:hRule="atLeast"/>
        </w:trPr>
        <w:tc>
          <w:tcPr>
            <w:tcW w:w="977" w:type="dxa"/>
            <w:vAlign w:val="center"/>
          </w:tcPr>
          <w:p w14:paraId="28BBD2E2">
            <w:pPr>
              <w:pStyle w:val="71"/>
              <w:spacing w:before="24" w:after="24"/>
              <w:rPr>
                <w:rFonts w:cs="Times New Roman"/>
              </w:rPr>
            </w:pPr>
            <w:r>
              <w:rPr>
                <w:rFonts w:cs="Times New Roman"/>
              </w:rPr>
              <w:t>28</w:t>
            </w:r>
          </w:p>
        </w:tc>
        <w:tc>
          <w:tcPr>
            <w:tcW w:w="1607" w:type="dxa"/>
            <w:vMerge w:val="continue"/>
            <w:vAlign w:val="center"/>
          </w:tcPr>
          <w:p w14:paraId="4895E132">
            <w:pPr>
              <w:pStyle w:val="71"/>
              <w:spacing w:before="24" w:after="24"/>
              <w:rPr>
                <w:rFonts w:cs="Times New Roman"/>
              </w:rPr>
            </w:pPr>
          </w:p>
        </w:tc>
        <w:tc>
          <w:tcPr>
            <w:tcW w:w="1517" w:type="dxa"/>
            <w:vAlign w:val="center"/>
          </w:tcPr>
          <w:p w14:paraId="38ED24BD">
            <w:pPr>
              <w:pStyle w:val="71"/>
              <w:spacing w:before="24" w:after="24"/>
              <w:rPr>
                <w:rFonts w:cs="Times New Roman"/>
              </w:rPr>
            </w:pPr>
            <w:r>
              <w:rPr>
                <w:rFonts w:cs="Times New Roman"/>
              </w:rPr>
              <w:t xml:space="preserve">乱堆物料监测 </w:t>
            </w:r>
          </w:p>
        </w:tc>
        <w:tc>
          <w:tcPr>
            <w:tcW w:w="3544" w:type="dxa"/>
            <w:vAlign w:val="center"/>
          </w:tcPr>
          <w:p w14:paraId="7CA73DE0">
            <w:pPr>
              <w:pStyle w:val="71"/>
              <w:spacing w:before="24" w:after="24"/>
              <w:rPr>
                <w:rFonts w:cs="Times New Roman"/>
              </w:rPr>
            </w:pPr>
            <w:r>
              <w:rPr>
                <w:rFonts w:cs="Times New Roman"/>
              </w:rPr>
              <w:t xml:space="preserve">乱堆物料监测 </w:t>
            </w:r>
          </w:p>
        </w:tc>
        <w:tc>
          <w:tcPr>
            <w:tcW w:w="1559" w:type="dxa"/>
            <w:vAlign w:val="center"/>
          </w:tcPr>
          <w:p w14:paraId="36FDA4B3">
            <w:pPr>
              <w:pStyle w:val="71"/>
              <w:spacing w:before="24" w:after="24"/>
              <w:rPr>
                <w:rFonts w:cs="Times New Roman"/>
              </w:rPr>
            </w:pPr>
            <w:r>
              <w:rPr>
                <w:rFonts w:ascii="Cambria Math" w:hAnsi="Cambria Math" w:cs="Cambria Math"/>
              </w:rPr>
              <w:t>△</w:t>
            </w:r>
            <w:r>
              <w:rPr>
                <w:rFonts w:cs="Times New Roman"/>
              </w:rPr>
              <w:t xml:space="preserve"> </w:t>
            </w:r>
          </w:p>
        </w:tc>
      </w:tr>
      <w:tr w14:paraId="0487AA4F">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08" w:hRule="atLeast"/>
        </w:trPr>
        <w:tc>
          <w:tcPr>
            <w:tcW w:w="977" w:type="dxa"/>
            <w:vAlign w:val="center"/>
          </w:tcPr>
          <w:p w14:paraId="25E966E0">
            <w:pPr>
              <w:pStyle w:val="71"/>
              <w:spacing w:before="24" w:after="24"/>
              <w:rPr>
                <w:rFonts w:cs="Times New Roman"/>
              </w:rPr>
            </w:pPr>
            <w:r>
              <w:rPr>
                <w:rFonts w:cs="Times New Roman"/>
              </w:rPr>
              <w:t>29</w:t>
            </w:r>
          </w:p>
        </w:tc>
        <w:tc>
          <w:tcPr>
            <w:tcW w:w="1607" w:type="dxa"/>
            <w:vMerge w:val="continue"/>
            <w:vAlign w:val="center"/>
          </w:tcPr>
          <w:p w14:paraId="061C6F2D">
            <w:pPr>
              <w:pStyle w:val="71"/>
              <w:spacing w:before="24" w:after="24"/>
              <w:rPr>
                <w:rFonts w:cs="Times New Roman"/>
              </w:rPr>
            </w:pPr>
          </w:p>
        </w:tc>
        <w:tc>
          <w:tcPr>
            <w:tcW w:w="1517" w:type="dxa"/>
            <w:vAlign w:val="center"/>
          </w:tcPr>
          <w:p w14:paraId="0BE1D5FC">
            <w:pPr>
              <w:pStyle w:val="71"/>
              <w:spacing w:before="24" w:after="24"/>
              <w:rPr>
                <w:rFonts w:cs="Times New Roman"/>
              </w:rPr>
            </w:pPr>
            <w:r>
              <w:rPr>
                <w:rFonts w:cs="Times New Roman"/>
              </w:rPr>
              <w:t xml:space="preserve">临边防护监测 </w:t>
            </w:r>
          </w:p>
        </w:tc>
        <w:tc>
          <w:tcPr>
            <w:tcW w:w="3544" w:type="dxa"/>
            <w:vAlign w:val="center"/>
          </w:tcPr>
          <w:p w14:paraId="71DAE6B5">
            <w:pPr>
              <w:pStyle w:val="71"/>
              <w:spacing w:before="24" w:after="24"/>
              <w:rPr>
                <w:rFonts w:cs="Times New Roman"/>
              </w:rPr>
            </w:pPr>
            <w:r>
              <w:rPr>
                <w:rFonts w:cs="Times New Roman"/>
              </w:rPr>
              <w:t xml:space="preserve">临边防护监测 </w:t>
            </w:r>
          </w:p>
        </w:tc>
        <w:tc>
          <w:tcPr>
            <w:tcW w:w="1559" w:type="dxa"/>
            <w:vAlign w:val="center"/>
          </w:tcPr>
          <w:p w14:paraId="75D19680">
            <w:pPr>
              <w:pStyle w:val="71"/>
              <w:spacing w:before="24" w:after="24"/>
              <w:rPr>
                <w:rFonts w:cs="Times New Roman"/>
              </w:rPr>
            </w:pPr>
            <w:r>
              <w:rPr>
                <w:rFonts w:ascii="Cambria Math" w:hAnsi="Cambria Math" w:cs="Cambria Math"/>
              </w:rPr>
              <w:t>△</w:t>
            </w:r>
            <w:r>
              <w:rPr>
                <w:rFonts w:cs="Times New Roman"/>
              </w:rPr>
              <w:t xml:space="preserve"> </w:t>
            </w:r>
          </w:p>
        </w:tc>
      </w:tr>
      <w:tr w14:paraId="68B763C9">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08" w:hRule="atLeast"/>
        </w:trPr>
        <w:tc>
          <w:tcPr>
            <w:tcW w:w="977" w:type="dxa"/>
            <w:vAlign w:val="center"/>
          </w:tcPr>
          <w:p w14:paraId="639D4B46">
            <w:pPr>
              <w:pStyle w:val="71"/>
              <w:spacing w:before="24" w:after="24"/>
              <w:rPr>
                <w:rFonts w:cs="Times New Roman"/>
              </w:rPr>
            </w:pPr>
            <w:r>
              <w:rPr>
                <w:rFonts w:cs="Times New Roman"/>
              </w:rPr>
              <w:t>30</w:t>
            </w:r>
          </w:p>
        </w:tc>
        <w:tc>
          <w:tcPr>
            <w:tcW w:w="1607" w:type="dxa"/>
            <w:vMerge w:val="continue"/>
            <w:vAlign w:val="center"/>
          </w:tcPr>
          <w:p w14:paraId="245DAD93">
            <w:pPr>
              <w:pStyle w:val="71"/>
              <w:spacing w:before="24" w:after="24"/>
              <w:rPr>
                <w:rFonts w:cs="Times New Roman"/>
              </w:rPr>
            </w:pPr>
          </w:p>
        </w:tc>
        <w:tc>
          <w:tcPr>
            <w:tcW w:w="1517" w:type="dxa"/>
            <w:vAlign w:val="center"/>
          </w:tcPr>
          <w:p w14:paraId="38D89E85">
            <w:pPr>
              <w:pStyle w:val="71"/>
              <w:spacing w:before="24" w:after="24"/>
              <w:rPr>
                <w:rFonts w:cs="Times New Roman"/>
              </w:rPr>
            </w:pPr>
            <w:r>
              <w:rPr>
                <w:rFonts w:cs="Times New Roman"/>
              </w:rPr>
              <w:t xml:space="preserve">智能广播 </w:t>
            </w:r>
          </w:p>
        </w:tc>
        <w:tc>
          <w:tcPr>
            <w:tcW w:w="3544" w:type="dxa"/>
            <w:vAlign w:val="center"/>
          </w:tcPr>
          <w:p w14:paraId="69461E0B">
            <w:pPr>
              <w:pStyle w:val="71"/>
              <w:spacing w:before="24" w:after="24"/>
              <w:rPr>
                <w:rFonts w:cs="Times New Roman"/>
              </w:rPr>
            </w:pPr>
            <w:r>
              <w:rPr>
                <w:rFonts w:cs="Times New Roman"/>
              </w:rPr>
              <w:t xml:space="preserve">智能广播 </w:t>
            </w:r>
          </w:p>
        </w:tc>
        <w:tc>
          <w:tcPr>
            <w:tcW w:w="1559" w:type="dxa"/>
            <w:vAlign w:val="center"/>
          </w:tcPr>
          <w:p w14:paraId="41FB8202">
            <w:pPr>
              <w:pStyle w:val="71"/>
              <w:spacing w:before="24" w:after="24"/>
              <w:rPr>
                <w:rFonts w:cs="Times New Roman"/>
              </w:rPr>
            </w:pPr>
            <w:r>
              <w:rPr>
                <w:rFonts w:ascii="Cambria Math" w:hAnsi="Cambria Math" w:cs="Cambria Math"/>
              </w:rPr>
              <w:t>△</w:t>
            </w:r>
            <w:r>
              <w:rPr>
                <w:rFonts w:cs="Times New Roman"/>
              </w:rPr>
              <w:t xml:space="preserve"> </w:t>
            </w:r>
          </w:p>
        </w:tc>
      </w:tr>
      <w:tr w14:paraId="48028D1F">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08" w:hRule="atLeast"/>
        </w:trPr>
        <w:tc>
          <w:tcPr>
            <w:tcW w:w="977" w:type="dxa"/>
            <w:vAlign w:val="center"/>
          </w:tcPr>
          <w:p w14:paraId="5E7C06C9">
            <w:pPr>
              <w:pStyle w:val="71"/>
              <w:spacing w:before="24" w:after="24"/>
              <w:rPr>
                <w:rFonts w:cs="Times New Roman"/>
              </w:rPr>
            </w:pPr>
            <w:r>
              <w:rPr>
                <w:rFonts w:cs="Times New Roman"/>
              </w:rPr>
              <w:t>31</w:t>
            </w:r>
          </w:p>
        </w:tc>
        <w:tc>
          <w:tcPr>
            <w:tcW w:w="1607" w:type="dxa"/>
            <w:vMerge w:val="restart"/>
            <w:vAlign w:val="center"/>
          </w:tcPr>
          <w:p w14:paraId="571D3505">
            <w:pPr>
              <w:pStyle w:val="71"/>
              <w:spacing w:before="24" w:after="24"/>
              <w:rPr>
                <w:rFonts w:cs="Times New Roman"/>
              </w:rPr>
            </w:pPr>
            <w:r>
              <w:rPr>
                <w:rFonts w:cs="Times New Roman"/>
              </w:rPr>
              <w:t>质量管理</w:t>
            </w:r>
          </w:p>
        </w:tc>
        <w:tc>
          <w:tcPr>
            <w:tcW w:w="1517" w:type="dxa"/>
            <w:vAlign w:val="center"/>
          </w:tcPr>
          <w:p w14:paraId="1687DF27">
            <w:pPr>
              <w:pStyle w:val="71"/>
              <w:spacing w:before="24" w:after="24"/>
              <w:rPr>
                <w:rFonts w:cs="Times New Roman"/>
              </w:rPr>
            </w:pPr>
            <w:r>
              <w:rPr>
                <w:rFonts w:cs="Times New Roman"/>
              </w:rPr>
              <w:t xml:space="preserve">   -</w:t>
            </w:r>
          </w:p>
        </w:tc>
        <w:tc>
          <w:tcPr>
            <w:tcW w:w="3544" w:type="dxa"/>
            <w:vAlign w:val="center"/>
          </w:tcPr>
          <w:p w14:paraId="7588A8F1">
            <w:pPr>
              <w:pStyle w:val="71"/>
              <w:spacing w:before="24" w:after="24"/>
              <w:rPr>
                <w:rFonts w:cs="Times New Roman"/>
              </w:rPr>
            </w:pPr>
            <w:r>
              <w:rPr>
                <w:rFonts w:cs="Times New Roman"/>
              </w:rPr>
              <w:t xml:space="preserve">物料管理 </w:t>
            </w:r>
          </w:p>
        </w:tc>
        <w:tc>
          <w:tcPr>
            <w:tcW w:w="1559" w:type="dxa"/>
            <w:vAlign w:val="center"/>
          </w:tcPr>
          <w:p w14:paraId="16C61439">
            <w:pPr>
              <w:pStyle w:val="71"/>
              <w:spacing w:before="24" w:after="24"/>
              <w:rPr>
                <w:rFonts w:cs="Times New Roman"/>
              </w:rPr>
            </w:pPr>
            <w:r>
              <w:rPr>
                <w:rFonts w:cs="Times New Roman"/>
              </w:rPr>
              <w:t xml:space="preserve">√ </w:t>
            </w:r>
          </w:p>
        </w:tc>
      </w:tr>
      <w:tr w14:paraId="06188564">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08" w:hRule="atLeast"/>
        </w:trPr>
        <w:tc>
          <w:tcPr>
            <w:tcW w:w="977" w:type="dxa"/>
            <w:vAlign w:val="center"/>
          </w:tcPr>
          <w:p w14:paraId="24ECC3DE">
            <w:pPr>
              <w:pStyle w:val="71"/>
              <w:spacing w:before="24" w:after="24"/>
              <w:rPr>
                <w:rFonts w:cs="Times New Roman"/>
              </w:rPr>
            </w:pPr>
            <w:r>
              <w:rPr>
                <w:rFonts w:cs="Times New Roman"/>
              </w:rPr>
              <w:t xml:space="preserve">32 </w:t>
            </w:r>
          </w:p>
        </w:tc>
        <w:tc>
          <w:tcPr>
            <w:tcW w:w="1607" w:type="dxa"/>
            <w:vMerge w:val="continue"/>
            <w:vAlign w:val="center"/>
          </w:tcPr>
          <w:p w14:paraId="2A22DAD1">
            <w:pPr>
              <w:pStyle w:val="71"/>
              <w:spacing w:before="24" w:after="24"/>
              <w:rPr>
                <w:rFonts w:cs="Times New Roman"/>
              </w:rPr>
            </w:pPr>
          </w:p>
        </w:tc>
        <w:tc>
          <w:tcPr>
            <w:tcW w:w="1517" w:type="dxa"/>
            <w:vAlign w:val="center"/>
          </w:tcPr>
          <w:p w14:paraId="16313C20">
            <w:pPr>
              <w:pStyle w:val="71"/>
              <w:spacing w:before="24" w:after="24"/>
              <w:rPr>
                <w:rFonts w:cs="Times New Roman"/>
              </w:rPr>
            </w:pPr>
          </w:p>
        </w:tc>
        <w:tc>
          <w:tcPr>
            <w:tcW w:w="3544" w:type="dxa"/>
            <w:vAlign w:val="center"/>
          </w:tcPr>
          <w:p w14:paraId="79DC53F0">
            <w:pPr>
              <w:pStyle w:val="71"/>
              <w:spacing w:before="24" w:after="24"/>
              <w:rPr>
                <w:rFonts w:cs="Times New Roman"/>
              </w:rPr>
            </w:pPr>
            <w:r>
              <w:rPr>
                <w:rFonts w:cs="Times New Roman"/>
              </w:rPr>
              <w:t xml:space="preserve">数字化巡检 </w:t>
            </w:r>
          </w:p>
        </w:tc>
        <w:tc>
          <w:tcPr>
            <w:tcW w:w="1559" w:type="dxa"/>
            <w:vAlign w:val="center"/>
          </w:tcPr>
          <w:p w14:paraId="148D26DC">
            <w:pPr>
              <w:pStyle w:val="71"/>
              <w:spacing w:before="24" w:after="24"/>
              <w:rPr>
                <w:rFonts w:cs="Times New Roman"/>
              </w:rPr>
            </w:pPr>
            <w:r>
              <w:rPr>
                <w:rFonts w:cs="Times New Roman"/>
              </w:rPr>
              <w:t xml:space="preserve">√ </w:t>
            </w:r>
          </w:p>
        </w:tc>
      </w:tr>
      <w:tr w14:paraId="711C2C1F">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08" w:hRule="atLeast"/>
        </w:trPr>
        <w:tc>
          <w:tcPr>
            <w:tcW w:w="977" w:type="dxa"/>
            <w:vAlign w:val="center"/>
          </w:tcPr>
          <w:p w14:paraId="75C1FB08">
            <w:pPr>
              <w:pStyle w:val="71"/>
              <w:spacing w:before="24" w:after="24"/>
              <w:rPr>
                <w:rFonts w:cs="Times New Roman"/>
              </w:rPr>
            </w:pPr>
            <w:r>
              <w:rPr>
                <w:rFonts w:cs="Times New Roman"/>
              </w:rPr>
              <w:t xml:space="preserve">33 </w:t>
            </w:r>
          </w:p>
        </w:tc>
        <w:tc>
          <w:tcPr>
            <w:tcW w:w="1607" w:type="dxa"/>
            <w:vMerge w:val="continue"/>
            <w:vAlign w:val="center"/>
          </w:tcPr>
          <w:p w14:paraId="2DC85A78">
            <w:pPr>
              <w:pStyle w:val="71"/>
              <w:spacing w:before="24" w:after="24"/>
              <w:rPr>
                <w:rFonts w:cs="Times New Roman"/>
              </w:rPr>
            </w:pPr>
          </w:p>
        </w:tc>
        <w:tc>
          <w:tcPr>
            <w:tcW w:w="1517" w:type="dxa"/>
            <w:vAlign w:val="center"/>
          </w:tcPr>
          <w:p w14:paraId="7A436B1B">
            <w:pPr>
              <w:pStyle w:val="71"/>
              <w:spacing w:before="24" w:after="24"/>
              <w:rPr>
                <w:rFonts w:cs="Times New Roman"/>
              </w:rPr>
            </w:pPr>
          </w:p>
        </w:tc>
        <w:tc>
          <w:tcPr>
            <w:tcW w:w="3544" w:type="dxa"/>
            <w:vAlign w:val="center"/>
          </w:tcPr>
          <w:p w14:paraId="0770EFE3">
            <w:pPr>
              <w:pStyle w:val="71"/>
              <w:spacing w:before="24" w:after="24"/>
              <w:rPr>
                <w:rFonts w:cs="Times New Roman"/>
              </w:rPr>
            </w:pPr>
            <w:r>
              <w:rPr>
                <w:rFonts w:cs="Times New Roman"/>
              </w:rPr>
              <w:t xml:space="preserve">数字化测量 </w:t>
            </w:r>
          </w:p>
        </w:tc>
        <w:tc>
          <w:tcPr>
            <w:tcW w:w="1559" w:type="dxa"/>
            <w:vAlign w:val="center"/>
          </w:tcPr>
          <w:p w14:paraId="12AF7B5C">
            <w:pPr>
              <w:pStyle w:val="71"/>
              <w:spacing w:before="24" w:after="24"/>
              <w:rPr>
                <w:rFonts w:cs="Times New Roman"/>
              </w:rPr>
            </w:pPr>
            <w:r>
              <w:rPr>
                <w:rFonts w:ascii="Cambria Math" w:hAnsi="Cambria Math" w:cs="Cambria Math"/>
              </w:rPr>
              <w:t>△</w:t>
            </w:r>
            <w:r>
              <w:rPr>
                <w:rFonts w:cs="Times New Roman"/>
              </w:rPr>
              <w:t xml:space="preserve"> </w:t>
            </w:r>
          </w:p>
        </w:tc>
      </w:tr>
      <w:tr w14:paraId="299B498A">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08" w:hRule="atLeast"/>
        </w:trPr>
        <w:tc>
          <w:tcPr>
            <w:tcW w:w="977" w:type="dxa"/>
            <w:vAlign w:val="center"/>
          </w:tcPr>
          <w:p w14:paraId="60D587D6">
            <w:pPr>
              <w:pStyle w:val="71"/>
              <w:spacing w:before="24" w:after="24"/>
              <w:rPr>
                <w:rFonts w:cs="Times New Roman"/>
              </w:rPr>
            </w:pPr>
            <w:r>
              <w:rPr>
                <w:rFonts w:cs="Times New Roman"/>
              </w:rPr>
              <w:t>34</w:t>
            </w:r>
          </w:p>
        </w:tc>
        <w:tc>
          <w:tcPr>
            <w:tcW w:w="1607" w:type="dxa"/>
            <w:vMerge w:val="continue"/>
            <w:vAlign w:val="center"/>
          </w:tcPr>
          <w:p w14:paraId="7AC91034">
            <w:pPr>
              <w:pStyle w:val="71"/>
              <w:spacing w:before="24" w:after="24"/>
              <w:rPr>
                <w:rFonts w:cs="Times New Roman"/>
              </w:rPr>
            </w:pPr>
          </w:p>
        </w:tc>
        <w:tc>
          <w:tcPr>
            <w:tcW w:w="1517" w:type="dxa"/>
            <w:vAlign w:val="center"/>
          </w:tcPr>
          <w:p w14:paraId="0E7F9793">
            <w:pPr>
              <w:pStyle w:val="71"/>
              <w:spacing w:before="24" w:after="24"/>
              <w:rPr>
                <w:rFonts w:cs="Times New Roman"/>
              </w:rPr>
            </w:pPr>
          </w:p>
        </w:tc>
        <w:tc>
          <w:tcPr>
            <w:tcW w:w="3544" w:type="dxa"/>
            <w:vAlign w:val="center"/>
          </w:tcPr>
          <w:p w14:paraId="4FE69F78">
            <w:pPr>
              <w:pStyle w:val="71"/>
              <w:spacing w:before="24" w:after="24"/>
              <w:rPr>
                <w:rFonts w:cs="Times New Roman"/>
              </w:rPr>
            </w:pPr>
            <w:r>
              <w:rPr>
                <w:rFonts w:cs="Times New Roman"/>
              </w:rPr>
              <w:t xml:space="preserve">大体积混凝土温度监测 </w:t>
            </w:r>
          </w:p>
        </w:tc>
        <w:tc>
          <w:tcPr>
            <w:tcW w:w="1559" w:type="dxa"/>
            <w:vAlign w:val="center"/>
          </w:tcPr>
          <w:p w14:paraId="5D8099DB">
            <w:pPr>
              <w:pStyle w:val="71"/>
              <w:spacing w:before="24" w:after="24"/>
              <w:rPr>
                <w:rFonts w:cs="Times New Roman"/>
              </w:rPr>
            </w:pPr>
            <w:r>
              <w:rPr>
                <w:rFonts w:ascii="Cambria Math" w:hAnsi="Cambria Math" w:cs="Cambria Math"/>
              </w:rPr>
              <w:t>△</w:t>
            </w:r>
            <w:r>
              <w:rPr>
                <w:rFonts w:cs="Times New Roman"/>
              </w:rPr>
              <w:t xml:space="preserve"> </w:t>
            </w:r>
          </w:p>
        </w:tc>
      </w:tr>
      <w:tr w14:paraId="4530C50D">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08" w:hRule="atLeast"/>
        </w:trPr>
        <w:tc>
          <w:tcPr>
            <w:tcW w:w="977" w:type="dxa"/>
            <w:vAlign w:val="center"/>
          </w:tcPr>
          <w:p w14:paraId="45610AF3">
            <w:pPr>
              <w:pStyle w:val="71"/>
              <w:spacing w:before="24" w:after="24"/>
              <w:rPr>
                <w:rFonts w:cs="Times New Roman"/>
              </w:rPr>
            </w:pPr>
            <w:r>
              <w:rPr>
                <w:rFonts w:cs="Times New Roman"/>
              </w:rPr>
              <w:t>35</w:t>
            </w:r>
          </w:p>
        </w:tc>
        <w:tc>
          <w:tcPr>
            <w:tcW w:w="1607" w:type="dxa"/>
            <w:vMerge w:val="restart"/>
            <w:vAlign w:val="center"/>
          </w:tcPr>
          <w:p w14:paraId="36EDE19F">
            <w:pPr>
              <w:pStyle w:val="71"/>
              <w:spacing w:before="24" w:after="24"/>
              <w:rPr>
                <w:rFonts w:cs="Times New Roman"/>
              </w:rPr>
            </w:pPr>
            <w:r>
              <w:rPr>
                <w:rFonts w:cs="Times New Roman"/>
              </w:rPr>
              <w:t xml:space="preserve">绿色施工 </w:t>
            </w:r>
          </w:p>
        </w:tc>
        <w:tc>
          <w:tcPr>
            <w:tcW w:w="1517" w:type="dxa"/>
            <w:vAlign w:val="center"/>
          </w:tcPr>
          <w:p w14:paraId="5EF56654">
            <w:pPr>
              <w:pStyle w:val="71"/>
              <w:spacing w:before="24" w:after="24"/>
              <w:rPr>
                <w:rFonts w:cs="Times New Roman"/>
              </w:rPr>
            </w:pPr>
            <w:r>
              <w:rPr>
                <w:rFonts w:cs="Times New Roman"/>
              </w:rPr>
              <w:t xml:space="preserve">- </w:t>
            </w:r>
          </w:p>
        </w:tc>
        <w:tc>
          <w:tcPr>
            <w:tcW w:w="3544" w:type="dxa"/>
            <w:vAlign w:val="center"/>
          </w:tcPr>
          <w:p w14:paraId="07638EFE">
            <w:pPr>
              <w:pStyle w:val="71"/>
              <w:spacing w:before="24" w:after="24"/>
              <w:rPr>
                <w:rFonts w:cs="Times New Roman"/>
              </w:rPr>
            </w:pPr>
            <w:r>
              <w:rPr>
                <w:rFonts w:cs="Times New Roman"/>
              </w:rPr>
              <w:t xml:space="preserve">扬尘监测管理 </w:t>
            </w:r>
          </w:p>
        </w:tc>
        <w:tc>
          <w:tcPr>
            <w:tcW w:w="1559" w:type="dxa"/>
            <w:vAlign w:val="center"/>
          </w:tcPr>
          <w:p w14:paraId="11715E06">
            <w:pPr>
              <w:pStyle w:val="71"/>
              <w:spacing w:before="24" w:after="24"/>
              <w:rPr>
                <w:rFonts w:cs="Times New Roman"/>
              </w:rPr>
            </w:pPr>
            <w:r>
              <w:rPr>
                <w:rFonts w:cs="Times New Roman"/>
              </w:rPr>
              <w:t xml:space="preserve">√ </w:t>
            </w:r>
          </w:p>
        </w:tc>
      </w:tr>
      <w:tr w14:paraId="0AFF04DF">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08" w:hRule="atLeast"/>
        </w:trPr>
        <w:tc>
          <w:tcPr>
            <w:tcW w:w="977" w:type="dxa"/>
            <w:vAlign w:val="center"/>
          </w:tcPr>
          <w:p w14:paraId="7B045863">
            <w:pPr>
              <w:pStyle w:val="71"/>
              <w:spacing w:before="24" w:after="24"/>
              <w:rPr>
                <w:rFonts w:cs="Times New Roman"/>
              </w:rPr>
            </w:pPr>
            <w:r>
              <w:rPr>
                <w:rFonts w:cs="Times New Roman"/>
              </w:rPr>
              <w:t xml:space="preserve">36 </w:t>
            </w:r>
          </w:p>
        </w:tc>
        <w:tc>
          <w:tcPr>
            <w:tcW w:w="1607" w:type="dxa"/>
            <w:vMerge w:val="continue"/>
            <w:vAlign w:val="center"/>
          </w:tcPr>
          <w:p w14:paraId="70BFD7E8">
            <w:pPr>
              <w:pStyle w:val="71"/>
              <w:spacing w:before="24" w:after="24"/>
              <w:rPr>
                <w:rFonts w:cs="Times New Roman"/>
              </w:rPr>
            </w:pPr>
          </w:p>
        </w:tc>
        <w:tc>
          <w:tcPr>
            <w:tcW w:w="1517" w:type="dxa"/>
            <w:vAlign w:val="center"/>
          </w:tcPr>
          <w:p w14:paraId="0ACAC88F">
            <w:pPr>
              <w:pStyle w:val="71"/>
              <w:spacing w:before="24" w:after="24"/>
              <w:rPr>
                <w:rFonts w:cs="Times New Roman"/>
              </w:rPr>
            </w:pPr>
          </w:p>
        </w:tc>
        <w:tc>
          <w:tcPr>
            <w:tcW w:w="3544" w:type="dxa"/>
            <w:vAlign w:val="center"/>
          </w:tcPr>
          <w:p w14:paraId="207CD15F">
            <w:pPr>
              <w:pStyle w:val="71"/>
              <w:spacing w:before="24" w:after="24"/>
              <w:rPr>
                <w:rFonts w:cs="Times New Roman"/>
              </w:rPr>
            </w:pPr>
            <w:r>
              <w:rPr>
                <w:rFonts w:cs="Times New Roman"/>
              </w:rPr>
              <w:t xml:space="preserve">噪声监测管理 </w:t>
            </w:r>
          </w:p>
        </w:tc>
        <w:tc>
          <w:tcPr>
            <w:tcW w:w="1559" w:type="dxa"/>
            <w:vAlign w:val="center"/>
          </w:tcPr>
          <w:p w14:paraId="6F78DE8F">
            <w:pPr>
              <w:pStyle w:val="71"/>
              <w:spacing w:before="24" w:after="24"/>
              <w:rPr>
                <w:rFonts w:cs="Times New Roman"/>
              </w:rPr>
            </w:pPr>
            <w:r>
              <w:rPr>
                <w:rFonts w:cs="Times New Roman"/>
              </w:rPr>
              <w:t xml:space="preserve">√ </w:t>
            </w:r>
          </w:p>
        </w:tc>
      </w:tr>
      <w:tr w14:paraId="45D473DB">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08" w:hRule="atLeast"/>
        </w:trPr>
        <w:tc>
          <w:tcPr>
            <w:tcW w:w="977" w:type="dxa"/>
            <w:vAlign w:val="center"/>
          </w:tcPr>
          <w:p w14:paraId="746A884B">
            <w:pPr>
              <w:pStyle w:val="71"/>
              <w:spacing w:before="24" w:after="24"/>
              <w:rPr>
                <w:rFonts w:cs="Times New Roman"/>
              </w:rPr>
            </w:pPr>
            <w:r>
              <w:rPr>
                <w:rFonts w:cs="Times New Roman"/>
              </w:rPr>
              <w:t xml:space="preserve">37 </w:t>
            </w:r>
          </w:p>
        </w:tc>
        <w:tc>
          <w:tcPr>
            <w:tcW w:w="1607" w:type="dxa"/>
            <w:vMerge w:val="continue"/>
            <w:vAlign w:val="center"/>
          </w:tcPr>
          <w:p w14:paraId="35FBA8AC">
            <w:pPr>
              <w:pStyle w:val="71"/>
              <w:spacing w:before="24" w:after="24"/>
              <w:rPr>
                <w:rFonts w:cs="Times New Roman"/>
              </w:rPr>
            </w:pPr>
          </w:p>
        </w:tc>
        <w:tc>
          <w:tcPr>
            <w:tcW w:w="1517" w:type="dxa"/>
            <w:vAlign w:val="center"/>
          </w:tcPr>
          <w:p w14:paraId="1282990B">
            <w:pPr>
              <w:pStyle w:val="71"/>
              <w:spacing w:before="24" w:after="24"/>
              <w:rPr>
                <w:rFonts w:cs="Times New Roman"/>
              </w:rPr>
            </w:pPr>
          </w:p>
        </w:tc>
        <w:tc>
          <w:tcPr>
            <w:tcW w:w="3544" w:type="dxa"/>
            <w:vAlign w:val="center"/>
          </w:tcPr>
          <w:p w14:paraId="3735E435">
            <w:pPr>
              <w:pStyle w:val="71"/>
              <w:spacing w:before="24" w:after="24"/>
              <w:rPr>
                <w:rFonts w:cs="Times New Roman"/>
              </w:rPr>
            </w:pPr>
            <w:r>
              <w:rPr>
                <w:rFonts w:cs="Times New Roman"/>
              </w:rPr>
              <w:t xml:space="preserve">自动喷淋联控 </w:t>
            </w:r>
          </w:p>
        </w:tc>
        <w:tc>
          <w:tcPr>
            <w:tcW w:w="1559" w:type="dxa"/>
            <w:vAlign w:val="center"/>
          </w:tcPr>
          <w:p w14:paraId="29809B59">
            <w:pPr>
              <w:pStyle w:val="71"/>
              <w:spacing w:before="24" w:after="24"/>
              <w:rPr>
                <w:rFonts w:cs="Times New Roman"/>
              </w:rPr>
            </w:pPr>
            <w:r>
              <w:rPr>
                <w:rFonts w:cs="Times New Roman"/>
              </w:rPr>
              <w:t xml:space="preserve">√ </w:t>
            </w:r>
          </w:p>
        </w:tc>
      </w:tr>
      <w:tr w14:paraId="6BF6D8A7">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08" w:hRule="atLeast"/>
        </w:trPr>
        <w:tc>
          <w:tcPr>
            <w:tcW w:w="977" w:type="dxa"/>
            <w:vAlign w:val="center"/>
          </w:tcPr>
          <w:p w14:paraId="026D8030">
            <w:pPr>
              <w:pStyle w:val="71"/>
              <w:spacing w:before="24" w:after="24"/>
              <w:rPr>
                <w:rFonts w:cs="Times New Roman"/>
              </w:rPr>
            </w:pPr>
            <w:r>
              <w:rPr>
                <w:rFonts w:cs="Times New Roman"/>
              </w:rPr>
              <w:t>38</w:t>
            </w:r>
          </w:p>
        </w:tc>
        <w:tc>
          <w:tcPr>
            <w:tcW w:w="1607" w:type="dxa"/>
            <w:vMerge w:val="continue"/>
            <w:vAlign w:val="center"/>
          </w:tcPr>
          <w:p w14:paraId="3DDB6CEE">
            <w:pPr>
              <w:pStyle w:val="71"/>
              <w:spacing w:before="24" w:after="24"/>
              <w:rPr>
                <w:rFonts w:cs="Times New Roman"/>
              </w:rPr>
            </w:pPr>
          </w:p>
        </w:tc>
        <w:tc>
          <w:tcPr>
            <w:tcW w:w="1517" w:type="dxa"/>
            <w:vAlign w:val="center"/>
          </w:tcPr>
          <w:p w14:paraId="25EEC8D9">
            <w:pPr>
              <w:pStyle w:val="71"/>
              <w:spacing w:before="24" w:after="24"/>
              <w:rPr>
                <w:rFonts w:cs="Times New Roman"/>
              </w:rPr>
            </w:pPr>
          </w:p>
        </w:tc>
        <w:tc>
          <w:tcPr>
            <w:tcW w:w="3544" w:type="dxa"/>
            <w:vAlign w:val="center"/>
          </w:tcPr>
          <w:p w14:paraId="549BE3E7">
            <w:pPr>
              <w:pStyle w:val="71"/>
              <w:spacing w:before="24" w:after="24"/>
              <w:rPr>
                <w:rFonts w:cs="Times New Roman"/>
              </w:rPr>
            </w:pPr>
            <w:r>
              <w:rPr>
                <w:rFonts w:cs="Times New Roman"/>
              </w:rPr>
              <w:t xml:space="preserve">水电能耗监测 </w:t>
            </w:r>
          </w:p>
        </w:tc>
        <w:tc>
          <w:tcPr>
            <w:tcW w:w="1559" w:type="dxa"/>
            <w:vAlign w:val="center"/>
          </w:tcPr>
          <w:p w14:paraId="7B830229">
            <w:pPr>
              <w:pStyle w:val="71"/>
              <w:spacing w:before="24" w:after="24"/>
              <w:rPr>
                <w:rFonts w:cs="Times New Roman"/>
              </w:rPr>
            </w:pPr>
            <w:r>
              <w:rPr>
                <w:rFonts w:ascii="Cambria Math" w:hAnsi="Cambria Math" w:cs="Cambria Math"/>
              </w:rPr>
              <w:t>△</w:t>
            </w:r>
            <w:r>
              <w:rPr>
                <w:rFonts w:cs="Times New Roman"/>
              </w:rPr>
              <w:t xml:space="preserve"> </w:t>
            </w:r>
          </w:p>
        </w:tc>
      </w:tr>
      <w:tr w14:paraId="198AFEE2">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08" w:hRule="atLeast"/>
        </w:trPr>
        <w:tc>
          <w:tcPr>
            <w:tcW w:w="977" w:type="dxa"/>
            <w:vAlign w:val="center"/>
          </w:tcPr>
          <w:p w14:paraId="77E25EF3">
            <w:pPr>
              <w:pStyle w:val="71"/>
              <w:spacing w:before="24" w:after="24"/>
              <w:rPr>
                <w:rFonts w:cs="Times New Roman"/>
              </w:rPr>
            </w:pPr>
            <w:r>
              <w:rPr>
                <w:rFonts w:cs="Times New Roman"/>
              </w:rPr>
              <w:t xml:space="preserve">39 </w:t>
            </w:r>
          </w:p>
        </w:tc>
        <w:tc>
          <w:tcPr>
            <w:tcW w:w="1607" w:type="dxa"/>
            <w:vMerge w:val="continue"/>
            <w:vAlign w:val="center"/>
          </w:tcPr>
          <w:p w14:paraId="426179DA">
            <w:pPr>
              <w:pStyle w:val="71"/>
              <w:spacing w:before="24" w:after="24"/>
              <w:rPr>
                <w:rFonts w:cs="Times New Roman"/>
              </w:rPr>
            </w:pPr>
          </w:p>
        </w:tc>
        <w:tc>
          <w:tcPr>
            <w:tcW w:w="1517" w:type="dxa"/>
            <w:vAlign w:val="center"/>
          </w:tcPr>
          <w:p w14:paraId="308C777D">
            <w:pPr>
              <w:pStyle w:val="71"/>
              <w:spacing w:before="24" w:after="24"/>
              <w:rPr>
                <w:rFonts w:cs="Times New Roman"/>
              </w:rPr>
            </w:pPr>
          </w:p>
        </w:tc>
        <w:tc>
          <w:tcPr>
            <w:tcW w:w="3544" w:type="dxa"/>
            <w:vAlign w:val="center"/>
          </w:tcPr>
          <w:p w14:paraId="17D0C157">
            <w:pPr>
              <w:pStyle w:val="71"/>
              <w:spacing w:before="24" w:after="24"/>
              <w:rPr>
                <w:rFonts w:cs="Times New Roman"/>
              </w:rPr>
            </w:pPr>
            <w:r>
              <w:rPr>
                <w:rFonts w:cs="Times New Roman"/>
              </w:rPr>
              <w:t xml:space="preserve">渣土车未冲洗监测 </w:t>
            </w:r>
          </w:p>
        </w:tc>
        <w:tc>
          <w:tcPr>
            <w:tcW w:w="1559" w:type="dxa"/>
            <w:vAlign w:val="center"/>
          </w:tcPr>
          <w:p w14:paraId="3E95F2A8">
            <w:pPr>
              <w:pStyle w:val="71"/>
              <w:spacing w:before="24" w:after="24"/>
              <w:rPr>
                <w:rFonts w:cs="Times New Roman"/>
              </w:rPr>
            </w:pPr>
            <w:r>
              <w:rPr>
                <w:rFonts w:ascii="Cambria Math" w:hAnsi="Cambria Math" w:cs="Cambria Math"/>
              </w:rPr>
              <w:t>△</w:t>
            </w:r>
            <w:r>
              <w:rPr>
                <w:rFonts w:cs="Times New Roman"/>
              </w:rPr>
              <w:t xml:space="preserve"> </w:t>
            </w:r>
          </w:p>
        </w:tc>
      </w:tr>
      <w:tr w14:paraId="4E1D1AE8">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08" w:hRule="atLeast"/>
        </w:trPr>
        <w:tc>
          <w:tcPr>
            <w:tcW w:w="977" w:type="dxa"/>
            <w:vAlign w:val="center"/>
          </w:tcPr>
          <w:p w14:paraId="0460F481">
            <w:pPr>
              <w:pStyle w:val="71"/>
              <w:spacing w:before="24" w:after="24"/>
              <w:rPr>
                <w:rFonts w:cs="Times New Roman"/>
              </w:rPr>
            </w:pPr>
            <w:r>
              <w:rPr>
                <w:rFonts w:cs="Times New Roman"/>
              </w:rPr>
              <w:t xml:space="preserve">40 </w:t>
            </w:r>
          </w:p>
        </w:tc>
        <w:tc>
          <w:tcPr>
            <w:tcW w:w="1607" w:type="dxa"/>
            <w:vMerge w:val="continue"/>
            <w:vAlign w:val="center"/>
          </w:tcPr>
          <w:p w14:paraId="1690A885">
            <w:pPr>
              <w:pStyle w:val="71"/>
              <w:spacing w:before="24" w:after="24"/>
              <w:rPr>
                <w:rFonts w:cs="Times New Roman"/>
              </w:rPr>
            </w:pPr>
          </w:p>
        </w:tc>
        <w:tc>
          <w:tcPr>
            <w:tcW w:w="1517" w:type="dxa"/>
            <w:vAlign w:val="center"/>
          </w:tcPr>
          <w:p w14:paraId="469DBDDF">
            <w:pPr>
              <w:pStyle w:val="71"/>
              <w:spacing w:before="24" w:after="24"/>
              <w:rPr>
                <w:rFonts w:cs="Times New Roman"/>
              </w:rPr>
            </w:pPr>
          </w:p>
        </w:tc>
        <w:tc>
          <w:tcPr>
            <w:tcW w:w="3544" w:type="dxa"/>
            <w:vAlign w:val="center"/>
          </w:tcPr>
          <w:p w14:paraId="2C89FFC3">
            <w:pPr>
              <w:pStyle w:val="71"/>
              <w:spacing w:before="24" w:after="24"/>
              <w:rPr>
                <w:rFonts w:cs="Times New Roman"/>
              </w:rPr>
            </w:pPr>
            <w:r>
              <w:rPr>
                <w:rFonts w:cs="Times New Roman"/>
              </w:rPr>
              <w:t xml:space="preserve">渣土车未加盖监测 </w:t>
            </w:r>
          </w:p>
        </w:tc>
        <w:tc>
          <w:tcPr>
            <w:tcW w:w="1559" w:type="dxa"/>
            <w:vAlign w:val="center"/>
          </w:tcPr>
          <w:p w14:paraId="452596F5">
            <w:pPr>
              <w:pStyle w:val="71"/>
              <w:spacing w:before="24" w:after="24"/>
              <w:rPr>
                <w:rFonts w:cs="Times New Roman"/>
              </w:rPr>
            </w:pPr>
            <w:r>
              <w:rPr>
                <w:rFonts w:ascii="Cambria Math" w:hAnsi="Cambria Math" w:cs="Cambria Math"/>
              </w:rPr>
              <w:t>△</w:t>
            </w:r>
            <w:r>
              <w:rPr>
                <w:rFonts w:cs="Times New Roman"/>
              </w:rPr>
              <w:t xml:space="preserve"> </w:t>
            </w:r>
          </w:p>
        </w:tc>
      </w:tr>
      <w:tr w14:paraId="26FDD435">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08" w:hRule="atLeast"/>
        </w:trPr>
        <w:tc>
          <w:tcPr>
            <w:tcW w:w="977" w:type="dxa"/>
            <w:vAlign w:val="center"/>
          </w:tcPr>
          <w:p w14:paraId="4D9E1152">
            <w:pPr>
              <w:pStyle w:val="71"/>
              <w:spacing w:before="24" w:after="24"/>
              <w:rPr>
                <w:rFonts w:cs="Times New Roman"/>
              </w:rPr>
            </w:pPr>
            <w:r>
              <w:rPr>
                <w:rFonts w:cs="Times New Roman"/>
              </w:rPr>
              <w:t>41</w:t>
            </w:r>
          </w:p>
        </w:tc>
        <w:tc>
          <w:tcPr>
            <w:tcW w:w="1607" w:type="dxa"/>
            <w:vAlign w:val="center"/>
          </w:tcPr>
          <w:p w14:paraId="440B44DD">
            <w:pPr>
              <w:pStyle w:val="71"/>
              <w:spacing w:before="24" w:after="24"/>
              <w:rPr>
                <w:rFonts w:cs="Times New Roman"/>
              </w:rPr>
            </w:pPr>
            <w:r>
              <w:rPr>
                <w:rFonts w:cs="Times New Roman"/>
              </w:rPr>
              <w:t xml:space="preserve">电子文件管理 </w:t>
            </w:r>
          </w:p>
        </w:tc>
        <w:tc>
          <w:tcPr>
            <w:tcW w:w="1517" w:type="dxa"/>
            <w:vAlign w:val="center"/>
          </w:tcPr>
          <w:p w14:paraId="7F5DB676">
            <w:pPr>
              <w:pStyle w:val="71"/>
              <w:spacing w:before="24" w:after="24"/>
              <w:rPr>
                <w:rFonts w:cs="Times New Roman"/>
              </w:rPr>
            </w:pPr>
            <w:r>
              <w:rPr>
                <w:rFonts w:cs="Times New Roman"/>
              </w:rPr>
              <w:t xml:space="preserve">- </w:t>
            </w:r>
          </w:p>
        </w:tc>
        <w:tc>
          <w:tcPr>
            <w:tcW w:w="3544" w:type="dxa"/>
            <w:vAlign w:val="center"/>
          </w:tcPr>
          <w:p w14:paraId="492DC773">
            <w:pPr>
              <w:pStyle w:val="71"/>
              <w:spacing w:before="24" w:after="24"/>
              <w:rPr>
                <w:rFonts w:cs="Times New Roman"/>
              </w:rPr>
            </w:pPr>
            <w:r>
              <w:rPr>
                <w:rFonts w:cs="Times New Roman"/>
              </w:rPr>
              <w:t xml:space="preserve">电子文件管理 </w:t>
            </w:r>
          </w:p>
        </w:tc>
        <w:tc>
          <w:tcPr>
            <w:tcW w:w="1559" w:type="dxa"/>
            <w:vAlign w:val="center"/>
          </w:tcPr>
          <w:p w14:paraId="7C4966E8">
            <w:pPr>
              <w:pStyle w:val="71"/>
              <w:spacing w:before="24" w:after="24"/>
              <w:rPr>
                <w:rFonts w:cs="Times New Roman"/>
              </w:rPr>
            </w:pPr>
            <w:r>
              <w:rPr>
                <w:rFonts w:cs="Times New Roman"/>
              </w:rPr>
              <w:t xml:space="preserve">√ </w:t>
            </w:r>
          </w:p>
        </w:tc>
      </w:tr>
      <w:tr w14:paraId="064FC021">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08" w:hRule="atLeast"/>
        </w:trPr>
        <w:tc>
          <w:tcPr>
            <w:tcW w:w="977" w:type="dxa"/>
            <w:vAlign w:val="center"/>
          </w:tcPr>
          <w:p w14:paraId="72C2CDE4">
            <w:pPr>
              <w:pStyle w:val="71"/>
              <w:spacing w:before="24" w:after="24"/>
              <w:rPr>
                <w:rFonts w:cs="Times New Roman"/>
              </w:rPr>
            </w:pPr>
            <w:r>
              <w:rPr>
                <w:rFonts w:cs="Times New Roman"/>
              </w:rPr>
              <w:t>42</w:t>
            </w:r>
          </w:p>
        </w:tc>
        <w:tc>
          <w:tcPr>
            <w:tcW w:w="1607" w:type="dxa"/>
            <w:vAlign w:val="center"/>
          </w:tcPr>
          <w:p w14:paraId="36619F76">
            <w:pPr>
              <w:pStyle w:val="71"/>
              <w:spacing w:before="24" w:after="24"/>
              <w:rPr>
                <w:rFonts w:cs="Times New Roman"/>
              </w:rPr>
            </w:pPr>
            <w:r>
              <w:rPr>
                <w:rFonts w:cs="Times New Roman"/>
              </w:rPr>
              <w:t xml:space="preserve">工地轻量化BIM </w:t>
            </w:r>
          </w:p>
        </w:tc>
        <w:tc>
          <w:tcPr>
            <w:tcW w:w="1517" w:type="dxa"/>
            <w:vAlign w:val="center"/>
          </w:tcPr>
          <w:p w14:paraId="5A2F409E">
            <w:pPr>
              <w:pStyle w:val="71"/>
              <w:spacing w:before="24" w:after="24"/>
              <w:rPr>
                <w:rFonts w:cs="Times New Roman"/>
              </w:rPr>
            </w:pPr>
            <w:r>
              <w:rPr>
                <w:rFonts w:cs="Times New Roman"/>
              </w:rPr>
              <w:t xml:space="preserve">- </w:t>
            </w:r>
          </w:p>
        </w:tc>
        <w:tc>
          <w:tcPr>
            <w:tcW w:w="3544" w:type="dxa"/>
            <w:vAlign w:val="center"/>
          </w:tcPr>
          <w:p w14:paraId="61CEC390">
            <w:pPr>
              <w:pStyle w:val="71"/>
              <w:spacing w:before="24" w:after="24"/>
              <w:rPr>
                <w:rFonts w:cs="Times New Roman"/>
              </w:rPr>
            </w:pPr>
            <w:r>
              <w:rPr>
                <w:rFonts w:cs="Times New Roman"/>
              </w:rPr>
              <w:t xml:space="preserve">工地轻量化BIM </w:t>
            </w:r>
          </w:p>
        </w:tc>
        <w:tc>
          <w:tcPr>
            <w:tcW w:w="1559" w:type="dxa"/>
            <w:vAlign w:val="center"/>
          </w:tcPr>
          <w:p w14:paraId="5431672B">
            <w:pPr>
              <w:pStyle w:val="71"/>
              <w:spacing w:before="24" w:after="24"/>
              <w:rPr>
                <w:rFonts w:cs="Times New Roman"/>
              </w:rPr>
            </w:pPr>
            <w:r>
              <w:rPr>
                <w:rFonts w:ascii="Cambria Math" w:hAnsi="Cambria Math" w:cs="Cambria Math"/>
              </w:rPr>
              <w:t>△</w:t>
            </w:r>
            <w:r>
              <w:rPr>
                <w:rFonts w:cs="Times New Roman"/>
              </w:rPr>
              <w:t xml:space="preserve"> </w:t>
            </w:r>
          </w:p>
        </w:tc>
      </w:tr>
      <w:tr w14:paraId="25A5496B">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08" w:hRule="atLeast"/>
        </w:trPr>
        <w:tc>
          <w:tcPr>
            <w:tcW w:w="9204" w:type="dxa"/>
            <w:gridSpan w:val="5"/>
            <w:vAlign w:val="center"/>
          </w:tcPr>
          <w:p w14:paraId="3C8A6DDB">
            <w:pPr>
              <w:pStyle w:val="71"/>
              <w:spacing w:before="24" w:after="24"/>
              <w:rPr>
                <w:rFonts w:cs="Times New Roman"/>
              </w:rPr>
            </w:pPr>
            <w:r>
              <w:rPr>
                <w:rFonts w:cs="Times New Roman"/>
              </w:rPr>
              <w:t>注1：√-必选项；</w:t>
            </w:r>
            <w:r>
              <w:rPr>
                <w:rFonts w:ascii="Cambria Math" w:hAnsi="Cambria Math" w:cs="Cambria Math"/>
              </w:rPr>
              <w:t>△</w:t>
            </w:r>
            <w:r>
              <w:rPr>
                <w:rFonts w:cs="Times New Roman"/>
              </w:rPr>
              <w:t>-可选项。</w:t>
            </w:r>
          </w:p>
        </w:tc>
      </w:tr>
    </w:tbl>
    <w:p w14:paraId="50FE6610">
      <w:pPr>
        <w:pStyle w:val="69"/>
        <w:rPr>
          <w:rFonts w:hint="eastAsia"/>
        </w:rPr>
      </w:pPr>
      <w:r>
        <w:t>附录B  感知设备分类清单</w:t>
      </w:r>
    </w:p>
    <w:tbl>
      <w:tblPr>
        <w:tblStyle w:val="30"/>
        <w:tblW w:w="9243" w:type="dxa"/>
        <w:tblInd w:w="0" w:type="dxa"/>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Layout w:type="fixed"/>
        <w:tblCellMar>
          <w:top w:w="0" w:type="dxa"/>
          <w:left w:w="0" w:type="dxa"/>
          <w:bottom w:w="0" w:type="dxa"/>
          <w:right w:w="0" w:type="dxa"/>
        </w:tblCellMar>
      </w:tblPr>
      <w:tblGrid>
        <w:gridCol w:w="786"/>
        <w:gridCol w:w="1276"/>
        <w:gridCol w:w="1579"/>
        <w:gridCol w:w="5602"/>
      </w:tblGrid>
      <w:tr w14:paraId="27F5E08F">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11" w:hRule="atLeast"/>
          <w:tblHeader/>
        </w:trPr>
        <w:tc>
          <w:tcPr>
            <w:tcW w:w="786" w:type="dxa"/>
            <w:vAlign w:val="center"/>
          </w:tcPr>
          <w:p w14:paraId="4A9E45A2">
            <w:pPr>
              <w:pStyle w:val="71"/>
              <w:spacing w:before="24" w:after="24"/>
              <w:rPr>
                <w:rFonts w:cs="Times New Roman"/>
              </w:rPr>
            </w:pPr>
            <w:r>
              <w:rPr>
                <w:rFonts w:cs="Times New Roman"/>
              </w:rPr>
              <w:t xml:space="preserve">序号 </w:t>
            </w:r>
          </w:p>
        </w:tc>
        <w:tc>
          <w:tcPr>
            <w:tcW w:w="1276" w:type="dxa"/>
            <w:vAlign w:val="center"/>
          </w:tcPr>
          <w:p w14:paraId="34E23F2E">
            <w:pPr>
              <w:pStyle w:val="71"/>
              <w:spacing w:before="24" w:after="24"/>
              <w:rPr>
                <w:rFonts w:cs="Times New Roman"/>
              </w:rPr>
            </w:pPr>
            <w:r>
              <w:rPr>
                <w:rFonts w:cs="Times New Roman"/>
              </w:rPr>
              <w:t>场景名称</w:t>
            </w:r>
          </w:p>
        </w:tc>
        <w:tc>
          <w:tcPr>
            <w:tcW w:w="1579" w:type="dxa"/>
            <w:vAlign w:val="center"/>
          </w:tcPr>
          <w:p w14:paraId="669E8DB1">
            <w:pPr>
              <w:pStyle w:val="71"/>
              <w:spacing w:before="24" w:after="24"/>
              <w:rPr>
                <w:rFonts w:cs="Times New Roman"/>
              </w:rPr>
            </w:pPr>
            <w:r>
              <w:rPr>
                <w:rFonts w:cs="Times New Roman"/>
              </w:rPr>
              <w:t>感知设备名称</w:t>
            </w:r>
          </w:p>
        </w:tc>
        <w:tc>
          <w:tcPr>
            <w:tcW w:w="5602" w:type="dxa"/>
            <w:vAlign w:val="center"/>
          </w:tcPr>
          <w:p w14:paraId="6BAEB22A">
            <w:pPr>
              <w:pStyle w:val="71"/>
              <w:spacing w:before="24" w:after="24"/>
              <w:jc w:val="both"/>
              <w:rPr>
                <w:rFonts w:cs="Times New Roman"/>
              </w:rPr>
            </w:pPr>
            <w:r>
              <w:rPr>
                <w:rFonts w:cs="Times New Roman"/>
              </w:rPr>
              <w:t>推荐技术参数</w:t>
            </w:r>
          </w:p>
        </w:tc>
      </w:tr>
      <w:tr w14:paraId="54F875C0">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35" w:hRule="atLeast"/>
        </w:trPr>
        <w:tc>
          <w:tcPr>
            <w:tcW w:w="786" w:type="dxa"/>
            <w:vAlign w:val="center"/>
          </w:tcPr>
          <w:p w14:paraId="1EB485A0">
            <w:pPr>
              <w:pStyle w:val="71"/>
              <w:spacing w:before="24" w:after="24"/>
              <w:rPr>
                <w:rFonts w:cs="Times New Roman"/>
              </w:rPr>
            </w:pPr>
            <w:r>
              <w:rPr>
                <w:rFonts w:cs="Times New Roman"/>
              </w:rPr>
              <w:t xml:space="preserve">1 </w:t>
            </w:r>
          </w:p>
        </w:tc>
        <w:tc>
          <w:tcPr>
            <w:tcW w:w="1276" w:type="dxa"/>
            <w:vMerge w:val="restart"/>
            <w:vAlign w:val="center"/>
          </w:tcPr>
          <w:p w14:paraId="0E76FD08">
            <w:pPr>
              <w:pStyle w:val="71"/>
              <w:spacing w:before="24" w:after="24"/>
              <w:rPr>
                <w:rFonts w:cs="Times New Roman"/>
              </w:rPr>
            </w:pPr>
            <w:r>
              <w:rPr>
                <w:rFonts w:cs="Times New Roman"/>
              </w:rPr>
              <w:t xml:space="preserve">人员考勤管理 </w:t>
            </w:r>
          </w:p>
        </w:tc>
        <w:tc>
          <w:tcPr>
            <w:tcW w:w="1579" w:type="dxa"/>
            <w:vAlign w:val="center"/>
          </w:tcPr>
          <w:p w14:paraId="05D5CE56">
            <w:pPr>
              <w:pStyle w:val="71"/>
              <w:spacing w:before="24" w:after="24"/>
              <w:rPr>
                <w:rFonts w:cs="Times New Roman"/>
              </w:rPr>
            </w:pPr>
          </w:p>
          <w:p w14:paraId="76597615">
            <w:pPr>
              <w:pStyle w:val="71"/>
              <w:spacing w:before="24" w:after="24"/>
              <w:rPr>
                <w:rFonts w:cs="Times New Roman"/>
              </w:rPr>
            </w:pPr>
            <w:r>
              <w:rPr>
                <w:rFonts w:cs="Times New Roman"/>
              </w:rPr>
              <w:t>人脸识别摄像机</w:t>
            </w:r>
          </w:p>
        </w:tc>
        <w:tc>
          <w:tcPr>
            <w:tcW w:w="5602" w:type="dxa"/>
            <w:vAlign w:val="center"/>
          </w:tcPr>
          <w:p w14:paraId="6113F059">
            <w:pPr>
              <w:pStyle w:val="71"/>
              <w:spacing w:before="24" w:after="24"/>
              <w:jc w:val="both"/>
              <w:rPr>
                <w:rFonts w:cs="Times New Roman"/>
              </w:rPr>
            </w:pPr>
            <w:r>
              <w:rPr>
                <w:rFonts w:cs="Times New Roman"/>
              </w:rPr>
              <w:t xml:space="preserve">不低于400万像素，内置GPU芯片；镜头：采用电动变焦镜头；支持人脸检测及抓拍，人脸抓拍上报时延≤1s；编码模式：支持H.265、H.264；补光类型：红外或白光，补光距离：不低于50m；接入标准：ONVIF、GB/T 28181 </w:t>
            </w:r>
          </w:p>
        </w:tc>
      </w:tr>
      <w:tr w14:paraId="6AE092CB">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626" w:hRule="atLeast"/>
        </w:trPr>
        <w:tc>
          <w:tcPr>
            <w:tcW w:w="786" w:type="dxa"/>
            <w:vAlign w:val="center"/>
          </w:tcPr>
          <w:p w14:paraId="5ACA2469">
            <w:pPr>
              <w:pStyle w:val="71"/>
              <w:spacing w:before="24" w:after="24"/>
              <w:rPr>
                <w:rFonts w:cs="Times New Roman"/>
              </w:rPr>
            </w:pPr>
            <w:r>
              <w:rPr>
                <w:rFonts w:cs="Times New Roman"/>
              </w:rPr>
              <w:t xml:space="preserve">2 </w:t>
            </w:r>
          </w:p>
        </w:tc>
        <w:tc>
          <w:tcPr>
            <w:tcW w:w="1276" w:type="dxa"/>
            <w:vMerge w:val="continue"/>
            <w:vAlign w:val="center"/>
          </w:tcPr>
          <w:p w14:paraId="17E3ABEF">
            <w:pPr>
              <w:pStyle w:val="71"/>
              <w:spacing w:before="24" w:after="24"/>
              <w:rPr>
                <w:rFonts w:cs="Times New Roman"/>
              </w:rPr>
            </w:pPr>
          </w:p>
        </w:tc>
        <w:tc>
          <w:tcPr>
            <w:tcW w:w="1579" w:type="dxa"/>
            <w:vAlign w:val="center"/>
          </w:tcPr>
          <w:p w14:paraId="1447B6DC">
            <w:pPr>
              <w:pStyle w:val="71"/>
              <w:spacing w:before="24" w:after="24"/>
              <w:rPr>
                <w:rFonts w:cs="Times New Roman"/>
              </w:rPr>
            </w:pPr>
            <w:r>
              <w:rPr>
                <w:rFonts w:cs="Times New Roman"/>
              </w:rPr>
              <w:t xml:space="preserve">考勤机 </w:t>
            </w:r>
          </w:p>
        </w:tc>
        <w:tc>
          <w:tcPr>
            <w:tcW w:w="5602" w:type="dxa"/>
            <w:vAlign w:val="center"/>
          </w:tcPr>
          <w:p w14:paraId="1E3ED0E5">
            <w:pPr>
              <w:pStyle w:val="71"/>
              <w:spacing w:before="24" w:after="24"/>
              <w:jc w:val="both"/>
              <w:rPr>
                <w:rFonts w:cs="Times New Roman"/>
              </w:rPr>
            </w:pPr>
            <w:r>
              <w:rPr>
                <w:rFonts w:cs="Times New Roman"/>
              </w:rPr>
              <w:t xml:space="preserve">不低于7英寸高清屏，宜具备触摸功能，不小于200万像素双目摄像头，支持照片、视频防假；支持不低于5000张人脸白名单；宜内置扬声器 </w:t>
            </w:r>
          </w:p>
        </w:tc>
      </w:tr>
      <w:tr w14:paraId="24FCF2DB">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1247" w:hRule="atLeast"/>
        </w:trPr>
        <w:tc>
          <w:tcPr>
            <w:tcW w:w="786" w:type="dxa"/>
            <w:vAlign w:val="center"/>
          </w:tcPr>
          <w:p w14:paraId="446C5907">
            <w:pPr>
              <w:pStyle w:val="71"/>
              <w:spacing w:before="24" w:after="24"/>
              <w:rPr>
                <w:rFonts w:cs="Times New Roman"/>
              </w:rPr>
            </w:pPr>
            <w:r>
              <w:rPr>
                <w:rFonts w:cs="Times New Roman"/>
              </w:rPr>
              <w:t xml:space="preserve">3 </w:t>
            </w:r>
          </w:p>
        </w:tc>
        <w:tc>
          <w:tcPr>
            <w:tcW w:w="1276" w:type="dxa"/>
            <w:vMerge w:val="restart"/>
            <w:vAlign w:val="center"/>
          </w:tcPr>
          <w:p w14:paraId="0BA02EF3">
            <w:pPr>
              <w:pStyle w:val="71"/>
              <w:spacing w:before="24" w:after="24"/>
              <w:rPr>
                <w:rFonts w:cs="Times New Roman"/>
              </w:rPr>
            </w:pPr>
            <w:r>
              <w:rPr>
                <w:rFonts w:cs="Times New Roman"/>
              </w:rPr>
              <w:t xml:space="preserve">门禁管理 </w:t>
            </w:r>
          </w:p>
        </w:tc>
        <w:tc>
          <w:tcPr>
            <w:tcW w:w="1579" w:type="dxa"/>
            <w:vAlign w:val="center"/>
          </w:tcPr>
          <w:p w14:paraId="1B35C5BE">
            <w:pPr>
              <w:pStyle w:val="71"/>
              <w:spacing w:before="24" w:after="24"/>
              <w:rPr>
                <w:rFonts w:cs="Times New Roman"/>
              </w:rPr>
            </w:pPr>
            <w:r>
              <w:rPr>
                <w:rFonts w:cs="Times New Roman"/>
              </w:rPr>
              <w:t xml:space="preserve">生物识别闸机 </w:t>
            </w:r>
          </w:p>
        </w:tc>
        <w:tc>
          <w:tcPr>
            <w:tcW w:w="5602" w:type="dxa"/>
            <w:vAlign w:val="center"/>
          </w:tcPr>
          <w:p w14:paraId="78EFDCF7">
            <w:pPr>
              <w:pStyle w:val="71"/>
              <w:spacing w:before="24" w:after="24"/>
              <w:jc w:val="both"/>
              <w:rPr>
                <w:rFonts w:cs="Times New Roman"/>
              </w:rPr>
            </w:pPr>
            <w:r>
              <w:rPr>
                <w:rFonts w:cs="Times New Roman"/>
              </w:rPr>
              <w:t xml:space="preserve">不低于7英寸高清屏；内置不低于200万双目摄像头，内置补光灯；支持人脸识别、人脸验证准确率不低于98%，1：N比对时间不低于0.4 s/人；人脸库容量不低于5000张；宜支持未佩戴安全帽预警提示功能；宜支持人体测温功能（30℃～45℃，温差精度±0.5℃） </w:t>
            </w:r>
          </w:p>
        </w:tc>
      </w:tr>
      <w:tr w14:paraId="3401795B">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35" w:hRule="atLeast"/>
        </w:trPr>
        <w:tc>
          <w:tcPr>
            <w:tcW w:w="786" w:type="dxa"/>
            <w:vAlign w:val="center"/>
          </w:tcPr>
          <w:p w14:paraId="16FD909B">
            <w:pPr>
              <w:pStyle w:val="71"/>
              <w:spacing w:before="24" w:after="24"/>
              <w:rPr>
                <w:rFonts w:cs="Times New Roman"/>
              </w:rPr>
            </w:pPr>
            <w:r>
              <w:rPr>
                <w:rFonts w:cs="Times New Roman"/>
              </w:rPr>
              <w:t xml:space="preserve">4 </w:t>
            </w:r>
          </w:p>
        </w:tc>
        <w:tc>
          <w:tcPr>
            <w:tcW w:w="1276" w:type="dxa"/>
            <w:vMerge w:val="continue"/>
            <w:vAlign w:val="center"/>
          </w:tcPr>
          <w:p w14:paraId="18A14402">
            <w:pPr>
              <w:pStyle w:val="71"/>
              <w:spacing w:before="24" w:after="24"/>
              <w:rPr>
                <w:rFonts w:cs="Times New Roman"/>
              </w:rPr>
            </w:pPr>
          </w:p>
        </w:tc>
        <w:tc>
          <w:tcPr>
            <w:tcW w:w="1579" w:type="dxa"/>
            <w:vAlign w:val="center"/>
          </w:tcPr>
          <w:p w14:paraId="7DBAAEF4">
            <w:pPr>
              <w:pStyle w:val="71"/>
              <w:spacing w:before="24" w:after="24"/>
              <w:rPr>
                <w:rFonts w:cs="Times New Roman"/>
              </w:rPr>
            </w:pPr>
            <w:r>
              <w:rPr>
                <w:rFonts w:cs="Times New Roman"/>
              </w:rPr>
              <w:t>身份证识别设备</w:t>
            </w:r>
          </w:p>
        </w:tc>
        <w:tc>
          <w:tcPr>
            <w:tcW w:w="5602" w:type="dxa"/>
            <w:vAlign w:val="center"/>
          </w:tcPr>
          <w:p w14:paraId="7DD6C99D">
            <w:pPr>
              <w:pStyle w:val="71"/>
              <w:spacing w:before="24" w:after="24"/>
              <w:jc w:val="both"/>
              <w:rPr>
                <w:rFonts w:cs="Times New Roman"/>
              </w:rPr>
            </w:pPr>
            <w:r>
              <w:rPr>
                <w:rFonts w:cs="Times New Roman"/>
              </w:rPr>
              <w:t>支持身份证信息及人脸采集；支持通过身份证信息与人脸信息进行认证一致核验；内置不低于200万双目摄像头，支持照片、视频防假；不低于7英寸高清显示屏；居民身份证阅读模块符合GA 450-2013标准；具备SDK和API第三方对接接口</w:t>
            </w:r>
          </w:p>
        </w:tc>
      </w:tr>
      <w:tr w14:paraId="3634906D">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35" w:hRule="atLeast"/>
        </w:trPr>
        <w:tc>
          <w:tcPr>
            <w:tcW w:w="786" w:type="dxa"/>
            <w:vAlign w:val="center"/>
          </w:tcPr>
          <w:p w14:paraId="3799727F">
            <w:pPr>
              <w:pStyle w:val="71"/>
              <w:spacing w:before="24" w:after="24"/>
              <w:rPr>
                <w:rFonts w:cs="Times New Roman"/>
              </w:rPr>
            </w:pPr>
            <w:r>
              <w:rPr>
                <w:rFonts w:cs="Times New Roman"/>
              </w:rPr>
              <w:t xml:space="preserve">5 </w:t>
            </w:r>
          </w:p>
        </w:tc>
        <w:tc>
          <w:tcPr>
            <w:tcW w:w="1276" w:type="dxa"/>
            <w:vMerge w:val="continue"/>
            <w:vAlign w:val="center"/>
          </w:tcPr>
          <w:p w14:paraId="14CA5532">
            <w:pPr>
              <w:pStyle w:val="71"/>
              <w:spacing w:before="24" w:after="24"/>
              <w:rPr>
                <w:rFonts w:cs="Times New Roman"/>
              </w:rPr>
            </w:pPr>
          </w:p>
        </w:tc>
        <w:tc>
          <w:tcPr>
            <w:tcW w:w="1579" w:type="dxa"/>
            <w:vAlign w:val="center"/>
          </w:tcPr>
          <w:p w14:paraId="31331796">
            <w:pPr>
              <w:pStyle w:val="71"/>
              <w:spacing w:before="24" w:after="24"/>
              <w:rPr>
                <w:rFonts w:cs="Times New Roman"/>
              </w:rPr>
            </w:pPr>
            <w:r>
              <w:rPr>
                <w:rFonts w:cs="Times New Roman"/>
              </w:rPr>
              <w:t>人脸识别摄像机</w:t>
            </w:r>
          </w:p>
        </w:tc>
        <w:tc>
          <w:tcPr>
            <w:tcW w:w="5602" w:type="dxa"/>
            <w:vAlign w:val="center"/>
          </w:tcPr>
          <w:p w14:paraId="101CA6B8">
            <w:pPr>
              <w:pStyle w:val="71"/>
              <w:spacing w:before="24" w:after="24"/>
              <w:jc w:val="both"/>
              <w:rPr>
                <w:rFonts w:cs="Times New Roman"/>
              </w:rPr>
            </w:pPr>
            <w:r>
              <w:rPr>
                <w:rFonts w:cs="Times New Roman"/>
              </w:rPr>
              <w:t xml:space="preserve">不低于400万像素，内置GPU芯片；镜头：采用电动变焦镜头；支持人脸检测及抓拍，人脸抓拍上报时延≤1 s；编码模式：支持H.265、H.264；补光类型：红外或白光，补光距离：不低于50m；接入标准：ONVIF、GB/T 28181 </w:t>
            </w:r>
          </w:p>
        </w:tc>
      </w:tr>
      <w:tr w14:paraId="15EBE5C9">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86" w:type="dxa"/>
            <w:vAlign w:val="center"/>
          </w:tcPr>
          <w:p w14:paraId="19956630">
            <w:pPr>
              <w:pStyle w:val="71"/>
              <w:spacing w:before="24" w:after="24"/>
              <w:rPr>
                <w:rFonts w:cs="Times New Roman"/>
              </w:rPr>
            </w:pPr>
            <w:r>
              <w:rPr>
                <w:rFonts w:cs="Times New Roman"/>
              </w:rPr>
              <w:t xml:space="preserve">6 </w:t>
            </w:r>
          </w:p>
        </w:tc>
        <w:tc>
          <w:tcPr>
            <w:tcW w:w="1276" w:type="dxa"/>
            <w:vAlign w:val="center"/>
          </w:tcPr>
          <w:p w14:paraId="137E08F2">
            <w:pPr>
              <w:pStyle w:val="71"/>
              <w:spacing w:before="24" w:after="24"/>
              <w:rPr>
                <w:rFonts w:cs="Times New Roman"/>
              </w:rPr>
            </w:pPr>
            <w:r>
              <w:rPr>
                <w:rFonts w:cs="Times New Roman"/>
              </w:rPr>
              <w:t xml:space="preserve">人员轨迹 </w:t>
            </w:r>
          </w:p>
        </w:tc>
        <w:tc>
          <w:tcPr>
            <w:tcW w:w="1579" w:type="dxa"/>
            <w:vMerge w:val="restart"/>
            <w:vAlign w:val="center"/>
          </w:tcPr>
          <w:p w14:paraId="6529E6A8">
            <w:pPr>
              <w:pStyle w:val="71"/>
              <w:spacing w:before="24" w:after="24"/>
              <w:rPr>
                <w:rFonts w:cs="Times New Roman"/>
              </w:rPr>
            </w:pPr>
            <w:r>
              <w:rPr>
                <w:rFonts w:cs="Times New Roman"/>
              </w:rPr>
              <w:t>人脸识别摄像机</w:t>
            </w:r>
          </w:p>
        </w:tc>
        <w:tc>
          <w:tcPr>
            <w:tcW w:w="5602" w:type="dxa"/>
            <w:vMerge w:val="restart"/>
            <w:vAlign w:val="center"/>
          </w:tcPr>
          <w:p w14:paraId="1382A475">
            <w:pPr>
              <w:pStyle w:val="71"/>
              <w:spacing w:before="24" w:after="24"/>
              <w:jc w:val="both"/>
              <w:rPr>
                <w:rFonts w:cs="Times New Roman"/>
              </w:rPr>
            </w:pPr>
            <w:r>
              <w:rPr>
                <w:rFonts w:cs="Times New Roman"/>
              </w:rPr>
              <w:t xml:space="preserve">不低于400万像素，内置GPU芯片；镜头：采用电动变焦镜头；支持人脸检测及抓拍，人脸抓拍上报时延≤1s；编码模式：支持H.265、H.264；补光类型：红外或白光，补光距离：不低于50 m；接入标准：ONVIF、GB/T 28181 </w:t>
            </w:r>
          </w:p>
        </w:tc>
      </w:tr>
      <w:tr w14:paraId="393FE24D">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86" w:type="dxa"/>
            <w:vAlign w:val="center"/>
          </w:tcPr>
          <w:p w14:paraId="15DB1C39">
            <w:pPr>
              <w:pStyle w:val="71"/>
              <w:spacing w:before="24" w:after="24"/>
              <w:rPr>
                <w:rFonts w:cs="Times New Roman"/>
              </w:rPr>
            </w:pPr>
            <w:r>
              <w:rPr>
                <w:rFonts w:cs="Times New Roman"/>
              </w:rPr>
              <w:t xml:space="preserve">7 </w:t>
            </w:r>
          </w:p>
        </w:tc>
        <w:tc>
          <w:tcPr>
            <w:tcW w:w="1276" w:type="dxa"/>
            <w:vAlign w:val="center"/>
          </w:tcPr>
          <w:p w14:paraId="11D68622">
            <w:pPr>
              <w:pStyle w:val="71"/>
              <w:spacing w:before="24" w:after="24"/>
              <w:rPr>
                <w:rFonts w:cs="Times New Roman"/>
              </w:rPr>
            </w:pPr>
            <w:r>
              <w:rPr>
                <w:rFonts w:cs="Times New Roman"/>
              </w:rPr>
              <w:t xml:space="preserve">人员在岗监测 </w:t>
            </w:r>
          </w:p>
        </w:tc>
        <w:tc>
          <w:tcPr>
            <w:tcW w:w="1579" w:type="dxa"/>
            <w:vMerge w:val="continue"/>
            <w:vAlign w:val="center"/>
          </w:tcPr>
          <w:p w14:paraId="6DE48E81">
            <w:pPr>
              <w:pStyle w:val="71"/>
              <w:spacing w:before="24" w:after="24"/>
              <w:rPr>
                <w:rFonts w:cs="Times New Roman"/>
              </w:rPr>
            </w:pPr>
          </w:p>
        </w:tc>
        <w:tc>
          <w:tcPr>
            <w:tcW w:w="5602" w:type="dxa"/>
            <w:vMerge w:val="continue"/>
            <w:vAlign w:val="center"/>
          </w:tcPr>
          <w:p w14:paraId="743BE7FE">
            <w:pPr>
              <w:pStyle w:val="71"/>
              <w:spacing w:before="24" w:after="24"/>
              <w:jc w:val="both"/>
              <w:rPr>
                <w:rFonts w:cs="Times New Roman"/>
              </w:rPr>
            </w:pPr>
          </w:p>
        </w:tc>
      </w:tr>
      <w:tr w14:paraId="419A63C1">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13" w:hRule="atLeast"/>
        </w:trPr>
        <w:tc>
          <w:tcPr>
            <w:tcW w:w="786" w:type="dxa"/>
            <w:vAlign w:val="center"/>
          </w:tcPr>
          <w:p w14:paraId="62D97485">
            <w:pPr>
              <w:pStyle w:val="71"/>
              <w:spacing w:before="24" w:after="24"/>
              <w:rPr>
                <w:rFonts w:cs="Times New Roman"/>
              </w:rPr>
            </w:pPr>
            <w:r>
              <w:rPr>
                <w:rFonts w:cs="Times New Roman"/>
              </w:rPr>
              <w:t xml:space="preserve">8 </w:t>
            </w:r>
          </w:p>
        </w:tc>
        <w:tc>
          <w:tcPr>
            <w:tcW w:w="1276" w:type="dxa"/>
            <w:vAlign w:val="center"/>
          </w:tcPr>
          <w:p w14:paraId="4B57F645">
            <w:pPr>
              <w:pStyle w:val="71"/>
              <w:spacing w:before="24" w:after="24"/>
              <w:rPr>
                <w:rFonts w:cs="Times New Roman"/>
              </w:rPr>
            </w:pPr>
            <w:r>
              <w:rPr>
                <w:rFonts w:cs="Times New Roman"/>
              </w:rPr>
              <w:t xml:space="preserve">人员闯入预警 </w:t>
            </w:r>
          </w:p>
        </w:tc>
        <w:tc>
          <w:tcPr>
            <w:tcW w:w="1579" w:type="dxa"/>
            <w:vMerge w:val="continue"/>
            <w:vAlign w:val="center"/>
          </w:tcPr>
          <w:p w14:paraId="088F9ABF">
            <w:pPr>
              <w:pStyle w:val="71"/>
              <w:spacing w:before="24" w:after="24"/>
              <w:rPr>
                <w:rFonts w:cs="Times New Roman"/>
              </w:rPr>
            </w:pPr>
          </w:p>
        </w:tc>
        <w:tc>
          <w:tcPr>
            <w:tcW w:w="5602" w:type="dxa"/>
            <w:vMerge w:val="continue"/>
            <w:vAlign w:val="center"/>
          </w:tcPr>
          <w:p w14:paraId="08305786">
            <w:pPr>
              <w:pStyle w:val="71"/>
              <w:spacing w:before="24" w:after="24"/>
              <w:jc w:val="both"/>
              <w:rPr>
                <w:rFonts w:cs="Times New Roman"/>
              </w:rPr>
            </w:pPr>
          </w:p>
        </w:tc>
      </w:tr>
      <w:tr w14:paraId="4A7D385D">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86" w:type="dxa"/>
            <w:vAlign w:val="center"/>
          </w:tcPr>
          <w:p w14:paraId="5AF1C62B">
            <w:pPr>
              <w:pStyle w:val="71"/>
              <w:spacing w:before="24" w:after="24"/>
              <w:rPr>
                <w:rFonts w:cs="Times New Roman"/>
              </w:rPr>
            </w:pPr>
            <w:r>
              <w:rPr>
                <w:rFonts w:cs="Times New Roman"/>
              </w:rPr>
              <w:t xml:space="preserve">9 </w:t>
            </w:r>
          </w:p>
        </w:tc>
        <w:tc>
          <w:tcPr>
            <w:tcW w:w="1276" w:type="dxa"/>
            <w:vAlign w:val="center"/>
          </w:tcPr>
          <w:p w14:paraId="084C3E69">
            <w:pPr>
              <w:pStyle w:val="71"/>
              <w:spacing w:before="24" w:after="24"/>
              <w:rPr>
                <w:rFonts w:cs="Times New Roman"/>
              </w:rPr>
            </w:pPr>
            <w:r>
              <w:rPr>
                <w:rFonts w:cs="Times New Roman"/>
              </w:rPr>
              <w:t xml:space="preserve">陌生人识别 </w:t>
            </w:r>
          </w:p>
        </w:tc>
        <w:tc>
          <w:tcPr>
            <w:tcW w:w="1579" w:type="dxa"/>
            <w:vMerge w:val="continue"/>
            <w:vAlign w:val="center"/>
          </w:tcPr>
          <w:p w14:paraId="7002ED00">
            <w:pPr>
              <w:pStyle w:val="71"/>
              <w:spacing w:before="24" w:after="24"/>
              <w:rPr>
                <w:rFonts w:cs="Times New Roman"/>
              </w:rPr>
            </w:pPr>
          </w:p>
        </w:tc>
        <w:tc>
          <w:tcPr>
            <w:tcW w:w="5602" w:type="dxa"/>
            <w:vMerge w:val="continue"/>
            <w:vAlign w:val="center"/>
          </w:tcPr>
          <w:p w14:paraId="3B4B154F">
            <w:pPr>
              <w:pStyle w:val="71"/>
              <w:spacing w:before="24" w:after="24"/>
              <w:jc w:val="both"/>
              <w:rPr>
                <w:rFonts w:cs="Times New Roman"/>
              </w:rPr>
            </w:pPr>
          </w:p>
        </w:tc>
      </w:tr>
      <w:tr w14:paraId="4AD5F933">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86" w:type="dxa"/>
            <w:vAlign w:val="center"/>
          </w:tcPr>
          <w:p w14:paraId="40E81842">
            <w:pPr>
              <w:pStyle w:val="71"/>
              <w:spacing w:before="24" w:after="24"/>
              <w:rPr>
                <w:rFonts w:cs="Times New Roman"/>
              </w:rPr>
            </w:pPr>
            <w:r>
              <w:rPr>
                <w:rFonts w:cs="Times New Roman"/>
              </w:rPr>
              <w:t xml:space="preserve">10 </w:t>
            </w:r>
          </w:p>
        </w:tc>
        <w:tc>
          <w:tcPr>
            <w:tcW w:w="1276" w:type="dxa"/>
            <w:vAlign w:val="center"/>
          </w:tcPr>
          <w:p w14:paraId="22F778F7">
            <w:pPr>
              <w:pStyle w:val="71"/>
              <w:spacing w:before="24" w:after="24"/>
              <w:rPr>
                <w:rFonts w:cs="Times New Roman"/>
              </w:rPr>
            </w:pPr>
            <w:r>
              <w:rPr>
                <w:rFonts w:cs="Times New Roman"/>
              </w:rPr>
              <w:t xml:space="preserve">安全巡查 </w:t>
            </w:r>
          </w:p>
        </w:tc>
        <w:tc>
          <w:tcPr>
            <w:tcW w:w="1579" w:type="dxa"/>
            <w:vMerge w:val="continue"/>
            <w:vAlign w:val="center"/>
          </w:tcPr>
          <w:p w14:paraId="0AE85F2B">
            <w:pPr>
              <w:pStyle w:val="71"/>
              <w:spacing w:before="24" w:after="24"/>
              <w:rPr>
                <w:rFonts w:cs="Times New Roman"/>
              </w:rPr>
            </w:pPr>
          </w:p>
        </w:tc>
        <w:tc>
          <w:tcPr>
            <w:tcW w:w="5602" w:type="dxa"/>
            <w:vMerge w:val="continue"/>
            <w:vAlign w:val="center"/>
          </w:tcPr>
          <w:p w14:paraId="0F97BA62">
            <w:pPr>
              <w:pStyle w:val="71"/>
              <w:spacing w:before="24" w:after="24"/>
              <w:jc w:val="both"/>
              <w:rPr>
                <w:rFonts w:cs="Times New Roman"/>
              </w:rPr>
            </w:pPr>
          </w:p>
        </w:tc>
      </w:tr>
      <w:tr w14:paraId="74F7E995">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86" w:type="dxa"/>
            <w:vAlign w:val="center"/>
          </w:tcPr>
          <w:p w14:paraId="0DC5EAD4">
            <w:pPr>
              <w:pStyle w:val="71"/>
              <w:spacing w:before="24" w:after="24"/>
              <w:rPr>
                <w:rFonts w:cs="Times New Roman"/>
              </w:rPr>
            </w:pPr>
            <w:r>
              <w:rPr>
                <w:rFonts w:cs="Times New Roman"/>
              </w:rPr>
              <w:t xml:space="preserve">11 </w:t>
            </w:r>
          </w:p>
        </w:tc>
        <w:tc>
          <w:tcPr>
            <w:tcW w:w="1276" w:type="dxa"/>
            <w:vMerge w:val="restart"/>
            <w:vAlign w:val="center"/>
          </w:tcPr>
          <w:p w14:paraId="7CCE7D8F">
            <w:pPr>
              <w:pStyle w:val="71"/>
              <w:spacing w:before="24" w:after="24"/>
              <w:rPr>
                <w:rFonts w:cs="Times New Roman"/>
              </w:rPr>
            </w:pPr>
            <w:r>
              <w:rPr>
                <w:rFonts w:cs="Times New Roman"/>
              </w:rPr>
              <w:t>施工升降机</w:t>
            </w:r>
          </w:p>
          <w:p w14:paraId="18B3E025">
            <w:pPr>
              <w:pStyle w:val="71"/>
              <w:spacing w:before="24" w:after="24"/>
              <w:rPr>
                <w:rFonts w:cs="Times New Roman"/>
              </w:rPr>
            </w:pPr>
            <w:r>
              <w:rPr>
                <w:rFonts w:cs="Times New Roman"/>
              </w:rPr>
              <w:t xml:space="preserve">安全监测 </w:t>
            </w:r>
          </w:p>
        </w:tc>
        <w:tc>
          <w:tcPr>
            <w:tcW w:w="1579" w:type="dxa"/>
            <w:vAlign w:val="center"/>
          </w:tcPr>
          <w:p w14:paraId="47AAB565">
            <w:pPr>
              <w:pStyle w:val="71"/>
              <w:spacing w:before="24" w:after="24"/>
              <w:rPr>
                <w:rFonts w:cs="Times New Roman"/>
              </w:rPr>
            </w:pPr>
            <w:r>
              <w:rPr>
                <w:rFonts w:cs="Times New Roman"/>
              </w:rPr>
              <w:t xml:space="preserve">高度传感器 </w:t>
            </w:r>
          </w:p>
        </w:tc>
        <w:tc>
          <w:tcPr>
            <w:tcW w:w="5602" w:type="dxa"/>
            <w:vAlign w:val="center"/>
          </w:tcPr>
          <w:p w14:paraId="7AFDC83E">
            <w:pPr>
              <w:pStyle w:val="71"/>
              <w:spacing w:before="24" w:after="24"/>
              <w:jc w:val="both"/>
              <w:rPr>
                <w:rFonts w:cs="Times New Roman"/>
              </w:rPr>
            </w:pPr>
            <w:r>
              <w:rPr>
                <w:rFonts w:cs="Times New Roman"/>
              </w:rPr>
              <w:t xml:space="preserve">量程为0 m～300 m，分辨率应≥0.1 m </w:t>
            </w:r>
          </w:p>
        </w:tc>
      </w:tr>
      <w:tr w14:paraId="7AC58842">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786" w:type="dxa"/>
            <w:vAlign w:val="center"/>
          </w:tcPr>
          <w:p w14:paraId="65C8EB18">
            <w:pPr>
              <w:pStyle w:val="71"/>
              <w:spacing w:before="24" w:after="24"/>
              <w:rPr>
                <w:rFonts w:cs="Times New Roman"/>
              </w:rPr>
            </w:pPr>
            <w:r>
              <w:rPr>
                <w:rFonts w:cs="Times New Roman"/>
              </w:rPr>
              <w:t xml:space="preserve">12 </w:t>
            </w:r>
          </w:p>
        </w:tc>
        <w:tc>
          <w:tcPr>
            <w:tcW w:w="1276" w:type="dxa"/>
            <w:vMerge w:val="continue"/>
            <w:vAlign w:val="center"/>
          </w:tcPr>
          <w:p w14:paraId="67EFDC32">
            <w:pPr>
              <w:pStyle w:val="71"/>
              <w:spacing w:before="24" w:after="24"/>
              <w:rPr>
                <w:rFonts w:cs="Times New Roman"/>
              </w:rPr>
            </w:pPr>
          </w:p>
        </w:tc>
        <w:tc>
          <w:tcPr>
            <w:tcW w:w="1579" w:type="dxa"/>
            <w:vAlign w:val="center"/>
          </w:tcPr>
          <w:p w14:paraId="77DF5A41">
            <w:pPr>
              <w:pStyle w:val="71"/>
              <w:spacing w:before="24" w:after="24"/>
              <w:rPr>
                <w:rFonts w:cs="Times New Roman"/>
              </w:rPr>
            </w:pPr>
            <w:r>
              <w:rPr>
                <w:rFonts w:cs="Times New Roman"/>
              </w:rPr>
              <w:t xml:space="preserve">倾角传感器 </w:t>
            </w:r>
          </w:p>
        </w:tc>
        <w:tc>
          <w:tcPr>
            <w:tcW w:w="5602" w:type="dxa"/>
            <w:vAlign w:val="center"/>
          </w:tcPr>
          <w:p w14:paraId="4E9665A0">
            <w:pPr>
              <w:pStyle w:val="71"/>
              <w:spacing w:before="24" w:after="24"/>
              <w:jc w:val="both"/>
              <w:rPr>
                <w:rFonts w:cs="Times New Roman"/>
              </w:rPr>
            </w:pPr>
            <w:r>
              <w:rPr>
                <w:rFonts w:cs="Times New Roman"/>
              </w:rPr>
              <w:t xml:space="preserve">量程应为0°～15°，精度应≥0.1° </w:t>
            </w:r>
          </w:p>
        </w:tc>
      </w:tr>
      <w:tr w14:paraId="622A8D18">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624" w:hRule="atLeast"/>
        </w:trPr>
        <w:tc>
          <w:tcPr>
            <w:tcW w:w="786" w:type="dxa"/>
            <w:vAlign w:val="center"/>
          </w:tcPr>
          <w:p w14:paraId="070943B7">
            <w:pPr>
              <w:pStyle w:val="71"/>
              <w:spacing w:before="24" w:after="24"/>
              <w:rPr>
                <w:rFonts w:cs="Times New Roman"/>
              </w:rPr>
            </w:pPr>
            <w:r>
              <w:rPr>
                <w:rFonts w:cs="Times New Roman"/>
              </w:rPr>
              <w:t xml:space="preserve">13 </w:t>
            </w:r>
          </w:p>
        </w:tc>
        <w:tc>
          <w:tcPr>
            <w:tcW w:w="1276" w:type="dxa"/>
            <w:vMerge w:val="restart"/>
            <w:vAlign w:val="center"/>
          </w:tcPr>
          <w:p w14:paraId="09778126">
            <w:pPr>
              <w:pStyle w:val="71"/>
              <w:spacing w:before="24" w:after="24"/>
              <w:rPr>
                <w:rFonts w:cs="Times New Roman"/>
              </w:rPr>
            </w:pPr>
            <w:r>
              <w:rPr>
                <w:rFonts w:cs="Times New Roman"/>
              </w:rPr>
              <w:t>塔式起重机</w:t>
            </w:r>
          </w:p>
          <w:p w14:paraId="48A25516">
            <w:pPr>
              <w:pStyle w:val="71"/>
              <w:spacing w:before="24" w:after="24"/>
              <w:rPr>
                <w:rFonts w:cs="Times New Roman"/>
              </w:rPr>
            </w:pPr>
            <w:r>
              <w:rPr>
                <w:rFonts w:cs="Times New Roman"/>
              </w:rPr>
              <w:t xml:space="preserve">安全监测 </w:t>
            </w:r>
          </w:p>
        </w:tc>
        <w:tc>
          <w:tcPr>
            <w:tcW w:w="1579" w:type="dxa"/>
            <w:vAlign w:val="center"/>
          </w:tcPr>
          <w:p w14:paraId="16A7155F">
            <w:pPr>
              <w:pStyle w:val="71"/>
              <w:spacing w:before="24" w:after="24"/>
              <w:rPr>
                <w:rFonts w:cs="Times New Roman"/>
              </w:rPr>
            </w:pPr>
            <w:r>
              <w:rPr>
                <w:rFonts w:cs="Times New Roman"/>
              </w:rPr>
              <w:t xml:space="preserve">塔式起重机监测设备 </w:t>
            </w:r>
          </w:p>
        </w:tc>
        <w:tc>
          <w:tcPr>
            <w:tcW w:w="5602" w:type="dxa"/>
            <w:vAlign w:val="center"/>
          </w:tcPr>
          <w:p w14:paraId="22EB91F7">
            <w:pPr>
              <w:pStyle w:val="71"/>
              <w:spacing w:before="24" w:after="24"/>
              <w:jc w:val="both"/>
              <w:rPr>
                <w:rFonts w:cs="Times New Roman"/>
              </w:rPr>
            </w:pPr>
          </w:p>
          <w:p w14:paraId="424B69E7">
            <w:pPr>
              <w:pStyle w:val="71"/>
              <w:spacing w:before="24" w:after="24"/>
              <w:jc w:val="both"/>
              <w:rPr>
                <w:rFonts w:cs="Times New Roman"/>
              </w:rPr>
            </w:pPr>
            <w:r>
              <w:rPr>
                <w:rFonts w:cs="Times New Roman"/>
              </w:rPr>
              <w:t>不低于7英寸高清屏；监测范围：塔机吊重0t～10t；幅度≤100m，精度应≥0.1m</w:t>
            </w:r>
          </w:p>
        </w:tc>
      </w:tr>
      <w:tr w14:paraId="6E3316E8">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625" w:hRule="atLeast"/>
        </w:trPr>
        <w:tc>
          <w:tcPr>
            <w:tcW w:w="786" w:type="dxa"/>
            <w:vAlign w:val="center"/>
          </w:tcPr>
          <w:p w14:paraId="1573CB2E">
            <w:pPr>
              <w:pStyle w:val="71"/>
              <w:spacing w:before="24" w:after="24"/>
              <w:rPr>
                <w:rFonts w:cs="Times New Roman"/>
              </w:rPr>
            </w:pPr>
            <w:r>
              <w:rPr>
                <w:rFonts w:cs="Times New Roman"/>
              </w:rPr>
              <w:t xml:space="preserve">14 </w:t>
            </w:r>
          </w:p>
        </w:tc>
        <w:tc>
          <w:tcPr>
            <w:tcW w:w="1276" w:type="dxa"/>
            <w:vMerge w:val="continue"/>
            <w:vAlign w:val="center"/>
          </w:tcPr>
          <w:p w14:paraId="1646680C">
            <w:pPr>
              <w:pStyle w:val="71"/>
              <w:spacing w:before="24" w:after="24"/>
              <w:rPr>
                <w:rFonts w:cs="Times New Roman"/>
              </w:rPr>
            </w:pPr>
          </w:p>
        </w:tc>
        <w:tc>
          <w:tcPr>
            <w:tcW w:w="1579" w:type="dxa"/>
            <w:vAlign w:val="center"/>
          </w:tcPr>
          <w:p w14:paraId="26126103">
            <w:pPr>
              <w:pStyle w:val="71"/>
              <w:spacing w:before="24" w:after="24"/>
              <w:rPr>
                <w:rFonts w:cs="Times New Roman"/>
              </w:rPr>
            </w:pPr>
            <w:r>
              <w:rPr>
                <w:rFonts w:cs="Times New Roman"/>
              </w:rPr>
              <w:t>吊钩可视化相机</w:t>
            </w:r>
          </w:p>
        </w:tc>
        <w:tc>
          <w:tcPr>
            <w:tcW w:w="5602" w:type="dxa"/>
            <w:vAlign w:val="center"/>
          </w:tcPr>
          <w:p w14:paraId="2A2082F6">
            <w:pPr>
              <w:pStyle w:val="71"/>
              <w:spacing w:before="24" w:after="24"/>
              <w:jc w:val="both"/>
              <w:rPr>
                <w:rFonts w:cs="Times New Roman"/>
              </w:rPr>
            </w:pPr>
            <w:r>
              <w:rPr>
                <w:rFonts w:cs="Times New Roman"/>
              </w:rPr>
              <w:t>不低于200万像素，不低于18倍光学变焦；编码模式：支持H.265、H.264；补</w:t>
            </w:r>
          </w:p>
          <w:p w14:paraId="3C4CED29">
            <w:pPr>
              <w:pStyle w:val="71"/>
              <w:spacing w:before="24" w:after="24"/>
              <w:jc w:val="both"/>
              <w:rPr>
                <w:rFonts w:cs="Times New Roman"/>
              </w:rPr>
            </w:pPr>
            <w:r>
              <w:rPr>
                <w:rFonts w:cs="Times New Roman"/>
              </w:rPr>
              <w:t xml:space="preserve">光类型：红外或白光，补光距离：不低于50 m；接入标准：ONVIF、GB/T 28181 </w:t>
            </w:r>
          </w:p>
        </w:tc>
      </w:tr>
      <w:tr w14:paraId="2CC66E49">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06" w:hRule="atLeast"/>
        </w:trPr>
        <w:tc>
          <w:tcPr>
            <w:tcW w:w="786" w:type="dxa"/>
            <w:vAlign w:val="center"/>
          </w:tcPr>
          <w:p w14:paraId="3902BA64">
            <w:pPr>
              <w:pStyle w:val="71"/>
              <w:spacing w:before="24" w:after="24"/>
              <w:rPr>
                <w:rFonts w:cs="Times New Roman"/>
              </w:rPr>
            </w:pPr>
            <w:r>
              <w:rPr>
                <w:rFonts w:cs="Times New Roman"/>
              </w:rPr>
              <w:t xml:space="preserve">15 </w:t>
            </w:r>
          </w:p>
        </w:tc>
        <w:tc>
          <w:tcPr>
            <w:tcW w:w="1276" w:type="dxa"/>
            <w:vMerge w:val="restart"/>
            <w:vAlign w:val="center"/>
          </w:tcPr>
          <w:p w14:paraId="38B56EC3">
            <w:pPr>
              <w:pStyle w:val="71"/>
              <w:spacing w:before="24" w:after="24"/>
              <w:rPr>
                <w:rFonts w:cs="Times New Roman"/>
              </w:rPr>
            </w:pPr>
            <w:r>
              <w:rPr>
                <w:rFonts w:cs="Times New Roman"/>
              </w:rPr>
              <w:t>附着升降作业安全防护平台监测</w:t>
            </w:r>
          </w:p>
        </w:tc>
        <w:tc>
          <w:tcPr>
            <w:tcW w:w="1579" w:type="dxa"/>
            <w:vAlign w:val="center"/>
          </w:tcPr>
          <w:p w14:paraId="2366FFEA">
            <w:pPr>
              <w:pStyle w:val="71"/>
              <w:spacing w:before="24" w:after="24"/>
              <w:rPr>
                <w:rFonts w:cs="Times New Roman"/>
              </w:rPr>
            </w:pPr>
            <w:r>
              <w:rPr>
                <w:rFonts w:cs="Times New Roman"/>
              </w:rPr>
              <w:t xml:space="preserve">高度传感器 </w:t>
            </w:r>
          </w:p>
        </w:tc>
        <w:tc>
          <w:tcPr>
            <w:tcW w:w="5602" w:type="dxa"/>
            <w:vAlign w:val="center"/>
          </w:tcPr>
          <w:p w14:paraId="41747C04">
            <w:pPr>
              <w:pStyle w:val="71"/>
              <w:spacing w:before="24" w:after="24"/>
              <w:jc w:val="both"/>
              <w:rPr>
                <w:rFonts w:cs="Times New Roman"/>
              </w:rPr>
            </w:pPr>
            <w:r>
              <w:rPr>
                <w:rFonts w:cs="Times New Roman"/>
              </w:rPr>
              <w:t xml:space="preserve">量程为0 m～300 m，分辨率应≥0.1 m </w:t>
            </w:r>
          </w:p>
        </w:tc>
      </w:tr>
      <w:tr w14:paraId="73E78DAC">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01" w:hRule="atLeast"/>
        </w:trPr>
        <w:tc>
          <w:tcPr>
            <w:tcW w:w="786" w:type="dxa"/>
            <w:vAlign w:val="center"/>
          </w:tcPr>
          <w:p w14:paraId="5381AF46">
            <w:pPr>
              <w:pStyle w:val="71"/>
              <w:spacing w:before="24" w:after="24"/>
              <w:rPr>
                <w:rFonts w:cs="Times New Roman"/>
              </w:rPr>
            </w:pPr>
            <w:r>
              <w:rPr>
                <w:rFonts w:cs="Times New Roman"/>
              </w:rPr>
              <w:t xml:space="preserve">16 </w:t>
            </w:r>
          </w:p>
        </w:tc>
        <w:tc>
          <w:tcPr>
            <w:tcW w:w="1276" w:type="dxa"/>
            <w:vMerge w:val="continue"/>
            <w:vAlign w:val="center"/>
          </w:tcPr>
          <w:p w14:paraId="312DF895">
            <w:pPr>
              <w:pStyle w:val="71"/>
              <w:spacing w:before="24" w:after="24"/>
              <w:rPr>
                <w:rFonts w:cs="Times New Roman"/>
              </w:rPr>
            </w:pPr>
          </w:p>
        </w:tc>
        <w:tc>
          <w:tcPr>
            <w:tcW w:w="1579" w:type="dxa"/>
            <w:vAlign w:val="center"/>
          </w:tcPr>
          <w:p w14:paraId="4BA63209">
            <w:pPr>
              <w:pStyle w:val="71"/>
              <w:spacing w:before="24" w:after="24"/>
              <w:rPr>
                <w:rFonts w:cs="Times New Roman"/>
              </w:rPr>
            </w:pPr>
            <w:r>
              <w:rPr>
                <w:rFonts w:cs="Times New Roman"/>
              </w:rPr>
              <w:t xml:space="preserve">倾角传感器 </w:t>
            </w:r>
          </w:p>
        </w:tc>
        <w:tc>
          <w:tcPr>
            <w:tcW w:w="5602" w:type="dxa"/>
            <w:vAlign w:val="center"/>
          </w:tcPr>
          <w:p w14:paraId="41DA6F2B">
            <w:pPr>
              <w:pStyle w:val="71"/>
              <w:spacing w:before="24" w:after="24"/>
              <w:jc w:val="both"/>
              <w:rPr>
                <w:rFonts w:cs="Times New Roman"/>
              </w:rPr>
            </w:pPr>
            <w:r>
              <w:rPr>
                <w:rFonts w:cs="Times New Roman"/>
              </w:rPr>
              <w:t>量程应为0°～15°，精度应≥0.1°</w:t>
            </w:r>
          </w:p>
        </w:tc>
      </w:tr>
      <w:tr w14:paraId="1A7A659D">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86" w:type="dxa"/>
            <w:vAlign w:val="center"/>
          </w:tcPr>
          <w:p w14:paraId="15330383">
            <w:pPr>
              <w:pStyle w:val="71"/>
              <w:spacing w:before="24" w:after="24"/>
              <w:rPr>
                <w:rFonts w:cs="Times New Roman"/>
              </w:rPr>
            </w:pPr>
            <w:r>
              <w:rPr>
                <w:rFonts w:cs="Times New Roman"/>
              </w:rPr>
              <w:t xml:space="preserve">17 </w:t>
            </w:r>
          </w:p>
        </w:tc>
        <w:tc>
          <w:tcPr>
            <w:tcW w:w="1276" w:type="dxa"/>
            <w:vMerge w:val="continue"/>
            <w:vAlign w:val="center"/>
          </w:tcPr>
          <w:p w14:paraId="611A6E29">
            <w:pPr>
              <w:pStyle w:val="71"/>
              <w:spacing w:before="24" w:after="24"/>
              <w:rPr>
                <w:rFonts w:cs="Times New Roman"/>
              </w:rPr>
            </w:pPr>
          </w:p>
        </w:tc>
        <w:tc>
          <w:tcPr>
            <w:tcW w:w="1579" w:type="dxa"/>
            <w:vAlign w:val="center"/>
          </w:tcPr>
          <w:p w14:paraId="4E01163A">
            <w:pPr>
              <w:pStyle w:val="71"/>
              <w:spacing w:before="24" w:after="24"/>
              <w:rPr>
                <w:rFonts w:cs="Times New Roman"/>
              </w:rPr>
            </w:pPr>
            <w:r>
              <w:rPr>
                <w:rFonts w:cs="Times New Roman"/>
              </w:rPr>
              <w:t xml:space="preserve">升降式安全防护平台监测主机 </w:t>
            </w:r>
          </w:p>
        </w:tc>
        <w:tc>
          <w:tcPr>
            <w:tcW w:w="5602" w:type="dxa"/>
            <w:vAlign w:val="center"/>
          </w:tcPr>
          <w:p w14:paraId="1ABE882A">
            <w:pPr>
              <w:pStyle w:val="71"/>
              <w:spacing w:before="24" w:after="24"/>
              <w:jc w:val="both"/>
              <w:rPr>
                <w:rFonts w:cs="Times New Roman"/>
              </w:rPr>
            </w:pPr>
            <w:r>
              <w:rPr>
                <w:rFonts w:cs="Times New Roman"/>
              </w:rPr>
              <w:t xml:space="preserve">内置UPS模块，至少包含以下接口：电源接口、高度传感器接口、重量传感器接口、倾角传感器接口、显示屏接口、前门接口、后门接口、人脸识别器接口制动控制接口 </w:t>
            </w:r>
          </w:p>
        </w:tc>
      </w:tr>
      <w:tr w14:paraId="5FC65CDA">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86" w:type="dxa"/>
            <w:vAlign w:val="center"/>
          </w:tcPr>
          <w:p w14:paraId="6498EDE8">
            <w:pPr>
              <w:pStyle w:val="71"/>
              <w:spacing w:before="24" w:after="24"/>
              <w:rPr>
                <w:rFonts w:cs="Times New Roman"/>
              </w:rPr>
            </w:pPr>
            <w:r>
              <w:rPr>
                <w:rFonts w:cs="Times New Roman"/>
              </w:rPr>
              <w:t xml:space="preserve">18 </w:t>
            </w:r>
          </w:p>
        </w:tc>
        <w:tc>
          <w:tcPr>
            <w:tcW w:w="1276" w:type="dxa"/>
            <w:vMerge w:val="restart"/>
            <w:vAlign w:val="center"/>
          </w:tcPr>
          <w:p w14:paraId="59EBCE1F">
            <w:pPr>
              <w:pStyle w:val="71"/>
              <w:spacing w:before="24" w:after="24"/>
              <w:rPr>
                <w:rFonts w:cs="Times New Roman"/>
              </w:rPr>
            </w:pPr>
            <w:r>
              <w:rPr>
                <w:rFonts w:cs="Times New Roman"/>
              </w:rPr>
              <w:t>卸料平台</w:t>
            </w:r>
          </w:p>
          <w:p w14:paraId="464F6A3B">
            <w:pPr>
              <w:pStyle w:val="71"/>
              <w:spacing w:before="24" w:after="24"/>
              <w:rPr>
                <w:rFonts w:cs="Times New Roman"/>
              </w:rPr>
            </w:pPr>
            <w:r>
              <w:rPr>
                <w:rFonts w:cs="Times New Roman"/>
              </w:rPr>
              <w:t xml:space="preserve">安全监测 </w:t>
            </w:r>
          </w:p>
        </w:tc>
        <w:tc>
          <w:tcPr>
            <w:tcW w:w="1579" w:type="dxa"/>
            <w:vAlign w:val="center"/>
          </w:tcPr>
          <w:p w14:paraId="6FAB33A5">
            <w:pPr>
              <w:pStyle w:val="71"/>
              <w:spacing w:before="24" w:after="24"/>
              <w:rPr>
                <w:rFonts w:cs="Times New Roman"/>
              </w:rPr>
            </w:pPr>
            <w:r>
              <w:rPr>
                <w:rFonts w:cs="Times New Roman"/>
              </w:rPr>
              <w:t>卸料平台</w:t>
            </w:r>
          </w:p>
          <w:p w14:paraId="15E93575">
            <w:pPr>
              <w:pStyle w:val="71"/>
              <w:spacing w:before="24" w:after="24"/>
              <w:rPr>
                <w:rFonts w:cs="Times New Roman"/>
              </w:rPr>
            </w:pPr>
            <w:r>
              <w:rPr>
                <w:rFonts w:cs="Times New Roman"/>
              </w:rPr>
              <w:t xml:space="preserve">安全监测主机 </w:t>
            </w:r>
          </w:p>
        </w:tc>
        <w:tc>
          <w:tcPr>
            <w:tcW w:w="5602" w:type="dxa"/>
            <w:vAlign w:val="center"/>
          </w:tcPr>
          <w:p w14:paraId="2EB48E5D">
            <w:pPr>
              <w:pStyle w:val="71"/>
              <w:spacing w:before="24" w:after="24"/>
              <w:jc w:val="both"/>
              <w:rPr>
                <w:rFonts w:cs="Times New Roman"/>
              </w:rPr>
            </w:pPr>
            <w:r>
              <w:rPr>
                <w:rFonts w:cs="Times New Roman"/>
              </w:rPr>
              <w:t xml:space="preserve">电池容量应≥10Ah；工作环境：温度范围：-20℃～70℃，工作湿度：10%RH～90%RH；功耗：≤10 W；防护等级：≥IP65 ；警报灯：≥60dB（A） </w:t>
            </w:r>
          </w:p>
        </w:tc>
      </w:tr>
      <w:tr w14:paraId="5E345097">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86" w:type="dxa"/>
            <w:vAlign w:val="center"/>
          </w:tcPr>
          <w:p w14:paraId="57E4F395">
            <w:pPr>
              <w:pStyle w:val="71"/>
              <w:spacing w:before="24" w:after="24"/>
              <w:rPr>
                <w:rFonts w:cs="Times New Roman"/>
              </w:rPr>
            </w:pPr>
            <w:r>
              <w:rPr>
                <w:rFonts w:cs="Times New Roman"/>
              </w:rPr>
              <w:t xml:space="preserve">19 </w:t>
            </w:r>
          </w:p>
        </w:tc>
        <w:tc>
          <w:tcPr>
            <w:tcW w:w="1276" w:type="dxa"/>
            <w:vMerge w:val="continue"/>
            <w:vAlign w:val="center"/>
          </w:tcPr>
          <w:p w14:paraId="0561738C">
            <w:pPr>
              <w:pStyle w:val="71"/>
              <w:spacing w:before="24" w:after="24"/>
              <w:rPr>
                <w:rFonts w:cs="Times New Roman"/>
              </w:rPr>
            </w:pPr>
          </w:p>
        </w:tc>
        <w:tc>
          <w:tcPr>
            <w:tcW w:w="1579" w:type="dxa"/>
            <w:vAlign w:val="center"/>
          </w:tcPr>
          <w:p w14:paraId="069A823A">
            <w:pPr>
              <w:pStyle w:val="71"/>
              <w:spacing w:before="24" w:after="24"/>
              <w:rPr>
                <w:rFonts w:cs="Times New Roman"/>
              </w:rPr>
            </w:pPr>
            <w:r>
              <w:rPr>
                <w:rFonts w:cs="Times New Roman"/>
              </w:rPr>
              <w:t xml:space="preserve">重量传感器 </w:t>
            </w:r>
          </w:p>
        </w:tc>
        <w:tc>
          <w:tcPr>
            <w:tcW w:w="5602" w:type="dxa"/>
            <w:vAlign w:val="center"/>
          </w:tcPr>
          <w:p w14:paraId="70829FAB">
            <w:pPr>
              <w:pStyle w:val="71"/>
              <w:spacing w:before="24" w:after="24"/>
              <w:jc w:val="both"/>
              <w:rPr>
                <w:rFonts w:cs="Times New Roman"/>
              </w:rPr>
            </w:pPr>
            <w:r>
              <w:rPr>
                <w:rFonts w:cs="Times New Roman"/>
              </w:rPr>
              <w:t xml:space="preserve">量程宜0 T～2 T，分辨率0.01 T，工作温度宜-20℃～70℃ </w:t>
            </w:r>
          </w:p>
        </w:tc>
      </w:tr>
      <w:tr w14:paraId="7972DF41">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86" w:type="dxa"/>
            <w:vAlign w:val="center"/>
          </w:tcPr>
          <w:p w14:paraId="1804993C">
            <w:pPr>
              <w:pStyle w:val="71"/>
              <w:spacing w:before="24" w:after="24"/>
              <w:rPr>
                <w:rFonts w:cs="Times New Roman"/>
              </w:rPr>
            </w:pPr>
            <w:r>
              <w:rPr>
                <w:rFonts w:cs="Times New Roman"/>
              </w:rPr>
              <w:t xml:space="preserve">20 </w:t>
            </w:r>
          </w:p>
        </w:tc>
        <w:tc>
          <w:tcPr>
            <w:tcW w:w="1276" w:type="dxa"/>
            <w:vMerge w:val="restart"/>
            <w:vAlign w:val="center"/>
          </w:tcPr>
          <w:p w14:paraId="03774740">
            <w:pPr>
              <w:pStyle w:val="71"/>
              <w:spacing w:before="24" w:after="24"/>
              <w:rPr>
                <w:rFonts w:cs="Times New Roman"/>
              </w:rPr>
            </w:pPr>
            <w:r>
              <w:rPr>
                <w:rFonts w:cs="Times New Roman"/>
              </w:rPr>
              <w:t>深基坑</w:t>
            </w:r>
          </w:p>
          <w:p w14:paraId="11F51B6C">
            <w:pPr>
              <w:pStyle w:val="71"/>
              <w:spacing w:before="24" w:after="24"/>
              <w:rPr>
                <w:rFonts w:cs="Times New Roman"/>
              </w:rPr>
            </w:pPr>
            <w:r>
              <w:rPr>
                <w:rFonts w:cs="Times New Roman"/>
              </w:rPr>
              <w:t>安全监测</w:t>
            </w:r>
          </w:p>
        </w:tc>
        <w:tc>
          <w:tcPr>
            <w:tcW w:w="1579" w:type="dxa"/>
            <w:vAlign w:val="center"/>
          </w:tcPr>
          <w:p w14:paraId="0329C86B">
            <w:pPr>
              <w:pStyle w:val="71"/>
              <w:spacing w:before="24" w:after="24"/>
              <w:rPr>
                <w:rFonts w:cs="Times New Roman"/>
              </w:rPr>
            </w:pPr>
          </w:p>
          <w:p w14:paraId="74FA5D9A">
            <w:pPr>
              <w:pStyle w:val="71"/>
              <w:spacing w:before="24" w:after="24"/>
              <w:rPr>
                <w:rFonts w:cs="Times New Roman"/>
              </w:rPr>
            </w:pPr>
            <w:r>
              <w:rPr>
                <w:rFonts w:cs="Times New Roman"/>
              </w:rPr>
              <w:t>激光位移</w:t>
            </w:r>
          </w:p>
          <w:p w14:paraId="43E5C7A5">
            <w:pPr>
              <w:pStyle w:val="71"/>
              <w:spacing w:before="24" w:after="24"/>
              <w:rPr>
                <w:rFonts w:cs="Times New Roman"/>
              </w:rPr>
            </w:pPr>
            <w:r>
              <w:rPr>
                <w:rFonts w:cs="Times New Roman"/>
              </w:rPr>
              <w:t>传感器</w:t>
            </w:r>
          </w:p>
        </w:tc>
        <w:tc>
          <w:tcPr>
            <w:tcW w:w="5602" w:type="dxa"/>
            <w:vAlign w:val="center"/>
          </w:tcPr>
          <w:p w14:paraId="6128E8AB">
            <w:pPr>
              <w:pStyle w:val="71"/>
              <w:spacing w:before="24" w:after="24"/>
              <w:jc w:val="both"/>
              <w:rPr>
                <w:rFonts w:cs="Times New Roman"/>
              </w:rPr>
            </w:pPr>
            <w:r>
              <w:rPr>
                <w:rFonts w:cs="Times New Roman"/>
              </w:rPr>
              <w:t xml:space="preserve">有效测距：0 m～50 m；位移量程：0 mm～100 mm；水平位移精度：±0.5 mm；垂直位移精度：±0.1 mm；供电：电池供电；通讯方式：4G/5G </w:t>
            </w:r>
          </w:p>
        </w:tc>
      </w:tr>
      <w:tr w14:paraId="088C6081">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86" w:type="dxa"/>
            <w:vAlign w:val="center"/>
          </w:tcPr>
          <w:p w14:paraId="46EBB979">
            <w:pPr>
              <w:pStyle w:val="71"/>
              <w:spacing w:before="24" w:after="24"/>
              <w:rPr>
                <w:rFonts w:cs="Times New Roman"/>
              </w:rPr>
            </w:pPr>
            <w:r>
              <w:rPr>
                <w:rFonts w:cs="Times New Roman"/>
              </w:rPr>
              <w:t xml:space="preserve">21 </w:t>
            </w:r>
          </w:p>
        </w:tc>
        <w:tc>
          <w:tcPr>
            <w:tcW w:w="1276" w:type="dxa"/>
            <w:vMerge w:val="continue"/>
            <w:vAlign w:val="center"/>
          </w:tcPr>
          <w:p w14:paraId="5C373058">
            <w:pPr>
              <w:pStyle w:val="71"/>
              <w:spacing w:before="24" w:after="24"/>
              <w:rPr>
                <w:rFonts w:cs="Times New Roman"/>
              </w:rPr>
            </w:pPr>
          </w:p>
        </w:tc>
        <w:tc>
          <w:tcPr>
            <w:tcW w:w="1579" w:type="dxa"/>
            <w:vAlign w:val="center"/>
          </w:tcPr>
          <w:p w14:paraId="4C46948F">
            <w:pPr>
              <w:pStyle w:val="71"/>
              <w:spacing w:before="24" w:after="24"/>
              <w:rPr>
                <w:rFonts w:cs="Times New Roman"/>
              </w:rPr>
            </w:pPr>
            <w:r>
              <w:rPr>
                <w:rFonts w:cs="Times New Roman"/>
              </w:rPr>
              <w:t>接触式位移</w:t>
            </w:r>
          </w:p>
          <w:p w14:paraId="4ABDFDB4">
            <w:pPr>
              <w:pStyle w:val="71"/>
              <w:spacing w:before="24" w:after="24"/>
              <w:rPr>
                <w:rFonts w:cs="Times New Roman"/>
              </w:rPr>
            </w:pPr>
            <w:r>
              <w:rPr>
                <w:rFonts w:cs="Times New Roman"/>
              </w:rPr>
              <w:t xml:space="preserve">传感器 </w:t>
            </w:r>
          </w:p>
        </w:tc>
        <w:tc>
          <w:tcPr>
            <w:tcW w:w="5602" w:type="dxa"/>
            <w:vAlign w:val="center"/>
          </w:tcPr>
          <w:p w14:paraId="75BAAE5D">
            <w:pPr>
              <w:pStyle w:val="71"/>
              <w:spacing w:before="24" w:after="24"/>
              <w:jc w:val="both"/>
              <w:rPr>
                <w:rFonts w:cs="Times New Roman"/>
              </w:rPr>
            </w:pPr>
          </w:p>
          <w:p w14:paraId="15C02D09">
            <w:pPr>
              <w:pStyle w:val="71"/>
              <w:spacing w:before="24" w:after="24"/>
              <w:jc w:val="both"/>
              <w:rPr>
                <w:rFonts w:cs="Times New Roman"/>
              </w:rPr>
            </w:pPr>
            <w:r>
              <w:rPr>
                <w:rFonts w:cs="Times New Roman"/>
              </w:rPr>
              <w:t xml:space="preserve">测量精度：优于0.1 mm/200 mm；通讯方式：4G/5G </w:t>
            </w:r>
          </w:p>
        </w:tc>
      </w:tr>
      <w:tr w14:paraId="3CEA1F61">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86" w:type="dxa"/>
            <w:vAlign w:val="center"/>
          </w:tcPr>
          <w:p w14:paraId="0C5EEB1D">
            <w:pPr>
              <w:pStyle w:val="71"/>
              <w:spacing w:before="24" w:after="24"/>
              <w:rPr>
                <w:rFonts w:cs="Times New Roman"/>
              </w:rPr>
            </w:pPr>
            <w:r>
              <w:rPr>
                <w:rFonts w:cs="Times New Roman"/>
              </w:rPr>
              <w:t xml:space="preserve">22 </w:t>
            </w:r>
          </w:p>
        </w:tc>
        <w:tc>
          <w:tcPr>
            <w:tcW w:w="1276" w:type="dxa"/>
            <w:vMerge w:val="continue"/>
            <w:vAlign w:val="center"/>
          </w:tcPr>
          <w:p w14:paraId="306E7E7E">
            <w:pPr>
              <w:pStyle w:val="71"/>
              <w:spacing w:before="24" w:after="24"/>
              <w:rPr>
                <w:rFonts w:cs="Times New Roman"/>
              </w:rPr>
            </w:pPr>
          </w:p>
        </w:tc>
        <w:tc>
          <w:tcPr>
            <w:tcW w:w="1579" w:type="dxa"/>
            <w:vAlign w:val="center"/>
          </w:tcPr>
          <w:p w14:paraId="19F78224">
            <w:pPr>
              <w:pStyle w:val="71"/>
              <w:spacing w:before="24" w:after="24"/>
              <w:rPr>
                <w:rFonts w:cs="Times New Roman"/>
              </w:rPr>
            </w:pPr>
            <w:r>
              <w:rPr>
                <w:rFonts w:cs="Times New Roman"/>
              </w:rPr>
              <w:t xml:space="preserve">应变传感器 </w:t>
            </w:r>
          </w:p>
        </w:tc>
        <w:tc>
          <w:tcPr>
            <w:tcW w:w="5602" w:type="dxa"/>
            <w:vAlign w:val="center"/>
          </w:tcPr>
          <w:p w14:paraId="474854CD">
            <w:pPr>
              <w:pStyle w:val="71"/>
              <w:spacing w:before="24" w:after="24"/>
              <w:jc w:val="both"/>
              <w:rPr>
                <w:rFonts w:cs="Times New Roman"/>
              </w:rPr>
            </w:pPr>
            <w:r>
              <w:rPr>
                <w:rFonts w:cs="Times New Roman"/>
              </w:rPr>
              <w:t xml:space="preserve">测量范围-1500με～1500με，分辨率：1με；工作温度：-20℃～70℃ </w:t>
            </w:r>
          </w:p>
        </w:tc>
      </w:tr>
      <w:tr w14:paraId="39B7D087">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86" w:type="dxa"/>
            <w:vAlign w:val="center"/>
          </w:tcPr>
          <w:p w14:paraId="7CC29D15">
            <w:pPr>
              <w:pStyle w:val="71"/>
              <w:spacing w:before="24" w:after="24"/>
              <w:rPr>
                <w:rFonts w:cs="Times New Roman"/>
              </w:rPr>
            </w:pPr>
            <w:r>
              <w:rPr>
                <w:rFonts w:cs="Times New Roman"/>
              </w:rPr>
              <w:t xml:space="preserve">23 </w:t>
            </w:r>
          </w:p>
        </w:tc>
        <w:tc>
          <w:tcPr>
            <w:tcW w:w="1276" w:type="dxa"/>
            <w:vMerge w:val="continue"/>
            <w:vAlign w:val="center"/>
          </w:tcPr>
          <w:p w14:paraId="51112E75">
            <w:pPr>
              <w:pStyle w:val="71"/>
              <w:spacing w:before="24" w:after="24"/>
              <w:rPr>
                <w:rFonts w:cs="Times New Roman"/>
              </w:rPr>
            </w:pPr>
          </w:p>
        </w:tc>
        <w:tc>
          <w:tcPr>
            <w:tcW w:w="1579" w:type="dxa"/>
            <w:vAlign w:val="center"/>
          </w:tcPr>
          <w:p w14:paraId="1B3013DA">
            <w:pPr>
              <w:pStyle w:val="71"/>
              <w:spacing w:before="24" w:after="24"/>
              <w:rPr>
                <w:rFonts w:cs="Times New Roman"/>
              </w:rPr>
            </w:pPr>
            <w:r>
              <w:rPr>
                <w:rFonts w:cs="Times New Roman"/>
              </w:rPr>
              <w:t xml:space="preserve">轴力（反力）传感器 </w:t>
            </w:r>
          </w:p>
        </w:tc>
        <w:tc>
          <w:tcPr>
            <w:tcW w:w="5602" w:type="dxa"/>
            <w:vAlign w:val="center"/>
          </w:tcPr>
          <w:p w14:paraId="1E764167">
            <w:pPr>
              <w:pStyle w:val="71"/>
              <w:spacing w:before="24" w:after="24"/>
              <w:jc w:val="both"/>
              <w:rPr>
                <w:rFonts w:cs="Times New Roman"/>
              </w:rPr>
            </w:pPr>
            <w:r>
              <w:rPr>
                <w:rFonts w:cs="Times New Roman"/>
              </w:rPr>
              <w:t xml:space="preserve">精度：≤8kN/100kN；测量范围：根据基坑实际选择；工作温度：-20℃～70℃测量温度精度：±0.5℃ </w:t>
            </w:r>
          </w:p>
        </w:tc>
      </w:tr>
      <w:tr w14:paraId="18B8CD3E">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86" w:type="dxa"/>
            <w:vAlign w:val="center"/>
          </w:tcPr>
          <w:p w14:paraId="5BC7A927">
            <w:pPr>
              <w:pStyle w:val="71"/>
              <w:spacing w:before="24" w:after="24"/>
              <w:rPr>
                <w:rFonts w:cs="Times New Roman"/>
              </w:rPr>
            </w:pPr>
            <w:r>
              <w:rPr>
                <w:rFonts w:cs="Times New Roman"/>
              </w:rPr>
              <w:t xml:space="preserve">24 </w:t>
            </w:r>
          </w:p>
        </w:tc>
        <w:tc>
          <w:tcPr>
            <w:tcW w:w="1276" w:type="dxa"/>
            <w:vMerge w:val="continue"/>
            <w:vAlign w:val="center"/>
          </w:tcPr>
          <w:p w14:paraId="15B11C68">
            <w:pPr>
              <w:pStyle w:val="71"/>
              <w:spacing w:before="24" w:after="24"/>
              <w:rPr>
                <w:rFonts w:cs="Times New Roman"/>
              </w:rPr>
            </w:pPr>
          </w:p>
        </w:tc>
        <w:tc>
          <w:tcPr>
            <w:tcW w:w="1579" w:type="dxa"/>
            <w:vAlign w:val="center"/>
          </w:tcPr>
          <w:p w14:paraId="469B7016">
            <w:pPr>
              <w:pStyle w:val="71"/>
              <w:spacing w:before="24" w:after="24"/>
              <w:rPr>
                <w:rFonts w:cs="Times New Roman"/>
              </w:rPr>
            </w:pPr>
            <w:r>
              <w:rPr>
                <w:rFonts w:cs="Times New Roman"/>
              </w:rPr>
              <w:t xml:space="preserve">倾角传感器 </w:t>
            </w:r>
          </w:p>
        </w:tc>
        <w:tc>
          <w:tcPr>
            <w:tcW w:w="5602" w:type="dxa"/>
            <w:vAlign w:val="center"/>
          </w:tcPr>
          <w:p w14:paraId="5427DF92">
            <w:pPr>
              <w:pStyle w:val="71"/>
              <w:spacing w:before="24" w:after="24"/>
              <w:jc w:val="both"/>
              <w:rPr>
                <w:rFonts w:cs="Times New Roman"/>
              </w:rPr>
            </w:pPr>
            <w:r>
              <w:rPr>
                <w:rFonts w:cs="Times New Roman"/>
              </w:rPr>
              <w:t xml:space="preserve">高精度倾角计:量程：-15°～15°；灵敏度：0.001°；测量轴：2轴低精度倾角计:量程：-30°～30°；灵敏度：0.01°；测量轴：2轴孔隙水压力计：压力测量范围：0.2 MPa～6.0 MPa，分辨率：≤0.08 MPa；温度范围：-20℃～70℃，测量温度精度：±0.5℃ 地下水位计：工作温度：-20℃～70℃，温漂精度：≤±2℃/100℃；响应时间≤10ms </w:t>
            </w:r>
          </w:p>
        </w:tc>
      </w:tr>
      <w:tr w14:paraId="335F0F19">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86" w:type="dxa"/>
            <w:vAlign w:val="center"/>
          </w:tcPr>
          <w:p w14:paraId="04A677E7">
            <w:pPr>
              <w:pStyle w:val="71"/>
              <w:spacing w:before="24" w:after="24"/>
              <w:rPr>
                <w:rFonts w:cs="Times New Roman"/>
              </w:rPr>
            </w:pPr>
            <w:r>
              <w:rPr>
                <w:rFonts w:cs="Times New Roman"/>
              </w:rPr>
              <w:t xml:space="preserve">25 </w:t>
            </w:r>
          </w:p>
        </w:tc>
        <w:tc>
          <w:tcPr>
            <w:tcW w:w="1276" w:type="dxa"/>
            <w:vMerge w:val="restart"/>
            <w:vAlign w:val="center"/>
          </w:tcPr>
          <w:p w14:paraId="01528B20">
            <w:pPr>
              <w:pStyle w:val="71"/>
              <w:spacing w:before="24" w:after="24"/>
              <w:rPr>
                <w:rFonts w:cs="Times New Roman"/>
              </w:rPr>
            </w:pPr>
            <w:r>
              <w:rPr>
                <w:rFonts w:cs="Times New Roman"/>
              </w:rPr>
              <w:t>高支模安全监测</w:t>
            </w:r>
          </w:p>
        </w:tc>
        <w:tc>
          <w:tcPr>
            <w:tcW w:w="1579" w:type="dxa"/>
            <w:vAlign w:val="center"/>
          </w:tcPr>
          <w:p w14:paraId="56AFF290">
            <w:pPr>
              <w:pStyle w:val="71"/>
              <w:spacing w:before="24" w:after="24"/>
              <w:rPr>
                <w:rFonts w:cs="Times New Roman"/>
              </w:rPr>
            </w:pPr>
            <w:r>
              <w:rPr>
                <w:rFonts w:cs="Times New Roman"/>
              </w:rPr>
              <w:t>激光位移</w:t>
            </w:r>
          </w:p>
          <w:p w14:paraId="36F95109">
            <w:pPr>
              <w:pStyle w:val="71"/>
              <w:spacing w:before="24" w:after="24"/>
              <w:rPr>
                <w:rFonts w:cs="Times New Roman"/>
              </w:rPr>
            </w:pPr>
            <w:r>
              <w:rPr>
                <w:rFonts w:cs="Times New Roman"/>
              </w:rPr>
              <w:t>传感器</w:t>
            </w:r>
          </w:p>
        </w:tc>
        <w:tc>
          <w:tcPr>
            <w:tcW w:w="5602" w:type="dxa"/>
            <w:vAlign w:val="center"/>
          </w:tcPr>
          <w:p w14:paraId="15A69998">
            <w:pPr>
              <w:pStyle w:val="71"/>
              <w:spacing w:before="24" w:after="24"/>
              <w:jc w:val="both"/>
              <w:rPr>
                <w:rFonts w:cs="Times New Roman"/>
              </w:rPr>
            </w:pPr>
            <w:r>
              <w:rPr>
                <w:rFonts w:cs="Times New Roman"/>
              </w:rPr>
              <w:t xml:space="preserve">量程：0m～50m；精度：±1mm；分辨率：0.1mm；供电：电池供电 </w:t>
            </w:r>
          </w:p>
        </w:tc>
      </w:tr>
      <w:tr w14:paraId="13B02F65">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86" w:type="dxa"/>
            <w:vAlign w:val="center"/>
          </w:tcPr>
          <w:p w14:paraId="60D2F25E">
            <w:pPr>
              <w:pStyle w:val="71"/>
              <w:spacing w:before="24" w:after="24"/>
              <w:rPr>
                <w:rFonts w:cs="Times New Roman"/>
              </w:rPr>
            </w:pPr>
            <w:r>
              <w:rPr>
                <w:rFonts w:cs="Times New Roman"/>
              </w:rPr>
              <w:t xml:space="preserve">26 </w:t>
            </w:r>
          </w:p>
        </w:tc>
        <w:tc>
          <w:tcPr>
            <w:tcW w:w="1276" w:type="dxa"/>
            <w:vMerge w:val="continue"/>
            <w:vAlign w:val="center"/>
          </w:tcPr>
          <w:p w14:paraId="17A8FA82">
            <w:pPr>
              <w:pStyle w:val="71"/>
              <w:spacing w:before="24" w:after="24"/>
              <w:rPr>
                <w:rFonts w:cs="Times New Roman"/>
              </w:rPr>
            </w:pPr>
          </w:p>
        </w:tc>
        <w:tc>
          <w:tcPr>
            <w:tcW w:w="1579" w:type="dxa"/>
            <w:vAlign w:val="center"/>
          </w:tcPr>
          <w:p w14:paraId="489F1874">
            <w:pPr>
              <w:pStyle w:val="71"/>
              <w:spacing w:before="24" w:after="24"/>
              <w:rPr>
                <w:rFonts w:cs="Times New Roman"/>
              </w:rPr>
            </w:pPr>
            <w:r>
              <w:rPr>
                <w:rFonts w:cs="Times New Roman"/>
              </w:rPr>
              <w:t>接触式位移</w:t>
            </w:r>
          </w:p>
          <w:p w14:paraId="1A7A0212">
            <w:pPr>
              <w:pStyle w:val="71"/>
              <w:spacing w:before="24" w:after="24"/>
              <w:rPr>
                <w:rFonts w:cs="Times New Roman"/>
              </w:rPr>
            </w:pPr>
            <w:r>
              <w:rPr>
                <w:rFonts w:cs="Times New Roman"/>
              </w:rPr>
              <w:t xml:space="preserve">传感器 </w:t>
            </w:r>
          </w:p>
        </w:tc>
        <w:tc>
          <w:tcPr>
            <w:tcW w:w="5602" w:type="dxa"/>
            <w:vAlign w:val="center"/>
          </w:tcPr>
          <w:p w14:paraId="55AE1D8B">
            <w:pPr>
              <w:pStyle w:val="71"/>
              <w:spacing w:before="24" w:after="24"/>
              <w:jc w:val="both"/>
              <w:rPr>
                <w:rFonts w:cs="Times New Roman"/>
              </w:rPr>
            </w:pPr>
            <w:r>
              <w:rPr>
                <w:rFonts w:cs="Times New Roman"/>
              </w:rPr>
              <w:t>综合误差：优于0.5%FS；量程：可根据需求选取；输出信号：振弦或数字信号</w:t>
            </w:r>
          </w:p>
        </w:tc>
      </w:tr>
      <w:tr w14:paraId="783EA389">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86" w:type="dxa"/>
            <w:vAlign w:val="center"/>
          </w:tcPr>
          <w:p w14:paraId="6916FD9F">
            <w:pPr>
              <w:pStyle w:val="71"/>
              <w:spacing w:before="24" w:after="24"/>
              <w:rPr>
                <w:rFonts w:cs="Times New Roman"/>
              </w:rPr>
            </w:pPr>
            <w:r>
              <w:rPr>
                <w:rFonts w:cs="Times New Roman"/>
              </w:rPr>
              <w:t xml:space="preserve">27 </w:t>
            </w:r>
          </w:p>
        </w:tc>
        <w:tc>
          <w:tcPr>
            <w:tcW w:w="1276" w:type="dxa"/>
            <w:vMerge w:val="continue"/>
            <w:vAlign w:val="center"/>
          </w:tcPr>
          <w:p w14:paraId="320CA4FD">
            <w:pPr>
              <w:pStyle w:val="71"/>
              <w:spacing w:before="24" w:after="24"/>
              <w:rPr>
                <w:rFonts w:cs="Times New Roman"/>
              </w:rPr>
            </w:pPr>
          </w:p>
        </w:tc>
        <w:tc>
          <w:tcPr>
            <w:tcW w:w="1579" w:type="dxa"/>
            <w:vAlign w:val="center"/>
          </w:tcPr>
          <w:p w14:paraId="2A224ACA">
            <w:pPr>
              <w:pStyle w:val="71"/>
              <w:spacing w:before="24" w:after="24"/>
              <w:rPr>
                <w:rFonts w:cs="Times New Roman"/>
              </w:rPr>
            </w:pPr>
            <w:r>
              <w:rPr>
                <w:rFonts w:cs="Times New Roman"/>
              </w:rPr>
              <w:t xml:space="preserve">应变传感器 </w:t>
            </w:r>
          </w:p>
        </w:tc>
        <w:tc>
          <w:tcPr>
            <w:tcW w:w="5602" w:type="dxa"/>
            <w:vAlign w:val="center"/>
          </w:tcPr>
          <w:p w14:paraId="009BE8CD">
            <w:pPr>
              <w:pStyle w:val="71"/>
              <w:spacing w:before="24" w:after="24"/>
              <w:jc w:val="both"/>
              <w:rPr>
                <w:rFonts w:cs="Times New Roman"/>
              </w:rPr>
            </w:pPr>
            <w:r>
              <w:rPr>
                <w:rFonts w:cs="Times New Roman"/>
              </w:rPr>
              <w:t>测量范围-1500με～1500με，分辨率：1 με ；工作温度：-20℃～70℃</w:t>
            </w:r>
          </w:p>
        </w:tc>
      </w:tr>
      <w:tr w14:paraId="4D7253E3">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86" w:type="dxa"/>
            <w:vAlign w:val="center"/>
          </w:tcPr>
          <w:p w14:paraId="1614BF47">
            <w:pPr>
              <w:pStyle w:val="71"/>
              <w:spacing w:before="24" w:after="24"/>
              <w:rPr>
                <w:rFonts w:cs="Times New Roman"/>
              </w:rPr>
            </w:pPr>
            <w:r>
              <w:rPr>
                <w:rFonts w:cs="Times New Roman"/>
              </w:rPr>
              <w:t xml:space="preserve">28 </w:t>
            </w:r>
          </w:p>
        </w:tc>
        <w:tc>
          <w:tcPr>
            <w:tcW w:w="1276" w:type="dxa"/>
            <w:vMerge w:val="continue"/>
            <w:vAlign w:val="center"/>
          </w:tcPr>
          <w:p w14:paraId="34FAB33A">
            <w:pPr>
              <w:pStyle w:val="71"/>
              <w:spacing w:before="24" w:after="24"/>
              <w:rPr>
                <w:rFonts w:cs="Times New Roman"/>
              </w:rPr>
            </w:pPr>
          </w:p>
        </w:tc>
        <w:tc>
          <w:tcPr>
            <w:tcW w:w="1579" w:type="dxa"/>
            <w:vAlign w:val="center"/>
          </w:tcPr>
          <w:p w14:paraId="10BA86E6">
            <w:pPr>
              <w:pStyle w:val="71"/>
              <w:spacing w:before="24" w:after="24"/>
              <w:rPr>
                <w:rFonts w:cs="Times New Roman"/>
              </w:rPr>
            </w:pPr>
            <w:r>
              <w:rPr>
                <w:rFonts w:cs="Times New Roman"/>
              </w:rPr>
              <w:t xml:space="preserve">轴力（反力）传感器 </w:t>
            </w:r>
          </w:p>
        </w:tc>
        <w:tc>
          <w:tcPr>
            <w:tcW w:w="5602" w:type="dxa"/>
            <w:vAlign w:val="center"/>
          </w:tcPr>
          <w:p w14:paraId="5ED5DC53">
            <w:pPr>
              <w:pStyle w:val="71"/>
              <w:spacing w:before="24" w:after="24"/>
              <w:jc w:val="both"/>
              <w:rPr>
                <w:rFonts w:cs="Times New Roman"/>
              </w:rPr>
            </w:pPr>
            <w:r>
              <w:rPr>
                <w:rFonts w:cs="Times New Roman"/>
              </w:rPr>
              <w:t xml:space="preserve">灵敏度（%FS）： ≤0.08；非线性度（%FS）：直线：≤1，多项式：≤0.1；综合误差（%FS）：≤2.0 </w:t>
            </w:r>
          </w:p>
        </w:tc>
      </w:tr>
      <w:tr w14:paraId="77C4C0D2">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86" w:type="dxa"/>
            <w:vAlign w:val="center"/>
          </w:tcPr>
          <w:p w14:paraId="36090F58">
            <w:pPr>
              <w:pStyle w:val="71"/>
              <w:spacing w:before="24" w:after="24"/>
              <w:rPr>
                <w:rFonts w:cs="Times New Roman"/>
              </w:rPr>
            </w:pPr>
            <w:r>
              <w:rPr>
                <w:rFonts w:cs="Times New Roman"/>
              </w:rPr>
              <w:t xml:space="preserve">29 </w:t>
            </w:r>
          </w:p>
        </w:tc>
        <w:tc>
          <w:tcPr>
            <w:tcW w:w="1276" w:type="dxa"/>
            <w:vMerge w:val="continue"/>
            <w:vAlign w:val="center"/>
          </w:tcPr>
          <w:p w14:paraId="149E81AE">
            <w:pPr>
              <w:pStyle w:val="71"/>
              <w:spacing w:before="24" w:after="24"/>
              <w:rPr>
                <w:rFonts w:cs="Times New Roman"/>
              </w:rPr>
            </w:pPr>
          </w:p>
        </w:tc>
        <w:tc>
          <w:tcPr>
            <w:tcW w:w="1579" w:type="dxa"/>
            <w:vAlign w:val="center"/>
          </w:tcPr>
          <w:p w14:paraId="1FE1BA78">
            <w:pPr>
              <w:pStyle w:val="71"/>
              <w:spacing w:before="24" w:after="24"/>
              <w:rPr>
                <w:rFonts w:cs="Times New Roman"/>
              </w:rPr>
            </w:pPr>
            <w:r>
              <w:rPr>
                <w:rFonts w:cs="Times New Roman"/>
              </w:rPr>
              <w:t xml:space="preserve">倾角传感器 </w:t>
            </w:r>
          </w:p>
        </w:tc>
        <w:tc>
          <w:tcPr>
            <w:tcW w:w="5602" w:type="dxa"/>
            <w:vAlign w:val="center"/>
          </w:tcPr>
          <w:p w14:paraId="31BB414C">
            <w:pPr>
              <w:pStyle w:val="71"/>
              <w:spacing w:before="24" w:after="24"/>
              <w:jc w:val="both"/>
              <w:rPr>
                <w:rFonts w:cs="Times New Roman"/>
              </w:rPr>
            </w:pPr>
            <w:r>
              <w:rPr>
                <w:rFonts w:cs="Times New Roman"/>
              </w:rPr>
              <w:t xml:space="preserve">高精度倾角计:量程：-15°～15°；灵敏度：0.001°；测量轴：2轴低精度倾角计:量程：-90°～90°；灵敏度：0.01°；测量轴：3轴倾角计供电方式：电池 </w:t>
            </w:r>
          </w:p>
        </w:tc>
      </w:tr>
      <w:tr w14:paraId="03902428">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86" w:type="dxa"/>
            <w:vAlign w:val="center"/>
          </w:tcPr>
          <w:p w14:paraId="52262BAE">
            <w:pPr>
              <w:pStyle w:val="71"/>
              <w:spacing w:before="24" w:after="24"/>
              <w:rPr>
                <w:rFonts w:cs="Times New Roman"/>
              </w:rPr>
            </w:pPr>
            <w:r>
              <w:rPr>
                <w:rFonts w:cs="Times New Roman"/>
              </w:rPr>
              <w:t xml:space="preserve">30 </w:t>
            </w:r>
          </w:p>
        </w:tc>
        <w:tc>
          <w:tcPr>
            <w:tcW w:w="1276" w:type="dxa"/>
            <w:vMerge w:val="restart"/>
            <w:vAlign w:val="center"/>
          </w:tcPr>
          <w:p w14:paraId="1D668190">
            <w:pPr>
              <w:pStyle w:val="71"/>
              <w:spacing w:before="24" w:after="24"/>
              <w:rPr>
                <w:rFonts w:cs="Times New Roman"/>
              </w:rPr>
            </w:pPr>
            <w:r>
              <w:rPr>
                <w:rFonts w:cs="Times New Roman"/>
              </w:rPr>
              <w:t>安全帽穿戴监测</w:t>
            </w:r>
          </w:p>
        </w:tc>
        <w:tc>
          <w:tcPr>
            <w:tcW w:w="1579" w:type="dxa"/>
            <w:vAlign w:val="center"/>
          </w:tcPr>
          <w:p w14:paraId="00853281">
            <w:pPr>
              <w:pStyle w:val="71"/>
              <w:spacing w:before="24" w:after="24"/>
              <w:rPr>
                <w:rFonts w:cs="Times New Roman"/>
              </w:rPr>
            </w:pPr>
            <w:r>
              <w:rPr>
                <w:rFonts w:cs="Times New Roman"/>
              </w:rPr>
              <w:t xml:space="preserve">智能安全帽 </w:t>
            </w:r>
          </w:p>
        </w:tc>
        <w:tc>
          <w:tcPr>
            <w:tcW w:w="5602" w:type="dxa"/>
            <w:vAlign w:val="center"/>
          </w:tcPr>
          <w:p w14:paraId="10EF3364">
            <w:pPr>
              <w:pStyle w:val="71"/>
              <w:spacing w:before="24" w:after="24"/>
              <w:jc w:val="both"/>
              <w:rPr>
                <w:rFonts w:cs="Times New Roman"/>
              </w:rPr>
            </w:pPr>
            <w:r>
              <w:rPr>
                <w:rFonts w:cs="Times New Roman"/>
              </w:rPr>
              <w:t>持人员定位、脱戴帽检测；具备语音广播、语音提醒、SOS告警、撞击告警等功能；GPS定位周期：10s～300s可调；室外定位精度：GPS定位精度5m～10m（空旷环境）；续航能力：不低于8h；符合GB 2811-2019和GB/T 2812-2006规范</w:t>
            </w:r>
          </w:p>
          <w:p w14:paraId="43934378">
            <w:pPr>
              <w:pStyle w:val="71"/>
              <w:spacing w:before="24" w:after="24"/>
              <w:jc w:val="both"/>
              <w:rPr>
                <w:rFonts w:cs="Times New Roman"/>
              </w:rPr>
            </w:pPr>
            <w:r>
              <w:rPr>
                <w:rFonts w:cs="Times New Roman"/>
              </w:rPr>
              <w:t xml:space="preserve">要求 </w:t>
            </w:r>
          </w:p>
        </w:tc>
      </w:tr>
      <w:tr w14:paraId="38404F96">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86" w:type="dxa"/>
            <w:vAlign w:val="center"/>
          </w:tcPr>
          <w:p w14:paraId="4BC7CE53">
            <w:pPr>
              <w:pStyle w:val="71"/>
              <w:spacing w:before="24" w:after="24"/>
              <w:rPr>
                <w:rFonts w:cs="Times New Roman"/>
              </w:rPr>
            </w:pPr>
            <w:r>
              <w:rPr>
                <w:rFonts w:cs="Times New Roman"/>
              </w:rPr>
              <w:t xml:space="preserve">31 </w:t>
            </w:r>
          </w:p>
        </w:tc>
        <w:tc>
          <w:tcPr>
            <w:tcW w:w="1276" w:type="dxa"/>
            <w:vMerge w:val="continue"/>
            <w:vAlign w:val="center"/>
          </w:tcPr>
          <w:p w14:paraId="4B431E0B">
            <w:pPr>
              <w:pStyle w:val="71"/>
              <w:spacing w:before="24" w:after="24"/>
              <w:rPr>
                <w:rFonts w:cs="Times New Roman"/>
              </w:rPr>
            </w:pPr>
          </w:p>
        </w:tc>
        <w:tc>
          <w:tcPr>
            <w:tcW w:w="1579" w:type="dxa"/>
            <w:vAlign w:val="center"/>
          </w:tcPr>
          <w:p w14:paraId="68E4684E">
            <w:pPr>
              <w:pStyle w:val="71"/>
              <w:spacing w:before="24" w:after="24"/>
              <w:rPr>
                <w:rFonts w:cs="Times New Roman"/>
              </w:rPr>
            </w:pPr>
            <w:r>
              <w:rPr>
                <w:rFonts w:cs="Times New Roman"/>
              </w:rPr>
              <w:t>人脸识别</w:t>
            </w:r>
          </w:p>
          <w:p w14:paraId="1D827026">
            <w:pPr>
              <w:pStyle w:val="71"/>
              <w:spacing w:before="24" w:after="24"/>
              <w:rPr>
                <w:rFonts w:cs="Times New Roman"/>
              </w:rPr>
            </w:pPr>
            <w:r>
              <w:rPr>
                <w:rFonts w:cs="Times New Roman"/>
              </w:rPr>
              <w:t>摄像机</w:t>
            </w:r>
          </w:p>
        </w:tc>
        <w:tc>
          <w:tcPr>
            <w:tcW w:w="5602" w:type="dxa"/>
            <w:vAlign w:val="center"/>
          </w:tcPr>
          <w:p w14:paraId="3015264A">
            <w:pPr>
              <w:pStyle w:val="71"/>
              <w:spacing w:before="24" w:after="24"/>
              <w:jc w:val="both"/>
              <w:rPr>
                <w:rFonts w:cs="Times New Roman"/>
              </w:rPr>
            </w:pPr>
            <w:r>
              <w:rPr>
                <w:rFonts w:cs="Times New Roman"/>
              </w:rPr>
              <w:t>不低于400万像素，内置GPU芯片；镜头：采用电动变焦镜头；支持人脸检测及抓拍，人脸抓拍上报时延≤1 s；编码模式：支持H.265、H.264；补光类型：红</w:t>
            </w:r>
          </w:p>
          <w:p w14:paraId="366ABF79">
            <w:pPr>
              <w:pStyle w:val="71"/>
              <w:spacing w:before="24" w:after="24"/>
              <w:jc w:val="both"/>
              <w:rPr>
                <w:rFonts w:cs="Times New Roman"/>
              </w:rPr>
            </w:pPr>
            <w:r>
              <w:rPr>
                <w:rFonts w:cs="Times New Roman"/>
              </w:rPr>
              <w:t xml:space="preserve">外或白光，补光距离：不低于50m；接入标准：ONVIF、GB/T 28181 </w:t>
            </w:r>
          </w:p>
        </w:tc>
      </w:tr>
      <w:tr w14:paraId="082279DC">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86" w:type="dxa"/>
            <w:vAlign w:val="center"/>
          </w:tcPr>
          <w:p w14:paraId="163A040A">
            <w:pPr>
              <w:pStyle w:val="71"/>
              <w:spacing w:before="24" w:after="24"/>
              <w:rPr>
                <w:rFonts w:cs="Times New Roman"/>
              </w:rPr>
            </w:pPr>
            <w:r>
              <w:rPr>
                <w:rFonts w:cs="Times New Roman"/>
              </w:rPr>
              <w:t xml:space="preserve">32 </w:t>
            </w:r>
          </w:p>
        </w:tc>
        <w:tc>
          <w:tcPr>
            <w:tcW w:w="1276" w:type="dxa"/>
            <w:vAlign w:val="center"/>
          </w:tcPr>
          <w:p w14:paraId="4AB99F3E">
            <w:pPr>
              <w:pStyle w:val="71"/>
              <w:spacing w:before="24" w:after="24"/>
              <w:rPr>
                <w:rFonts w:cs="Times New Roman"/>
              </w:rPr>
            </w:pPr>
            <w:r>
              <w:rPr>
                <w:rFonts w:cs="Times New Roman"/>
              </w:rPr>
              <w:t xml:space="preserve">浓烟明火监测 </w:t>
            </w:r>
          </w:p>
        </w:tc>
        <w:tc>
          <w:tcPr>
            <w:tcW w:w="1579" w:type="dxa"/>
            <w:vAlign w:val="center"/>
          </w:tcPr>
          <w:p w14:paraId="4E1EDC6C">
            <w:pPr>
              <w:pStyle w:val="71"/>
              <w:spacing w:before="24" w:after="24"/>
              <w:rPr>
                <w:rFonts w:cs="Times New Roman"/>
              </w:rPr>
            </w:pPr>
            <w:r>
              <w:rPr>
                <w:rFonts w:cs="Times New Roman"/>
              </w:rPr>
              <w:t xml:space="preserve">摄像机 </w:t>
            </w:r>
          </w:p>
        </w:tc>
        <w:tc>
          <w:tcPr>
            <w:tcW w:w="5602" w:type="dxa"/>
            <w:vAlign w:val="center"/>
          </w:tcPr>
          <w:p w14:paraId="10FAFF57">
            <w:pPr>
              <w:pStyle w:val="71"/>
              <w:spacing w:before="24" w:after="24"/>
              <w:jc w:val="both"/>
              <w:rPr>
                <w:rFonts w:cs="Times New Roman"/>
              </w:rPr>
            </w:pPr>
            <w:r>
              <w:rPr>
                <w:rFonts w:cs="Times New Roman"/>
              </w:rPr>
              <w:t xml:space="preserve">不低于200万像素；编码模式：支持H.265、H.264；补光类型：红外或白光，补光距离：不低于50m；接入标准：ONVIF、GB/T 28181 </w:t>
            </w:r>
          </w:p>
        </w:tc>
      </w:tr>
      <w:tr w14:paraId="106E3C57">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86" w:type="dxa"/>
            <w:vAlign w:val="center"/>
          </w:tcPr>
          <w:p w14:paraId="2DA9AAD0">
            <w:pPr>
              <w:pStyle w:val="71"/>
              <w:spacing w:before="24" w:after="24"/>
              <w:rPr>
                <w:rFonts w:cs="Times New Roman"/>
              </w:rPr>
            </w:pPr>
            <w:r>
              <w:rPr>
                <w:rFonts w:cs="Times New Roman"/>
              </w:rPr>
              <w:t xml:space="preserve">33 </w:t>
            </w:r>
          </w:p>
        </w:tc>
        <w:tc>
          <w:tcPr>
            <w:tcW w:w="1276" w:type="dxa"/>
            <w:vAlign w:val="center"/>
          </w:tcPr>
          <w:p w14:paraId="610AC8C0">
            <w:pPr>
              <w:pStyle w:val="71"/>
              <w:spacing w:before="24" w:after="24"/>
              <w:rPr>
                <w:rFonts w:cs="Times New Roman"/>
              </w:rPr>
            </w:pPr>
            <w:r>
              <w:rPr>
                <w:rFonts w:cs="Times New Roman"/>
              </w:rPr>
              <w:t xml:space="preserve">乱堆物料监测 </w:t>
            </w:r>
          </w:p>
        </w:tc>
        <w:tc>
          <w:tcPr>
            <w:tcW w:w="1579" w:type="dxa"/>
            <w:vAlign w:val="center"/>
          </w:tcPr>
          <w:p w14:paraId="75C449C2">
            <w:pPr>
              <w:pStyle w:val="71"/>
              <w:spacing w:before="24" w:after="24"/>
              <w:rPr>
                <w:rFonts w:cs="Times New Roman"/>
              </w:rPr>
            </w:pPr>
            <w:r>
              <w:rPr>
                <w:rFonts w:cs="Times New Roman"/>
              </w:rPr>
              <w:t xml:space="preserve">摄像机 </w:t>
            </w:r>
          </w:p>
        </w:tc>
        <w:tc>
          <w:tcPr>
            <w:tcW w:w="5602" w:type="dxa"/>
            <w:vAlign w:val="center"/>
          </w:tcPr>
          <w:p w14:paraId="064E99C8">
            <w:pPr>
              <w:pStyle w:val="71"/>
              <w:spacing w:before="24" w:after="24"/>
              <w:jc w:val="both"/>
              <w:rPr>
                <w:rFonts w:cs="Times New Roman"/>
              </w:rPr>
            </w:pPr>
            <w:r>
              <w:rPr>
                <w:rFonts w:cs="Times New Roman"/>
              </w:rPr>
              <w:t xml:space="preserve">不低于200万像素；编码模式：支持H.265、H.264；补光类型：红外或白光，补光距离：不低于50m；接入标准：ONVIF、GB/T 28181 </w:t>
            </w:r>
          </w:p>
        </w:tc>
      </w:tr>
      <w:tr w14:paraId="08494AE3">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86" w:type="dxa"/>
            <w:vAlign w:val="center"/>
          </w:tcPr>
          <w:p w14:paraId="700D8F4C">
            <w:pPr>
              <w:pStyle w:val="71"/>
              <w:spacing w:before="24" w:after="24"/>
              <w:rPr>
                <w:rFonts w:cs="Times New Roman"/>
              </w:rPr>
            </w:pPr>
            <w:r>
              <w:rPr>
                <w:rFonts w:cs="Times New Roman"/>
              </w:rPr>
              <w:t xml:space="preserve">34 </w:t>
            </w:r>
          </w:p>
        </w:tc>
        <w:tc>
          <w:tcPr>
            <w:tcW w:w="1276" w:type="dxa"/>
            <w:vAlign w:val="center"/>
          </w:tcPr>
          <w:p w14:paraId="533F5191">
            <w:pPr>
              <w:pStyle w:val="71"/>
              <w:spacing w:before="24" w:after="24"/>
              <w:rPr>
                <w:rFonts w:cs="Times New Roman"/>
              </w:rPr>
            </w:pPr>
            <w:r>
              <w:rPr>
                <w:rFonts w:cs="Times New Roman"/>
              </w:rPr>
              <w:t xml:space="preserve">数字化巡检 </w:t>
            </w:r>
          </w:p>
        </w:tc>
        <w:tc>
          <w:tcPr>
            <w:tcW w:w="1579" w:type="dxa"/>
            <w:vAlign w:val="center"/>
          </w:tcPr>
          <w:p w14:paraId="3F29045D">
            <w:pPr>
              <w:pStyle w:val="71"/>
              <w:spacing w:before="24" w:after="24"/>
              <w:rPr>
                <w:rFonts w:cs="Times New Roman"/>
              </w:rPr>
            </w:pPr>
            <w:r>
              <w:rPr>
                <w:rFonts w:cs="Times New Roman"/>
              </w:rPr>
              <w:t>数字化</w:t>
            </w:r>
          </w:p>
          <w:p w14:paraId="239931B6">
            <w:pPr>
              <w:pStyle w:val="71"/>
              <w:spacing w:before="24" w:after="24"/>
              <w:rPr>
                <w:rFonts w:cs="Times New Roman"/>
              </w:rPr>
            </w:pPr>
            <w:r>
              <w:rPr>
                <w:rFonts w:cs="Times New Roman"/>
              </w:rPr>
              <w:t>巡检设备</w:t>
            </w:r>
          </w:p>
        </w:tc>
        <w:tc>
          <w:tcPr>
            <w:tcW w:w="5602" w:type="dxa"/>
            <w:vAlign w:val="center"/>
          </w:tcPr>
          <w:p w14:paraId="4714E95C">
            <w:pPr>
              <w:pStyle w:val="71"/>
              <w:spacing w:before="24" w:after="24"/>
              <w:jc w:val="both"/>
              <w:rPr>
                <w:rFonts w:cs="Times New Roman"/>
              </w:rPr>
            </w:pPr>
            <w:r>
              <w:rPr>
                <w:rFonts w:cs="Times New Roman"/>
              </w:rPr>
              <w:t xml:space="preserve">支持巡检数据的离线存储；支持前置/后置摄像头，支持人脸识别，支持拍照取证，分辨率不低于1920*1080；应利用RFID模块快速识别等技术绑定在巡检点位的RFID电子标签；应通过与全景成像测距等技术联动实现自动识别新增楼层宜具有定位功能 </w:t>
            </w:r>
          </w:p>
        </w:tc>
      </w:tr>
      <w:tr w14:paraId="4856CC32">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86" w:type="dxa"/>
            <w:vAlign w:val="center"/>
          </w:tcPr>
          <w:p w14:paraId="7ECA9F7B">
            <w:pPr>
              <w:pStyle w:val="71"/>
              <w:spacing w:before="24" w:after="24"/>
              <w:rPr>
                <w:rFonts w:cs="Times New Roman"/>
              </w:rPr>
            </w:pPr>
            <w:r>
              <w:rPr>
                <w:rFonts w:cs="Times New Roman"/>
              </w:rPr>
              <w:t xml:space="preserve">35 </w:t>
            </w:r>
          </w:p>
        </w:tc>
        <w:tc>
          <w:tcPr>
            <w:tcW w:w="1276" w:type="dxa"/>
            <w:vAlign w:val="center"/>
          </w:tcPr>
          <w:p w14:paraId="3E553AA7">
            <w:pPr>
              <w:pStyle w:val="71"/>
              <w:spacing w:before="24" w:after="24"/>
              <w:rPr>
                <w:rFonts w:cs="Times New Roman"/>
              </w:rPr>
            </w:pPr>
            <w:r>
              <w:rPr>
                <w:rFonts w:cs="Times New Roman"/>
              </w:rPr>
              <w:t xml:space="preserve">数字化测量 </w:t>
            </w:r>
          </w:p>
        </w:tc>
        <w:tc>
          <w:tcPr>
            <w:tcW w:w="1579" w:type="dxa"/>
            <w:vAlign w:val="center"/>
          </w:tcPr>
          <w:p w14:paraId="66B7F401">
            <w:pPr>
              <w:pStyle w:val="71"/>
              <w:spacing w:before="24" w:after="24"/>
              <w:rPr>
                <w:rFonts w:cs="Times New Roman"/>
              </w:rPr>
            </w:pPr>
            <w:r>
              <w:rPr>
                <w:rFonts w:cs="Times New Roman"/>
              </w:rPr>
              <w:t>数字化</w:t>
            </w:r>
          </w:p>
          <w:p w14:paraId="3A18B450">
            <w:pPr>
              <w:pStyle w:val="71"/>
              <w:spacing w:before="24" w:after="24"/>
              <w:rPr>
                <w:rFonts w:cs="Times New Roman"/>
              </w:rPr>
            </w:pPr>
            <w:r>
              <w:rPr>
                <w:rFonts w:cs="Times New Roman"/>
              </w:rPr>
              <w:t>测量设备</w:t>
            </w:r>
          </w:p>
        </w:tc>
        <w:tc>
          <w:tcPr>
            <w:tcW w:w="5602" w:type="dxa"/>
            <w:vAlign w:val="center"/>
          </w:tcPr>
          <w:p w14:paraId="60CA34C1">
            <w:pPr>
              <w:pStyle w:val="71"/>
              <w:spacing w:before="24" w:after="24"/>
              <w:jc w:val="both"/>
              <w:rPr>
                <w:rFonts w:cs="Times New Roman"/>
              </w:rPr>
            </w:pPr>
            <w:r>
              <w:rPr>
                <w:rFonts w:cs="Times New Roman"/>
              </w:rPr>
              <w:t xml:space="preserve">须具有数字化接口，确保数据可通过数据采集设备传输至平台系统；在50m远距离对工地施工作业面的钢筋间距或直径等尺寸进行测量，精度可达±1mm；在晴天阳光下应能正常测量使用；能够水平和垂直从0°～360°转动，以满足全景成像测量；设备断电时，访问图像实时测量的历史截图，对截图中的大于50mm 的目标应可测量；视频分辨率不低于1920*1080；工作环境温度：-30℃～+50℃ 支持冷数据存储 </w:t>
            </w:r>
          </w:p>
        </w:tc>
      </w:tr>
      <w:tr w14:paraId="147CFC27">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86" w:type="dxa"/>
            <w:vAlign w:val="center"/>
          </w:tcPr>
          <w:p w14:paraId="44E46C36">
            <w:pPr>
              <w:pStyle w:val="71"/>
              <w:spacing w:before="24" w:after="24"/>
              <w:rPr>
                <w:rFonts w:cs="Times New Roman"/>
              </w:rPr>
            </w:pPr>
            <w:r>
              <w:rPr>
                <w:rFonts w:cs="Times New Roman"/>
              </w:rPr>
              <w:t xml:space="preserve">36 </w:t>
            </w:r>
          </w:p>
        </w:tc>
        <w:tc>
          <w:tcPr>
            <w:tcW w:w="1276" w:type="dxa"/>
            <w:vMerge w:val="restart"/>
            <w:vAlign w:val="center"/>
          </w:tcPr>
          <w:p w14:paraId="0A18297D">
            <w:pPr>
              <w:pStyle w:val="71"/>
              <w:spacing w:before="24" w:after="24"/>
              <w:rPr>
                <w:rFonts w:cs="Times New Roman"/>
              </w:rPr>
            </w:pPr>
            <w:r>
              <w:rPr>
                <w:rFonts w:cs="Times New Roman"/>
              </w:rPr>
              <w:t>扬尘监测管理</w:t>
            </w:r>
          </w:p>
        </w:tc>
        <w:tc>
          <w:tcPr>
            <w:tcW w:w="1579" w:type="dxa"/>
            <w:vAlign w:val="center"/>
          </w:tcPr>
          <w:p w14:paraId="5BFC5A07">
            <w:pPr>
              <w:pStyle w:val="71"/>
              <w:spacing w:before="24" w:after="24"/>
              <w:rPr>
                <w:rFonts w:cs="Times New Roman"/>
              </w:rPr>
            </w:pPr>
          </w:p>
          <w:p w14:paraId="7B16B287">
            <w:pPr>
              <w:pStyle w:val="71"/>
              <w:spacing w:before="24" w:after="24"/>
              <w:rPr>
                <w:rFonts w:cs="Times New Roman"/>
              </w:rPr>
            </w:pPr>
            <w:r>
              <w:rPr>
                <w:rFonts w:cs="Times New Roman"/>
              </w:rPr>
              <w:t>PM2.5、PM10</w:t>
            </w:r>
          </w:p>
          <w:p w14:paraId="30CBEC24">
            <w:pPr>
              <w:pStyle w:val="71"/>
              <w:spacing w:before="24" w:after="24"/>
              <w:rPr>
                <w:rFonts w:cs="Times New Roman"/>
              </w:rPr>
            </w:pPr>
            <w:r>
              <w:rPr>
                <w:rFonts w:cs="Times New Roman"/>
              </w:rPr>
              <w:t xml:space="preserve">传感器 </w:t>
            </w:r>
          </w:p>
        </w:tc>
        <w:tc>
          <w:tcPr>
            <w:tcW w:w="5602" w:type="dxa"/>
            <w:vAlign w:val="center"/>
          </w:tcPr>
          <w:p w14:paraId="1A2EE7BD">
            <w:pPr>
              <w:pStyle w:val="71"/>
              <w:spacing w:before="24" w:after="24"/>
              <w:jc w:val="both"/>
              <w:rPr>
                <w:rFonts w:cs="Times New Roman"/>
              </w:rPr>
            </w:pPr>
            <w:r>
              <w:rPr>
                <w:rFonts w:cs="Times New Roman"/>
              </w:rPr>
              <w:t xml:space="preserve">扬尘测量范围：0μg/m³～1000μg/m³；分辨率：1μg/m³；重复性：10%；精度：±15%；测量更新：连续测量每小时监测时间≥45min；间断测量每5min测量一次，每次≥1min，每小时监测时间≥12min </w:t>
            </w:r>
          </w:p>
        </w:tc>
      </w:tr>
      <w:tr w14:paraId="719F51A7">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86" w:type="dxa"/>
            <w:vAlign w:val="center"/>
          </w:tcPr>
          <w:p w14:paraId="19E22A61">
            <w:pPr>
              <w:pStyle w:val="71"/>
              <w:spacing w:before="24" w:after="24"/>
              <w:rPr>
                <w:rFonts w:cs="Times New Roman"/>
              </w:rPr>
            </w:pPr>
            <w:r>
              <w:rPr>
                <w:rFonts w:cs="Times New Roman"/>
              </w:rPr>
              <w:t>37</w:t>
            </w:r>
          </w:p>
        </w:tc>
        <w:tc>
          <w:tcPr>
            <w:tcW w:w="1276" w:type="dxa"/>
            <w:vMerge w:val="continue"/>
            <w:vAlign w:val="center"/>
          </w:tcPr>
          <w:p w14:paraId="14808649">
            <w:pPr>
              <w:pStyle w:val="71"/>
              <w:spacing w:before="24" w:after="24"/>
              <w:rPr>
                <w:rFonts w:cs="Times New Roman"/>
              </w:rPr>
            </w:pPr>
          </w:p>
        </w:tc>
        <w:tc>
          <w:tcPr>
            <w:tcW w:w="1579" w:type="dxa"/>
            <w:vAlign w:val="center"/>
          </w:tcPr>
          <w:p w14:paraId="21AC5718">
            <w:pPr>
              <w:pStyle w:val="71"/>
              <w:spacing w:before="24" w:after="24"/>
              <w:rPr>
                <w:rFonts w:cs="Times New Roman"/>
              </w:rPr>
            </w:pPr>
            <w:r>
              <w:rPr>
                <w:rFonts w:cs="Times New Roman"/>
              </w:rPr>
              <w:t xml:space="preserve">温度传感器 </w:t>
            </w:r>
          </w:p>
        </w:tc>
        <w:tc>
          <w:tcPr>
            <w:tcW w:w="5602" w:type="dxa"/>
            <w:vAlign w:val="center"/>
          </w:tcPr>
          <w:p w14:paraId="6B95EC83">
            <w:pPr>
              <w:pStyle w:val="71"/>
              <w:spacing w:before="24" w:after="24"/>
              <w:jc w:val="both"/>
              <w:rPr>
                <w:rFonts w:cs="Times New Roman"/>
              </w:rPr>
            </w:pPr>
            <w:r>
              <w:rPr>
                <w:rFonts w:cs="Times New Roman"/>
              </w:rPr>
              <w:t xml:space="preserve">测量范围：-20℃～70℃；精度：±0.5℃；分辨率：0.1℃ </w:t>
            </w:r>
          </w:p>
        </w:tc>
      </w:tr>
      <w:tr w14:paraId="1AF7AEAB">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86" w:type="dxa"/>
            <w:vAlign w:val="center"/>
          </w:tcPr>
          <w:p w14:paraId="080C5B73">
            <w:pPr>
              <w:pStyle w:val="71"/>
              <w:spacing w:before="24" w:after="24"/>
              <w:rPr>
                <w:rFonts w:cs="Times New Roman"/>
              </w:rPr>
            </w:pPr>
            <w:r>
              <w:rPr>
                <w:rFonts w:cs="Times New Roman"/>
              </w:rPr>
              <w:t>38</w:t>
            </w:r>
          </w:p>
        </w:tc>
        <w:tc>
          <w:tcPr>
            <w:tcW w:w="1276" w:type="dxa"/>
            <w:vMerge w:val="continue"/>
            <w:vAlign w:val="center"/>
          </w:tcPr>
          <w:p w14:paraId="5D1CEDEB">
            <w:pPr>
              <w:pStyle w:val="71"/>
              <w:spacing w:before="24" w:after="24"/>
              <w:rPr>
                <w:rFonts w:cs="Times New Roman"/>
              </w:rPr>
            </w:pPr>
          </w:p>
        </w:tc>
        <w:tc>
          <w:tcPr>
            <w:tcW w:w="1579" w:type="dxa"/>
            <w:vAlign w:val="center"/>
          </w:tcPr>
          <w:p w14:paraId="39E0317B">
            <w:pPr>
              <w:pStyle w:val="71"/>
              <w:spacing w:before="24" w:after="24"/>
              <w:rPr>
                <w:rFonts w:cs="Times New Roman"/>
              </w:rPr>
            </w:pPr>
            <w:r>
              <w:rPr>
                <w:rFonts w:cs="Times New Roman"/>
              </w:rPr>
              <w:t xml:space="preserve">湿度传感器 </w:t>
            </w:r>
          </w:p>
        </w:tc>
        <w:tc>
          <w:tcPr>
            <w:tcW w:w="5602" w:type="dxa"/>
            <w:vAlign w:val="center"/>
          </w:tcPr>
          <w:p w14:paraId="68D6FEBE">
            <w:pPr>
              <w:pStyle w:val="71"/>
              <w:spacing w:before="24" w:after="24"/>
              <w:jc w:val="both"/>
              <w:rPr>
                <w:rFonts w:cs="Times New Roman"/>
              </w:rPr>
            </w:pPr>
            <w:r>
              <w:rPr>
                <w:rFonts w:cs="Times New Roman"/>
              </w:rPr>
              <w:t xml:space="preserve">测量范围：0%RH～100%RH；精度：±2%RH；分辨率：1%RH </w:t>
            </w:r>
          </w:p>
        </w:tc>
      </w:tr>
      <w:tr w14:paraId="784AD360">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86" w:type="dxa"/>
            <w:vAlign w:val="center"/>
          </w:tcPr>
          <w:p w14:paraId="2AF4A253">
            <w:pPr>
              <w:pStyle w:val="71"/>
              <w:spacing w:before="24" w:after="24"/>
              <w:rPr>
                <w:rFonts w:cs="Times New Roman"/>
              </w:rPr>
            </w:pPr>
            <w:r>
              <w:rPr>
                <w:rFonts w:cs="Times New Roman"/>
              </w:rPr>
              <w:t xml:space="preserve">39 </w:t>
            </w:r>
          </w:p>
        </w:tc>
        <w:tc>
          <w:tcPr>
            <w:tcW w:w="1276" w:type="dxa"/>
            <w:vMerge w:val="continue"/>
            <w:vAlign w:val="center"/>
          </w:tcPr>
          <w:p w14:paraId="06041995">
            <w:pPr>
              <w:pStyle w:val="71"/>
              <w:spacing w:before="24" w:after="24"/>
              <w:rPr>
                <w:rFonts w:cs="Times New Roman"/>
              </w:rPr>
            </w:pPr>
          </w:p>
        </w:tc>
        <w:tc>
          <w:tcPr>
            <w:tcW w:w="1579" w:type="dxa"/>
            <w:vAlign w:val="center"/>
          </w:tcPr>
          <w:p w14:paraId="66560AEB">
            <w:pPr>
              <w:pStyle w:val="71"/>
              <w:spacing w:before="24" w:after="24"/>
              <w:rPr>
                <w:rFonts w:cs="Times New Roman"/>
              </w:rPr>
            </w:pPr>
            <w:r>
              <w:rPr>
                <w:rFonts w:cs="Times New Roman"/>
              </w:rPr>
              <w:t xml:space="preserve">风速传感器 </w:t>
            </w:r>
          </w:p>
        </w:tc>
        <w:tc>
          <w:tcPr>
            <w:tcW w:w="5602" w:type="dxa"/>
            <w:vAlign w:val="center"/>
          </w:tcPr>
          <w:p w14:paraId="0DEDD681">
            <w:pPr>
              <w:pStyle w:val="71"/>
              <w:spacing w:before="24" w:after="24"/>
              <w:jc w:val="both"/>
              <w:rPr>
                <w:rFonts w:cs="Times New Roman"/>
              </w:rPr>
            </w:pPr>
            <w:r>
              <w:rPr>
                <w:rFonts w:cs="Times New Roman"/>
              </w:rPr>
              <w:t xml:space="preserve">测量范围： 0 m/s～35 m/s；精度：±0.5 m/s；分辨率：0.1 m/s </w:t>
            </w:r>
          </w:p>
        </w:tc>
      </w:tr>
      <w:tr w14:paraId="3FE0F145">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86" w:type="dxa"/>
            <w:vAlign w:val="center"/>
          </w:tcPr>
          <w:p w14:paraId="699BF2C6">
            <w:pPr>
              <w:pStyle w:val="71"/>
              <w:spacing w:before="24" w:after="24"/>
              <w:rPr>
                <w:rFonts w:cs="Times New Roman"/>
              </w:rPr>
            </w:pPr>
            <w:r>
              <w:rPr>
                <w:rFonts w:cs="Times New Roman"/>
              </w:rPr>
              <w:t xml:space="preserve">40 </w:t>
            </w:r>
          </w:p>
        </w:tc>
        <w:tc>
          <w:tcPr>
            <w:tcW w:w="1276" w:type="dxa"/>
            <w:vMerge w:val="continue"/>
            <w:vAlign w:val="center"/>
          </w:tcPr>
          <w:p w14:paraId="1EBD7B29">
            <w:pPr>
              <w:pStyle w:val="71"/>
              <w:spacing w:before="24" w:after="24"/>
              <w:rPr>
                <w:rFonts w:cs="Times New Roman"/>
              </w:rPr>
            </w:pPr>
          </w:p>
        </w:tc>
        <w:tc>
          <w:tcPr>
            <w:tcW w:w="1579" w:type="dxa"/>
            <w:vAlign w:val="center"/>
          </w:tcPr>
          <w:p w14:paraId="662A9694">
            <w:pPr>
              <w:pStyle w:val="71"/>
              <w:spacing w:before="24" w:after="24"/>
              <w:rPr>
                <w:rFonts w:cs="Times New Roman"/>
              </w:rPr>
            </w:pPr>
            <w:r>
              <w:rPr>
                <w:rFonts w:cs="Times New Roman"/>
              </w:rPr>
              <w:t xml:space="preserve">风向传感器 </w:t>
            </w:r>
          </w:p>
        </w:tc>
        <w:tc>
          <w:tcPr>
            <w:tcW w:w="5602" w:type="dxa"/>
            <w:vAlign w:val="center"/>
          </w:tcPr>
          <w:p w14:paraId="0ADF9EEF">
            <w:pPr>
              <w:pStyle w:val="71"/>
              <w:spacing w:before="24" w:after="24"/>
              <w:jc w:val="both"/>
              <w:rPr>
                <w:rFonts w:cs="Times New Roman"/>
              </w:rPr>
            </w:pPr>
            <w:r>
              <w:rPr>
                <w:rFonts w:cs="Times New Roman"/>
              </w:rPr>
              <w:t xml:space="preserve">测量范围：16方位 </w:t>
            </w:r>
          </w:p>
        </w:tc>
      </w:tr>
      <w:tr w14:paraId="73B34820">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86" w:type="dxa"/>
            <w:vAlign w:val="center"/>
          </w:tcPr>
          <w:p w14:paraId="3394B19E">
            <w:pPr>
              <w:pStyle w:val="71"/>
              <w:spacing w:before="24" w:after="24"/>
              <w:rPr>
                <w:rFonts w:cs="Times New Roman"/>
              </w:rPr>
            </w:pPr>
            <w:r>
              <w:rPr>
                <w:rFonts w:cs="Times New Roman"/>
              </w:rPr>
              <w:t xml:space="preserve">41 </w:t>
            </w:r>
          </w:p>
        </w:tc>
        <w:tc>
          <w:tcPr>
            <w:tcW w:w="1276" w:type="dxa"/>
            <w:vAlign w:val="center"/>
          </w:tcPr>
          <w:p w14:paraId="6A6ED429">
            <w:pPr>
              <w:pStyle w:val="71"/>
              <w:spacing w:before="24" w:after="24"/>
              <w:rPr>
                <w:rFonts w:cs="Times New Roman"/>
              </w:rPr>
            </w:pPr>
            <w:r>
              <w:rPr>
                <w:rFonts w:cs="Times New Roman"/>
              </w:rPr>
              <w:t>噪声监测管理</w:t>
            </w:r>
          </w:p>
        </w:tc>
        <w:tc>
          <w:tcPr>
            <w:tcW w:w="1579" w:type="dxa"/>
            <w:vAlign w:val="center"/>
          </w:tcPr>
          <w:p w14:paraId="38CE19F6">
            <w:pPr>
              <w:pStyle w:val="71"/>
              <w:spacing w:before="24" w:after="24"/>
              <w:rPr>
                <w:rFonts w:cs="Times New Roman"/>
              </w:rPr>
            </w:pPr>
            <w:r>
              <w:rPr>
                <w:rFonts w:cs="Times New Roman"/>
              </w:rPr>
              <w:t xml:space="preserve">噪声传感器 </w:t>
            </w:r>
          </w:p>
        </w:tc>
        <w:tc>
          <w:tcPr>
            <w:tcW w:w="5602" w:type="dxa"/>
            <w:vAlign w:val="center"/>
          </w:tcPr>
          <w:p w14:paraId="55C6CFE0">
            <w:pPr>
              <w:pStyle w:val="71"/>
              <w:spacing w:before="24" w:after="24"/>
              <w:jc w:val="both"/>
              <w:rPr>
                <w:rFonts w:cs="Times New Roman"/>
              </w:rPr>
            </w:pPr>
            <w:r>
              <w:rPr>
                <w:rFonts w:cs="Times New Roman"/>
              </w:rPr>
              <w:t>测量范围：30 dB（A）～130 dB（A）；精度：±1.5 dB（A）；分辨率：1 dB（A）</w:t>
            </w:r>
          </w:p>
          <w:p w14:paraId="4721B897">
            <w:pPr>
              <w:pStyle w:val="71"/>
              <w:spacing w:before="24" w:after="24"/>
              <w:jc w:val="both"/>
              <w:rPr>
                <w:rFonts w:cs="Times New Roman"/>
              </w:rPr>
            </w:pPr>
            <w:r>
              <w:rPr>
                <w:rFonts w:cs="Times New Roman"/>
              </w:rPr>
              <w:t xml:space="preserve">频率范围：31.5 Hz～8 kHz </w:t>
            </w:r>
          </w:p>
        </w:tc>
      </w:tr>
      <w:tr w14:paraId="39A63584">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86" w:type="dxa"/>
            <w:vAlign w:val="center"/>
          </w:tcPr>
          <w:p w14:paraId="3FE2FA92">
            <w:pPr>
              <w:pStyle w:val="71"/>
              <w:spacing w:before="24" w:after="24"/>
              <w:rPr>
                <w:rFonts w:cs="Times New Roman"/>
              </w:rPr>
            </w:pPr>
            <w:r>
              <w:rPr>
                <w:rFonts w:cs="Times New Roman"/>
              </w:rPr>
              <w:t xml:space="preserve">42 </w:t>
            </w:r>
          </w:p>
        </w:tc>
        <w:tc>
          <w:tcPr>
            <w:tcW w:w="1276" w:type="dxa"/>
            <w:vAlign w:val="center"/>
          </w:tcPr>
          <w:p w14:paraId="01B39221">
            <w:pPr>
              <w:pStyle w:val="71"/>
              <w:spacing w:before="24" w:after="24"/>
              <w:rPr>
                <w:rFonts w:cs="Times New Roman"/>
              </w:rPr>
            </w:pPr>
            <w:r>
              <w:rPr>
                <w:rFonts w:cs="Times New Roman"/>
              </w:rPr>
              <w:t>自动喷淋</w:t>
            </w:r>
          </w:p>
          <w:p w14:paraId="60F99C5B">
            <w:pPr>
              <w:pStyle w:val="71"/>
              <w:spacing w:before="24" w:after="24"/>
              <w:rPr>
                <w:rFonts w:cs="Times New Roman"/>
              </w:rPr>
            </w:pPr>
            <w:r>
              <w:rPr>
                <w:rFonts w:cs="Times New Roman"/>
              </w:rPr>
              <w:t>联控</w:t>
            </w:r>
          </w:p>
        </w:tc>
        <w:tc>
          <w:tcPr>
            <w:tcW w:w="1579" w:type="dxa"/>
            <w:vAlign w:val="center"/>
          </w:tcPr>
          <w:p w14:paraId="62F03AE2">
            <w:pPr>
              <w:pStyle w:val="71"/>
              <w:spacing w:before="24" w:after="24"/>
              <w:rPr>
                <w:rFonts w:cs="Times New Roman"/>
              </w:rPr>
            </w:pPr>
            <w:r>
              <w:rPr>
                <w:rFonts w:cs="Times New Roman"/>
              </w:rPr>
              <w:t xml:space="preserve">喷淋控制器 </w:t>
            </w:r>
          </w:p>
        </w:tc>
        <w:tc>
          <w:tcPr>
            <w:tcW w:w="5602" w:type="dxa"/>
            <w:vAlign w:val="center"/>
          </w:tcPr>
          <w:p w14:paraId="350FC931">
            <w:pPr>
              <w:pStyle w:val="71"/>
              <w:spacing w:before="24" w:after="24"/>
              <w:jc w:val="both"/>
              <w:rPr>
                <w:rFonts w:cs="Times New Roman"/>
              </w:rPr>
            </w:pPr>
            <w:r>
              <w:rPr>
                <w:rFonts w:cs="Times New Roman"/>
              </w:rPr>
              <w:t xml:space="preserve">设备支持多种启动模式，应包括平台远程启动；平台端应支持设备状态反馈设备支持控制电磁阀或水泵启动；设备满足4G/5G通讯，宜支持TCP/IP协议；设备工作温度应满足：-20℃～70℃ </w:t>
            </w:r>
          </w:p>
        </w:tc>
      </w:tr>
      <w:tr w14:paraId="36705BF2">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86" w:type="dxa"/>
            <w:vAlign w:val="center"/>
          </w:tcPr>
          <w:p w14:paraId="385FE531">
            <w:pPr>
              <w:pStyle w:val="71"/>
              <w:spacing w:before="24" w:after="24"/>
              <w:rPr>
                <w:rFonts w:cs="Times New Roman"/>
              </w:rPr>
            </w:pPr>
            <w:r>
              <w:rPr>
                <w:rFonts w:cs="Times New Roman"/>
              </w:rPr>
              <w:t xml:space="preserve">43 </w:t>
            </w:r>
          </w:p>
        </w:tc>
        <w:tc>
          <w:tcPr>
            <w:tcW w:w="1276" w:type="dxa"/>
            <w:vMerge w:val="restart"/>
            <w:vAlign w:val="center"/>
          </w:tcPr>
          <w:p w14:paraId="51E85347">
            <w:pPr>
              <w:pStyle w:val="71"/>
              <w:spacing w:before="24" w:after="24"/>
              <w:rPr>
                <w:rFonts w:cs="Times New Roman"/>
              </w:rPr>
            </w:pPr>
            <w:r>
              <w:rPr>
                <w:rFonts w:cs="Times New Roman"/>
              </w:rPr>
              <w:t>水电能耗</w:t>
            </w:r>
          </w:p>
          <w:p w14:paraId="58CFB9C3">
            <w:pPr>
              <w:pStyle w:val="71"/>
              <w:spacing w:before="24" w:after="24"/>
              <w:rPr>
                <w:rFonts w:cs="Times New Roman"/>
              </w:rPr>
            </w:pPr>
            <w:r>
              <w:rPr>
                <w:rFonts w:cs="Times New Roman"/>
              </w:rPr>
              <w:t xml:space="preserve">监测 </w:t>
            </w:r>
          </w:p>
        </w:tc>
        <w:tc>
          <w:tcPr>
            <w:tcW w:w="1579" w:type="dxa"/>
            <w:vAlign w:val="center"/>
          </w:tcPr>
          <w:p w14:paraId="3416480E">
            <w:pPr>
              <w:pStyle w:val="71"/>
              <w:spacing w:before="24" w:after="24"/>
              <w:rPr>
                <w:rFonts w:cs="Times New Roman"/>
              </w:rPr>
            </w:pPr>
            <w:r>
              <w:rPr>
                <w:rFonts w:cs="Times New Roman"/>
              </w:rPr>
              <w:t xml:space="preserve">智能水表 </w:t>
            </w:r>
          </w:p>
        </w:tc>
        <w:tc>
          <w:tcPr>
            <w:tcW w:w="5602" w:type="dxa"/>
            <w:vAlign w:val="center"/>
          </w:tcPr>
          <w:p w14:paraId="55D70F3C">
            <w:pPr>
              <w:pStyle w:val="71"/>
              <w:spacing w:before="24" w:after="24"/>
              <w:jc w:val="both"/>
              <w:rPr>
                <w:rFonts w:cs="Times New Roman"/>
              </w:rPr>
            </w:pPr>
            <w:r>
              <w:rPr>
                <w:rFonts w:cs="Times New Roman"/>
              </w:rPr>
              <w:t xml:space="preserve">量程：不小于9999 m³；冷水表水温满足：≤30℃；热水表水温满足：≤90℃ 水表通信接口宜满足：RS485，MBUS，4G，NB，通信协议需对外开放；水表材质宜为球墨铸铁、碳钢或者不锈钢（饮用水） </w:t>
            </w:r>
          </w:p>
        </w:tc>
      </w:tr>
      <w:tr w14:paraId="2C31214C">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86" w:type="dxa"/>
            <w:vAlign w:val="center"/>
          </w:tcPr>
          <w:p w14:paraId="0F842304">
            <w:pPr>
              <w:pStyle w:val="71"/>
              <w:spacing w:before="24" w:after="24"/>
              <w:rPr>
                <w:rFonts w:cs="Times New Roman"/>
              </w:rPr>
            </w:pPr>
            <w:r>
              <w:rPr>
                <w:rFonts w:cs="Times New Roman"/>
              </w:rPr>
              <w:t xml:space="preserve">44 </w:t>
            </w:r>
          </w:p>
        </w:tc>
        <w:tc>
          <w:tcPr>
            <w:tcW w:w="1276" w:type="dxa"/>
            <w:vMerge w:val="continue"/>
            <w:vAlign w:val="center"/>
          </w:tcPr>
          <w:p w14:paraId="5B400A99">
            <w:pPr>
              <w:pStyle w:val="71"/>
              <w:spacing w:before="24" w:after="24"/>
              <w:rPr>
                <w:rFonts w:cs="Times New Roman"/>
              </w:rPr>
            </w:pPr>
          </w:p>
        </w:tc>
        <w:tc>
          <w:tcPr>
            <w:tcW w:w="1579" w:type="dxa"/>
            <w:vAlign w:val="center"/>
          </w:tcPr>
          <w:p w14:paraId="42E3679F">
            <w:pPr>
              <w:pStyle w:val="71"/>
              <w:spacing w:before="24" w:after="24"/>
              <w:rPr>
                <w:rFonts w:cs="Times New Roman"/>
              </w:rPr>
            </w:pPr>
            <w:r>
              <w:rPr>
                <w:rFonts w:cs="Times New Roman"/>
              </w:rPr>
              <w:t>智能电表</w:t>
            </w:r>
          </w:p>
        </w:tc>
        <w:tc>
          <w:tcPr>
            <w:tcW w:w="5602" w:type="dxa"/>
            <w:vAlign w:val="center"/>
          </w:tcPr>
          <w:p w14:paraId="290B2903">
            <w:pPr>
              <w:pStyle w:val="71"/>
              <w:spacing w:before="24" w:after="24"/>
              <w:jc w:val="both"/>
              <w:rPr>
                <w:rFonts w:cs="Times New Roman"/>
              </w:rPr>
            </w:pPr>
            <w:r>
              <w:rPr>
                <w:rFonts w:cs="Times New Roman"/>
              </w:rPr>
              <w:t>量程：不小于99999.9kW/h；准确度等级宜满足：直接接入：有功1级；互感接入：0.5S级；工作电压满足：交流175V～250V；通讯方式满足：RS485通讯，波特率可选，通信协议需对外开放</w:t>
            </w:r>
          </w:p>
        </w:tc>
      </w:tr>
      <w:tr w14:paraId="6AEE5B00">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86" w:type="dxa"/>
            <w:vAlign w:val="center"/>
          </w:tcPr>
          <w:p w14:paraId="73D725D7">
            <w:pPr>
              <w:pStyle w:val="71"/>
              <w:spacing w:before="24" w:after="24"/>
              <w:rPr>
                <w:rFonts w:cs="Times New Roman"/>
              </w:rPr>
            </w:pPr>
            <w:r>
              <w:rPr>
                <w:rFonts w:cs="Times New Roman"/>
              </w:rPr>
              <w:t>45</w:t>
            </w:r>
          </w:p>
        </w:tc>
        <w:tc>
          <w:tcPr>
            <w:tcW w:w="1276" w:type="dxa"/>
            <w:vMerge w:val="continue"/>
            <w:vAlign w:val="center"/>
          </w:tcPr>
          <w:p w14:paraId="1FD3A304">
            <w:pPr>
              <w:pStyle w:val="71"/>
              <w:spacing w:before="24" w:after="24"/>
              <w:rPr>
                <w:rFonts w:cs="Times New Roman"/>
              </w:rPr>
            </w:pPr>
          </w:p>
        </w:tc>
        <w:tc>
          <w:tcPr>
            <w:tcW w:w="1579" w:type="dxa"/>
            <w:vAlign w:val="center"/>
          </w:tcPr>
          <w:p w14:paraId="15219850">
            <w:pPr>
              <w:pStyle w:val="71"/>
              <w:spacing w:before="24" w:after="24"/>
              <w:rPr>
                <w:rFonts w:cs="Times New Roman"/>
              </w:rPr>
            </w:pPr>
            <w:r>
              <w:rPr>
                <w:rFonts w:cs="Times New Roman"/>
              </w:rPr>
              <w:t>数据采集器</w:t>
            </w:r>
          </w:p>
        </w:tc>
        <w:tc>
          <w:tcPr>
            <w:tcW w:w="5602" w:type="dxa"/>
            <w:vAlign w:val="center"/>
          </w:tcPr>
          <w:p w14:paraId="44DCEFF5">
            <w:pPr>
              <w:pStyle w:val="71"/>
              <w:spacing w:before="24" w:after="24"/>
              <w:jc w:val="both"/>
              <w:rPr>
                <w:rFonts w:cs="Times New Roman"/>
              </w:rPr>
            </w:pPr>
            <w:r>
              <w:rPr>
                <w:rFonts w:cs="Times New Roman"/>
              </w:rPr>
              <w:t>外设接口宜包括：RS485接口，MBUS接口；通信方式：可选TCP/IP、NB-IOT、4G/5G；单个采集器带载上限不宜低于64个</w:t>
            </w:r>
          </w:p>
        </w:tc>
      </w:tr>
      <w:tr w14:paraId="11E1B61E">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86" w:type="dxa"/>
            <w:vAlign w:val="center"/>
          </w:tcPr>
          <w:p w14:paraId="5525F666">
            <w:pPr>
              <w:pStyle w:val="71"/>
              <w:spacing w:before="24" w:after="24"/>
              <w:rPr>
                <w:rFonts w:cs="Times New Roman"/>
              </w:rPr>
            </w:pPr>
            <w:r>
              <w:rPr>
                <w:rFonts w:cs="Times New Roman"/>
              </w:rPr>
              <w:t>46</w:t>
            </w:r>
          </w:p>
        </w:tc>
        <w:tc>
          <w:tcPr>
            <w:tcW w:w="1276" w:type="dxa"/>
            <w:vAlign w:val="center"/>
          </w:tcPr>
          <w:p w14:paraId="2C6A9A5F">
            <w:pPr>
              <w:pStyle w:val="71"/>
              <w:spacing w:before="24" w:after="24"/>
              <w:rPr>
                <w:rFonts w:cs="Times New Roman"/>
              </w:rPr>
            </w:pPr>
            <w:r>
              <w:rPr>
                <w:rFonts w:cs="Times New Roman"/>
              </w:rPr>
              <w:t>渣土车未</w:t>
            </w:r>
          </w:p>
          <w:p w14:paraId="10B0F6E5">
            <w:pPr>
              <w:pStyle w:val="71"/>
              <w:spacing w:before="24" w:after="24"/>
              <w:rPr>
                <w:rFonts w:cs="Times New Roman"/>
              </w:rPr>
            </w:pPr>
            <w:r>
              <w:rPr>
                <w:rFonts w:cs="Times New Roman"/>
              </w:rPr>
              <w:t>冲洗监测</w:t>
            </w:r>
          </w:p>
        </w:tc>
        <w:tc>
          <w:tcPr>
            <w:tcW w:w="1579" w:type="dxa"/>
            <w:vAlign w:val="center"/>
          </w:tcPr>
          <w:p w14:paraId="6FFC747F">
            <w:pPr>
              <w:pStyle w:val="71"/>
              <w:spacing w:before="24" w:after="24"/>
              <w:rPr>
                <w:rFonts w:cs="Times New Roman"/>
              </w:rPr>
            </w:pPr>
            <w:r>
              <w:rPr>
                <w:rFonts w:cs="Times New Roman"/>
              </w:rPr>
              <w:t>摄像机</w:t>
            </w:r>
          </w:p>
        </w:tc>
        <w:tc>
          <w:tcPr>
            <w:tcW w:w="5602" w:type="dxa"/>
            <w:vAlign w:val="center"/>
          </w:tcPr>
          <w:p w14:paraId="430E2D03">
            <w:pPr>
              <w:pStyle w:val="71"/>
              <w:spacing w:before="24" w:after="24"/>
              <w:jc w:val="both"/>
              <w:rPr>
                <w:rFonts w:cs="Times New Roman"/>
              </w:rPr>
            </w:pPr>
            <w:r>
              <w:rPr>
                <w:rFonts w:cs="Times New Roman"/>
              </w:rPr>
              <w:t>不低于200万像素；编码模式：支持H.265、H.264；补光类型：红外或白光，补光距离：不低于50m；接入标准：ONVIF、GB/T28181</w:t>
            </w:r>
          </w:p>
        </w:tc>
      </w:tr>
      <w:tr w14:paraId="77D5BDD9">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86" w:type="dxa"/>
            <w:vAlign w:val="center"/>
          </w:tcPr>
          <w:p w14:paraId="1B145133">
            <w:pPr>
              <w:pStyle w:val="71"/>
              <w:spacing w:before="24" w:after="24"/>
              <w:rPr>
                <w:rFonts w:cs="Times New Roman"/>
              </w:rPr>
            </w:pPr>
            <w:r>
              <w:rPr>
                <w:rFonts w:cs="Times New Roman"/>
              </w:rPr>
              <w:t>47</w:t>
            </w:r>
          </w:p>
        </w:tc>
        <w:tc>
          <w:tcPr>
            <w:tcW w:w="1276" w:type="dxa"/>
            <w:vAlign w:val="center"/>
          </w:tcPr>
          <w:p w14:paraId="757BE31F">
            <w:pPr>
              <w:pStyle w:val="71"/>
              <w:spacing w:before="24" w:after="24"/>
              <w:rPr>
                <w:rFonts w:cs="Times New Roman"/>
              </w:rPr>
            </w:pPr>
            <w:r>
              <w:rPr>
                <w:rFonts w:cs="Times New Roman"/>
              </w:rPr>
              <w:t>渣土车未</w:t>
            </w:r>
          </w:p>
          <w:p w14:paraId="2CC5150C">
            <w:pPr>
              <w:pStyle w:val="71"/>
              <w:spacing w:before="24" w:after="24"/>
              <w:rPr>
                <w:rFonts w:cs="Times New Roman"/>
              </w:rPr>
            </w:pPr>
            <w:r>
              <w:rPr>
                <w:rFonts w:cs="Times New Roman"/>
              </w:rPr>
              <w:t>加盖监测</w:t>
            </w:r>
          </w:p>
        </w:tc>
        <w:tc>
          <w:tcPr>
            <w:tcW w:w="1579" w:type="dxa"/>
            <w:vAlign w:val="center"/>
          </w:tcPr>
          <w:p w14:paraId="1FC53FB5">
            <w:pPr>
              <w:pStyle w:val="71"/>
              <w:spacing w:before="24" w:after="24"/>
              <w:rPr>
                <w:rFonts w:cs="Times New Roman"/>
              </w:rPr>
            </w:pPr>
            <w:r>
              <w:rPr>
                <w:rFonts w:cs="Times New Roman"/>
              </w:rPr>
              <w:t>摄像机</w:t>
            </w:r>
          </w:p>
        </w:tc>
        <w:tc>
          <w:tcPr>
            <w:tcW w:w="5602" w:type="dxa"/>
            <w:vAlign w:val="center"/>
          </w:tcPr>
          <w:p w14:paraId="6D29CE21">
            <w:pPr>
              <w:pStyle w:val="71"/>
              <w:spacing w:before="24" w:after="24"/>
              <w:jc w:val="both"/>
              <w:rPr>
                <w:rFonts w:cs="Times New Roman"/>
              </w:rPr>
            </w:pPr>
            <w:r>
              <w:rPr>
                <w:rFonts w:cs="Times New Roman"/>
              </w:rPr>
              <w:t>不低于200万像素；编码模式：支持H.265、H.264；补光类型：红外或白光，补光距离：不低于50m；接入标准：ONVIF、GB/T28181</w:t>
            </w:r>
          </w:p>
        </w:tc>
      </w:tr>
    </w:tbl>
    <w:p w14:paraId="5DE12365">
      <w:pPr>
        <w:spacing w:before="24" w:after="24"/>
        <w:jc w:val="center"/>
        <w:rPr>
          <w:rFonts w:ascii="Times New Roman" w:hAnsi="Times New Roman" w:cs="Times New Roman"/>
        </w:rPr>
      </w:pPr>
    </w:p>
    <w:p w14:paraId="2117B362">
      <w:pPr>
        <w:spacing w:before="24" w:after="24"/>
        <w:rPr>
          <w:rFonts w:ascii="Times New Roman" w:hAnsi="Times New Roman" w:cs="Times New Roman"/>
        </w:rPr>
      </w:pPr>
    </w:p>
    <w:sectPr>
      <w:footerReference r:id="rId10" w:type="default"/>
      <w:pgSz w:w="11906" w:h="16838"/>
      <w:pgMar w:top="1304" w:right="1418" w:bottom="1304" w:left="1418" w:header="737" w:footer="624" w:gutter="0"/>
      <w:pgNumType w:start="1"/>
      <w:cols w:space="425"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Courier New">
    <w:panose1 w:val="02070309020205020404"/>
    <w:charset w:val="00"/>
    <w:family w:val="modern"/>
    <w:pitch w:val="default"/>
    <w:sig w:usb0="E0002EFF" w:usb1="C0007843" w:usb2="00000009" w:usb3="00000000" w:csb0="400001FF" w:csb1="FFFF0000"/>
  </w:font>
  <w:font w:name="方正小标宋简体">
    <w:altName w:val="方正舒体"/>
    <w:panose1 w:val="02010601030101010101"/>
    <w:charset w:val="86"/>
    <w:family w:val="auto"/>
    <w:pitch w:val="default"/>
    <w:sig w:usb0="00000000" w:usb1="00000000" w:usb2="00000012" w:usb3="00000000" w:csb0="00040001" w:csb1="00000000"/>
  </w:font>
  <w:font w:name="Arial">
    <w:panose1 w:val="020B0604020202020204"/>
    <w:charset w:val="00"/>
    <w:family w:val="swiss"/>
    <w:pitch w:val="default"/>
    <w:sig w:usb0="E0002EFF" w:usb1="C000785B" w:usb2="00000009" w:usb3="00000000" w:csb0="400001FF" w:csb1="FFFF0000"/>
  </w:font>
  <w:font w:name="华文新魏">
    <w:panose1 w:val="02010800040101010101"/>
    <w:charset w:val="86"/>
    <w:family w:val="auto"/>
    <w:pitch w:val="default"/>
    <w:sig w:usb0="00000001" w:usb1="080F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方正书宋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MS Gothic">
    <w:panose1 w:val="020B0609070205080204"/>
    <w:charset w:val="80"/>
    <w:family w:val="modern"/>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PingFang SC">
    <w:altName w:val="宋体"/>
    <w:panose1 w:val="00000000000000000000"/>
    <w:charset w:val="86"/>
    <w:family w:val="auto"/>
    <w:pitch w:val="default"/>
    <w:sig w:usb0="00000000" w:usb1="00000000" w:usb2="00000017" w:usb3="00000000" w:csb0="00040001" w:csb1="00000000"/>
  </w:font>
  <w:font w:name="方正舒体">
    <w:panose1 w:val="02010601030101010101"/>
    <w:charset w:val="86"/>
    <w:family w:val="auto"/>
    <w:pitch w:val="default"/>
    <w:sig w:usb0="00000003"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F00C7">
    <w:pPr>
      <w:pStyle w:val="79"/>
    </w:pPr>
    <w:r>
      <w:fldChar w:fldCharType="begin"/>
    </w:r>
    <w:r>
      <w:instrText xml:space="preserve">PAGE  \* Arabic  \* MERGEFORMAT</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33BF1C">
    <w:pPr>
      <w:pStyle w:val="18"/>
      <w:rPr>
        <w:rFonts w:hint="eastAsia"/>
      </w:rPr>
    </w:pPr>
    <w:r>
      <w:t xml:space="preserve"> </w:t>
    </w:r>
    <w:r>
      <w:fldChar w:fldCharType="begin"/>
    </w:r>
    <w:r>
      <w:instrText xml:space="preserve">PAGE  \* Arabic  \* MERGEFORMAT</w:instrText>
    </w:r>
    <w:r>
      <w:fldChar w:fldCharType="separate"/>
    </w:r>
    <w:r>
      <w:t>2</w:t>
    </w:r>
    <w:r>
      <w:fldChar w:fldCharType="end"/>
    </w:r>
    <w:r>
      <w:t xml:space="preserve"> / </w:t>
    </w:r>
    <w:r>
      <w:fldChar w:fldCharType="begin"/>
    </w:r>
    <w:r>
      <w:instrText xml:space="preserve">NUMPAGES  \* Arabic  \* MERGEFORMAT</w:instrText>
    </w:r>
    <w:r>
      <w:fldChar w:fldCharType="separate"/>
    </w:r>
    <w: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AD3D6">
    <w:pPr>
      <w:pStyle w:val="75"/>
      <w:spacing w:before="24" w:after="24"/>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9DC047">
    <w:pPr>
      <w:pStyle w:val="19"/>
      <w:spacing w:before="24" w:after="24"/>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B593F">
    <w:pPr>
      <w:pStyle w:val="19"/>
      <w:spacing w:before="24" w:after="24"/>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E1A1B6">
    <w:pPr>
      <w:pStyle w:val="75"/>
      <w:spacing w:before="24" w:after="24"/>
      <w:jc w:val="both"/>
    </w:pPr>
    <w:r>
      <w:rPr>
        <w:rFonts w:hint="eastAsia"/>
      </w:rPr>
      <w:t>德钦县城地质灾害避险搬迁近期建设项目二期</w:t>
    </w:r>
    <w:r>
      <w:rPr>
        <w:rFonts w:hint="eastAsia"/>
        <w14:ligatures w14:val="standardContextual"/>
      </w:rPr>
      <mc:AlternateContent>
        <mc:Choice Requires="wps">
          <w:drawing>
            <wp:anchor distT="0" distB="0" distL="114300" distR="114300" simplePos="0" relativeHeight="251661312" behindDoc="0" locked="0" layoutInCell="1" allowOverlap="1">
              <wp:simplePos x="0" y="0"/>
              <wp:positionH relativeFrom="column">
                <wp:posOffset>-16510</wp:posOffset>
              </wp:positionH>
              <wp:positionV relativeFrom="paragraph">
                <wp:posOffset>212725</wp:posOffset>
              </wp:positionV>
              <wp:extent cx="5814060" cy="0"/>
              <wp:effectExtent l="0" t="0" r="0" b="0"/>
              <wp:wrapNone/>
              <wp:docPr id="926848912" name="直接连接符 2"/>
              <wp:cNvGraphicFramePr/>
              <a:graphic xmlns:a="http://schemas.openxmlformats.org/drawingml/2006/main">
                <a:graphicData uri="http://schemas.microsoft.com/office/word/2010/wordprocessingShape">
                  <wps:wsp>
                    <wps:cNvCnPr/>
                    <wps:spPr>
                      <a:xfrm>
                        <a:off x="0" y="0"/>
                        <a:ext cx="58140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接连接符 2" o:spid="_x0000_s1026" o:spt="20" style="position:absolute;left:0pt;margin-left:-1.3pt;margin-top:16.75pt;height:0pt;width:457.8pt;z-index:251661312;mso-width-relative:page;mso-height-relative:page;" filled="f" stroked="t" coordsize="21600,21600" o:gfxdata="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AawrCDW&#10;AAAACAEAAA8AAAAAAAAAAQAgAAAAIgAAAGRycy9kb3ducmV2LnhtbFBLAQIUABQAAAAIAIdO4kCF&#10;BSem6QEAALkDAAAOAAAAAAAAAAEAIAAAACUBAABkcnMvZTJvRG9jLnhtbFBLBQYAAAAABgAGAFkB&#10;AACABQAAAAA=&#10;">
              <v:fill on="f" focussize="0,0"/>
              <v:stroke weight="0.5pt" color="#000000 [3200]" miterlimit="8" joinstyle="miter"/>
              <v:imagedata o:title=""/>
              <o:lock v:ext="edit" aspectratio="f"/>
            </v:line>
          </w:pict>
        </mc:Fallback>
      </mc:AlternateContent>
    </w:r>
    <w:r>
      <w:rPr>
        <w:rFonts w:hint="eastAsia"/>
      </w:rPr>
      <w:t>设计施工总承包（EPC）             发包人要求</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6EB747"/>
    <w:multiLevelType w:val="singleLevel"/>
    <w:tmpl w:val="9A6EB747"/>
    <w:lvl w:ilvl="0" w:tentative="0">
      <w:start w:val="3"/>
      <w:numFmt w:val="decimal"/>
      <w:suff w:val="nothing"/>
      <w:lvlText w:val="%1、"/>
      <w:lvlJc w:val="left"/>
    </w:lvl>
  </w:abstractNum>
  <w:abstractNum w:abstractNumId="1">
    <w:nsid w:val="9BC0EECB"/>
    <w:multiLevelType w:val="singleLevel"/>
    <w:tmpl w:val="9BC0EECB"/>
    <w:lvl w:ilvl="0" w:tentative="0">
      <w:start w:val="4"/>
      <w:numFmt w:val="decimal"/>
      <w:lvlText w:val="%1."/>
      <w:lvlJc w:val="left"/>
      <w:pPr>
        <w:tabs>
          <w:tab w:val="left" w:pos="312"/>
        </w:tabs>
      </w:pPr>
    </w:lvl>
  </w:abstractNum>
  <w:abstractNum w:abstractNumId="2">
    <w:nsid w:val="9DEB2F63"/>
    <w:multiLevelType w:val="singleLevel"/>
    <w:tmpl w:val="9DEB2F63"/>
    <w:lvl w:ilvl="0" w:tentative="0">
      <w:start w:val="3"/>
      <w:numFmt w:val="decimal"/>
      <w:suff w:val="nothing"/>
      <w:lvlText w:val="（%1）"/>
      <w:lvlJc w:val="left"/>
    </w:lvl>
  </w:abstractNum>
  <w:abstractNum w:abstractNumId="3">
    <w:nsid w:val="CB52F557"/>
    <w:multiLevelType w:val="singleLevel"/>
    <w:tmpl w:val="CB52F557"/>
    <w:lvl w:ilvl="0" w:tentative="0">
      <w:start w:val="1"/>
      <w:numFmt w:val="decimal"/>
      <w:lvlText w:val="%1."/>
      <w:lvlJc w:val="left"/>
      <w:pPr>
        <w:tabs>
          <w:tab w:val="left" w:pos="312"/>
        </w:tabs>
      </w:pPr>
    </w:lvl>
  </w:abstractNum>
  <w:abstractNum w:abstractNumId="4">
    <w:nsid w:val="CFE06B84"/>
    <w:multiLevelType w:val="singleLevel"/>
    <w:tmpl w:val="CFE06B84"/>
    <w:lvl w:ilvl="0" w:tentative="0">
      <w:start w:val="1"/>
      <w:numFmt w:val="decimal"/>
      <w:suff w:val="nothing"/>
      <w:lvlText w:val="%1）"/>
      <w:lvlJc w:val="left"/>
    </w:lvl>
  </w:abstractNum>
  <w:abstractNum w:abstractNumId="5">
    <w:nsid w:val="DFFEE2B5"/>
    <w:multiLevelType w:val="singleLevel"/>
    <w:tmpl w:val="DFFEE2B5"/>
    <w:lvl w:ilvl="0" w:tentative="0">
      <w:start w:val="2"/>
      <w:numFmt w:val="decimal"/>
      <w:suff w:val="nothing"/>
      <w:lvlText w:val="（%1）"/>
      <w:lvlJc w:val="left"/>
    </w:lvl>
  </w:abstractNum>
  <w:abstractNum w:abstractNumId="6">
    <w:nsid w:val="F7AE402E"/>
    <w:multiLevelType w:val="singleLevel"/>
    <w:tmpl w:val="F7AE402E"/>
    <w:lvl w:ilvl="0" w:tentative="0">
      <w:start w:val="2"/>
      <w:numFmt w:val="decimal"/>
      <w:suff w:val="nothing"/>
      <w:lvlText w:val="（%1）"/>
      <w:lvlJc w:val="left"/>
    </w:lvl>
  </w:abstractNum>
  <w:abstractNum w:abstractNumId="7">
    <w:nsid w:val="F7F30CE6"/>
    <w:multiLevelType w:val="singleLevel"/>
    <w:tmpl w:val="F7F30CE6"/>
    <w:lvl w:ilvl="0" w:tentative="0">
      <w:start w:val="1"/>
      <w:numFmt w:val="decimal"/>
      <w:suff w:val="nothing"/>
      <w:lvlText w:val="%1）"/>
      <w:lvlJc w:val="left"/>
    </w:lvl>
  </w:abstractNum>
  <w:abstractNum w:abstractNumId="8">
    <w:nsid w:val="4F7D294F"/>
    <w:multiLevelType w:val="multilevel"/>
    <w:tmpl w:val="4F7D294F"/>
    <w:lvl w:ilvl="0" w:tentative="0">
      <w:start w:val="1"/>
      <w:numFmt w:val="decimal"/>
      <w:suff w:val="nothing"/>
      <w:lvlText w:val="%1"/>
      <w:lvlJc w:val="left"/>
      <w:pPr>
        <w:ind w:left="0" w:firstLine="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712DD94A"/>
    <w:multiLevelType w:val="singleLevel"/>
    <w:tmpl w:val="712DD94A"/>
    <w:lvl w:ilvl="0" w:tentative="0">
      <w:start w:val="1"/>
      <w:numFmt w:val="decimal"/>
      <w:suff w:val="nothing"/>
      <w:lvlText w:val="（%1）"/>
      <w:lvlJc w:val="left"/>
    </w:lvl>
  </w:abstractNum>
  <w:abstractNum w:abstractNumId="10">
    <w:nsid w:val="7E7E659D"/>
    <w:multiLevelType w:val="singleLevel"/>
    <w:tmpl w:val="7E7E659D"/>
    <w:lvl w:ilvl="0" w:tentative="0">
      <w:start w:val="1"/>
      <w:numFmt w:val="decimal"/>
      <w:suff w:val="nothing"/>
      <w:lvlText w:val="%1）"/>
      <w:lvlJc w:val="left"/>
    </w:lvl>
  </w:abstractNum>
  <w:num w:numId="1">
    <w:abstractNumId w:val="8"/>
  </w:num>
  <w:num w:numId="2">
    <w:abstractNumId w:val="5"/>
  </w:num>
  <w:num w:numId="3">
    <w:abstractNumId w:val="1"/>
  </w:num>
  <w:num w:numId="4">
    <w:abstractNumId w:val="9"/>
  </w:num>
  <w:num w:numId="5">
    <w:abstractNumId w:val="0"/>
  </w:num>
  <w:num w:numId="6">
    <w:abstractNumId w:val="3"/>
  </w:num>
  <w:num w:numId="7">
    <w:abstractNumId w:val="6"/>
  </w:num>
  <w:num w:numId="8">
    <w:abstractNumId w:val="7"/>
  </w:num>
  <w:num w:numId="9">
    <w:abstractNumId w:val="10"/>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nforcement="0"/>
  <w:defaultTabStop w:val="420"/>
  <w:drawingGridHorizontalSpacing w:val="105"/>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NmNmNiY2FkMGU2YWYwY2M4YzFhZjU0NWQxZWM5NGMifQ=="/>
  </w:docVars>
  <w:rsids>
    <w:rsidRoot w:val="00172A27"/>
    <w:rsid w:val="00001923"/>
    <w:rsid w:val="000023B1"/>
    <w:rsid w:val="0000254B"/>
    <w:rsid w:val="00002A7E"/>
    <w:rsid w:val="00002F19"/>
    <w:rsid w:val="00010DC4"/>
    <w:rsid w:val="000125B8"/>
    <w:rsid w:val="0001311A"/>
    <w:rsid w:val="00017618"/>
    <w:rsid w:val="00024491"/>
    <w:rsid w:val="00033168"/>
    <w:rsid w:val="0003382F"/>
    <w:rsid w:val="0003451A"/>
    <w:rsid w:val="000365FE"/>
    <w:rsid w:val="000373CC"/>
    <w:rsid w:val="0004172D"/>
    <w:rsid w:val="00043673"/>
    <w:rsid w:val="00044EA2"/>
    <w:rsid w:val="00054035"/>
    <w:rsid w:val="000542FB"/>
    <w:rsid w:val="0005490E"/>
    <w:rsid w:val="000555B5"/>
    <w:rsid w:val="00055E49"/>
    <w:rsid w:val="0005715A"/>
    <w:rsid w:val="00072EDE"/>
    <w:rsid w:val="000734E7"/>
    <w:rsid w:val="00075D5B"/>
    <w:rsid w:val="00090186"/>
    <w:rsid w:val="00090BD9"/>
    <w:rsid w:val="00096C3E"/>
    <w:rsid w:val="000B17BF"/>
    <w:rsid w:val="000B19D0"/>
    <w:rsid w:val="000B2A56"/>
    <w:rsid w:val="000B3B7A"/>
    <w:rsid w:val="000B52A0"/>
    <w:rsid w:val="000B53A2"/>
    <w:rsid w:val="000C051C"/>
    <w:rsid w:val="000C50CC"/>
    <w:rsid w:val="000C6899"/>
    <w:rsid w:val="000C723A"/>
    <w:rsid w:val="000D1322"/>
    <w:rsid w:val="000D32EA"/>
    <w:rsid w:val="000D3409"/>
    <w:rsid w:val="000D3AA1"/>
    <w:rsid w:val="000D4DFE"/>
    <w:rsid w:val="000D5B03"/>
    <w:rsid w:val="000D76D5"/>
    <w:rsid w:val="000D788D"/>
    <w:rsid w:val="000E10EB"/>
    <w:rsid w:val="000E2398"/>
    <w:rsid w:val="000E24FF"/>
    <w:rsid w:val="000E47ED"/>
    <w:rsid w:val="000E64C3"/>
    <w:rsid w:val="000F579C"/>
    <w:rsid w:val="00100F77"/>
    <w:rsid w:val="001030DB"/>
    <w:rsid w:val="0010628A"/>
    <w:rsid w:val="00107AB3"/>
    <w:rsid w:val="001102DA"/>
    <w:rsid w:val="00114CD2"/>
    <w:rsid w:val="00115D1D"/>
    <w:rsid w:val="00117BF2"/>
    <w:rsid w:val="001266F8"/>
    <w:rsid w:val="00127137"/>
    <w:rsid w:val="00127671"/>
    <w:rsid w:val="001330A1"/>
    <w:rsid w:val="00133704"/>
    <w:rsid w:val="0013441A"/>
    <w:rsid w:val="001345BF"/>
    <w:rsid w:val="00134C1F"/>
    <w:rsid w:val="0013648F"/>
    <w:rsid w:val="00157C33"/>
    <w:rsid w:val="001606FF"/>
    <w:rsid w:val="0016124C"/>
    <w:rsid w:val="001637C3"/>
    <w:rsid w:val="00166465"/>
    <w:rsid w:val="001668AE"/>
    <w:rsid w:val="00170B43"/>
    <w:rsid w:val="00172761"/>
    <w:rsid w:val="00172A27"/>
    <w:rsid w:val="001735F6"/>
    <w:rsid w:val="001749C9"/>
    <w:rsid w:val="00177B48"/>
    <w:rsid w:val="00177DDE"/>
    <w:rsid w:val="0018409A"/>
    <w:rsid w:val="00184188"/>
    <w:rsid w:val="0018494E"/>
    <w:rsid w:val="00184955"/>
    <w:rsid w:val="001860C8"/>
    <w:rsid w:val="00186C4E"/>
    <w:rsid w:val="00190A97"/>
    <w:rsid w:val="001921CA"/>
    <w:rsid w:val="001923BE"/>
    <w:rsid w:val="00193A1A"/>
    <w:rsid w:val="00193D66"/>
    <w:rsid w:val="001964AE"/>
    <w:rsid w:val="001975D5"/>
    <w:rsid w:val="001A2381"/>
    <w:rsid w:val="001A7DFE"/>
    <w:rsid w:val="001C21D9"/>
    <w:rsid w:val="001C2638"/>
    <w:rsid w:val="001C65A3"/>
    <w:rsid w:val="001C687F"/>
    <w:rsid w:val="001D43EB"/>
    <w:rsid w:val="001E319C"/>
    <w:rsid w:val="001E3482"/>
    <w:rsid w:val="001E4D6A"/>
    <w:rsid w:val="001F5ABB"/>
    <w:rsid w:val="001F7C30"/>
    <w:rsid w:val="0020161A"/>
    <w:rsid w:val="00206126"/>
    <w:rsid w:val="00210AEC"/>
    <w:rsid w:val="00214B50"/>
    <w:rsid w:val="002161FE"/>
    <w:rsid w:val="0022096D"/>
    <w:rsid w:val="0022500D"/>
    <w:rsid w:val="00225A61"/>
    <w:rsid w:val="002278EB"/>
    <w:rsid w:val="002337CE"/>
    <w:rsid w:val="00234938"/>
    <w:rsid w:val="0023604A"/>
    <w:rsid w:val="00240B2A"/>
    <w:rsid w:val="002440C0"/>
    <w:rsid w:val="0024592D"/>
    <w:rsid w:val="00251825"/>
    <w:rsid w:val="002538D2"/>
    <w:rsid w:val="00254D3E"/>
    <w:rsid w:val="00264447"/>
    <w:rsid w:val="00267BA3"/>
    <w:rsid w:val="002733EE"/>
    <w:rsid w:val="00273547"/>
    <w:rsid w:val="002769BD"/>
    <w:rsid w:val="00283BEC"/>
    <w:rsid w:val="00283DB9"/>
    <w:rsid w:val="00292BAB"/>
    <w:rsid w:val="002935BE"/>
    <w:rsid w:val="00293E20"/>
    <w:rsid w:val="002948E8"/>
    <w:rsid w:val="00294C7A"/>
    <w:rsid w:val="002977C3"/>
    <w:rsid w:val="002A4BBA"/>
    <w:rsid w:val="002A5C25"/>
    <w:rsid w:val="002B0340"/>
    <w:rsid w:val="002B4FE9"/>
    <w:rsid w:val="002B744C"/>
    <w:rsid w:val="002B7C89"/>
    <w:rsid w:val="002C0706"/>
    <w:rsid w:val="002D21D3"/>
    <w:rsid w:val="002D5409"/>
    <w:rsid w:val="002E1FBC"/>
    <w:rsid w:val="002E2255"/>
    <w:rsid w:val="002E27D1"/>
    <w:rsid w:val="002E2926"/>
    <w:rsid w:val="002E3871"/>
    <w:rsid w:val="002E42E7"/>
    <w:rsid w:val="002E6AA4"/>
    <w:rsid w:val="002E75E9"/>
    <w:rsid w:val="002F04DF"/>
    <w:rsid w:val="002F1DE4"/>
    <w:rsid w:val="002F2CFE"/>
    <w:rsid w:val="002F4274"/>
    <w:rsid w:val="003013FB"/>
    <w:rsid w:val="00302878"/>
    <w:rsid w:val="00307836"/>
    <w:rsid w:val="003103C7"/>
    <w:rsid w:val="003108C5"/>
    <w:rsid w:val="003167A0"/>
    <w:rsid w:val="003174CA"/>
    <w:rsid w:val="00317EA5"/>
    <w:rsid w:val="003225B6"/>
    <w:rsid w:val="00326AE1"/>
    <w:rsid w:val="003275FC"/>
    <w:rsid w:val="00327D21"/>
    <w:rsid w:val="00330319"/>
    <w:rsid w:val="00330789"/>
    <w:rsid w:val="003319FC"/>
    <w:rsid w:val="00333B73"/>
    <w:rsid w:val="00336C3C"/>
    <w:rsid w:val="00340066"/>
    <w:rsid w:val="0034347E"/>
    <w:rsid w:val="0034640F"/>
    <w:rsid w:val="003465EC"/>
    <w:rsid w:val="00351AB2"/>
    <w:rsid w:val="0035395C"/>
    <w:rsid w:val="00354662"/>
    <w:rsid w:val="00356328"/>
    <w:rsid w:val="00356FE7"/>
    <w:rsid w:val="00361536"/>
    <w:rsid w:val="00363BC4"/>
    <w:rsid w:val="0036761A"/>
    <w:rsid w:val="00374FC4"/>
    <w:rsid w:val="00384857"/>
    <w:rsid w:val="00385F2B"/>
    <w:rsid w:val="00390D37"/>
    <w:rsid w:val="00390EAE"/>
    <w:rsid w:val="00392C82"/>
    <w:rsid w:val="00394FF9"/>
    <w:rsid w:val="003A022A"/>
    <w:rsid w:val="003A3EE1"/>
    <w:rsid w:val="003B14E6"/>
    <w:rsid w:val="003B2020"/>
    <w:rsid w:val="003B28B9"/>
    <w:rsid w:val="003C1ADE"/>
    <w:rsid w:val="003C4511"/>
    <w:rsid w:val="003C589A"/>
    <w:rsid w:val="003C7A53"/>
    <w:rsid w:val="003D7442"/>
    <w:rsid w:val="003D7701"/>
    <w:rsid w:val="003E1CFD"/>
    <w:rsid w:val="003E2031"/>
    <w:rsid w:val="003E50D2"/>
    <w:rsid w:val="003F1199"/>
    <w:rsid w:val="003F60C7"/>
    <w:rsid w:val="00404D1C"/>
    <w:rsid w:val="004078D1"/>
    <w:rsid w:val="004103B0"/>
    <w:rsid w:val="00412013"/>
    <w:rsid w:val="0041277D"/>
    <w:rsid w:val="004148CF"/>
    <w:rsid w:val="00417638"/>
    <w:rsid w:val="00420164"/>
    <w:rsid w:val="00420586"/>
    <w:rsid w:val="004226D8"/>
    <w:rsid w:val="004235BF"/>
    <w:rsid w:val="0043091B"/>
    <w:rsid w:val="00435A2A"/>
    <w:rsid w:val="00441960"/>
    <w:rsid w:val="00441A7A"/>
    <w:rsid w:val="004430A5"/>
    <w:rsid w:val="00443CD7"/>
    <w:rsid w:val="004512CF"/>
    <w:rsid w:val="00451842"/>
    <w:rsid w:val="00451A82"/>
    <w:rsid w:val="004530A4"/>
    <w:rsid w:val="00460761"/>
    <w:rsid w:val="00461150"/>
    <w:rsid w:val="00466079"/>
    <w:rsid w:val="00467FCC"/>
    <w:rsid w:val="004707D9"/>
    <w:rsid w:val="004713D0"/>
    <w:rsid w:val="00472655"/>
    <w:rsid w:val="0047297A"/>
    <w:rsid w:val="00472FA6"/>
    <w:rsid w:val="0047546C"/>
    <w:rsid w:val="00482245"/>
    <w:rsid w:val="00484F06"/>
    <w:rsid w:val="00492E44"/>
    <w:rsid w:val="004947D4"/>
    <w:rsid w:val="004956F6"/>
    <w:rsid w:val="004973A1"/>
    <w:rsid w:val="004A0611"/>
    <w:rsid w:val="004A5A01"/>
    <w:rsid w:val="004A709E"/>
    <w:rsid w:val="004B16C8"/>
    <w:rsid w:val="004B1C9F"/>
    <w:rsid w:val="004B4A64"/>
    <w:rsid w:val="004B4F32"/>
    <w:rsid w:val="004B75C3"/>
    <w:rsid w:val="004C44BB"/>
    <w:rsid w:val="004C5B4A"/>
    <w:rsid w:val="004D26B8"/>
    <w:rsid w:val="004D5652"/>
    <w:rsid w:val="004E1BDC"/>
    <w:rsid w:val="004E205B"/>
    <w:rsid w:val="004E222F"/>
    <w:rsid w:val="004E362D"/>
    <w:rsid w:val="004E74E2"/>
    <w:rsid w:val="004F13A3"/>
    <w:rsid w:val="004F5859"/>
    <w:rsid w:val="004F6578"/>
    <w:rsid w:val="004F7212"/>
    <w:rsid w:val="004F7CA6"/>
    <w:rsid w:val="005022C4"/>
    <w:rsid w:val="00503CD0"/>
    <w:rsid w:val="00506D53"/>
    <w:rsid w:val="00507076"/>
    <w:rsid w:val="00510470"/>
    <w:rsid w:val="005112B4"/>
    <w:rsid w:val="00511665"/>
    <w:rsid w:val="005160A8"/>
    <w:rsid w:val="00516600"/>
    <w:rsid w:val="00516AC5"/>
    <w:rsid w:val="00516F9C"/>
    <w:rsid w:val="005231CA"/>
    <w:rsid w:val="00523490"/>
    <w:rsid w:val="005249B9"/>
    <w:rsid w:val="00534AD5"/>
    <w:rsid w:val="00541F3E"/>
    <w:rsid w:val="00543053"/>
    <w:rsid w:val="00543DA3"/>
    <w:rsid w:val="005440E1"/>
    <w:rsid w:val="0054504A"/>
    <w:rsid w:val="00560182"/>
    <w:rsid w:val="00571928"/>
    <w:rsid w:val="0057270F"/>
    <w:rsid w:val="00575831"/>
    <w:rsid w:val="00576090"/>
    <w:rsid w:val="005815F0"/>
    <w:rsid w:val="00583AE1"/>
    <w:rsid w:val="00584DEA"/>
    <w:rsid w:val="00585C44"/>
    <w:rsid w:val="005865E0"/>
    <w:rsid w:val="0059261B"/>
    <w:rsid w:val="00592B47"/>
    <w:rsid w:val="00593D0C"/>
    <w:rsid w:val="00595F3B"/>
    <w:rsid w:val="00597AEF"/>
    <w:rsid w:val="005A17F3"/>
    <w:rsid w:val="005A4E3C"/>
    <w:rsid w:val="005A5514"/>
    <w:rsid w:val="005A587F"/>
    <w:rsid w:val="005A6CF9"/>
    <w:rsid w:val="005B3BC1"/>
    <w:rsid w:val="005B472A"/>
    <w:rsid w:val="005B4CC3"/>
    <w:rsid w:val="005B5D03"/>
    <w:rsid w:val="005B66C4"/>
    <w:rsid w:val="005C30E9"/>
    <w:rsid w:val="005C45B3"/>
    <w:rsid w:val="005C543A"/>
    <w:rsid w:val="005C6D2D"/>
    <w:rsid w:val="005E2324"/>
    <w:rsid w:val="005E3503"/>
    <w:rsid w:val="005E456C"/>
    <w:rsid w:val="005F28D2"/>
    <w:rsid w:val="005F6F8F"/>
    <w:rsid w:val="00602A13"/>
    <w:rsid w:val="00604DFA"/>
    <w:rsid w:val="00605D5F"/>
    <w:rsid w:val="00607FC6"/>
    <w:rsid w:val="006111EE"/>
    <w:rsid w:val="00616A29"/>
    <w:rsid w:val="0062185A"/>
    <w:rsid w:val="00622B98"/>
    <w:rsid w:val="00622F51"/>
    <w:rsid w:val="00626556"/>
    <w:rsid w:val="00630953"/>
    <w:rsid w:val="006312A1"/>
    <w:rsid w:val="00631DA9"/>
    <w:rsid w:val="00632153"/>
    <w:rsid w:val="006331DE"/>
    <w:rsid w:val="00633CA6"/>
    <w:rsid w:val="00637B0D"/>
    <w:rsid w:val="00640B8D"/>
    <w:rsid w:val="006422EE"/>
    <w:rsid w:val="006553DF"/>
    <w:rsid w:val="0066141B"/>
    <w:rsid w:val="00661C2E"/>
    <w:rsid w:val="00662A3A"/>
    <w:rsid w:val="00662ECC"/>
    <w:rsid w:val="006638AA"/>
    <w:rsid w:val="00663E2F"/>
    <w:rsid w:val="006653A4"/>
    <w:rsid w:val="0067228E"/>
    <w:rsid w:val="00675481"/>
    <w:rsid w:val="006761F6"/>
    <w:rsid w:val="00676B23"/>
    <w:rsid w:val="00676F24"/>
    <w:rsid w:val="006864D1"/>
    <w:rsid w:val="006918A8"/>
    <w:rsid w:val="0069293E"/>
    <w:rsid w:val="00692C8D"/>
    <w:rsid w:val="006A7DA3"/>
    <w:rsid w:val="006A7E66"/>
    <w:rsid w:val="006B39D9"/>
    <w:rsid w:val="006B5987"/>
    <w:rsid w:val="006C0A67"/>
    <w:rsid w:val="006C27A5"/>
    <w:rsid w:val="006C2FF3"/>
    <w:rsid w:val="006C3400"/>
    <w:rsid w:val="006C3AFD"/>
    <w:rsid w:val="006C43D8"/>
    <w:rsid w:val="006C4705"/>
    <w:rsid w:val="006C47BF"/>
    <w:rsid w:val="006C4E07"/>
    <w:rsid w:val="006C6270"/>
    <w:rsid w:val="006C64FD"/>
    <w:rsid w:val="006C6D20"/>
    <w:rsid w:val="006D04AC"/>
    <w:rsid w:val="006D0745"/>
    <w:rsid w:val="006D3ED9"/>
    <w:rsid w:val="006D5204"/>
    <w:rsid w:val="006E0673"/>
    <w:rsid w:val="006E1609"/>
    <w:rsid w:val="006F28BA"/>
    <w:rsid w:val="006F498C"/>
    <w:rsid w:val="006F651D"/>
    <w:rsid w:val="0070014C"/>
    <w:rsid w:val="00704B8A"/>
    <w:rsid w:val="00713C6A"/>
    <w:rsid w:val="00713D19"/>
    <w:rsid w:val="007141BC"/>
    <w:rsid w:val="00715E41"/>
    <w:rsid w:val="00717558"/>
    <w:rsid w:val="007221EC"/>
    <w:rsid w:val="00722751"/>
    <w:rsid w:val="00726781"/>
    <w:rsid w:val="00727B3F"/>
    <w:rsid w:val="0073017C"/>
    <w:rsid w:val="00731149"/>
    <w:rsid w:val="00732F30"/>
    <w:rsid w:val="00734780"/>
    <w:rsid w:val="00735085"/>
    <w:rsid w:val="00736D99"/>
    <w:rsid w:val="00740A4D"/>
    <w:rsid w:val="0074391E"/>
    <w:rsid w:val="00752F1F"/>
    <w:rsid w:val="00754996"/>
    <w:rsid w:val="007563D2"/>
    <w:rsid w:val="00756B31"/>
    <w:rsid w:val="00760B0F"/>
    <w:rsid w:val="00761A94"/>
    <w:rsid w:val="00763B13"/>
    <w:rsid w:val="00764CDF"/>
    <w:rsid w:val="007766FE"/>
    <w:rsid w:val="0077670D"/>
    <w:rsid w:val="00776BBD"/>
    <w:rsid w:val="0077717D"/>
    <w:rsid w:val="0078016A"/>
    <w:rsid w:val="0078384F"/>
    <w:rsid w:val="00787692"/>
    <w:rsid w:val="0078772D"/>
    <w:rsid w:val="00791CAA"/>
    <w:rsid w:val="00795275"/>
    <w:rsid w:val="007958C1"/>
    <w:rsid w:val="00795E0A"/>
    <w:rsid w:val="007A03AD"/>
    <w:rsid w:val="007A2255"/>
    <w:rsid w:val="007A56C2"/>
    <w:rsid w:val="007A5EEC"/>
    <w:rsid w:val="007B080B"/>
    <w:rsid w:val="007B14A7"/>
    <w:rsid w:val="007B4B93"/>
    <w:rsid w:val="007B567C"/>
    <w:rsid w:val="007B74F6"/>
    <w:rsid w:val="007C153B"/>
    <w:rsid w:val="007C3A3A"/>
    <w:rsid w:val="007C74AA"/>
    <w:rsid w:val="007D05ED"/>
    <w:rsid w:val="007D1214"/>
    <w:rsid w:val="007D713F"/>
    <w:rsid w:val="007E0341"/>
    <w:rsid w:val="007E23B6"/>
    <w:rsid w:val="007E7BC9"/>
    <w:rsid w:val="007F0628"/>
    <w:rsid w:val="007F1AA8"/>
    <w:rsid w:val="007F21B5"/>
    <w:rsid w:val="007F5A95"/>
    <w:rsid w:val="007F6D3F"/>
    <w:rsid w:val="007F7227"/>
    <w:rsid w:val="00801854"/>
    <w:rsid w:val="0081369E"/>
    <w:rsid w:val="008140A9"/>
    <w:rsid w:val="008143F1"/>
    <w:rsid w:val="00815F14"/>
    <w:rsid w:val="008167FB"/>
    <w:rsid w:val="008168B9"/>
    <w:rsid w:val="00816FA4"/>
    <w:rsid w:val="00822874"/>
    <w:rsid w:val="00832101"/>
    <w:rsid w:val="00832C77"/>
    <w:rsid w:val="008347FA"/>
    <w:rsid w:val="00845835"/>
    <w:rsid w:val="008458E3"/>
    <w:rsid w:val="008461F3"/>
    <w:rsid w:val="008503E9"/>
    <w:rsid w:val="008508B6"/>
    <w:rsid w:val="00852912"/>
    <w:rsid w:val="008529CB"/>
    <w:rsid w:val="00856EA7"/>
    <w:rsid w:val="00857D84"/>
    <w:rsid w:val="00863351"/>
    <w:rsid w:val="008661C2"/>
    <w:rsid w:val="008741B4"/>
    <w:rsid w:val="00874863"/>
    <w:rsid w:val="008750EE"/>
    <w:rsid w:val="00875ED4"/>
    <w:rsid w:val="008763F7"/>
    <w:rsid w:val="008766F8"/>
    <w:rsid w:val="00877787"/>
    <w:rsid w:val="00877DBB"/>
    <w:rsid w:val="00881AD1"/>
    <w:rsid w:val="00881DA4"/>
    <w:rsid w:val="00882438"/>
    <w:rsid w:val="00882B54"/>
    <w:rsid w:val="00882B8F"/>
    <w:rsid w:val="008850BE"/>
    <w:rsid w:val="00885A06"/>
    <w:rsid w:val="00886DA8"/>
    <w:rsid w:val="008903E9"/>
    <w:rsid w:val="0089086C"/>
    <w:rsid w:val="008931E8"/>
    <w:rsid w:val="00894E67"/>
    <w:rsid w:val="00895BD5"/>
    <w:rsid w:val="008A1905"/>
    <w:rsid w:val="008A33C3"/>
    <w:rsid w:val="008A6519"/>
    <w:rsid w:val="008A6D64"/>
    <w:rsid w:val="008B2480"/>
    <w:rsid w:val="008B6528"/>
    <w:rsid w:val="008D0BC7"/>
    <w:rsid w:val="008D30DF"/>
    <w:rsid w:val="008D5719"/>
    <w:rsid w:val="008E1ACB"/>
    <w:rsid w:val="008E29A8"/>
    <w:rsid w:val="008E2CBD"/>
    <w:rsid w:val="008E3FF1"/>
    <w:rsid w:val="008F2F87"/>
    <w:rsid w:val="00902F00"/>
    <w:rsid w:val="009066B7"/>
    <w:rsid w:val="009070C0"/>
    <w:rsid w:val="009113D5"/>
    <w:rsid w:val="009172FE"/>
    <w:rsid w:val="009174E2"/>
    <w:rsid w:val="009209DD"/>
    <w:rsid w:val="00920E48"/>
    <w:rsid w:val="009324F4"/>
    <w:rsid w:val="009341AC"/>
    <w:rsid w:val="00935882"/>
    <w:rsid w:val="00935F28"/>
    <w:rsid w:val="00941CB1"/>
    <w:rsid w:val="00941CEA"/>
    <w:rsid w:val="00942B5B"/>
    <w:rsid w:val="00943346"/>
    <w:rsid w:val="00945184"/>
    <w:rsid w:val="00945B88"/>
    <w:rsid w:val="009537F2"/>
    <w:rsid w:val="00954474"/>
    <w:rsid w:val="009573DB"/>
    <w:rsid w:val="009641A1"/>
    <w:rsid w:val="00964803"/>
    <w:rsid w:val="00965979"/>
    <w:rsid w:val="009671A2"/>
    <w:rsid w:val="00973A32"/>
    <w:rsid w:val="00974415"/>
    <w:rsid w:val="0097715C"/>
    <w:rsid w:val="00980DB0"/>
    <w:rsid w:val="00980F27"/>
    <w:rsid w:val="009851DF"/>
    <w:rsid w:val="00987836"/>
    <w:rsid w:val="00991385"/>
    <w:rsid w:val="009926C7"/>
    <w:rsid w:val="00995C04"/>
    <w:rsid w:val="00995E1C"/>
    <w:rsid w:val="009A02A5"/>
    <w:rsid w:val="009A12A1"/>
    <w:rsid w:val="009A3847"/>
    <w:rsid w:val="009A3C88"/>
    <w:rsid w:val="009A7A00"/>
    <w:rsid w:val="009B1CA1"/>
    <w:rsid w:val="009B34FD"/>
    <w:rsid w:val="009B654A"/>
    <w:rsid w:val="009C19FF"/>
    <w:rsid w:val="009C3B8C"/>
    <w:rsid w:val="009C5923"/>
    <w:rsid w:val="009C751D"/>
    <w:rsid w:val="009D18E5"/>
    <w:rsid w:val="009D552D"/>
    <w:rsid w:val="009D6239"/>
    <w:rsid w:val="009D6A16"/>
    <w:rsid w:val="009E1B7C"/>
    <w:rsid w:val="009E2833"/>
    <w:rsid w:val="009E62C6"/>
    <w:rsid w:val="009F0DD6"/>
    <w:rsid w:val="009F1CBB"/>
    <w:rsid w:val="009F3EDB"/>
    <w:rsid w:val="009F4B3E"/>
    <w:rsid w:val="009F4C1B"/>
    <w:rsid w:val="009F4DE4"/>
    <w:rsid w:val="009F545D"/>
    <w:rsid w:val="009F7F1A"/>
    <w:rsid w:val="00A0161A"/>
    <w:rsid w:val="00A03340"/>
    <w:rsid w:val="00A07CB0"/>
    <w:rsid w:val="00A15160"/>
    <w:rsid w:val="00A16C4F"/>
    <w:rsid w:val="00A20C5D"/>
    <w:rsid w:val="00A21810"/>
    <w:rsid w:val="00A2771D"/>
    <w:rsid w:val="00A345A8"/>
    <w:rsid w:val="00A4375B"/>
    <w:rsid w:val="00A502BF"/>
    <w:rsid w:val="00A50890"/>
    <w:rsid w:val="00A55FFA"/>
    <w:rsid w:val="00A610D6"/>
    <w:rsid w:val="00A625A3"/>
    <w:rsid w:val="00A635F3"/>
    <w:rsid w:val="00A63AFE"/>
    <w:rsid w:val="00A63E43"/>
    <w:rsid w:val="00A672E9"/>
    <w:rsid w:val="00A72A75"/>
    <w:rsid w:val="00A760AD"/>
    <w:rsid w:val="00A77F89"/>
    <w:rsid w:val="00A81E4B"/>
    <w:rsid w:val="00A822E6"/>
    <w:rsid w:val="00A84C29"/>
    <w:rsid w:val="00A84C4C"/>
    <w:rsid w:val="00A86C2A"/>
    <w:rsid w:val="00A872BC"/>
    <w:rsid w:val="00A87659"/>
    <w:rsid w:val="00A974FE"/>
    <w:rsid w:val="00A977A6"/>
    <w:rsid w:val="00AA1098"/>
    <w:rsid w:val="00AA4F44"/>
    <w:rsid w:val="00AA7788"/>
    <w:rsid w:val="00AB1828"/>
    <w:rsid w:val="00AC4475"/>
    <w:rsid w:val="00AC46E2"/>
    <w:rsid w:val="00AC589E"/>
    <w:rsid w:val="00AC5F6F"/>
    <w:rsid w:val="00AD0918"/>
    <w:rsid w:val="00AD1DDD"/>
    <w:rsid w:val="00AD2E3A"/>
    <w:rsid w:val="00AD7663"/>
    <w:rsid w:val="00AE342B"/>
    <w:rsid w:val="00AE5FAF"/>
    <w:rsid w:val="00AF04CC"/>
    <w:rsid w:val="00AF09E4"/>
    <w:rsid w:val="00AF3725"/>
    <w:rsid w:val="00B01282"/>
    <w:rsid w:val="00B02AFA"/>
    <w:rsid w:val="00B06DFE"/>
    <w:rsid w:val="00B120F2"/>
    <w:rsid w:val="00B13A23"/>
    <w:rsid w:val="00B1428D"/>
    <w:rsid w:val="00B22AEC"/>
    <w:rsid w:val="00B22D56"/>
    <w:rsid w:val="00B316D3"/>
    <w:rsid w:val="00B317C0"/>
    <w:rsid w:val="00B322F7"/>
    <w:rsid w:val="00B37646"/>
    <w:rsid w:val="00B415A6"/>
    <w:rsid w:val="00B4384A"/>
    <w:rsid w:val="00B471F1"/>
    <w:rsid w:val="00B478BE"/>
    <w:rsid w:val="00B51BB7"/>
    <w:rsid w:val="00B6083D"/>
    <w:rsid w:val="00B6642F"/>
    <w:rsid w:val="00B6654C"/>
    <w:rsid w:val="00B66F16"/>
    <w:rsid w:val="00B67529"/>
    <w:rsid w:val="00B679FD"/>
    <w:rsid w:val="00B70737"/>
    <w:rsid w:val="00B77D9F"/>
    <w:rsid w:val="00B81E19"/>
    <w:rsid w:val="00B827FD"/>
    <w:rsid w:val="00B87763"/>
    <w:rsid w:val="00B90F4C"/>
    <w:rsid w:val="00BA27F8"/>
    <w:rsid w:val="00BA2EB9"/>
    <w:rsid w:val="00BA3290"/>
    <w:rsid w:val="00BA46F8"/>
    <w:rsid w:val="00BA4C6E"/>
    <w:rsid w:val="00BA60A0"/>
    <w:rsid w:val="00BB0A22"/>
    <w:rsid w:val="00BB2296"/>
    <w:rsid w:val="00BB39B2"/>
    <w:rsid w:val="00BB3D50"/>
    <w:rsid w:val="00BC25C1"/>
    <w:rsid w:val="00BC2BE3"/>
    <w:rsid w:val="00BC375E"/>
    <w:rsid w:val="00BC3C2A"/>
    <w:rsid w:val="00BC5BB5"/>
    <w:rsid w:val="00BC5E64"/>
    <w:rsid w:val="00BC614D"/>
    <w:rsid w:val="00BD1495"/>
    <w:rsid w:val="00BE0395"/>
    <w:rsid w:val="00BE3078"/>
    <w:rsid w:val="00BE6945"/>
    <w:rsid w:val="00BF20F4"/>
    <w:rsid w:val="00BF29FF"/>
    <w:rsid w:val="00BF2FBF"/>
    <w:rsid w:val="00BF4BDE"/>
    <w:rsid w:val="00C02060"/>
    <w:rsid w:val="00C07A23"/>
    <w:rsid w:val="00C1745A"/>
    <w:rsid w:val="00C177AD"/>
    <w:rsid w:val="00C20237"/>
    <w:rsid w:val="00C228AE"/>
    <w:rsid w:val="00C2396B"/>
    <w:rsid w:val="00C312F4"/>
    <w:rsid w:val="00C3332D"/>
    <w:rsid w:val="00C3486A"/>
    <w:rsid w:val="00C36C02"/>
    <w:rsid w:val="00C37BC2"/>
    <w:rsid w:val="00C40132"/>
    <w:rsid w:val="00C40AA1"/>
    <w:rsid w:val="00C434D2"/>
    <w:rsid w:val="00C518EB"/>
    <w:rsid w:val="00C5600C"/>
    <w:rsid w:val="00C56A54"/>
    <w:rsid w:val="00C6022A"/>
    <w:rsid w:val="00C61265"/>
    <w:rsid w:val="00C629CE"/>
    <w:rsid w:val="00C633C7"/>
    <w:rsid w:val="00C637E7"/>
    <w:rsid w:val="00C66188"/>
    <w:rsid w:val="00C669FC"/>
    <w:rsid w:val="00C73C4F"/>
    <w:rsid w:val="00C75553"/>
    <w:rsid w:val="00C7786B"/>
    <w:rsid w:val="00C8024C"/>
    <w:rsid w:val="00C907BB"/>
    <w:rsid w:val="00C91140"/>
    <w:rsid w:val="00C9257D"/>
    <w:rsid w:val="00C94517"/>
    <w:rsid w:val="00CA0494"/>
    <w:rsid w:val="00CA1F02"/>
    <w:rsid w:val="00CA2017"/>
    <w:rsid w:val="00CA55B3"/>
    <w:rsid w:val="00CB459F"/>
    <w:rsid w:val="00CB5B44"/>
    <w:rsid w:val="00CC0E12"/>
    <w:rsid w:val="00CC284A"/>
    <w:rsid w:val="00CD00E5"/>
    <w:rsid w:val="00CD2107"/>
    <w:rsid w:val="00CD4E33"/>
    <w:rsid w:val="00CD5445"/>
    <w:rsid w:val="00CD706B"/>
    <w:rsid w:val="00CE0F7C"/>
    <w:rsid w:val="00CE7358"/>
    <w:rsid w:val="00CF006B"/>
    <w:rsid w:val="00CF055F"/>
    <w:rsid w:val="00CF3265"/>
    <w:rsid w:val="00D01AC0"/>
    <w:rsid w:val="00D10887"/>
    <w:rsid w:val="00D11685"/>
    <w:rsid w:val="00D15C46"/>
    <w:rsid w:val="00D23068"/>
    <w:rsid w:val="00D263BC"/>
    <w:rsid w:val="00D27BF9"/>
    <w:rsid w:val="00D30D18"/>
    <w:rsid w:val="00D33346"/>
    <w:rsid w:val="00D3616D"/>
    <w:rsid w:val="00D367BE"/>
    <w:rsid w:val="00D41B91"/>
    <w:rsid w:val="00D452E2"/>
    <w:rsid w:val="00D50C99"/>
    <w:rsid w:val="00D553CC"/>
    <w:rsid w:val="00D5598B"/>
    <w:rsid w:val="00D56952"/>
    <w:rsid w:val="00D57AB6"/>
    <w:rsid w:val="00D61E2E"/>
    <w:rsid w:val="00D6248A"/>
    <w:rsid w:val="00D649F2"/>
    <w:rsid w:val="00D655DB"/>
    <w:rsid w:val="00D75932"/>
    <w:rsid w:val="00D76C9B"/>
    <w:rsid w:val="00D83D17"/>
    <w:rsid w:val="00D8498E"/>
    <w:rsid w:val="00D859D2"/>
    <w:rsid w:val="00D86E63"/>
    <w:rsid w:val="00D87710"/>
    <w:rsid w:val="00D9012D"/>
    <w:rsid w:val="00D9075D"/>
    <w:rsid w:val="00D91A27"/>
    <w:rsid w:val="00D96D2F"/>
    <w:rsid w:val="00DA011F"/>
    <w:rsid w:val="00DA4668"/>
    <w:rsid w:val="00DA4CB6"/>
    <w:rsid w:val="00DA729C"/>
    <w:rsid w:val="00DB1885"/>
    <w:rsid w:val="00DB588F"/>
    <w:rsid w:val="00DB72DD"/>
    <w:rsid w:val="00DC34AE"/>
    <w:rsid w:val="00DC461A"/>
    <w:rsid w:val="00DC4D48"/>
    <w:rsid w:val="00DC60C0"/>
    <w:rsid w:val="00DC6F8C"/>
    <w:rsid w:val="00DD1EB0"/>
    <w:rsid w:val="00DD4035"/>
    <w:rsid w:val="00DD4ED1"/>
    <w:rsid w:val="00DD67A3"/>
    <w:rsid w:val="00DD7BF6"/>
    <w:rsid w:val="00DE142B"/>
    <w:rsid w:val="00DE54A8"/>
    <w:rsid w:val="00DE5F55"/>
    <w:rsid w:val="00DE6727"/>
    <w:rsid w:val="00DF0457"/>
    <w:rsid w:val="00DF1445"/>
    <w:rsid w:val="00DF2908"/>
    <w:rsid w:val="00DF352D"/>
    <w:rsid w:val="00DF7666"/>
    <w:rsid w:val="00E012BB"/>
    <w:rsid w:val="00E02715"/>
    <w:rsid w:val="00E028D9"/>
    <w:rsid w:val="00E03975"/>
    <w:rsid w:val="00E04190"/>
    <w:rsid w:val="00E06980"/>
    <w:rsid w:val="00E14023"/>
    <w:rsid w:val="00E143CB"/>
    <w:rsid w:val="00E14A25"/>
    <w:rsid w:val="00E15C04"/>
    <w:rsid w:val="00E16204"/>
    <w:rsid w:val="00E2032A"/>
    <w:rsid w:val="00E232A1"/>
    <w:rsid w:val="00E23712"/>
    <w:rsid w:val="00E31AAB"/>
    <w:rsid w:val="00E411EC"/>
    <w:rsid w:val="00E4138B"/>
    <w:rsid w:val="00E423E4"/>
    <w:rsid w:val="00E46D02"/>
    <w:rsid w:val="00E4702A"/>
    <w:rsid w:val="00E52257"/>
    <w:rsid w:val="00E52316"/>
    <w:rsid w:val="00E55B24"/>
    <w:rsid w:val="00E56E2D"/>
    <w:rsid w:val="00E623B5"/>
    <w:rsid w:val="00E62D9E"/>
    <w:rsid w:val="00E67911"/>
    <w:rsid w:val="00E703BE"/>
    <w:rsid w:val="00E73338"/>
    <w:rsid w:val="00E74AF7"/>
    <w:rsid w:val="00E81CE3"/>
    <w:rsid w:val="00E854F5"/>
    <w:rsid w:val="00EA2272"/>
    <w:rsid w:val="00EA274D"/>
    <w:rsid w:val="00EA3694"/>
    <w:rsid w:val="00EA6739"/>
    <w:rsid w:val="00EC05D3"/>
    <w:rsid w:val="00EC0AAF"/>
    <w:rsid w:val="00EC271F"/>
    <w:rsid w:val="00EC51B7"/>
    <w:rsid w:val="00ED059A"/>
    <w:rsid w:val="00ED1824"/>
    <w:rsid w:val="00ED66FF"/>
    <w:rsid w:val="00ED7F47"/>
    <w:rsid w:val="00EE2E75"/>
    <w:rsid w:val="00EE4918"/>
    <w:rsid w:val="00EE4F99"/>
    <w:rsid w:val="00EE56D0"/>
    <w:rsid w:val="00EF3A30"/>
    <w:rsid w:val="00F00FAF"/>
    <w:rsid w:val="00F04A80"/>
    <w:rsid w:val="00F07272"/>
    <w:rsid w:val="00F17331"/>
    <w:rsid w:val="00F209D3"/>
    <w:rsid w:val="00F2191B"/>
    <w:rsid w:val="00F21C5F"/>
    <w:rsid w:val="00F26223"/>
    <w:rsid w:val="00F276BA"/>
    <w:rsid w:val="00F30E00"/>
    <w:rsid w:val="00F314DE"/>
    <w:rsid w:val="00F31E34"/>
    <w:rsid w:val="00F31F5A"/>
    <w:rsid w:val="00F32121"/>
    <w:rsid w:val="00F4250A"/>
    <w:rsid w:val="00F42FFD"/>
    <w:rsid w:val="00F43B39"/>
    <w:rsid w:val="00F46528"/>
    <w:rsid w:val="00F533AA"/>
    <w:rsid w:val="00F625EF"/>
    <w:rsid w:val="00F64206"/>
    <w:rsid w:val="00F73F6B"/>
    <w:rsid w:val="00F74A4F"/>
    <w:rsid w:val="00F77FCB"/>
    <w:rsid w:val="00F8104B"/>
    <w:rsid w:val="00F8256B"/>
    <w:rsid w:val="00F82FC7"/>
    <w:rsid w:val="00F83B41"/>
    <w:rsid w:val="00F862FF"/>
    <w:rsid w:val="00F86691"/>
    <w:rsid w:val="00F873E9"/>
    <w:rsid w:val="00F9075A"/>
    <w:rsid w:val="00F92BEE"/>
    <w:rsid w:val="00F92D97"/>
    <w:rsid w:val="00F96A42"/>
    <w:rsid w:val="00F97BA5"/>
    <w:rsid w:val="00FA2427"/>
    <w:rsid w:val="00FA346E"/>
    <w:rsid w:val="00FA7609"/>
    <w:rsid w:val="00FB042D"/>
    <w:rsid w:val="00FB09C5"/>
    <w:rsid w:val="00FB1A1A"/>
    <w:rsid w:val="00FB1B94"/>
    <w:rsid w:val="00FB4883"/>
    <w:rsid w:val="00FB5563"/>
    <w:rsid w:val="00FB60FA"/>
    <w:rsid w:val="00FC03FF"/>
    <w:rsid w:val="00FC1892"/>
    <w:rsid w:val="00FC343D"/>
    <w:rsid w:val="00FC5180"/>
    <w:rsid w:val="00FC5B3C"/>
    <w:rsid w:val="00FD641D"/>
    <w:rsid w:val="00FE1BF5"/>
    <w:rsid w:val="00FE363B"/>
    <w:rsid w:val="00FE41D5"/>
    <w:rsid w:val="00FE491C"/>
    <w:rsid w:val="00FF4BD6"/>
    <w:rsid w:val="010A1113"/>
    <w:rsid w:val="01155564"/>
    <w:rsid w:val="011C626C"/>
    <w:rsid w:val="01253372"/>
    <w:rsid w:val="013E7908"/>
    <w:rsid w:val="014452FA"/>
    <w:rsid w:val="01584B10"/>
    <w:rsid w:val="019E5D57"/>
    <w:rsid w:val="01AA6DBD"/>
    <w:rsid w:val="01B02E25"/>
    <w:rsid w:val="01BA61B0"/>
    <w:rsid w:val="01F1203F"/>
    <w:rsid w:val="01F6B7FC"/>
    <w:rsid w:val="01F97CBF"/>
    <w:rsid w:val="02070CCA"/>
    <w:rsid w:val="02095D19"/>
    <w:rsid w:val="0213141D"/>
    <w:rsid w:val="021D673F"/>
    <w:rsid w:val="022E6257"/>
    <w:rsid w:val="02477318"/>
    <w:rsid w:val="024912E2"/>
    <w:rsid w:val="026F1BFF"/>
    <w:rsid w:val="02C66622"/>
    <w:rsid w:val="02E856EB"/>
    <w:rsid w:val="02F94AB6"/>
    <w:rsid w:val="030B4515"/>
    <w:rsid w:val="03196F07"/>
    <w:rsid w:val="033C044C"/>
    <w:rsid w:val="03631EC2"/>
    <w:rsid w:val="036773CB"/>
    <w:rsid w:val="03AB34F4"/>
    <w:rsid w:val="03C10655"/>
    <w:rsid w:val="03E43E92"/>
    <w:rsid w:val="04071455"/>
    <w:rsid w:val="043162AA"/>
    <w:rsid w:val="04351B1E"/>
    <w:rsid w:val="0438160E"/>
    <w:rsid w:val="04387EA8"/>
    <w:rsid w:val="043E75DC"/>
    <w:rsid w:val="04472FBC"/>
    <w:rsid w:val="04483997"/>
    <w:rsid w:val="045A0BC3"/>
    <w:rsid w:val="049A5E25"/>
    <w:rsid w:val="04A722F0"/>
    <w:rsid w:val="04BF588C"/>
    <w:rsid w:val="04CA0A4C"/>
    <w:rsid w:val="04F47A32"/>
    <w:rsid w:val="051959C9"/>
    <w:rsid w:val="0542447B"/>
    <w:rsid w:val="055E50A5"/>
    <w:rsid w:val="058A5D09"/>
    <w:rsid w:val="05957FD8"/>
    <w:rsid w:val="059B7441"/>
    <w:rsid w:val="05AD395E"/>
    <w:rsid w:val="05AE5D59"/>
    <w:rsid w:val="05F60DB3"/>
    <w:rsid w:val="0600615C"/>
    <w:rsid w:val="06072EE6"/>
    <w:rsid w:val="065E775E"/>
    <w:rsid w:val="06686BA6"/>
    <w:rsid w:val="06BD404D"/>
    <w:rsid w:val="06CE1DB6"/>
    <w:rsid w:val="06FF404D"/>
    <w:rsid w:val="06FF5143"/>
    <w:rsid w:val="0715FEF3"/>
    <w:rsid w:val="0730481F"/>
    <w:rsid w:val="0751269F"/>
    <w:rsid w:val="0762022C"/>
    <w:rsid w:val="07740BAF"/>
    <w:rsid w:val="077CDBDB"/>
    <w:rsid w:val="07921036"/>
    <w:rsid w:val="07AA637F"/>
    <w:rsid w:val="07BB058C"/>
    <w:rsid w:val="07DE427B"/>
    <w:rsid w:val="07F36C9A"/>
    <w:rsid w:val="07FF6C2D"/>
    <w:rsid w:val="08055CAB"/>
    <w:rsid w:val="0818061F"/>
    <w:rsid w:val="081E6D6D"/>
    <w:rsid w:val="083B1B4E"/>
    <w:rsid w:val="086A26FA"/>
    <w:rsid w:val="088E3EF3"/>
    <w:rsid w:val="08900771"/>
    <w:rsid w:val="089C389B"/>
    <w:rsid w:val="08AA1318"/>
    <w:rsid w:val="08AC4379"/>
    <w:rsid w:val="08C72F61"/>
    <w:rsid w:val="08CF075E"/>
    <w:rsid w:val="08D01DD5"/>
    <w:rsid w:val="08DD35BD"/>
    <w:rsid w:val="08E91129"/>
    <w:rsid w:val="090B1B36"/>
    <w:rsid w:val="090F410D"/>
    <w:rsid w:val="09152B67"/>
    <w:rsid w:val="09242856"/>
    <w:rsid w:val="094237F3"/>
    <w:rsid w:val="09497E1A"/>
    <w:rsid w:val="095347F5"/>
    <w:rsid w:val="096A0A95"/>
    <w:rsid w:val="09B94F9F"/>
    <w:rsid w:val="09D204BE"/>
    <w:rsid w:val="09D67E54"/>
    <w:rsid w:val="09E0252C"/>
    <w:rsid w:val="0A2C5771"/>
    <w:rsid w:val="0A4476D7"/>
    <w:rsid w:val="0A4925B9"/>
    <w:rsid w:val="0A555C49"/>
    <w:rsid w:val="0A782765"/>
    <w:rsid w:val="0A8108CD"/>
    <w:rsid w:val="0A8455AD"/>
    <w:rsid w:val="0AD11E75"/>
    <w:rsid w:val="0AD41965"/>
    <w:rsid w:val="0AE45391"/>
    <w:rsid w:val="0B16508E"/>
    <w:rsid w:val="0B1D5F39"/>
    <w:rsid w:val="0B316DB7"/>
    <w:rsid w:val="0B3532C7"/>
    <w:rsid w:val="0B3C3AB9"/>
    <w:rsid w:val="0B4E7969"/>
    <w:rsid w:val="0B5B4461"/>
    <w:rsid w:val="0B5C2102"/>
    <w:rsid w:val="0B61253D"/>
    <w:rsid w:val="0B656BA8"/>
    <w:rsid w:val="0B6649C4"/>
    <w:rsid w:val="0B7B8B82"/>
    <w:rsid w:val="0B8E7D66"/>
    <w:rsid w:val="0BB00523"/>
    <w:rsid w:val="0BB161C6"/>
    <w:rsid w:val="0BDF79AC"/>
    <w:rsid w:val="0BED7182"/>
    <w:rsid w:val="0BF6C0BE"/>
    <w:rsid w:val="0BF7308F"/>
    <w:rsid w:val="0C0B04D2"/>
    <w:rsid w:val="0C0E7282"/>
    <w:rsid w:val="0C6B7B6B"/>
    <w:rsid w:val="0C8D626F"/>
    <w:rsid w:val="0C963376"/>
    <w:rsid w:val="0C9B74F7"/>
    <w:rsid w:val="0CA31213"/>
    <w:rsid w:val="0CC954FA"/>
    <w:rsid w:val="0CD117CE"/>
    <w:rsid w:val="0CDF4D1D"/>
    <w:rsid w:val="0CF27F17"/>
    <w:rsid w:val="0D083FB4"/>
    <w:rsid w:val="0D6FDEE3"/>
    <w:rsid w:val="0D707E4E"/>
    <w:rsid w:val="0DAA467F"/>
    <w:rsid w:val="0DAC307C"/>
    <w:rsid w:val="0DB046F0"/>
    <w:rsid w:val="0DBC505E"/>
    <w:rsid w:val="0DC43F13"/>
    <w:rsid w:val="0DE45420"/>
    <w:rsid w:val="0DED11C3"/>
    <w:rsid w:val="0DEEFE09"/>
    <w:rsid w:val="0DEFCBAA"/>
    <w:rsid w:val="0DF07812"/>
    <w:rsid w:val="0EA9172E"/>
    <w:rsid w:val="0EAC6E81"/>
    <w:rsid w:val="0ED168E7"/>
    <w:rsid w:val="0EE588A1"/>
    <w:rsid w:val="0EFA6181"/>
    <w:rsid w:val="0F026AA1"/>
    <w:rsid w:val="0F0E4DA1"/>
    <w:rsid w:val="0F217D65"/>
    <w:rsid w:val="0F3BEA86"/>
    <w:rsid w:val="0F4004BA"/>
    <w:rsid w:val="0F4F2DBA"/>
    <w:rsid w:val="0F770861"/>
    <w:rsid w:val="0F834D37"/>
    <w:rsid w:val="0F8E327A"/>
    <w:rsid w:val="0F9A7377"/>
    <w:rsid w:val="0FB029A1"/>
    <w:rsid w:val="0FFF0597"/>
    <w:rsid w:val="100625C1"/>
    <w:rsid w:val="100B7BD7"/>
    <w:rsid w:val="10102ADE"/>
    <w:rsid w:val="1015428D"/>
    <w:rsid w:val="1023623A"/>
    <w:rsid w:val="10343006"/>
    <w:rsid w:val="105E064F"/>
    <w:rsid w:val="10602F00"/>
    <w:rsid w:val="10691D13"/>
    <w:rsid w:val="109C0977"/>
    <w:rsid w:val="10B262A5"/>
    <w:rsid w:val="10C556C7"/>
    <w:rsid w:val="10C73550"/>
    <w:rsid w:val="10E70644"/>
    <w:rsid w:val="10E93824"/>
    <w:rsid w:val="10FE26C3"/>
    <w:rsid w:val="1122167C"/>
    <w:rsid w:val="11276C93"/>
    <w:rsid w:val="114C04A7"/>
    <w:rsid w:val="11671785"/>
    <w:rsid w:val="11911AE2"/>
    <w:rsid w:val="1193302F"/>
    <w:rsid w:val="119A0D13"/>
    <w:rsid w:val="11B37F39"/>
    <w:rsid w:val="11CF5B19"/>
    <w:rsid w:val="11F1415A"/>
    <w:rsid w:val="11FF59BE"/>
    <w:rsid w:val="1207774E"/>
    <w:rsid w:val="121B7144"/>
    <w:rsid w:val="122A0630"/>
    <w:rsid w:val="12445622"/>
    <w:rsid w:val="12467C52"/>
    <w:rsid w:val="12505D75"/>
    <w:rsid w:val="128901BE"/>
    <w:rsid w:val="12945A6A"/>
    <w:rsid w:val="12B72298"/>
    <w:rsid w:val="12CE2F1D"/>
    <w:rsid w:val="12E23CE3"/>
    <w:rsid w:val="12E75462"/>
    <w:rsid w:val="1304784E"/>
    <w:rsid w:val="13062BC8"/>
    <w:rsid w:val="130C25E4"/>
    <w:rsid w:val="130E34D1"/>
    <w:rsid w:val="13387120"/>
    <w:rsid w:val="133D454B"/>
    <w:rsid w:val="1347361C"/>
    <w:rsid w:val="134A4EBA"/>
    <w:rsid w:val="1360584A"/>
    <w:rsid w:val="137259A8"/>
    <w:rsid w:val="13923891"/>
    <w:rsid w:val="13961EAE"/>
    <w:rsid w:val="13C40836"/>
    <w:rsid w:val="13C95DDF"/>
    <w:rsid w:val="13CD70D5"/>
    <w:rsid w:val="140C2170"/>
    <w:rsid w:val="14187B54"/>
    <w:rsid w:val="142328B9"/>
    <w:rsid w:val="142B54BF"/>
    <w:rsid w:val="14377928"/>
    <w:rsid w:val="143F2545"/>
    <w:rsid w:val="144A7030"/>
    <w:rsid w:val="144E67A4"/>
    <w:rsid w:val="147026FF"/>
    <w:rsid w:val="14A4513B"/>
    <w:rsid w:val="14CF2F15"/>
    <w:rsid w:val="14CF38C9"/>
    <w:rsid w:val="150B6FBF"/>
    <w:rsid w:val="15187B8C"/>
    <w:rsid w:val="152D239E"/>
    <w:rsid w:val="153F4796"/>
    <w:rsid w:val="1546319C"/>
    <w:rsid w:val="155913E5"/>
    <w:rsid w:val="15733826"/>
    <w:rsid w:val="157F2FF3"/>
    <w:rsid w:val="1594241D"/>
    <w:rsid w:val="15F22707"/>
    <w:rsid w:val="15F64E85"/>
    <w:rsid w:val="16094BB9"/>
    <w:rsid w:val="16602AFC"/>
    <w:rsid w:val="166A2A78"/>
    <w:rsid w:val="167B2CE0"/>
    <w:rsid w:val="169C7BDB"/>
    <w:rsid w:val="16BF171B"/>
    <w:rsid w:val="16D03928"/>
    <w:rsid w:val="16E72081"/>
    <w:rsid w:val="16E94B89"/>
    <w:rsid w:val="16F0332F"/>
    <w:rsid w:val="16FBE53D"/>
    <w:rsid w:val="16FDEC52"/>
    <w:rsid w:val="16FFAF2E"/>
    <w:rsid w:val="17045380"/>
    <w:rsid w:val="171959D9"/>
    <w:rsid w:val="172872C1"/>
    <w:rsid w:val="172C5712"/>
    <w:rsid w:val="1739C16A"/>
    <w:rsid w:val="17596BCA"/>
    <w:rsid w:val="1763654B"/>
    <w:rsid w:val="17836BED"/>
    <w:rsid w:val="178A7F7B"/>
    <w:rsid w:val="179F2333"/>
    <w:rsid w:val="17C62542"/>
    <w:rsid w:val="17D11706"/>
    <w:rsid w:val="17DD00AB"/>
    <w:rsid w:val="17FE5B8E"/>
    <w:rsid w:val="18027B12"/>
    <w:rsid w:val="181700A5"/>
    <w:rsid w:val="1820443C"/>
    <w:rsid w:val="182061EA"/>
    <w:rsid w:val="183E06CD"/>
    <w:rsid w:val="186B234A"/>
    <w:rsid w:val="186F79AF"/>
    <w:rsid w:val="18950986"/>
    <w:rsid w:val="18BD142C"/>
    <w:rsid w:val="18BD6943"/>
    <w:rsid w:val="18D314AE"/>
    <w:rsid w:val="18D771F0"/>
    <w:rsid w:val="18DB462D"/>
    <w:rsid w:val="18DC65B5"/>
    <w:rsid w:val="19116B06"/>
    <w:rsid w:val="194668FB"/>
    <w:rsid w:val="195A66B6"/>
    <w:rsid w:val="1963464B"/>
    <w:rsid w:val="197F08F5"/>
    <w:rsid w:val="19832ED4"/>
    <w:rsid w:val="19946E8F"/>
    <w:rsid w:val="19A15C56"/>
    <w:rsid w:val="19B250D3"/>
    <w:rsid w:val="19BC47A3"/>
    <w:rsid w:val="19BE5CBA"/>
    <w:rsid w:val="19CE39F7"/>
    <w:rsid w:val="19DD3222"/>
    <w:rsid w:val="19EE2A43"/>
    <w:rsid w:val="19F2280D"/>
    <w:rsid w:val="1A036FE5"/>
    <w:rsid w:val="1A155039"/>
    <w:rsid w:val="1A3C44FD"/>
    <w:rsid w:val="1A503B9E"/>
    <w:rsid w:val="1A516B2E"/>
    <w:rsid w:val="1A700A12"/>
    <w:rsid w:val="1AB668FA"/>
    <w:rsid w:val="1AD734D7"/>
    <w:rsid w:val="1AE913C5"/>
    <w:rsid w:val="1AEA953A"/>
    <w:rsid w:val="1AEB1979"/>
    <w:rsid w:val="1B1501FB"/>
    <w:rsid w:val="1B495A57"/>
    <w:rsid w:val="1B4D19EC"/>
    <w:rsid w:val="1B943177"/>
    <w:rsid w:val="1BB5F8EF"/>
    <w:rsid w:val="1C556DAA"/>
    <w:rsid w:val="1C673348"/>
    <w:rsid w:val="1C7865F4"/>
    <w:rsid w:val="1C8054A9"/>
    <w:rsid w:val="1C863760"/>
    <w:rsid w:val="1C980059"/>
    <w:rsid w:val="1CAC2742"/>
    <w:rsid w:val="1CAC629E"/>
    <w:rsid w:val="1CC40B0B"/>
    <w:rsid w:val="1CE354C7"/>
    <w:rsid w:val="1CF65125"/>
    <w:rsid w:val="1D1743B8"/>
    <w:rsid w:val="1D3823E6"/>
    <w:rsid w:val="1D4B4B0A"/>
    <w:rsid w:val="1D4F1224"/>
    <w:rsid w:val="1D5D48F4"/>
    <w:rsid w:val="1D5D57EA"/>
    <w:rsid w:val="1D636178"/>
    <w:rsid w:val="1D6D0123"/>
    <w:rsid w:val="1D6F18DA"/>
    <w:rsid w:val="1D6FB3D0"/>
    <w:rsid w:val="1DA5166B"/>
    <w:rsid w:val="1DBE5277"/>
    <w:rsid w:val="1DC94BA0"/>
    <w:rsid w:val="1DD12460"/>
    <w:rsid w:val="1DD97FEB"/>
    <w:rsid w:val="1DDD23D4"/>
    <w:rsid w:val="1DE00F30"/>
    <w:rsid w:val="1DED1A46"/>
    <w:rsid w:val="1E0A5972"/>
    <w:rsid w:val="1E162569"/>
    <w:rsid w:val="1E1B1D8D"/>
    <w:rsid w:val="1E82430E"/>
    <w:rsid w:val="1E871148"/>
    <w:rsid w:val="1E8F3F42"/>
    <w:rsid w:val="1E9B6107"/>
    <w:rsid w:val="1EA20B13"/>
    <w:rsid w:val="1EAC07D7"/>
    <w:rsid w:val="1EE51E25"/>
    <w:rsid w:val="1EE95587"/>
    <w:rsid w:val="1EEA12FF"/>
    <w:rsid w:val="1EEF4E3B"/>
    <w:rsid w:val="1EF47613"/>
    <w:rsid w:val="1EFBF8CC"/>
    <w:rsid w:val="1EFF99E7"/>
    <w:rsid w:val="1F261631"/>
    <w:rsid w:val="1F2E677D"/>
    <w:rsid w:val="1F3A65FE"/>
    <w:rsid w:val="1F413615"/>
    <w:rsid w:val="1F444EB4"/>
    <w:rsid w:val="1F7D17C7"/>
    <w:rsid w:val="1F7E6325"/>
    <w:rsid w:val="1FB03135"/>
    <w:rsid w:val="1FC658C9"/>
    <w:rsid w:val="1FCBFF1E"/>
    <w:rsid w:val="1FCEBB04"/>
    <w:rsid w:val="1FEE5D92"/>
    <w:rsid w:val="1FEFCFEA"/>
    <w:rsid w:val="1FF3DD1B"/>
    <w:rsid w:val="1FFB1A16"/>
    <w:rsid w:val="1FFE2D41"/>
    <w:rsid w:val="1FFEC418"/>
    <w:rsid w:val="1FFF3B02"/>
    <w:rsid w:val="1FFFA303"/>
    <w:rsid w:val="1FFFD2A8"/>
    <w:rsid w:val="20121328"/>
    <w:rsid w:val="207574FD"/>
    <w:rsid w:val="2076521C"/>
    <w:rsid w:val="20950E67"/>
    <w:rsid w:val="20964DB0"/>
    <w:rsid w:val="20AE51E0"/>
    <w:rsid w:val="20C067BC"/>
    <w:rsid w:val="20D56667"/>
    <w:rsid w:val="20E7738B"/>
    <w:rsid w:val="20F85C82"/>
    <w:rsid w:val="20FE1AE1"/>
    <w:rsid w:val="211B12EB"/>
    <w:rsid w:val="212163FE"/>
    <w:rsid w:val="21336F8E"/>
    <w:rsid w:val="216BCDB1"/>
    <w:rsid w:val="21894E00"/>
    <w:rsid w:val="21A1530E"/>
    <w:rsid w:val="21A9098A"/>
    <w:rsid w:val="21B61D9D"/>
    <w:rsid w:val="21C1390C"/>
    <w:rsid w:val="21CB5544"/>
    <w:rsid w:val="21E36C06"/>
    <w:rsid w:val="21F039A6"/>
    <w:rsid w:val="21FF4979"/>
    <w:rsid w:val="221E68D1"/>
    <w:rsid w:val="2238237E"/>
    <w:rsid w:val="224E7593"/>
    <w:rsid w:val="22665141"/>
    <w:rsid w:val="226D6F99"/>
    <w:rsid w:val="22712221"/>
    <w:rsid w:val="22844ED1"/>
    <w:rsid w:val="22A00653"/>
    <w:rsid w:val="22AF6AE8"/>
    <w:rsid w:val="22E70030"/>
    <w:rsid w:val="22F8223D"/>
    <w:rsid w:val="232057F5"/>
    <w:rsid w:val="232C2DD6"/>
    <w:rsid w:val="232D3F8C"/>
    <w:rsid w:val="233B7910"/>
    <w:rsid w:val="233F60BE"/>
    <w:rsid w:val="236B0C61"/>
    <w:rsid w:val="236F4AD6"/>
    <w:rsid w:val="2386400F"/>
    <w:rsid w:val="239624D6"/>
    <w:rsid w:val="23AE70AC"/>
    <w:rsid w:val="23C757FA"/>
    <w:rsid w:val="23CC1310"/>
    <w:rsid w:val="24146121"/>
    <w:rsid w:val="243C203B"/>
    <w:rsid w:val="243F496F"/>
    <w:rsid w:val="2449617C"/>
    <w:rsid w:val="246B1635"/>
    <w:rsid w:val="246D0A09"/>
    <w:rsid w:val="246E0688"/>
    <w:rsid w:val="247B5EFD"/>
    <w:rsid w:val="247E7AD8"/>
    <w:rsid w:val="24A421C3"/>
    <w:rsid w:val="24AB2344"/>
    <w:rsid w:val="24DB0068"/>
    <w:rsid w:val="24E33EA6"/>
    <w:rsid w:val="24E72569"/>
    <w:rsid w:val="24F509C5"/>
    <w:rsid w:val="24FF94EC"/>
    <w:rsid w:val="25496D80"/>
    <w:rsid w:val="25870A29"/>
    <w:rsid w:val="25DD0F94"/>
    <w:rsid w:val="25ED4D74"/>
    <w:rsid w:val="25FD8E6B"/>
    <w:rsid w:val="263D4ECA"/>
    <w:rsid w:val="263E3C1D"/>
    <w:rsid w:val="264D1406"/>
    <w:rsid w:val="26574FB2"/>
    <w:rsid w:val="26595B34"/>
    <w:rsid w:val="265C6F87"/>
    <w:rsid w:val="265F14A3"/>
    <w:rsid w:val="26795EF5"/>
    <w:rsid w:val="267C4F33"/>
    <w:rsid w:val="26A71745"/>
    <w:rsid w:val="26BB5A5B"/>
    <w:rsid w:val="26E91E49"/>
    <w:rsid w:val="2709405D"/>
    <w:rsid w:val="272E1912"/>
    <w:rsid w:val="273689C2"/>
    <w:rsid w:val="275F543F"/>
    <w:rsid w:val="2773171B"/>
    <w:rsid w:val="27736336"/>
    <w:rsid w:val="277D2BDA"/>
    <w:rsid w:val="277EF572"/>
    <w:rsid w:val="277F9A9A"/>
    <w:rsid w:val="27880CFF"/>
    <w:rsid w:val="27B81673"/>
    <w:rsid w:val="27BF640B"/>
    <w:rsid w:val="27DE7C3E"/>
    <w:rsid w:val="27E61372"/>
    <w:rsid w:val="285E30F8"/>
    <w:rsid w:val="28885E11"/>
    <w:rsid w:val="289E2A36"/>
    <w:rsid w:val="289FD474"/>
    <w:rsid w:val="28C836BD"/>
    <w:rsid w:val="28DA4193"/>
    <w:rsid w:val="28E43805"/>
    <w:rsid w:val="28EB63A0"/>
    <w:rsid w:val="28F17ED1"/>
    <w:rsid w:val="28F25980"/>
    <w:rsid w:val="28F6AF98"/>
    <w:rsid w:val="290556B4"/>
    <w:rsid w:val="290C2A4E"/>
    <w:rsid w:val="292A2569"/>
    <w:rsid w:val="29445533"/>
    <w:rsid w:val="295F0B9B"/>
    <w:rsid w:val="299407E6"/>
    <w:rsid w:val="29D54FEB"/>
    <w:rsid w:val="29E2BB37"/>
    <w:rsid w:val="29E81CED"/>
    <w:rsid w:val="29E9291D"/>
    <w:rsid w:val="29F76DF0"/>
    <w:rsid w:val="29F80D74"/>
    <w:rsid w:val="29F94396"/>
    <w:rsid w:val="2A010565"/>
    <w:rsid w:val="2A495A74"/>
    <w:rsid w:val="2A4B5348"/>
    <w:rsid w:val="2A5BC12F"/>
    <w:rsid w:val="2A6428AE"/>
    <w:rsid w:val="2A812A6F"/>
    <w:rsid w:val="2A8E16D9"/>
    <w:rsid w:val="2A9630A9"/>
    <w:rsid w:val="2AA35184"/>
    <w:rsid w:val="2ABF4BC0"/>
    <w:rsid w:val="2AC917D8"/>
    <w:rsid w:val="2ACA43AA"/>
    <w:rsid w:val="2AD27817"/>
    <w:rsid w:val="2AE45D82"/>
    <w:rsid w:val="2AEFEE32"/>
    <w:rsid w:val="2B0F646D"/>
    <w:rsid w:val="2B1B2C92"/>
    <w:rsid w:val="2B277B63"/>
    <w:rsid w:val="2B287437"/>
    <w:rsid w:val="2B3A3CA1"/>
    <w:rsid w:val="2B4F7B60"/>
    <w:rsid w:val="2B5FDAE9"/>
    <w:rsid w:val="2B65068C"/>
    <w:rsid w:val="2BA54F2C"/>
    <w:rsid w:val="2BB233D4"/>
    <w:rsid w:val="2BBB1008"/>
    <w:rsid w:val="2BBD4024"/>
    <w:rsid w:val="2BBFDE72"/>
    <w:rsid w:val="2BC80CD8"/>
    <w:rsid w:val="2BDBD4D2"/>
    <w:rsid w:val="2BE84159"/>
    <w:rsid w:val="2BE950E5"/>
    <w:rsid w:val="2BED68A1"/>
    <w:rsid w:val="2BF97F5E"/>
    <w:rsid w:val="2BFD08C4"/>
    <w:rsid w:val="2BFDC900"/>
    <w:rsid w:val="2BFEC2FB"/>
    <w:rsid w:val="2C057779"/>
    <w:rsid w:val="2C770676"/>
    <w:rsid w:val="2C802E20"/>
    <w:rsid w:val="2C901738"/>
    <w:rsid w:val="2C9E1006"/>
    <w:rsid w:val="2CA63582"/>
    <w:rsid w:val="2CA84CD4"/>
    <w:rsid w:val="2CB5119F"/>
    <w:rsid w:val="2CE9EF4E"/>
    <w:rsid w:val="2CFAB66B"/>
    <w:rsid w:val="2D02645B"/>
    <w:rsid w:val="2D1F6E84"/>
    <w:rsid w:val="2D376058"/>
    <w:rsid w:val="2D3F6FEC"/>
    <w:rsid w:val="2D7746A6"/>
    <w:rsid w:val="2D8B372C"/>
    <w:rsid w:val="2D996041"/>
    <w:rsid w:val="2DA723F7"/>
    <w:rsid w:val="2DAB3478"/>
    <w:rsid w:val="2DB434BC"/>
    <w:rsid w:val="2DD12008"/>
    <w:rsid w:val="2DE735DA"/>
    <w:rsid w:val="2DEEE4DC"/>
    <w:rsid w:val="2DF2756B"/>
    <w:rsid w:val="2DFF11C7"/>
    <w:rsid w:val="2E00469C"/>
    <w:rsid w:val="2E07419A"/>
    <w:rsid w:val="2E0FC041"/>
    <w:rsid w:val="2E114AFB"/>
    <w:rsid w:val="2E433D29"/>
    <w:rsid w:val="2E722714"/>
    <w:rsid w:val="2E864BA1"/>
    <w:rsid w:val="2E9A064C"/>
    <w:rsid w:val="2EB87862"/>
    <w:rsid w:val="2EF07BAB"/>
    <w:rsid w:val="2EF73970"/>
    <w:rsid w:val="2EFA10EB"/>
    <w:rsid w:val="2F1F01C4"/>
    <w:rsid w:val="2F204FF5"/>
    <w:rsid w:val="2F2443BA"/>
    <w:rsid w:val="2F382B67"/>
    <w:rsid w:val="2F627B2D"/>
    <w:rsid w:val="2F7D5BF4"/>
    <w:rsid w:val="2F8B4A44"/>
    <w:rsid w:val="2F8D2028"/>
    <w:rsid w:val="2F9EF498"/>
    <w:rsid w:val="2FA93506"/>
    <w:rsid w:val="2FAF27F8"/>
    <w:rsid w:val="2FB228C3"/>
    <w:rsid w:val="2FB310A2"/>
    <w:rsid w:val="2FB35130"/>
    <w:rsid w:val="2FB77A00"/>
    <w:rsid w:val="2FCC42ED"/>
    <w:rsid w:val="2FD2796A"/>
    <w:rsid w:val="2FD63906"/>
    <w:rsid w:val="2FD9F0F8"/>
    <w:rsid w:val="2FE20AD8"/>
    <w:rsid w:val="2FE406B0"/>
    <w:rsid w:val="2FEDD6B9"/>
    <w:rsid w:val="2FF26016"/>
    <w:rsid w:val="2FFB62A0"/>
    <w:rsid w:val="300E30A0"/>
    <w:rsid w:val="30152D2F"/>
    <w:rsid w:val="301B24E4"/>
    <w:rsid w:val="301B57BD"/>
    <w:rsid w:val="301F34FF"/>
    <w:rsid w:val="306955AF"/>
    <w:rsid w:val="307D2E0A"/>
    <w:rsid w:val="30BD0622"/>
    <w:rsid w:val="30C23404"/>
    <w:rsid w:val="30D0579A"/>
    <w:rsid w:val="30D36097"/>
    <w:rsid w:val="31132938"/>
    <w:rsid w:val="31413C60"/>
    <w:rsid w:val="31750EFD"/>
    <w:rsid w:val="31831E7C"/>
    <w:rsid w:val="31C31C11"/>
    <w:rsid w:val="31E3230A"/>
    <w:rsid w:val="31E4412E"/>
    <w:rsid w:val="31FA494D"/>
    <w:rsid w:val="31FC6660"/>
    <w:rsid w:val="31FD7870"/>
    <w:rsid w:val="31FF4DC9"/>
    <w:rsid w:val="320C28AF"/>
    <w:rsid w:val="321D581C"/>
    <w:rsid w:val="32292413"/>
    <w:rsid w:val="323E61D5"/>
    <w:rsid w:val="32705552"/>
    <w:rsid w:val="3277582B"/>
    <w:rsid w:val="329B769F"/>
    <w:rsid w:val="32A23F73"/>
    <w:rsid w:val="32B1716A"/>
    <w:rsid w:val="32B55A55"/>
    <w:rsid w:val="32DF0D23"/>
    <w:rsid w:val="32E26A66"/>
    <w:rsid w:val="32F12805"/>
    <w:rsid w:val="32F7DB0D"/>
    <w:rsid w:val="32FB81A0"/>
    <w:rsid w:val="33062754"/>
    <w:rsid w:val="3310169D"/>
    <w:rsid w:val="33437958"/>
    <w:rsid w:val="33458CCD"/>
    <w:rsid w:val="334B4164"/>
    <w:rsid w:val="33550D1A"/>
    <w:rsid w:val="336E3E55"/>
    <w:rsid w:val="33705E1F"/>
    <w:rsid w:val="33706BF3"/>
    <w:rsid w:val="33A92912"/>
    <w:rsid w:val="33AE03F9"/>
    <w:rsid w:val="33B3096C"/>
    <w:rsid w:val="33B77551"/>
    <w:rsid w:val="33BA07C5"/>
    <w:rsid w:val="33C543BD"/>
    <w:rsid w:val="33D85CF1"/>
    <w:rsid w:val="33E95CF8"/>
    <w:rsid w:val="33EE490B"/>
    <w:rsid w:val="33F15392"/>
    <w:rsid w:val="33FAABDC"/>
    <w:rsid w:val="33FB19AB"/>
    <w:rsid w:val="3408637D"/>
    <w:rsid w:val="340940D6"/>
    <w:rsid w:val="341B28B1"/>
    <w:rsid w:val="343E2FEF"/>
    <w:rsid w:val="343E7CCC"/>
    <w:rsid w:val="346B3CB4"/>
    <w:rsid w:val="34796F56"/>
    <w:rsid w:val="34A06275"/>
    <w:rsid w:val="34AC7EF1"/>
    <w:rsid w:val="34C943A5"/>
    <w:rsid w:val="34F726F9"/>
    <w:rsid w:val="34FF42D8"/>
    <w:rsid w:val="35222FBB"/>
    <w:rsid w:val="3530432C"/>
    <w:rsid w:val="35864A56"/>
    <w:rsid w:val="359B96DB"/>
    <w:rsid w:val="35A1013E"/>
    <w:rsid w:val="35B73FB6"/>
    <w:rsid w:val="35BB3A43"/>
    <w:rsid w:val="35CE6E2D"/>
    <w:rsid w:val="35D15EFD"/>
    <w:rsid w:val="35D21B62"/>
    <w:rsid w:val="360F7B72"/>
    <w:rsid w:val="36171DC5"/>
    <w:rsid w:val="361C55FE"/>
    <w:rsid w:val="36211653"/>
    <w:rsid w:val="363F2052"/>
    <w:rsid w:val="36435A6D"/>
    <w:rsid w:val="3644350A"/>
    <w:rsid w:val="36444420"/>
    <w:rsid w:val="364C7B03"/>
    <w:rsid w:val="364E11CC"/>
    <w:rsid w:val="3667175C"/>
    <w:rsid w:val="366C2620"/>
    <w:rsid w:val="3679323D"/>
    <w:rsid w:val="367A5962"/>
    <w:rsid w:val="368D0EDC"/>
    <w:rsid w:val="36A209E6"/>
    <w:rsid w:val="36E557B9"/>
    <w:rsid w:val="36FD5E1B"/>
    <w:rsid w:val="3708737D"/>
    <w:rsid w:val="37354718"/>
    <w:rsid w:val="3736112E"/>
    <w:rsid w:val="373830F8"/>
    <w:rsid w:val="3752A11C"/>
    <w:rsid w:val="375805C0"/>
    <w:rsid w:val="3767C839"/>
    <w:rsid w:val="37734130"/>
    <w:rsid w:val="377C2FE5"/>
    <w:rsid w:val="377DED25"/>
    <w:rsid w:val="378B43A5"/>
    <w:rsid w:val="37A11BE3"/>
    <w:rsid w:val="37BC8210"/>
    <w:rsid w:val="37C80C83"/>
    <w:rsid w:val="37E8067A"/>
    <w:rsid w:val="37ED4DD2"/>
    <w:rsid w:val="37ED6E66"/>
    <w:rsid w:val="37F67620"/>
    <w:rsid w:val="37FE729B"/>
    <w:rsid w:val="37FE8955"/>
    <w:rsid w:val="380D06C6"/>
    <w:rsid w:val="38172D0E"/>
    <w:rsid w:val="38224AF5"/>
    <w:rsid w:val="38350B32"/>
    <w:rsid w:val="384A3F9A"/>
    <w:rsid w:val="38524317"/>
    <w:rsid w:val="3863347E"/>
    <w:rsid w:val="386B069F"/>
    <w:rsid w:val="38832275"/>
    <w:rsid w:val="388373B9"/>
    <w:rsid w:val="38A327F3"/>
    <w:rsid w:val="38A65E3F"/>
    <w:rsid w:val="38AA72B4"/>
    <w:rsid w:val="38B15295"/>
    <w:rsid w:val="38D7023E"/>
    <w:rsid w:val="38EEDA2A"/>
    <w:rsid w:val="39013DC6"/>
    <w:rsid w:val="39072D82"/>
    <w:rsid w:val="390D01DB"/>
    <w:rsid w:val="3922266C"/>
    <w:rsid w:val="393C377D"/>
    <w:rsid w:val="39684D24"/>
    <w:rsid w:val="39796EE0"/>
    <w:rsid w:val="397B026A"/>
    <w:rsid w:val="39D36374"/>
    <w:rsid w:val="39D63BC2"/>
    <w:rsid w:val="39D7D43D"/>
    <w:rsid w:val="39E15381"/>
    <w:rsid w:val="39F0008D"/>
    <w:rsid w:val="39F13A43"/>
    <w:rsid w:val="39F176EA"/>
    <w:rsid w:val="39FE47F8"/>
    <w:rsid w:val="3A500759"/>
    <w:rsid w:val="3A637EC5"/>
    <w:rsid w:val="3A6A33FB"/>
    <w:rsid w:val="3A767FEC"/>
    <w:rsid w:val="3A772AAE"/>
    <w:rsid w:val="3A7B3A28"/>
    <w:rsid w:val="3A86417A"/>
    <w:rsid w:val="3A986AFB"/>
    <w:rsid w:val="3AA21F1A"/>
    <w:rsid w:val="3AAD1707"/>
    <w:rsid w:val="3ABB2076"/>
    <w:rsid w:val="3ABCA980"/>
    <w:rsid w:val="3AE784CF"/>
    <w:rsid w:val="3AFD5826"/>
    <w:rsid w:val="3B4277CA"/>
    <w:rsid w:val="3B685AE3"/>
    <w:rsid w:val="3B6901EF"/>
    <w:rsid w:val="3B7A2676"/>
    <w:rsid w:val="3BB93E06"/>
    <w:rsid w:val="3BBBB51F"/>
    <w:rsid w:val="3BCFE2B6"/>
    <w:rsid w:val="3BD13AAF"/>
    <w:rsid w:val="3BE75075"/>
    <w:rsid w:val="3BEE1BC1"/>
    <w:rsid w:val="3BEFA248"/>
    <w:rsid w:val="3BF0E46E"/>
    <w:rsid w:val="3BF21AC7"/>
    <w:rsid w:val="3BFA331F"/>
    <w:rsid w:val="3BFE1704"/>
    <w:rsid w:val="3C0C1B53"/>
    <w:rsid w:val="3C0F6B8E"/>
    <w:rsid w:val="3C1B6501"/>
    <w:rsid w:val="3C316D20"/>
    <w:rsid w:val="3C3E0098"/>
    <w:rsid w:val="3C447E49"/>
    <w:rsid w:val="3C6E21A6"/>
    <w:rsid w:val="3C735ED2"/>
    <w:rsid w:val="3C926E07"/>
    <w:rsid w:val="3C94187F"/>
    <w:rsid w:val="3CA87892"/>
    <w:rsid w:val="3CCC7DAA"/>
    <w:rsid w:val="3CE26EDE"/>
    <w:rsid w:val="3CE72C6C"/>
    <w:rsid w:val="3CF38B02"/>
    <w:rsid w:val="3CFB2D2D"/>
    <w:rsid w:val="3CFE26EE"/>
    <w:rsid w:val="3CFF1607"/>
    <w:rsid w:val="3D0575D8"/>
    <w:rsid w:val="3D2066B6"/>
    <w:rsid w:val="3D2538EC"/>
    <w:rsid w:val="3D2F39E2"/>
    <w:rsid w:val="3D311C7C"/>
    <w:rsid w:val="3D37B24A"/>
    <w:rsid w:val="3D41798A"/>
    <w:rsid w:val="3D5C9875"/>
    <w:rsid w:val="3D7B4386"/>
    <w:rsid w:val="3D946A89"/>
    <w:rsid w:val="3D9749AD"/>
    <w:rsid w:val="3D9A555D"/>
    <w:rsid w:val="3DB7AF4E"/>
    <w:rsid w:val="3DB9BF7B"/>
    <w:rsid w:val="3DBB238D"/>
    <w:rsid w:val="3DBF6F49"/>
    <w:rsid w:val="3DC56607"/>
    <w:rsid w:val="3DD1381D"/>
    <w:rsid w:val="3DE2FBFF"/>
    <w:rsid w:val="3DE7BAAF"/>
    <w:rsid w:val="3DEF787B"/>
    <w:rsid w:val="3DF68A69"/>
    <w:rsid w:val="3DFE4DC6"/>
    <w:rsid w:val="3DFFAAE3"/>
    <w:rsid w:val="3DFFD9A2"/>
    <w:rsid w:val="3E0040CB"/>
    <w:rsid w:val="3E23272F"/>
    <w:rsid w:val="3E3013B3"/>
    <w:rsid w:val="3E35213F"/>
    <w:rsid w:val="3E48034E"/>
    <w:rsid w:val="3E932FA3"/>
    <w:rsid w:val="3EA27245"/>
    <w:rsid w:val="3EA74E9D"/>
    <w:rsid w:val="3EB76FF8"/>
    <w:rsid w:val="3EBA0007"/>
    <w:rsid w:val="3EBBE6AB"/>
    <w:rsid w:val="3EC34DCF"/>
    <w:rsid w:val="3ECFF3FC"/>
    <w:rsid w:val="3EEC04BD"/>
    <w:rsid w:val="3EEF66AD"/>
    <w:rsid w:val="3EFD79FA"/>
    <w:rsid w:val="3EFE89FC"/>
    <w:rsid w:val="3F2A1DDB"/>
    <w:rsid w:val="3F3772DD"/>
    <w:rsid w:val="3F381EE7"/>
    <w:rsid w:val="3F472116"/>
    <w:rsid w:val="3F5B5BD6"/>
    <w:rsid w:val="3F65735A"/>
    <w:rsid w:val="3F6F23F7"/>
    <w:rsid w:val="3F72B275"/>
    <w:rsid w:val="3F75AE1D"/>
    <w:rsid w:val="3F7703CB"/>
    <w:rsid w:val="3F77BC0A"/>
    <w:rsid w:val="3F780CF7"/>
    <w:rsid w:val="3F799C09"/>
    <w:rsid w:val="3F7B385C"/>
    <w:rsid w:val="3F7C1EEC"/>
    <w:rsid w:val="3F7E4761"/>
    <w:rsid w:val="3F7F4DCE"/>
    <w:rsid w:val="3F7FAD53"/>
    <w:rsid w:val="3F8A0269"/>
    <w:rsid w:val="3FA104DD"/>
    <w:rsid w:val="3FA506D2"/>
    <w:rsid w:val="3FA88C1E"/>
    <w:rsid w:val="3FAA2B81"/>
    <w:rsid w:val="3FAD4403"/>
    <w:rsid w:val="3FAD8D85"/>
    <w:rsid w:val="3FAF9081"/>
    <w:rsid w:val="3FB37DC1"/>
    <w:rsid w:val="3FB6B0C4"/>
    <w:rsid w:val="3FBB8D3B"/>
    <w:rsid w:val="3FD35B68"/>
    <w:rsid w:val="3FDA4D4C"/>
    <w:rsid w:val="3FDBCA86"/>
    <w:rsid w:val="3FDE4774"/>
    <w:rsid w:val="3FDFA73F"/>
    <w:rsid w:val="3FE3E9B8"/>
    <w:rsid w:val="3FE7E516"/>
    <w:rsid w:val="3FE9A90B"/>
    <w:rsid w:val="3FEB0C7E"/>
    <w:rsid w:val="3FEDB426"/>
    <w:rsid w:val="3FEF9D16"/>
    <w:rsid w:val="3FF13AEB"/>
    <w:rsid w:val="3FF14A0B"/>
    <w:rsid w:val="3FF3F1E2"/>
    <w:rsid w:val="3FF71DCB"/>
    <w:rsid w:val="3FF7A747"/>
    <w:rsid w:val="3FFA53EF"/>
    <w:rsid w:val="3FFCCD76"/>
    <w:rsid w:val="3FFD8C78"/>
    <w:rsid w:val="3FFDC90C"/>
    <w:rsid w:val="3FFDF3BD"/>
    <w:rsid w:val="3FFF1EF4"/>
    <w:rsid w:val="3FFFE4B1"/>
    <w:rsid w:val="40356427"/>
    <w:rsid w:val="405A060F"/>
    <w:rsid w:val="409D48FD"/>
    <w:rsid w:val="40B57568"/>
    <w:rsid w:val="40E340D5"/>
    <w:rsid w:val="40E769FC"/>
    <w:rsid w:val="40F47828"/>
    <w:rsid w:val="41010326"/>
    <w:rsid w:val="412344D1"/>
    <w:rsid w:val="413B181B"/>
    <w:rsid w:val="41452699"/>
    <w:rsid w:val="41594397"/>
    <w:rsid w:val="415C61A3"/>
    <w:rsid w:val="41625FA1"/>
    <w:rsid w:val="4168325C"/>
    <w:rsid w:val="41783B58"/>
    <w:rsid w:val="417B255F"/>
    <w:rsid w:val="41C21F3C"/>
    <w:rsid w:val="41CD66AE"/>
    <w:rsid w:val="41DE664A"/>
    <w:rsid w:val="41E225DE"/>
    <w:rsid w:val="41FA7928"/>
    <w:rsid w:val="420F6AF5"/>
    <w:rsid w:val="4212423E"/>
    <w:rsid w:val="423C2277"/>
    <w:rsid w:val="423D15C3"/>
    <w:rsid w:val="423E2728"/>
    <w:rsid w:val="42554B5E"/>
    <w:rsid w:val="426D1E2B"/>
    <w:rsid w:val="427938E6"/>
    <w:rsid w:val="4293500E"/>
    <w:rsid w:val="42966DD7"/>
    <w:rsid w:val="42A10D91"/>
    <w:rsid w:val="42A211AB"/>
    <w:rsid w:val="42E003A6"/>
    <w:rsid w:val="42F26319"/>
    <w:rsid w:val="42FF2D1C"/>
    <w:rsid w:val="430F22F3"/>
    <w:rsid w:val="43173ACA"/>
    <w:rsid w:val="432A48A4"/>
    <w:rsid w:val="43581309"/>
    <w:rsid w:val="43620B1B"/>
    <w:rsid w:val="43625059"/>
    <w:rsid w:val="43732156"/>
    <w:rsid w:val="43880F63"/>
    <w:rsid w:val="43CE7336"/>
    <w:rsid w:val="43D208C9"/>
    <w:rsid w:val="43D6C32F"/>
    <w:rsid w:val="43DD5A9B"/>
    <w:rsid w:val="43F1021A"/>
    <w:rsid w:val="43FA0B93"/>
    <w:rsid w:val="44015F09"/>
    <w:rsid w:val="441D5FCC"/>
    <w:rsid w:val="442230BD"/>
    <w:rsid w:val="4423795A"/>
    <w:rsid w:val="442E0FEF"/>
    <w:rsid w:val="44380293"/>
    <w:rsid w:val="44735802"/>
    <w:rsid w:val="44A92F3F"/>
    <w:rsid w:val="44BA339E"/>
    <w:rsid w:val="44D125AC"/>
    <w:rsid w:val="450C640B"/>
    <w:rsid w:val="451A4D34"/>
    <w:rsid w:val="451FE9FE"/>
    <w:rsid w:val="45372C41"/>
    <w:rsid w:val="454A4722"/>
    <w:rsid w:val="455A248C"/>
    <w:rsid w:val="455A2782"/>
    <w:rsid w:val="456DB8CF"/>
    <w:rsid w:val="457C5434"/>
    <w:rsid w:val="458319E2"/>
    <w:rsid w:val="45A258DE"/>
    <w:rsid w:val="45BF467D"/>
    <w:rsid w:val="45D72F9A"/>
    <w:rsid w:val="45D77EA2"/>
    <w:rsid w:val="45D85A64"/>
    <w:rsid w:val="45DB181E"/>
    <w:rsid w:val="45E87A97"/>
    <w:rsid w:val="45FD4CB1"/>
    <w:rsid w:val="46106040"/>
    <w:rsid w:val="46184820"/>
    <w:rsid w:val="46584C1D"/>
    <w:rsid w:val="466320FF"/>
    <w:rsid w:val="466F335C"/>
    <w:rsid w:val="469A3487"/>
    <w:rsid w:val="46BE4A66"/>
    <w:rsid w:val="46DBF1B7"/>
    <w:rsid w:val="46E87DF0"/>
    <w:rsid w:val="46F76EAD"/>
    <w:rsid w:val="46FC3C98"/>
    <w:rsid w:val="471843AC"/>
    <w:rsid w:val="471C3E9C"/>
    <w:rsid w:val="473A2575"/>
    <w:rsid w:val="47523D62"/>
    <w:rsid w:val="475F7987"/>
    <w:rsid w:val="475FB0CB"/>
    <w:rsid w:val="476E6961"/>
    <w:rsid w:val="47764810"/>
    <w:rsid w:val="47764D4B"/>
    <w:rsid w:val="477A6E15"/>
    <w:rsid w:val="47842530"/>
    <w:rsid w:val="47990C52"/>
    <w:rsid w:val="47A45C40"/>
    <w:rsid w:val="47BD8515"/>
    <w:rsid w:val="47CB21F5"/>
    <w:rsid w:val="47E339CF"/>
    <w:rsid w:val="47E57580"/>
    <w:rsid w:val="48517B76"/>
    <w:rsid w:val="48531B40"/>
    <w:rsid w:val="48986F08"/>
    <w:rsid w:val="48A61537"/>
    <w:rsid w:val="48B52239"/>
    <w:rsid w:val="48D32C81"/>
    <w:rsid w:val="48DA400F"/>
    <w:rsid w:val="48E076C9"/>
    <w:rsid w:val="48E761F0"/>
    <w:rsid w:val="48EC781C"/>
    <w:rsid w:val="48F0738F"/>
    <w:rsid w:val="490966A2"/>
    <w:rsid w:val="493C06FE"/>
    <w:rsid w:val="494000F9"/>
    <w:rsid w:val="49543A4B"/>
    <w:rsid w:val="49987B1F"/>
    <w:rsid w:val="499B65F7"/>
    <w:rsid w:val="49C34AA3"/>
    <w:rsid w:val="49E1146A"/>
    <w:rsid w:val="49EA2030"/>
    <w:rsid w:val="49FBC844"/>
    <w:rsid w:val="4A0B41DF"/>
    <w:rsid w:val="4A1B7C26"/>
    <w:rsid w:val="4A216E24"/>
    <w:rsid w:val="4A312D2C"/>
    <w:rsid w:val="4A4F3ADD"/>
    <w:rsid w:val="4A6C6EE9"/>
    <w:rsid w:val="4A79760A"/>
    <w:rsid w:val="4AAE0898"/>
    <w:rsid w:val="4ACF1226"/>
    <w:rsid w:val="4ADA676F"/>
    <w:rsid w:val="4ADE3F6F"/>
    <w:rsid w:val="4AE9678B"/>
    <w:rsid w:val="4B0B5A52"/>
    <w:rsid w:val="4B0E7FA0"/>
    <w:rsid w:val="4B502367"/>
    <w:rsid w:val="4B83098E"/>
    <w:rsid w:val="4B8A16F4"/>
    <w:rsid w:val="4B8B6B83"/>
    <w:rsid w:val="4B9468AA"/>
    <w:rsid w:val="4B9FF3FC"/>
    <w:rsid w:val="4BDA529C"/>
    <w:rsid w:val="4BDB9885"/>
    <w:rsid w:val="4BE551A5"/>
    <w:rsid w:val="4BE7C61F"/>
    <w:rsid w:val="4BEF5B51"/>
    <w:rsid w:val="4BFB0BB5"/>
    <w:rsid w:val="4C2A22C7"/>
    <w:rsid w:val="4C327CBE"/>
    <w:rsid w:val="4C3752D5"/>
    <w:rsid w:val="4C3C08DD"/>
    <w:rsid w:val="4C673799"/>
    <w:rsid w:val="4C7327B1"/>
    <w:rsid w:val="4C7E1155"/>
    <w:rsid w:val="4C7E3A9B"/>
    <w:rsid w:val="4C99133A"/>
    <w:rsid w:val="4CAC181F"/>
    <w:rsid w:val="4CF75609"/>
    <w:rsid w:val="4CFB4554"/>
    <w:rsid w:val="4CFFBB62"/>
    <w:rsid w:val="4D04165B"/>
    <w:rsid w:val="4D067AFE"/>
    <w:rsid w:val="4D1833EC"/>
    <w:rsid w:val="4D31729B"/>
    <w:rsid w:val="4D330192"/>
    <w:rsid w:val="4D5B08E3"/>
    <w:rsid w:val="4D64659D"/>
    <w:rsid w:val="4D73058E"/>
    <w:rsid w:val="4D766DC6"/>
    <w:rsid w:val="4D7D140D"/>
    <w:rsid w:val="4D8004B2"/>
    <w:rsid w:val="4D834C75"/>
    <w:rsid w:val="4D897DB2"/>
    <w:rsid w:val="4D922D30"/>
    <w:rsid w:val="4DA4699A"/>
    <w:rsid w:val="4DBC4202"/>
    <w:rsid w:val="4DC909B4"/>
    <w:rsid w:val="4DE72335"/>
    <w:rsid w:val="4DF83532"/>
    <w:rsid w:val="4DFDA26F"/>
    <w:rsid w:val="4DFE04A1"/>
    <w:rsid w:val="4DFFB0C7"/>
    <w:rsid w:val="4DFFE1BD"/>
    <w:rsid w:val="4E1853A0"/>
    <w:rsid w:val="4E1A6550"/>
    <w:rsid w:val="4E1D6DB8"/>
    <w:rsid w:val="4E305E8F"/>
    <w:rsid w:val="4E4A12EF"/>
    <w:rsid w:val="4E4E0B99"/>
    <w:rsid w:val="4E6A15BE"/>
    <w:rsid w:val="4E6E102F"/>
    <w:rsid w:val="4E7E543D"/>
    <w:rsid w:val="4E8D38D2"/>
    <w:rsid w:val="4E8F2455"/>
    <w:rsid w:val="4EA44071"/>
    <w:rsid w:val="4EAC6DDE"/>
    <w:rsid w:val="4EB6CA6F"/>
    <w:rsid w:val="4EC14021"/>
    <w:rsid w:val="4EEF4ABB"/>
    <w:rsid w:val="4F061EFF"/>
    <w:rsid w:val="4F1F8F27"/>
    <w:rsid w:val="4F29184C"/>
    <w:rsid w:val="4F477F24"/>
    <w:rsid w:val="4F5A3A69"/>
    <w:rsid w:val="4F5D1D38"/>
    <w:rsid w:val="4F6208BA"/>
    <w:rsid w:val="4F686E41"/>
    <w:rsid w:val="4F7ECEAF"/>
    <w:rsid w:val="4F7F563B"/>
    <w:rsid w:val="4FBAC365"/>
    <w:rsid w:val="4FBD6CA7"/>
    <w:rsid w:val="4FD30634"/>
    <w:rsid w:val="4FDF71B8"/>
    <w:rsid w:val="4FE26A26"/>
    <w:rsid w:val="4FED9256"/>
    <w:rsid w:val="4FEF96DC"/>
    <w:rsid w:val="4FF758FD"/>
    <w:rsid w:val="4FF7EB13"/>
    <w:rsid w:val="4FFD9430"/>
    <w:rsid w:val="4FFE4086"/>
    <w:rsid w:val="500C5B94"/>
    <w:rsid w:val="5029140C"/>
    <w:rsid w:val="502E5E88"/>
    <w:rsid w:val="50662F48"/>
    <w:rsid w:val="50670AAE"/>
    <w:rsid w:val="506A1D2D"/>
    <w:rsid w:val="506C2276"/>
    <w:rsid w:val="50BA3A13"/>
    <w:rsid w:val="50BB2849"/>
    <w:rsid w:val="50C64E79"/>
    <w:rsid w:val="50CB09AC"/>
    <w:rsid w:val="50CD6207"/>
    <w:rsid w:val="50D6330E"/>
    <w:rsid w:val="50E13B6C"/>
    <w:rsid w:val="50E91F61"/>
    <w:rsid w:val="50ED10FC"/>
    <w:rsid w:val="50FB0FD4"/>
    <w:rsid w:val="50FF6057"/>
    <w:rsid w:val="51031065"/>
    <w:rsid w:val="511B6F73"/>
    <w:rsid w:val="512E4EF8"/>
    <w:rsid w:val="512EC40C"/>
    <w:rsid w:val="51494DD6"/>
    <w:rsid w:val="51510BE7"/>
    <w:rsid w:val="51874608"/>
    <w:rsid w:val="51A90A23"/>
    <w:rsid w:val="51C72B00"/>
    <w:rsid w:val="51DE0ACD"/>
    <w:rsid w:val="51E27A91"/>
    <w:rsid w:val="521A547C"/>
    <w:rsid w:val="5274174F"/>
    <w:rsid w:val="5296204C"/>
    <w:rsid w:val="52A762F3"/>
    <w:rsid w:val="52DE1426"/>
    <w:rsid w:val="52E55A8A"/>
    <w:rsid w:val="52EA4E4F"/>
    <w:rsid w:val="530C60F3"/>
    <w:rsid w:val="531C6FD2"/>
    <w:rsid w:val="53277E51"/>
    <w:rsid w:val="533E31D8"/>
    <w:rsid w:val="534235BC"/>
    <w:rsid w:val="534C7C6C"/>
    <w:rsid w:val="5353677A"/>
    <w:rsid w:val="5362BA35"/>
    <w:rsid w:val="537D5CC3"/>
    <w:rsid w:val="537F7C8D"/>
    <w:rsid w:val="53985ECA"/>
    <w:rsid w:val="53A9636F"/>
    <w:rsid w:val="53AF4953"/>
    <w:rsid w:val="53BACF17"/>
    <w:rsid w:val="53BC70F7"/>
    <w:rsid w:val="53CC5958"/>
    <w:rsid w:val="53D00A6B"/>
    <w:rsid w:val="53D7E5E1"/>
    <w:rsid w:val="53DB7587"/>
    <w:rsid w:val="53E07C51"/>
    <w:rsid w:val="53FC263A"/>
    <w:rsid w:val="53FF2053"/>
    <w:rsid w:val="540939FA"/>
    <w:rsid w:val="5420368F"/>
    <w:rsid w:val="54420CBA"/>
    <w:rsid w:val="544B5DC1"/>
    <w:rsid w:val="548C251C"/>
    <w:rsid w:val="54990098"/>
    <w:rsid w:val="54AD25D8"/>
    <w:rsid w:val="54B40DE1"/>
    <w:rsid w:val="54BE6593"/>
    <w:rsid w:val="54DB5397"/>
    <w:rsid w:val="54F00716"/>
    <w:rsid w:val="54F98B50"/>
    <w:rsid w:val="55175CA3"/>
    <w:rsid w:val="552D196B"/>
    <w:rsid w:val="55320D2F"/>
    <w:rsid w:val="554C1A86"/>
    <w:rsid w:val="556A2277"/>
    <w:rsid w:val="55742C40"/>
    <w:rsid w:val="55A41706"/>
    <w:rsid w:val="55BFBB6A"/>
    <w:rsid w:val="55DC290C"/>
    <w:rsid w:val="55EE8D95"/>
    <w:rsid w:val="55EFC73C"/>
    <w:rsid w:val="563441A1"/>
    <w:rsid w:val="567C527E"/>
    <w:rsid w:val="56876E58"/>
    <w:rsid w:val="569F5A92"/>
    <w:rsid w:val="56CC312F"/>
    <w:rsid w:val="56CD51B3"/>
    <w:rsid w:val="56D320A7"/>
    <w:rsid w:val="56DE2A2A"/>
    <w:rsid w:val="56E12A0D"/>
    <w:rsid w:val="56E70F44"/>
    <w:rsid w:val="56FA6703"/>
    <w:rsid w:val="56FBB64C"/>
    <w:rsid w:val="56FD4C29"/>
    <w:rsid w:val="56FE6374"/>
    <w:rsid w:val="56FF7CA9"/>
    <w:rsid w:val="570C5C29"/>
    <w:rsid w:val="57243FF4"/>
    <w:rsid w:val="57245789"/>
    <w:rsid w:val="57393E28"/>
    <w:rsid w:val="576553EC"/>
    <w:rsid w:val="5777C1D0"/>
    <w:rsid w:val="577D3D2D"/>
    <w:rsid w:val="577FBAD2"/>
    <w:rsid w:val="57802226"/>
    <w:rsid w:val="57997A8A"/>
    <w:rsid w:val="57B58211"/>
    <w:rsid w:val="57B7783A"/>
    <w:rsid w:val="57BD7AC0"/>
    <w:rsid w:val="57BE8155"/>
    <w:rsid w:val="57DD1426"/>
    <w:rsid w:val="57DF6B92"/>
    <w:rsid w:val="57E207EA"/>
    <w:rsid w:val="57E442BA"/>
    <w:rsid w:val="57EA6482"/>
    <w:rsid w:val="57EC78BB"/>
    <w:rsid w:val="57EE4C58"/>
    <w:rsid w:val="57EE9A15"/>
    <w:rsid w:val="57F00FD4"/>
    <w:rsid w:val="57F5AED9"/>
    <w:rsid w:val="57F7031F"/>
    <w:rsid w:val="57F9A254"/>
    <w:rsid w:val="57FBC45F"/>
    <w:rsid w:val="57FBDF80"/>
    <w:rsid w:val="57FD7E27"/>
    <w:rsid w:val="57FF1D42"/>
    <w:rsid w:val="5817637E"/>
    <w:rsid w:val="58521C15"/>
    <w:rsid w:val="58535244"/>
    <w:rsid w:val="587C2CA7"/>
    <w:rsid w:val="58BD34CA"/>
    <w:rsid w:val="58CB5722"/>
    <w:rsid w:val="58D22EC9"/>
    <w:rsid w:val="58EE31BF"/>
    <w:rsid w:val="58F34251"/>
    <w:rsid w:val="58FB4B11"/>
    <w:rsid w:val="591F781C"/>
    <w:rsid w:val="59383C44"/>
    <w:rsid w:val="595B6AA6"/>
    <w:rsid w:val="596D0588"/>
    <w:rsid w:val="5972167F"/>
    <w:rsid w:val="597B4459"/>
    <w:rsid w:val="598002BB"/>
    <w:rsid w:val="598D6049"/>
    <w:rsid w:val="59B7569C"/>
    <w:rsid w:val="59BB5797"/>
    <w:rsid w:val="59C858C7"/>
    <w:rsid w:val="59D565DA"/>
    <w:rsid w:val="59DF5872"/>
    <w:rsid w:val="59DF8899"/>
    <w:rsid w:val="59FBCE31"/>
    <w:rsid w:val="5A056A12"/>
    <w:rsid w:val="5A0A5DD6"/>
    <w:rsid w:val="5A2450EA"/>
    <w:rsid w:val="5A3A1299"/>
    <w:rsid w:val="5A475486"/>
    <w:rsid w:val="5A7B3A1F"/>
    <w:rsid w:val="5A924CC9"/>
    <w:rsid w:val="5AB03838"/>
    <w:rsid w:val="5AC8016B"/>
    <w:rsid w:val="5ADE2999"/>
    <w:rsid w:val="5AF3F364"/>
    <w:rsid w:val="5AFBBEB1"/>
    <w:rsid w:val="5AFC1BC3"/>
    <w:rsid w:val="5B0D5B7E"/>
    <w:rsid w:val="5B197899"/>
    <w:rsid w:val="5B1A473F"/>
    <w:rsid w:val="5B231846"/>
    <w:rsid w:val="5B31474E"/>
    <w:rsid w:val="5B444FD1"/>
    <w:rsid w:val="5B6E2929"/>
    <w:rsid w:val="5B6E9FBC"/>
    <w:rsid w:val="5B6F1466"/>
    <w:rsid w:val="5B784DDA"/>
    <w:rsid w:val="5B90462A"/>
    <w:rsid w:val="5B920779"/>
    <w:rsid w:val="5B9B42BB"/>
    <w:rsid w:val="5BA130E8"/>
    <w:rsid w:val="5BA5225B"/>
    <w:rsid w:val="5BA83AF9"/>
    <w:rsid w:val="5BAC35E9"/>
    <w:rsid w:val="5BAD0C48"/>
    <w:rsid w:val="5BBD22FA"/>
    <w:rsid w:val="5BBD38AD"/>
    <w:rsid w:val="5BBD4E46"/>
    <w:rsid w:val="5BBD51E8"/>
    <w:rsid w:val="5BDBAC90"/>
    <w:rsid w:val="5BDCDA1A"/>
    <w:rsid w:val="5BFBEC90"/>
    <w:rsid w:val="5BFCDBA0"/>
    <w:rsid w:val="5BFD07C2"/>
    <w:rsid w:val="5BFF57D3"/>
    <w:rsid w:val="5C430B30"/>
    <w:rsid w:val="5C5704CD"/>
    <w:rsid w:val="5C642943"/>
    <w:rsid w:val="5C7DF76A"/>
    <w:rsid w:val="5C9A0569"/>
    <w:rsid w:val="5C9F2A97"/>
    <w:rsid w:val="5C9FBFC9"/>
    <w:rsid w:val="5CAC1E19"/>
    <w:rsid w:val="5CE35741"/>
    <w:rsid w:val="5CE43CBE"/>
    <w:rsid w:val="5CE75E13"/>
    <w:rsid w:val="5CF55659"/>
    <w:rsid w:val="5CFB5EAA"/>
    <w:rsid w:val="5CFC268C"/>
    <w:rsid w:val="5CFD6181"/>
    <w:rsid w:val="5D1B2FEB"/>
    <w:rsid w:val="5D301FF8"/>
    <w:rsid w:val="5D601485"/>
    <w:rsid w:val="5D72616D"/>
    <w:rsid w:val="5D747FFF"/>
    <w:rsid w:val="5D7512E0"/>
    <w:rsid w:val="5D759B33"/>
    <w:rsid w:val="5D7F1059"/>
    <w:rsid w:val="5D8616AC"/>
    <w:rsid w:val="5D8A4BB9"/>
    <w:rsid w:val="5DAFB638"/>
    <w:rsid w:val="5DBD0859"/>
    <w:rsid w:val="5DCD4019"/>
    <w:rsid w:val="5DDE3BB7"/>
    <w:rsid w:val="5DE63363"/>
    <w:rsid w:val="5DF51BAE"/>
    <w:rsid w:val="5E005E6E"/>
    <w:rsid w:val="5E0A684F"/>
    <w:rsid w:val="5E14191A"/>
    <w:rsid w:val="5E24EE45"/>
    <w:rsid w:val="5E2F0501"/>
    <w:rsid w:val="5E382C33"/>
    <w:rsid w:val="5E3EC662"/>
    <w:rsid w:val="5E543AC4"/>
    <w:rsid w:val="5E6DD298"/>
    <w:rsid w:val="5E744166"/>
    <w:rsid w:val="5E7F90DE"/>
    <w:rsid w:val="5E897C12"/>
    <w:rsid w:val="5E8B1BDC"/>
    <w:rsid w:val="5EAF1709"/>
    <w:rsid w:val="5EBC9328"/>
    <w:rsid w:val="5ECB28DF"/>
    <w:rsid w:val="5EDF3BC6"/>
    <w:rsid w:val="5EDF5989"/>
    <w:rsid w:val="5EDFE7E7"/>
    <w:rsid w:val="5EE74DFA"/>
    <w:rsid w:val="5EF9F057"/>
    <w:rsid w:val="5EFB4BB1"/>
    <w:rsid w:val="5EFBC12B"/>
    <w:rsid w:val="5EFD0DBD"/>
    <w:rsid w:val="5EFF2A40"/>
    <w:rsid w:val="5EFFA8A2"/>
    <w:rsid w:val="5F0A0F51"/>
    <w:rsid w:val="5F184544"/>
    <w:rsid w:val="5F1F5F82"/>
    <w:rsid w:val="5F1FAE82"/>
    <w:rsid w:val="5F2D977C"/>
    <w:rsid w:val="5F3AE02E"/>
    <w:rsid w:val="5F507BE6"/>
    <w:rsid w:val="5F5E1F39"/>
    <w:rsid w:val="5F7B6F17"/>
    <w:rsid w:val="5F7CF3CA"/>
    <w:rsid w:val="5F7F0679"/>
    <w:rsid w:val="5F7F85D8"/>
    <w:rsid w:val="5F83EF1D"/>
    <w:rsid w:val="5F881C77"/>
    <w:rsid w:val="5F9F82D7"/>
    <w:rsid w:val="5FA609E8"/>
    <w:rsid w:val="5FAFFB0E"/>
    <w:rsid w:val="5FB278DA"/>
    <w:rsid w:val="5FBD3175"/>
    <w:rsid w:val="5FC827FD"/>
    <w:rsid w:val="5FD512B1"/>
    <w:rsid w:val="5FD7CBEC"/>
    <w:rsid w:val="5FD85AD5"/>
    <w:rsid w:val="5FDE26A1"/>
    <w:rsid w:val="5FDF43BD"/>
    <w:rsid w:val="5FDF50FC"/>
    <w:rsid w:val="5FE761BA"/>
    <w:rsid w:val="5FE951FE"/>
    <w:rsid w:val="5FE99430"/>
    <w:rsid w:val="5FED61EE"/>
    <w:rsid w:val="5FEE2B66"/>
    <w:rsid w:val="5FEFD4B6"/>
    <w:rsid w:val="5FEFE6DB"/>
    <w:rsid w:val="5FF795EA"/>
    <w:rsid w:val="5FFBE2FD"/>
    <w:rsid w:val="5FFD8F39"/>
    <w:rsid w:val="5FFEFE9D"/>
    <w:rsid w:val="5FFF0EDB"/>
    <w:rsid w:val="5FFF3D40"/>
    <w:rsid w:val="5FFF645A"/>
    <w:rsid w:val="601E7DFE"/>
    <w:rsid w:val="60242D5D"/>
    <w:rsid w:val="60332A46"/>
    <w:rsid w:val="6057789C"/>
    <w:rsid w:val="6071053E"/>
    <w:rsid w:val="60A62EDF"/>
    <w:rsid w:val="60A644EA"/>
    <w:rsid w:val="60AF057A"/>
    <w:rsid w:val="60D158A0"/>
    <w:rsid w:val="60F021CA"/>
    <w:rsid w:val="60F66071"/>
    <w:rsid w:val="611C435E"/>
    <w:rsid w:val="612447BF"/>
    <w:rsid w:val="612E7483"/>
    <w:rsid w:val="613320B7"/>
    <w:rsid w:val="6136215C"/>
    <w:rsid w:val="6138591F"/>
    <w:rsid w:val="613A4AAA"/>
    <w:rsid w:val="61722BDF"/>
    <w:rsid w:val="617D1584"/>
    <w:rsid w:val="618E17FA"/>
    <w:rsid w:val="619C1C1A"/>
    <w:rsid w:val="61A92379"/>
    <w:rsid w:val="61ED6709"/>
    <w:rsid w:val="61F76882"/>
    <w:rsid w:val="62051CA5"/>
    <w:rsid w:val="620C07C2"/>
    <w:rsid w:val="625B7B17"/>
    <w:rsid w:val="625E2820"/>
    <w:rsid w:val="6277F55F"/>
    <w:rsid w:val="627E64B7"/>
    <w:rsid w:val="62BC42B6"/>
    <w:rsid w:val="62C258A1"/>
    <w:rsid w:val="62E67FCA"/>
    <w:rsid w:val="62E80C7F"/>
    <w:rsid w:val="63585E05"/>
    <w:rsid w:val="639F1A19"/>
    <w:rsid w:val="63B07EEF"/>
    <w:rsid w:val="63B864AB"/>
    <w:rsid w:val="63BA7647"/>
    <w:rsid w:val="63BF5C8D"/>
    <w:rsid w:val="63C84BF0"/>
    <w:rsid w:val="63CB2A7A"/>
    <w:rsid w:val="63DA48CF"/>
    <w:rsid w:val="63E458EA"/>
    <w:rsid w:val="63EE11D8"/>
    <w:rsid w:val="63FD22E1"/>
    <w:rsid w:val="63FEFA85"/>
    <w:rsid w:val="63FF0B59"/>
    <w:rsid w:val="64095351"/>
    <w:rsid w:val="642277FE"/>
    <w:rsid w:val="64610CE9"/>
    <w:rsid w:val="648F3AA8"/>
    <w:rsid w:val="64917820"/>
    <w:rsid w:val="64A86918"/>
    <w:rsid w:val="64B23096"/>
    <w:rsid w:val="64C13CDF"/>
    <w:rsid w:val="64C25130"/>
    <w:rsid w:val="65053D6A"/>
    <w:rsid w:val="65070D22"/>
    <w:rsid w:val="650F512B"/>
    <w:rsid w:val="651F314A"/>
    <w:rsid w:val="65232F5A"/>
    <w:rsid w:val="65271F32"/>
    <w:rsid w:val="652D3785"/>
    <w:rsid w:val="653060BE"/>
    <w:rsid w:val="65376ACA"/>
    <w:rsid w:val="657A582A"/>
    <w:rsid w:val="657B10A7"/>
    <w:rsid w:val="657B771C"/>
    <w:rsid w:val="65893BF7"/>
    <w:rsid w:val="659B1574"/>
    <w:rsid w:val="65AD5D82"/>
    <w:rsid w:val="65B57ED6"/>
    <w:rsid w:val="65BDFAE7"/>
    <w:rsid w:val="65DCCB64"/>
    <w:rsid w:val="65DF0A5F"/>
    <w:rsid w:val="65E04889"/>
    <w:rsid w:val="65FD181A"/>
    <w:rsid w:val="66042274"/>
    <w:rsid w:val="66224108"/>
    <w:rsid w:val="66237B26"/>
    <w:rsid w:val="664408C2"/>
    <w:rsid w:val="664B7EA3"/>
    <w:rsid w:val="6650370B"/>
    <w:rsid w:val="66543FDB"/>
    <w:rsid w:val="666F3994"/>
    <w:rsid w:val="668D2FD9"/>
    <w:rsid w:val="66967370"/>
    <w:rsid w:val="66993D4C"/>
    <w:rsid w:val="669B2FA6"/>
    <w:rsid w:val="66B2A147"/>
    <w:rsid w:val="671604B0"/>
    <w:rsid w:val="6734100C"/>
    <w:rsid w:val="67373466"/>
    <w:rsid w:val="67392596"/>
    <w:rsid w:val="675F23C9"/>
    <w:rsid w:val="676775F4"/>
    <w:rsid w:val="677BFD78"/>
    <w:rsid w:val="677F410F"/>
    <w:rsid w:val="677FA50A"/>
    <w:rsid w:val="67980EC5"/>
    <w:rsid w:val="67A45ABC"/>
    <w:rsid w:val="67BDC0FA"/>
    <w:rsid w:val="67BEB647"/>
    <w:rsid w:val="67D619EE"/>
    <w:rsid w:val="67D958E5"/>
    <w:rsid w:val="67DDE1A2"/>
    <w:rsid w:val="67DE62CF"/>
    <w:rsid w:val="67E2723D"/>
    <w:rsid w:val="67F5AA43"/>
    <w:rsid w:val="67F72288"/>
    <w:rsid w:val="67FD2FA2"/>
    <w:rsid w:val="67FFB2B7"/>
    <w:rsid w:val="680D3662"/>
    <w:rsid w:val="682857F4"/>
    <w:rsid w:val="683726A5"/>
    <w:rsid w:val="68444BA9"/>
    <w:rsid w:val="685F9E49"/>
    <w:rsid w:val="685FB857"/>
    <w:rsid w:val="68632D16"/>
    <w:rsid w:val="686624F1"/>
    <w:rsid w:val="686A409C"/>
    <w:rsid w:val="686F41CE"/>
    <w:rsid w:val="68833924"/>
    <w:rsid w:val="689B5D0C"/>
    <w:rsid w:val="68B7202E"/>
    <w:rsid w:val="68B735CD"/>
    <w:rsid w:val="68D53165"/>
    <w:rsid w:val="68D77EEE"/>
    <w:rsid w:val="68E1064A"/>
    <w:rsid w:val="68EF2D67"/>
    <w:rsid w:val="68F20AA9"/>
    <w:rsid w:val="690E0BCA"/>
    <w:rsid w:val="693027FB"/>
    <w:rsid w:val="694471B7"/>
    <w:rsid w:val="69635C36"/>
    <w:rsid w:val="696D1EDE"/>
    <w:rsid w:val="697266AD"/>
    <w:rsid w:val="69894FF2"/>
    <w:rsid w:val="698C66B8"/>
    <w:rsid w:val="699E3448"/>
    <w:rsid w:val="699F653B"/>
    <w:rsid w:val="69BE9A34"/>
    <w:rsid w:val="69EB24FD"/>
    <w:rsid w:val="69EE1802"/>
    <w:rsid w:val="69F22DFC"/>
    <w:rsid w:val="69FF24D6"/>
    <w:rsid w:val="6A612153"/>
    <w:rsid w:val="6A74E2F9"/>
    <w:rsid w:val="6A964158"/>
    <w:rsid w:val="6A9923F7"/>
    <w:rsid w:val="6A9F1854"/>
    <w:rsid w:val="6ABF67EE"/>
    <w:rsid w:val="6AD05952"/>
    <w:rsid w:val="6AD12823"/>
    <w:rsid w:val="6AD2649C"/>
    <w:rsid w:val="6AF5F7C7"/>
    <w:rsid w:val="6B1673E4"/>
    <w:rsid w:val="6B217048"/>
    <w:rsid w:val="6B2C02A3"/>
    <w:rsid w:val="6B3D5CA9"/>
    <w:rsid w:val="6B444867"/>
    <w:rsid w:val="6B5D36FB"/>
    <w:rsid w:val="6B62B33D"/>
    <w:rsid w:val="6B7331F6"/>
    <w:rsid w:val="6B9C1183"/>
    <w:rsid w:val="6BAFE1CD"/>
    <w:rsid w:val="6BBB414A"/>
    <w:rsid w:val="6BBB4D26"/>
    <w:rsid w:val="6BDDA1BB"/>
    <w:rsid w:val="6BFFDD08"/>
    <w:rsid w:val="6C127BD4"/>
    <w:rsid w:val="6C16685D"/>
    <w:rsid w:val="6C21109E"/>
    <w:rsid w:val="6C2D40B8"/>
    <w:rsid w:val="6C5775A1"/>
    <w:rsid w:val="6C6439B9"/>
    <w:rsid w:val="6C779AC1"/>
    <w:rsid w:val="6C7A3B4E"/>
    <w:rsid w:val="6C8115C3"/>
    <w:rsid w:val="6C845C65"/>
    <w:rsid w:val="6C8B038E"/>
    <w:rsid w:val="6CB52B89"/>
    <w:rsid w:val="6CCB7647"/>
    <w:rsid w:val="6CCFFE0D"/>
    <w:rsid w:val="6CD709FB"/>
    <w:rsid w:val="6CF430F3"/>
    <w:rsid w:val="6D064B23"/>
    <w:rsid w:val="6D162089"/>
    <w:rsid w:val="6D40540A"/>
    <w:rsid w:val="6D4B0788"/>
    <w:rsid w:val="6D54588F"/>
    <w:rsid w:val="6D5F5495"/>
    <w:rsid w:val="6D77157D"/>
    <w:rsid w:val="6D7794E5"/>
    <w:rsid w:val="6D7915A2"/>
    <w:rsid w:val="6D7A3057"/>
    <w:rsid w:val="6D7B106D"/>
    <w:rsid w:val="6D7ED7A3"/>
    <w:rsid w:val="6D7F661E"/>
    <w:rsid w:val="6DA454A8"/>
    <w:rsid w:val="6DA56617"/>
    <w:rsid w:val="6DA85BDA"/>
    <w:rsid w:val="6DAFB1FD"/>
    <w:rsid w:val="6DB426B9"/>
    <w:rsid w:val="6DBFC924"/>
    <w:rsid w:val="6DC78642"/>
    <w:rsid w:val="6DCE509E"/>
    <w:rsid w:val="6DD864C0"/>
    <w:rsid w:val="6DD990DC"/>
    <w:rsid w:val="6DDD4345"/>
    <w:rsid w:val="6DE457D2"/>
    <w:rsid w:val="6DEF9CF0"/>
    <w:rsid w:val="6DFF14FB"/>
    <w:rsid w:val="6E1A3027"/>
    <w:rsid w:val="6E221114"/>
    <w:rsid w:val="6E266E3C"/>
    <w:rsid w:val="6E3631E6"/>
    <w:rsid w:val="6E5779AC"/>
    <w:rsid w:val="6E90563A"/>
    <w:rsid w:val="6E9110DB"/>
    <w:rsid w:val="6E915BA1"/>
    <w:rsid w:val="6EAB4D31"/>
    <w:rsid w:val="6EAF1CA0"/>
    <w:rsid w:val="6ECF8616"/>
    <w:rsid w:val="6EE678F4"/>
    <w:rsid w:val="6EE7F42E"/>
    <w:rsid w:val="6EF3B4D4"/>
    <w:rsid w:val="6EF74BB7"/>
    <w:rsid w:val="6EFD354B"/>
    <w:rsid w:val="6EFEAC59"/>
    <w:rsid w:val="6EFF93B1"/>
    <w:rsid w:val="6F0D03EB"/>
    <w:rsid w:val="6F1C087B"/>
    <w:rsid w:val="6F216314"/>
    <w:rsid w:val="6F34D0BE"/>
    <w:rsid w:val="6F37014D"/>
    <w:rsid w:val="6F437969"/>
    <w:rsid w:val="6F5002D8"/>
    <w:rsid w:val="6F57F1E6"/>
    <w:rsid w:val="6F79AF6A"/>
    <w:rsid w:val="6F7D0E43"/>
    <w:rsid w:val="6F7D436E"/>
    <w:rsid w:val="6F7EBDDD"/>
    <w:rsid w:val="6F7ECFF3"/>
    <w:rsid w:val="6F7EDB00"/>
    <w:rsid w:val="6F7FEFD7"/>
    <w:rsid w:val="6F885CC3"/>
    <w:rsid w:val="6F9E25D4"/>
    <w:rsid w:val="6FB7DC51"/>
    <w:rsid w:val="6FBB39A3"/>
    <w:rsid w:val="6FBC1F17"/>
    <w:rsid w:val="6FBD1F92"/>
    <w:rsid w:val="6FBDCA24"/>
    <w:rsid w:val="6FBF31A1"/>
    <w:rsid w:val="6FBFCBA3"/>
    <w:rsid w:val="6FBFD3D9"/>
    <w:rsid w:val="6FCDD00E"/>
    <w:rsid w:val="6FCF10AE"/>
    <w:rsid w:val="6FDF0C77"/>
    <w:rsid w:val="6FDF442B"/>
    <w:rsid w:val="6FDF5D02"/>
    <w:rsid w:val="6FDFEB6D"/>
    <w:rsid w:val="6FE621C1"/>
    <w:rsid w:val="6FE7ACAF"/>
    <w:rsid w:val="6FEECC3A"/>
    <w:rsid w:val="6FEED5EB"/>
    <w:rsid w:val="6FEF7FC3"/>
    <w:rsid w:val="6FF33867"/>
    <w:rsid w:val="6FF79DF0"/>
    <w:rsid w:val="6FFB071D"/>
    <w:rsid w:val="6FFDBA36"/>
    <w:rsid w:val="6FFE5427"/>
    <w:rsid w:val="6FFEAB4F"/>
    <w:rsid w:val="6FFF6A7C"/>
    <w:rsid w:val="6FFF95FE"/>
    <w:rsid w:val="6FFFA568"/>
    <w:rsid w:val="6FFFC9A8"/>
    <w:rsid w:val="6FFFE14E"/>
    <w:rsid w:val="704E2A69"/>
    <w:rsid w:val="706B0BE6"/>
    <w:rsid w:val="70974704"/>
    <w:rsid w:val="70EB5817"/>
    <w:rsid w:val="70F462ED"/>
    <w:rsid w:val="70FF68BE"/>
    <w:rsid w:val="71125405"/>
    <w:rsid w:val="712B2DAA"/>
    <w:rsid w:val="713135F7"/>
    <w:rsid w:val="7135DCCE"/>
    <w:rsid w:val="71737E4C"/>
    <w:rsid w:val="717CCBF8"/>
    <w:rsid w:val="718FEBC3"/>
    <w:rsid w:val="71A476EF"/>
    <w:rsid w:val="71B6178D"/>
    <w:rsid w:val="71C54FAD"/>
    <w:rsid w:val="71C64881"/>
    <w:rsid w:val="71DBFEEC"/>
    <w:rsid w:val="71F4319C"/>
    <w:rsid w:val="71F76F3A"/>
    <w:rsid w:val="71FC02A3"/>
    <w:rsid w:val="71FC4079"/>
    <w:rsid w:val="720B5698"/>
    <w:rsid w:val="722A3661"/>
    <w:rsid w:val="722FB809"/>
    <w:rsid w:val="723A388D"/>
    <w:rsid w:val="723B526F"/>
    <w:rsid w:val="724C2FD8"/>
    <w:rsid w:val="72514749"/>
    <w:rsid w:val="72794595"/>
    <w:rsid w:val="727F57FB"/>
    <w:rsid w:val="72A042BA"/>
    <w:rsid w:val="72BE4B92"/>
    <w:rsid w:val="72C50A01"/>
    <w:rsid w:val="72C97B07"/>
    <w:rsid w:val="72E90827"/>
    <w:rsid w:val="72FFB455"/>
    <w:rsid w:val="73353A6C"/>
    <w:rsid w:val="7338355D"/>
    <w:rsid w:val="733A0D89"/>
    <w:rsid w:val="733A49E2"/>
    <w:rsid w:val="73577E87"/>
    <w:rsid w:val="73584A76"/>
    <w:rsid w:val="736F3422"/>
    <w:rsid w:val="736FCF53"/>
    <w:rsid w:val="73A029BE"/>
    <w:rsid w:val="73A817A3"/>
    <w:rsid w:val="73BFA5D5"/>
    <w:rsid w:val="73D33317"/>
    <w:rsid w:val="73DC213A"/>
    <w:rsid w:val="73E70EA0"/>
    <w:rsid w:val="73E941AE"/>
    <w:rsid w:val="73EB8A98"/>
    <w:rsid w:val="73EC4DD4"/>
    <w:rsid w:val="73ED35BA"/>
    <w:rsid w:val="73EF1206"/>
    <w:rsid w:val="73F5016C"/>
    <w:rsid w:val="73FF1B15"/>
    <w:rsid w:val="740F1765"/>
    <w:rsid w:val="74197FB3"/>
    <w:rsid w:val="745169B7"/>
    <w:rsid w:val="747D5E4B"/>
    <w:rsid w:val="74BD1ECE"/>
    <w:rsid w:val="74BF764A"/>
    <w:rsid w:val="74BFF86B"/>
    <w:rsid w:val="74D6302D"/>
    <w:rsid w:val="74D84FF7"/>
    <w:rsid w:val="74DE3871"/>
    <w:rsid w:val="74FF05F8"/>
    <w:rsid w:val="750A7341"/>
    <w:rsid w:val="754EFA3A"/>
    <w:rsid w:val="755C760F"/>
    <w:rsid w:val="75671ED7"/>
    <w:rsid w:val="75691BB6"/>
    <w:rsid w:val="75722D56"/>
    <w:rsid w:val="75779B56"/>
    <w:rsid w:val="757DDD14"/>
    <w:rsid w:val="757E7F85"/>
    <w:rsid w:val="757EAC2B"/>
    <w:rsid w:val="75AD3620"/>
    <w:rsid w:val="75B595D6"/>
    <w:rsid w:val="75B6C904"/>
    <w:rsid w:val="75BCD256"/>
    <w:rsid w:val="75BD0C00"/>
    <w:rsid w:val="75CE2902"/>
    <w:rsid w:val="75D6340C"/>
    <w:rsid w:val="75DA5722"/>
    <w:rsid w:val="75DB4DA2"/>
    <w:rsid w:val="75DDEEEE"/>
    <w:rsid w:val="75EB0996"/>
    <w:rsid w:val="75F60A8C"/>
    <w:rsid w:val="75FDDA79"/>
    <w:rsid w:val="76187830"/>
    <w:rsid w:val="763B3A90"/>
    <w:rsid w:val="76530DD9"/>
    <w:rsid w:val="766F5C44"/>
    <w:rsid w:val="767B33AB"/>
    <w:rsid w:val="767DB7EA"/>
    <w:rsid w:val="767F25BE"/>
    <w:rsid w:val="76880357"/>
    <w:rsid w:val="768A2321"/>
    <w:rsid w:val="768D6BBF"/>
    <w:rsid w:val="76BD3981"/>
    <w:rsid w:val="76C04F0A"/>
    <w:rsid w:val="76C17E2E"/>
    <w:rsid w:val="76C62D39"/>
    <w:rsid w:val="76CC56FD"/>
    <w:rsid w:val="76D000CB"/>
    <w:rsid w:val="76DFFE35"/>
    <w:rsid w:val="76E74011"/>
    <w:rsid w:val="76EB29A5"/>
    <w:rsid w:val="76EC70A4"/>
    <w:rsid w:val="76EDEF11"/>
    <w:rsid w:val="76EF4F39"/>
    <w:rsid w:val="76EF4FB6"/>
    <w:rsid w:val="76FA0D0B"/>
    <w:rsid w:val="76FE2D87"/>
    <w:rsid w:val="76FFD4D2"/>
    <w:rsid w:val="77026A79"/>
    <w:rsid w:val="772F1887"/>
    <w:rsid w:val="773780E5"/>
    <w:rsid w:val="7739270E"/>
    <w:rsid w:val="773F8EF3"/>
    <w:rsid w:val="774FC390"/>
    <w:rsid w:val="776609D4"/>
    <w:rsid w:val="7769BDDE"/>
    <w:rsid w:val="776E7C19"/>
    <w:rsid w:val="776F7D8C"/>
    <w:rsid w:val="77718405"/>
    <w:rsid w:val="779E44E4"/>
    <w:rsid w:val="779F9905"/>
    <w:rsid w:val="779FEA5F"/>
    <w:rsid w:val="77AB3CC0"/>
    <w:rsid w:val="77B16969"/>
    <w:rsid w:val="77B768DF"/>
    <w:rsid w:val="77BE6726"/>
    <w:rsid w:val="77BF9663"/>
    <w:rsid w:val="77C74F70"/>
    <w:rsid w:val="77CB9E80"/>
    <w:rsid w:val="77CF26E1"/>
    <w:rsid w:val="77D00208"/>
    <w:rsid w:val="77D163F3"/>
    <w:rsid w:val="77D75255"/>
    <w:rsid w:val="77D849B2"/>
    <w:rsid w:val="77DB5255"/>
    <w:rsid w:val="77EE3F71"/>
    <w:rsid w:val="77F3B6DC"/>
    <w:rsid w:val="77F5DF07"/>
    <w:rsid w:val="77F65BB7"/>
    <w:rsid w:val="77F7690A"/>
    <w:rsid w:val="77FB5091"/>
    <w:rsid w:val="77FB8E8B"/>
    <w:rsid w:val="77FB9AFD"/>
    <w:rsid w:val="77FE58EE"/>
    <w:rsid w:val="77FFCF4B"/>
    <w:rsid w:val="78016C2B"/>
    <w:rsid w:val="78670B6C"/>
    <w:rsid w:val="7873CC57"/>
    <w:rsid w:val="78960636"/>
    <w:rsid w:val="789E0E36"/>
    <w:rsid w:val="78D13B60"/>
    <w:rsid w:val="78F82DB7"/>
    <w:rsid w:val="78F9553C"/>
    <w:rsid w:val="79030169"/>
    <w:rsid w:val="79147A06"/>
    <w:rsid w:val="79163A75"/>
    <w:rsid w:val="7917734D"/>
    <w:rsid w:val="793713BF"/>
    <w:rsid w:val="794F2606"/>
    <w:rsid w:val="7950085E"/>
    <w:rsid w:val="795F1BBD"/>
    <w:rsid w:val="796B643A"/>
    <w:rsid w:val="796E08D2"/>
    <w:rsid w:val="796F347E"/>
    <w:rsid w:val="7972B6EC"/>
    <w:rsid w:val="797E1B0E"/>
    <w:rsid w:val="798017B9"/>
    <w:rsid w:val="798A2EAF"/>
    <w:rsid w:val="799F71BD"/>
    <w:rsid w:val="79AB4A88"/>
    <w:rsid w:val="79B6BCAA"/>
    <w:rsid w:val="79BC4EE7"/>
    <w:rsid w:val="79EFDD9B"/>
    <w:rsid w:val="79F70F9D"/>
    <w:rsid w:val="79F748FE"/>
    <w:rsid w:val="79F8DB95"/>
    <w:rsid w:val="79FBC2D9"/>
    <w:rsid w:val="7A247A1C"/>
    <w:rsid w:val="7A3BB054"/>
    <w:rsid w:val="7A59720E"/>
    <w:rsid w:val="7A5B3271"/>
    <w:rsid w:val="7A6F9EC8"/>
    <w:rsid w:val="7A7D6BBC"/>
    <w:rsid w:val="7A855718"/>
    <w:rsid w:val="7A956714"/>
    <w:rsid w:val="7A9B7DE8"/>
    <w:rsid w:val="7ABBCF98"/>
    <w:rsid w:val="7ABC2F89"/>
    <w:rsid w:val="7ABD5BC0"/>
    <w:rsid w:val="7ABE2599"/>
    <w:rsid w:val="7ACB4CB6"/>
    <w:rsid w:val="7ADF157C"/>
    <w:rsid w:val="7AE53FCA"/>
    <w:rsid w:val="7AF7441E"/>
    <w:rsid w:val="7AFF2FBE"/>
    <w:rsid w:val="7B160627"/>
    <w:rsid w:val="7B2374AA"/>
    <w:rsid w:val="7B2541A7"/>
    <w:rsid w:val="7B2A404E"/>
    <w:rsid w:val="7B2C896D"/>
    <w:rsid w:val="7B2F99A6"/>
    <w:rsid w:val="7B3CC004"/>
    <w:rsid w:val="7B3F0676"/>
    <w:rsid w:val="7B3F53BC"/>
    <w:rsid w:val="7B3F7B7E"/>
    <w:rsid w:val="7B552372"/>
    <w:rsid w:val="7B572B72"/>
    <w:rsid w:val="7B62AEF9"/>
    <w:rsid w:val="7B714A7F"/>
    <w:rsid w:val="7B7D6118"/>
    <w:rsid w:val="7B7EC213"/>
    <w:rsid w:val="7B7F3D10"/>
    <w:rsid w:val="7B875081"/>
    <w:rsid w:val="7B8F5A54"/>
    <w:rsid w:val="7B97AC8B"/>
    <w:rsid w:val="7B98728E"/>
    <w:rsid w:val="7B9FF5FC"/>
    <w:rsid w:val="7BA57AD9"/>
    <w:rsid w:val="7BA7486D"/>
    <w:rsid w:val="7BBD0AA3"/>
    <w:rsid w:val="7BBE4603"/>
    <w:rsid w:val="7BBF4936"/>
    <w:rsid w:val="7BC34906"/>
    <w:rsid w:val="7BC419C1"/>
    <w:rsid w:val="7BC97448"/>
    <w:rsid w:val="7BCD510E"/>
    <w:rsid w:val="7BCE6263"/>
    <w:rsid w:val="7BD4B7AF"/>
    <w:rsid w:val="7BD823F7"/>
    <w:rsid w:val="7BD9481E"/>
    <w:rsid w:val="7BDE69B9"/>
    <w:rsid w:val="7BDF2BEE"/>
    <w:rsid w:val="7BE7D203"/>
    <w:rsid w:val="7BEB4A22"/>
    <w:rsid w:val="7BECB41F"/>
    <w:rsid w:val="7BEF3066"/>
    <w:rsid w:val="7BEF7B51"/>
    <w:rsid w:val="7BEFC467"/>
    <w:rsid w:val="7BF301B5"/>
    <w:rsid w:val="7BF71443"/>
    <w:rsid w:val="7BF7BBF9"/>
    <w:rsid w:val="7BF9B9C8"/>
    <w:rsid w:val="7BFF99DC"/>
    <w:rsid w:val="7BFFA719"/>
    <w:rsid w:val="7C010CEF"/>
    <w:rsid w:val="7C08361D"/>
    <w:rsid w:val="7C0B7A60"/>
    <w:rsid w:val="7C240683"/>
    <w:rsid w:val="7C4701E1"/>
    <w:rsid w:val="7C518882"/>
    <w:rsid w:val="7C5331B5"/>
    <w:rsid w:val="7C757043"/>
    <w:rsid w:val="7C765821"/>
    <w:rsid w:val="7C775536"/>
    <w:rsid w:val="7C8A307B"/>
    <w:rsid w:val="7CAFAE61"/>
    <w:rsid w:val="7CB43C54"/>
    <w:rsid w:val="7CB7B3DB"/>
    <w:rsid w:val="7CBA29F7"/>
    <w:rsid w:val="7CBE2955"/>
    <w:rsid w:val="7CBFA4A5"/>
    <w:rsid w:val="7CBFFCC1"/>
    <w:rsid w:val="7CD5DC9E"/>
    <w:rsid w:val="7CDA4C94"/>
    <w:rsid w:val="7CDBCF2C"/>
    <w:rsid w:val="7CDF6873"/>
    <w:rsid w:val="7CE309DD"/>
    <w:rsid w:val="7CED53A8"/>
    <w:rsid w:val="7CEF8E64"/>
    <w:rsid w:val="7CFA5711"/>
    <w:rsid w:val="7CFE5EF6"/>
    <w:rsid w:val="7CFFBE5F"/>
    <w:rsid w:val="7D050953"/>
    <w:rsid w:val="7D053E64"/>
    <w:rsid w:val="7D0B6091"/>
    <w:rsid w:val="7D365CFD"/>
    <w:rsid w:val="7D5C593B"/>
    <w:rsid w:val="7D5E45EA"/>
    <w:rsid w:val="7D5EA167"/>
    <w:rsid w:val="7D5FDD42"/>
    <w:rsid w:val="7D73BF47"/>
    <w:rsid w:val="7D778F6D"/>
    <w:rsid w:val="7D7BF591"/>
    <w:rsid w:val="7D7FE768"/>
    <w:rsid w:val="7D850E6D"/>
    <w:rsid w:val="7D8F36FE"/>
    <w:rsid w:val="7D973FB0"/>
    <w:rsid w:val="7D9E521A"/>
    <w:rsid w:val="7DAE6E89"/>
    <w:rsid w:val="7DB3CFEA"/>
    <w:rsid w:val="7DB936B3"/>
    <w:rsid w:val="7DBC81C2"/>
    <w:rsid w:val="7DC223A1"/>
    <w:rsid w:val="7DC266CD"/>
    <w:rsid w:val="7DCCC09B"/>
    <w:rsid w:val="7DCFDCAD"/>
    <w:rsid w:val="7DD50828"/>
    <w:rsid w:val="7DD9F34C"/>
    <w:rsid w:val="7DDB0CD8"/>
    <w:rsid w:val="7DDDED84"/>
    <w:rsid w:val="7DE708EE"/>
    <w:rsid w:val="7DEB56BB"/>
    <w:rsid w:val="7DEF46EF"/>
    <w:rsid w:val="7DEFDE91"/>
    <w:rsid w:val="7DF59C76"/>
    <w:rsid w:val="7DF79A57"/>
    <w:rsid w:val="7DF7D0AD"/>
    <w:rsid w:val="7DFA5FDE"/>
    <w:rsid w:val="7DFD27AF"/>
    <w:rsid w:val="7DFDDC54"/>
    <w:rsid w:val="7DFDF9DE"/>
    <w:rsid w:val="7DFF34BD"/>
    <w:rsid w:val="7DFF6AD9"/>
    <w:rsid w:val="7DFF875E"/>
    <w:rsid w:val="7DFFB4BB"/>
    <w:rsid w:val="7E0C68F2"/>
    <w:rsid w:val="7E1B96AA"/>
    <w:rsid w:val="7E2F4657"/>
    <w:rsid w:val="7E314C0A"/>
    <w:rsid w:val="7E37D8A8"/>
    <w:rsid w:val="7E3E206A"/>
    <w:rsid w:val="7E3F51C7"/>
    <w:rsid w:val="7E3F72B7"/>
    <w:rsid w:val="7E65EBDB"/>
    <w:rsid w:val="7E6B4FFA"/>
    <w:rsid w:val="7E6B6E28"/>
    <w:rsid w:val="7E6F6F60"/>
    <w:rsid w:val="7E6F7636"/>
    <w:rsid w:val="7E793680"/>
    <w:rsid w:val="7E7D677C"/>
    <w:rsid w:val="7E7F494B"/>
    <w:rsid w:val="7E7F91D8"/>
    <w:rsid w:val="7E975B8C"/>
    <w:rsid w:val="7E9A7878"/>
    <w:rsid w:val="7E9F4749"/>
    <w:rsid w:val="7EB63962"/>
    <w:rsid w:val="7EB8E2FD"/>
    <w:rsid w:val="7EB90DF9"/>
    <w:rsid w:val="7EBAEC5B"/>
    <w:rsid w:val="7EBB24B5"/>
    <w:rsid w:val="7EBBB895"/>
    <w:rsid w:val="7EBE219E"/>
    <w:rsid w:val="7EBF3DAE"/>
    <w:rsid w:val="7EC871EC"/>
    <w:rsid w:val="7ED7418E"/>
    <w:rsid w:val="7EDBD09B"/>
    <w:rsid w:val="7EDD286E"/>
    <w:rsid w:val="7EEBA098"/>
    <w:rsid w:val="7EEBACA0"/>
    <w:rsid w:val="7EEC1DCB"/>
    <w:rsid w:val="7EED6EB8"/>
    <w:rsid w:val="7EED8E0B"/>
    <w:rsid w:val="7EEEA932"/>
    <w:rsid w:val="7EEF3E2E"/>
    <w:rsid w:val="7EF6407B"/>
    <w:rsid w:val="7EF7952B"/>
    <w:rsid w:val="7EF7C199"/>
    <w:rsid w:val="7EF9D6BE"/>
    <w:rsid w:val="7EFB9028"/>
    <w:rsid w:val="7EFBBB89"/>
    <w:rsid w:val="7EFBFE8A"/>
    <w:rsid w:val="7EFE5F20"/>
    <w:rsid w:val="7EFE7963"/>
    <w:rsid w:val="7EFF251F"/>
    <w:rsid w:val="7EFF9E78"/>
    <w:rsid w:val="7EFFCBF4"/>
    <w:rsid w:val="7EFFF291"/>
    <w:rsid w:val="7F0974E4"/>
    <w:rsid w:val="7F10538E"/>
    <w:rsid w:val="7F1303EB"/>
    <w:rsid w:val="7F1E098A"/>
    <w:rsid w:val="7F1FE706"/>
    <w:rsid w:val="7F233313"/>
    <w:rsid w:val="7F259897"/>
    <w:rsid w:val="7F2826D7"/>
    <w:rsid w:val="7F363FA9"/>
    <w:rsid w:val="7F3B7478"/>
    <w:rsid w:val="7F406EA0"/>
    <w:rsid w:val="7F45736A"/>
    <w:rsid w:val="7F47583B"/>
    <w:rsid w:val="7F4F5836"/>
    <w:rsid w:val="7F5CB599"/>
    <w:rsid w:val="7F5CBF01"/>
    <w:rsid w:val="7F5F767A"/>
    <w:rsid w:val="7F672C6C"/>
    <w:rsid w:val="7F6B0E88"/>
    <w:rsid w:val="7F6B79F3"/>
    <w:rsid w:val="7F6F523D"/>
    <w:rsid w:val="7F6FDE6B"/>
    <w:rsid w:val="7F738E1A"/>
    <w:rsid w:val="7F7B27EA"/>
    <w:rsid w:val="7F7DA5F3"/>
    <w:rsid w:val="7F7DC53C"/>
    <w:rsid w:val="7F7E504B"/>
    <w:rsid w:val="7F7F4291"/>
    <w:rsid w:val="7F7FED9D"/>
    <w:rsid w:val="7F8244DD"/>
    <w:rsid w:val="7F962595"/>
    <w:rsid w:val="7F99B08E"/>
    <w:rsid w:val="7F9DC652"/>
    <w:rsid w:val="7F9F233C"/>
    <w:rsid w:val="7FA2A078"/>
    <w:rsid w:val="7FA70C05"/>
    <w:rsid w:val="7FAF1258"/>
    <w:rsid w:val="7FAF1396"/>
    <w:rsid w:val="7FAF742D"/>
    <w:rsid w:val="7FB64A06"/>
    <w:rsid w:val="7FB9C563"/>
    <w:rsid w:val="7FBB0A93"/>
    <w:rsid w:val="7FBD5070"/>
    <w:rsid w:val="7FBE6330"/>
    <w:rsid w:val="7FBEFAD2"/>
    <w:rsid w:val="7FBF47DA"/>
    <w:rsid w:val="7FBF73E3"/>
    <w:rsid w:val="7FBF972D"/>
    <w:rsid w:val="7FBF9BB0"/>
    <w:rsid w:val="7FBF9CEF"/>
    <w:rsid w:val="7FBFBA55"/>
    <w:rsid w:val="7FD328A0"/>
    <w:rsid w:val="7FD57C83"/>
    <w:rsid w:val="7FD7363E"/>
    <w:rsid w:val="7FD76669"/>
    <w:rsid w:val="7FDA5268"/>
    <w:rsid w:val="7FDC4537"/>
    <w:rsid w:val="7FDDA91F"/>
    <w:rsid w:val="7FDDC48A"/>
    <w:rsid w:val="7FDF8D52"/>
    <w:rsid w:val="7FDF9952"/>
    <w:rsid w:val="7FDFBE85"/>
    <w:rsid w:val="7FE5AF10"/>
    <w:rsid w:val="7FE7152C"/>
    <w:rsid w:val="7FE7F2F4"/>
    <w:rsid w:val="7FEB256C"/>
    <w:rsid w:val="7FED25F1"/>
    <w:rsid w:val="7FEDB630"/>
    <w:rsid w:val="7FEE25FE"/>
    <w:rsid w:val="7FEF2E7D"/>
    <w:rsid w:val="7FEF5C34"/>
    <w:rsid w:val="7FEF69EC"/>
    <w:rsid w:val="7FEF90B4"/>
    <w:rsid w:val="7FEFB52C"/>
    <w:rsid w:val="7FEFEA4B"/>
    <w:rsid w:val="7FEFF55B"/>
    <w:rsid w:val="7FF15F3D"/>
    <w:rsid w:val="7FF31230"/>
    <w:rsid w:val="7FF3FD2C"/>
    <w:rsid w:val="7FF3FEA5"/>
    <w:rsid w:val="7FF50FE7"/>
    <w:rsid w:val="7FF59168"/>
    <w:rsid w:val="7FF62664"/>
    <w:rsid w:val="7FF627D5"/>
    <w:rsid w:val="7FF62D2B"/>
    <w:rsid w:val="7FF70DE9"/>
    <w:rsid w:val="7FF7738C"/>
    <w:rsid w:val="7FF78FC2"/>
    <w:rsid w:val="7FF7D7ED"/>
    <w:rsid w:val="7FF7EA0D"/>
    <w:rsid w:val="7FF9021F"/>
    <w:rsid w:val="7FFB0E43"/>
    <w:rsid w:val="7FFB69DC"/>
    <w:rsid w:val="7FFBAE8A"/>
    <w:rsid w:val="7FFBB9AA"/>
    <w:rsid w:val="7FFBBCC9"/>
    <w:rsid w:val="7FFBC437"/>
    <w:rsid w:val="7FFD0E46"/>
    <w:rsid w:val="7FFD11ED"/>
    <w:rsid w:val="7FFD8370"/>
    <w:rsid w:val="7FFDA67D"/>
    <w:rsid w:val="7FFDBAED"/>
    <w:rsid w:val="7FFE2A12"/>
    <w:rsid w:val="7FFE46D3"/>
    <w:rsid w:val="7FFE6673"/>
    <w:rsid w:val="7FFE922E"/>
    <w:rsid w:val="7FFF2B01"/>
    <w:rsid w:val="7FFF2C45"/>
    <w:rsid w:val="7FFF36ED"/>
    <w:rsid w:val="7FFF44F5"/>
    <w:rsid w:val="7FFF461D"/>
    <w:rsid w:val="7FFF50F1"/>
    <w:rsid w:val="7FFFAC13"/>
    <w:rsid w:val="7FFFC5E1"/>
    <w:rsid w:val="7FFFC94F"/>
    <w:rsid w:val="7FFFFABB"/>
    <w:rsid w:val="82AF6B6C"/>
    <w:rsid w:val="88FE4C6D"/>
    <w:rsid w:val="8BFE9E44"/>
    <w:rsid w:val="8CF80C6C"/>
    <w:rsid w:val="8D6B27A0"/>
    <w:rsid w:val="8DB9E602"/>
    <w:rsid w:val="8DFDF1F3"/>
    <w:rsid w:val="8F699D10"/>
    <w:rsid w:val="8F6E8F47"/>
    <w:rsid w:val="8F7591B7"/>
    <w:rsid w:val="8FB43C40"/>
    <w:rsid w:val="8FEE887C"/>
    <w:rsid w:val="8FFF2B4C"/>
    <w:rsid w:val="936FCB5E"/>
    <w:rsid w:val="953D353E"/>
    <w:rsid w:val="953F7436"/>
    <w:rsid w:val="955F71A7"/>
    <w:rsid w:val="95BF0876"/>
    <w:rsid w:val="95FFAC76"/>
    <w:rsid w:val="96F5262E"/>
    <w:rsid w:val="976B0BF7"/>
    <w:rsid w:val="97CB1DA6"/>
    <w:rsid w:val="97FA18A7"/>
    <w:rsid w:val="99B43A41"/>
    <w:rsid w:val="99C3566B"/>
    <w:rsid w:val="9ADBC4BA"/>
    <w:rsid w:val="9B5F5116"/>
    <w:rsid w:val="9B7D5210"/>
    <w:rsid w:val="9B7FCBF6"/>
    <w:rsid w:val="9B7FFCAC"/>
    <w:rsid w:val="9BD71647"/>
    <w:rsid w:val="9BFA8C72"/>
    <w:rsid w:val="9BFAA47F"/>
    <w:rsid w:val="9BFD067F"/>
    <w:rsid w:val="9D327DA0"/>
    <w:rsid w:val="9D762FCA"/>
    <w:rsid w:val="9DBFE49F"/>
    <w:rsid w:val="9DDE885D"/>
    <w:rsid w:val="9DF71008"/>
    <w:rsid w:val="9DFA0838"/>
    <w:rsid w:val="9DFF337E"/>
    <w:rsid w:val="9DFFD9A0"/>
    <w:rsid w:val="9E4F559C"/>
    <w:rsid w:val="9EB7E4A3"/>
    <w:rsid w:val="9EFDB613"/>
    <w:rsid w:val="9EFF6D96"/>
    <w:rsid w:val="9F2367FF"/>
    <w:rsid w:val="9F3B2766"/>
    <w:rsid w:val="9F4F9BDC"/>
    <w:rsid w:val="9F56F32F"/>
    <w:rsid w:val="9F7BED69"/>
    <w:rsid w:val="9F7D1D39"/>
    <w:rsid w:val="9F7D5780"/>
    <w:rsid w:val="9FB29175"/>
    <w:rsid w:val="9FBB742A"/>
    <w:rsid w:val="9FBD30EF"/>
    <w:rsid w:val="9FBF85C2"/>
    <w:rsid w:val="9FBFF48A"/>
    <w:rsid w:val="9FCF62C5"/>
    <w:rsid w:val="9FDC737B"/>
    <w:rsid w:val="9FDF9857"/>
    <w:rsid w:val="9FDFD6AB"/>
    <w:rsid w:val="9FEFEC58"/>
    <w:rsid w:val="9FFC7514"/>
    <w:rsid w:val="9FFC9540"/>
    <w:rsid w:val="9FFF4C3E"/>
    <w:rsid w:val="9FFFB30B"/>
    <w:rsid w:val="A19FC648"/>
    <w:rsid w:val="A5573F2D"/>
    <w:rsid w:val="A6DF3EEA"/>
    <w:rsid w:val="A6FBF369"/>
    <w:rsid w:val="A97FF9AC"/>
    <w:rsid w:val="A9ED3DC2"/>
    <w:rsid w:val="A9FD05DF"/>
    <w:rsid w:val="A9FE2B5C"/>
    <w:rsid w:val="AA77BA72"/>
    <w:rsid w:val="AAEABB31"/>
    <w:rsid w:val="AB3BB21D"/>
    <w:rsid w:val="AB3F035C"/>
    <w:rsid w:val="AB5D8018"/>
    <w:rsid w:val="AB752A0C"/>
    <w:rsid w:val="ABBC3AC6"/>
    <w:rsid w:val="ABDA8580"/>
    <w:rsid w:val="ABDD77A3"/>
    <w:rsid w:val="ABFF81C1"/>
    <w:rsid w:val="ACFC4AC4"/>
    <w:rsid w:val="AD3D5967"/>
    <w:rsid w:val="ADAF4277"/>
    <w:rsid w:val="AE9F663B"/>
    <w:rsid w:val="AEA8371E"/>
    <w:rsid w:val="AEAB02EF"/>
    <w:rsid w:val="AEBF8085"/>
    <w:rsid w:val="AEBF9857"/>
    <w:rsid w:val="AED15AB3"/>
    <w:rsid w:val="AED51804"/>
    <w:rsid w:val="AEDFB994"/>
    <w:rsid w:val="AEF590D5"/>
    <w:rsid w:val="AF1EA768"/>
    <w:rsid w:val="AF419BA9"/>
    <w:rsid w:val="AF5DEB38"/>
    <w:rsid w:val="AF6B7D08"/>
    <w:rsid w:val="AF7F1A64"/>
    <w:rsid w:val="AF7F1B2F"/>
    <w:rsid w:val="AF7F8513"/>
    <w:rsid w:val="AFBF337A"/>
    <w:rsid w:val="AFBF4F5A"/>
    <w:rsid w:val="AFBF8BED"/>
    <w:rsid w:val="AFE2902D"/>
    <w:rsid w:val="AFEFDF9C"/>
    <w:rsid w:val="AFF2A777"/>
    <w:rsid w:val="AFFBD93E"/>
    <w:rsid w:val="AFFFAB56"/>
    <w:rsid w:val="B0AEA695"/>
    <w:rsid w:val="B1AFAB85"/>
    <w:rsid w:val="B33E12D2"/>
    <w:rsid w:val="B35FF18A"/>
    <w:rsid w:val="B3B801C7"/>
    <w:rsid w:val="B3D70C3D"/>
    <w:rsid w:val="B3D7BB29"/>
    <w:rsid w:val="B3FF0F45"/>
    <w:rsid w:val="B5A7E490"/>
    <w:rsid w:val="B5BF1754"/>
    <w:rsid w:val="B5FD739A"/>
    <w:rsid w:val="B6E710C0"/>
    <w:rsid w:val="B6FF2EFC"/>
    <w:rsid w:val="B6FFF4C1"/>
    <w:rsid w:val="B75D58B8"/>
    <w:rsid w:val="B77B1E0B"/>
    <w:rsid w:val="B78D3A87"/>
    <w:rsid w:val="B7AF4C00"/>
    <w:rsid w:val="B7BE010B"/>
    <w:rsid w:val="B7BF6B2E"/>
    <w:rsid w:val="B7E5F981"/>
    <w:rsid w:val="B7EFA5C6"/>
    <w:rsid w:val="B7FA657C"/>
    <w:rsid w:val="B7FD1C01"/>
    <w:rsid w:val="B7FF4317"/>
    <w:rsid w:val="B7FFDEB2"/>
    <w:rsid w:val="B8FFBEF8"/>
    <w:rsid w:val="B96F0D5A"/>
    <w:rsid w:val="B97782F5"/>
    <w:rsid w:val="B97FE58D"/>
    <w:rsid w:val="B9BDD6AF"/>
    <w:rsid w:val="BAAF40B6"/>
    <w:rsid w:val="BAD74F00"/>
    <w:rsid w:val="BAF773E8"/>
    <w:rsid w:val="BAFF2544"/>
    <w:rsid w:val="BAFFD719"/>
    <w:rsid w:val="BB0BC70B"/>
    <w:rsid w:val="BB3DACDC"/>
    <w:rsid w:val="BB43C445"/>
    <w:rsid w:val="BB7B7648"/>
    <w:rsid w:val="BB7E10E7"/>
    <w:rsid w:val="BB7F0AA4"/>
    <w:rsid w:val="BB7F8D87"/>
    <w:rsid w:val="BBAD83A0"/>
    <w:rsid w:val="BBBDB7DB"/>
    <w:rsid w:val="BBCFF874"/>
    <w:rsid w:val="BBD384CC"/>
    <w:rsid w:val="BBD7690C"/>
    <w:rsid w:val="BBDC9087"/>
    <w:rsid w:val="BBDF52EE"/>
    <w:rsid w:val="BBE3CB1C"/>
    <w:rsid w:val="BBEAF320"/>
    <w:rsid w:val="BBFC1431"/>
    <w:rsid w:val="BBFD2B44"/>
    <w:rsid w:val="BBFDBB12"/>
    <w:rsid w:val="BBFDD143"/>
    <w:rsid w:val="BCCAE54B"/>
    <w:rsid w:val="BCFF6421"/>
    <w:rsid w:val="BD597616"/>
    <w:rsid w:val="BD6F99CA"/>
    <w:rsid w:val="BD762489"/>
    <w:rsid w:val="BD7B8739"/>
    <w:rsid w:val="BDAF7E05"/>
    <w:rsid w:val="BDBDF694"/>
    <w:rsid w:val="BDBF396B"/>
    <w:rsid w:val="BDC7E6C5"/>
    <w:rsid w:val="BDC9F268"/>
    <w:rsid w:val="BDEB19F3"/>
    <w:rsid w:val="BDEE5DA7"/>
    <w:rsid w:val="BDFB9F90"/>
    <w:rsid w:val="BDFD5996"/>
    <w:rsid w:val="BE3CC598"/>
    <w:rsid w:val="BE67875C"/>
    <w:rsid w:val="BE7D3F63"/>
    <w:rsid w:val="BEBBA20B"/>
    <w:rsid w:val="BEBF0912"/>
    <w:rsid w:val="BEBF2E7F"/>
    <w:rsid w:val="BEBFEA0C"/>
    <w:rsid w:val="BECF1D97"/>
    <w:rsid w:val="BED608BC"/>
    <w:rsid w:val="BEEDA9FF"/>
    <w:rsid w:val="BF376251"/>
    <w:rsid w:val="BF379AE6"/>
    <w:rsid w:val="BF5B6398"/>
    <w:rsid w:val="BF6F1A41"/>
    <w:rsid w:val="BF759A37"/>
    <w:rsid w:val="BF7DDED2"/>
    <w:rsid w:val="BF7F7ACF"/>
    <w:rsid w:val="BFAE1CF7"/>
    <w:rsid w:val="BFB65A7C"/>
    <w:rsid w:val="BFBB5C77"/>
    <w:rsid w:val="BFBDB4DF"/>
    <w:rsid w:val="BFBFC8F2"/>
    <w:rsid w:val="BFD64323"/>
    <w:rsid w:val="BFDF394F"/>
    <w:rsid w:val="BFDF6FFA"/>
    <w:rsid w:val="BFEB3CDC"/>
    <w:rsid w:val="BFEC72B0"/>
    <w:rsid w:val="BFEEC7B2"/>
    <w:rsid w:val="BFEF62CD"/>
    <w:rsid w:val="BFEF810A"/>
    <w:rsid w:val="BFF3AB2F"/>
    <w:rsid w:val="BFF3CE05"/>
    <w:rsid w:val="BFF511AE"/>
    <w:rsid w:val="BFF7D26F"/>
    <w:rsid w:val="BFFA7C4D"/>
    <w:rsid w:val="BFFC32AC"/>
    <w:rsid w:val="BFFD4694"/>
    <w:rsid w:val="BFFDCBEE"/>
    <w:rsid w:val="BFFF37E5"/>
    <w:rsid w:val="BFFF8E8C"/>
    <w:rsid w:val="BFFFAB81"/>
    <w:rsid w:val="C18CBEDD"/>
    <w:rsid w:val="C3EB3107"/>
    <w:rsid w:val="C5FE2BA9"/>
    <w:rsid w:val="C6FF3C87"/>
    <w:rsid w:val="C79E8868"/>
    <w:rsid w:val="C7BFB2EB"/>
    <w:rsid w:val="C7F7AEFD"/>
    <w:rsid w:val="C97D0400"/>
    <w:rsid w:val="C9AF3FEF"/>
    <w:rsid w:val="C9FEE8D8"/>
    <w:rsid w:val="CA9E9BB2"/>
    <w:rsid w:val="CABEF4BD"/>
    <w:rsid w:val="CB9EC9B2"/>
    <w:rsid w:val="CBCC9ECC"/>
    <w:rsid w:val="CBD5F7C5"/>
    <w:rsid w:val="CBDD8C57"/>
    <w:rsid w:val="CC9ED652"/>
    <w:rsid w:val="CDB7339A"/>
    <w:rsid w:val="CDBF70A6"/>
    <w:rsid w:val="CDFB4456"/>
    <w:rsid w:val="CE4FE67F"/>
    <w:rsid w:val="CEEB6C1F"/>
    <w:rsid w:val="CEF55520"/>
    <w:rsid w:val="CEFF1261"/>
    <w:rsid w:val="CF3F5FB6"/>
    <w:rsid w:val="CF6E9147"/>
    <w:rsid w:val="CF6EF920"/>
    <w:rsid w:val="CF97B1B3"/>
    <w:rsid w:val="CF9C1A16"/>
    <w:rsid w:val="CFBF18CF"/>
    <w:rsid w:val="CFCF799A"/>
    <w:rsid w:val="CFDF7837"/>
    <w:rsid w:val="CFDF88E1"/>
    <w:rsid w:val="CFEB0DDE"/>
    <w:rsid w:val="CFF56466"/>
    <w:rsid w:val="CFFDD8E5"/>
    <w:rsid w:val="D0EFE594"/>
    <w:rsid w:val="D0FF064C"/>
    <w:rsid w:val="D1DFE5EB"/>
    <w:rsid w:val="D1FF8D86"/>
    <w:rsid w:val="D2FC3B72"/>
    <w:rsid w:val="D33FEE50"/>
    <w:rsid w:val="D347408C"/>
    <w:rsid w:val="D35F592D"/>
    <w:rsid w:val="D37A0219"/>
    <w:rsid w:val="D39C5353"/>
    <w:rsid w:val="D3D8DAD1"/>
    <w:rsid w:val="D3FAE892"/>
    <w:rsid w:val="D5358C34"/>
    <w:rsid w:val="D5F630AD"/>
    <w:rsid w:val="D61B7CB3"/>
    <w:rsid w:val="D67BA944"/>
    <w:rsid w:val="D73E7113"/>
    <w:rsid w:val="D75B30B1"/>
    <w:rsid w:val="D76F3FA5"/>
    <w:rsid w:val="D7954052"/>
    <w:rsid w:val="D7A7A2B6"/>
    <w:rsid w:val="D7B739D9"/>
    <w:rsid w:val="D7EAC0A8"/>
    <w:rsid w:val="D7FFADF9"/>
    <w:rsid w:val="D7FFE8FF"/>
    <w:rsid w:val="D8FBA797"/>
    <w:rsid w:val="D97BEE58"/>
    <w:rsid w:val="D9AFB339"/>
    <w:rsid w:val="D9BF1C67"/>
    <w:rsid w:val="D9D553EF"/>
    <w:rsid w:val="D9FFB194"/>
    <w:rsid w:val="D9FFD3A7"/>
    <w:rsid w:val="DA7E1954"/>
    <w:rsid w:val="DABDAF7A"/>
    <w:rsid w:val="DACCFCDC"/>
    <w:rsid w:val="DAEE3DED"/>
    <w:rsid w:val="DAEFE0E1"/>
    <w:rsid w:val="DAFE1FDC"/>
    <w:rsid w:val="DB65ACE4"/>
    <w:rsid w:val="DB6DE607"/>
    <w:rsid w:val="DB7FF6D4"/>
    <w:rsid w:val="DB9DEEC9"/>
    <w:rsid w:val="DB9FF324"/>
    <w:rsid w:val="DBDC679E"/>
    <w:rsid w:val="DBDF1F66"/>
    <w:rsid w:val="DBDFAE88"/>
    <w:rsid w:val="DBEDB212"/>
    <w:rsid w:val="DBFB297D"/>
    <w:rsid w:val="DBFE4582"/>
    <w:rsid w:val="DC3F8287"/>
    <w:rsid w:val="DC7288E9"/>
    <w:rsid w:val="DCBF9866"/>
    <w:rsid w:val="DD9F1C0A"/>
    <w:rsid w:val="DD9F55C0"/>
    <w:rsid w:val="DD9FFDB2"/>
    <w:rsid w:val="DDAEF9B5"/>
    <w:rsid w:val="DDB38C3B"/>
    <w:rsid w:val="DDB46366"/>
    <w:rsid w:val="DDBFF3B0"/>
    <w:rsid w:val="DDDE8A70"/>
    <w:rsid w:val="DDF707B3"/>
    <w:rsid w:val="DDF94567"/>
    <w:rsid w:val="DDFB6573"/>
    <w:rsid w:val="DDFF311D"/>
    <w:rsid w:val="DDFFD6CE"/>
    <w:rsid w:val="DE1D91D2"/>
    <w:rsid w:val="DE3635A4"/>
    <w:rsid w:val="DE7F5B33"/>
    <w:rsid w:val="DEBF94AC"/>
    <w:rsid w:val="DECF6C9C"/>
    <w:rsid w:val="DECFAE61"/>
    <w:rsid w:val="DEDA4ED6"/>
    <w:rsid w:val="DEDFEC02"/>
    <w:rsid w:val="DEE78BC2"/>
    <w:rsid w:val="DEF35AAF"/>
    <w:rsid w:val="DEF75345"/>
    <w:rsid w:val="DEFD07DF"/>
    <w:rsid w:val="DEFDA5C2"/>
    <w:rsid w:val="DEFFACEC"/>
    <w:rsid w:val="DF370F69"/>
    <w:rsid w:val="DF3F2110"/>
    <w:rsid w:val="DF3FF255"/>
    <w:rsid w:val="DF534874"/>
    <w:rsid w:val="DF6269B7"/>
    <w:rsid w:val="DF7F4962"/>
    <w:rsid w:val="DF7F7862"/>
    <w:rsid w:val="DF9F033C"/>
    <w:rsid w:val="DFA264B4"/>
    <w:rsid w:val="DFB7613B"/>
    <w:rsid w:val="DFBA2969"/>
    <w:rsid w:val="DFBA54BB"/>
    <w:rsid w:val="DFBF14F0"/>
    <w:rsid w:val="DFBF387E"/>
    <w:rsid w:val="DFCB7F88"/>
    <w:rsid w:val="DFCDA3FB"/>
    <w:rsid w:val="DFD71E37"/>
    <w:rsid w:val="DFD7490B"/>
    <w:rsid w:val="DFD79519"/>
    <w:rsid w:val="DFDB0863"/>
    <w:rsid w:val="DFDB6229"/>
    <w:rsid w:val="DFDBE548"/>
    <w:rsid w:val="DFDE1604"/>
    <w:rsid w:val="DFDF2189"/>
    <w:rsid w:val="DFDF2DAC"/>
    <w:rsid w:val="DFDF51BE"/>
    <w:rsid w:val="DFDF7151"/>
    <w:rsid w:val="DFDFDB71"/>
    <w:rsid w:val="DFE8C7D6"/>
    <w:rsid w:val="DFEA61BD"/>
    <w:rsid w:val="DFEABB5F"/>
    <w:rsid w:val="DFEBFFE4"/>
    <w:rsid w:val="DFEC31DD"/>
    <w:rsid w:val="DFED4CAB"/>
    <w:rsid w:val="DFEED526"/>
    <w:rsid w:val="DFEF62B9"/>
    <w:rsid w:val="DFF8EDA8"/>
    <w:rsid w:val="DFF9D791"/>
    <w:rsid w:val="DFFD17AE"/>
    <w:rsid w:val="DFFDC363"/>
    <w:rsid w:val="DFFEAC29"/>
    <w:rsid w:val="DFFF0198"/>
    <w:rsid w:val="DFFF2074"/>
    <w:rsid w:val="DFFF8ECF"/>
    <w:rsid w:val="E1BC783F"/>
    <w:rsid w:val="E235DFF5"/>
    <w:rsid w:val="E2EFD9B8"/>
    <w:rsid w:val="E3BDEAD2"/>
    <w:rsid w:val="E3FF5A97"/>
    <w:rsid w:val="E3FFAA83"/>
    <w:rsid w:val="E42D6F18"/>
    <w:rsid w:val="E45EDD5B"/>
    <w:rsid w:val="E47457C2"/>
    <w:rsid w:val="E53556F8"/>
    <w:rsid w:val="E57D0E6C"/>
    <w:rsid w:val="E5DB09CA"/>
    <w:rsid w:val="E5DFE0CD"/>
    <w:rsid w:val="E5FC3089"/>
    <w:rsid w:val="E5FD34A6"/>
    <w:rsid w:val="E63EBDDB"/>
    <w:rsid w:val="E6D7F3DB"/>
    <w:rsid w:val="E6E28963"/>
    <w:rsid w:val="E6E7BB03"/>
    <w:rsid w:val="E6EF69B8"/>
    <w:rsid w:val="E6F7DB52"/>
    <w:rsid w:val="E6FB4A19"/>
    <w:rsid w:val="E6FED96D"/>
    <w:rsid w:val="E757320C"/>
    <w:rsid w:val="E75F43A4"/>
    <w:rsid w:val="E75F57E9"/>
    <w:rsid w:val="E76D6714"/>
    <w:rsid w:val="E773CF97"/>
    <w:rsid w:val="E77EA063"/>
    <w:rsid w:val="E77F4E7B"/>
    <w:rsid w:val="E77F4F9D"/>
    <w:rsid w:val="E78BFD9F"/>
    <w:rsid w:val="E7AF6FC4"/>
    <w:rsid w:val="E7BD7BEC"/>
    <w:rsid w:val="E7BF3872"/>
    <w:rsid w:val="E7DE7016"/>
    <w:rsid w:val="E7E89C62"/>
    <w:rsid w:val="E7F2D697"/>
    <w:rsid w:val="E7F7B805"/>
    <w:rsid w:val="E7F8303C"/>
    <w:rsid w:val="E7FB2994"/>
    <w:rsid w:val="E7FDDFF7"/>
    <w:rsid w:val="E7FDEADD"/>
    <w:rsid w:val="E7FE09A6"/>
    <w:rsid w:val="E7FF1732"/>
    <w:rsid w:val="E937106F"/>
    <w:rsid w:val="E9AF70F5"/>
    <w:rsid w:val="E9DDD02E"/>
    <w:rsid w:val="E9FBE0F0"/>
    <w:rsid w:val="E9FF72A9"/>
    <w:rsid w:val="EA493912"/>
    <w:rsid w:val="EAFD95BD"/>
    <w:rsid w:val="EAFFF50E"/>
    <w:rsid w:val="EB7F91E3"/>
    <w:rsid w:val="EBA597F3"/>
    <w:rsid w:val="EBCDED61"/>
    <w:rsid w:val="EBF55534"/>
    <w:rsid w:val="EBF73095"/>
    <w:rsid w:val="EBFABAE8"/>
    <w:rsid w:val="EBFB358D"/>
    <w:rsid w:val="EBFC3930"/>
    <w:rsid w:val="EBFF5034"/>
    <w:rsid w:val="EBFF930F"/>
    <w:rsid w:val="EC7C9340"/>
    <w:rsid w:val="ECFFF9C8"/>
    <w:rsid w:val="ED18BC47"/>
    <w:rsid w:val="ED3EF9D3"/>
    <w:rsid w:val="ED656C5F"/>
    <w:rsid w:val="ED7BC159"/>
    <w:rsid w:val="EDA9EDEB"/>
    <w:rsid w:val="EDBCF17E"/>
    <w:rsid w:val="EDDFF102"/>
    <w:rsid w:val="EDF7EFF1"/>
    <w:rsid w:val="EDF9CDE1"/>
    <w:rsid w:val="EDFAAA80"/>
    <w:rsid w:val="EDFC775A"/>
    <w:rsid w:val="EDFE3EA0"/>
    <w:rsid w:val="EDFF72E8"/>
    <w:rsid w:val="EDFFD0A0"/>
    <w:rsid w:val="EE3B712B"/>
    <w:rsid w:val="EE4D969C"/>
    <w:rsid w:val="EE5D4668"/>
    <w:rsid w:val="EE7ECAED"/>
    <w:rsid w:val="EEB15345"/>
    <w:rsid w:val="EEBDC095"/>
    <w:rsid w:val="EEBF27C4"/>
    <w:rsid w:val="EED72C59"/>
    <w:rsid w:val="EED95F26"/>
    <w:rsid w:val="EEFA845C"/>
    <w:rsid w:val="EEFAC71E"/>
    <w:rsid w:val="EEFBBFFA"/>
    <w:rsid w:val="EF3D932E"/>
    <w:rsid w:val="EF3F02E4"/>
    <w:rsid w:val="EF4D0B57"/>
    <w:rsid w:val="EF5F1707"/>
    <w:rsid w:val="EF5F2AE3"/>
    <w:rsid w:val="EF6BEBCD"/>
    <w:rsid w:val="EF7714D9"/>
    <w:rsid w:val="EF77A7A3"/>
    <w:rsid w:val="EF79E5CB"/>
    <w:rsid w:val="EF8EC329"/>
    <w:rsid w:val="EF9D3E66"/>
    <w:rsid w:val="EF9EC968"/>
    <w:rsid w:val="EF9FDFB9"/>
    <w:rsid w:val="EFA24EB6"/>
    <w:rsid w:val="EFADC94B"/>
    <w:rsid w:val="EFAFBC49"/>
    <w:rsid w:val="EFB3073B"/>
    <w:rsid w:val="EFB77039"/>
    <w:rsid w:val="EFB7BFC2"/>
    <w:rsid w:val="EFBB0990"/>
    <w:rsid w:val="EFBD7F9B"/>
    <w:rsid w:val="EFBEA7A3"/>
    <w:rsid w:val="EFBEF11E"/>
    <w:rsid w:val="EFCFDCEE"/>
    <w:rsid w:val="EFCFF330"/>
    <w:rsid w:val="EFD58233"/>
    <w:rsid w:val="EFDCCEFF"/>
    <w:rsid w:val="EFDD2A6F"/>
    <w:rsid w:val="EFDE9F12"/>
    <w:rsid w:val="EFDF1357"/>
    <w:rsid w:val="EFDF78A4"/>
    <w:rsid w:val="EFE38ED3"/>
    <w:rsid w:val="EFE4AE98"/>
    <w:rsid w:val="EFF05B38"/>
    <w:rsid w:val="EFF32229"/>
    <w:rsid w:val="EFF711AE"/>
    <w:rsid w:val="EFF72705"/>
    <w:rsid w:val="EFF7DB0B"/>
    <w:rsid w:val="EFFB8EDD"/>
    <w:rsid w:val="EFFCACE7"/>
    <w:rsid w:val="EFFD74EA"/>
    <w:rsid w:val="EFFDC898"/>
    <w:rsid w:val="EFFEDBDD"/>
    <w:rsid w:val="EFFF27EF"/>
    <w:rsid w:val="EFFF33C9"/>
    <w:rsid w:val="EFFFB710"/>
    <w:rsid w:val="F0BFF7E7"/>
    <w:rsid w:val="F0FF3D42"/>
    <w:rsid w:val="F17D30AA"/>
    <w:rsid w:val="F17F2C2E"/>
    <w:rsid w:val="F1E79359"/>
    <w:rsid w:val="F1EF4249"/>
    <w:rsid w:val="F2B06F08"/>
    <w:rsid w:val="F30C174D"/>
    <w:rsid w:val="F32FB058"/>
    <w:rsid w:val="F37D8131"/>
    <w:rsid w:val="F37F4EB3"/>
    <w:rsid w:val="F39C28BE"/>
    <w:rsid w:val="F3B21753"/>
    <w:rsid w:val="F3D03178"/>
    <w:rsid w:val="F3D99AEB"/>
    <w:rsid w:val="F3D9AA31"/>
    <w:rsid w:val="F3DA133B"/>
    <w:rsid w:val="F3FF1940"/>
    <w:rsid w:val="F3FF1944"/>
    <w:rsid w:val="F3FF2C88"/>
    <w:rsid w:val="F42E86F3"/>
    <w:rsid w:val="F43E1DDE"/>
    <w:rsid w:val="F4BF1116"/>
    <w:rsid w:val="F4FD432F"/>
    <w:rsid w:val="F53B2F00"/>
    <w:rsid w:val="F53F4E35"/>
    <w:rsid w:val="F576C382"/>
    <w:rsid w:val="F5B79E44"/>
    <w:rsid w:val="F5B7DD5C"/>
    <w:rsid w:val="F5B9CAAB"/>
    <w:rsid w:val="F5BED261"/>
    <w:rsid w:val="F5DF0954"/>
    <w:rsid w:val="F5FAE697"/>
    <w:rsid w:val="F5FEA995"/>
    <w:rsid w:val="F5FF9E48"/>
    <w:rsid w:val="F62B74AE"/>
    <w:rsid w:val="F6761208"/>
    <w:rsid w:val="F6ABC689"/>
    <w:rsid w:val="F6BB6148"/>
    <w:rsid w:val="F6BF6E4A"/>
    <w:rsid w:val="F6D582F6"/>
    <w:rsid w:val="F6DF6ECA"/>
    <w:rsid w:val="F6DF871E"/>
    <w:rsid w:val="F6DFC25B"/>
    <w:rsid w:val="F6E3434B"/>
    <w:rsid w:val="F6E6D969"/>
    <w:rsid w:val="F6F6322A"/>
    <w:rsid w:val="F6FFE045"/>
    <w:rsid w:val="F71F4273"/>
    <w:rsid w:val="F71F7863"/>
    <w:rsid w:val="F73DF877"/>
    <w:rsid w:val="F7454E9B"/>
    <w:rsid w:val="F777CD6A"/>
    <w:rsid w:val="F77F95F8"/>
    <w:rsid w:val="F797A208"/>
    <w:rsid w:val="F7997D1F"/>
    <w:rsid w:val="F79BADA6"/>
    <w:rsid w:val="F7BB3496"/>
    <w:rsid w:val="F7BB5D56"/>
    <w:rsid w:val="F7BE01DE"/>
    <w:rsid w:val="F7BF3188"/>
    <w:rsid w:val="F7C98018"/>
    <w:rsid w:val="F7C9DE10"/>
    <w:rsid w:val="F7CEA177"/>
    <w:rsid w:val="F7DCD748"/>
    <w:rsid w:val="F7DEB05D"/>
    <w:rsid w:val="F7DF2583"/>
    <w:rsid w:val="F7DFF4C2"/>
    <w:rsid w:val="F7E374F2"/>
    <w:rsid w:val="F7E7D53E"/>
    <w:rsid w:val="F7EDEA3D"/>
    <w:rsid w:val="F7F5AC82"/>
    <w:rsid w:val="F7F5E3DC"/>
    <w:rsid w:val="F7F7A95E"/>
    <w:rsid w:val="F7F7BF45"/>
    <w:rsid w:val="F7FB1A39"/>
    <w:rsid w:val="F7FC24C7"/>
    <w:rsid w:val="F7FD2188"/>
    <w:rsid w:val="F7FDB8E1"/>
    <w:rsid w:val="F7FF076E"/>
    <w:rsid w:val="F7FF6F28"/>
    <w:rsid w:val="F7FFB00C"/>
    <w:rsid w:val="F7FFE30A"/>
    <w:rsid w:val="F83D8A2C"/>
    <w:rsid w:val="F865D701"/>
    <w:rsid w:val="F8EA15FA"/>
    <w:rsid w:val="F8FFBAE7"/>
    <w:rsid w:val="F93B7C81"/>
    <w:rsid w:val="F97A9E57"/>
    <w:rsid w:val="F97F32BC"/>
    <w:rsid w:val="F9D19A8E"/>
    <w:rsid w:val="F9D7D4DD"/>
    <w:rsid w:val="F9EE7EA6"/>
    <w:rsid w:val="F9FD85A2"/>
    <w:rsid w:val="F9FE4590"/>
    <w:rsid w:val="FA4FCAC6"/>
    <w:rsid w:val="FA6B5FD6"/>
    <w:rsid w:val="FABADAB2"/>
    <w:rsid w:val="FACD4036"/>
    <w:rsid w:val="FADDBD15"/>
    <w:rsid w:val="FAE47C12"/>
    <w:rsid w:val="FAE9C251"/>
    <w:rsid w:val="FAF7FE1C"/>
    <w:rsid w:val="FAFF5A71"/>
    <w:rsid w:val="FAFFC2E2"/>
    <w:rsid w:val="FB1E6A83"/>
    <w:rsid w:val="FB2E45DD"/>
    <w:rsid w:val="FB31B685"/>
    <w:rsid w:val="FB3E78CC"/>
    <w:rsid w:val="FB3EA901"/>
    <w:rsid w:val="FB666620"/>
    <w:rsid w:val="FB6E9420"/>
    <w:rsid w:val="FB73FD44"/>
    <w:rsid w:val="FB7694B7"/>
    <w:rsid w:val="FB771BF3"/>
    <w:rsid w:val="FB7B6260"/>
    <w:rsid w:val="FB7D1F6A"/>
    <w:rsid w:val="FB7E140B"/>
    <w:rsid w:val="FB9FA9F0"/>
    <w:rsid w:val="FBAE71F6"/>
    <w:rsid w:val="FBAF7D57"/>
    <w:rsid w:val="FBB63F50"/>
    <w:rsid w:val="FBBB1AEA"/>
    <w:rsid w:val="FBBD9829"/>
    <w:rsid w:val="FBBF0CAF"/>
    <w:rsid w:val="FBBF6F7F"/>
    <w:rsid w:val="FBBFB786"/>
    <w:rsid w:val="FBBFDD92"/>
    <w:rsid w:val="FBCD9370"/>
    <w:rsid w:val="FBD9C6D0"/>
    <w:rsid w:val="FBDE8277"/>
    <w:rsid w:val="FBDFBDB4"/>
    <w:rsid w:val="FBE46CBB"/>
    <w:rsid w:val="FBEB2CD2"/>
    <w:rsid w:val="FBED4F20"/>
    <w:rsid w:val="FBF263A1"/>
    <w:rsid w:val="FBF7BEC2"/>
    <w:rsid w:val="FBF7CDCE"/>
    <w:rsid w:val="FBFB2169"/>
    <w:rsid w:val="FBFD1255"/>
    <w:rsid w:val="FBFE3F2C"/>
    <w:rsid w:val="FBFE5F36"/>
    <w:rsid w:val="FBFEDA22"/>
    <w:rsid w:val="FBFF95BA"/>
    <w:rsid w:val="FBFFA83B"/>
    <w:rsid w:val="FC4F00A5"/>
    <w:rsid w:val="FC67D24D"/>
    <w:rsid w:val="FC6DF144"/>
    <w:rsid w:val="FC7609A3"/>
    <w:rsid w:val="FC7DFFDB"/>
    <w:rsid w:val="FC7FAA32"/>
    <w:rsid w:val="FCA65ACB"/>
    <w:rsid w:val="FCD78672"/>
    <w:rsid w:val="FCEB129F"/>
    <w:rsid w:val="FCF94526"/>
    <w:rsid w:val="FCFB1DBE"/>
    <w:rsid w:val="FCFBD3CE"/>
    <w:rsid w:val="FD3ED481"/>
    <w:rsid w:val="FD58A311"/>
    <w:rsid w:val="FD5F8E3F"/>
    <w:rsid w:val="FD760718"/>
    <w:rsid w:val="FD790C6D"/>
    <w:rsid w:val="FD7A860C"/>
    <w:rsid w:val="FD7CDB42"/>
    <w:rsid w:val="FD7E5959"/>
    <w:rsid w:val="FD7F4064"/>
    <w:rsid w:val="FD7FE073"/>
    <w:rsid w:val="FD9DC0E0"/>
    <w:rsid w:val="FDA85A0B"/>
    <w:rsid w:val="FDAB24CE"/>
    <w:rsid w:val="FDBD5C4D"/>
    <w:rsid w:val="FDBFAA46"/>
    <w:rsid w:val="FDBFDD28"/>
    <w:rsid w:val="FDC88246"/>
    <w:rsid w:val="FDCE6DD8"/>
    <w:rsid w:val="FDDC8B2B"/>
    <w:rsid w:val="FDDDDB87"/>
    <w:rsid w:val="FDEBB60B"/>
    <w:rsid w:val="FDF6529D"/>
    <w:rsid w:val="FDF73DAB"/>
    <w:rsid w:val="FDF7592A"/>
    <w:rsid w:val="FDF7DD02"/>
    <w:rsid w:val="FDF83343"/>
    <w:rsid w:val="FDFA0C4E"/>
    <w:rsid w:val="FDFB29E9"/>
    <w:rsid w:val="FDFBAFFF"/>
    <w:rsid w:val="FDFD2592"/>
    <w:rsid w:val="FDFD9086"/>
    <w:rsid w:val="FDFE523F"/>
    <w:rsid w:val="FDFE8AFD"/>
    <w:rsid w:val="FDFEEC69"/>
    <w:rsid w:val="FDFFC219"/>
    <w:rsid w:val="FDFFFE84"/>
    <w:rsid w:val="FE1B8486"/>
    <w:rsid w:val="FE476F5B"/>
    <w:rsid w:val="FE5BE475"/>
    <w:rsid w:val="FE6DE571"/>
    <w:rsid w:val="FE77C160"/>
    <w:rsid w:val="FE7E5509"/>
    <w:rsid w:val="FE7F4365"/>
    <w:rsid w:val="FE9D9ECA"/>
    <w:rsid w:val="FE9FC48C"/>
    <w:rsid w:val="FEA41264"/>
    <w:rsid w:val="FEAE09D6"/>
    <w:rsid w:val="FEBBC52B"/>
    <w:rsid w:val="FEBF6CB7"/>
    <w:rsid w:val="FECE70E5"/>
    <w:rsid w:val="FEDFC3B6"/>
    <w:rsid w:val="FEE068E6"/>
    <w:rsid w:val="FEE309B2"/>
    <w:rsid w:val="FEE79B70"/>
    <w:rsid w:val="FEEA5B2C"/>
    <w:rsid w:val="FEEE33C4"/>
    <w:rsid w:val="FEEF8F21"/>
    <w:rsid w:val="FEEFF79B"/>
    <w:rsid w:val="FEF319FC"/>
    <w:rsid w:val="FEF6FB16"/>
    <w:rsid w:val="FEF72A52"/>
    <w:rsid w:val="FEF7C95F"/>
    <w:rsid w:val="FEFBFC8E"/>
    <w:rsid w:val="FEFC00C2"/>
    <w:rsid w:val="FEFD3CDD"/>
    <w:rsid w:val="FEFF7D4B"/>
    <w:rsid w:val="FEFFC2C3"/>
    <w:rsid w:val="FF162AC8"/>
    <w:rsid w:val="FF1F82B4"/>
    <w:rsid w:val="FF2BDD97"/>
    <w:rsid w:val="FF3D3527"/>
    <w:rsid w:val="FF3F5E01"/>
    <w:rsid w:val="FF3FA94E"/>
    <w:rsid w:val="FF42558D"/>
    <w:rsid w:val="FF50C35F"/>
    <w:rsid w:val="FF59FABD"/>
    <w:rsid w:val="FF5D0151"/>
    <w:rsid w:val="FF63C3B6"/>
    <w:rsid w:val="FF67B1D8"/>
    <w:rsid w:val="FF741890"/>
    <w:rsid w:val="FF770E8F"/>
    <w:rsid w:val="FF7747E8"/>
    <w:rsid w:val="FF77E701"/>
    <w:rsid w:val="FF78E1DA"/>
    <w:rsid w:val="FF7D15FE"/>
    <w:rsid w:val="FF7E9481"/>
    <w:rsid w:val="FF7EFF7B"/>
    <w:rsid w:val="FF7F27FB"/>
    <w:rsid w:val="FF7F463B"/>
    <w:rsid w:val="FF7F9877"/>
    <w:rsid w:val="FF7FA06E"/>
    <w:rsid w:val="FF7FC314"/>
    <w:rsid w:val="FF7FCBA2"/>
    <w:rsid w:val="FF7FE380"/>
    <w:rsid w:val="FF8F7EDB"/>
    <w:rsid w:val="FF8FB3B6"/>
    <w:rsid w:val="FF9F540B"/>
    <w:rsid w:val="FF9FA759"/>
    <w:rsid w:val="FFABA398"/>
    <w:rsid w:val="FFAC7E64"/>
    <w:rsid w:val="FFAD45A7"/>
    <w:rsid w:val="FFAE719C"/>
    <w:rsid w:val="FFAEEA3F"/>
    <w:rsid w:val="FFAFD186"/>
    <w:rsid w:val="FFB55AE2"/>
    <w:rsid w:val="FFB74FBB"/>
    <w:rsid w:val="FFBA082D"/>
    <w:rsid w:val="FFBACF36"/>
    <w:rsid w:val="FFBC0105"/>
    <w:rsid w:val="FFBC5B30"/>
    <w:rsid w:val="FFBE07FD"/>
    <w:rsid w:val="FFBE310E"/>
    <w:rsid w:val="FFBED472"/>
    <w:rsid w:val="FFBF2CA8"/>
    <w:rsid w:val="FFBF3B2F"/>
    <w:rsid w:val="FFBFF268"/>
    <w:rsid w:val="FFC76E9B"/>
    <w:rsid w:val="FFCE6651"/>
    <w:rsid w:val="FFCEAA39"/>
    <w:rsid w:val="FFCF9136"/>
    <w:rsid w:val="FFCFD01C"/>
    <w:rsid w:val="FFD58343"/>
    <w:rsid w:val="FFD65C6C"/>
    <w:rsid w:val="FFD83691"/>
    <w:rsid w:val="FFDAE96C"/>
    <w:rsid w:val="FFDD8C8D"/>
    <w:rsid w:val="FFDDA1C6"/>
    <w:rsid w:val="FFDE42D1"/>
    <w:rsid w:val="FFDE67E1"/>
    <w:rsid w:val="FFDF13B4"/>
    <w:rsid w:val="FFDF21F9"/>
    <w:rsid w:val="FFDF23CB"/>
    <w:rsid w:val="FFE50F81"/>
    <w:rsid w:val="FFE5567A"/>
    <w:rsid w:val="FFE7F5B0"/>
    <w:rsid w:val="FFE980E3"/>
    <w:rsid w:val="FFEBC103"/>
    <w:rsid w:val="FFED5121"/>
    <w:rsid w:val="FFED55EF"/>
    <w:rsid w:val="FFEDF492"/>
    <w:rsid w:val="FFEDF5EC"/>
    <w:rsid w:val="FFEE0674"/>
    <w:rsid w:val="FFEE19FE"/>
    <w:rsid w:val="FFEE4DB1"/>
    <w:rsid w:val="FFEF5854"/>
    <w:rsid w:val="FFEFE922"/>
    <w:rsid w:val="FFF025D1"/>
    <w:rsid w:val="FFF63FCA"/>
    <w:rsid w:val="FFF6BBB6"/>
    <w:rsid w:val="FFF77927"/>
    <w:rsid w:val="FFF7AA51"/>
    <w:rsid w:val="FFF7F03A"/>
    <w:rsid w:val="FFF7F637"/>
    <w:rsid w:val="FFF92257"/>
    <w:rsid w:val="FFFA1C7B"/>
    <w:rsid w:val="FFFB4FEA"/>
    <w:rsid w:val="FFFB5693"/>
    <w:rsid w:val="FFFBB971"/>
    <w:rsid w:val="FFFBFB9C"/>
    <w:rsid w:val="FFFC24A5"/>
    <w:rsid w:val="FFFC4FB7"/>
    <w:rsid w:val="FFFD3BEA"/>
    <w:rsid w:val="FFFD5C3D"/>
    <w:rsid w:val="FFFD7F21"/>
    <w:rsid w:val="FFFD98B2"/>
    <w:rsid w:val="FFFE0A4F"/>
    <w:rsid w:val="FFFE0E1E"/>
    <w:rsid w:val="FFFE14B3"/>
    <w:rsid w:val="FFFE30E0"/>
    <w:rsid w:val="FFFE7AB4"/>
    <w:rsid w:val="FFFEAA88"/>
    <w:rsid w:val="FFFF03AA"/>
    <w:rsid w:val="FFFF2186"/>
    <w:rsid w:val="FFFF34C6"/>
    <w:rsid w:val="FFFF76B5"/>
    <w:rsid w:val="FFFFD4BB"/>
    <w:rsid w:val="FFFFDCA4"/>
    <w:rsid w:val="FFFFE029"/>
    <w:rsid w:val="FFFFE1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before="10" w:beforeLines="10" w:after="10" w:afterLines="10" w:line="360" w:lineRule="auto"/>
      <w:jc w:val="both"/>
    </w:pPr>
    <w:rPr>
      <w:rFonts w:ascii="仿宋" w:hAnsi="仿宋" w:eastAsia="仿宋" w:cstheme="minorBidi"/>
      <w:kern w:val="2"/>
      <w:sz w:val="28"/>
      <w:szCs w:val="22"/>
      <w:lang w:val="en-US" w:eastAsia="zh-CN" w:bidi="ar-SA"/>
    </w:rPr>
  </w:style>
  <w:style w:type="paragraph" w:styleId="2">
    <w:name w:val="heading 1"/>
    <w:basedOn w:val="1"/>
    <w:next w:val="1"/>
    <w:link w:val="35"/>
    <w:autoRedefine/>
    <w:qFormat/>
    <w:uiPriority w:val="1"/>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36"/>
    <w:autoRedefine/>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37"/>
    <w:autoRedefine/>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38"/>
    <w:autoRedefine/>
    <w:semiHidden/>
    <w:unhideWhenUsed/>
    <w:qFormat/>
    <w:uiPriority w:val="9"/>
    <w:pPr>
      <w:keepNext/>
      <w:keepLines/>
      <w:spacing w:before="80" w:after="40"/>
      <w:outlineLvl w:val="3"/>
    </w:pPr>
    <w:rPr>
      <w:rFonts w:cstheme="majorBidi"/>
      <w:color w:val="2F5597" w:themeColor="accent1" w:themeShade="BF"/>
      <w:szCs w:val="28"/>
    </w:rPr>
  </w:style>
  <w:style w:type="paragraph" w:styleId="6">
    <w:name w:val="heading 5"/>
    <w:basedOn w:val="1"/>
    <w:next w:val="1"/>
    <w:link w:val="39"/>
    <w:semiHidden/>
    <w:unhideWhenUsed/>
    <w:qFormat/>
    <w:uiPriority w:val="9"/>
    <w:pPr>
      <w:keepNext/>
      <w:keepLines/>
      <w:spacing w:before="80" w:after="40"/>
      <w:outlineLvl w:val="4"/>
    </w:pPr>
    <w:rPr>
      <w:rFonts w:cstheme="majorBidi"/>
      <w:color w:val="2F5597" w:themeColor="accent1" w:themeShade="BF"/>
      <w:sz w:val="24"/>
    </w:rPr>
  </w:style>
  <w:style w:type="paragraph" w:styleId="7">
    <w:name w:val="heading 6"/>
    <w:basedOn w:val="1"/>
    <w:next w:val="1"/>
    <w:link w:val="40"/>
    <w:autoRedefine/>
    <w:semiHidden/>
    <w:unhideWhenUsed/>
    <w:qFormat/>
    <w:uiPriority w:val="9"/>
    <w:pPr>
      <w:keepNext/>
      <w:keepLines/>
      <w:spacing w:before="40" w:after="0"/>
      <w:outlineLvl w:val="5"/>
    </w:pPr>
    <w:rPr>
      <w:rFonts w:cstheme="majorBidi"/>
      <w:b/>
      <w:bCs/>
      <w:color w:val="2F5597" w:themeColor="accent1" w:themeShade="BF"/>
    </w:rPr>
  </w:style>
  <w:style w:type="paragraph" w:styleId="8">
    <w:name w:val="heading 7"/>
    <w:basedOn w:val="1"/>
    <w:next w:val="1"/>
    <w:link w:val="41"/>
    <w:autoRedefine/>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42"/>
    <w:autoRedefine/>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43"/>
    <w:autoRedefine/>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before="0" w:beforeLines="0" w:after="0" w:afterLines="0" w:line="240" w:lineRule="auto"/>
      <w:ind w:left="2520" w:leftChars="1200"/>
    </w:pPr>
    <w:rPr>
      <w:rFonts w:asciiTheme="minorHAnsi" w:hAnsiTheme="minorHAnsi" w:eastAsiaTheme="minorEastAsia"/>
      <w:sz w:val="21"/>
      <w14:ligatures w14:val="standardContextual"/>
    </w:rPr>
  </w:style>
  <w:style w:type="paragraph" w:styleId="12">
    <w:name w:val="Body Text"/>
    <w:basedOn w:val="1"/>
    <w:link w:val="101"/>
    <w:autoRedefine/>
    <w:unhideWhenUsed/>
    <w:qFormat/>
    <w:uiPriority w:val="1"/>
    <w:pPr>
      <w:tabs>
        <w:tab w:val="left" w:pos="3916"/>
      </w:tabs>
      <w:spacing w:before="24" w:after="24"/>
      <w:ind w:left="3390"/>
    </w:pPr>
    <w:rPr>
      <w:rFonts w:hint="eastAsia" w:cs="Times New Roman"/>
      <w:szCs w:val="28"/>
    </w:rPr>
  </w:style>
  <w:style w:type="paragraph" w:styleId="13">
    <w:name w:val="toc 5"/>
    <w:basedOn w:val="1"/>
    <w:next w:val="1"/>
    <w:autoRedefine/>
    <w:unhideWhenUsed/>
    <w:qFormat/>
    <w:uiPriority w:val="39"/>
    <w:pPr>
      <w:spacing w:before="0" w:beforeLines="0" w:after="0" w:afterLines="0" w:line="240" w:lineRule="auto"/>
      <w:ind w:left="1680" w:leftChars="800"/>
    </w:pPr>
    <w:rPr>
      <w:rFonts w:asciiTheme="minorHAnsi" w:hAnsiTheme="minorHAnsi" w:eastAsiaTheme="minorEastAsia"/>
      <w:sz w:val="21"/>
      <w14:ligatures w14:val="standardContextual"/>
    </w:rPr>
  </w:style>
  <w:style w:type="paragraph" w:styleId="14">
    <w:name w:val="toc 3"/>
    <w:basedOn w:val="1"/>
    <w:next w:val="1"/>
    <w:autoRedefine/>
    <w:unhideWhenUsed/>
    <w:qFormat/>
    <w:uiPriority w:val="39"/>
    <w:pPr>
      <w:spacing w:before="0" w:beforeLines="0" w:after="0" w:afterLines="0" w:line="500" w:lineRule="exact"/>
      <w:ind w:left="400" w:leftChars="400"/>
    </w:pPr>
  </w:style>
  <w:style w:type="paragraph" w:styleId="15">
    <w:name w:val="Plain Text"/>
    <w:basedOn w:val="1"/>
    <w:next w:val="1"/>
    <w:autoRedefine/>
    <w:semiHidden/>
    <w:unhideWhenUsed/>
    <w:qFormat/>
    <w:uiPriority w:val="99"/>
    <w:rPr>
      <w:rFonts w:hint="eastAsia" w:ascii="宋体" w:hAnsi="Courier New" w:cs="Times New Roman"/>
      <w:szCs w:val="28"/>
    </w:rPr>
  </w:style>
  <w:style w:type="paragraph" w:styleId="16">
    <w:name w:val="toc 8"/>
    <w:basedOn w:val="1"/>
    <w:next w:val="1"/>
    <w:autoRedefine/>
    <w:unhideWhenUsed/>
    <w:qFormat/>
    <w:uiPriority w:val="39"/>
    <w:pPr>
      <w:spacing w:before="0" w:beforeLines="0" w:after="0" w:afterLines="0" w:line="240" w:lineRule="auto"/>
      <w:ind w:left="2940" w:leftChars="1400"/>
    </w:pPr>
    <w:rPr>
      <w:rFonts w:asciiTheme="minorHAnsi" w:hAnsiTheme="minorHAnsi" w:eastAsiaTheme="minorEastAsia"/>
      <w:sz w:val="21"/>
      <w14:ligatures w14:val="standardContextual"/>
    </w:rPr>
  </w:style>
  <w:style w:type="paragraph" w:styleId="17">
    <w:name w:val="Date"/>
    <w:basedOn w:val="1"/>
    <w:next w:val="1"/>
    <w:link w:val="84"/>
    <w:autoRedefine/>
    <w:semiHidden/>
    <w:unhideWhenUsed/>
    <w:qFormat/>
    <w:uiPriority w:val="99"/>
    <w:pPr>
      <w:ind w:left="100" w:leftChars="2500"/>
    </w:pPr>
  </w:style>
  <w:style w:type="paragraph" w:styleId="18">
    <w:name w:val="footer"/>
    <w:basedOn w:val="1"/>
    <w:link w:val="78"/>
    <w:autoRedefine/>
    <w:unhideWhenUsed/>
    <w:qFormat/>
    <w:uiPriority w:val="99"/>
    <w:pPr>
      <w:tabs>
        <w:tab w:val="center" w:pos="4153"/>
        <w:tab w:val="right" w:pos="8306"/>
      </w:tabs>
      <w:snapToGrid w:val="0"/>
      <w:spacing w:before="24" w:after="24" w:line="240" w:lineRule="auto"/>
      <w:jc w:val="center"/>
    </w:pPr>
    <w:rPr>
      <w:sz w:val="18"/>
      <w:szCs w:val="18"/>
      <w:lang w:val="zh-CN"/>
    </w:rPr>
  </w:style>
  <w:style w:type="paragraph" w:styleId="19">
    <w:name w:val="header"/>
    <w:basedOn w:val="1"/>
    <w:link w:val="77"/>
    <w:autoRedefine/>
    <w:unhideWhenUsed/>
    <w:qFormat/>
    <w:uiPriority w:val="0"/>
    <w:pPr>
      <w:tabs>
        <w:tab w:val="center" w:pos="4153"/>
        <w:tab w:val="right" w:pos="8306"/>
      </w:tabs>
      <w:snapToGrid w:val="0"/>
      <w:spacing w:line="240" w:lineRule="auto"/>
      <w:jc w:val="center"/>
    </w:pPr>
    <w:rPr>
      <w:sz w:val="18"/>
      <w:szCs w:val="18"/>
    </w:rPr>
  </w:style>
  <w:style w:type="paragraph" w:styleId="20">
    <w:name w:val="toc 1"/>
    <w:basedOn w:val="1"/>
    <w:next w:val="1"/>
    <w:autoRedefine/>
    <w:unhideWhenUsed/>
    <w:qFormat/>
    <w:uiPriority w:val="39"/>
    <w:pPr>
      <w:spacing w:before="0" w:beforeLines="0" w:after="0" w:afterLines="0" w:line="500" w:lineRule="exact"/>
    </w:pPr>
    <w:rPr>
      <w:rFonts w:eastAsia="宋体"/>
      <w:b/>
      <w:sz w:val="30"/>
    </w:rPr>
  </w:style>
  <w:style w:type="paragraph" w:styleId="21">
    <w:name w:val="toc 4"/>
    <w:basedOn w:val="1"/>
    <w:next w:val="1"/>
    <w:autoRedefine/>
    <w:unhideWhenUsed/>
    <w:qFormat/>
    <w:uiPriority w:val="39"/>
    <w:pPr>
      <w:spacing w:before="0" w:beforeLines="0" w:after="0" w:afterLines="0" w:line="240" w:lineRule="auto"/>
      <w:ind w:left="1260" w:leftChars="600"/>
    </w:pPr>
    <w:rPr>
      <w:rFonts w:asciiTheme="minorHAnsi" w:hAnsiTheme="minorHAnsi" w:eastAsiaTheme="minorEastAsia"/>
      <w:sz w:val="21"/>
      <w14:ligatures w14:val="standardContextual"/>
    </w:rPr>
  </w:style>
  <w:style w:type="paragraph" w:styleId="22">
    <w:name w:val="Subtitle"/>
    <w:basedOn w:val="1"/>
    <w:next w:val="1"/>
    <w:link w:val="45"/>
    <w:autoRedefine/>
    <w:qFormat/>
    <w:uiPriority w:val="11"/>
    <w:pPr>
      <w:jc w:val="center"/>
    </w:pPr>
    <w:rPr>
      <w:rFonts w:asciiTheme="majorHAnsi" w:hAnsiTheme="majorHAnsi" w:eastAsiaTheme="majorEastAsia" w:cstheme="majorBidi"/>
      <w:color w:val="595959" w:themeColor="text1" w:themeTint="A6"/>
      <w:spacing w:val="15"/>
      <w:szCs w:val="28"/>
      <w14:textFill>
        <w14:solidFill>
          <w14:schemeClr w14:val="tx1">
            <w14:lumMod w14:val="65000"/>
            <w14:lumOff w14:val="35000"/>
          </w14:schemeClr>
        </w14:solidFill>
      </w14:textFill>
    </w:rPr>
  </w:style>
  <w:style w:type="paragraph" w:styleId="23">
    <w:name w:val="List"/>
    <w:basedOn w:val="1"/>
    <w:semiHidden/>
    <w:unhideWhenUsed/>
    <w:qFormat/>
    <w:uiPriority w:val="99"/>
    <w:pPr>
      <w:ind w:left="200" w:hanging="200" w:hangingChars="200"/>
      <w:contextualSpacing/>
    </w:pPr>
  </w:style>
  <w:style w:type="paragraph" w:styleId="24">
    <w:name w:val="toc 6"/>
    <w:basedOn w:val="1"/>
    <w:next w:val="1"/>
    <w:autoRedefine/>
    <w:unhideWhenUsed/>
    <w:qFormat/>
    <w:uiPriority w:val="39"/>
    <w:pPr>
      <w:spacing w:before="0" w:beforeLines="0" w:after="0" w:afterLines="0" w:line="240" w:lineRule="auto"/>
      <w:ind w:left="2100" w:leftChars="1000"/>
    </w:pPr>
    <w:rPr>
      <w:rFonts w:asciiTheme="minorHAnsi" w:hAnsiTheme="minorHAnsi" w:eastAsiaTheme="minorEastAsia"/>
      <w:sz w:val="21"/>
      <w14:ligatures w14:val="standardContextual"/>
    </w:rPr>
  </w:style>
  <w:style w:type="paragraph" w:styleId="25">
    <w:name w:val="toc 2"/>
    <w:basedOn w:val="1"/>
    <w:next w:val="1"/>
    <w:autoRedefine/>
    <w:unhideWhenUsed/>
    <w:qFormat/>
    <w:uiPriority w:val="39"/>
    <w:pPr>
      <w:spacing w:before="0" w:beforeLines="0" w:after="0" w:afterLines="0" w:line="500" w:lineRule="exact"/>
      <w:ind w:left="200" w:leftChars="200"/>
    </w:pPr>
    <w:rPr>
      <w:b/>
    </w:rPr>
  </w:style>
  <w:style w:type="paragraph" w:styleId="26">
    <w:name w:val="toc 9"/>
    <w:basedOn w:val="1"/>
    <w:next w:val="1"/>
    <w:autoRedefine/>
    <w:unhideWhenUsed/>
    <w:qFormat/>
    <w:uiPriority w:val="39"/>
    <w:pPr>
      <w:spacing w:before="0" w:beforeLines="0" w:after="0" w:afterLines="0" w:line="240" w:lineRule="auto"/>
      <w:ind w:left="3360" w:leftChars="1600"/>
    </w:pPr>
    <w:rPr>
      <w:rFonts w:asciiTheme="minorHAnsi" w:hAnsiTheme="minorHAnsi" w:eastAsiaTheme="minorEastAsia"/>
      <w:sz w:val="21"/>
      <w14:ligatures w14:val="standardContextual"/>
    </w:rPr>
  </w:style>
  <w:style w:type="paragraph" w:styleId="27">
    <w:name w:val="Normal (Web)"/>
    <w:basedOn w:val="1"/>
    <w:autoRedefine/>
    <w:unhideWhenUsed/>
    <w:qFormat/>
    <w:uiPriority w:val="99"/>
    <w:rPr>
      <w:sz w:val="24"/>
    </w:rPr>
  </w:style>
  <w:style w:type="paragraph" w:styleId="28">
    <w:name w:val="Title"/>
    <w:basedOn w:val="1"/>
    <w:next w:val="1"/>
    <w:link w:val="44"/>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paragraph" w:styleId="29">
    <w:name w:val="Body Text First Indent"/>
    <w:autoRedefine/>
    <w:semiHidden/>
    <w:unhideWhenUsed/>
    <w:qFormat/>
    <w:uiPriority w:val="99"/>
    <w:pPr>
      <w:widowControl w:val="0"/>
      <w:spacing w:before="10" w:beforeLines="10" w:after="120" w:afterLines="10" w:line="360" w:lineRule="auto"/>
      <w:ind w:firstLine="420" w:firstLineChars="100"/>
      <w:jc w:val="both"/>
    </w:pPr>
    <w:rPr>
      <w:rFonts w:hint="eastAsia" w:ascii="仿宋" w:hAnsi="仿宋" w:eastAsia="仿宋" w:cs="Times New Roman"/>
      <w:kern w:val="2"/>
      <w:sz w:val="28"/>
      <w:szCs w:val="28"/>
      <w:lang w:val="en-US" w:eastAsia="zh-CN" w:bidi="ar-SA"/>
    </w:rPr>
  </w:style>
  <w:style w:type="table" w:styleId="31">
    <w:name w:val="Table Grid"/>
    <w:basedOn w:val="30"/>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autoRedefine/>
    <w:qFormat/>
    <w:uiPriority w:val="22"/>
    <w:rPr>
      <w:b/>
    </w:rPr>
  </w:style>
  <w:style w:type="character" w:styleId="34">
    <w:name w:val="Hyperlink"/>
    <w:basedOn w:val="32"/>
    <w:unhideWhenUsed/>
    <w:qFormat/>
    <w:uiPriority w:val="99"/>
    <w:rPr>
      <w:color w:val="0563C1" w:themeColor="hyperlink"/>
      <w:u w:val="single"/>
      <w14:textFill>
        <w14:solidFill>
          <w14:schemeClr w14:val="hlink"/>
        </w14:solidFill>
      </w14:textFill>
    </w:rPr>
  </w:style>
  <w:style w:type="character" w:customStyle="1" w:styleId="35">
    <w:name w:val="标题 1 字符"/>
    <w:basedOn w:val="32"/>
    <w:link w:val="2"/>
    <w:autoRedefine/>
    <w:qFormat/>
    <w:uiPriority w:val="1"/>
    <w:rPr>
      <w:rFonts w:asciiTheme="majorHAnsi" w:hAnsiTheme="majorHAnsi" w:eastAsiaTheme="majorEastAsia" w:cstheme="majorBidi"/>
      <w:color w:val="2F5597" w:themeColor="accent1" w:themeShade="BF"/>
      <w:sz w:val="48"/>
      <w:szCs w:val="48"/>
      <w14:ligatures w14:val="none"/>
    </w:rPr>
  </w:style>
  <w:style w:type="character" w:customStyle="1" w:styleId="36">
    <w:name w:val="标题 2 字符"/>
    <w:basedOn w:val="32"/>
    <w:link w:val="3"/>
    <w:autoRedefine/>
    <w:semiHidden/>
    <w:qFormat/>
    <w:uiPriority w:val="9"/>
    <w:rPr>
      <w:rFonts w:asciiTheme="majorHAnsi" w:hAnsiTheme="majorHAnsi" w:eastAsiaTheme="majorEastAsia" w:cstheme="majorBidi"/>
      <w:color w:val="2F5597" w:themeColor="accent1" w:themeShade="BF"/>
      <w:sz w:val="40"/>
      <w:szCs w:val="40"/>
      <w14:ligatures w14:val="none"/>
    </w:rPr>
  </w:style>
  <w:style w:type="character" w:customStyle="1" w:styleId="37">
    <w:name w:val="标题 3 字符"/>
    <w:basedOn w:val="32"/>
    <w:link w:val="4"/>
    <w:semiHidden/>
    <w:qFormat/>
    <w:uiPriority w:val="9"/>
    <w:rPr>
      <w:rFonts w:asciiTheme="majorHAnsi" w:hAnsiTheme="majorHAnsi" w:eastAsiaTheme="majorEastAsia" w:cstheme="majorBidi"/>
      <w:color w:val="2F5597" w:themeColor="accent1" w:themeShade="BF"/>
      <w:sz w:val="32"/>
      <w:szCs w:val="32"/>
      <w14:ligatures w14:val="none"/>
    </w:rPr>
  </w:style>
  <w:style w:type="character" w:customStyle="1" w:styleId="38">
    <w:name w:val="标题 4 字符"/>
    <w:basedOn w:val="32"/>
    <w:link w:val="5"/>
    <w:semiHidden/>
    <w:qFormat/>
    <w:uiPriority w:val="9"/>
    <w:rPr>
      <w:rFonts w:ascii="仿宋" w:hAnsi="仿宋" w:eastAsia="仿宋" w:cstheme="majorBidi"/>
      <w:color w:val="2F5597" w:themeColor="accent1" w:themeShade="BF"/>
      <w:sz w:val="28"/>
      <w:szCs w:val="28"/>
      <w14:ligatures w14:val="none"/>
    </w:rPr>
  </w:style>
  <w:style w:type="character" w:customStyle="1" w:styleId="39">
    <w:name w:val="标题 5 字符"/>
    <w:basedOn w:val="32"/>
    <w:link w:val="6"/>
    <w:autoRedefine/>
    <w:semiHidden/>
    <w:qFormat/>
    <w:uiPriority w:val="9"/>
    <w:rPr>
      <w:rFonts w:ascii="仿宋" w:hAnsi="仿宋" w:eastAsia="仿宋" w:cstheme="majorBidi"/>
      <w:color w:val="2F5597" w:themeColor="accent1" w:themeShade="BF"/>
      <w:sz w:val="24"/>
      <w:szCs w:val="22"/>
      <w14:ligatures w14:val="none"/>
    </w:rPr>
  </w:style>
  <w:style w:type="character" w:customStyle="1" w:styleId="40">
    <w:name w:val="标题 6 字符"/>
    <w:basedOn w:val="32"/>
    <w:link w:val="7"/>
    <w:autoRedefine/>
    <w:semiHidden/>
    <w:qFormat/>
    <w:uiPriority w:val="9"/>
    <w:rPr>
      <w:rFonts w:ascii="仿宋" w:hAnsi="仿宋" w:eastAsia="仿宋" w:cstheme="majorBidi"/>
      <w:b/>
      <w:bCs/>
      <w:color w:val="2F5597" w:themeColor="accent1" w:themeShade="BF"/>
      <w:sz w:val="28"/>
      <w:szCs w:val="22"/>
      <w14:ligatures w14:val="none"/>
    </w:rPr>
  </w:style>
  <w:style w:type="character" w:customStyle="1" w:styleId="41">
    <w:name w:val="标题 7 字符"/>
    <w:basedOn w:val="32"/>
    <w:link w:val="8"/>
    <w:autoRedefine/>
    <w:semiHidden/>
    <w:qFormat/>
    <w:uiPriority w:val="9"/>
    <w:rPr>
      <w:rFonts w:ascii="仿宋" w:hAnsi="仿宋" w:eastAsia="仿宋" w:cstheme="majorBidi"/>
      <w:b/>
      <w:bCs/>
      <w:color w:val="595959" w:themeColor="text1" w:themeTint="A6"/>
      <w:sz w:val="28"/>
      <w:szCs w:val="22"/>
      <w14:textFill>
        <w14:solidFill>
          <w14:schemeClr w14:val="tx1">
            <w14:lumMod w14:val="65000"/>
            <w14:lumOff w14:val="35000"/>
          </w14:schemeClr>
        </w14:solidFill>
      </w14:textFill>
      <w14:ligatures w14:val="none"/>
    </w:rPr>
  </w:style>
  <w:style w:type="character" w:customStyle="1" w:styleId="42">
    <w:name w:val="标题 8 字符"/>
    <w:basedOn w:val="32"/>
    <w:link w:val="9"/>
    <w:semiHidden/>
    <w:qFormat/>
    <w:uiPriority w:val="9"/>
    <w:rPr>
      <w:rFonts w:ascii="仿宋" w:hAnsi="仿宋" w:eastAsia="仿宋" w:cstheme="majorBidi"/>
      <w:color w:val="595959" w:themeColor="text1" w:themeTint="A6"/>
      <w:sz w:val="28"/>
      <w:szCs w:val="22"/>
      <w14:textFill>
        <w14:solidFill>
          <w14:schemeClr w14:val="tx1">
            <w14:lumMod w14:val="65000"/>
            <w14:lumOff w14:val="35000"/>
          </w14:schemeClr>
        </w14:solidFill>
      </w14:textFill>
      <w14:ligatures w14:val="none"/>
    </w:rPr>
  </w:style>
  <w:style w:type="character" w:customStyle="1" w:styleId="43">
    <w:name w:val="标题 9 字符"/>
    <w:basedOn w:val="32"/>
    <w:link w:val="10"/>
    <w:autoRedefine/>
    <w:semiHidden/>
    <w:qFormat/>
    <w:uiPriority w:val="9"/>
    <w:rPr>
      <w:rFonts w:ascii="仿宋" w:hAnsi="仿宋" w:eastAsiaTheme="majorEastAsia" w:cstheme="majorBidi"/>
      <w:color w:val="595959" w:themeColor="text1" w:themeTint="A6"/>
      <w:sz w:val="28"/>
      <w:szCs w:val="22"/>
      <w14:textFill>
        <w14:solidFill>
          <w14:schemeClr w14:val="tx1">
            <w14:lumMod w14:val="65000"/>
            <w14:lumOff w14:val="35000"/>
          </w14:schemeClr>
        </w14:solidFill>
      </w14:textFill>
      <w14:ligatures w14:val="none"/>
    </w:rPr>
  </w:style>
  <w:style w:type="character" w:customStyle="1" w:styleId="44">
    <w:name w:val="标题 字符"/>
    <w:basedOn w:val="32"/>
    <w:link w:val="28"/>
    <w:qFormat/>
    <w:uiPriority w:val="10"/>
    <w:rPr>
      <w:rFonts w:asciiTheme="majorHAnsi" w:hAnsiTheme="majorHAnsi" w:eastAsiaTheme="majorEastAsia" w:cstheme="majorBidi"/>
      <w:spacing w:val="-10"/>
      <w:kern w:val="28"/>
      <w:sz w:val="56"/>
      <w:szCs w:val="56"/>
      <w14:ligatures w14:val="none"/>
    </w:rPr>
  </w:style>
  <w:style w:type="character" w:customStyle="1" w:styleId="45">
    <w:name w:val="副标题 字符"/>
    <w:basedOn w:val="32"/>
    <w:link w:val="22"/>
    <w:autoRedefine/>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14:ligatures w14:val="none"/>
    </w:rPr>
  </w:style>
  <w:style w:type="paragraph" w:styleId="46">
    <w:name w:val="Quote"/>
    <w:basedOn w:val="1"/>
    <w:next w:val="1"/>
    <w:link w:val="47"/>
    <w:autoRedefine/>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47">
    <w:name w:val="引用 字符"/>
    <w:basedOn w:val="32"/>
    <w:link w:val="46"/>
    <w:autoRedefine/>
    <w:qFormat/>
    <w:uiPriority w:val="29"/>
    <w:rPr>
      <w:rFonts w:ascii="仿宋" w:hAnsi="仿宋" w:eastAsia="仿宋"/>
      <w:i/>
      <w:iCs/>
      <w:color w:val="404040" w:themeColor="text1" w:themeTint="BF"/>
      <w:sz w:val="28"/>
      <w:szCs w:val="22"/>
      <w14:textFill>
        <w14:solidFill>
          <w14:schemeClr w14:val="tx1">
            <w14:lumMod w14:val="75000"/>
            <w14:lumOff w14:val="25000"/>
          </w14:schemeClr>
        </w14:solidFill>
      </w14:textFill>
      <w14:ligatures w14:val="none"/>
    </w:rPr>
  </w:style>
  <w:style w:type="paragraph" w:styleId="48">
    <w:name w:val="List Paragraph"/>
    <w:basedOn w:val="1"/>
    <w:autoRedefine/>
    <w:qFormat/>
    <w:uiPriority w:val="1"/>
    <w:pPr>
      <w:ind w:left="720"/>
      <w:contextualSpacing/>
    </w:pPr>
  </w:style>
  <w:style w:type="character" w:customStyle="1" w:styleId="49">
    <w:name w:val="明显强调1"/>
    <w:basedOn w:val="32"/>
    <w:autoRedefine/>
    <w:qFormat/>
    <w:uiPriority w:val="21"/>
    <w:rPr>
      <w:i/>
      <w:iCs/>
      <w:color w:val="2F5597" w:themeColor="accent1" w:themeShade="BF"/>
    </w:rPr>
  </w:style>
  <w:style w:type="paragraph" w:styleId="50">
    <w:name w:val="Intense Quote"/>
    <w:basedOn w:val="1"/>
    <w:next w:val="1"/>
    <w:link w:val="51"/>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51">
    <w:name w:val="明显引用 字符"/>
    <w:basedOn w:val="32"/>
    <w:link w:val="50"/>
    <w:autoRedefine/>
    <w:qFormat/>
    <w:uiPriority w:val="30"/>
    <w:rPr>
      <w:rFonts w:ascii="仿宋" w:hAnsi="仿宋" w:eastAsia="仿宋"/>
      <w:i/>
      <w:iCs/>
      <w:color w:val="2F5597" w:themeColor="accent1" w:themeShade="BF"/>
      <w:sz w:val="28"/>
      <w:szCs w:val="22"/>
      <w14:ligatures w14:val="none"/>
    </w:rPr>
  </w:style>
  <w:style w:type="character" w:customStyle="1" w:styleId="52">
    <w:name w:val="明显参考1"/>
    <w:basedOn w:val="32"/>
    <w:autoRedefine/>
    <w:qFormat/>
    <w:uiPriority w:val="32"/>
    <w:rPr>
      <w:b/>
      <w:bCs/>
      <w:smallCaps/>
      <w:color w:val="2F5597" w:themeColor="accent1" w:themeShade="BF"/>
      <w:spacing w:val="5"/>
    </w:rPr>
  </w:style>
  <w:style w:type="paragraph" w:customStyle="1" w:styleId="53">
    <w:name w:val="04 1级标题"/>
    <w:basedOn w:val="1"/>
    <w:next w:val="54"/>
    <w:link w:val="55"/>
    <w:autoRedefine/>
    <w:qFormat/>
    <w:uiPriority w:val="0"/>
    <w:pPr>
      <w:outlineLvl w:val="0"/>
    </w:pPr>
    <w:rPr>
      <w:rFonts w:ascii="Times New Roman" w:hAnsi="Times New Roman" w:eastAsia="黑体"/>
      <w:b/>
      <w:color w:val="00B0F0"/>
      <w:sz w:val="32"/>
      <w:szCs w:val="24"/>
      <w14:ligatures w14:val="standardContextual"/>
    </w:rPr>
  </w:style>
  <w:style w:type="paragraph" w:customStyle="1" w:styleId="54">
    <w:name w:val="09 正文"/>
    <w:basedOn w:val="1"/>
    <w:link w:val="68"/>
    <w:qFormat/>
    <w:uiPriority w:val="0"/>
    <w:pPr>
      <w:spacing w:before="31" w:after="31"/>
      <w:ind w:firstLine="560" w:firstLineChars="200"/>
    </w:pPr>
    <w:rPr>
      <w:rFonts w:ascii="Times New Roman" w:hAnsi="Times New Roman" w:cs="Times New Roman"/>
      <w:color w:val="181717" w:themeColor="background2" w:themeShade="1A"/>
    </w:rPr>
  </w:style>
  <w:style w:type="character" w:customStyle="1" w:styleId="55">
    <w:name w:val="04 1级标题 字符"/>
    <w:basedOn w:val="32"/>
    <w:link w:val="53"/>
    <w:qFormat/>
    <w:uiPriority w:val="0"/>
    <w:rPr>
      <w:rFonts w:ascii="Times New Roman" w:hAnsi="Times New Roman" w:eastAsia="黑体"/>
      <w:b/>
      <w:color w:val="00B0F0"/>
      <w:sz w:val="32"/>
    </w:rPr>
  </w:style>
  <w:style w:type="paragraph" w:customStyle="1" w:styleId="56">
    <w:name w:val="01 封面项目名称"/>
    <w:basedOn w:val="1"/>
    <w:next w:val="1"/>
    <w:link w:val="57"/>
    <w:autoRedefine/>
    <w:qFormat/>
    <w:uiPriority w:val="0"/>
    <w:pPr>
      <w:jc w:val="center"/>
    </w:pPr>
    <w:rPr>
      <w:rFonts w:ascii="Times New Roman" w:hAnsi="Times New Roman" w:eastAsia="黑体"/>
      <w:color w:val="0D0D0D" w:themeColor="text1" w:themeTint="F2"/>
      <w:sz w:val="44"/>
      <w14:textFill>
        <w14:solidFill>
          <w14:schemeClr w14:val="tx1">
            <w14:lumMod w14:val="95000"/>
            <w14:lumOff w14:val="5000"/>
          </w14:schemeClr>
        </w14:solidFill>
      </w14:textFill>
    </w:rPr>
  </w:style>
  <w:style w:type="character" w:customStyle="1" w:styleId="57">
    <w:name w:val="01 封面项目名称 字符"/>
    <w:basedOn w:val="55"/>
    <w:link w:val="56"/>
    <w:autoRedefine/>
    <w:qFormat/>
    <w:uiPriority w:val="0"/>
    <w:rPr>
      <w:rFonts w:ascii="Times New Roman" w:hAnsi="Times New Roman" w:eastAsia="黑体"/>
      <w:b w:val="0"/>
      <w:color w:val="0D0D0D" w:themeColor="text1" w:themeTint="F2"/>
      <w:sz w:val="44"/>
      <w:szCs w:val="22"/>
      <w14:textFill>
        <w14:solidFill>
          <w14:schemeClr w14:val="tx1">
            <w14:lumMod w14:val="95000"/>
            <w14:lumOff w14:val="5000"/>
          </w14:schemeClr>
        </w14:solidFill>
      </w14:textFill>
      <w14:ligatures w14:val="none"/>
    </w:rPr>
  </w:style>
  <w:style w:type="paragraph" w:customStyle="1" w:styleId="58">
    <w:name w:val="02 封面文件名称"/>
    <w:basedOn w:val="1"/>
    <w:next w:val="1"/>
    <w:link w:val="59"/>
    <w:autoRedefine/>
    <w:qFormat/>
    <w:uiPriority w:val="0"/>
    <w:pPr>
      <w:jc w:val="center"/>
    </w:pPr>
    <w:rPr>
      <w:rFonts w:ascii="Times New Roman" w:hAnsi="Times New Roman" w:eastAsia="方正小标宋简体" w:cs="Times New Roman"/>
      <w:color w:val="000000" w:themeColor="text1"/>
      <w:sz w:val="60"/>
      <w:szCs w:val="44"/>
      <w14:textFill>
        <w14:solidFill>
          <w14:schemeClr w14:val="tx1"/>
        </w14:solidFill>
      </w14:textFill>
    </w:rPr>
  </w:style>
  <w:style w:type="character" w:customStyle="1" w:styleId="59">
    <w:name w:val="02 封面文件名称 字符"/>
    <w:basedOn w:val="32"/>
    <w:link w:val="58"/>
    <w:autoRedefine/>
    <w:qFormat/>
    <w:uiPriority w:val="0"/>
    <w:rPr>
      <w:rFonts w:ascii="Times New Roman" w:hAnsi="Times New Roman" w:eastAsia="方正小标宋简体" w:cs="Times New Roman"/>
      <w:color w:val="000000" w:themeColor="text1"/>
      <w:sz w:val="60"/>
      <w:szCs w:val="44"/>
      <w14:textFill>
        <w14:solidFill>
          <w14:schemeClr w14:val="tx1"/>
        </w14:solidFill>
      </w14:textFill>
      <w14:ligatures w14:val="none"/>
    </w:rPr>
  </w:style>
  <w:style w:type="paragraph" w:customStyle="1" w:styleId="60">
    <w:name w:val="03 封面落款"/>
    <w:basedOn w:val="58"/>
    <w:next w:val="1"/>
    <w:link w:val="61"/>
    <w:autoRedefine/>
    <w:qFormat/>
    <w:uiPriority w:val="0"/>
    <w:rPr>
      <w:rFonts w:eastAsia="宋体"/>
      <w:b/>
      <w:sz w:val="32"/>
    </w:rPr>
  </w:style>
  <w:style w:type="character" w:customStyle="1" w:styleId="61">
    <w:name w:val="03 封面落款 字符"/>
    <w:basedOn w:val="59"/>
    <w:link w:val="60"/>
    <w:autoRedefine/>
    <w:qFormat/>
    <w:uiPriority w:val="0"/>
    <w:rPr>
      <w:rFonts w:ascii="Times New Roman" w:hAnsi="Times New Roman" w:eastAsia="宋体" w:cs="Times New Roman"/>
      <w:b/>
      <w:color w:val="000000" w:themeColor="text1"/>
      <w:sz w:val="32"/>
      <w:szCs w:val="44"/>
      <w14:textFill>
        <w14:solidFill>
          <w14:schemeClr w14:val="tx1"/>
        </w14:solidFill>
      </w14:textFill>
      <w14:ligatures w14:val="none"/>
    </w:rPr>
  </w:style>
  <w:style w:type="paragraph" w:customStyle="1" w:styleId="62">
    <w:name w:val="05 2级标题"/>
    <w:basedOn w:val="1"/>
    <w:next w:val="54"/>
    <w:link w:val="63"/>
    <w:autoRedefine/>
    <w:qFormat/>
    <w:uiPriority w:val="0"/>
    <w:pPr>
      <w:spacing w:before="24" w:after="24"/>
      <w:ind w:firstLine="562" w:firstLineChars="200"/>
      <w:outlineLvl w:val="1"/>
    </w:pPr>
    <w:rPr>
      <w:rFonts w:ascii="Times New Roman" w:hAnsi="Times New Roman" w:cs="Times New Roman"/>
      <w:b/>
      <w:color w:val="0D0D0D" w:themeColor="text1" w:themeTint="F2"/>
      <w14:textFill>
        <w14:solidFill>
          <w14:schemeClr w14:val="tx1">
            <w14:lumMod w14:val="95000"/>
            <w14:lumOff w14:val="5000"/>
          </w14:schemeClr>
        </w14:solidFill>
      </w14:textFill>
    </w:rPr>
  </w:style>
  <w:style w:type="character" w:customStyle="1" w:styleId="63">
    <w:name w:val="05 2级标题 字符"/>
    <w:basedOn w:val="32"/>
    <w:link w:val="62"/>
    <w:autoRedefine/>
    <w:qFormat/>
    <w:uiPriority w:val="0"/>
    <w:rPr>
      <w:rFonts w:eastAsia="仿宋"/>
      <w:b/>
      <w:color w:val="0D0D0D" w:themeColor="text1" w:themeTint="F2"/>
      <w:kern w:val="2"/>
      <w:sz w:val="28"/>
      <w:szCs w:val="22"/>
      <w14:textFill>
        <w14:solidFill>
          <w14:schemeClr w14:val="tx1">
            <w14:lumMod w14:val="95000"/>
            <w14:lumOff w14:val="5000"/>
          </w14:schemeClr>
        </w14:solidFill>
      </w14:textFill>
    </w:rPr>
  </w:style>
  <w:style w:type="paragraph" w:customStyle="1" w:styleId="64">
    <w:name w:val="06 3级标题"/>
    <w:basedOn w:val="1"/>
    <w:next w:val="54"/>
    <w:link w:val="65"/>
    <w:qFormat/>
    <w:uiPriority w:val="0"/>
    <w:pPr>
      <w:spacing w:before="31" w:after="31"/>
      <w:ind w:firstLine="562" w:firstLineChars="200"/>
      <w:outlineLvl w:val="2"/>
    </w:pPr>
    <w:rPr>
      <w:rFonts w:ascii="Times New Roman" w:hAnsi="Times New Roman"/>
      <w:b/>
      <w:color w:val="0D0D0D" w:themeColor="text1" w:themeTint="F2"/>
      <w14:textFill>
        <w14:solidFill>
          <w14:schemeClr w14:val="tx1">
            <w14:lumMod w14:val="95000"/>
            <w14:lumOff w14:val="5000"/>
          </w14:schemeClr>
        </w14:solidFill>
      </w14:textFill>
    </w:rPr>
  </w:style>
  <w:style w:type="character" w:customStyle="1" w:styleId="65">
    <w:name w:val="06 3级标题 字符"/>
    <w:basedOn w:val="32"/>
    <w:link w:val="64"/>
    <w:autoRedefine/>
    <w:qFormat/>
    <w:uiPriority w:val="0"/>
    <w:rPr>
      <w:rFonts w:eastAsia="仿宋" w:cstheme="minorBidi"/>
      <w:b/>
      <w:color w:val="0D0D0D" w:themeColor="text1" w:themeTint="F2"/>
      <w:kern w:val="2"/>
      <w:sz w:val="28"/>
      <w:szCs w:val="22"/>
      <w14:textFill>
        <w14:solidFill>
          <w14:schemeClr w14:val="tx1">
            <w14:lumMod w14:val="95000"/>
            <w14:lumOff w14:val="5000"/>
          </w14:schemeClr>
        </w14:solidFill>
      </w14:textFill>
    </w:rPr>
  </w:style>
  <w:style w:type="paragraph" w:customStyle="1" w:styleId="66">
    <w:name w:val="07 4级标题"/>
    <w:basedOn w:val="64"/>
    <w:next w:val="54"/>
    <w:link w:val="67"/>
    <w:qFormat/>
    <w:uiPriority w:val="0"/>
    <w:pPr>
      <w:spacing w:before="24" w:after="24"/>
      <w:outlineLvl w:val="3"/>
    </w:pPr>
  </w:style>
  <w:style w:type="character" w:customStyle="1" w:styleId="67">
    <w:name w:val="07 4级标题 字符"/>
    <w:basedOn w:val="65"/>
    <w:link w:val="66"/>
    <w:autoRedefine/>
    <w:qFormat/>
    <w:uiPriority w:val="0"/>
    <w:rPr>
      <w:rFonts w:eastAsia="仿宋" w:cstheme="minorBidi"/>
      <w:color w:val="0D0D0D" w:themeColor="text1" w:themeTint="F2"/>
      <w:kern w:val="2"/>
      <w:sz w:val="28"/>
      <w:szCs w:val="22"/>
      <w14:textFill>
        <w14:solidFill>
          <w14:schemeClr w14:val="tx1">
            <w14:lumMod w14:val="95000"/>
            <w14:lumOff w14:val="5000"/>
          </w14:schemeClr>
        </w14:solidFill>
      </w14:textFill>
    </w:rPr>
  </w:style>
  <w:style w:type="character" w:customStyle="1" w:styleId="68">
    <w:name w:val="09 正文 字符"/>
    <w:basedOn w:val="32"/>
    <w:link w:val="54"/>
    <w:autoRedefine/>
    <w:qFormat/>
    <w:uiPriority w:val="0"/>
    <w:rPr>
      <w:rFonts w:eastAsia="仿宋"/>
      <w:color w:val="181717" w:themeColor="background2" w:themeShade="1A"/>
      <w:kern w:val="2"/>
      <w:sz w:val="28"/>
      <w:szCs w:val="22"/>
    </w:rPr>
  </w:style>
  <w:style w:type="paragraph" w:customStyle="1" w:styleId="69">
    <w:name w:val="10 表格标题"/>
    <w:basedOn w:val="54"/>
    <w:link w:val="70"/>
    <w:autoRedefine/>
    <w:qFormat/>
    <w:uiPriority w:val="0"/>
    <w:pPr>
      <w:spacing w:before="24" w:after="24" w:line="288" w:lineRule="auto"/>
      <w:ind w:firstLine="0" w:firstLineChars="0"/>
      <w:jc w:val="center"/>
    </w:pPr>
    <w:rPr>
      <w:rFonts w:ascii="仿宋" w:hAnsi="仿宋"/>
      <w:bCs/>
    </w:rPr>
  </w:style>
  <w:style w:type="character" w:customStyle="1" w:styleId="70">
    <w:name w:val="10 表格标题 字符"/>
    <w:basedOn w:val="68"/>
    <w:link w:val="69"/>
    <w:autoRedefine/>
    <w:qFormat/>
    <w:uiPriority w:val="0"/>
    <w:rPr>
      <w:rFonts w:ascii="仿宋" w:hAnsi="仿宋" w:eastAsia="仿宋"/>
      <w:bCs/>
      <w:color w:val="181717" w:themeColor="background2" w:themeShade="1A"/>
      <w:kern w:val="2"/>
      <w:sz w:val="28"/>
      <w:szCs w:val="22"/>
    </w:rPr>
  </w:style>
  <w:style w:type="paragraph" w:customStyle="1" w:styleId="71">
    <w:name w:val="11 表格正文"/>
    <w:basedOn w:val="1"/>
    <w:next w:val="1"/>
    <w:link w:val="72"/>
    <w:qFormat/>
    <w:uiPriority w:val="0"/>
    <w:pPr>
      <w:spacing w:before="31" w:after="31" w:line="288" w:lineRule="auto"/>
      <w:jc w:val="center"/>
    </w:pPr>
    <w:rPr>
      <w:rFonts w:ascii="Times New Roman" w:hAnsi="Times New Roman"/>
      <w:sz w:val="24"/>
    </w:rPr>
  </w:style>
  <w:style w:type="character" w:customStyle="1" w:styleId="72">
    <w:name w:val="11 表格正文 字符"/>
    <w:basedOn w:val="32"/>
    <w:link w:val="71"/>
    <w:autoRedefine/>
    <w:qFormat/>
    <w:uiPriority w:val="0"/>
    <w:rPr>
      <w:rFonts w:eastAsia="仿宋" w:cstheme="minorBidi"/>
      <w:kern w:val="2"/>
      <w:sz w:val="24"/>
      <w:szCs w:val="22"/>
    </w:rPr>
  </w:style>
  <w:style w:type="paragraph" w:customStyle="1" w:styleId="73">
    <w:name w:val="12 表格说明"/>
    <w:basedOn w:val="71"/>
    <w:next w:val="54"/>
    <w:link w:val="74"/>
    <w:autoRedefine/>
    <w:qFormat/>
    <w:uiPriority w:val="0"/>
    <w:pPr>
      <w:ind w:firstLine="200" w:firstLineChars="200"/>
      <w:jc w:val="both"/>
    </w:pPr>
    <w:rPr>
      <w:b/>
      <w:color w:val="0D0D0D" w:themeColor="text1" w:themeTint="F2"/>
      <w14:textFill>
        <w14:solidFill>
          <w14:schemeClr w14:val="tx1">
            <w14:lumMod w14:val="95000"/>
            <w14:lumOff w14:val="5000"/>
          </w14:schemeClr>
        </w14:solidFill>
      </w14:textFill>
    </w:rPr>
  </w:style>
  <w:style w:type="character" w:customStyle="1" w:styleId="74">
    <w:name w:val="12 表格说明 字符"/>
    <w:basedOn w:val="72"/>
    <w:link w:val="73"/>
    <w:autoRedefine/>
    <w:qFormat/>
    <w:uiPriority w:val="0"/>
    <w:rPr>
      <w:rFonts w:ascii="Times New Roman" w:hAnsi="Times New Roman" w:eastAsia="宋体" w:cstheme="minorBidi"/>
      <w:b/>
      <w:color w:val="0D0D0D" w:themeColor="text1" w:themeTint="F2"/>
      <w:kern w:val="2"/>
      <w:sz w:val="21"/>
      <w:szCs w:val="22"/>
      <w14:textFill>
        <w14:solidFill>
          <w14:schemeClr w14:val="tx1">
            <w14:lumMod w14:val="95000"/>
            <w14:lumOff w14:val="5000"/>
          </w14:schemeClr>
        </w14:solidFill>
      </w14:textFill>
      <w14:ligatures w14:val="none"/>
    </w:rPr>
  </w:style>
  <w:style w:type="paragraph" w:customStyle="1" w:styleId="75">
    <w:name w:val="14 页眉"/>
    <w:basedOn w:val="1"/>
    <w:next w:val="1"/>
    <w:link w:val="76"/>
    <w:autoRedefine/>
    <w:qFormat/>
    <w:uiPriority w:val="0"/>
    <w:pPr>
      <w:spacing w:line="240" w:lineRule="auto"/>
      <w:jc w:val="center"/>
    </w:pPr>
    <w:rPr>
      <w:rFonts w:ascii="Times New Roman" w:hAnsi="Times New Roman" w:cs="Times New Roman"/>
      <w:color w:val="000000" w:themeColor="text1"/>
      <w:sz w:val="21"/>
      <w:szCs w:val="44"/>
      <w14:textFill>
        <w14:solidFill>
          <w14:schemeClr w14:val="tx1"/>
        </w14:solidFill>
      </w14:textFill>
    </w:rPr>
  </w:style>
  <w:style w:type="character" w:customStyle="1" w:styleId="76">
    <w:name w:val="14 页眉 字符"/>
    <w:basedOn w:val="32"/>
    <w:link w:val="75"/>
    <w:autoRedefine/>
    <w:qFormat/>
    <w:uiPriority w:val="0"/>
    <w:rPr>
      <w:rFonts w:ascii="Times New Roman" w:hAnsi="Times New Roman" w:eastAsia="仿宋" w:cs="Times New Roman"/>
      <w:color w:val="000000" w:themeColor="text1"/>
      <w:sz w:val="21"/>
      <w:szCs w:val="44"/>
      <w14:textFill>
        <w14:solidFill>
          <w14:schemeClr w14:val="tx1"/>
        </w14:solidFill>
      </w14:textFill>
      <w14:ligatures w14:val="none"/>
    </w:rPr>
  </w:style>
  <w:style w:type="character" w:customStyle="1" w:styleId="77">
    <w:name w:val="页眉 字符"/>
    <w:basedOn w:val="32"/>
    <w:link w:val="19"/>
    <w:autoRedefine/>
    <w:qFormat/>
    <w:uiPriority w:val="0"/>
    <w:rPr>
      <w:rFonts w:ascii="仿宋" w:hAnsi="仿宋" w:eastAsia="仿宋"/>
      <w:sz w:val="18"/>
      <w:szCs w:val="18"/>
      <w14:ligatures w14:val="none"/>
    </w:rPr>
  </w:style>
  <w:style w:type="character" w:customStyle="1" w:styleId="78">
    <w:name w:val="页脚 字符"/>
    <w:basedOn w:val="32"/>
    <w:link w:val="18"/>
    <w:autoRedefine/>
    <w:qFormat/>
    <w:uiPriority w:val="99"/>
    <w:rPr>
      <w:rFonts w:ascii="仿宋" w:hAnsi="仿宋" w:eastAsia="仿宋" w:cstheme="minorBidi"/>
      <w:kern w:val="2"/>
      <w:sz w:val="18"/>
      <w:szCs w:val="18"/>
      <w:lang w:val="zh-CN"/>
    </w:rPr>
  </w:style>
  <w:style w:type="paragraph" w:customStyle="1" w:styleId="79">
    <w:name w:val="13 页脚"/>
    <w:basedOn w:val="18"/>
    <w:next w:val="1"/>
    <w:link w:val="80"/>
    <w:autoRedefine/>
    <w:qFormat/>
    <w:uiPriority w:val="0"/>
    <w:rPr>
      <w:rFonts w:ascii="Times New Roman" w:hAnsi="Times New Roman"/>
      <w:color w:val="0D0D0D" w:themeColor="text1" w:themeTint="F2"/>
      <w:sz w:val="21"/>
      <w14:textFill>
        <w14:solidFill>
          <w14:schemeClr w14:val="tx1">
            <w14:lumMod w14:val="95000"/>
            <w14:lumOff w14:val="5000"/>
          </w14:schemeClr>
        </w14:solidFill>
      </w14:textFill>
    </w:rPr>
  </w:style>
  <w:style w:type="character" w:customStyle="1" w:styleId="80">
    <w:name w:val="13 页脚 字符"/>
    <w:basedOn w:val="78"/>
    <w:link w:val="79"/>
    <w:autoRedefine/>
    <w:qFormat/>
    <w:uiPriority w:val="0"/>
    <w:rPr>
      <w:rFonts w:ascii="Times New Roman" w:hAnsi="Times New Roman" w:eastAsia="仿宋" w:cstheme="minorBidi"/>
      <w:color w:val="0D0D0D" w:themeColor="text1" w:themeTint="F2"/>
      <w:kern w:val="2"/>
      <w:sz w:val="21"/>
      <w:szCs w:val="18"/>
      <w:lang w:val="zh-CN"/>
      <w14:textFill>
        <w14:solidFill>
          <w14:schemeClr w14:val="tx1">
            <w14:lumMod w14:val="95000"/>
            <w14:lumOff w14:val="5000"/>
          </w14:schemeClr>
        </w14:solidFill>
      </w14:textFill>
      <w14:ligatures w14:val="none"/>
    </w:rPr>
  </w:style>
  <w:style w:type="paragraph" w:customStyle="1" w:styleId="81">
    <w:name w:val="修订1"/>
    <w:autoRedefine/>
    <w:hidden/>
    <w:semiHidden/>
    <w:qFormat/>
    <w:uiPriority w:val="99"/>
    <w:rPr>
      <w:rFonts w:ascii="仿宋" w:hAnsi="仿宋" w:eastAsia="仿宋" w:cstheme="minorBidi"/>
      <w:kern w:val="2"/>
      <w:sz w:val="28"/>
      <w:szCs w:val="22"/>
      <w:lang w:val="en-US" w:eastAsia="zh-CN" w:bidi="ar-SA"/>
    </w:rPr>
  </w:style>
  <w:style w:type="paragraph" w:customStyle="1" w:styleId="82">
    <w:name w:val="08 ５级标题"/>
    <w:basedOn w:val="1"/>
    <w:next w:val="54"/>
    <w:link w:val="83"/>
    <w:autoRedefine/>
    <w:qFormat/>
    <w:uiPriority w:val="0"/>
    <w:pPr>
      <w:ind w:firstLine="200" w:firstLineChars="200"/>
      <w:outlineLvl w:val="4"/>
    </w:pPr>
    <w:rPr>
      <w:rFonts w:ascii="Times New Roman" w:hAnsi="Times New Roman"/>
      <w:b/>
      <w:color w:val="0D0D0D" w:themeColor="text1" w:themeTint="F2"/>
      <w14:textFill>
        <w14:solidFill>
          <w14:schemeClr w14:val="tx1">
            <w14:lumMod w14:val="95000"/>
            <w14:lumOff w14:val="5000"/>
          </w14:schemeClr>
        </w14:solidFill>
      </w14:textFill>
    </w:rPr>
  </w:style>
  <w:style w:type="character" w:customStyle="1" w:styleId="83">
    <w:name w:val="08 ５级标题 字符"/>
    <w:basedOn w:val="32"/>
    <w:link w:val="82"/>
    <w:autoRedefine/>
    <w:qFormat/>
    <w:uiPriority w:val="0"/>
    <w:rPr>
      <w:rFonts w:ascii="Times New Roman" w:hAnsi="Times New Roman" w:eastAsia="仿宋"/>
      <w:b/>
      <w:color w:val="0D0D0D" w:themeColor="text1" w:themeTint="F2"/>
      <w:sz w:val="28"/>
      <w:szCs w:val="22"/>
      <w14:textFill>
        <w14:solidFill>
          <w14:schemeClr w14:val="tx1">
            <w14:lumMod w14:val="95000"/>
            <w14:lumOff w14:val="5000"/>
          </w14:schemeClr>
        </w14:solidFill>
      </w14:textFill>
      <w14:ligatures w14:val="none"/>
    </w:rPr>
  </w:style>
  <w:style w:type="character" w:customStyle="1" w:styleId="84">
    <w:name w:val="日期 字符"/>
    <w:basedOn w:val="32"/>
    <w:link w:val="17"/>
    <w:autoRedefine/>
    <w:semiHidden/>
    <w:qFormat/>
    <w:uiPriority w:val="99"/>
    <w:rPr>
      <w:rFonts w:ascii="仿宋" w:hAnsi="仿宋" w:eastAsia="仿宋"/>
      <w:sz w:val="28"/>
      <w:szCs w:val="22"/>
      <w14:ligatures w14:val="none"/>
    </w:rPr>
  </w:style>
  <w:style w:type="paragraph" w:customStyle="1" w:styleId="85">
    <w:name w:val="00 图片格式"/>
    <w:basedOn w:val="1"/>
    <w:link w:val="86"/>
    <w:autoRedefine/>
    <w:qFormat/>
    <w:uiPriority w:val="0"/>
    <w:pPr>
      <w:spacing w:before="0" w:beforeLines="0" w:after="0" w:afterLines="0" w:line="240" w:lineRule="auto"/>
      <w:jc w:val="center"/>
    </w:pPr>
    <w:rPr>
      <w:rFonts w:eastAsia="Times New Roman"/>
      <w:color w:val="0D0D0D" w:themeColor="text1" w:themeTint="F2"/>
      <w:sz w:val="21"/>
      <w14:textFill>
        <w14:solidFill>
          <w14:schemeClr w14:val="tx1">
            <w14:lumMod w14:val="95000"/>
            <w14:lumOff w14:val="5000"/>
          </w14:schemeClr>
        </w14:solidFill>
      </w14:textFill>
    </w:rPr>
  </w:style>
  <w:style w:type="character" w:customStyle="1" w:styleId="86">
    <w:name w:val="00 图片格式 字符"/>
    <w:basedOn w:val="32"/>
    <w:link w:val="85"/>
    <w:autoRedefine/>
    <w:qFormat/>
    <w:uiPriority w:val="0"/>
    <w:rPr>
      <w:rFonts w:ascii="仿宋" w:hAnsi="仿宋" w:eastAsia="Times New Roman"/>
      <w:color w:val="0D0D0D" w:themeColor="text1" w:themeTint="F2"/>
      <w:sz w:val="21"/>
      <w:szCs w:val="22"/>
      <w14:textFill>
        <w14:solidFill>
          <w14:schemeClr w14:val="tx1">
            <w14:lumMod w14:val="95000"/>
            <w14:lumOff w14:val="5000"/>
          </w14:schemeClr>
        </w14:solidFill>
      </w14:textFill>
      <w14:ligatures w14:val="none"/>
    </w:rPr>
  </w:style>
  <w:style w:type="paragraph" w:customStyle="1" w:styleId="87">
    <w:name w:val="样式 (符号) 宋体 四号"/>
    <w:basedOn w:val="1"/>
    <w:autoRedefine/>
    <w:qFormat/>
    <w:uiPriority w:val="0"/>
    <w:pPr>
      <w:ind w:firstLine="200" w:firstLineChars="200"/>
    </w:pPr>
    <w:rPr>
      <w:rFonts w:hint="eastAsia" w:hAnsi="宋体" w:cs="Times New Roman"/>
      <w:szCs w:val="28"/>
    </w:rPr>
  </w:style>
  <w:style w:type="paragraph" w:customStyle="1" w:styleId="88">
    <w:name w:val="Table Paragraph"/>
    <w:basedOn w:val="1"/>
    <w:autoRedefine/>
    <w:qFormat/>
    <w:uiPriority w:val="1"/>
    <w:pPr>
      <w:autoSpaceDE w:val="0"/>
      <w:autoSpaceDN w:val="0"/>
      <w:ind w:left="103"/>
      <w:jc w:val="left"/>
    </w:pPr>
    <w:rPr>
      <w:rFonts w:hint="eastAsia" w:cs="Times New Roman"/>
      <w:szCs w:val="28"/>
    </w:rPr>
  </w:style>
  <w:style w:type="paragraph" w:customStyle="1" w:styleId="89">
    <w:name w:val="表格"/>
    <w:basedOn w:val="1"/>
    <w:next w:val="90"/>
    <w:autoRedefine/>
    <w:qFormat/>
    <w:uiPriority w:val="0"/>
    <w:pPr>
      <w:spacing w:line="240" w:lineRule="atLeast"/>
      <w:ind w:firstLine="200"/>
      <w:jc w:val="center"/>
    </w:pPr>
    <w:rPr>
      <w:rFonts w:ascii="Arial" w:hAnsi="Arial" w:eastAsia="华文新魏" w:cs="Times New Roman"/>
      <w:szCs w:val="28"/>
    </w:rPr>
  </w:style>
  <w:style w:type="paragraph" w:customStyle="1" w:styleId="90">
    <w:name w:val="正文缩进1"/>
    <w:qFormat/>
    <w:uiPriority w:val="0"/>
    <w:pPr>
      <w:widowControl w:val="0"/>
      <w:spacing w:before="10" w:beforeLines="10" w:after="10" w:afterLines="10"/>
      <w:ind w:left="163" w:leftChars="63" w:firstLine="420"/>
      <w:jc w:val="both"/>
    </w:pPr>
    <w:rPr>
      <w:rFonts w:ascii="Arial" w:hAnsi="Arial" w:eastAsia="Cambria" w:cs="Arial"/>
      <w:kern w:val="2"/>
      <w:sz w:val="21"/>
      <w:szCs w:val="24"/>
      <w:lang w:val="en-US" w:eastAsia="zh-CN" w:bidi="ar-SA"/>
    </w:rPr>
  </w:style>
  <w:style w:type="paragraph" w:customStyle="1" w:styleId="91">
    <w:name w:val="Default"/>
    <w:autoRedefine/>
    <w:unhideWhenUsed/>
    <w:qFormat/>
    <w:uiPriority w:val="0"/>
    <w:pPr>
      <w:widowControl w:val="0"/>
      <w:autoSpaceDE w:val="0"/>
      <w:autoSpaceDN w:val="0"/>
      <w:adjustRightInd w:val="0"/>
    </w:pPr>
    <w:rPr>
      <w:rFonts w:ascii="宋体" w:hAnsi="Calibri" w:eastAsia="宋体" w:cs="Times New Roman"/>
      <w:color w:val="000000"/>
      <w:kern w:val="2"/>
      <w:sz w:val="24"/>
      <w:szCs w:val="24"/>
      <w:lang w:val="en-US" w:eastAsia="zh-CN" w:bidi="ar-SA"/>
    </w:rPr>
  </w:style>
  <w:style w:type="paragraph" w:customStyle="1" w:styleId="92">
    <w:name w:val="z正文2"/>
    <w:basedOn w:val="1"/>
    <w:autoRedefine/>
    <w:qFormat/>
    <w:uiPriority w:val="0"/>
    <w:pPr>
      <w:widowControl/>
      <w:spacing w:before="120" w:after="120" w:line="500" w:lineRule="exact"/>
      <w:ind w:right="100" w:rightChars="100"/>
      <w:jc w:val="left"/>
    </w:pPr>
    <w:rPr>
      <w:rFonts w:hint="eastAsia" w:ascii="宋体" w:hAnsi="宋体" w:cs="Times New Roman"/>
      <w:kern w:val="0"/>
      <w:sz w:val="24"/>
      <w:szCs w:val="24"/>
    </w:rPr>
  </w:style>
  <w:style w:type="paragraph" w:customStyle="1" w:styleId="93">
    <w:name w:val="24方案 表格表名"/>
    <w:basedOn w:val="1"/>
    <w:autoRedefine/>
    <w:qFormat/>
    <w:uiPriority w:val="0"/>
    <w:pPr>
      <w:spacing w:line="360" w:lineRule="exact"/>
      <w:jc w:val="center"/>
    </w:pPr>
    <w:rPr>
      <w:rFonts w:hint="eastAsia" w:eastAsia="宋体" w:cs="Times New Roman"/>
      <w:b/>
      <w:color w:val="0D0D0D"/>
      <w:sz w:val="24"/>
      <w:szCs w:val="24"/>
    </w:rPr>
  </w:style>
  <w:style w:type="paragraph" w:customStyle="1" w:styleId="94">
    <w:name w:val="25 方案表格正文"/>
    <w:basedOn w:val="1"/>
    <w:autoRedefine/>
    <w:qFormat/>
    <w:uiPriority w:val="0"/>
    <w:pPr>
      <w:spacing w:line="360" w:lineRule="exact"/>
    </w:pPr>
    <w:rPr>
      <w:rFonts w:hint="eastAsia" w:eastAsia="宋体" w:cs="Times New Roman"/>
      <w:color w:val="262626"/>
      <w:szCs w:val="28"/>
    </w:rPr>
  </w:style>
  <w:style w:type="paragraph" w:customStyle="1" w:styleId="95">
    <w:name w:val="列表标题"/>
    <w:basedOn w:val="96"/>
    <w:qFormat/>
    <w:uiPriority w:val="0"/>
    <w:pPr>
      <w:wordWrap/>
      <w:autoSpaceDE/>
      <w:autoSpaceDN/>
    </w:pPr>
    <w:rPr>
      <w:rFonts w:hAnsi="Calibri" w:cs="Times New Roman"/>
      <w:b/>
      <w:kern w:val="2"/>
      <w:szCs w:val="24"/>
      <w:lang w:eastAsia="zh-CN"/>
    </w:rPr>
  </w:style>
  <w:style w:type="paragraph" w:customStyle="1" w:styleId="96">
    <w:name w:val="列表正文"/>
    <w:basedOn w:val="23"/>
    <w:qFormat/>
    <w:uiPriority w:val="0"/>
    <w:pPr>
      <w:wordWrap w:val="0"/>
      <w:autoSpaceDE w:val="0"/>
      <w:autoSpaceDN w:val="0"/>
      <w:spacing w:before="0" w:beforeLines="0" w:after="0" w:afterLines="0" w:line="240" w:lineRule="auto"/>
      <w:ind w:left="0" w:firstLine="0" w:firstLineChars="0"/>
      <w:jc w:val="center"/>
    </w:pPr>
    <w:rPr>
      <w:rFonts w:ascii="Times New Roman" w:hAnsi="方正书宋_GBK" w:eastAsia="宋体" w:cs="方正书宋_GBK"/>
      <w:kern w:val="0"/>
      <w:sz w:val="21"/>
      <w:lang w:eastAsia="en-US"/>
    </w:rPr>
  </w:style>
  <w:style w:type="table" w:customStyle="1" w:styleId="97">
    <w:name w:val="网格型50"/>
    <w:basedOn w:val="30"/>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paragraph" w:customStyle="1" w:styleId="98">
    <w:name w:val="表格样式"/>
    <w:basedOn w:val="1"/>
    <w:autoRedefine/>
    <w:qFormat/>
    <w:uiPriority w:val="0"/>
    <w:pPr>
      <w:adjustRightInd w:val="0"/>
      <w:snapToGrid w:val="0"/>
      <w:spacing w:line="240" w:lineRule="atLeast"/>
      <w:jc w:val="center"/>
    </w:pPr>
    <w:rPr>
      <w:rFonts w:hint="eastAsia" w:eastAsia="宋体" w:cs="Times New Roman"/>
      <w:color w:val="000000"/>
      <w:kern w:val="0"/>
      <w:sz w:val="24"/>
      <w:szCs w:val="24"/>
    </w:rPr>
  </w:style>
  <w:style w:type="paragraph" w:customStyle="1" w:styleId="99">
    <w:name w:val="Table Text"/>
    <w:basedOn w:val="1"/>
    <w:autoRedefine/>
    <w:hidden/>
    <w:qFormat/>
    <w:uiPriority w:val="0"/>
    <w:rPr>
      <w:rFonts w:hint="eastAsia" w:ascii="宋体" w:hAnsi="宋体" w:eastAsia="宋体" w:cs="Times New Roman"/>
      <w:sz w:val="18"/>
      <w:szCs w:val="18"/>
    </w:rPr>
  </w:style>
  <w:style w:type="table" w:customStyle="1" w:styleId="100">
    <w:name w:val="Table Normal"/>
    <w:basedOn w:val="30"/>
    <w:autoRedefine/>
    <w:qFormat/>
    <w:uiPriority w:val="2"/>
    <w:tblPr>
      <w:tblCellMar>
        <w:left w:w="0" w:type="dxa"/>
        <w:right w:w="0" w:type="dxa"/>
      </w:tblCellMar>
    </w:tblPr>
  </w:style>
  <w:style w:type="character" w:customStyle="1" w:styleId="101">
    <w:name w:val="正文文本 字符"/>
    <w:basedOn w:val="32"/>
    <w:link w:val="12"/>
    <w:qFormat/>
    <w:uiPriority w:val="1"/>
    <w:rPr>
      <w:rFonts w:ascii="仿宋" w:hAnsi="仿宋" w:eastAsia="仿宋"/>
      <w:kern w:val="2"/>
      <w:sz w:val="28"/>
      <w:szCs w:val="28"/>
    </w:rPr>
  </w:style>
  <w:style w:type="character" w:customStyle="1" w:styleId="102">
    <w:name w:val="未处理的提及1"/>
    <w:basedOn w:val="32"/>
    <w:semiHidden/>
    <w:unhideWhenUsed/>
    <w:qFormat/>
    <w:uiPriority w:val="99"/>
    <w:rPr>
      <w:color w:val="605E5C"/>
      <w:shd w:val="clear" w:color="auto" w:fill="E1DFDD"/>
    </w:rPr>
  </w:style>
  <w:style w:type="character" w:customStyle="1" w:styleId="103">
    <w:name w:val="font71"/>
    <w:basedOn w:val="32"/>
    <w:qFormat/>
    <w:uiPriority w:val="0"/>
    <w:rPr>
      <w:rFonts w:ascii="宋体" w:hAnsi="宋体" w:eastAsia="宋体" w:cs="宋体"/>
      <w:color w:val="000000"/>
      <w:sz w:val="70"/>
      <w:szCs w:val="70"/>
      <w:u w:val="none"/>
    </w:rPr>
  </w:style>
  <w:style w:type="character" w:customStyle="1" w:styleId="104">
    <w:name w:val="font81"/>
    <w:basedOn w:val="32"/>
    <w:qFormat/>
    <w:uiPriority w:val="0"/>
    <w:rPr>
      <w:rFonts w:ascii="宋体" w:hAnsi="宋体" w:eastAsia="宋体" w:cs="宋体"/>
      <w:color w:val="000000"/>
      <w:sz w:val="28"/>
      <w:szCs w:val="28"/>
      <w:u w:val="none"/>
    </w:rPr>
  </w:style>
  <w:style w:type="character" w:customStyle="1" w:styleId="105">
    <w:name w:val="font91"/>
    <w:basedOn w:val="32"/>
    <w:qFormat/>
    <w:uiPriority w:val="0"/>
    <w:rPr>
      <w:rFonts w:ascii="宋体" w:hAnsi="宋体" w:eastAsia="宋体" w:cs="宋体"/>
      <w:color w:val="000000"/>
      <w:sz w:val="42"/>
      <w:szCs w:val="42"/>
      <w:u w:val="none"/>
    </w:rPr>
  </w:style>
  <w:style w:type="character" w:customStyle="1" w:styleId="106">
    <w:name w:val="font101"/>
    <w:basedOn w:val="32"/>
    <w:qFormat/>
    <w:uiPriority w:val="0"/>
    <w:rPr>
      <w:rFonts w:ascii="Arial" w:hAnsi="Arial" w:cs="Arial"/>
      <w:color w:val="000000"/>
      <w:sz w:val="22"/>
      <w:szCs w:val="22"/>
      <w:u w:val="none"/>
    </w:rPr>
  </w:style>
  <w:style w:type="character" w:customStyle="1" w:styleId="107">
    <w:name w:val="font112"/>
    <w:basedOn w:val="32"/>
    <w:qFormat/>
    <w:uiPriority w:val="0"/>
    <w:rPr>
      <w:rFonts w:hint="default" w:ascii="Arial" w:hAnsi="Arial" w:cs="Arial"/>
      <w:color w:val="000000"/>
      <w:sz w:val="10"/>
      <w:szCs w:val="10"/>
      <w:u w:val="none"/>
    </w:rPr>
  </w:style>
  <w:style w:type="character" w:customStyle="1" w:styleId="108">
    <w:name w:val="font121"/>
    <w:basedOn w:val="32"/>
    <w:qFormat/>
    <w:uiPriority w:val="0"/>
    <w:rPr>
      <w:rFonts w:ascii="宋体" w:hAnsi="宋体" w:eastAsia="宋体" w:cs="宋体"/>
      <w:color w:val="000000"/>
      <w:sz w:val="52"/>
      <w:szCs w:val="52"/>
      <w:u w:val="none"/>
    </w:rPr>
  </w:style>
  <w:style w:type="character" w:customStyle="1" w:styleId="109">
    <w:name w:val="font131"/>
    <w:basedOn w:val="32"/>
    <w:qFormat/>
    <w:uiPriority w:val="0"/>
    <w:rPr>
      <w:rFonts w:ascii="宋体" w:hAnsi="宋体" w:eastAsia="宋体" w:cs="宋体"/>
      <w:color w:val="000000"/>
      <w:sz w:val="6"/>
      <w:szCs w:val="6"/>
      <w:u w:val="none"/>
    </w:rPr>
  </w:style>
  <w:style w:type="character" w:customStyle="1" w:styleId="110">
    <w:name w:val="font141"/>
    <w:basedOn w:val="32"/>
    <w:qFormat/>
    <w:uiPriority w:val="0"/>
    <w:rPr>
      <w:rFonts w:ascii="宋体" w:hAnsi="宋体" w:eastAsia="宋体" w:cs="宋体"/>
      <w:color w:val="000000"/>
      <w:sz w:val="68"/>
      <w:szCs w:val="68"/>
      <w:u w:val="none"/>
    </w:rPr>
  </w:style>
  <w:style w:type="character" w:customStyle="1" w:styleId="111">
    <w:name w:val="font31"/>
    <w:basedOn w:val="32"/>
    <w:qFormat/>
    <w:uiPriority w:val="0"/>
    <w:rPr>
      <w:rFonts w:ascii="宋体" w:hAnsi="宋体" w:eastAsia="宋体" w:cs="宋体"/>
      <w:color w:val="000000"/>
      <w:sz w:val="68"/>
      <w:szCs w:val="68"/>
      <w:u w:val="none"/>
    </w:rPr>
  </w:style>
  <w:style w:type="paragraph" w:customStyle="1" w:styleId="112">
    <w:name w:val="表头文字"/>
    <w:next w:val="1"/>
    <w:qFormat/>
    <w:uiPriority w:val="0"/>
    <w:pPr>
      <w:widowControl w:val="0"/>
      <w:spacing w:before="10" w:beforeLines="10" w:after="10" w:afterLines="10" w:line="360" w:lineRule="auto"/>
      <w:jc w:val="center"/>
    </w:pPr>
    <w:rPr>
      <w:rFonts w:hint="eastAsia" w:ascii="Times New Roman" w:hAnsi="Times New Roman" w:eastAsia="仿宋" w:cs="Times New Roman"/>
      <w:b/>
      <w:kern w:val="2"/>
      <w:sz w:val="28"/>
      <w:lang w:val="en-US" w:eastAsia="zh-CN" w:bidi="ar-SA"/>
    </w:rPr>
  </w:style>
  <w:style w:type="paragraph" w:customStyle="1" w:styleId="113">
    <w:name w:val="cucd-TB"/>
    <w:qFormat/>
    <w:uiPriority w:val="0"/>
    <w:pPr>
      <w:spacing w:line="360" w:lineRule="auto"/>
      <w:jc w:val="center"/>
    </w:pPr>
    <w:rPr>
      <w:rFonts w:ascii="Times New Roman" w:hAnsi="Times New Roman" w:eastAsia="宋体" w:cs="Times New Roman"/>
      <w:kern w:val="2"/>
      <w:sz w:val="21"/>
      <w:szCs w:val="24"/>
      <w:lang w:val="en-US" w:eastAsia="zh-CN" w:bidi="ar-SA"/>
    </w:rPr>
  </w:style>
  <w:style w:type="character" w:customStyle="1" w:styleId="114">
    <w:name w:val="fontstyle01"/>
    <w:basedOn w:val="32"/>
    <w:qFormat/>
    <w:uiPriority w:val="0"/>
    <w:rPr>
      <w:rFonts w:ascii="宋体" w:hAnsi="宋体" w:eastAsia="宋体" w:cs="宋体"/>
      <w:color w:val="000000"/>
      <w:sz w:val="28"/>
      <w:szCs w:val="28"/>
    </w:rPr>
  </w:style>
  <w:style w:type="character" w:customStyle="1" w:styleId="115">
    <w:name w:val="未处理的提及2"/>
    <w:basedOn w:val="32"/>
    <w:semiHidden/>
    <w:unhideWhenUsed/>
    <w:qFormat/>
    <w:uiPriority w:val="99"/>
    <w:rPr>
      <w:color w:val="605E5C"/>
      <w:shd w:val="clear" w:color="auto" w:fill="E1DFDD"/>
    </w:rPr>
  </w:style>
  <w:style w:type="character" w:customStyle="1" w:styleId="116">
    <w:name w:val="未处理的提及3"/>
    <w:basedOn w:val="32"/>
    <w:semiHidden/>
    <w:unhideWhenUsed/>
    <w:qFormat/>
    <w:uiPriority w:val="99"/>
    <w:rPr>
      <w:color w:val="605E5C"/>
      <w:shd w:val="clear" w:color="auto" w:fill="E1DFDD"/>
    </w:rPr>
  </w:style>
  <w:style w:type="character" w:customStyle="1" w:styleId="117">
    <w:name w:val="Unresolved Mention"/>
    <w:basedOn w:val="3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1.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2" Type="http://schemas.openxmlformats.org/officeDocument/2006/relationships/fontTable" Target="fontTable.xml"/><Relationship Id="rId31" Type="http://schemas.openxmlformats.org/officeDocument/2006/relationships/customXml" Target="../customXml/item3.xml"/><Relationship Id="rId30" Type="http://schemas.openxmlformats.org/officeDocument/2006/relationships/customXml" Target="../customXml/item2.xml"/><Relationship Id="rId3" Type="http://schemas.openxmlformats.org/officeDocument/2006/relationships/footnotes" Target="footnotes.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16.png"/><Relationship Id="rId26" Type="http://schemas.openxmlformats.org/officeDocument/2006/relationships/image" Target="media/image15.png"/><Relationship Id="rId25" Type="http://schemas.openxmlformats.org/officeDocument/2006/relationships/image" Target="media/image14.png"/><Relationship Id="rId24" Type="http://schemas.openxmlformats.org/officeDocument/2006/relationships/image" Target="media/image13.jpeg"/><Relationship Id="rId23" Type="http://schemas.openxmlformats.org/officeDocument/2006/relationships/image" Target="media/image12.png"/><Relationship Id="rId22" Type="http://schemas.openxmlformats.org/officeDocument/2006/relationships/image" Target="media/image11.png"/><Relationship Id="rId21" Type="http://schemas.openxmlformats.org/officeDocument/2006/relationships/image" Target="media/image10.png"/><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jpeg"/><Relationship Id="rId18" Type="http://schemas.openxmlformats.org/officeDocument/2006/relationships/image" Target="media/image7.jpeg"/><Relationship Id="rId17" Type="http://schemas.openxmlformats.org/officeDocument/2006/relationships/image" Target="media/image6.jpeg"/><Relationship Id="rId16" Type="http://schemas.openxmlformats.org/officeDocument/2006/relationships/image" Target="media/image5.jpeg"/><Relationship Id="rId15" Type="http://schemas.openxmlformats.org/officeDocument/2006/relationships/image" Target="media/image4.jpeg"/><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8c1aac74-8cee-4f42-94a4-2dc51f2e7971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18F8BFE7</paraID>
      <start>0</start>
      <end>2</end>
      <status>unmodified</status>
      <modifiedWord/>
      <trackRevisions>false</trackRevisions>
    </reviewItem>
    <reviewItem>
      <errorID>6b13df20-5631-4857-bdb0-cf90948b99de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5C3BE2E9</paraID>
      <start>0</start>
      <end>2</end>
      <status>unmodified</status>
      <modifiedWord/>
      <trackRevisions>false</trackRevisions>
    </reviewItem>
    <reviewItem>
      <errorID>a714cdd1-f0d4-4e94-b233-cb41976af77b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648DA0F1</paraID>
      <start>0</start>
      <end>2</end>
      <status>unmodified</status>
      <modifiedWord/>
      <trackRevisions>false</trackRevisions>
    </reviewItem>
    <reviewItem>
      <errorID>e66f39af-bb23-4c48-bce1-2f9188dcc8ce</errorID>
      <errorWord>费</errorWord>
      <group>L1_Word</group>
      <groupName>字词问题</groupName>
      <ability>L2_Typo</ability>
      <abilityName>字词错误</abilityName>
      <candidateList>
        <item>费用</item>
      </candidateList>
      <explain/>
      <paraID>23D39E23</paraID>
      <start>123</start>
      <end>124</end>
      <status>unmodified</status>
      <modifiedWord/>
      <trackRevisions>false</trackRevisions>
    </reviewItem>
    <reviewItem>
      <errorID>7274dc07-8330-479a-8038-e17608dc73ed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279AE07E</paraID>
      <start>0</start>
      <end>2</end>
      <status>unmodified</status>
      <modifiedWord/>
      <trackRevisions>false</trackRevisions>
    </reviewItem>
    <reviewItem>
      <errorID>257feb92-9259-47d5-b56e-fb4961e6be1b</errorID>
      <errorWord>维西县</errorWord>
      <group>L1_Knowledge</group>
      <groupName>知识性问题</groupName>
      <ability>L2_Location</ability>
      <abilityName>地名检查</abilityName>
      <candidateList>
        <item>维西傈僳族自治县</item>
      </candidateList>
      <explain>自治区州县缩写不规范。《地名管理条例》第十八条规定，标识牌、公共平台发布的信息、各类公文证件、学习类公开出版物、地图、法律法规规定等场景范围内必须使用标准地名。</explain>
      <paraID>7BA31444</paraID>
      <start>61</start>
      <end>64</end>
      <status>unmodified</status>
      <modifiedWord/>
      <trackRevisions>false</trackRevisions>
    </reviewItem>
    <reviewItem>
      <errorID>a6f495df-0f87-4782-8e0f-61a258edad98</errorID>
      <errorWord>贡山县</errorWord>
      <group>L1_Knowledge</group>
      <groupName>知识性问题</groupName>
      <ability>L2_Location</ability>
      <abilityName>地名检查</abilityName>
      <candidateList>
        <item>贡山独龙族怒族自治县</item>
      </candidateList>
      <explain>自治区州县缩写不规范。《地名管理条例》第十八条规定，标识牌、公共平台发布的信息、各类公文证件、学习类公开出版物、地图、法律法规规定等场景范围内必须使用标准地名。</explain>
      <paraID>7BA31444</paraID>
      <start>81</start>
      <end>84</end>
      <status>unmodified</status>
      <modifiedWord/>
      <trackRevisions>false</trackRevisions>
    </reviewItem>
    <reviewItem>
      <errorID>10c5aa2b-f0e5-4074-8d0c-437549482d0a</errorID>
      <errorWord>(</errorWord>
      <group>L1_Format</group>
      <groupName>格式问题</groupName>
      <ability>L2_HalfPunc</ability>
      <abilityName>全半角检查</abilityName>
      <candidateList>
        <item>（</item>
      </candidateList>
      <explain>文本全半角错误。</explain>
      <paraID>17F0A1FA</paraID>
      <start>65</start>
      <end>66</end>
      <status>unmodified</status>
      <modifiedWord/>
      <trackRevisions>false</trackRevisions>
    </reviewItem>
    <reviewItem>
      <errorID>22380969-4497-4c23-bd73-7cb9af4f94f5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17F0A1FA</paraID>
      <start>70</start>
      <end>71</end>
      <status>unmodified</status>
      <modifiedWord/>
      <trackRevisions>false</trackRevisions>
    </reviewItem>
    <reviewItem>
      <errorID>35a5fd85-2ea6-4590-b5cc-75deb50d0b9b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AD4B9A5</paraID>
      <start>0</start>
      <end>2</end>
      <status>unmodified</status>
      <modifiedWord/>
      <trackRevisions>false</trackRevisions>
    </reviewItem>
    <reviewItem>
      <errorID>119a4b41-40b9-455a-a210-9948e1062166</errorID>
      <errorWord>(</errorWord>
      <group>L1_Format</group>
      <groupName>格式问题</groupName>
      <ability>L2_HalfPunc</ability>
      <abilityName>全半角检查</abilityName>
      <candidateList>
        <item>（</item>
      </candidateList>
      <explain>文本全半角错误。</explain>
      <paraID>1A078E08</paraID>
      <start>3</start>
      <end>4</end>
      <status>unmodified</status>
      <modifiedWord/>
      <trackRevisions>false</trackRevisions>
    </reviewItem>
    <reviewItem>
      <errorID>694fdbd1-333f-44f6-a246-e4e2e2ba3646</errorID>
      <errorWord>(</errorWord>
      <group>L1_Format</group>
      <groupName>格式问题</groupName>
      <ability>L2_HalfPunc</ability>
      <abilityName>全半角检查</abilityName>
      <candidateList>
        <item>（</item>
      </candidateList>
      <explain>文本全半角错误。</explain>
      <paraID>2EE076BA</paraID>
      <start>4</start>
      <end>5</end>
      <status>unmodified</status>
      <modifiedWord/>
      <trackRevisions>false</trackRevisions>
    </reviewItem>
    <reviewItem>
      <errorID>3ed7a9ca-9fd0-4d5d-8746-5f74dd909af8</errorID>
      <errorWord>县城融媒体中心</errorWord>
      <group>L1_Political</group>
      <groupName>政治性问题</groupName>
      <ability>L2_Keyword</ability>
      <abilityName>固定表述</abilityName>
      <candidateList>
        <item>县级融媒体中心</item>
      </candidateList>
      <explain>词汇“县级融媒体中心”在特定场景下为固定表述形式，请确认此处的“县城融媒体中心”是否存在不当。</explain>
      <paraID>284D5F5E</paraID>
      <start>3</start>
      <end>10</end>
      <status>unmodified</status>
      <modifiedWord/>
      <trackRevisions>false</trackRevisions>
    </reviewItem>
    <reviewItem>
      <errorID>6cc9c510-cc58-4364-8717-9938e9888086</errorID>
      <errorWord>-</errorWord>
      <group>L1_Format</group>
      <groupName>格式问题</groupName>
      <ability>L2_HalfPunc</ability>
      <abilityName>全半角检查</abilityName>
      <candidateList>
        <item>－</item>
      </candidateList>
      <explain>文本全半角错误。</explain>
      <paraID>618EE7C7</paraID>
      <start>14</start>
      <end>15</end>
      <status>unmodified</status>
      <modifiedWord/>
      <trackRevisions>false</trackRevisions>
    </reviewItem>
    <reviewItem>
      <errorID>f476dd37-9bd8-49f1-bc46-bf771cbd97e9</errorID>
      <errorWord>-</errorWord>
      <group>L1_Format</group>
      <groupName>格式问题</groupName>
      <ability>L2_HalfPunc</ability>
      <abilityName>全半角检查</abilityName>
      <candidateList>
        <item>－</item>
      </candidateList>
      <explain>文本全半角错误。</explain>
      <paraID>5BAB84AA</paraID>
      <start>14</start>
      <end>15</end>
      <status>unmodified</status>
      <modifiedWord/>
      <trackRevisions>false</trackRevisions>
    </reviewItem>
    <reviewItem>
      <errorID>169111c5-1d70-4e0c-bd98-446c79ec0ea7</errorID>
      <errorWord>-</errorWord>
      <group>L1_Format</group>
      <groupName>格式问题</groupName>
      <ability>L2_HalfPunc</ability>
      <abilityName>全半角检查</abilityName>
      <candidateList>
        <item>－</item>
      </candidateList>
      <explain>文本全半角错误。</explain>
      <paraID> 15BB062</paraID>
      <start>14</start>
      <end>15</end>
      <status>unmodified</status>
      <modifiedWord/>
      <trackRevisions>false</trackRevisions>
    </reviewItem>
    <reviewItem>
      <errorID>2e6f3a59-faaf-4fe9-acce-5a14e058c4e0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7AFFBB09</paraID>
      <start>0</start>
      <end>2</end>
      <status>unmodified</status>
      <modifiedWord/>
      <trackRevisions>false</trackRevisions>
    </reviewItem>
    <reviewItem>
      <errorID>e688bc33-24ef-49f7-b12a-22c8c4c923e4</errorID>
      <errorWord>座</errorWord>
      <group>L1_Knowledge</group>
      <groupName>知识性问题</groupName>
      <ability>L2_Knowledge</ability>
      <abilityName>其他知识</abilityName>
      <candidateList>
        <item>栋</item>
      </candidateList>
      <explain>请检查“座”是否为量词使用错误，建议修改为“栋”。</explain>
      <paraID>432C9E1B</paraID>
      <start>27</start>
      <end>28</end>
      <status>unmodified</status>
      <modifiedWord/>
      <trackRevisions>false</trackRevisions>
    </reviewItem>
    <reviewItem>
      <errorID>1855e2ad-03c5-49ae-be9d-dfd787acff40</errorID>
      <errorWord>座</errorWord>
      <group>L1_Knowledge</group>
      <groupName>知识性问题</groupName>
      <ability>L2_Knowledge</ability>
      <abilityName>其他知识</abilityName>
      <candidateList>
        <item>栋</item>
      </candidateList>
      <explain>请检查“座”是否为量词使用错误，建议修改为“栋”。</explain>
      <paraID>21BA47C1</paraID>
      <start>5</start>
      <end>6</end>
      <status>unmodified</status>
      <modifiedWord/>
      <trackRevisions>false</trackRevisions>
    </reviewItem>
    <reviewItem>
      <errorID>527a6698-6b50-450d-b90e-d794866fdc00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2D547F69</paraID>
      <start>0</start>
      <end>2</end>
      <status>unmodified</status>
      <modifiedWord/>
      <trackRevisions>false</trackRevisions>
    </reviewItem>
    <reviewItem>
      <errorID>cb88fecb-7ee8-4eb7-aef8-f267db7784c9</errorID>
      <errorWord>扰度</errorWord>
      <group>L1_Word</group>
      <groupName>字词问题</groupName>
      <ability>L2_Typo</ability>
      <abilityName>字词错误</abilityName>
      <candidateList>
        <item>挠度</item>
      </candidateList>
      <explain/>
      <paraID>3D12D749</paraID>
      <start>18</start>
      <end>20</end>
      <status>unmodified</status>
      <modifiedWord/>
      <trackRevisions>false</trackRevisions>
    </reviewItem>
    <reviewItem>
      <errorID>2beb69c1-9f63-46b6-a0a0-c36718f6df42</errorID>
      <errorWord>恒载</errorWord>
      <group>L1_Word</group>
      <groupName>字词问题</groupName>
      <ability>L2_Typo</ability>
      <abilityName>字词错误</abilityName>
      <candidateList>
        <item>承载</item>
      </candidateList>
      <explain/>
      <paraID>31EF34D4</paraID>
      <start>2</start>
      <end>4</end>
      <status>unmodified</status>
      <modifiedWord/>
      <trackRevisions>false</trackRevisions>
    </reviewItem>
    <reviewItem>
      <errorID>fae36059-7fa9-443a-a265-37442d88718f</errorID>
      <errorWord>活载标准值</errorWord>
      <group>L1_Knowledge</group>
      <groupName>知识性问题</groupName>
      <ability>L2_Term</ability>
      <abilityName>专业术语</abilityName>
      <candidateList>
        <item>荷载标准值</item>
      </candidateList>
      <explain/>
      <paraID> 9FF9057</paraID>
      <start>2</start>
      <end>7</end>
      <status>unmodified</status>
      <modifiedWord/>
      <trackRevisions>false</trackRevisions>
    </reviewItem>
    <reviewItem>
      <errorID>e14cdefb-5603-47b7-9b40-b705a6130b36</errorID>
      <errorWord>刚架</errorWord>
      <group>L1_Word</group>
      <groupName>字词问题</groupName>
      <ability>L2_Typo</ability>
      <abilityName>字词错误</abilityName>
      <candidateList>
        <item>钢架</item>
      </candidateList>
      <explain/>
      <paraID>71FB8C47</paraID>
      <start>2</start>
      <end>4</end>
      <status>unmodified</status>
      <modifiedWord/>
      <trackRevisions>false</trackRevisions>
    </reviewItem>
    <reviewItem>
      <errorID>478b7640-77d6-4afe-a5d3-538fac1020dd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4C5DC230</paraID>
      <start>0</start>
      <end>2</end>
      <status>unmodified</status>
      <modifiedWord/>
      <trackRevisions>false</trackRevisions>
    </reviewItem>
    <reviewItem>
      <errorID>d398cd25-e9a8-4b42-a46d-a5ad8be75b86</errorID>
      <errorWord>生活给水</errorWord>
      <group>L1_Knowledge</group>
      <groupName>知识性问题</groupName>
      <ability>L2_Term</ability>
      <abilityName>专业术语</abilityName>
      <candidateList>
        <item>生活污水</item>
      </candidateList>
      <explain/>
      <paraID> D8AFCBD</paraID>
      <start>3</start>
      <end>7</end>
      <status>unmodified</status>
      <modifiedWord/>
      <trackRevisions>false</trackRevisions>
    </reviewItem>
    <reviewItem>
      <errorID>3f7e6fdd-43a8-478f-8ac0-957a9f32974d</errorID>
      <errorWord>(</errorWord>
      <group>L1_Format</group>
      <groupName>格式问题</groupName>
      <ability>L2_HalfPunc</ability>
      <abilityName>全半角检查</abilityName>
      <candidateList>
        <item>（</item>
      </candidateList>
      <explain>文本全半角错误。</explain>
      <paraID>4A5BA310</paraID>
      <start>3</start>
      <end>4</end>
      <status>unmodified</status>
      <modifiedWord/>
      <trackRevisions>false</trackRevisions>
    </reviewItem>
    <reviewItem>
      <errorID>191fc96c-0d9e-44a2-84ac-385bb5e617bf</errorID>
      <errorWord>(</errorWord>
      <group>L1_Format</group>
      <groupName>格式问题</groupName>
      <ability>L2_HalfPunc</ability>
      <abilityName>全半角检查</abilityName>
      <candidateList>
        <item>（</item>
      </candidateList>
      <explain>文本全半角错误。</explain>
      <paraID>21ACB3E6</paraID>
      <start>3</start>
      <end>4</end>
      <status>unmodified</status>
      <modifiedWord/>
      <trackRevisions>false</trackRevisions>
    </reviewItem>
    <reviewItem>
      <errorID>5436f620-eed1-4bd7-8b33-1bae3d5ca658</errorID>
      <errorWord>(</errorWord>
      <group>L1_Format</group>
      <groupName>格式问题</groupName>
      <ability>L2_HalfPunc</ability>
      <abilityName>全半角检查</abilityName>
      <candidateList>
        <item>（</item>
      </candidateList>
      <explain>文本全半角错误。</explain>
      <paraID>19D4A506</paraID>
      <start>5</start>
      <end>6</end>
      <status>unmodified</status>
      <modifiedWord/>
      <trackRevisions>false</trackRevisions>
    </reviewItem>
    <reviewItem>
      <errorID>9713c8b8-d434-49ed-86b7-1c56e1a8a374</errorID>
      <errorWord>.</errorWord>
      <group>L1_Format</group>
      <groupName>格式问题</groupName>
      <ability>L2_HalfPunc</ability>
      <abilityName>全半角检查</abilityName>
      <candidateList>
        <item>。</item>
      </candidateList>
      <explain>文本全半角错误。</explain>
      <paraID>19D4A506</paraID>
      <start>7</start>
      <end>8</end>
      <status>unmodified</status>
      <modifiedWord/>
      <trackRevisions>false</trackRevisions>
    </reviewItem>
    <reviewItem>
      <errorID>36b7c5c2-31a3-4042-bbb0-128804799a4f</errorID>
      <errorWord>(</errorWord>
      <group>L1_Format</group>
      <groupName>格式问题</groupName>
      <ability>L2_HalfPunc</ability>
      <abilityName>全半角检查</abilityName>
      <candidateList>
        <item>（</item>
      </candidateList>
      <explain>文本全半角错误。</explain>
      <paraID>4F8EBC19</paraID>
      <start>5</start>
      <end>6</end>
      <status>unmodified</status>
      <modifiedWord/>
      <trackRevisions>false</trackRevisions>
    </reviewItem>
    <reviewItem>
      <errorID>f10c825f-366a-4baa-84b4-79311cbdc31b</errorID>
      <errorWord>.</errorWord>
      <group>L1_Format</group>
      <groupName>格式问题</groupName>
      <ability>L2_HalfPunc</ability>
      <abilityName>全半角检查</abilityName>
      <candidateList>
        <item>。</item>
      </candidateList>
      <explain>文本全半角错误。</explain>
      <paraID>4F8EBC19</paraID>
      <start>7</start>
      <end>8</end>
      <status>unmodified</status>
      <modifiedWord/>
      <trackRevisions>false</trackRevisions>
    </reviewItem>
    <reviewItem>
      <errorID>31ccb629-c3e6-4ae5-a819-6769eda4ad7e</errorID>
      <errorWord>(</errorWord>
      <group>L1_Format</group>
      <groupName>格式问题</groupName>
      <ability>L2_HalfPunc</ability>
      <abilityName>全半角检查</abilityName>
      <candidateList>
        <item>（</item>
      </candidateList>
      <explain>文本全半角错误。</explain>
      <paraID>6A5B600B</paraID>
      <start>5</start>
      <end>6</end>
      <status>unmodified</status>
      <modifiedWord/>
      <trackRevisions>false</trackRevisions>
    </reviewItem>
    <reviewItem>
      <errorID>dea5201b-446c-4586-9d6f-2db2f2d0953f</errorID>
      <errorWord>.</errorWord>
      <group>L1_Format</group>
      <groupName>格式问题</groupName>
      <ability>L2_HalfPunc</ability>
      <abilityName>全半角检查</abilityName>
      <candidateList>
        <item>。</item>
      </candidateList>
      <explain>文本全半角错误。</explain>
      <paraID>6A5B600B</paraID>
      <start>7</start>
      <end>8</end>
      <status>unmodified</status>
      <modifiedWord/>
      <trackRevisions>false</trackRevisions>
    </reviewItem>
    <reviewItem>
      <errorID>b394a884-a97e-4585-91d3-4d3866f2fbc0</errorID>
      <errorWord>(</errorWord>
      <group>L1_Format</group>
      <groupName>格式问题</groupName>
      <ability>L2_HalfPunc</ability>
      <abilityName>全半角检查</abilityName>
      <candidateList>
        <item>（</item>
      </candidateList>
      <explain>文本全半角错误。</explain>
      <paraID>73A4BAA2</paraID>
      <start>4</start>
      <end>5</end>
      <status>unmodified</status>
      <modifiedWord/>
      <trackRevisions>false</trackRevisions>
    </reviewItem>
    <reviewItem>
      <errorID>84eb137d-9957-49ac-850c-ca6e2a96e2de</errorID>
      <errorWord>(</errorWord>
      <group>L1_Format</group>
      <groupName>格式问题</groupName>
      <ability>L2_HalfPunc</ability>
      <abilityName>全半角检查</abilityName>
      <candidateList>
        <item>（</item>
      </candidateList>
      <explain>文本全半角错误。</explain>
      <paraID> F870F59</paraID>
      <start>4</start>
      <end>5</end>
      <status>unmodified</status>
      <modifiedWord/>
      <trackRevisions>false</trackRevisions>
    </reviewItem>
    <reviewItem>
      <errorID>826fcf20-e2c2-410a-9be9-31489c759fac</errorID>
      <errorWord>(</errorWord>
      <group>L1_Format</group>
      <groupName>格式问题</groupName>
      <ability>L2_HalfPunc</ability>
      <abilityName>全半角检查</abilityName>
      <candidateList>
        <item>（</item>
      </candidateList>
      <explain>文本全半角错误。</explain>
      <paraID>2C5CF10A</paraID>
      <start>4</start>
      <end>5</end>
      <status>unmodified</status>
      <modifiedWord/>
      <trackRevisions>false</trackRevisions>
    </reviewItem>
    <reviewItem>
      <errorID>8c4c6416-0e01-4af2-b313-97cd4754ad5a</errorID>
      <errorWord>(</errorWord>
      <group>L1_Format</group>
      <groupName>格式问题</groupName>
      <ability>L2_HalfPunc</ability>
      <abilityName>全半角检查</abilityName>
      <candidateList>
        <item>（</item>
      </candidateList>
      <explain>文本全半角错误。</explain>
      <paraID>626214AE</paraID>
      <start>4</start>
      <end>5</end>
      <status>unmodified</status>
      <modifiedWord/>
      <trackRevisions>false</trackRevisions>
    </reviewItem>
    <reviewItem>
      <errorID>3c34013f-6c21-4287-a396-7b028336930a</errorID>
      <errorWord>(</errorWord>
      <group>L1_Format</group>
      <groupName>格式问题</groupName>
      <ability>L2_HalfPunc</ability>
      <abilityName>全半角检查</abilityName>
      <candidateList>
        <item>（</item>
      </candidateList>
      <explain>文本全半角错误。</explain>
      <paraID>61661514</paraID>
      <start>4</start>
      <end>5</end>
      <status>unmodified</status>
      <modifiedWord/>
      <trackRevisions>false</trackRevisions>
    </reviewItem>
    <reviewItem>
      <errorID>d259ffad-bb46-40d2-9210-dd5e41ff8488</errorID>
      <errorWord>(</errorWord>
      <group>L1_Format</group>
      <groupName>格式问题</groupName>
      <ability>L2_HalfPunc</ability>
      <abilityName>全半角检查</abilityName>
      <candidateList>
        <item>（</item>
      </candidateList>
      <explain>文本全半角错误。</explain>
      <paraID>48A5E3FD</paraID>
      <start>4</start>
      <end>5</end>
      <status>unmodified</status>
      <modifiedWord/>
      <trackRevisions>false</trackRevisions>
    </reviewItem>
    <reviewItem>
      <errorID>3009b642-d571-4d0e-828f-2b3a2a599441</errorID>
      <errorWord>.</errorWord>
      <group>L1_Format</group>
      <groupName>格式问题</groupName>
      <ability>L2_HalfPunc</ability>
      <abilityName>全半角检查</abilityName>
      <candidateList>
        <item>。</item>
      </candidateList>
      <explain>文本全半角错误。</explain>
      <paraID>48A5E3FD</paraID>
      <start>7</start>
      <end>8</end>
      <status>unmodified</status>
      <modifiedWord/>
      <trackRevisions>false</trackRevisions>
    </reviewItem>
    <reviewItem>
      <errorID>b1072b6c-2b69-4344-8730-248da0668c24</errorID>
      <errorWord>(</errorWord>
      <group>L1_Format</group>
      <groupName>格式问题</groupName>
      <ability>L2_HalfPunc</ability>
      <abilityName>全半角检查</abilityName>
      <candidateList>
        <item>（</item>
      </candidateList>
      <explain>文本全半角错误。</explain>
      <paraID>5C171B45</paraID>
      <start>4</start>
      <end>5</end>
      <status>unmodified</status>
      <modifiedWord/>
      <trackRevisions>false</trackRevisions>
    </reviewItem>
    <reviewItem>
      <errorID>c855bb9c-f610-4a63-9956-a5fde34c46fa</errorID>
      <errorWord>.</errorWord>
      <group>L1_Format</group>
      <groupName>格式问题</groupName>
      <ability>L2_HalfPunc</ability>
      <abilityName>全半角检查</abilityName>
      <candidateList>
        <item>。</item>
      </candidateList>
      <explain>文本全半角错误。</explain>
      <paraID>5C171B45</paraID>
      <start>7</start>
      <end>8</end>
      <status>unmodified</status>
      <modifiedWord/>
      <trackRevisions>false</trackRevisions>
    </reviewItem>
    <reviewItem>
      <errorID>da488457-578e-45a6-94ba-ea44207eba19</errorID>
      <errorWord>（</errorWord>
      <group>L1_Format</group>
      <groupName>格式问题</groupName>
      <ability>L2_HalfPunc</ability>
      <abilityName>全半角检查</abilityName>
      <candidateList>
        <item>(</item>
      </candidateList>
      <explain>文本全半角错误。</explain>
      <paraID>3D36D2B9</paraID>
      <start>3</start>
      <end>4</end>
      <status>unmodified</status>
      <modifiedWord/>
      <trackRevisions>false</trackRevisions>
    </reviewItem>
    <reviewItem>
      <errorID>b78ea468-ff9f-425a-bf91-b728b3383baa</errorID>
      <errorWord>）</errorWord>
      <group>L1_Format</group>
      <groupName>格式问题</groupName>
      <ability>L2_HalfPunc</ability>
      <abilityName>全半角检查</abilityName>
      <candidateList>
        <item>)</item>
      </candidateList>
      <explain>文本全半角错误。</explain>
      <paraID>3D36D2B9</paraID>
      <start>7</start>
      <end>8</end>
      <status>unmodified</status>
      <modifiedWord/>
      <trackRevisions>false</trackRevisions>
    </reviewItem>
    <reviewItem>
      <errorID>3ae2291c-6ecd-46f7-b908-9306bcc06bb6</errorID>
      <errorWord>（</errorWord>
      <group>L1_Format</group>
      <groupName>格式问题</groupName>
      <ability>L2_HalfPunc</ability>
      <abilityName>全半角检查</abilityName>
      <candidateList>
        <item>(</item>
      </candidateList>
      <explain>文本全半角错误。</explain>
      <paraID>280E934E</paraID>
      <start>3</start>
      <end>4</end>
      <status>unmodified</status>
      <modifiedWord/>
      <trackRevisions>false</trackRevisions>
    </reviewItem>
    <reviewItem>
      <errorID>29a92c99-d75c-4a45-ab72-7898039edb50</errorID>
      <errorWord>）</errorWord>
      <group>L1_Format</group>
      <groupName>格式问题</groupName>
      <ability>L2_HalfPunc</ability>
      <abilityName>全半角检查</abilityName>
      <candidateList>
        <item>)</item>
      </candidateList>
      <explain>文本全半角错误。</explain>
      <paraID>280E934E</paraID>
      <start>7</start>
      <end>8</end>
      <status>unmodified</status>
      <modifiedWord/>
      <trackRevisions>false</trackRevisions>
    </reviewItem>
    <reviewItem>
      <errorID>ff433214-f57f-4fa9-834d-ecae6fa0388b</errorID>
      <errorWord>(</errorWord>
      <group>L1_Format</group>
      <groupName>格式问题</groupName>
      <ability>L2_HalfPunc</ability>
      <abilityName>全半角检查</abilityName>
      <candidateList>
        <item>（</item>
      </candidateList>
      <explain>文本全半角错误。</explain>
      <paraID>48097055</paraID>
      <start>4</start>
      <end>5</end>
      <status>unmodified</status>
      <modifiedWord/>
      <trackRevisions>false</trackRevisions>
    </reviewItem>
    <reviewItem>
      <errorID>ffd04b8a-4d7a-4c7d-bd63-8cc58e8d11dd</errorID>
      <errorWord>(</errorWord>
      <group>L1_Format</group>
      <groupName>格式问题</groupName>
      <ability>L2_HalfPunc</ability>
      <abilityName>全半角检查</abilityName>
      <candidateList>
        <item>（</item>
      </candidateList>
      <explain>文本全半角错误。</explain>
      <paraID>6F1DEF03</paraID>
      <start>4</start>
      <end>5</end>
      <status>unmodified</status>
      <modifiedWord/>
      <trackRevisions>false</trackRevisions>
    </reviewItem>
    <reviewItem>
      <errorID>3740b4c7-3190-424f-bffb-c78767897a0d</errorID>
      <errorWord>(</errorWord>
      <group>L1_Format</group>
      <groupName>格式问题</groupName>
      <ability>L2_HalfPunc</ability>
      <abilityName>全半角检查</abilityName>
      <candidateList>
        <item>（</item>
      </candidateList>
      <explain>文本全半角错误。</explain>
      <paraID> 902AEBD</paraID>
      <start>4</start>
      <end>5</end>
      <status>unmodified</status>
      <modifiedWord/>
      <trackRevisions>false</trackRevisions>
    </reviewItem>
    <reviewItem>
      <errorID>6109435d-3c2a-4d34-99d7-82020d0178d5</errorID>
      <errorWord>(</errorWord>
      <group>L1_Format</group>
      <groupName>格式问题</groupName>
      <ability>L2_HalfPunc</ability>
      <abilityName>全半角检查</abilityName>
      <candidateList>
        <item>（</item>
      </candidateList>
      <explain>文本全半角错误。</explain>
      <paraID> 7347E8E</paraID>
      <start>4</start>
      <end>5</end>
      <status>unmodified</status>
      <modifiedWord/>
      <trackRevisions>false</trackRevisions>
    </reviewItem>
    <reviewItem>
      <errorID>f21a38f0-d9b5-427c-8cc3-5134ebfa7bbb</errorID>
      <errorWord>(</errorWord>
      <group>L1_Format</group>
      <groupName>格式问题</groupName>
      <ability>L2_HalfPunc</ability>
      <abilityName>全半角检查</abilityName>
      <candidateList>
        <item>（</item>
      </candidateList>
      <explain>文本全半角错误。</explain>
      <paraID>1B47BB42</paraID>
      <start>4</start>
      <end>5</end>
      <status>unmodified</status>
      <modifiedWord/>
      <trackRevisions>false</trackRevisions>
    </reviewItem>
    <reviewItem>
      <errorID>3c176cae-de29-47ec-a5e8-d070977951d6</errorID>
      <errorWord>(</errorWord>
      <group>L1_Format</group>
      <groupName>格式问题</groupName>
      <ability>L2_HalfPunc</ability>
      <abilityName>全半角检查</abilityName>
      <candidateList>
        <item>（</item>
      </candidateList>
      <explain>文本全半角错误。</explain>
      <paraID>3EF937DC</paraID>
      <start>3</start>
      <end>4</end>
      <status>unmodified</status>
      <modifiedWord/>
      <trackRevisions>false</trackRevisions>
    </reviewItem>
    <reviewItem>
      <errorID>84635cce-565a-4dc1-9ebe-da8c2f67236f</errorID>
      <errorWord>(</errorWord>
      <group>L1_Format</group>
      <groupName>格式问题</groupName>
      <ability>L2_HalfPunc</ability>
      <abilityName>全半角检查</abilityName>
      <candidateList>
        <item>（</item>
      </candidateList>
      <explain>文本全半角错误。</explain>
      <paraID>3BEF215D</paraID>
      <start>3</start>
      <end>4</end>
      <status>unmodified</status>
      <modifiedWord/>
      <trackRevisions>false</trackRevisions>
    </reviewItem>
    <reviewItem>
      <errorID>7a550c0c-73db-4c66-adff-21142fc6b5c0</errorID>
      <errorWord>(</errorWord>
      <group>L1_Format</group>
      <groupName>格式问题</groupName>
      <ability>L2_HalfPunc</ability>
      <abilityName>全半角检查</abilityName>
      <candidateList>
        <item>（</item>
      </candidateList>
      <explain>文本全半角错误。</explain>
      <paraID>6FD17B25</paraID>
      <start>3</start>
      <end>4</end>
      <status>unmodified</status>
      <modifiedWord/>
      <trackRevisions>false</trackRevisions>
    </reviewItem>
    <reviewItem>
      <errorID>106c64d5-335d-4538-bda1-3e0aa65474f0</errorID>
      <errorWord>(</errorWord>
      <group>L1_Format</group>
      <groupName>格式问题</groupName>
      <ability>L2_HalfPunc</ability>
      <abilityName>全半角检查</abilityName>
      <candidateList>
        <item>（</item>
      </candidateList>
      <explain>文本全半角错误。</explain>
      <paraID> B0519DA</paraID>
      <start>3</start>
      <end>4</end>
      <status>unmodified</status>
      <modifiedWord/>
      <trackRevisions>false</trackRevisions>
    </reviewItem>
    <reviewItem>
      <errorID>d6a54886-8a16-423a-ae3e-d39ccc9a8719</errorID>
      <errorWord>(</errorWord>
      <group>L1_Format</group>
      <groupName>格式问题</groupName>
      <ability>L2_HalfPunc</ability>
      <abilityName>全半角检查</abilityName>
      <candidateList>
        <item>（</item>
      </candidateList>
      <explain>文本全半角错误。</explain>
      <paraID>31554B50</paraID>
      <start>3</start>
      <end>4</end>
      <status>unmodified</status>
      <modifiedWord/>
      <trackRevisions>false</trackRevisions>
    </reviewItem>
    <reviewItem>
      <errorID>372dd5da-a129-493f-ab5b-eea6d8edd026</errorID>
      <errorWord>(</errorWord>
      <group>L1_Format</group>
      <groupName>格式问题</groupName>
      <ability>L2_HalfPunc</ability>
      <abilityName>全半角检查</abilityName>
      <candidateList>
        <item>（</item>
      </candidateList>
      <explain>文本全半角错误。</explain>
      <paraID>339E0CDD</paraID>
      <start>5</start>
      <end>6</end>
      <status>unmodified</status>
      <modifiedWord/>
      <trackRevisions>false</trackRevisions>
    </reviewItem>
    <reviewItem>
      <errorID>691f0a61-51bc-4137-8039-3461742c8c7b</errorID>
      <errorWord>.</errorWord>
      <group>L1_Format</group>
      <groupName>格式问题</groupName>
      <ability>L2_HalfPunc</ability>
      <abilityName>全半角检查</abilityName>
      <candidateList>
        <item>。</item>
      </candidateList>
      <explain>文本全半角错误。</explain>
      <paraID>339E0CDD</paraID>
      <start>7</start>
      <end>8</end>
      <status>unmodified</status>
      <modifiedWord/>
      <trackRevisions>false</trackRevisions>
    </reviewItem>
    <reviewItem>
      <errorID>9e42067e-b6c0-4f07-acf4-8d1ff2d556a4</errorID>
      <errorWord>(</errorWord>
      <group>L1_Format</group>
      <groupName>格式问题</groupName>
      <ability>L2_HalfPunc</ability>
      <abilityName>全半角检查</abilityName>
      <candidateList>
        <item>（</item>
      </candidateList>
      <explain>文本全半角错误。</explain>
      <paraID> 9F78522</paraID>
      <start>5</start>
      <end>6</end>
      <status>unmodified</status>
      <modifiedWord/>
      <trackRevisions>false</trackRevisions>
    </reviewItem>
    <reviewItem>
      <errorID>e790e9d0-5892-4c66-8d84-e214640ff169</errorID>
      <errorWord>.</errorWord>
      <group>L1_Format</group>
      <groupName>格式问题</groupName>
      <ability>L2_HalfPunc</ability>
      <abilityName>全半角检查</abilityName>
      <candidateList>
        <item>。</item>
      </candidateList>
      <explain>文本全半角错误。</explain>
      <paraID> 9F78522</paraID>
      <start>7</start>
      <end>8</end>
      <status>unmodified</status>
      <modifiedWord/>
      <trackRevisions>false</trackRevisions>
    </reviewItem>
    <reviewItem>
      <errorID>985160f6-735e-483f-885f-acd7f7da564f</errorID>
      <errorWord>(</errorWord>
      <group>L1_Format</group>
      <groupName>格式问题</groupName>
      <ability>L2_HalfPunc</ability>
      <abilityName>全半角检查</abilityName>
      <candidateList>
        <item>（</item>
      </candidateList>
      <explain>文本全半角错误。</explain>
      <paraID>4B16A2A4</paraID>
      <start>5</start>
      <end>6</end>
      <status>unmodified</status>
      <modifiedWord/>
      <trackRevisions>false</trackRevisions>
    </reviewItem>
    <reviewItem>
      <errorID>ab64a146-124f-4311-a788-1cd5ba87cb3e</errorID>
      <errorWord>.</errorWord>
      <group>L1_Format</group>
      <groupName>格式问题</groupName>
      <ability>L2_HalfPunc</ability>
      <abilityName>全半角检查</abilityName>
      <candidateList>
        <item>。</item>
      </candidateList>
      <explain>文本全半角错误。</explain>
      <paraID>4B16A2A4</paraID>
      <start>7</start>
      <end>8</end>
      <status>unmodified</status>
      <modifiedWord/>
      <trackRevisions>false</trackRevisions>
    </reviewItem>
    <reviewItem>
      <errorID>1b3daa10-9ce1-4d68-ac36-a75dc83bc78a</errorID>
      <errorWord>(</errorWord>
      <group>L1_Format</group>
      <groupName>格式问题</groupName>
      <ability>L2_HalfPunc</ability>
      <abilityName>全半角检查</abilityName>
      <candidateList>
        <item>（</item>
      </candidateList>
      <explain>文本全半角错误。</explain>
      <paraID> 93427A4</paraID>
      <start>5</start>
      <end>6</end>
      <status>unmodified</status>
      <modifiedWord/>
      <trackRevisions>false</trackRevisions>
    </reviewItem>
    <reviewItem>
      <errorID>788bf170-81c5-4b85-bebb-47f84294e5fe</errorID>
      <errorWord>.</errorWord>
      <group>L1_Format</group>
      <groupName>格式问题</groupName>
      <ability>L2_HalfPunc</ability>
      <abilityName>全半角检查</abilityName>
      <candidateList>
        <item>。</item>
      </candidateList>
      <explain>文本全半角错误。</explain>
      <paraID> 93427A4</paraID>
      <start>7</start>
      <end>8</end>
      <status>unmodified</status>
      <modifiedWord/>
      <trackRevisions>false</trackRevisions>
    </reviewItem>
    <reviewItem>
      <errorID>18049ea1-cca7-4dfc-9746-04adcaef3798</errorID>
      <errorWord>(</errorWord>
      <group>L1_Format</group>
      <groupName>格式问题</groupName>
      <ability>L2_HalfPunc</ability>
      <abilityName>全半角检查</abilityName>
      <candidateList>
        <item>（</item>
      </candidateList>
      <explain>文本全半角错误。</explain>
      <paraID> C88DB4D</paraID>
      <start>4</start>
      <end>5</end>
      <status>unmodified</status>
      <modifiedWord/>
      <trackRevisions>false</trackRevisions>
    </reviewItem>
    <reviewItem>
      <errorID>782146b1-6098-4a17-93b0-9ecf62de476f</errorID>
      <errorWord>(</errorWord>
      <group>L1_Format</group>
      <groupName>格式问题</groupName>
      <ability>L2_HalfPunc</ability>
      <abilityName>全半角检查</abilityName>
      <candidateList>
        <item>（</item>
      </candidateList>
      <explain>文本全半角错误。</explain>
      <paraID>1C661A80</paraID>
      <start>4</start>
      <end>5</end>
      <status>unmodified</status>
      <modifiedWord/>
      <trackRevisions>false</trackRevisions>
    </reviewItem>
    <reviewItem>
      <errorID>2071411d-3956-4a0b-8c31-284f3be2df60</errorID>
      <errorWord>(</errorWord>
      <group>L1_Format</group>
      <groupName>格式问题</groupName>
      <ability>L2_HalfPunc</ability>
      <abilityName>全半角检查</abilityName>
      <candidateList>
        <item>（</item>
      </candidateList>
      <explain>文本全半角错误。</explain>
      <paraID>7E440B2C</paraID>
      <start>4</start>
      <end>5</end>
      <status>unmodified</status>
      <modifiedWord/>
      <trackRevisions>false</trackRevisions>
    </reviewItem>
    <reviewItem>
      <errorID>e8298b16-caca-4609-8822-094595ac7a23</errorID>
      <errorWord>(</errorWord>
      <group>L1_Format</group>
      <groupName>格式问题</groupName>
      <ability>L2_HalfPunc</ability>
      <abilityName>全半角检查</abilityName>
      <candidateList>
        <item>（</item>
      </candidateList>
      <explain>文本全半角错误。</explain>
      <paraID>65EE3D9F</paraID>
      <start>4</start>
      <end>5</end>
      <status>unmodified</status>
      <modifiedWord/>
      <trackRevisions>false</trackRevisions>
    </reviewItem>
    <reviewItem>
      <errorID>61c1d1a2-536f-4864-9c30-5bdc088e5d7a</errorID>
      <errorWord>(</errorWord>
      <group>L1_Format</group>
      <groupName>格式问题</groupName>
      <ability>L2_HalfPunc</ability>
      <abilityName>全半角检查</abilityName>
      <candidateList>
        <item>（</item>
      </candidateList>
      <explain>文本全半角错误。</explain>
      <paraID>77278221</paraID>
      <start>4</start>
      <end>5</end>
      <status>unmodified</status>
      <modifiedWord/>
      <trackRevisions>false</trackRevisions>
    </reviewItem>
    <reviewItem>
      <errorID>812bb8fd-6e0e-4d32-b7d6-5a648f2bc172</errorID>
      <errorWord>.</errorWord>
      <group>L1_Format</group>
      <groupName>格式问题</groupName>
      <ability>L2_HalfPunc</ability>
      <abilityName>全半角检查</abilityName>
      <candidateList>
        <item>。</item>
      </candidateList>
      <explain>文本全半角错误。</explain>
      <paraID>77278221</paraID>
      <start>7</start>
      <end>8</end>
      <status>unmodified</status>
      <modifiedWord/>
      <trackRevisions>false</trackRevisions>
    </reviewItem>
    <reviewItem>
      <errorID>73592ea1-1588-4f59-bb4a-924508e64f3a</errorID>
      <errorWord>(</errorWord>
      <group>L1_Format</group>
      <groupName>格式问题</groupName>
      <ability>L2_HalfPunc</ability>
      <abilityName>全半角检查</abilityName>
      <candidateList>
        <item>（</item>
      </candidateList>
      <explain>文本全半角错误。</explain>
      <paraID>579D5B09</paraID>
      <start>4</start>
      <end>5</end>
      <status>unmodified</status>
      <modifiedWord/>
      <trackRevisions>false</trackRevisions>
    </reviewItem>
    <reviewItem>
      <errorID>f4b35152-e3eb-42d7-971c-4a59cdbcbb39</errorID>
      <errorWord>.</errorWord>
      <group>L1_Format</group>
      <groupName>格式问题</groupName>
      <ability>L2_HalfPunc</ability>
      <abilityName>全半角检查</abilityName>
      <candidateList>
        <item>。</item>
      </candidateList>
      <explain>文本全半角错误。</explain>
      <paraID>579D5B09</paraID>
      <start>7</start>
      <end>8</end>
      <status>unmodified</status>
      <modifiedWord/>
      <trackRevisions>false</trackRevisions>
    </reviewItem>
    <reviewItem>
      <errorID>f923bae2-e889-48ee-8426-eff503e5dcb2</errorID>
      <errorWord>流行时间</errorWord>
      <group>L1_Knowledge</group>
      <groupName>知识性问题</groupName>
      <ability>L2_Term</ability>
      <abilityName>专业术语</abilityName>
      <candidateList>
        <item>流过时间</item>
      </candidateList>
      <explain/>
      <paraID>3C909E9F</paraID>
      <start>49</start>
      <end>53</end>
      <status>unmodified</status>
      <modifiedWord/>
      <trackRevisions>false</trackRevisions>
    </reviewItem>
    <reviewItem>
      <errorID>ccd211a2-4a5a-4f37-bc7b-3d7fb0850412</errorID>
      <errorWord>出人口</errorWord>
      <group>L1_Word</group>
      <groupName>字词问题</groupName>
      <ability>L2_Typo</ability>
      <abilityName>字词错误</abilityName>
      <candidateList>
        <item>出入口</item>
      </candidateList>
      <explain/>
      <paraID>7EDE4211</paraID>
      <start>17</start>
      <end>20</end>
      <status>modified</status>
      <modifiedWord>出入口</modifiedWord>
      <trackRevisions>false</trackRevisions>
    </reviewItem>
    <reviewItem>
      <errorID>d0437a25-f6af-441b-858c-db925bee7e29</errorID>
      <errorWord>[2016]58号</errorWord>
      <group>L1_Knowledge</group>
      <groupName>知识性问题</groupName>
      <ability>L2_Knowledge</ability>
      <abilityName>其他知识</abilityName>
      <candidateList>
        <item>〔2016〕58号</item>
      </candidateList>
      <explain>发文字号格式错误。</explain>
      <paraID>5CC62D41</paraID>
      <start>53</start>
      <end>62</end>
      <status>unmodified</status>
      <modifiedWord/>
      <trackRevisions>false</trackRevisions>
    </reviewItem>
    <reviewItem>
      <errorID>4be1633c-3577-4264-9504-bb9ed6b18634</errorID>
      <errorWord>消防设防</errorWord>
      <group>L1_Word</group>
      <groupName>字词问题</groupName>
      <ability>L2_Typo</ability>
      <abilityName>字词错误</abilityName>
      <candidateList>
        <item>消防设施</item>
      </candidateList>
      <explain/>
      <paraID> 4D0F2BA</paraID>
      <start>3</start>
      <end>7</end>
      <status>unmodified</status>
      <modifiedWord/>
      <trackRevisions>false</trackRevisions>
    </reviewItem>
    <reviewItem>
      <errorID>b4935d88-ee26-44ed-99df-936bd5fbda45</errorID>
      <errorWord>(</errorWord>
      <group>L1_Format</group>
      <groupName>格式问题</groupName>
      <ability>L2_HalfPunc</ability>
      <abilityName>全半角检查</abilityName>
      <candidateList>
        <item>（</item>
      </candidateList>
      <explain>文本全半角错误。</explain>
      <paraID>2C91DAF5</paraID>
      <start>4</start>
      <end>5</end>
      <status>unmodified</status>
      <modifiedWord/>
      <trackRevisions>false</trackRevisions>
    </reviewItem>
    <reviewItem>
      <errorID>094365e2-c716-4cc4-8ef3-a5191572daa7</errorID>
      <errorWord>～</errorWord>
      <group>L1_Format</group>
      <groupName>格式问题</groupName>
      <ability>L2_HalfPunc</ability>
      <abilityName>全半角检查</abilityName>
      <candidateList>
        <item>~</item>
      </candidateList>
      <explain>文本全半角错误。</explain>
      <paraID>6267AB9C</paraID>
      <start>2</start>
      <end>3</end>
      <status>unmodified</status>
      <modifiedWord/>
      <trackRevisions>false</trackRevisions>
    </reviewItem>
    <reviewItem>
      <errorID>3d854aca-dddf-41eb-b7f5-7ad12f4451df</errorID>
      <errorWord>(</errorWord>
      <group>L1_Format</group>
      <groupName>格式问题</groupName>
      <ability>L2_HalfPunc</ability>
      <abilityName>全半角检查</abilityName>
      <candidateList>
        <item>（</item>
      </candidateList>
      <explain>文本全半角错误。</explain>
      <paraID>6FA14CA7</paraID>
      <start>3</start>
      <end>4</end>
      <status>unmodified</status>
      <modifiedWord/>
      <trackRevisions>false</trackRevisions>
    </reviewItem>
    <reviewItem>
      <errorID>d31b2a9c-005b-4b71-bff3-538f3b07d41f</errorID>
      <errorWord>(</errorWord>
      <group>L1_Format</group>
      <groupName>格式问题</groupName>
      <ability>L2_HalfPunc</ability>
      <abilityName>全半角检查</abilityName>
      <candidateList>
        <item>（</item>
      </candidateList>
      <explain>文本全半角错误。</explain>
      <paraID>6FA14CA7</paraID>
      <start>13</start>
      <end>14</end>
      <status>unmodified</status>
      <modifiedWord/>
      <trackRevisions>false</trackRevisions>
    </reviewItem>
    <reviewItem>
      <errorID>d6ee058c-5797-4e50-beac-04c64ba3ec4d</errorID>
      <errorWord>(</errorWord>
      <group>L1_Format</group>
      <groupName>格式问题</groupName>
      <ability>L2_HalfPunc</ability>
      <abilityName>全半角检查</abilityName>
      <candidateList>
        <item>（</item>
      </candidateList>
      <explain>文本全半角错误。</explain>
      <paraID>6FA14CA7</paraID>
      <start>22</start>
      <end>23</end>
      <status>unmodified</status>
      <modifiedWord/>
      <trackRevisions>false</trackRevisions>
    </reviewItem>
    <reviewItem>
      <errorID>a2d46782-216f-459f-8f46-4848803ca227</errorID>
      <errorWord>(</errorWord>
      <group>L1_Format</group>
      <groupName>格式问题</groupName>
      <ability>L2_HalfPunc</ability>
      <abilityName>全半角检查</abilityName>
      <candidateList>
        <item>（</item>
      </candidateList>
      <explain>文本全半角错误。</explain>
      <paraID>19B28B23</paraID>
      <start>7</start>
      <end>8</end>
      <status>unmodified</status>
      <modifiedWord/>
      <trackRevisions>false</trackRevisions>
    </reviewItem>
    <reviewItem>
      <errorID>3f717070-bafc-4e71-88e1-7d3f0e0f1d50</errorID>
      <errorWord>(</errorWord>
      <group>L1_Format</group>
      <groupName>格式问题</groupName>
      <ability>L2_HalfPunc</ability>
      <abilityName>全半角检查</abilityName>
      <candidateList>
        <item>（</item>
      </candidateList>
      <explain>文本全半角错误。</explain>
      <paraID>41E34AAF</paraID>
      <start>9</start>
      <end>10</end>
      <status>unmodified</status>
      <modifiedWord/>
      <trackRevisions>false</trackRevisions>
    </reviewItem>
    <reviewItem>
      <errorID>d90a8b79-3891-43fa-8f2a-040a8d9c2e1a</errorID>
      <errorWord>(</errorWord>
      <group>L1_Format</group>
      <groupName>格式问题</groupName>
      <ability>L2_HalfPunc</ability>
      <abilityName>全半角检查</abilityName>
      <candidateList>
        <item>（</item>
      </candidateList>
      <explain>文本全半角错误。</explain>
      <paraID>3C45D1DA</paraID>
      <start>8</start>
      <end>9</end>
      <status>unmodified</status>
      <modifiedWord/>
      <trackRevisions>false</trackRevisions>
    </reviewItem>
    <reviewItem>
      <errorID>a507dcd6-2c82-4df3-be0a-4520ec012f8a</errorID>
      <errorWord>(</errorWord>
      <group>L1_Format</group>
      <groupName>格式问题</groupName>
      <ability>L2_HalfPunc</ability>
      <abilityName>全半角检查</abilityName>
      <candidateList>
        <item>（</item>
      </candidateList>
      <explain>文本全半角错误。</explain>
      <paraID>12728346</paraID>
      <start>3</start>
      <end>4</end>
      <status>unmodified</status>
      <modifiedWord/>
      <trackRevisions>false</trackRevisions>
    </reviewItem>
    <reviewItem>
      <errorID>4b7a7968-a2fa-47cb-932e-94ff6a6e99c4</errorID>
      <errorWord>(</errorWord>
      <group>L1_Format</group>
      <groupName>格式问题</groupName>
      <ability>L2_HalfPunc</ability>
      <abilityName>全半角检查</abilityName>
      <candidateList>
        <item>（</item>
      </candidateList>
      <explain>文本全半角错误。</explain>
      <paraID>12728346</paraID>
      <start>13</start>
      <end>14</end>
      <status>unmodified</status>
      <modifiedWord/>
      <trackRevisions>false</trackRevisions>
    </reviewItem>
    <reviewItem>
      <errorID>f263b188-3613-4012-be43-db6f7574ca2e</errorID>
      <errorWord>(</errorWord>
      <group>L1_Format</group>
      <groupName>格式问题</groupName>
      <ability>L2_HalfPunc</ability>
      <abilityName>全半角检查</abilityName>
      <candidateList>
        <item>（</item>
      </candidateList>
      <explain>文本全半角错误。</explain>
      <paraID>12728346</paraID>
      <start>22</start>
      <end>23</end>
      <status>unmodified</status>
      <modifiedWord/>
      <trackRevisions>false</trackRevisions>
    </reviewItem>
    <reviewItem>
      <errorID>71a9b6a1-dd97-4507-8400-bf0b2deb9afd</errorID>
      <errorWord>(</errorWord>
      <group>L1_Format</group>
      <groupName>格式问题</groupName>
      <ability>L2_HalfPunc</ability>
      <abilityName>全半角检查</abilityName>
      <candidateList>
        <item>（</item>
      </candidateList>
      <explain>文本全半角错误。</explain>
      <paraID>436B64C3</paraID>
      <start>8</start>
      <end>9</end>
      <status>unmodified</status>
      <modifiedWord/>
      <trackRevisions>false</trackRevisions>
    </reviewItem>
    <reviewItem>
      <errorID>6f39184e-a2ad-46e2-bca6-799743ecb2b9</errorID>
      <errorWord>(</errorWord>
      <group>L1_Format</group>
      <groupName>格式问题</groupName>
      <ability>L2_HalfPunc</ability>
      <abilityName>全半角检查</abilityName>
      <candidateList>
        <item>（</item>
      </candidateList>
      <explain>文本全半角错误。</explain>
      <paraID>1C8F223D</paraID>
      <start>10</start>
      <end>11</end>
      <status>unmodified</status>
      <modifiedWord/>
      <trackRevisions>false</trackRevisions>
    </reviewItem>
    <reviewItem>
      <errorID>b25709a8-5900-4204-a8ac-045c5a3af727</errorID>
      <errorWord>(</errorWord>
      <group>L1_Format</group>
      <groupName>格式问题</groupName>
      <ability>L2_HalfPunc</ability>
      <abilityName>全半角检查</abilityName>
      <candidateList>
        <item>（</item>
      </candidateList>
      <explain>文本全半角错误。</explain>
      <paraID>4CB7843F</paraID>
      <start>9</start>
      <end>10</end>
      <status>unmodified</status>
      <modifiedWord/>
      <trackRevisions>false</trackRevisions>
    </reviewItem>
    <reviewItem>
      <errorID>6464a008-4391-43cd-b83e-4752b1320fd8</errorID>
      <errorWord>(</errorWord>
      <group>L1_Format</group>
      <groupName>格式问题</groupName>
      <ability>L2_HalfPunc</ability>
      <abilityName>全半角检查</abilityName>
      <candidateList>
        <item>（</item>
      </candidateList>
      <explain>文本全半角错误。</explain>
      <paraID>2BB7399B</paraID>
      <start>11</start>
      <end>12</end>
      <status>unmodified</status>
      <modifiedWord/>
      <trackRevisions>false</trackRevisions>
    </reviewItem>
    <reviewItem>
      <errorID>2877af83-e3e8-47e3-a074-acfc3e4f2060</errorID>
      <errorWord>(</errorWord>
      <group>L1_Format</group>
      <groupName>格式问题</groupName>
      <ability>L2_HalfPunc</ability>
      <abilityName>全半角检查</abilityName>
      <candidateList>
        <item>（</item>
      </candidateList>
      <explain>文本全半角错误。</explain>
      <paraID>2BB7399B</paraID>
      <start>22</start>
      <end>23</end>
      <status>unmodified</status>
      <modifiedWord/>
      <trackRevisions>false</trackRevisions>
    </reviewItem>
    <reviewItem>
      <errorID>793bff58-b838-4427-99e7-5c4415ce7eb1</errorID>
      <errorWord>(</errorWord>
      <group>L1_Format</group>
      <groupName>格式问题</groupName>
      <ability>L2_HalfPunc</ability>
      <abilityName>全半角检查</abilityName>
      <candidateList>
        <item>（</item>
      </candidateList>
      <explain>文本全半角错误。</explain>
      <paraID>5AD0CD54</paraID>
      <start>3</start>
      <end>4</end>
      <status>unmodified</status>
      <modifiedWord/>
      <trackRevisions>false</trackRevisions>
    </reviewItem>
    <reviewItem>
      <errorID>83667296-6880-4462-8321-53e45baeb392</errorID>
      <errorWord>）</errorWord>
      <group>L1_Format</group>
      <groupName>格式问题</groupName>
      <ability>L2_HalfPunc</ability>
      <abilityName>全半角检查</abilityName>
      <candidateList>
        <item>)</item>
      </candidateList>
      <explain>文本全半角错误。</explain>
      <paraID>29A352AD</paraID>
      <start>10</start>
      <end>11</end>
      <status>unmodified</status>
      <modifiedWord/>
      <trackRevisions>false</trackRevisions>
    </reviewItem>
    <reviewItem>
      <errorID>89c25b38-e732-4379-ab81-32e00cce967a</errorID>
      <errorWord>（</errorWord>
      <group>L1_Format</group>
      <groupName>格式问题</groupName>
      <ability>L2_HalfPunc</ability>
      <abilityName>全半角检查</abilityName>
      <candidateList>
        <item>(</item>
      </candidateList>
      <explain>文本全半角错误。</explain>
      <paraID>1E1A9233</paraID>
      <start>0</start>
      <end>1</end>
      <status>unmodified</status>
      <modifiedWord/>
      <trackRevisions>false</trackRevisions>
    </reviewItem>
    <reviewItem>
      <errorID>da9135be-4bd9-4907-ad6f-44bb2cd3ef38</errorID>
      <errorWord>）</errorWord>
      <group>L1_Format</group>
      <groupName>格式问题</groupName>
      <ability>L2_HalfPunc</ability>
      <abilityName>全半角检查</abilityName>
      <candidateList>
        <item>)</item>
      </candidateList>
      <explain>文本全半角错误。</explain>
      <paraID>1E1A9233</paraID>
      <start>3</start>
      <end>4</end>
      <status>unmodified</status>
      <modifiedWord/>
      <trackRevisions>false</trackRevisions>
    </reviewItem>
    <reviewItem>
      <errorID>aa1284b7-0eaa-4285-808b-d10b06995adb</errorID>
      <errorWord>）</errorWord>
      <group>L1_Format</group>
      <groupName>格式问题</groupName>
      <ability>L2_HalfPunc</ability>
      <abilityName>全半角检查</abilityName>
      <candidateList>
        <item>)</item>
      </candidateList>
      <explain>文本全半角错误。</explain>
      <paraID>73D9512D</paraID>
      <start>2</start>
      <end>3</end>
      <status>unmodified</status>
      <modifiedWord/>
      <trackRevisions>false</trackRevisions>
    </reviewItem>
    <reviewItem>
      <errorID>e46f2565-1ca5-4bf8-a1d4-a3b97971cf5d</errorID>
      <errorWord>、</errorWord>
      <group>L1_Punc</group>
      <groupName>标点问题</groupName>
      <ability>L2_Punc</ability>
      <abilityName>标点符号检查</abilityName>
      <candidateList>
        <item>.</item>
      </candidateList>
      <explain/>
      <paraID>2E8C9D7E</paraID>
      <start>1</start>
      <end>2</end>
      <status>unmodified</status>
      <modifiedWord/>
      <trackRevisions>false</trackRevisions>
    </reviewItem>
    <reviewItem>
      <errorID>929760c5-b23a-40cc-86a2-9f98ae9cd262</errorID>
      <errorWord>、</errorWord>
      <group>L1_Punc</group>
      <groupName>标点问题</groupName>
      <ability>L2_Punc</ability>
      <abilityName>标点符号检查</abilityName>
      <candidateList>
        <item>.</item>
      </candidateList>
      <explain/>
      <paraID>1B430CA6</paraID>
      <start>1</start>
      <end>2</end>
      <status>unmodified</status>
      <modifiedWord/>
      <trackRevisions>false</trackRevisions>
    </reviewItem>
    <reviewItem>
      <errorID>b1b741a7-f124-4b73-bedf-e3d293446139</errorID>
      <errorWord>、</errorWord>
      <group>L1_Punc</group>
      <groupName>标点问题</groupName>
      <ability>L2_Punc</ability>
      <abilityName>标点符号检查</abilityName>
      <candidateList>
        <item>.</item>
      </candidateList>
      <explain/>
      <paraID>7A402114</paraID>
      <start>1</start>
      <end>2</end>
      <status>unmodified</status>
      <modifiedWord/>
      <trackRevisions>false</trackRevisions>
    </reviewItem>
    <reviewItem>
      <errorID>f7eaae59-f63f-40ba-b862-873c6c0ab1de</errorID>
      <errorWord>、</errorWord>
      <group>L1_Punc</group>
      <groupName>标点问题</groupName>
      <ability>L2_Punc</ability>
      <abilityName>标点符号检查</abilityName>
      <candidateList>
        <item>.</item>
      </candidateList>
      <explain/>
      <paraID>  E8928A</paraID>
      <start>1</start>
      <end>2</end>
      <status>unmodified</status>
      <modifiedWord/>
      <trackRevisions>false</trackRevisions>
    </reviewItem>
    <reviewItem>
      <errorID>49f067bb-889e-402a-b026-c9717fee053d</errorID>
      <errorWord>.</errorWord>
      <group>L1_Format</group>
      <groupName>格式问题</groupName>
      <ability>L2_HalfPunc</ability>
      <abilityName>全半角检查</abilityName>
      <candidateList>
        <item>。</item>
      </candidateList>
      <explain>文本全半角错误。</explain>
      <paraID>2A19B022</paraID>
      <start>5</start>
      <end>6</end>
      <status>unmodified</status>
      <modifiedWord/>
      <trackRevisions>false</trackRevisions>
    </reviewItem>
    <reviewItem>
      <errorID>2098fc06-e23d-4a2a-8c04-176d85e1f4fd</errorID>
      <errorWord>（</errorWord>
      <group>L1_Format</group>
      <groupName>格式问题</groupName>
      <ability>L2_HalfPunc</ability>
      <abilityName>全半角检查</abilityName>
      <candidateList>
        <item>(</item>
      </candidateList>
      <explain>文本全半角错误。</explain>
      <paraID>34C487E2</paraID>
      <start>0</start>
      <end>1</end>
      <status>unmodified</status>
      <modifiedWord/>
      <trackRevisions>false</trackRevisions>
    </reviewItem>
    <reviewItem>
      <errorID>96a2710b-76d4-4c4f-be15-ea7f35c25868</errorID>
      <errorWord>）</errorWord>
      <group>L1_Format</group>
      <groupName>格式问题</groupName>
      <ability>L2_HalfPunc</ability>
      <abilityName>全半角检查</abilityName>
      <candidateList>
        <item>)</item>
      </candidateList>
      <explain>文本全半角错误。</explain>
      <paraID>34C487E2</paraID>
      <start>2</start>
      <end>3</end>
      <status>unmodified</status>
      <modifiedWord/>
      <trackRevisions>false</trackRevisions>
    </reviewItem>
    <reviewItem>
      <errorID>6d209a24-8f70-46a1-99f3-de81caaf62b0</errorID>
      <errorWord>.</errorWord>
      <group>L1_Format</group>
      <groupName>格式问题</groupName>
      <ability>L2_HalfPunc</ability>
      <abilityName>全半角检查</abilityName>
      <candidateList>
        <item>。</item>
      </candidateList>
      <explain>文本全半角错误。</explain>
      <paraID> AEEF335</paraID>
      <start>5</start>
      <end>6</end>
      <status>unmodified</status>
      <modifiedWord/>
      <trackRevisions>false</trackRevisions>
    </reviewItem>
    <reviewItem>
      <errorID>0f00232d-0522-4b18-80dd-205459f4adae</errorID>
      <errorWord>（</errorWord>
      <group>L1_Format</group>
      <groupName>格式问题</groupName>
      <ability>L2_HalfPunc</ability>
      <abilityName>全半角检查</abilityName>
      <candidateList>
        <item>(</item>
      </candidateList>
      <explain>文本全半角错误。</explain>
      <paraID>64901643</paraID>
      <start>0</start>
      <end>1</end>
      <status>unmodified</status>
      <modifiedWord/>
      <trackRevisions>false</trackRevisions>
    </reviewItem>
    <reviewItem>
      <errorID>c3dc4999-3e68-4c51-97e9-7866ae4d2340</errorID>
      <errorWord>）</errorWord>
      <group>L1_Format</group>
      <groupName>格式问题</groupName>
      <ability>L2_HalfPunc</ability>
      <abilityName>全半角检查</abilityName>
      <candidateList>
        <item>)</item>
      </candidateList>
      <explain>文本全半角错误。</explain>
      <paraID>64901643</paraID>
      <start>2</start>
      <end>3</end>
      <status>unmodified</status>
      <modifiedWord/>
      <trackRevisions>false</trackRevisions>
    </reviewItem>
    <reviewItem>
      <errorID>7bac817b-61c6-4660-9fb0-c3d0f69efb08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55074FC2</paraID>
      <start>0</start>
      <end>2</end>
      <status>unmodified</status>
      <modifiedWord/>
      <trackRevisions>false</trackRevisions>
    </reviewItem>
    <reviewItem>
      <errorID>db6e591f-87a2-4fcc-93cc-cb74576ebca5</errorID>
      <errorWord>热</errorWord>
      <group>L1_Word</group>
      <groupName>字词问题</groupName>
      <ability>L2_Typo</ability>
      <abilityName>字词错误</abilityName>
      <candidateList>
        <item>的</item>
      </candidateList>
      <explain>“的”常用于连接修饰语与名词性中心语，表示属性、所属或描述。</explain>
      <paraID>3086835E</paraID>
      <start>0</start>
      <end>1</end>
      <status>unmodified</status>
      <modifiedWord/>
      <trackRevisions>false</trackRevisions>
    </reviewItem>
    <reviewItem>
      <errorID>9678947a-cf00-48e8-ac53-89ca56a2130b</errorID>
      <errorWord>（</errorWord>
      <group>L1_Punc</group>
      <groupName>标点问题</groupName>
      <ability>L2_Punc</ability>
      <abilityName>标点符号检查</abilityName>
      <candidateList/>
      <explain>同一形式括号套用。</explain>
      <paraID>73E980AC</paraID>
      <start>16</start>
      <end>17</end>
      <status>unmodified</status>
      <modifiedWord/>
      <trackRevisions>false</trackRevisions>
    </reviewItem>
    <reviewItem>
      <errorID>f7c9e71d-3a44-4328-8cd5-25799d1e8408</errorID>
      <errorWord>）</errorWord>
      <group>L1_Punc</group>
      <groupName>标点问题</groupName>
      <ability>L2_Punc</ability>
      <abilityName>标点符号检查</abilityName>
      <candidateList/>
      <explain>同一形式括号套用。</explain>
      <paraID>73E980AC</paraID>
      <start>21</start>
      <end>22</end>
      <status>unmodified</status>
      <modifiedWord/>
      <trackRevisions>false</trackRevisions>
    </reviewItem>
    <reviewItem>
      <errorID>ce04aecd-0329-4905-9440-2a6d1fe870ea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1809A469</paraID>
      <start>0</start>
      <end>2</end>
      <status>unmodified</status>
      <modifiedWord/>
      <trackRevisions>false</trackRevisions>
    </reviewItem>
    <reviewItem>
      <errorID>05980886-8b97-44ec-a4e8-65477704d58a</errorID>
      <errorWord>(</errorWord>
      <group>L1_Format</group>
      <groupName>格式问题</groupName>
      <ability>L2_HalfPunc</ability>
      <abilityName>全半角检查</abilityName>
      <candidateList>
        <item>（</item>
      </candidateList>
      <explain>文本全半角错误。</explain>
      <paraID>35E0DB64</paraID>
      <start>4</start>
      <end>5</end>
      <status>unmodified</status>
      <modifiedWord/>
      <trackRevisions>false</trackRevisions>
    </reviewItem>
    <reviewItem>
      <errorID>f0492731-8abd-4088-9d1d-cae86943b30c</errorID>
      <errorWord>～</errorWord>
      <group>L1_Format</group>
      <groupName>格式问题</groupName>
      <ability>L2_HalfPunc</ability>
      <abilityName>全半角检查</abilityName>
      <candidateList>
        <item>~</item>
      </candidateList>
      <explain>文本全半角错误。</explain>
      <paraID>21A1EB56</paraID>
      <start>2</start>
      <end>3</end>
      <status>unmodified</status>
      <modifiedWord/>
      <trackRevisions>false</trackRevisions>
    </reviewItem>
    <reviewItem>
      <errorID>c5ac617c-dc8e-4e85-8b46-865fe8ad7f2e</errorID>
      <errorWord>～</errorWord>
      <group>L1_Format</group>
      <groupName>格式问题</groupName>
      <ability>L2_HalfPunc</ability>
      <abilityName>全半角检查</abilityName>
      <candidateList>
        <item>~</item>
      </candidateList>
      <explain>文本全半角错误。</explain>
      <paraID>6FDA51C5</paraID>
      <start>2</start>
      <end>3</end>
      <status>unmodified</status>
      <modifiedWord/>
      <trackRevisions>false</trackRevisions>
    </reviewItem>
    <reviewItem>
      <errorID>ecdd0427-4624-47eb-9203-708dec236837</errorID>
      <errorWord>～</errorWord>
      <group>L1_Format</group>
      <groupName>格式问题</groupName>
      <ability>L2_HalfPunc</ability>
      <abilityName>全半角检查</abilityName>
      <candidateList>
        <item>~</item>
      </candidateList>
      <explain>文本全半角错误。</explain>
      <paraID>3A91B627</paraID>
      <start>2</start>
      <end>3</end>
      <status>unmodified</status>
      <modifiedWord/>
      <trackRevisions>false</trackRevisions>
    </reviewItem>
    <reviewItem>
      <errorID>502425c9-eca4-4ee3-b743-ecee76d4996d</errorID>
      <errorWord>～</errorWord>
      <group>L1_Format</group>
      <groupName>格式问题</groupName>
      <ability>L2_HalfPunc</ability>
      <abilityName>全半角检查</abilityName>
      <candidateList>
        <item>~</item>
      </candidateList>
      <explain>文本全半角错误。</explain>
      <paraID>4B56F377</paraID>
      <start>2</start>
      <end>3</end>
      <status>unmodified</status>
      <modifiedWord/>
      <trackRevisions>false</trackRevisions>
    </reviewItem>
    <reviewItem>
      <errorID>fedae0c1-f2ef-4131-9d5a-3098069f811f</errorID>
      <errorWord>～</errorWord>
      <group>L1_Format</group>
      <groupName>格式问题</groupName>
      <ability>L2_HalfPunc</ability>
      <abilityName>全半角检查</abilityName>
      <candidateList>
        <item>~</item>
      </candidateList>
      <explain>文本全半角错误。</explain>
      <paraID>17B6C461</paraID>
      <start>2</start>
      <end>3</end>
      <status>unmodified</status>
      <modifiedWord/>
      <trackRevisions>false</trackRevisions>
    </reviewItem>
    <reviewItem>
      <errorID>6a736385-42a7-4019-bfb3-85850e0686a5</errorID>
      <errorWord>(</errorWord>
      <group>L1_Format</group>
      <groupName>格式问题</groupName>
      <ability>L2_HalfPunc</ability>
      <abilityName>全半角检查</abilityName>
      <candidateList>
        <item>（</item>
      </candidateList>
      <explain>文本全半角错误。</explain>
      <paraID>4571AEBE</paraID>
      <start>2</start>
      <end>3</end>
      <status>unmodified</status>
      <modifiedWord/>
      <trackRevisions>false</trackRevisions>
    </reviewItem>
    <reviewItem>
      <errorID>840a9ce0-1b1c-4036-8331-a84e3b7e11e7</errorID>
      <errorWord>～</errorWord>
      <group>L1_Format</group>
      <groupName>格式问题</groupName>
      <ability>L2_HalfPunc</ability>
      <abilityName>全半角检查</abilityName>
      <candidateList>
        <item>~</item>
      </candidateList>
      <explain>文本全半角错误。</explain>
      <paraID>2A77837F</paraID>
      <start>2</start>
      <end>3</end>
      <status>unmodified</status>
      <modifiedWord/>
      <trackRevisions>false</trackRevisions>
    </reviewItem>
    <reviewItem>
      <errorID>dc669afd-c5c8-457f-a163-ff285b64cd87</errorID>
      <errorWord>(</errorWord>
      <group>L1_Format</group>
      <groupName>格式问题</groupName>
      <ability>L2_HalfPunc</ability>
      <abilityName>全半角检查</abilityName>
      <candidateList>
        <item>（</item>
      </candidateList>
      <explain>文本全半角错误。</explain>
      <paraID>2D205AA7</paraID>
      <start>2</start>
      <end>3</end>
      <status>unmodified</status>
      <modifiedWord/>
      <trackRevisions>false</trackRevisions>
    </reviewItem>
    <reviewItem>
      <errorID>995327c1-1cee-47bd-9aee-daf9a12ad296</errorID>
      <errorWord>～</errorWord>
      <group>L1_Format</group>
      <groupName>格式问题</groupName>
      <ability>L2_HalfPunc</ability>
      <abilityName>全半角检查</abilityName>
      <candidateList>
        <item>~</item>
      </candidateList>
      <explain>文本全半角错误。</explain>
      <paraID>6E5779A0</paraID>
      <start>2</start>
      <end>3</end>
      <status>unmodified</status>
      <modifiedWord/>
      <trackRevisions>false</trackRevisions>
    </reviewItem>
    <reviewItem>
      <errorID>3f4c990a-78a5-45d0-8561-54b2304451f2</errorID>
      <errorWord>～</errorWord>
      <group>L1_Format</group>
      <groupName>格式问题</groupName>
      <ability>L2_HalfPunc</ability>
      <abilityName>全半角检查</abilityName>
      <candidateList>
        <item>~</item>
      </candidateList>
      <explain>文本全半角错误。</explain>
      <paraID>2E22098A</paraID>
      <start>2</start>
      <end>3</end>
      <status>unmodified</status>
      <modifiedWord/>
      <trackRevisions>false</trackRevisions>
    </reviewItem>
    <reviewItem>
      <errorID>e431c9d1-fe82-4dc7-b26b-63f41265f272</errorID>
      <errorWord>～</errorWord>
      <group>L1_Format</group>
      <groupName>格式问题</groupName>
      <ability>L2_HalfPunc</ability>
      <abilityName>全半角检查</abilityName>
      <candidateList>
        <item>~</item>
      </candidateList>
      <explain>文本全半角错误。</explain>
      <paraID>49AF9C3D</paraID>
      <start>2</start>
      <end>3</end>
      <status>unmodified</status>
      <modifiedWord/>
      <trackRevisions>false</trackRevisions>
    </reviewItem>
    <reviewItem>
      <errorID>0fff482c-a322-4bb2-9eea-2e5865abb147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460273A2</paraID>
      <start>133</start>
      <end>134</end>
      <status>unmodified</status>
      <modifiedWord/>
      <trackRevisions>false</trackRevisions>
    </reviewItem>
    <reviewItem>
      <errorID>9dcdc6b5-4db9-41e3-8a96-4a8f1d205eab</errorID>
      <errorWord>检测</errorWord>
      <group>L1_Word</group>
      <groupName>字词问题</groupName>
      <ability>L2_Typo</ability>
      <abilityName>字词错误</abilityName>
      <candidateList>
        <item>监测</item>
      </candidateList>
      <explain/>
      <paraID>38AE53CF</paraID>
      <start>51</start>
      <end>53</end>
      <status>unmodified</status>
      <modifiedWord/>
      <trackRevisions>false</trackRevisions>
    </reviewItem>
    <reviewItem>
      <errorID>924eec7d-9fbf-450d-9ebd-8d929d7bda7f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1A281BDC</paraID>
      <start>122</start>
      <end>123</end>
      <status>unmodified</status>
      <modifiedWord/>
      <trackRevisions>false</trackRevisions>
    </reviewItem>
    <reviewItem>
      <errorID>7d6f94f5-2269-4964-9530-79081ac4b1d2</errorID>
      <errorWord>(</errorWord>
      <group>L1_Format</group>
      <groupName>格式问题</groupName>
      <ability>L2_HalfPunc</ability>
      <abilityName>全半角检查</abilityName>
      <candidateList>
        <item>（</item>
      </candidateList>
      <explain>文本全半角错误。</explain>
      <paraID>480F17AB</paraID>
      <start>5</start>
      <end>6</end>
      <status>unmodified</status>
      <modifiedWord/>
      <trackRevisions>false</trackRevisions>
    </reviewItem>
    <reviewItem>
      <errorID>06ad6dab-6827-4311-83d3-23c90ab6b332</errorID>
      <errorWord>(</errorWord>
      <group>L1_Format</group>
      <groupName>格式问题</groupName>
      <ability>L2_HalfPunc</ability>
      <abilityName>全半角检查</abilityName>
      <candidateList>
        <item>（</item>
      </candidateList>
      <explain>文本全半角错误。</explain>
      <paraID>731BFF84</paraID>
      <start>5</start>
      <end>6</end>
      <status>unmodified</status>
      <modifiedWord/>
      <trackRevisions>false</trackRevisions>
    </reviewItem>
    <reviewItem>
      <errorID>b11f08fd-303d-4cd3-8363-2271b35662b8</errorID>
      <errorWord>(</errorWord>
      <group>L1_Format</group>
      <groupName>格式问题</groupName>
      <ability>L2_HalfPunc</ability>
      <abilityName>全半角检查</abilityName>
      <candidateList>
        <item>（</item>
      </candidateList>
      <explain>文本全半角错误。</explain>
      <paraID>252F7370</paraID>
      <start>5</start>
      <end>6</end>
      <status>unmodified</status>
      <modifiedWord/>
      <trackRevisions>false</trackRevisions>
    </reviewItem>
    <reviewItem>
      <errorID>6d000644-373b-4037-9d5e-f16a8376ff44</errorID>
      <errorWord>)</errorWord>
      <group>L1_Format</group>
      <groupName>格式问题</groupName>
      <ability>L2_HalfPunc</ability>
      <abilityName>全半角检查</abilityName>
      <candidateList>
        <item>）</item>
      </candidateList>
      <explain>文本全半角错误。</explain>
      <paraID>2033CFE2</paraID>
      <start>7</start>
      <end>8</end>
      <status>unmodified</status>
      <modifiedWord/>
      <trackRevisions>false</trackRevisions>
    </reviewItem>
    <reviewItem>
      <errorID>be3838aa-4249-4cc9-888a-ef87f5f388cb</errorID>
      <errorWord>：</errorWord>
      <group>L1_Word</group>
      <groupName>字词问题</groupName>
      <ability>L2_Typo</ability>
      <abilityName>字词错误</abilityName>
      <candidateList>
        <item>：混</item>
      </candidateList>
      <explain/>
      <paraID>2C1822E5</paraID>
      <start>1</start>
      <end>2</end>
      <status>unmodified</status>
      <modifiedWord/>
      <trackRevisions>false</trackRevisions>
    </reviewItem>
    <reviewItem>
      <errorID>7d023e41-b4dc-4841-b6c3-65b85cc2bdc7</errorID>
      <errorWord>次于路</errorWord>
      <group>L1_Word</group>
      <groupName>字词问题</groupName>
      <ability>L2_Typo</ability>
      <abilityName>字词错误</abilityName>
      <candidateList>
        <item>次干路</item>
      </candidateList>
      <explain>存在字形相近字词的误用。</explain>
      <paraID>16811549</paraID>
      <start>0</start>
      <end>3</end>
      <status>unmodified</status>
      <modifiedWord/>
      <trackRevisions>false</trackRevisions>
    </reviewItem>
    <reviewItem>
      <errorID>40012306-4140-49d9-93c5-7c4508860428</errorID>
      <errorWord>次千路</errorWord>
      <group>L1_Word</group>
      <groupName>字词问题</groupName>
      <ability>L2_Typo</ability>
      <abilityName>字词错误</abilityName>
      <candidateList>
        <item>次干路</item>
      </candidateList>
      <explain>存在字形相近字词的误用。</explain>
      <paraID>16811549</paraID>
      <start>4</start>
      <end>7</end>
      <status>unmodified</status>
      <modifiedWord/>
      <trackRevisions>false</trackRevisions>
    </reviewItem>
    <reviewItem>
      <errorID>3ed68cd2-b61e-4268-9293-0439517dfe84</errorID>
      <errorWord>交会</errorWord>
      <group>L1_Word</group>
      <groupName>字词问题</groupName>
      <ability>L2_Typo</ability>
      <abilityName>字词错误</abilityName>
      <candidateList>
        <item>交汇</item>
      </candidateList>
      <explain>存在发音相同字词的误用。</explain>
      <paraID>16811549</paraID>
      <start>7</start>
      <end>9</end>
      <status>unmodified</status>
      <modifiedWord/>
      <trackRevisions>false</trackRevisions>
    </reviewItem>
    <reviewItem>
      <errorID>3a939d90-c3b2-4863-a983-cf0b57f3d30a</errorID>
      <errorWord>(</errorWord>
      <group>L1_Format</group>
      <groupName>格式问题</groupName>
      <ability>L2_HalfPunc</ability>
      <abilityName>全半角检查</abilityName>
      <candidateList>
        <item>（</item>
      </candidateList>
      <explain>文本全半角错误。</explain>
      <paraID>11C84EA2</paraID>
      <start>7</start>
      <end>8</end>
      <status>unmodified</status>
      <modifiedWord/>
      <trackRevisions>false</trackRevisions>
    </reviewItem>
    <reviewItem>
      <errorID>384876bd-5ffe-46f3-b4d6-6b2b892a91a6</errorID>
      <errorWord>)</errorWord>
      <group>L1_Format</group>
      <groupName>格式问题</groupName>
      <ability>L2_HalfPunc</ability>
      <abilityName>全半角检查</abilityName>
      <candidateList>
        <item>）</item>
      </candidateList>
      <explain>文本全半角错误。</explain>
      <paraID>11C84EA2</paraID>
      <start>10</start>
      <end>11</end>
      <status>unmodified</status>
      <modifiedWord/>
      <trackRevisions>false</trackRevisions>
    </reviewItem>
    <reviewItem>
      <errorID>cc0242b8-e72c-43dd-88a5-01e9957edd03</errorID>
      <errorWord>(</errorWord>
      <group>L1_Format</group>
      <groupName>格式问题</groupName>
      <ability>L2_HalfPunc</ability>
      <abilityName>全半角检查</abilityName>
      <candidateList>
        <item>（</item>
      </candidateList>
      <explain>文本全半角错误。</explain>
      <paraID>5CDE60AF</paraID>
      <start>7</start>
      <end>8</end>
      <status>unmodified</status>
      <modifiedWord/>
      <trackRevisions>false</trackRevisions>
    </reviewItem>
    <reviewItem>
      <errorID>fe86554c-f82e-4300-83cc-6bb36bcfc514</errorID>
      <errorWord>)</errorWord>
      <group>L1_Format</group>
      <groupName>格式问题</groupName>
      <ability>L2_HalfPunc</ability>
      <abilityName>全半角检查</abilityName>
      <candidateList>
        <item>）</item>
      </candidateList>
      <explain>文本全半角错误。</explain>
      <paraID>5CDE60AF</paraID>
      <start>10</start>
      <end>11</end>
      <status>unmodified</status>
      <modifiedWord/>
      <trackRevisions>false</trackRevisions>
    </reviewItem>
    <reviewItem>
      <errorID>9b9d108c-1799-4cbf-b9d6-00d7ec5f3d44</errorID>
      <errorWord>(</errorWord>
      <group>L1_Format</group>
      <groupName>格式问题</groupName>
      <ability>L2_HalfPunc</ability>
      <abilityName>全半角检查</abilityName>
      <candidateList>
        <item>（</item>
      </candidateList>
      <explain>文本全半角错误。</explain>
      <paraID>197B6F3C</paraID>
      <start>7</start>
      <end>8</end>
      <status>unmodified</status>
      <modifiedWord/>
      <trackRevisions>false</trackRevisions>
    </reviewItem>
    <reviewItem>
      <errorID>986e74da-0b50-4971-9baf-031d23e9c9d5</errorID>
      <errorWord>)</errorWord>
      <group>L1_Format</group>
      <groupName>格式问题</groupName>
      <ability>L2_HalfPunc</ability>
      <abilityName>全半角检查</abilityName>
      <candidateList>
        <item>）</item>
      </candidateList>
      <explain>文本全半角错误。</explain>
      <paraID>197B6F3C</paraID>
      <start>10</start>
      <end>11</end>
      <status>unmodified</status>
      <modifiedWord/>
      <trackRevisions>false</trackRevisions>
    </reviewItem>
    <reviewItem>
      <errorID>ee61c803-8770-410d-b61b-d422b94d1cc9</errorID>
      <errorWord>(</errorWord>
      <group>L1_Format</group>
      <groupName>格式问题</groupName>
      <ability>L2_HalfPunc</ability>
      <abilityName>全半角检查</abilityName>
      <candidateList>
        <item>（</item>
      </candidateList>
      <explain>文本全半角错误。</explain>
      <paraID>64BC406E</paraID>
      <start>8</start>
      <end>9</end>
      <status>unmodified</status>
      <modifiedWord/>
      <trackRevisions>false</trackRevisions>
    </reviewItem>
    <reviewItem>
      <errorID>fbff15b4-c0a2-438e-87b7-e935799d7a93</errorID>
      <errorWord>)</errorWord>
      <group>L1_Format</group>
      <groupName>格式问题</groupName>
      <ability>L2_HalfPunc</ability>
      <abilityName>全半角检查</abilityName>
      <candidateList>
        <item>）</item>
      </candidateList>
      <explain>文本全半角错误。</explain>
      <paraID>64BC406E</paraID>
      <start>11</start>
      <end>12</end>
      <status>unmodified</status>
      <modifiedWord/>
      <trackRevisions>false</trackRevisions>
    </reviewItem>
    <reviewItem>
      <errorID>a691a406-6d65-44c0-a5ac-efb41f94618b</errorID>
      <errorWord>出人</errorWord>
      <group>L1_Word</group>
      <groupName>字词问题</groupName>
      <ability>L2_Typo</ability>
      <abilityName>字词错误</abilityName>
      <candidateList>
        <item>出入</item>
      </candidateList>
      <explain>❶〈动〉出去和进来：～随手关门｜东西堆在过道，～不方便。❷〈名〉（数目、内容等）不一致、不相符的情况：现款跟账上的数目没有～｜你俩说的话有～。</explain>
      <paraID>580E35C6</paraID>
      <start>47</start>
      <end>49</end>
      <status>unmodified</status>
      <modifiedWord/>
      <trackRevisions>false</trackRevisions>
    </reviewItem>
    <reviewItem>
      <errorID>04a64627-178b-4920-8b53-aa4078da8b53</errorID>
      <errorWord>(</errorWord>
      <group>L1_Format</group>
      <groupName>格式问题</groupName>
      <ability>L2_HalfPunc</ability>
      <abilityName>全半角检查</abilityName>
      <candidateList>
        <item>（</item>
      </candidateList>
      <explain>文本全半角错误。</explain>
      <paraID>27A8D067</paraID>
      <start>5</start>
      <end>6</end>
      <status>unmodified</status>
      <modifiedWord/>
      <trackRevisions>false</trackRevisions>
    </reviewItem>
    <reviewItem>
      <errorID>a96072e5-8a7c-456c-ba4e-3646b18021f7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E5D9743</paraID>
      <start>0</start>
      <end>2</end>
      <status>unmodified</status>
      <modifiedWord/>
      <trackRevisions>false</trackRevisions>
    </reviewItem>
    <reviewItem>
      <errorID>dd93c883-fa68-40bb-a249-b087278d7fba</errorID>
      <errorWord>(</errorWord>
      <group>L1_Format</group>
      <groupName>格式问题</groupName>
      <ability>L2_HalfPunc</ability>
      <abilityName>全半角检查</abilityName>
      <candidateList>
        <item>（</item>
      </candidateList>
      <explain>文本全半角错误。</explain>
      <paraID>4840DF49</paraID>
      <start>78</start>
      <end>79</end>
      <status>unmodified</status>
      <modifiedWord/>
      <trackRevisions>false</trackRevisions>
    </reviewItem>
    <reviewItem>
      <errorID>74bad841-2aff-42e2-bac6-27d74ce3e40d</errorID>
      <errorWord>致</errorWord>
      <group>L1_Word</group>
      <groupName>字词问题</groupName>
      <ability>L2_Typo</ability>
      <abilityName>字词错误</abilityName>
      <candidateList>
        <item>致和</item>
      </candidateList>
      <explain/>
      <paraID>39E5C7B1</paraID>
      <start>23</start>
      <end>24</end>
      <status>unmodified</status>
      <modifiedWord/>
      <trackRevisions>false</trackRevisions>
    </reviewItem>
    <reviewItem>
      <errorID>a19978d0-e8ba-4876-894e-15b068582915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3F2AA2C0</paraID>
      <start>0</start>
      <end>2</end>
      <status>unmodified</status>
      <modifiedWord/>
      <trackRevisions>false</trackRevisions>
    </reviewItem>
    <reviewItem>
      <errorID>5fdfd8d2-de2e-458e-8826-c20c51ba30b5</errorID>
      <errorWord>，</errorWord>
      <group>L1_Word</group>
      <groupName>字词问题</groupName>
      <ability>L2_Typo</ability>
      <abilityName>字词错误</abilityName>
      <candidateList>
        <item>，在</item>
      </candidateList>
      <explain/>
      <paraID>34FF9C98</paraID>
      <start>146</start>
      <end>147</end>
      <status>unmodified</status>
      <modifiedWord/>
      <trackRevisions>false</trackRevisions>
    </reviewItem>
    <reviewItem>
      <errorID>e176c6c3-a17a-42c5-a230-f85d3f5b6be3</errorID>
      <errorWord>木制</errorWord>
      <group>L1_Word</group>
      <groupName>字词问题</groupName>
      <ability>L2_Typo</ability>
      <abilityName>字词错误</abilityName>
      <candidateList>
        <item>木质</item>
      </candidateList>
      <explain>存在发音相同字词的误用。</explain>
      <paraID>50125FA2</paraID>
      <start>28</start>
      <end>30</end>
      <status>unmodified</status>
      <modifiedWord/>
      <trackRevisions>false</trackRevisions>
    </reviewItem>
    <reviewItem>
      <errorID>d28d18ad-005c-414b-9245-495e3c5b9b1d</errorID>
      <errorWord>做点缀</errorWord>
      <group>L1_Word</group>
      <groupName>字词问题</groupName>
      <ability>L2_Typo</ability>
      <abilityName>字词错误</abilityName>
      <candidateList>
        <item>作点缀</item>
      </candidateList>
      <explain/>
      <paraID>4C3B14B8</paraID>
      <start>56</start>
      <end>59</end>
      <status>unmodified</status>
      <modifiedWord/>
      <trackRevisions>false</trackRevisions>
    </reviewItem>
    <reviewItem>
      <errorID>fea9547b-0e44-4769-beab-382d078434ca</errorID>
      <errorWord>木制</errorWord>
      <group>L1_Word</group>
      <groupName>字词问题</groupName>
      <ability>L2_Typo</ability>
      <abilityName>字词错误</abilityName>
      <candidateList>
        <item>木质</item>
      </candidateList>
      <explain>存在发音相同字词的误用。</explain>
      <paraID>21025B00</paraID>
      <start>30</start>
      <end>32</end>
      <status>unmodified</status>
      <modifiedWord/>
      <trackRevisions>false</trackRevisions>
    </reviewItem>
    <reviewItem>
      <errorID>8ad89218-7743-4ef6-ad0a-ddb070f1a38a</errorID>
      <errorWord>做点缀</errorWord>
      <group>L1_Word</group>
      <groupName>字词问题</groupName>
      <ability>L2_Typo</ability>
      <abilityName>字词错误</abilityName>
      <candidateList>
        <item>作点缀</item>
      </candidateList>
      <explain/>
      <paraID>7269DA13</paraID>
      <start>56</start>
      <end>59</end>
      <status>unmodified</status>
      <modifiedWord/>
      <trackRevisions>false</trackRevisions>
    </reviewItem>
    <reviewItem>
      <errorID>e5032202-6be5-4aae-acc2-7a41e3863015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61E00B41</paraID>
      <start>0</start>
      <end>2</end>
      <status>unmodified</status>
      <modifiedWord/>
      <trackRevisions>false</trackRevisions>
    </reviewItem>
    <reviewItem>
      <errorID>180c05c3-54b6-4033-85b6-25387e322581</errorID>
      <errorWord>详</errorWord>
      <group>L1_Word</group>
      <groupName>字词问题</groupName>
      <ability>L2_Typo</ability>
      <abilityName>字词错误</abilityName>
      <candidateList>
        <item>详见</item>
      </candidateList>
      <explain/>
      <paraID>43A4E7BA</paraID>
      <start>83</start>
      <end>84</end>
      <status>unmodified</status>
      <modifiedWord/>
      <trackRevisions>false</trackRevisions>
    </reviewItem>
    <reviewItem>
      <errorID>ac834cad-663b-45ba-85bb-67e97c953b32</errorID>
      <errorWord>墙角</errorWord>
      <group>L1_Word</group>
      <groupName>字词问题</groupName>
      <ability>L2_Typo</ability>
      <abilityName>字词错误</abilityName>
      <candidateList>
        <item>墙脚</item>
      </candidateList>
      <explain>存在发音相同字词的误用。</explain>
      <paraID> 4FE798A</paraID>
      <start>6</start>
      <end>8</end>
      <status>unmodified</status>
      <modifiedWord/>
      <trackRevisions>false</trackRevisions>
    </reviewItem>
    <reviewItem>
      <errorID>8264000d-acd2-4bd3-8cda-e77ea3e4103e</errorID>
      <errorWord>）</errorWord>
      <group>L1_Format</group>
      <groupName>格式问题</groupName>
      <ability>L2_HalfPunc</ability>
      <abilityName>全半角检查</abilityName>
      <candidateList>
        <item>)</item>
      </candidateList>
      <explain>文本全半角错误。</explain>
      <paraID>20345E98</paraID>
      <start>2</start>
      <end>3</end>
      <status>unmodified</status>
      <modifiedWord/>
      <trackRevisions>false</trackRevisions>
    </reviewItem>
    <reviewItem>
      <errorID>ce8370d9-cbf9-4245-93a6-e5b677901afb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58AFB7D</paraID>
      <start>0</start>
      <end>3</end>
      <status>unmodified</status>
      <modifiedWord/>
      <trackRevisions>false</trackRevisions>
    </reviewItem>
    <reviewItem>
      <errorID>c736a077-60ca-416f-b078-a13ab9bad098</errorID>
      <errorWord>～</errorWord>
      <group>L1_Format</group>
      <groupName>格式问题</groupName>
      <ability>L2_HalfPunc</ability>
      <abilityName>全半角检查</abilityName>
      <candidateList>
        <item>~</item>
      </candidateList>
      <explain>文本全半角错误。</explain>
      <paraID> A805A35</paraID>
      <start>4</start>
      <end>5</end>
      <status>unmodified</status>
      <modifiedWord/>
      <trackRevisions>false</trackRevisions>
    </reviewItem>
    <reviewItem>
      <errorID>453e4b39-27c2-4de3-afe3-c3abe5590faa</errorID>
      <errorWord>～</errorWord>
      <group>L1_Format</group>
      <groupName>格式问题</groupName>
      <ability>L2_HalfPunc</ability>
      <abilityName>全半角检查</abilityName>
      <candidateList>
        <item>~</item>
      </candidateList>
      <explain>文本全半角错误。</explain>
      <paraID>709B2306</paraID>
      <start>4</start>
      <end>5</end>
      <status>unmodified</status>
      <modifiedWord/>
      <trackRevisions>false</trackRevisions>
    </reviewItem>
    <reviewItem>
      <errorID>b2e6eaff-f64f-484d-89d2-adcd09005c5f</errorID>
      <errorWord>～</errorWord>
      <group>L1_Format</group>
      <groupName>格式问题</groupName>
      <ability>L2_HalfPunc</ability>
      <abilityName>全半角检查</abilityName>
      <candidateList>
        <item>~</item>
      </candidateList>
      <explain>文本全半角错误。</explain>
      <paraID> A9B9C56</paraID>
      <start>1</start>
      <end>2</end>
      <status>unmodified</status>
      <modifiedWord/>
      <trackRevisions>false</trackRevisions>
    </reviewItem>
    <reviewItem>
      <errorID>9fffdcb9-00da-40c6-a118-702d43e76aa5</errorID>
      <errorWord>;</errorWord>
      <group>L1_Format</group>
      <groupName>格式问题</groupName>
      <ability>L2_HalfPunc</ability>
      <abilityName>全半角检查</abilityName>
      <candidateList>
        <item>；</item>
      </candidateList>
      <explain>文本全半角错误。</explain>
      <paraID>6694DE44</paraID>
      <start>31</start>
      <end>32</end>
      <status>unmodified</status>
      <modifiedWord/>
      <trackRevisions>false</trackRevisions>
    </reviewItem>
    <reviewItem>
      <errorID>fe7144d5-a3f1-4c44-ae07-725e75ef9176</errorID>
      <errorWord>~</errorWord>
      <group>L1_Format</group>
      <groupName>格式问题</groupName>
      <ability>L2_HalfPunc</ability>
      <abilityName>全半角检查</abilityName>
      <candidateList>
        <item>～</item>
      </candidateList>
      <explain>文本全半角错误。</explain>
      <paraID>6694DE44</paraID>
      <start>39</start>
      <end>40</end>
      <status>unmodified</status>
      <modifiedWord/>
      <trackRevisions>false</trackRevisions>
    </reviewItem>
    <reviewItem>
      <errorID>75620f04-5783-4cd2-9d88-f998d4a811c2</errorID>
      <errorWord>(</errorWord>
      <group>L1_Format</group>
      <groupName>格式问题</groupName>
      <ability>L2_HalfPunc</ability>
      <abilityName>全半角检查</abilityName>
      <candidateList>
        <item>（</item>
      </candidateList>
      <explain>文本全半角错误。</explain>
      <paraID>78B1EDBE</paraID>
      <start>11</start>
      <end>12</end>
      <status>unmodified</status>
      <modifiedWord/>
      <trackRevisions>false</trackRevisions>
    </reviewItem>
    <reviewItem>
      <errorID>ca39ae9a-43d4-4339-abc8-03159471eacf</errorID>
      <errorWord>(</errorWord>
      <group>L1_Format</group>
      <groupName>格式问题</groupName>
      <ability>L2_HalfPunc</ability>
      <abilityName>全半角检查</abilityName>
      <candidateList>
        <item>（</item>
      </candidateList>
      <explain>文本全半角错误。</explain>
      <paraID>7A44D02C</paraID>
      <start>10</start>
      <end>11</end>
      <status>unmodified</status>
      <modifiedWord/>
      <trackRevisions>false</trackRevisions>
    </reviewItem>
    <reviewItem>
      <errorID>8d91db48-0783-430d-97e9-4ea7e143af30</errorID>
      <errorWord>(</errorWord>
      <group>L1_Format</group>
      <groupName>格式问题</groupName>
      <ability>L2_HalfPunc</ability>
      <abilityName>全半角检查</abilityName>
      <candidateList>
        <item>（</item>
      </candidateList>
      <explain>文本全半角错误。</explain>
      <paraID>7A44D02C</paraID>
      <start>24</start>
      <end>25</end>
      <status>unmodified</status>
      <modifiedWord/>
      <trackRevisions>false</trackRevisions>
    </reviewItem>
    <reviewItem>
      <errorID>ad2e1a88-963a-45f4-b8b0-d042c8f5c8dd</errorID>
      <errorWord>(</errorWord>
      <group>L1_Format</group>
      <groupName>格式问题</groupName>
      <ability>L2_HalfPunc</ability>
      <abilityName>全半角检查</abilityName>
      <candidateList>
        <item>（</item>
      </candidateList>
      <explain>文本全半角错误。</explain>
      <paraID>740BA67E</paraID>
      <start>14</start>
      <end>15</end>
      <status>unmodified</status>
      <modifiedWord/>
      <trackRevisions>false</trackRevisions>
    </reviewItem>
    <reviewItem>
      <errorID>02b46cc8-605e-4d66-9af7-464973ccbfcd</errorID>
      <errorWord>(</errorWord>
      <group>L1_Format</group>
      <groupName>格式问题</groupName>
      <ability>L2_HalfPunc</ability>
      <abilityName>全半角检查</abilityName>
      <candidateList>
        <item>（</item>
      </candidateList>
      <explain>文本全半角错误。</explain>
      <paraID>51BB20BB</paraID>
      <start>36</start>
      <end>37</end>
      <status>unmodified</status>
      <modifiedWord/>
      <trackRevisions>false</trackRevisions>
    </reviewItem>
    <reviewItem>
      <errorID>492ec00b-3f26-4e64-b581-968e18ad07a8</errorID>
      <errorWord>(</errorWord>
      <group>L1_Format</group>
      <groupName>格式问题</groupName>
      <ability>L2_HalfPunc</ability>
      <abilityName>全半角检查</abilityName>
      <candidateList>
        <item>（</item>
      </candidateList>
      <explain>文本全半角错误。</explain>
      <paraID>44FF9BC5</paraID>
      <start>51</start>
      <end>52</end>
      <status>unmodified</status>
      <modifiedWord/>
      <trackRevisions>false</trackRevisions>
    </reviewItem>
    <reviewItem>
      <errorID>b30aa83b-8735-4477-aa02-e28f761d2d1c</errorID>
      <errorWord>(</errorWord>
      <group>L1_Format</group>
      <groupName>格式问题</groupName>
      <ability>L2_HalfPunc</ability>
      <abilityName>全半角检查</abilityName>
      <candidateList>
        <item>（</item>
      </candidateList>
      <explain>文本全半角错误。</explain>
      <paraID>7A45B10A</paraID>
      <start>58</start>
      <end>59</end>
      <status>unmodified</status>
      <modifiedWord/>
      <trackRevisions>false</trackRevisions>
    </reviewItem>
    <reviewItem>
      <errorID>97ddb312-568d-41a7-8fab-9af6d682d6a7</errorID>
      <errorWord>平</errorWord>
      <group>L1_Word</group>
      <groupName>字词问题</groupName>
      <ability>L2_Typo</ability>
      <abilityName>字词错误</abilityName>
      <candidateList>
        <item>平方</item>
      </candidateList>
      <explain/>
      <paraID>7D01DCC7</paraID>
      <start>40</start>
      <end>42</end>
      <status>modified</status>
      <modifiedWord>平方</modifiedWord>
      <trackRevisions>false</trackRevisions>
    </reviewItem>
    <reviewItem>
      <errorID>4480617b-aabb-4e26-8dc4-39e9ba63f16a</errorID>
      <errorWord>~</errorWord>
      <group>L1_Format</group>
      <groupName>格式问题</groupName>
      <ability>L2_HalfPunc</ability>
      <abilityName>全半角检查</abilityName>
      <candidateList>
        <item>～</item>
      </candidateList>
      <explain>文本全半角错误。</explain>
      <paraID>7D01DCC7</paraID>
      <start>48</start>
      <end>49</end>
      <status>unmodified</status>
      <modifiedWord/>
      <trackRevisions>false</trackRevisions>
    </reviewItem>
    <reviewItem>
      <errorID>c63722e0-cf8f-453d-bc9c-3512494ed228</errorID>
      <errorWord>主要以干清扫为主</errorWord>
      <group>L1_Grammar</group>
      <groupName>语法问题</groupName>
      <ability>L2_Grammar</ability>
      <abilityName>语法错误</abilityName>
      <candidateList>
        <item>以干清扫为主</item>
      </candidateList>
      <explain/>
      <paraID>7D01DCC7</paraID>
      <start>72</start>
      <end>78</end>
      <status>modified</status>
      <modifiedWord>以干清扫为主</modifiedWord>
      <trackRevisions>false</trackRevisions>
    </reviewItem>
    <reviewItem>
      <errorID>7fb40b6b-817b-400d-8537-f80d6eb3dab9</errorID>
      <errorWord>;</errorWord>
      <group>L1_Format</group>
      <groupName>格式问题</groupName>
      <ability>L2_HalfPunc</ability>
      <abilityName>全半角检查</abilityName>
      <candidateList>
        <item>；</item>
      </candidateList>
      <explain>文本全半角错误。</explain>
      <paraID>390841DA</paraID>
      <start>20</start>
      <end>21</end>
      <status>modified</status>
      <modifiedWord>；</modifiedWord>
      <trackRevisions>false</trackRevisions>
    </reviewItem>
    <reviewItem>
      <errorID>eb0e05d5-87d6-4c42-ad41-f54902c5fc69</errorID>
      <errorWord>～</errorWord>
      <group>L1_Format</group>
      <groupName>格式问题</groupName>
      <ability>L2_HalfPunc</ability>
      <abilityName>全半角检查</abilityName>
      <candidateList>
        <item>~</item>
      </candidateList>
      <explain>文本全半角错误。</explain>
      <paraID>54E6A62D</paraID>
      <start>4</start>
      <end>5</end>
      <status>unmodified</status>
      <modifiedWord/>
      <trackRevisions>false</trackRevisions>
    </reviewItem>
    <reviewItem>
      <errorID>1b136828-057b-4f3a-964d-86aa20973eb2</errorID>
      <errorWord>～</errorWord>
      <group>L1_Format</group>
      <groupName>格式问题</groupName>
      <ability>L2_HalfPunc</ability>
      <abilityName>全半角检查</abilityName>
      <candidateList>
        <item>~</item>
      </candidateList>
      <explain>文本全半角错误。</explain>
      <paraID>66520867</paraID>
      <start>4</start>
      <end>5</end>
      <status>unmodified</status>
      <modifiedWord/>
      <trackRevisions>false</trackRevisions>
    </reviewItem>
    <reviewItem>
      <errorID>760782b6-8b62-4348-ab15-edfd19ce8a1e</errorID>
      <errorWord>～</errorWord>
      <group>L1_Format</group>
      <groupName>格式问题</groupName>
      <ability>L2_HalfPunc</ability>
      <abilityName>全半角检查</abilityName>
      <candidateList>
        <item>~</item>
      </candidateList>
      <explain>文本全半角错误。</explain>
      <paraID> 31A402E</paraID>
      <start>4</start>
      <end>5</end>
      <status>unmodified</status>
      <modifiedWord/>
      <trackRevisions>false</trackRevisions>
    </reviewItem>
    <reviewItem>
      <errorID>460af3a0-54e9-41c3-a5b5-81109ac4034b</errorID>
      <errorWord>～</errorWord>
      <group>L1_Format</group>
      <groupName>格式问题</groupName>
      <ability>L2_HalfPunc</ability>
      <abilityName>全半角检查</abilityName>
      <candidateList>
        <item>~</item>
      </candidateList>
      <explain>文本全半角错误。</explain>
      <paraID>1AB83255</paraID>
      <start>4</start>
      <end>5</end>
      <status>unmodified</status>
      <modifiedWord/>
      <trackRevisions>false</trackRevisions>
    </reviewItem>
    <reviewItem>
      <errorID>a4a0b422-8039-4fbc-85cb-7ed2c6690d22</errorID>
      <errorWord>～</errorWord>
      <group>L1_Format</group>
      <groupName>格式问题</groupName>
      <ability>L2_HalfPunc</ability>
      <abilityName>全半角检查</abilityName>
      <candidateList>
        <item>~</item>
      </candidateList>
      <explain>文本全半角错误。</explain>
      <paraID>7BD5A27B</paraID>
      <start>4</start>
      <end>5</end>
      <status>unmodified</status>
      <modifiedWord/>
      <trackRevisions>false</trackRevisions>
    </reviewItem>
    <reviewItem>
      <errorID>5ade7a83-cb43-48ec-9b23-54e6579bd6e2</errorID>
      <errorWord>～</errorWord>
      <group>L1_Format</group>
      <groupName>格式问题</groupName>
      <ability>L2_HalfPunc</ability>
      <abilityName>全半角检查</abilityName>
      <candidateList>
        <item>~</item>
      </candidateList>
      <explain>文本全半角错误。</explain>
      <paraID>60B8D2EA</paraID>
      <start>4</start>
      <end>5</end>
      <status>unmodified</status>
      <modifiedWord/>
      <trackRevisions>false</trackRevisions>
    </reviewItem>
    <reviewItem>
      <errorID>d88a7d86-6049-4028-9ab7-1c60d081c098</errorID>
      <errorWord>～</errorWord>
      <group>L1_Format</group>
      <groupName>格式问题</groupName>
      <ability>L2_HalfPunc</ability>
      <abilityName>全半角检查</abilityName>
      <candidateList>
        <item>~</item>
      </candidateList>
      <explain>文本全半角错误。</explain>
      <paraID>149B360B</paraID>
      <start>4</start>
      <end>5</end>
      <status>unmodified</status>
      <modifiedWord/>
      <trackRevisions>false</trackRevisions>
    </reviewItem>
    <reviewItem>
      <errorID>0a23055a-5644-489c-a2e3-c9fff1208385</errorID>
      <errorWord>～</errorWord>
      <group>L1_Format</group>
      <groupName>格式问题</groupName>
      <ability>L2_HalfPunc</ability>
      <abilityName>全半角检查</abilityName>
      <candidateList>
        <item>~</item>
      </candidateList>
      <explain>文本全半角错误。</explain>
      <paraID> 584A1A6</paraID>
      <start>4</start>
      <end>5</end>
      <status>unmodified</status>
      <modifiedWord/>
      <trackRevisions>false</trackRevisions>
    </reviewItem>
    <reviewItem>
      <errorID>35d3c139-636e-4df7-961e-231a317a5997</errorID>
      <errorWord>～</errorWord>
      <group>L1_Format</group>
      <groupName>格式问题</groupName>
      <ability>L2_HalfPunc</ability>
      <abilityName>全半角检查</abilityName>
      <candidateList>
        <item>~</item>
      </candidateList>
      <explain>文本全半角错误。</explain>
      <paraID> B49960B</paraID>
      <start>4</start>
      <end>5</end>
      <status>unmodified</status>
      <modifiedWord/>
      <trackRevisions>false</trackRevisions>
    </reviewItem>
    <reviewItem>
      <errorID>70e28f68-c5ec-49b5-9d06-78a3260a80b0</errorID>
      <errorWord>～</errorWord>
      <group>L1_Format</group>
      <groupName>格式问题</groupName>
      <ability>L2_HalfPunc</ability>
      <abilityName>全半角检查</abilityName>
      <candidateList>
        <item>~</item>
      </candidateList>
      <explain>文本全半角错误。</explain>
      <paraID>23C8CC02</paraID>
      <start>3</start>
      <end>4</end>
      <status>unmodified</status>
      <modifiedWord/>
      <trackRevisions>false</trackRevisions>
    </reviewItem>
    <reviewItem>
      <errorID>1f0f3243-5fa6-4aad-8456-e77c50b5d04b</errorID>
      <errorWord>～</errorWord>
      <group>L1_Format</group>
      <groupName>格式问题</groupName>
      <ability>L2_HalfPunc</ability>
      <abilityName>全半角检查</abilityName>
      <candidateList>
        <item>~</item>
      </candidateList>
      <explain>文本全半角错误。</explain>
      <paraID>345E4773</paraID>
      <start>3</start>
      <end>4</end>
      <status>unmodified</status>
      <modifiedWord/>
      <trackRevisions>false</trackRevisions>
    </reviewItem>
    <reviewItem>
      <errorID>cdceb862-f08d-4095-baf8-8415c1eba399</errorID>
      <errorWord>～</errorWord>
      <group>L1_Format</group>
      <groupName>格式问题</groupName>
      <ability>L2_HalfPunc</ability>
      <abilityName>全半角检查</abilityName>
      <candidateList>
        <item>~</item>
      </candidateList>
      <explain>文本全半角错误。</explain>
      <paraID>52A9FFD7</paraID>
      <start>3</start>
      <end>4</end>
      <status>unmodified</status>
      <modifiedWord/>
      <trackRevisions>false</trackRevisions>
    </reviewItem>
    <reviewItem>
      <errorID>5c5ce727-3e22-4aad-a27f-670b2c40d520</errorID>
      <errorWord>～</errorWord>
      <group>L1_Format</group>
      <groupName>格式问题</groupName>
      <ability>L2_HalfPunc</ability>
      <abilityName>全半角检查</abilityName>
      <candidateList>
        <item>~</item>
      </candidateList>
      <explain>文本全半角错误。</explain>
      <paraID> 5EC1F06</paraID>
      <start>4</start>
      <end>5</end>
      <status>unmodified</status>
      <modifiedWord/>
      <trackRevisions>false</trackRevisions>
    </reviewItem>
    <reviewItem>
      <errorID>6afad195-2b59-4036-8eb7-f82027e33fa8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328848F7</paraID>
      <start>0</start>
      <end>2</end>
      <status>unmodified</status>
      <modifiedWord/>
      <trackRevisions>false</trackRevisions>
    </reviewItem>
    <reviewItem>
      <errorID>e7cfd2bc-e9a6-43dc-81f6-58322f03fa6e</errorID>
      <errorWord>（</errorWord>
      <group>L1_Format</group>
      <groupName>格式问题</groupName>
      <ability>L2_HalfPunc</ability>
      <abilityName>全半角检查</abilityName>
      <candidateList>
        <item>(</item>
      </candidateList>
      <explain>文本全半角错误。</explain>
      <paraID>5C92E403</paraID>
      <start>2</start>
      <end>3</end>
      <status>unmodified</status>
      <modifiedWord/>
      <trackRevisions>false</trackRevisions>
    </reviewItem>
    <reviewItem>
      <errorID>0824d8a9-5d3f-4a2f-a779-cfec01d68ef0</errorID>
      <errorWord>）</errorWord>
      <group>L1_Format</group>
      <groupName>格式问题</groupName>
      <ability>L2_HalfPunc</ability>
      <abilityName>全半角检查</abilityName>
      <candidateList>
        <item>)</item>
      </candidateList>
      <explain>文本全半角错误。</explain>
      <paraID>5C92E403</paraID>
      <start>5</start>
      <end>6</end>
      <status>unmodified</status>
      <modifiedWord/>
      <trackRevisions>false</trackRevisions>
    </reviewItem>
    <reviewItem>
      <errorID>f0b09632-2d3c-40c5-bdab-a63b7288207f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85C88F3</paraID>
      <start>0</start>
      <end>2</end>
      <status>unmodified</status>
      <modifiedWord/>
      <trackRevisions>false</trackRevisions>
    </reviewItem>
    <reviewItem>
      <errorID>5f16987d-d01a-4d5c-82ab-52872aa181b3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2F8B3D88</paraID>
      <start>0</start>
      <end>2</end>
      <status>unmodified</status>
      <modifiedWord/>
      <trackRevisions>false</trackRevisions>
    </reviewItem>
    <reviewItem>
      <errorID>b350e4a4-85f0-46da-8d18-d6523a276ced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7D39BBC</paraID>
      <start>0</start>
      <end>2</end>
      <status>unmodified</status>
      <modifiedWord/>
      <trackRevisions>false</trackRevisions>
    </reviewItem>
    <reviewItem>
      <errorID>f5ef0fae-b46e-46c7-83ba-341ced65444d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4DA29312</paraID>
      <start>0</start>
      <end>2</end>
      <status>unmodified</status>
      <modifiedWord/>
      <trackRevisions>false</trackRevisions>
    </reviewItem>
    <reviewItem>
      <errorID>e55a1aa2-57cc-44f1-bbd4-5f10c70ac91f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187350EE</paraID>
      <start>0</start>
      <end>2</end>
      <status>unmodified</status>
      <modifiedWord/>
      <trackRevisions>false</trackRevisions>
    </reviewItem>
    <reviewItem>
      <errorID>fb06148e-d462-49e2-9ce3-f5a11f86f28d</errorID>
      <errorWord>１</errorWord>
      <group>L1_Format</group>
      <groupName>格式问题</groupName>
      <ability>L2_HalfPunc</ability>
      <abilityName>全半角检查</abilityName>
      <candidateList>
        <item>1</item>
      </candidateList>
      <explain>文本全半角错误。</explain>
      <paraID>2B611F71</paraID>
      <start>1</start>
      <end>2</end>
      <status>unmodified</status>
      <modifiedWord/>
      <trackRevisions>false</trackRevisions>
    </reviewItem>
    <reviewItem>
      <errorID>57f5c71d-6e2e-49c1-91c9-2b0afd723939</errorID>
      <errorWord>２</errorWord>
      <group>L1_Format</group>
      <groupName>格式问题</groupName>
      <ability>L2_HalfPunc</ability>
      <abilityName>全半角检查</abilityName>
      <candidateList>
        <item>2</item>
      </candidateList>
      <explain>文本全半角错误。</explain>
      <paraID>19CBD563</paraID>
      <start>1</start>
      <end>2</end>
      <status>unmodified</status>
      <modifiedWord/>
      <trackRevisions>false</trackRevisions>
    </reviewItem>
    <reviewItem>
      <errorID>7201589c-8109-46dc-8532-4139d6017d29</errorID>
      <errorWord>１</errorWord>
      <group>L1_Format</group>
      <groupName>格式问题</groupName>
      <ability>L2_HalfPunc</ability>
      <abilityName>全半角检查</abilityName>
      <candidateList>
        <item>1</item>
      </candidateList>
      <explain>文本全半角错误。</explain>
      <paraID>36F0DE94</paraID>
      <start>1</start>
      <end>2</end>
      <status>unmodified</status>
      <modifiedWord/>
      <trackRevisions>false</trackRevisions>
    </reviewItem>
    <reviewItem>
      <errorID>fbed4b0e-371d-4b0b-930c-4ac6db285fb6</errorID>
      <errorWord>２</errorWord>
      <group>L1_Format</group>
      <groupName>格式问题</groupName>
      <ability>L2_HalfPunc</ability>
      <abilityName>全半角检查</abilityName>
      <candidateList>
        <item>2</item>
      </candidateList>
      <explain>文本全半角错误。</explain>
      <paraID>5197AAD5</paraID>
      <start>1</start>
      <end>2</end>
      <status>unmodified</status>
      <modifiedWord/>
      <trackRevisions>false</trackRevisions>
    </reviewItem>
    <reviewItem>
      <errorID>d067c332-a520-4a2b-b2f5-6fab8b9aa32b</errorID>
      <errorWord>相链接</errorWord>
      <group>L1_Word</group>
      <groupName>字词问题</groupName>
      <ability>L2_Typo</ability>
      <abilityName>字词错误</abilityName>
      <candidateList>
        <item>相连接</item>
      </candidateList>
      <explain>存在发音相同字词的误用。</explain>
      <paraID> 7A13EF6</paraID>
      <start>31</start>
      <end>34</end>
      <status>unmodified</status>
      <modifiedWord/>
      <trackRevisions>false</trackRevisions>
    </reviewItem>
    <reviewItem>
      <errorID>6c63f55e-1afe-4b02-a980-04861a00864d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36121DF5</paraID>
      <start>0</start>
      <end>2</end>
      <status>unmodified</status>
      <modifiedWord/>
      <trackRevisions>false</trackRevisions>
    </reviewItem>
    <reviewItem>
      <errorID>8cbefc81-022f-45a8-bbaf-275bacb5c726</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 7D1B629</paraID>
      <start>22</start>
      <end>23</end>
      <status>unmodified</status>
      <modifiedWord/>
      <trackRevisions>false</trackRevisions>
    </reviewItem>
    <reviewItem>
      <errorID>903290d7-5299-4904-86b9-9a9fd075d699</errorID>
      <errorWord>等明</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2FC3DCA4</paraID>
      <start>34</start>
      <end>36</end>
      <status>unmodified</status>
      <modifiedWord/>
      <trackRevisions>false</trackRevisions>
    </reviewItem>
    <reviewItem>
      <errorID>105273f0-7b12-4d73-989a-cf2d63eda31f</errorID>
      <errorWord>试运行转</errorWord>
      <group>L1_Word</group>
      <groupName>字词问题</groupName>
      <ability>L2_Typo</ability>
      <abilityName>字词错误</abilityName>
      <candidateList>
        <item>试运行</item>
      </candidateList>
      <explain/>
      <paraID> 7F44D22</paraID>
      <start>42</start>
      <end>46</end>
      <status>unmodified</status>
      <modifiedWord/>
      <trackRevisions>false</trackRevisions>
    </reviewItem>
    <reviewItem>
      <errorID>ec4d3dd4-4983-433d-b76c-0bd19c5bd159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236BEAD2</paraID>
      <start>0</start>
      <end>2</end>
      <status>unmodified</status>
      <modifiedWord/>
      <trackRevisions>false</trackRevisions>
    </reviewItem>
    <reviewItem>
      <errorID>24f9d44a-6377-4c87-90fd-f5d8a26c88c5</errorID>
      <errorWord>，</errorWord>
      <group>L1_Word</group>
      <groupName>字词问题</groupName>
      <ability>L2_Typo</ability>
      <abilityName>字词错误</abilityName>
      <candidateList>
        <item>，包</item>
      </candidateList>
      <explain/>
      <paraID>1AA1638A</paraID>
      <start>58</start>
      <end>59</end>
      <status>unmodified</status>
      <modifiedWord/>
      <trackRevisions>false</trackRevisions>
    </reviewItem>
    <reviewItem>
      <errorID>40e97a8c-7c75-43fa-bc2d-62be4e2c3a9c</errorID>
      <errorWord>;</errorWord>
      <group>L1_Format</group>
      <groupName>格式问题</groupName>
      <ability>L2_HalfPunc</ability>
      <abilityName>全半角检查</abilityName>
      <candidateList>
        <item>；</item>
      </candidateList>
      <explain>文本全半角错误。</explain>
      <paraID>13A09D57</paraID>
      <start>58</start>
      <end>59</end>
      <status>unmodified</status>
      <modifiedWord/>
      <trackRevisions>false</trackRevisions>
    </reviewItem>
    <reviewItem>
      <errorID>e3a4164d-1c20-4651-8710-3fcbc7e28f8f</errorID>
      <errorWord>施工营</errorWord>
      <group>L1_Word</group>
      <groupName>字词问题</groupName>
      <ability>L2_Typo</ability>
      <abilityName>字词错误</abilityName>
      <candidateList>
        <item>施工</item>
      </candidateList>
      <explain>〈动〉按照设计的规格和要求建筑房屋、桥梁、道路、水利工程等。</explain>
      <paraID>13C0DF1C</paraID>
      <start>173</start>
      <end>176</end>
      <status>unmodified</status>
      <modifiedWord/>
      <trackRevisions>false</trackRevisions>
    </reviewItem>
    <reviewItem>
      <errorID>cbbaa4a6-0ad2-4edc-9bfa-08aa6801eec1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32E9E042</paraID>
      <start>0</start>
      <end>2</end>
      <status>unmodified</status>
      <modifiedWord/>
      <trackRevisions>false</trackRevisions>
    </reviewItem>
    <reviewItem>
      <errorID>79e45ecf-34a0-4e19-ae3a-5f75bbb83e67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64EFEBC2</paraID>
      <start>0</start>
      <end>2</end>
      <status>unmodified</status>
      <modifiedWord/>
      <trackRevisions>false</trackRevisions>
    </reviewItem>
    <reviewItem>
      <errorID>71eba8d6-6db0-4e33-b429-bb103711bf80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69FA9FEC</paraID>
      <start>0</start>
      <end>2</end>
      <status>unmodified</status>
      <modifiedWord/>
      <trackRevisions>false</trackRevisions>
    </reviewItem>
    <reviewItem>
      <errorID>13f58668-b0e4-4784-9d1c-c3b3831a420e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6B07F44</paraID>
      <start>0</start>
      <end>2</end>
      <status>unmodified</status>
      <modifiedWord/>
      <trackRevisions>false</trackRevisions>
    </reviewItem>
    <reviewItem>
      <errorID>1b9b49da-bfae-43ef-b6fc-7872c8a89888</errorID>
      <errorWord>雨篷</errorWord>
      <group>L1_Word</group>
      <groupName>字词问题</groupName>
      <ability>L2_Typo</ability>
      <abilityName>字词错误</abilityName>
      <candidateList>
        <item>雨棚</item>
      </candidateList>
      <explain>存在发音相同字词的误用。</explain>
      <paraID>5DFE2746</paraID>
      <start>12</start>
      <end>14</end>
      <status>unmodified</status>
      <modifiedWord/>
      <trackRevisions>false</trackRevisions>
    </reviewItem>
    <reviewItem>
      <errorID>977af6f5-3b17-4461-bbcf-600ebe77528a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3E326E1A</paraID>
      <start>0</start>
      <end>2</end>
      <status>unmodified</status>
      <modifiedWord/>
      <trackRevisions>false</trackRevisions>
    </reviewItem>
    <reviewItem>
      <errorID>dfb827c3-de0d-43bc-97f1-cf9202738792</errorID>
      <errorWord>依</errorWord>
      <group>L1_Word</group>
      <groupName>字词问题</groupName>
      <ability>L2_Typo</ability>
      <abilityName>字词错误</abilityName>
      <candidateList>
        <item>依据</item>
      </candidateList>
      <explain/>
      <paraID>  5A7B9C</paraID>
      <start>33</start>
      <end>34</end>
      <status>unmodified</status>
      <modifiedWord/>
      <trackRevisions>false</trackRevisions>
    </reviewItem>
    <reviewItem>
      <errorID>889b870b-578c-4016-a219-13b301e7a8aa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57C5696A</paraID>
      <start>0</start>
      <end>2</end>
      <status>unmodified</status>
      <modifiedWord/>
      <trackRevisions>false</trackRevisions>
    </reviewItem>
    <reviewItem>
      <errorID>04c02fd7-b020-44f9-aaf2-570b48959a64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4B69EDC9</paraID>
      <start>0</start>
      <end>2</end>
      <status>unmodified</status>
      <modifiedWord/>
      <trackRevisions>false</trackRevisions>
    </reviewItem>
    <reviewItem>
      <errorID>e779d533-f512-4570-8bf9-c0dd3ba05860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39D40F89</paraID>
      <start>0</start>
      <end>2</end>
      <status>unmodified</status>
      <modifiedWord/>
      <trackRevisions>false</trackRevisions>
    </reviewItem>
    <reviewItem>
      <errorID>2f074b67-5a24-40aa-afd4-459ae2c529fa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1764DA9B</paraID>
      <start>0</start>
      <end>2</end>
      <status>unmodified</status>
      <modifiedWord/>
      <trackRevisions>false</trackRevisions>
    </reviewItem>
    <reviewItem>
      <errorID>55f6f3df-4b8c-4e22-9f57-49976c9b9949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13232C00</paraID>
      <start>0</start>
      <end>2</end>
      <status>unmodified</status>
      <modifiedWord/>
      <trackRevisions>false</trackRevisions>
    </reviewItem>
    <reviewItem>
      <errorID>b1f91f96-849c-4f23-90a9-c1a2614d9163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475BBE9C</paraID>
      <start>0</start>
      <end>2</end>
      <status>unmodified</status>
      <modifiedWord/>
      <trackRevisions>false</trackRevisions>
    </reviewItem>
    <reviewItem>
      <errorID>45a992e6-fab6-48cd-9a57-82449fffa706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25AC52DF</paraID>
      <start>0</start>
      <end>2</end>
      <status>unmodified</status>
      <modifiedWord/>
      <trackRevisions>false</trackRevisions>
    </reviewItem>
    <reviewItem>
      <errorID>76af05be-f3d8-4ec1-9482-19d08cdf5030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5EF3F393</paraID>
      <start>0</start>
      <end>2</end>
      <status>unmodified</status>
      <modifiedWord/>
      <trackRevisions>false</trackRevisions>
    </reviewItem>
    <reviewItem>
      <errorID>b9cb8137-baf4-4a4c-a446-f28f3052ceb9</errorID>
      <errorWord>提资</errorWord>
      <group>L1_Word</group>
      <groupName>字词问题</groupName>
      <ability>L2_Typo</ability>
      <abilityName>字词错误</abilityName>
      <candidateList>
        <item>物资</item>
      </candidateList>
      <explain/>
      <paraID>5EF3F393</paraID>
      <start>24</start>
      <end>26</end>
      <status>unmodified</status>
      <modifiedWord/>
      <trackRevisions>false</trackRevisions>
    </reviewItem>
    <reviewItem>
      <errorID>d0db540b-9dd4-4151-9c73-54455d6ecc6c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4FD441F1</paraID>
      <start>0</start>
      <end>2</end>
      <status>unmodified</status>
      <modifiedWord/>
      <trackRevisions>false</trackRevisions>
    </reviewItem>
    <reviewItem>
      <errorID>af30e699-d64d-40e7-b862-07e5becd8ff8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FAAAE2</paraID>
      <start>0</start>
      <end>2</end>
      <status>unmodified</status>
      <modifiedWord/>
      <trackRevisions>false</trackRevisions>
    </reviewItem>
    <reviewItem>
      <errorID>5ac46a29-bf9a-4d82-b43e-34059374bb69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4A2B8438</paraID>
      <start>0</start>
      <end>2</end>
      <status>unmodified</status>
      <modifiedWord/>
      <trackRevisions>false</trackRevisions>
    </reviewItem>
    <reviewItem>
      <errorID>c264b20c-4c4e-4862-bc52-1ebfb9092d9f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46DAD1BD</paraID>
      <start>0</start>
      <end>2</end>
      <status>unmodified</status>
      <modifiedWord/>
      <trackRevisions>false</trackRevisions>
    </reviewItem>
    <reviewItem>
      <errorID>a975ce84-6b1c-4bad-a23e-06d425d4de80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30E66A20</paraID>
      <start>0</start>
      <end>2</end>
      <status>unmodified</status>
      <modifiedWord/>
      <trackRevisions>false</trackRevisions>
    </reviewItem>
    <reviewItem>
      <errorID>a58211f6-a280-40cc-93f8-df05cd6059fb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12821017</paraID>
      <start>0</start>
      <end>2</end>
      <status>unmodified</status>
      <modifiedWord/>
      <trackRevisions>false</trackRevisions>
    </reviewItem>
    <reviewItem>
      <errorID>2f4d26bd-ae9e-45fc-b6b0-081912ed65b4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22AFFA41</paraID>
      <start>0</start>
      <end>2</end>
      <status>unmodified</status>
      <modifiedWord/>
      <trackRevisions>false</trackRevisions>
    </reviewItem>
    <reviewItem>
      <errorID>deb16005-818f-4015-a622-37025e61c386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5420566B</paraID>
      <start>0</start>
      <end>2</end>
      <status>unmodified</status>
      <modifiedWord/>
      <trackRevisions>false</trackRevisions>
    </reviewItem>
    <reviewItem>
      <errorID>7434d8a2-e48f-4f65-b010-3597dbc44e99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E25428D</paraID>
      <start>0</start>
      <end>2</end>
      <status>unmodified</status>
      <modifiedWord/>
      <trackRevisions>false</trackRevisions>
    </reviewItem>
    <reviewItem>
      <errorID>7ffad0dd-6204-42fd-be68-271259cb07f1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270DCBB3</paraID>
      <start>0</start>
      <end>2</end>
      <status>unmodified</status>
      <modifiedWord/>
      <trackRevisions>false</trackRevisions>
    </reviewItem>
    <reviewItem>
      <errorID>72557c44-cd26-445b-9521-1ae5b54a1cc9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270A1565</paraID>
      <start>0</start>
      <end>2</end>
      <status>unmodified</status>
      <modifiedWord/>
      <trackRevisions>false</trackRevisions>
    </reviewItem>
    <reviewItem>
      <errorID>13fc720f-8a7b-47bb-bec7-e5408020a867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5CFD14A6</paraID>
      <start>0</start>
      <end>2</end>
      <status>unmodified</status>
      <modifiedWord/>
      <trackRevisions>false</trackRevisions>
    </reviewItem>
    <reviewItem>
      <errorID>0a52a4ef-9146-4e94-afd1-ec66704d49f7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5A2608BB</paraID>
      <start>0</start>
      <end>2</end>
      <status>unmodified</status>
      <modifiedWord/>
      <trackRevisions>false</trackRevisions>
    </reviewItem>
    <reviewItem>
      <errorID>6951fa16-b1b6-42b5-b947-8c6209077e5a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5E54C36D</paraID>
      <start>0</start>
      <end>2</end>
      <status>unmodified</status>
      <modifiedWord/>
      <trackRevisions>false</trackRevisions>
    </reviewItem>
    <reviewItem>
      <errorID>65662748-0fda-4c4d-b50d-fdbc8c3438e8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6F2F68F6</paraID>
      <start>0</start>
      <end>2</end>
      <status>unmodified</status>
      <modifiedWord/>
      <trackRevisions>false</trackRevisions>
    </reviewItem>
    <reviewItem>
      <errorID>ce366533-d012-4ae6-9abf-bd54997c58b8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8DA9F47</paraID>
      <start>0</start>
      <end>2</end>
      <status>unmodified</status>
      <modifiedWord/>
      <trackRevisions>false</trackRevisions>
    </reviewItem>
    <reviewItem>
      <errorID>37bf54e0-39a6-4288-822b-f03acf662b7b</errorID>
      <errorWord>-</errorWord>
      <group>L1_Format</group>
      <groupName>格式问题</groupName>
      <ability>L2_HalfPunc</ability>
      <abilityName>全半角检查</abilityName>
      <candidateList>
        <item>－</item>
      </candidateList>
      <explain>文本全半角错误。</explain>
      <paraID> 1AD5867</paraID>
      <start>100</start>
      <end>101</end>
      <status>unmodified</status>
      <modifiedWord/>
      <trackRevisions>false</trackRevisions>
    </reviewItem>
    <reviewItem>
      <errorID>f52751b9-44e6-4847-8d7d-3bf7e1744e17</errorID>
      <errorWord>-</errorWord>
      <group>L1_Format</group>
      <groupName>格式问题</groupName>
      <ability>L2_HalfPunc</ability>
      <abilityName>全半角检查</abilityName>
      <candidateList>
        <item>－</item>
      </candidateList>
      <explain>文本全半角错误。</explain>
      <paraID> 1AD5867</paraID>
      <start>114</start>
      <end>115</end>
      <status>unmodified</status>
      <modifiedWord/>
      <trackRevisions>false</trackRevisions>
    </reviewItem>
    <reviewItem>
      <errorID>dec8c39f-5d81-42e2-9788-6fba3b74a23f</errorID>
      <errorWord>(</errorWord>
      <group>L1_Format</group>
      <groupName>格式问题</groupName>
      <ability>L2_HalfPunc</ability>
      <abilityName>全半角检查</abilityName>
      <candidateList>
        <item>（</item>
      </candidateList>
      <explain>文本全半角错误。</explain>
      <paraID>77A6231F</paraID>
      <start>76</start>
      <end>77</end>
      <status>unmodified</status>
      <modifiedWord/>
      <trackRevisions>false</trackRevisions>
    </reviewItem>
    <reviewItem>
      <errorID>57fad2dd-d5e8-4f3b-9e32-083f3e96a2ea</errorID>
      <errorWord>、、</errorWord>
      <group>L1_Punc</group>
      <groupName>标点问题</groupName>
      <ability>L2_Punc</ability>
      <abilityName>标点符号检查</abilityName>
      <candidateList>
        <item>、</item>
      </candidateList>
      <explain/>
      <paraID>2A2B8A7C</paraID>
      <start>10</start>
      <end>12</end>
      <status>unmodified</status>
      <modifiedWord/>
      <trackRevisions>false</trackRevisions>
    </reviewItem>
    <reviewItem>
      <errorID>028a1026-85f9-4e10-aa30-c4bb4253b89f</errorID>
      <errorWord>的</errorWord>
      <group>L1_Word</group>
      <groupName>字词问题</groupName>
      <ability>L2_Typo</ability>
      <abilityName>字词错误</abilityName>
      <candidateList>
        <item>的全</item>
      </candidateList>
      <explain/>
      <paraID>2A2B8A7C</paraID>
      <start>25</start>
      <end>26</end>
      <status>unmodified</status>
      <modifiedWord/>
      <trackRevisions>false</trackRevisions>
    </reviewItem>
    <reviewItem>
      <errorID>001e8fdf-26fc-4530-92e2-1ae4a0a1d96f</errorID>
      <errorWord>，</errorWord>
      <group>L1_Word</group>
      <groupName>字词问题</groupName>
      <ability>L2_Typo</ability>
      <abilityName>字词错误</abilityName>
      <candidateList>
        <item>，由</item>
      </candidateList>
      <explain/>
      <paraID>636C862B</paraID>
      <start>41</start>
      <end>42</end>
      <status>unmodified</status>
      <modifiedWord/>
      <trackRevisions>false</trackRevisions>
    </reviewItem>
    <reviewItem>
      <errorID>1c85cc63-e587-4590-838d-2043b5e10f9f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6EC3B237</paraID>
      <start>0</start>
      <end>2</end>
      <status>unmodified</status>
      <modifiedWord/>
      <trackRevisions>false</trackRevisions>
    </reviewItem>
    <reviewItem>
      <errorID>4d8af08a-7c8d-487d-9534-71bdf59d84ba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45988E1E</paraID>
      <start>0</start>
      <end>2</end>
      <status>unmodified</status>
      <modifiedWord/>
      <trackRevisions>false</trackRevisions>
    </reviewItem>
    <reviewItem>
      <errorID>d31e5b4a-a4b0-4604-b873-11c90fc0176c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7D375309</paraID>
      <start>0</start>
      <end>2</end>
      <status>unmodified</status>
      <modifiedWord/>
      <trackRevisions>false</trackRevisions>
    </reviewItem>
    <reviewItem>
      <errorID>23dd0ccb-94c8-469b-a13b-133c6b777de2</errorID>
      <errorWord>项目的</errorWord>
      <group>L1_Word</group>
      <groupName>字词问题</groupName>
      <ability>L2_Typo</ability>
      <abilityName>字词错误</abilityName>
      <candidateList>
        <item>项目</item>
      </candidateList>
      <explain>〈名〉事物分成的门类：服务～｜体育～｜建设～。</explain>
      <paraID>4E797D2D</paraID>
      <start>7</start>
      <end>10</end>
      <status>unmodified</status>
      <modifiedWord/>
      <trackRevisions>false</trackRevisions>
    </reviewItem>
    <reviewItem>
      <errorID>e88beb13-90c9-48fa-9778-f0b4d8d60821</errorID>
      <errorWord>达</errorWord>
      <group>L1_Word</group>
      <groupName>字词问题</groupName>
      <ability>L2_Typo</ability>
      <abilityName>字词错误</abilityName>
      <candidateList>
        <item>达到</item>
      </candidateList>
      <explain>〈动〉到（多指抽象事物或程度）：达得到｜达不到｜目的没有～｜～国际水平。</explain>
      <paraID>37CEE6EF</paraID>
      <start>66</start>
      <end>67</end>
      <status>unmodified</status>
      <modifiedWord/>
      <trackRevisions>false</trackRevisions>
    </reviewItem>
    <reviewItem>
      <errorID>6e7b1655-8c13-488a-ad8a-2d5827b9b5b7</errorID>
      <errorWord>需</errorWord>
      <group>L1_Word</group>
      <groupName>字词问题</groupName>
      <ability>L2_Typo</ability>
      <abilityName>字词错误</abilityName>
      <candidateList>
        <item>须</item>
      </candidateList>
      <explain>存在发音相同字词的误用。</explain>
      <paraID> F4C57AD</paraID>
      <start>19</start>
      <end>20</end>
      <status>unmodified</status>
      <modifiedWord/>
      <trackRevisions>false</trackRevisions>
    </reviewItem>
    <reviewItem>
      <errorID>9ed34b5b-05b2-40a7-88ae-ee2fe2f47c09</errorID>
      <errorWord>噪音</errorWord>
      <group>L1_Word</group>
      <groupName>字词问题</groupName>
      <ability>L2_Alias</ability>
      <abilityName>也作/曾用词</abilityName>
      <candidateList>
        <item>噪声</item>
      </candidateList>
      <explain>词汇[噪音]为不规范表述或旧称，其规范书面表述为[噪声]。</explain>
      <paraID> 4703AA4</paraID>
      <start>24</start>
      <end>26</end>
      <status>unmodified</status>
      <modifiedWord/>
      <trackRevisions>false</trackRevisions>
    </reviewItem>
    <reviewItem>
      <errorID>7f848009-c771-435d-afc2-4a0c3abe5274</errorID>
      <errorWord>需</errorWord>
      <group>L1_Word</group>
      <groupName>字词问题</groupName>
      <ability>L2_Typo</ability>
      <abilityName>字词错误</abilityName>
      <candidateList>
        <item>须</item>
      </candidateList>
      <explain>存在发音相同字词的误用。</explain>
      <paraID>278E5C18</paraID>
      <start>33</start>
      <end>34</end>
      <status>unmodified</status>
      <modifiedWord/>
      <trackRevisions>false</trackRevisions>
    </reviewItem>
    <reviewItem>
      <errorID>bdb0daa7-daf1-4ae5-a88a-c9ad1adbbcbb</errorID>
      <errorWord>.</errorWord>
      <group>L1_Format</group>
      <groupName>格式问题</groupName>
      <ability>L2_HalfPunc</ability>
      <abilityName>全半角检查</abilityName>
      <candidateList>
        <item>。</item>
      </candidateList>
      <explain>文本全半角错误。</explain>
      <paraID>6A180A7A</paraID>
      <start>40</start>
      <end>41</end>
      <status>unmodified</status>
      <modifiedWord/>
      <trackRevisions>false</trackRevisions>
    </reviewItem>
    <reviewItem>
      <errorID>9d0025a6-8719-4d1d-8219-932e5a326986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6A180A7A</paraID>
      <start>49</start>
      <end>50</end>
      <status>unmodified</status>
      <modifiedWord/>
      <trackRevisions>false</trackRevisions>
    </reviewItem>
    <reviewItem>
      <errorID>6f269d9e-11f5-4d00-ba76-015361b13063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9F64565</paraID>
      <start>0</start>
      <end>2</end>
      <status>unmodified</status>
      <modifiedWord/>
      <trackRevisions>false</trackRevisions>
    </reviewItem>
    <reviewItem>
      <errorID>4ceab51a-dd4e-4675-be87-4c08b2106ab9</errorID>
      <errorWord>须</errorWord>
      <group>L1_Word</group>
      <groupName>字词问题</groupName>
      <ability>L2_Typo</ability>
      <abilityName>字词错误</abilityName>
      <candidateList>
        <item>需</item>
      </candidateList>
      <explain>存在发音相同字词的误用。</explain>
      <paraID>7148520F</paraID>
      <start>0</start>
      <end>1</end>
      <status>unmodified</status>
      <modifiedWord/>
      <trackRevisions>false</trackRevisions>
    </reviewItem>
    <reviewItem>
      <errorID>1036ee15-22e1-47bd-9a01-c5077f2cd3b5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1527A58D</paraID>
      <start>0</start>
      <end>2</end>
      <status>unmodified</status>
      <modifiedWord/>
      <trackRevisions>false</trackRevisions>
    </reviewItem>
    <reviewItem>
      <errorID>3f8385cf-f7c7-402a-ac4f-89b7bb950223</errorID>
      <errorWord>;</errorWord>
      <group>L1_Format</group>
      <groupName>格式问题</groupName>
      <ability>L2_HalfPunc</ability>
      <abilityName>全半角检查</abilityName>
      <candidateList>
        <item>；</item>
      </candidateList>
      <explain>文本全半角错误。</explain>
      <paraID>395CAE9B</paraID>
      <start>11</start>
      <end>12</end>
      <status>unmodified</status>
      <modifiedWord/>
      <trackRevisions>false</trackRevisions>
    </reviewItem>
    <reviewItem>
      <errorID>3531cd3f-5f7b-472f-991a-f30b65788f47</errorID>
      <errorWord>;</errorWord>
      <group>L1_Format</group>
      <groupName>格式问题</groupName>
      <ability>L2_HalfPunc</ability>
      <abilityName>全半角检查</abilityName>
      <candidateList>
        <item>；</item>
      </candidateList>
      <explain>文本全半角错误。</explain>
      <paraID>33A34979</paraID>
      <start>14</start>
      <end>15</end>
      <status>unmodified</status>
      <modifiedWord/>
      <trackRevisions>false</trackRevisions>
    </reviewItem>
    <reviewItem>
      <errorID>d7992023-5414-4554-b20b-c47fd539730c</errorID>
      <errorWord>;</errorWord>
      <group>L1_Format</group>
      <groupName>格式问题</groupName>
      <ability>L2_HalfPunc</ability>
      <abilityName>全半角检查</abilityName>
      <candidateList>
        <item>；</item>
      </candidateList>
      <explain>文本全半角错误。</explain>
      <paraID>1A4686A5</paraID>
      <start>17</start>
      <end>18</end>
      <status>unmodified</status>
      <modifiedWord/>
      <trackRevisions>false</trackRevisions>
    </reviewItem>
    <reviewItem>
      <errorID>25869ab3-3326-4efb-a521-c4ad600925d7</errorID>
      <errorWord>;</errorWord>
      <group>L1_Format</group>
      <groupName>格式问题</groupName>
      <ability>L2_HalfPunc</ability>
      <abilityName>全半角检查</abilityName>
      <candidateList>
        <item>；</item>
      </candidateList>
      <explain>文本全半角错误。</explain>
      <paraID>5D076491</paraID>
      <start>14</start>
      <end>15</end>
      <status>unmodified</status>
      <modifiedWord/>
      <trackRevisions>false</trackRevisions>
    </reviewItem>
    <reviewItem>
      <errorID>2f0e1eb7-cd91-4fc0-b372-2eeebacc6584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176584A9</paraID>
      <start>0</start>
      <end>2</end>
      <status>unmodified</status>
      <modifiedWord/>
      <trackRevisions>false</trackRevisions>
    </reviewItem>
    <reviewItem>
      <errorID>132e61fe-dfcc-4936-b8cf-1e7cf8d58a8d</errorID>
      <errorWord>作</errorWord>
      <group>L1_Word</group>
      <groupName>字词问题</groupName>
      <ability>L2_Typo</ability>
      <abilityName>字词错误</abilityName>
      <candidateList>
        <item>做</item>
      </candidateList>
      <explain>存在发音相同字词的误用。</explain>
      <paraID>3B866F83</paraID>
      <start>0</start>
      <end>1</end>
      <status>unmodified</status>
      <modifiedWord/>
      <trackRevisions>false</trackRevisions>
    </reviewItem>
    <reviewItem>
      <errorID>31c009e5-6ae8-4372-afa6-93dc814f9519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49FE10C9</paraID>
      <start>0</start>
      <end>2</end>
      <status>unmodified</status>
      <modifiedWord/>
      <trackRevisions>false</trackRevisions>
    </reviewItem>
    <reviewItem>
      <errorID>a41b48eb-1326-4fa8-9026-bff6cee71ca4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4ED6A9D3</paraID>
      <start>2</start>
      <end>3</end>
      <status>unmodified</status>
      <modifiedWord/>
      <trackRevisions>false</trackRevisions>
    </reviewItem>
    <reviewItem>
      <errorID>271fb876-1d81-42fc-94dc-3a0e576c4717</errorID>
      <errorWord>;</errorWord>
      <group>L1_Format</group>
      <groupName>格式问题</groupName>
      <ability>L2_HalfPunc</ability>
      <abilityName>全半角检查</abilityName>
      <candidateList>
        <item>；</item>
      </candidateList>
      <explain>文本全半角错误。</explain>
      <paraID>1C3DED9A</paraID>
      <start>24</start>
      <end>25</end>
      <status>unmodified</status>
      <modifiedWord/>
      <trackRevisions>false</trackRevisions>
    </reviewItem>
    <reviewItem>
      <errorID>32635de5-4d86-4935-8df7-a87ce1f6be65</errorID>
      <errorWord>,</errorWord>
      <group>L1_Format</group>
      <groupName>格式问题</groupName>
      <ability>L2_HalfPunc</ability>
      <abilityName>全半角检查</abilityName>
      <candidateList>
        <item>，</item>
      </candidateList>
      <explain>文本全半角错误。</explain>
      <paraID>1C3DED9A</paraID>
      <start>43</start>
      <end>44</end>
      <status>unmodified</status>
      <modifiedWord/>
      <trackRevisions>false</trackRevisions>
    </reviewItem>
    <reviewItem>
      <errorID>57679338-1e41-4f3e-938f-b537f08b7f88</errorID>
      <errorWord>;</errorWord>
      <group>L1_Format</group>
      <groupName>格式问题</groupName>
      <ability>L2_HalfPunc</ability>
      <abilityName>全半角检查</abilityName>
      <candidateList>
        <item>；</item>
      </candidateList>
      <explain>文本全半角错误。</explain>
      <paraID>1C3DED9A</paraID>
      <start>68</start>
      <end>69</end>
      <status>unmodified</status>
      <modifiedWord/>
      <trackRevisions>false</trackRevisions>
    </reviewItem>
    <reviewItem>
      <errorID>d4482ce9-b732-43c4-8b8d-7c0bad6dd65e</errorID>
      <errorWord>时</errorWord>
      <group>L1_Word</group>
      <groupName>字词问题</groupName>
      <ability>L2_Typo</ability>
      <abilityName>字词错误</abilityName>
      <candidateList>
        <item>下</item>
      </candidateList>
      <explain>〈动〉趋向动词。用在动词后。❶表示由高处到低处：坐～｜躺～｜传～一道命令。❷表示有空间，能容纳：坐得～｜这个剧场能容～上千人｜这间屋子太小，睡不～六个人。❸表示动作的完成或结果：打～基础｜定～计策｜准备～材料。</explain>
      <paraID>1C3DED9A</paraID>
      <start>88</start>
      <end>89</end>
      <status>unmodified</status>
      <modifiedWord/>
      <trackRevisions>false</trackRevisions>
    </reviewItem>
    <reviewItem>
      <errorID>2ee8cc90-69e4-4a89-95e9-510ea3ae4462</errorID>
      <errorWord>;</errorWord>
      <group>L1_Format</group>
      <groupName>格式问题</groupName>
      <ability>L2_HalfPunc</ability>
      <abilityName>全半角检查</abilityName>
      <candidateList>
        <item>；</item>
      </candidateList>
      <explain>文本全半角错误。</explain>
      <paraID>1C3DED9A</paraID>
      <start>105</start>
      <end>106</end>
      <status>unmodified</status>
      <modifiedWord/>
      <trackRevisions>false</trackRevisions>
    </reviewItem>
    <reviewItem>
      <errorID>11745f0a-92f9-417c-b757-e65cf90544f3</errorID>
      <errorWord>;</errorWord>
      <group>L1_Format</group>
      <groupName>格式问题</groupName>
      <ability>L2_HalfPunc</ability>
      <abilityName>全半角检查</abilityName>
      <candidateList>
        <item>；</item>
      </candidateList>
      <explain>文本全半角错误。</explain>
      <paraID>62C8B4E6</paraID>
      <start>12</start>
      <end>13</end>
      <status>unmodified</status>
      <modifiedWord/>
      <trackRevisions>false</trackRevisions>
    </reviewItem>
    <reviewItem>
      <errorID>221401a5-f306-448d-9012-b1530ca2a88b</errorID>
      <errorWord>;</errorWord>
      <group>L1_Format</group>
      <groupName>格式问题</groupName>
      <ability>L2_HalfPunc</ability>
      <abilityName>全半角检查</abilityName>
      <candidateList>
        <item>；</item>
      </candidateList>
      <explain>文本全半角错误。</explain>
      <paraID>62C8B4E6</paraID>
      <start>19</start>
      <end>20</end>
      <status>unmodified</status>
      <modifiedWord/>
      <trackRevisions>false</trackRevisions>
    </reviewItem>
    <reviewItem>
      <errorID>595eb3ca-54b9-4e57-8a50-37f47dd81c1c</errorID>
      <errorWord>需</errorWord>
      <group>L1_Word</group>
      <groupName>字词问题</groupName>
      <ability>L2_Typo</ability>
      <abilityName>字词错误</abilityName>
      <candidateList>
        <item>须</item>
      </candidateList>
      <explain>存在发音相同字词的误用。</explain>
      <paraID>62C8B4E6</paraID>
      <start>24</start>
      <end>25</end>
      <status>unmodified</status>
      <modifiedWord/>
      <trackRevisions>false</trackRevisions>
    </reviewItem>
    <reviewItem>
      <errorID>f33f4a73-fc50-4535-b1b1-45ae752966a4</errorID>
      <errorWord>;</errorWord>
      <group>L1_Format</group>
      <groupName>格式问题</groupName>
      <ability>L2_HalfPunc</ability>
      <abilityName>全半角检查</abilityName>
      <candidateList>
        <item>；</item>
      </candidateList>
      <explain>文本全半角错误。</explain>
      <paraID>62C8B4E6</paraID>
      <start>57</start>
      <end>58</end>
      <status>unmodified</status>
      <modifiedWord/>
      <trackRevisions>false</trackRevisions>
    </reviewItem>
    <reviewItem>
      <errorID>79f67620-fb24-4764-8dcf-e994bb6dd217</errorID>
      <errorWord>;</errorWord>
      <group>L1_Format</group>
      <groupName>格式问题</groupName>
      <ability>L2_HalfPunc</ability>
      <abilityName>全半角检查</abilityName>
      <candidateList>
        <item>；</item>
      </candidateList>
      <explain>文本全半角错误。</explain>
      <paraID>62C8B4E6</paraID>
      <start>82</start>
      <end>83</end>
      <status>unmodified</status>
      <modifiedWord/>
      <trackRevisions>false</trackRevisions>
    </reviewItem>
    <reviewItem>
      <errorID>98cc8661-6122-440b-828d-870a44ed3474</errorID>
      <errorWord>:</errorWord>
      <group>L1_Format</group>
      <groupName>格式问题</groupName>
      <ability>L2_HalfPunc</ability>
      <abilityName>全半角检查</abilityName>
      <candidateList>
        <item>：</item>
      </candidateList>
      <explain>文本全半角错误。</explain>
      <paraID>48D0D29E</paraID>
      <start>3</start>
      <end>4</end>
      <status>unmodified</status>
      <modifiedWord/>
      <trackRevisions>false</trackRevisions>
    </reviewItem>
    <reviewItem>
      <errorID>61da8563-5d44-446f-ad79-ddf792b6c06c</errorID>
      <errorWord>:</errorWord>
      <group>L1_Format</group>
      <groupName>格式问题</groupName>
      <ability>L2_HalfPunc</ability>
      <abilityName>全半角检查</abilityName>
      <candidateList>
        <item>：</item>
      </candidateList>
      <explain>文本全半角错误。</explain>
      <paraID>1478DDA8</paraID>
      <start>31</start>
      <end>32</end>
      <status>unmodified</status>
      <modifiedWord/>
      <trackRevisions>false</trackRevisions>
    </reviewItem>
    <reviewItem>
      <errorID>575d95ef-ead4-4a92-9898-ae60db14514a</errorID>
      <errorWord>;</errorWord>
      <group>L1_Format</group>
      <groupName>格式问题</groupName>
      <ability>L2_HalfPunc</ability>
      <abilityName>全半角检查</abilityName>
      <candidateList>
        <item>；</item>
      </candidateList>
      <explain>文本全半角错误。</explain>
      <paraID>1478DDA8</paraID>
      <start>43</start>
      <end>44</end>
      <status>unmodified</status>
      <modifiedWord/>
      <trackRevisions>false</trackRevisions>
    </reviewItem>
    <reviewItem>
      <errorID>213f16a0-25c4-4d31-ab82-9d9a17b39c8f</errorID>
      <errorWord>;</errorWord>
      <group>L1_Format</group>
      <groupName>格式问题</groupName>
      <ability>L2_HalfPunc</ability>
      <abilityName>全半角检查</abilityName>
      <candidateList>
        <item>；</item>
      </candidateList>
      <explain>文本全半角错误。</explain>
      <paraID>1478DDA8</paraID>
      <start>56</start>
      <end>57</end>
      <status>unmodified</status>
      <modifiedWord/>
      <trackRevisions>false</trackRevisions>
    </reviewItem>
    <reviewItem>
      <errorID>a0d417e5-b1cd-4123-892e-268c119479e8</errorID>
      <errorWord>;</errorWord>
      <group>L1_Format</group>
      <groupName>格式问题</groupName>
      <ability>L2_HalfPunc</ability>
      <abilityName>全半角检查</abilityName>
      <candidateList>
        <item>；</item>
      </candidateList>
      <explain>文本全半角错误。</explain>
      <paraID>1478DDA8</paraID>
      <start>91</start>
      <end>92</end>
      <status>unmodified</status>
      <modifiedWord/>
      <trackRevisions>false</trackRevisions>
    </reviewItem>
    <reviewItem>
      <errorID>9bc41ed2-d7b8-451e-9dbb-994eb0d11bb4</errorID>
      <errorWord>;</errorWord>
      <group>L1_Format</group>
      <groupName>格式问题</groupName>
      <ability>L2_HalfPunc</ability>
      <abilityName>全半角检查</abilityName>
      <candidateList>
        <item>；</item>
      </candidateList>
      <explain>文本全半角错误。</explain>
      <paraID>1478DDA8</paraID>
      <start>113</start>
      <end>114</end>
      <status>unmodified</status>
      <modifiedWord/>
      <trackRevisions>false</trackRevisions>
    </reviewItem>
    <reviewItem>
      <errorID>334c4433-c109-4ac0-9025-01e085e2d220</errorID>
      <errorWord>;</errorWord>
      <group>L1_Format</group>
      <groupName>格式问题</groupName>
      <ability>L2_HalfPunc</ability>
      <abilityName>全半角检查</abilityName>
      <candidateList>
        <item>；</item>
      </candidateList>
      <explain>文本全半角错误。</explain>
      <paraID>1478DDA8</paraID>
      <start>126</start>
      <end>127</end>
      <status>unmodified</status>
      <modifiedWord/>
      <trackRevisions>false</trackRevisions>
    </reviewItem>
    <reviewItem>
      <errorID>b70a11af-1728-438d-875c-14b47050c2d0</errorID>
      <errorWord>;</errorWord>
      <group>L1_Format</group>
      <groupName>格式问题</groupName>
      <ability>L2_HalfPunc</ability>
      <abilityName>全半角检查</abilityName>
      <candidateList>
        <item>；</item>
      </candidateList>
      <explain>文本全半角错误。</explain>
      <paraID>1478DDA8</paraID>
      <start>136</start>
      <end>137</end>
      <status>unmodified</status>
      <modifiedWord/>
      <trackRevisions>false</trackRevisions>
    </reviewItem>
    <reviewItem>
      <errorID>6de6da9b-24df-4572-a70a-e09e5a92a21e</errorID>
      <errorWord>;</errorWord>
      <group>L1_Format</group>
      <groupName>格式问题</groupName>
      <ability>L2_HalfPunc</ability>
      <abilityName>全半角检查</abilityName>
      <candidateList>
        <item>；</item>
      </candidateList>
      <explain>文本全半角错误。</explain>
      <paraID>16AC8B5A</paraID>
      <start>11</start>
      <end>12</end>
      <status>unmodified</status>
      <modifiedWord/>
      <trackRevisions>false</trackRevisions>
    </reviewItem>
    <reviewItem>
      <errorID>0a4a6ec1-49d6-4c04-b676-35a61904d38f</errorID>
      <errorWord>:</errorWord>
      <group>L1_Format</group>
      <groupName>格式问题</groupName>
      <ability>L2_HalfPunc</ability>
      <abilityName>全半角检查</abilityName>
      <candidateList>
        <item>：</item>
      </candidateList>
      <explain>文本全半角错误。</explain>
      <paraID>2A1F32C0</paraID>
      <start>141</start>
      <end>142</end>
      <status>unmodified</status>
      <modifiedWord/>
      <trackRevisions>false</trackRevisions>
    </reviewItem>
    <reviewItem>
      <errorID>7694ef1c-5a3a-41b2-8ad5-eef3d46a7d38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531CEB7F</paraID>
      <start>0</start>
      <end>2</end>
      <status>unmodified</status>
      <modifiedWord/>
      <trackRevisions>false</trackRevisions>
    </reviewItem>
    <reviewItem>
      <errorID>d99bea36-9f7d-4792-a255-ef5286d8550a</errorID>
      <errorWord>法律、法规</errorWord>
      <group>L1_Word</group>
      <groupName>字词问题</groupName>
      <ability>L2_Typo</ability>
      <abilityName>字词错误</abilityName>
      <candidateList>
        <item>法律法规</item>
      </candidateList>
      <explain/>
      <paraID>1B163456</paraID>
      <start>23</start>
      <end>28</end>
      <status>unmodified</status>
      <modifiedWord/>
      <trackRevisions>false</trackRevisions>
    </reviewItem>
    <reviewItem>
      <errorID>f59c9085-9344-4526-b297-e64f0b4805a5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34B10C2</paraID>
      <start>0</start>
      <end>2</end>
      <status>unmodified</status>
      <modifiedWord/>
      <trackRevisions>false</trackRevisions>
    </reviewItem>
    <reviewItem>
      <errorID>c0dec634-f838-481f-9359-632b0a9f4c8d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5B7896C5</paraID>
      <start>0</start>
      <end>2</end>
      <status>unmodified</status>
      <modifiedWord/>
      <trackRevisions>false</trackRevisions>
    </reviewItem>
    <reviewItem>
      <errorID>4aff6d73-3802-49e4-b5bc-cfdbc432b7df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69518F9E</paraID>
      <start>0</start>
      <end>2</end>
      <status>unmodified</status>
      <modifiedWord/>
      <trackRevisions>false</trackRevisions>
    </reviewItem>
    <reviewItem>
      <errorID>7edd5c0a-8589-479e-97bc-dbbb45278cae</errorID>
      <errorWord>按经</errorWord>
      <group>L1_Word</group>
      <groupName>字词问题</groupName>
      <ability>L2_Typo</ability>
      <abilityName>字词错误</abilityName>
      <candidateList>
        <item>按</item>
      </candidateList>
      <explain>（案）àn❶〈书〉考查；核对：有原文可～。❷（编者、作者等）加按语：编者～。</explain>
      <paraID>78FF9FA0</paraID>
      <start>106</start>
      <end>108</end>
      <status>unmodified</status>
      <modifiedWord/>
      <trackRevisions>false</trackRevisions>
    </reviewItem>
    <reviewItem>
      <errorID>4eb153d0-973a-4746-bacb-df4752b33a17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19BA74D</paraID>
      <start>0</start>
      <end>2</end>
      <status>unmodified</status>
      <modifiedWord/>
      <trackRevisions>false</trackRevisions>
    </reviewItem>
    <reviewItem>
      <errorID>fe621733-9110-450f-988b-c53c4d3e2a0f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495753A8</paraID>
      <start>0</start>
      <end>2</end>
      <status>unmodified</status>
      <modifiedWord/>
      <trackRevisions>false</trackRevisions>
    </reviewItem>
    <reviewItem>
      <errorID>10d14f1e-528a-41da-b4a2-71f343d08515</errorID>
      <errorWord>按实</errorWord>
      <group>L1_Word</group>
      <groupName>字词问题</groupName>
      <ability>L2_Typo</ability>
      <abilityName>字词错误</abilityName>
      <candidateList>
        <item>按时</item>
      </candidateList>
      <explain/>
      <paraID>47BE077D</paraID>
      <start>50</start>
      <end>52</end>
      <status>unmodified</status>
      <modifiedWord/>
      <trackRevisions>false</trackRevisions>
    </reviewItem>
    <reviewItem>
      <errorID>75e848ef-50a4-42ed-a0bc-b5d5328f2c64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34724F8F</paraID>
      <start>0</start>
      <end>2</end>
      <status>unmodified</status>
      <modifiedWord/>
      <trackRevisions>false</trackRevisions>
    </reviewItem>
    <reviewItem>
      <errorID>0836829a-af34-41f3-850a-7ab907efe6d5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1B8A13A2</paraID>
      <start>0</start>
      <end>2</end>
      <status>unmodified</status>
      <modifiedWord/>
      <trackRevisions>false</trackRevisions>
    </reviewItem>
    <reviewItem>
      <errorID>9627ce9f-9112-45da-8307-648573431d37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4E918610</paraID>
      <start>75</start>
      <end>76</end>
      <status>unmodified</status>
      <modifiedWord/>
      <trackRevisions>false</trackRevisions>
    </reviewItem>
    <reviewItem>
      <errorID>e5154f52-a4c2-41f3-8e1d-95bb42070773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6E92CDBE</paraID>
      <start>22</start>
      <end>23</end>
      <status>unmodified</status>
      <modifiedWord/>
      <trackRevisions>false</trackRevisions>
    </reviewItem>
    <reviewItem>
      <errorID>c7d250c4-7a4e-4ad1-b850-a23a5b66673c</errorID>
      <errorWord>20-25%</errorWord>
      <group>L1_Knowledge</group>
      <groupName>知识性问题</groupName>
      <ability>L2_Knowledge</ability>
      <abilityName>其他知识</abilityName>
      <candidateList>
        <item>20%—25%</item>
      </candidateList>
      <explain>1. “20-25%”中的单位“%”仅出现在后一个数字上，容易引起歧义；根据《现代汉语标点符号数字用法规范手册》，数字表示范围两边需要使用统一的格式。2. 根据标点国标 4.13 中的规则，数字、时间或地域连接符应使用（视觉上更长的）“—”或“～”。</explain>
      <paraID>6E92CDBE</paraID>
      <start>36</start>
      <end>42</end>
      <status>unmodified</status>
      <modifiedWord/>
      <trackRevisions>false</trackRevisions>
    </reviewItem>
    <reviewItem>
      <errorID>ae027e94-af7f-497a-95d2-295a0a42e1de</errorID>
      <errorWord>15-20%</errorWord>
      <group>L1_Knowledge</group>
      <groupName>知识性问题</groupName>
      <ability>L2_Knowledge</ability>
      <abilityName>其他知识</abilityName>
      <candidateList>
        <item>15%—20%</item>
      </candidateList>
      <explain>1. “15-20%”中的单位“%”仅出现在后一个数字上，容易引起歧义；根据《现代汉语标点符号数字用法规范手册》，数字表示范围两边需要使用统一的格式。2. 根据标点国标 4.13 中的规则，数字、时间或地域连接符应使用（视觉上更长的）“—”或“～”。</explain>
      <paraID>26A24C56</paraID>
      <start>34</start>
      <end>40</end>
      <status>unmodified</status>
      <modifiedWord/>
      <trackRevisions>false</trackRevisions>
    </reviewItem>
    <reviewItem>
      <errorID>41529ab1-5d71-49bb-80c2-e3c469ebdcfb</errorID>
      <errorWord>2-5%</errorWord>
      <group>L1_Knowledge</group>
      <groupName>知识性问题</groupName>
      <ability>L2_Knowledge</ability>
      <abilityName>其他知识</abilityName>
      <candidateList>
        <item>2%—5%</item>
      </candidateList>
      <explain>1. “2-5%”中的单位“%”仅出现在后一个数字上，容易引起歧义；根据《现代汉语标点符号数字用法规范手册》，数字表示范围两边需要使用统一的格式。2. 根据标点国标 4.13 中的规则，数字、时间或地域连接符应使用（视觉上更长的）“—”或“～”。</explain>
      <paraID>62BA4DEC</paraID>
      <start>29</start>
      <end>33</end>
      <status>unmodified</status>
      <modifiedWord/>
      <trackRevisions>false</trackRevisions>
    </reviewItem>
    <reviewItem>
      <errorID>99ca73dc-1df4-4a16-94e2-8f2a063d7a9e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578C4CA9</paraID>
      <start>0</start>
      <end>2</end>
      <status>unmodified</status>
      <modifiedWord/>
      <trackRevisions>false</trackRevisions>
    </reviewItem>
    <reviewItem>
      <errorID>63171569-d83f-4d44-8a61-d2c9f05cd6ae</errorID>
      <errorWord>（</errorWord>
      <group>L1_Format</group>
      <groupName>格式问题</groupName>
      <ability>L2_HalfPunc</ability>
      <abilityName>全半角检查</abilityName>
      <candidateList>
        <item>(</item>
      </candidateList>
      <explain>文本全半角错误。</explain>
      <paraID> 3137CB6</paraID>
      <start>2</start>
      <end>3</end>
      <status>unmodified</status>
      <modifiedWord/>
      <trackRevisions>false</trackRevisions>
    </reviewItem>
    <reviewItem>
      <errorID>c0431555-ff14-4afc-b830-5b375fffa225</errorID>
      <errorWord>）</errorWord>
      <group>L1_Format</group>
      <groupName>格式问题</groupName>
      <ability>L2_HalfPunc</ability>
      <abilityName>全半角检查</abilityName>
      <candidateList>
        <item>)</item>
      </candidateList>
      <explain>文本全半角错误。</explain>
      <paraID> 3137CB6</paraID>
      <start>5</start>
      <end>6</end>
      <status>unmodified</status>
      <modifiedWord/>
      <trackRevisions>false</trackRevisions>
    </reviewItem>
    <reviewItem>
      <errorID>f9b80f9a-3fc3-4004-a573-9303e17fe536</errorID>
      <errorWord>电话通讯</errorWord>
      <group>L1_Word</group>
      <groupName>字词问题</groupName>
      <ability>L2_Alias</ability>
      <abilityName>也作/曾用词</abilityName>
      <candidateList>
        <item>电话通信</item>
      </candidateList>
      <explain>词汇[电话通讯]为不规范表述或旧称，其规范书面表述为[电话通信]。</explain>
      <paraID>5C08D2D4</paraID>
      <start>1</start>
      <end>5</end>
      <status>unmodified</status>
      <modifiedWord/>
      <trackRevisions>false</trackRevisions>
    </reviewItem>
    <reviewItem>
      <errorID>b827fbb1-69dc-4c34-ac02-0ea8cab94fbd</errorID>
      <errorWord>电话通讯</errorWord>
      <group>L1_Word</group>
      <groupName>字词问题</groupName>
      <ability>L2_Alias</ability>
      <abilityName>也作/曾用词</abilityName>
      <candidateList>
        <item>电话通信</item>
      </candidateList>
      <explain>词汇[电话通讯]为不规范表述或旧称，其规范书面表述为[电话通信]。</explain>
      <paraID>50D96A41</paraID>
      <start>1</start>
      <end>5</end>
      <status>unmodified</status>
      <modifiedWord/>
      <trackRevisions>false</trackRevisions>
    </reviewItem>
    <reviewItem>
      <errorID>adf49a31-8553-40e8-8af0-7e89fe16aefe</errorID>
      <errorWord>臭气污染物</errorWord>
      <group>L1_Knowledge</group>
      <groupName>知识性问题</groupName>
      <ability>L2_Term</ability>
      <abilityName>专业术语</abilityName>
      <candidateList>
        <item>空气污染物</item>
      </candidateList>
      <explain/>
      <paraID>1E19D168</paraID>
      <start>4</start>
      <end>9</end>
      <status>unmodified</status>
      <modifiedWord/>
      <trackRevisions>false</trackRevisions>
    </reviewItem>
    <reviewItem>
      <errorID>726a76d0-bfed-4a56-90e2-39738609cfb5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5F1740F4</paraID>
      <start>0</start>
      <end>2</end>
      <status>unmodified</status>
      <modifiedWord/>
      <trackRevisions>false</trackRevisions>
    </reviewItem>
    <reviewItem>
      <errorID>32b63bfc-a740-4289-9f09-aa210eca3f2d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344DFF77</paraID>
      <start>0</start>
      <end>2</end>
      <status>unmodified</status>
      <modifiedWord/>
      <trackRevisions>false</trackRevisions>
    </reviewItem>
    <reviewItem>
      <errorID>445b8232-1a2e-4f87-b88c-f5e0d74467f7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5959AC99</paraID>
      <start>136</start>
      <end>137</end>
      <status>unmodified</status>
      <modifiedWord/>
      <trackRevisions>false</trackRevisions>
    </reviewItem>
    <reviewItem>
      <errorID>e6ae5b5f-c1fd-4488-a719-0417540c7f04</errorID>
      <errorWord>)</errorWord>
      <group>L1_Format</group>
      <groupName>格式问题</groupName>
      <ability>L2_HalfPunc</ability>
      <abilityName>全半角检查</abilityName>
      <candidateList>
        <item>）</item>
      </candidateList>
      <explain>文本全半角错误。</explain>
      <paraID>360C334B</paraID>
      <start>86</start>
      <end>87</end>
      <status>unmodified</status>
      <modifiedWord/>
      <trackRevisions>false</trackRevisions>
    </reviewItem>
    <reviewItem>
      <errorID>8847e30b-0c45-4b52-abee-76ea90eade9d</errorID>
      <errorWord>温度为</errorWord>
      <group>L1_Word</group>
      <groupName>字词问题</groupName>
      <ability>L2_Typo</ability>
      <abilityName>字词错误</abilityName>
      <candidateList>
        <item>温度</item>
      </candidateList>
      <explain>〈名〉物体冷热的程度：～计｜室内～｜室外～。</explain>
      <paraID>360C334B</paraID>
      <start>110</start>
      <end>113</end>
      <status>unmodified</status>
      <modifiedWord/>
      <trackRevisions>false</trackRevisions>
    </reviewItem>
    <reviewItem>
      <errorID>5cc31218-0408-4a8c-8fc8-eb7e7f5e7906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18AC0650</paraID>
      <start>0</start>
      <end>2</end>
      <status>unmodified</status>
      <modifiedWord/>
      <trackRevisions>false</trackRevisions>
    </reviewItem>
    <reviewItem>
      <errorID>84cad246-bb65-458a-b6bb-c29c48f888c5</errorID>
      <errorWord>作</errorWord>
      <group>L1_Word</group>
      <groupName>字词问题</groupName>
      <ability>L2_Typo</ability>
      <abilityName>字词错误</abilityName>
      <candidateList>
        <item>做</item>
      </candidateList>
      <explain>存在发音相同字词的误用。</explain>
      <paraID>33500FC1</paraID>
      <start>126</start>
      <end>127</end>
      <status>unmodified</status>
      <modifiedWord/>
      <trackRevisions>false</trackRevisions>
    </reviewItem>
    <reviewItem>
      <errorID>12867b54-85d8-480a-ba48-eb89178278bc</errorID>
      <errorWord>联结</errorWord>
      <group>L1_Word</group>
      <groupName>字词问题</groupName>
      <ability>L2_Typo</ability>
      <abilityName>字词错误</abilityName>
      <candidateList>
        <item>连接</item>
      </candidateList>
      <explain>（联接）liánjiē〈动〉❶（事物）互相衔接：山岭～。❷使连接：～线路。</explain>
      <paraID>6F07D9F4</paraID>
      <start>67</start>
      <end>69</end>
      <status>unmodified</status>
      <modifiedWord/>
      <trackRevisions>false</trackRevisions>
    </reviewItem>
    <reviewItem>
      <errorID>6190e4f0-8e94-4fe1-8d14-d93669afcc3e</errorID>
      <errorWord>两地控制</errorWord>
      <group>L1_Knowledge</group>
      <groupName>知识性问题</groupName>
      <ability>L2_Term</ability>
      <abilityName>专业术语</abilityName>
      <candidateList>
        <item>就地控制</item>
      </candidateList>
      <explain/>
      <paraID>34FB968B</paraID>
      <start>92</start>
      <end>96</end>
      <status>unmodified</status>
      <modifiedWord/>
      <trackRevisions>false</trackRevisions>
    </reviewItem>
    <reviewItem>
      <errorID>0fbe9001-86b7-4353-a5f5-97378aec6697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2D63278A</paraID>
      <start>0</start>
      <end>2</end>
      <status>unmodified</status>
      <modifiedWord/>
      <trackRevisions>false</trackRevisions>
    </reviewItem>
    <reviewItem>
      <errorID>1c469723-e1f7-4b8a-8bc0-bee3b5e121c0</errorID>
      <errorWord>)</errorWord>
      <group>L1_Format</group>
      <groupName>格式问题</groupName>
      <ability>L2_HalfPunc</ability>
      <abilityName>全半角检查</abilityName>
      <candidateList>
        <item>）</item>
      </candidateList>
      <explain>文本全半角错误。</explain>
      <paraID> ABA1EC7</paraID>
      <start>91</start>
      <end>92</end>
      <status>unmodified</status>
      <modifiedWord/>
      <trackRevisions>false</trackRevisions>
    </reviewItem>
    <reviewItem>
      <errorID>59632456-08c1-4d8d-a4f6-24a6be3c61f7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3B9F3F7C</paraID>
      <start>37</start>
      <end>38</end>
      <status>unmodified</status>
      <modifiedWord/>
      <trackRevisions>false</trackRevisions>
    </reviewItem>
    <reviewItem>
      <errorID>08e0c322-20cb-40c1-a080-d317d95b95e2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74F1CC08</paraID>
      <start>147</start>
      <end>150</end>
      <status>unmodified</status>
      <modifiedWord/>
      <trackRevisions>false</trackRevisions>
    </reviewItem>
    <reviewItem>
      <errorID>53c639a1-bf21-4d56-aa7f-0db45f5b8926</errorID>
      <errorWord>)</errorWord>
      <group>L1_Format</group>
      <groupName>格式问题</groupName>
      <ability>L2_HalfPunc</ability>
      <abilityName>全半角检查</abilityName>
      <candidateList>
        <item>）</item>
      </candidateList>
      <explain>文本全半角错误。</explain>
      <paraID>414A55CF</paraID>
      <start>92</start>
      <end>93</end>
      <status>unmodified</status>
      <modifiedWord/>
      <trackRevisions>false</trackRevisions>
    </reviewItem>
    <reviewItem>
      <errorID>dbcc5efe-93af-425f-ba03-6b27f14dc1ac</errorID>
      <errorWord>形</errorWord>
      <group>L1_Word</group>
      <groupName>字词问题</groupName>
      <ability>L2_Typo</ability>
      <abilityName>字词错误</abilityName>
      <candidateList>
        <item>行</item>
      </candidateList>
      <explain/>
      <paraID>6722E36D</paraID>
      <start>11</start>
      <end>12</end>
      <status>unmodified</status>
      <modifiedWord/>
      <trackRevisions>false</trackRevisions>
    </reviewItem>
    <reviewItem>
      <errorID>c2c0bb4a-9d06-453d-ad77-f47dc2b7764c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1CDEF254</paraID>
      <start>0</start>
      <end>2</end>
      <status>unmodified</status>
      <modifiedWord/>
      <trackRevisions>false</trackRevisions>
    </reviewItem>
    <reviewItem>
      <errorID>54e83905-d40a-4dd9-862e-2fb6fa6ad57d</errorID>
      <errorWord>国家生态功能区</errorWord>
      <group>L1_Political</group>
      <groupName>政治性问题</groupName>
      <ability>L2_Keyword</ability>
      <abilityName>固定表述</abilityName>
      <candidateList>
        <item>国家重点生态功能区</item>
      </candidateList>
      <explain>词汇“国家重点生态功能区”在特定场景下为固定表述形式，请确认此处的“国家生态功能区”是否存在不当。</explain>
      <paraID>2ED203CC</paraID>
      <start>30</start>
      <end>37</end>
      <status>unmodified</status>
      <modifiedWord/>
      <trackRevisions>false</trackRevisions>
    </reviewItem>
    <reviewItem>
      <errorID>a07ce8f6-4760-4cba-ae7f-e252cbff86f2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44C2E67D</paraID>
      <start>23</start>
      <end>24</end>
      <status>unmodified</status>
      <modifiedWord/>
      <trackRevisions>false</trackRevisions>
    </reviewItem>
    <reviewItem>
      <errorID>60ac0b72-7386-4f1c-bed3-dc169af20dc6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49E6E882</paraID>
      <start>0</start>
      <end>2</end>
      <status>unmodified</status>
      <modifiedWord/>
      <trackRevisions>false</trackRevisions>
    </reviewItem>
    <reviewItem>
      <errorID>d30673e5-d299-4ea3-85e9-5129a259a6bd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72FC4BFB</paraID>
      <start>0</start>
      <end>3</end>
      <status>unmodified</status>
      <modifiedWord/>
      <trackRevisions>false</trackRevisions>
    </reviewItem>
    <reviewItem>
      <errorID>b65d74a6-f2ed-4c7e-8f69-69e4b329dfee</errorID>
      <errorWord>再</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2F19C1E5</paraID>
      <start>28</start>
      <end>29</end>
      <status>unmodified</status>
      <modifiedWord/>
      <trackRevisions>false</trackRevisions>
    </reviewItem>
    <reviewItem>
      <errorID>76a2ed4d-3ae0-45cc-9ee9-dbe8555fc377</errorID>
      <errorWord>着</errorWord>
      <group>L1_Word</group>
      <groupName>字词问题</groupName>
      <ability>L2_Typo</ability>
      <abilityName>字词错误</abilityName>
      <candidateList>
        <item>有</item>
      </candidateList>
      <explain>存在字形相近字词的误用。</explain>
      <paraID>6271665F</paraID>
      <start>73</start>
      <end>74</end>
      <status>unmodified</status>
      <modifiedWord/>
      <trackRevisions>false</trackRevisions>
    </reviewItem>
    <reviewItem>
      <errorID>99fcf118-9038-4225-b969-6dc5ba7cfe71</errorID>
      <errorWord>对一</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16117CD2</paraID>
      <start>18</start>
      <end>20</end>
      <status>unmodified</status>
      <modifiedWord/>
      <trackRevisions>false</trackRevisions>
    </reviewItem>
    <reviewItem>
      <errorID>aaab0aee-69e4-4c37-84f5-24fddc6aa6e9</errorID>
      <errorWord>配备有</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3069ACF3</paraID>
      <start>45</start>
      <end>48</end>
      <status>unmodified</status>
      <modifiedWord/>
      <trackRevisions>false</trackRevisions>
    </reviewItem>
    <reviewItem>
      <errorID>f9a6629b-fc6a-4aea-b6c5-06f3e8e1d012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19F27D7F</paraID>
      <start>43</start>
      <end>44</end>
      <status>unmodified</status>
      <modifiedWord/>
      <trackRevisions>false</trackRevisions>
    </reviewItem>
    <reviewItem>
      <errorID>da22df2b-65e0-477c-b60d-aa0dd3d9f9d0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3F6FF82E</paraID>
      <start>20</start>
      <end>23</end>
      <status>unmodified</status>
      <modifiedWord/>
      <trackRevisions>false</trackRevisions>
    </reviewItem>
    <reviewItem>
      <errorID>5281c7de-7a63-455f-a97f-6a56d9a727f1</errorID>
      <errorWord>考虑有</errorWord>
      <group>L1_Word</group>
      <groupName>字词问题</groupName>
      <ability>L2_Typo</ability>
      <abilityName>字词错误</abilityName>
      <candidateList>
        <item>考虑</item>
      </candidateList>
      <explain/>
      <paraID> E4453BC</paraID>
      <start>57</start>
      <end>60</end>
      <status>unmodified</status>
      <modifiedWord/>
      <trackRevisions>false</trackRevisions>
    </reviewItem>
    <reviewItem>
      <errorID>043219c1-d95c-4001-a624-37d10c9a8132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3605F80B</paraID>
      <start>0</start>
      <end>2</end>
      <status>unmodified</status>
      <modifiedWord/>
      <trackRevisions>false</trackRevisions>
    </reviewItem>
    <reviewItem>
      <errorID>c62487e8-8fe3-4f4d-8ec7-19604d5f13bd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5A199716</paraID>
      <start>0</start>
      <end>2</end>
      <status>unmodified</status>
      <modifiedWord/>
      <trackRevisions>false</trackRevisions>
    </reviewItem>
    <reviewItem>
      <errorID>06ed7493-fed5-4a71-958e-2c8aeb49d7dc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364B6CF9</paraID>
      <start>0</start>
      <end>2</end>
      <status>unmodified</status>
      <modifiedWord/>
      <trackRevisions>false</trackRevisions>
    </reviewItem>
    <reviewItem>
      <errorID>99c8a8e7-0bc1-49c3-98c3-e967eb232376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6A0621B</paraID>
      <start>0</start>
      <end>2</end>
      <status>unmodified</status>
      <modifiedWord/>
      <trackRevisions>false</trackRevisions>
    </reviewItem>
    <reviewItem>
      <errorID>72c3e145-30ca-499c-9bbe-788165e49a4e</errorID>
      <errorWord>其它专项</errorWord>
      <group>L1_Word</group>
      <groupName>字词问题</groupName>
      <ability>L2_Alias</ability>
      <abilityName>也作/曾用词</abilityName>
      <candidateList>
        <item>其他专项</item>
      </candidateList>
      <explain>词汇[其它专项]为不规范表述或旧称，其规范书面表述为[其他专项]。</explain>
      <paraID> 6A0621B</paraID>
      <start>2</start>
      <end>6</end>
      <status>unmodified</status>
      <modifiedWord/>
      <trackRevisions>false</trackRevisions>
    </reviewItem>
    <reviewItem>
      <errorID>0fdd24a5-fbb0-43cf-8e1c-5f3b27906447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51E04A86</paraID>
      <start>0</start>
      <end>2</end>
      <status>unmodified</status>
      <modifiedWord/>
      <trackRevisions>false</trackRevisions>
    </reviewItem>
    <reviewItem>
      <errorID>841e4fff-7103-46bc-b4ba-cf7297b280e8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5917648A</paraID>
      <start>0</start>
      <end>2</end>
      <status>unmodified</status>
      <modifiedWord/>
      <trackRevisions>false</trackRevisions>
    </reviewItem>
    <reviewItem>
      <errorID>c85f6fb5-4ea0-4c69-a853-b0445db50c7a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6917BC0F</paraID>
      <start>0</start>
      <end>2</end>
      <status>unmodified</status>
      <modifiedWord/>
      <trackRevisions>false</trackRevisions>
    </reviewItem>
    <reviewItem>
      <errorID>4100ea05-c65a-4b4e-804e-92002449ee39</errorID>
      <errorWord>(</errorWord>
      <group>L1_Format</group>
      <groupName>格式问题</groupName>
      <ability>L2_HalfPunc</ability>
      <abilityName>全半角检查</abilityName>
      <candidateList>
        <item>（</item>
      </candidateList>
      <explain>文本全半角错误。</explain>
      <paraID>31DEC979</paraID>
      <start>4</start>
      <end>5</end>
      <status>unmodified</status>
      <modifiedWord/>
      <trackRevisions>false</trackRevisions>
    </reviewItem>
    <reviewItem>
      <errorID>5eb71ae9-56e9-4486-8611-87269219f9a0</errorID>
      <errorWord>(</errorWord>
      <group>L1_Format</group>
      <groupName>格式问题</groupName>
      <ability>L2_HalfPunc</ability>
      <abilityName>全半角检查</abilityName>
      <candidateList>
        <item>（</item>
      </candidateList>
      <explain>文本全半角错误。</explain>
      <paraID>4AE3F58E</paraID>
      <start>4</start>
      <end>5</end>
      <status>unmodified</status>
      <modifiedWord/>
      <trackRevisions>false</trackRevisions>
    </reviewItem>
    <reviewItem>
      <errorID>f382e391-696a-41d5-a0c4-8f4467d0fe6c</errorID>
      <errorWord>出人口</errorWord>
      <group>L1_Word</group>
      <groupName>字词问题</groupName>
      <ability>L2_Typo</ability>
      <abilityName>字词错误</abilityName>
      <candidateList>
        <item>出入口</item>
      </candidateList>
      <explain/>
      <paraID>751D18C7</paraID>
      <start>10</start>
      <end>13</end>
      <status>modified</status>
      <modifiedWord>出入口</modifiedWord>
      <trackRevisions>false</trackRevisions>
    </reviewItem>
    <reviewItem>
      <errorID>10bd3a79-a2cc-4f0c-a27b-6ec3a9bc035c</errorID>
      <errorWord>速</errorWord>
      <group>L1_Word</group>
      <groupName>字词问题</groupName>
      <ability>L2_Typo</ability>
      <abilityName>字词错误</abilityName>
      <candidateList>
        <item>速公</item>
      </candidateList>
      <explain/>
      <paraID>342076FF</paraID>
      <start>37</start>
      <end>38</end>
      <status>unmodified</status>
      <modifiedWord/>
      <trackRevisions>false</trackRevisions>
    </reviewItem>
    <reviewItem>
      <errorID>f6795b64-80a9-4322-936c-fed41d8e9ee4</errorID>
      <errorWord>;</errorWord>
      <group>L1_Format</group>
      <groupName>格式问题</groupName>
      <ability>L2_HalfPunc</ability>
      <abilityName>全半角检查</abilityName>
      <candidateList>
        <item>；</item>
      </candidateList>
      <explain>文本全半角错误。</explain>
      <paraID>5C81D825</paraID>
      <start>31</start>
      <end>32</end>
      <status>unmodified</status>
      <modifiedWord/>
      <trackRevisions>false</trackRevisions>
    </reviewItem>
    <reviewItem>
      <errorID>d46124b7-de8f-4851-93f1-1fbe16e0e931</errorID>
      <errorWord>沽污</errorWord>
      <group>L1_Word</group>
      <groupName>字词问题</groupName>
      <ability>L2_Typo</ability>
      <abilityName>字词错误</abilityName>
      <candidateList>
        <item>沾污</item>
      </candidateList>
      <explain/>
      <paraID>2BE04A05</paraID>
      <start>23</start>
      <end>25</end>
      <status>unmodified</status>
      <modifiedWord/>
      <trackRevisions>false</trackRevisions>
    </reviewItem>
    <reviewItem>
      <errorID>e3207425-dc2a-4d86-ad61-f1f6e149d075</errorID>
      <errorWord>人口</errorWord>
      <group>L1_Word</group>
      <groupName>字词问题</groupName>
      <ability>L2_Typo</ability>
      <abilityName>字词错误</abilityName>
      <candidateList>
        <item>入口</item>
      </candidateList>
      <explain/>
      <paraID>3850F0E8</paraID>
      <start>15</start>
      <end>17</end>
      <status>unmodified</status>
      <modifiedWord/>
      <trackRevisions>false</trackRevisions>
    </reviewItem>
    <reviewItem>
      <errorID>8f5d289a-b065-465f-ae48-c43aff6ee7fc</errorID>
      <errorWord>其它办公</errorWord>
      <group>L1_Word</group>
      <groupName>字词问题</groupName>
      <ability>L2_Alias</ability>
      <abilityName>也作/曾用词</abilityName>
      <candidateList>
        <item>其他办公</item>
      </candidateList>
      <explain>词汇[其它办公]为不规范表述或旧称，其规范书面表述为[其他办公]。</explain>
      <paraID>13186A20</paraID>
      <start>5</start>
      <end>9</end>
      <status>unmodified</status>
      <modifiedWord/>
      <trackRevisions>false</trackRevisions>
    </reviewItem>
    <reviewItem>
      <errorID>01826be3-288f-4f4a-b8e6-9dcb804f95e0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6829E0F7</paraID>
      <start>25</start>
      <end>28</end>
      <status>unmodified</status>
      <modifiedWord/>
      <trackRevisions>false</trackRevisions>
    </reviewItem>
    <reviewItem>
      <errorID>5b216757-5026-4e70-89f9-9ed0bc91d285</errorID>
      <errorWord>(</errorWord>
      <group>L1_Format</group>
      <groupName>格式问题</groupName>
      <ability>L2_HalfPunc</ability>
      <abilityName>全半角检查</abilityName>
      <candidateList>
        <item>（</item>
      </candidateList>
      <explain>文本全半角错误。</explain>
      <paraID>26BE4B63</paraID>
      <start>34</start>
      <end>35</end>
      <status>unmodified</status>
      <modifiedWord/>
      <trackRevisions>false</trackRevisions>
    </reviewItem>
    <reviewItem>
      <errorID>63110f5f-36e7-4257-bf34-8559722d3432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21BB323C</paraID>
      <start>0</start>
      <end>2</end>
      <status>unmodified</status>
      <modifiedWord/>
      <trackRevisions>false</trackRevisions>
    </reviewItem>
    <reviewItem>
      <errorID>9b8be5e2-f9dd-4eb1-8ae4-5561ec90f585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2582FE91</paraID>
      <start>0</start>
      <end>2</end>
      <status>unmodified</status>
      <modifiedWord/>
      <trackRevisions>false</trackRevisions>
    </reviewItem>
    <reviewItem>
      <errorID>4ec3f3c6-600d-4e32-9720-e0bb23c38ab4</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2D6CC131</paraID>
      <start>0</start>
      <end>2</end>
      <status>unmodified</status>
      <modifiedWord/>
      <trackRevisions>false</trackRevisions>
    </reviewItem>
    <reviewItem>
      <errorID>48dbe11b-76b4-490f-85f6-72610f0acc27</errorID>
      <errorWord>(</errorWord>
      <group>L1_Format</group>
      <groupName>格式问题</groupName>
      <ability>L2_HalfPunc</ability>
      <abilityName>全半角检查</abilityName>
      <candidateList>
        <item>（</item>
      </candidateList>
      <explain>文本全半角错误。</explain>
      <paraID>2D6CC131</paraID>
      <start>37</start>
      <end>38</end>
      <status>unmodified</status>
      <modifiedWord/>
      <trackRevisions>false</trackRevisions>
    </reviewItem>
    <reviewItem>
      <errorID>22321524-4947-4482-ad11-74d8ecc09685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344175BE</paraID>
      <start>25</start>
      <end>28</end>
      <status>unmodified</status>
      <modifiedWord/>
      <trackRevisions>false</trackRevisions>
    </reviewItem>
    <reviewItem>
      <errorID>3cb94668-1b3c-4568-b152-3c0c947cfaed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8276CD3</paraID>
      <start>0</start>
      <end>2</end>
      <status>unmodified</status>
      <modifiedWord/>
      <trackRevisions>false</trackRevisions>
    </reviewItem>
    <reviewItem>
      <errorID>71b8a732-5f6e-4708-ba14-790fad969db5</errorID>
      <errorWord>(</errorWord>
      <group>L1_Format</group>
      <groupName>格式问题</groupName>
      <ability>L2_HalfPunc</ability>
      <abilityName>全半角检查</abilityName>
      <candidateList>
        <item>（</item>
      </candidateList>
      <explain>文本全半角错误。</explain>
      <paraID>2A63D51F</paraID>
      <start>25</start>
      <end>26</end>
      <status>unmodified</status>
      <modifiedWord/>
      <trackRevisions>false</trackRevisions>
    </reviewItem>
    <reviewItem>
      <errorID>ba3240c6-694c-4b32-94fb-650970025da1</errorID>
      <errorWord>(</errorWord>
      <group>L1_Format</group>
      <groupName>格式问题</groupName>
      <ability>L2_HalfPunc</ability>
      <abilityName>全半角检查</abilityName>
      <candidateList>
        <item>（</item>
      </candidateList>
      <explain>文本全半角错误。</explain>
      <paraID>37FF8628</paraID>
      <start>25</start>
      <end>26</end>
      <status>unmodified</status>
      <modifiedWord/>
      <trackRevisions>false</trackRevisions>
    </reviewItem>
    <reviewItem>
      <errorID>8a24625d-6823-4f77-adb5-5801067839e2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38D84104</paraID>
      <start>0</start>
      <end>2</end>
      <status>unmodified</status>
      <modifiedWord/>
      <trackRevisions>false</trackRevisions>
    </reviewItem>
    <reviewItem>
      <errorID>7390d84f-70f7-4433-9a98-cb688ecdd039</errorID>
      <errorWord>刚架</errorWord>
      <group>L1_Word</group>
      <groupName>字词问题</groupName>
      <ability>L2_Typo</ability>
      <abilityName>字词错误</abilityName>
      <candidateList>
        <item>钢架</item>
      </candidateList>
      <explain/>
      <paraID>1AB598B0</paraID>
      <start>3</start>
      <end>5</end>
      <status>unmodified</status>
      <modifiedWord/>
      <trackRevisions>false</trackRevisions>
    </reviewItem>
    <reviewItem>
      <errorID>bd9811cf-1316-4299-a377-70df1d701c3e</errorID>
      <errorWord>(</errorWord>
      <group>L1_Format</group>
      <groupName>格式问题</groupName>
      <ability>L2_HalfPunc</ability>
      <abilityName>全半角检查</abilityName>
      <candidateList>
        <item>（</item>
      </candidateList>
      <explain>文本全半角错误。</explain>
      <paraID>2CBBF9CD</paraID>
      <start>10</start>
      <end>11</end>
      <status>unmodified</status>
      <modifiedWord/>
      <trackRevisions>false</trackRevisions>
    </reviewItem>
    <reviewItem>
      <errorID>353c79b0-1f0f-4e1b-9bf1-2f1a5c45e1ca</errorID>
      <errorWord>：</errorWord>
      <group>L1_Format</group>
      <groupName>格式问题</groupName>
      <ability>L2_HalfPunc</ability>
      <abilityName>全半角检查</abilityName>
      <candidateList>
        <item>:</item>
      </candidateList>
      <explain>文本全半角错误。</explain>
      <paraID> 9F312D1</paraID>
      <start>29</start>
      <end>30</end>
      <status>unmodified</status>
      <modifiedWord/>
      <trackRevisions>false</trackRevisions>
    </reviewItem>
    <reviewItem>
      <errorID>98792db8-5cd0-45ff-9b2b-55f5463abfb8</errorID>
      <errorWord>(</errorWord>
      <group>L1_Format</group>
      <groupName>格式问题</groupName>
      <ability>L2_HalfPunc</ability>
      <abilityName>全半角检查</abilityName>
      <candidateList>
        <item>（</item>
      </candidateList>
      <explain>文本全半角错误。</explain>
      <paraID>5E9DCDE8</paraID>
      <start>16</start>
      <end>17</end>
      <status>unmodified</status>
      <modifiedWord/>
      <trackRevisions>false</trackRevisions>
    </reviewItem>
    <reviewItem>
      <errorID>603c9f59-5389-47a0-9e10-15c2bad7b8f5</errorID>
      <errorWord>(</errorWord>
      <group>L1_Format</group>
      <groupName>格式问题</groupName>
      <ability>L2_HalfPunc</ability>
      <abilityName>全半角检查</abilityName>
      <candidateList>
        <item>（</item>
      </candidateList>
      <explain>文本全半角错误。</explain>
      <paraID>418F1E2B</paraID>
      <start>19</start>
      <end>20</end>
      <status>unmodified</status>
      <modifiedWord/>
      <trackRevisions>false</trackRevisions>
    </reviewItem>
    <reviewItem>
      <errorID>69efaa96-9ebf-4ad8-83c7-9ae7736ae01b</errorID>
      <errorWord>[2016]58号</errorWord>
      <group>L1_Knowledge</group>
      <groupName>知识性问题</groupName>
      <ability>L2_Knowledge</ability>
      <abilityName>其他知识</abilityName>
      <candidateList>
        <item>〔2016〕58号</item>
      </candidateList>
      <explain>发文字号格式错误。</explain>
      <paraID>7B738ABC</paraID>
      <start>42</start>
      <end>51</end>
      <status>unmodified</status>
      <modifiedWord/>
      <trackRevisions>false</trackRevisions>
    </reviewItem>
    <reviewItem>
      <errorID>ee287257-403b-437b-8ebb-49cbdb3b561f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2C918977</paraID>
      <start>0</start>
      <end>2</end>
      <status>unmodified</status>
      <modifiedWord/>
      <trackRevisions>false</trackRevisions>
    </reviewItem>
    <reviewItem>
      <errorID>6af8dbe6-5e9e-4486-92cb-b87066dd7a9e</errorID>
      <errorWord>标淮</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34266381</paraID>
      <start>11</start>
      <end>13</end>
      <status>unmodified</status>
      <modifiedWord/>
      <trackRevisions>false</trackRevisions>
    </reviewItem>
    <reviewItem>
      <errorID>bcd9b097-a4cd-429f-ad13-04c03df5fac6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3ECCECB3</paraID>
      <start>0</start>
      <end>2</end>
      <status>unmodified</status>
      <modifiedWord/>
      <trackRevisions>false</trackRevisions>
    </reviewItem>
    <reviewItem>
      <errorID>dd8dec0c-c46f-4a02-89e6-9d9423511ce2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2F790020</paraID>
      <start>0</start>
      <end>2</end>
      <status>unmodified</status>
      <modifiedWord/>
      <trackRevisions>false</trackRevisions>
    </reviewItem>
    <reviewItem>
      <errorID>1296b462-ca3b-4caf-ba1f-37d56a71b029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39F84B07</paraID>
      <start>0</start>
      <end>2</end>
      <status>unmodified</status>
      <modifiedWord/>
      <trackRevisions>false</trackRevisions>
    </reviewItem>
    <reviewItem>
      <errorID>82846152-6a15-42d2-844a-ea521567c661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350ED237</paraID>
      <start>0</start>
      <end>2</end>
      <status>unmodified</status>
      <modifiedWord/>
      <trackRevisions>false</trackRevisions>
    </reviewItem>
    <reviewItem>
      <errorID>e0f69c26-926b-4a74-ab12-f430507c5426</errorID>
      <errorWord>《云南省山地城镇道路工程设计导则》(试行）</errorWord>
      <group>L1_Knowledge</group>
      <groupName>知识性问题</groupName>
      <ability>L2_Knowledge</ability>
      <abilityName>其他知识</abilityName>
      <candidateList>
        <item>《云南省山地城镇道路工程设计导则(试行）》</item>
      </candidateList>
      <explain>疑似政策文件、法律法规名称等书写不规范，请注意检查。</explain>
      <paraID>465A6433</paraID>
      <start>0</start>
      <end>21</end>
      <status>unmodified</status>
      <modifiedWord/>
      <trackRevisions>false</trackRevisions>
    </reviewItem>
    <reviewItem>
      <errorID>cf700bf6-bbdf-4d47-9ebb-7a92c68aaef8</errorID>
      <errorWord>(</errorWord>
      <group>L1_Format</group>
      <groupName>格式问题</groupName>
      <ability>L2_HalfPunc</ability>
      <abilityName>全半角检查</abilityName>
      <candidateList>
        <item>（</item>
      </candidateList>
      <explain>文本全半角错误。</explain>
      <paraID>14C2C063</paraID>
      <start>17</start>
      <end>18</end>
      <status>unmodified</status>
      <modifiedWord/>
      <trackRevisions>false</trackRevisions>
    </reviewItem>
    <reviewItem>
      <errorID>6eb2599e-d0de-48e1-91ff-1d799136fc09</errorID>
      <errorWord>(</errorWord>
      <group>L1_Format</group>
      <groupName>格式问题</groupName>
      <ability>L2_HalfPunc</ability>
      <abilityName>全半角检查</abilityName>
      <candidateList>
        <item>（</item>
      </candidateList>
      <explain>文本全半角错误。</explain>
      <paraID>2B7D0A4E</paraID>
      <start>10</start>
      <end>11</end>
      <status>unmodified</status>
      <modifiedWord/>
      <trackRevisions>false</trackRevisions>
    </reviewItem>
    <reviewItem>
      <errorID>a0c6d318-41b7-4eff-82e8-11c3ba0ea48a</errorID>
      <errorWord>：</errorWord>
      <group>L1_Format</group>
      <groupName>格式问题</groupName>
      <ability>L2_HalfPunc</ability>
      <abilityName>全半角检查</abilityName>
      <candidateList>
        <item>:</item>
      </candidateList>
      <explain>文本全半角错误。</explain>
      <paraID>5E49F99A</paraID>
      <start>29</start>
      <end>30</end>
      <status>unmodified</status>
      <modifiedWord/>
      <trackRevisions>false</trackRevisions>
    </reviewItem>
    <reviewItem>
      <errorID>20f6f17a-cc34-4c1c-9bc9-79f3caf3175e</errorID>
      <errorWord>[2016]58号</errorWord>
      <group>L1_Knowledge</group>
      <groupName>知识性问题</groupName>
      <ability>L2_Knowledge</ability>
      <abilityName>其他知识</abilityName>
      <candidateList>
        <item>〔2016〕58号</item>
      </candidateList>
      <explain>发文字号格式错误。</explain>
      <paraID>296C4BBE</paraID>
      <start>42</start>
      <end>51</end>
      <status>unmodified</status>
      <modifiedWord/>
      <trackRevisions>false</trackRevisions>
    </reviewItem>
    <reviewItem>
      <errorID>5ec2df82-8846-4c0e-9999-6bfe538c85be</errorID>
      <errorWord>有</errorWord>
      <group>L1_Word</group>
      <groupName>字词问题</groupName>
      <ability>L2_Typo</ability>
      <abilityName>字词错误</abilityName>
      <candidateList>
        <item>有国</item>
      </candidateList>
      <explain/>
      <paraID>  D5FE2E</paraID>
      <start>5</start>
      <end>6</end>
      <status>unmodified</status>
      <modifiedWord/>
      <trackRevisions>false</trackRevisions>
    </reviewItem>
    <reviewItem>
      <errorID>34a54d2c-e09f-4aa8-841a-0151f6b054db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3E0ED168</paraID>
      <start>0</start>
      <end>2</end>
      <status>unmodified</status>
      <modifiedWord/>
      <trackRevisions>false</trackRevisions>
    </reviewItem>
    <reviewItem>
      <errorID>5d3040e5-d625-4015-bc8a-40fc89767b84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7D8B82CE</paraID>
      <start>0</start>
      <end>2</end>
      <status>unmodified</status>
      <modifiedWord/>
      <trackRevisions>false</trackRevisions>
    </reviewItem>
    <reviewItem>
      <errorID>a69e1a94-7340-4bdb-a014-64f37a3067e4</errorID>
      <errorWord>(</errorWord>
      <group>L1_Format</group>
      <groupName>格式问题</groupName>
      <ability>L2_HalfPunc</ability>
      <abilityName>全半角检查</abilityName>
      <candidateList>
        <item>（</item>
      </candidateList>
      <explain>文本全半角错误。</explain>
      <paraID>416751B0</paraID>
      <start>25</start>
      <end>26</end>
      <status>unmodified</status>
      <modifiedWord/>
      <trackRevisions>false</trackRevisions>
    </reviewItem>
    <reviewItem>
      <errorID>eb608ec6-fda3-4f17-97a0-ab50de92608b</errorID>
      <errorWord>(</errorWord>
      <group>L1_Format</group>
      <groupName>格式问题</groupName>
      <ability>L2_HalfPunc</ability>
      <abilityName>全半角检查</abilityName>
      <candidateList>
        <item>（</item>
      </candidateList>
      <explain>文本全半角错误。</explain>
      <paraID>33B5A295</paraID>
      <start>15</start>
      <end>16</end>
      <status>unmodified</status>
      <modifiedWord/>
      <trackRevisions>false</trackRevisions>
    </reviewItem>
    <reviewItem>
      <errorID>4012af7d-0c7f-406f-8bc4-bc724c08ce99</errorID>
      <errorWord>(</errorWord>
      <group>L1_Format</group>
      <groupName>格式问题</groupName>
      <ability>L2_HalfPunc</ability>
      <abilityName>全半角检查</abilityName>
      <candidateList>
        <item>（</item>
      </candidateList>
      <explain>文本全半角错误。</explain>
      <paraID>5A2AF935</paraID>
      <start>31</start>
      <end>32</end>
      <status>unmodified</status>
      <modifiedWord/>
      <trackRevisions>false</trackRevisions>
    </reviewItem>
    <reviewItem>
      <errorID>2a6390df-3cf1-4892-9a8a-bac1531fa19a</errorID>
      <errorWord>(</errorWord>
      <group>L1_Format</group>
      <groupName>格式问题</groupName>
      <ability>L2_HalfPunc</ability>
      <abilityName>全半角检查</abilityName>
      <candidateList>
        <item>（</item>
      </candidateList>
      <explain>文本全半角错误。</explain>
      <paraID>5A2AF935</paraID>
      <start>60</start>
      <end>61</end>
      <status>unmodified</status>
      <modifiedWord/>
      <trackRevisions>false</trackRevisions>
    </reviewItem>
    <reviewItem>
      <errorID>e148bbab-a5ef-45ce-b7a0-13303dea3dfe</errorID>
      <errorWord>(</errorWord>
      <group>L1_Format</group>
      <groupName>格式问题</groupName>
      <ability>L2_HalfPunc</ability>
      <abilityName>全半角检查</abilityName>
      <candidateList>
        <item>（</item>
      </candidateList>
      <explain>文本全半角错误。</explain>
      <paraID>3DA7403E</paraID>
      <start>15</start>
      <end>16</end>
      <status>unmodified</status>
      <modifiedWord/>
      <trackRevisions>false</trackRevisions>
    </reviewItem>
    <reviewItem>
      <errorID>e6af1231-e1c3-403e-a896-0b3db6e6d71d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1CEAF908</paraID>
      <start>0</start>
      <end>2</end>
      <status>unmodified</status>
      <modifiedWord/>
      <trackRevisions>false</trackRevisions>
    </reviewItem>
    <reviewItem>
      <errorID>8b8ee2dd-b3e5-4faa-84f0-2ea0c73d7b4f</errorID>
      <errorWord>亚黏土</errorWord>
      <group>L1_Word</group>
      <groupName>字词问题</groupName>
      <ability>L2_Typo</ability>
      <abilityName>字词错误</abilityName>
      <candidateList>
        <item>亚粘土</item>
      </candidateList>
      <explain/>
      <paraID>7568494F</paraID>
      <start>20</start>
      <end>23</end>
      <status>unmodified</status>
      <modifiedWord/>
      <trackRevisions>false</trackRevisions>
    </reviewItem>
    <reviewItem>
      <errorID>da3d6517-2e77-47f9-bbf9-220280269d90</errorID>
      <errorWord>活载</errorWord>
      <group>L1_Word</group>
      <groupName>字词问题</groupName>
      <ability>L2_Typo</ability>
      <abilityName>字词错误</abilityName>
      <candidateList>
        <item>荷载</item>
      </candidateList>
      <explain/>
      <paraID>43D4204A</paraID>
      <start>66</start>
      <end>68</end>
      <status>unmodified</status>
      <modifiedWord/>
      <trackRevisions>false</trackRevisions>
    </reviewItem>
    <reviewItem>
      <errorID>545da121-61d6-4675-89b1-d7f454f4dd2d</errorID>
      <errorWord>在对</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3E3A7449</paraID>
      <start>237</start>
      <end>239</end>
      <status>unmodified</status>
      <modifiedWord/>
      <trackRevisions>false</trackRevisions>
    </reviewItem>
    <reviewItem>
      <errorID>9e078f7f-7997-4b0d-bdca-3e24074e3ebe</errorID>
      <errorWord>结施</errorWord>
      <group>L1_Word</group>
      <groupName>字词问题</groupName>
      <ability>L2_Typo</ability>
      <abilityName>字词错误</abilityName>
      <candidateList>
        <item>结构</item>
      </candidateList>
      <explain>❶〈名〉各个组成部分的搭配和排列：文章的～｜语言的～｜原子～。❷〈名〉建筑物上承担重力或外力的部分的构造：砖木～｜钢筋混凝土～。❸〈动〉组织安排（文字、情节等）：根据主线来～故事。</explain>
      <paraID>3CDADEA4</paraID>
      <start>31</start>
      <end>33</end>
      <status>unmodified</status>
      <modifiedWord/>
      <trackRevisions>false</trackRevisions>
    </reviewItem>
    <reviewItem>
      <errorID>fe32d73a-0541-4758-9107-86e98d764478</errorID>
      <errorWord>结施</errorWord>
      <group>L1_Word</group>
      <groupName>字词问题</groupName>
      <ability>L2_Typo</ability>
      <abilityName>字词错误</abilityName>
      <candidateList>
        <item>结实</item>
      </candidateList>
      <explain>存在发音相同字词的误用。</explain>
      <paraID>339C0389</paraID>
      <start>22</start>
      <end>24</end>
      <status>unmodified</status>
      <modifiedWord/>
      <trackRevisions>false</trackRevisions>
    </reviewItem>
    <reviewItem>
      <errorID>65893441-d516-4ede-a6f3-965b0616a067</errorID>
      <errorWord>雨篷</errorWord>
      <group>L1_Word</group>
      <groupName>字词问题</groupName>
      <ability>L2_Typo</ability>
      <abilityName>字词错误</abilityName>
      <candidateList>
        <item>雨棚</item>
      </candidateList>
      <explain>存在发音相同字词的误用。</explain>
      <paraID>5369E132</paraID>
      <start>2</start>
      <end>4</end>
      <status>unmodified</status>
      <modifiedWord/>
      <trackRevisions>false</trackRevisions>
    </reviewItem>
    <reviewItem>
      <errorID>5e0df9f5-769e-45b3-a396-121ea48a0a0d</errorID>
      <errorWord>雨篷</errorWord>
      <group>L1_Word</group>
      <groupName>字词问题</groupName>
      <ability>L2_Typo</ability>
      <abilityName>字词错误</abilityName>
      <candidateList>
        <item>雨棚</item>
      </candidateList>
      <explain>存在发音相同字词的误用。</explain>
      <paraID>1FF10F3C</paraID>
      <start>3</start>
      <end>5</end>
      <status>unmodified</status>
      <modifiedWord/>
      <trackRevisions>false</trackRevisions>
    </reviewItem>
    <reviewItem>
      <errorID>0a23e93a-ebca-46f3-bd86-0a0e25db9a26</errorID>
      <errorWord>雨篷</errorWord>
      <group>L1_Word</group>
      <groupName>字词问题</groupName>
      <ability>L2_Typo</ability>
      <abilityName>字词错误</abilityName>
      <candidateList>
        <item>雨棚</item>
      </candidateList>
      <explain>存在发音相同字词的误用。</explain>
      <paraID>1FF10F3C</paraID>
      <start>29</start>
      <end>31</end>
      <status>unmodified</status>
      <modifiedWord/>
      <trackRevisions>false</trackRevisions>
    </reviewItem>
    <reviewItem>
      <errorID>78d7ce7a-bf72-4167-92db-8cda77dc6eeb</errorID>
      <errorWord>搁板</errorWord>
      <group>L1_Word</group>
      <groupName>字词问题</groupName>
      <ability>L2_Typo</ability>
      <abilityName>字词错误</abilityName>
      <candidateList>
        <item>隔板</item>
      </candidateList>
      <explain/>
      <paraID>2C2A4D02</paraID>
      <start>7</start>
      <end>9</end>
      <status>unmodified</status>
      <modifiedWord/>
      <trackRevisions>false</trackRevisions>
    </reviewItem>
    <reviewItem>
      <errorID>455bc4e4-b39c-44f8-b9ec-48653db8497e</errorID>
      <errorWord>&lt;</errorWord>
      <group>L1_Format</group>
      <groupName>格式问题</groupName>
      <ability>L2_HalfPunc</ability>
      <abilityName>全半角检查</abilityName>
      <candidateList>
        <item>〈</item>
      </candidateList>
      <explain>文本全半角错误。</explain>
      <paraID>3AF4648A</paraID>
      <start>136</start>
      <end>137</end>
      <status>unmodified</status>
      <modifiedWord/>
      <trackRevisions>false</trackRevisions>
    </reviewItem>
    <reviewItem>
      <errorID>250ccbb2-cb62-404b-af74-8bf13360cbdc</errorID>
      <errorWord>&gt;。</errorWord>
      <group>L1_Punc</group>
      <groupName>标点问题</groupName>
      <ability>L2_Punc</ability>
      <abilityName>标点符号检查</abilityName>
      <candidateList>
        <item>&gt;</item>
      </candidateList>
      <explain/>
      <paraID>3AF4648A</paraID>
      <start>144</start>
      <end>146</end>
      <status>unmodified</status>
      <modifiedWord/>
      <trackRevisions>false</trackRevisions>
    </reviewItem>
    <reviewItem>
      <errorID>4946a876-7eaa-483a-b302-43fc728b4396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56D3A7B2</paraID>
      <start>0</start>
      <end>2</end>
      <status>unmodified</status>
      <modifiedWord/>
      <trackRevisions>false</trackRevisions>
    </reviewItem>
    <reviewItem>
      <errorID>e5efbd6c-9b05-49fd-8a43-8bea80336984</errorID>
      <errorWord>&lt;</errorWord>
      <group>L1_Format</group>
      <groupName>格式问题</groupName>
      <ability>L2_HalfPunc</ability>
      <abilityName>全半角检查</abilityName>
      <candidateList>
        <item>〈</item>
      </candidateList>
      <explain>文本全半角错误。</explain>
      <paraID>10D539AC</paraID>
      <start>53</start>
      <end>54</end>
      <status>unmodified</status>
      <modifiedWord/>
      <trackRevisions>false</trackRevisions>
    </reviewItem>
    <reviewItem>
      <errorID>bcfb7078-cac5-4a6f-b650-99869890f3ce</errorID>
      <errorWord>&gt;、</errorWord>
      <group>L1_Punc</group>
      <groupName>标点问题</groupName>
      <ability>L2_Punc</ability>
      <abilityName>标点符号检查</abilityName>
      <candidateList>
        <item>&gt;</item>
      </candidateList>
      <explain/>
      <paraID>10D539AC</paraID>
      <start>72</start>
      <end>74</end>
      <status>unmodified</status>
      <modifiedWord/>
      <trackRevisions>false</trackRevisions>
    </reviewItem>
    <reviewItem>
      <errorID>d4f51492-fd88-4c1c-8026-12164cd921c8</errorID>
      <errorWord>&lt;</errorWord>
      <group>L1_Format</group>
      <groupName>格式问题</groupName>
      <ability>L2_HalfPunc</ability>
      <abilityName>全半角检查</abilityName>
      <candidateList>
        <item>〈</item>
      </candidateList>
      <explain>文本全半角错误。</explain>
      <paraID>10D539AC</paraID>
      <start>74</start>
      <end>75</end>
      <status>unmodified</status>
      <modifiedWord/>
      <trackRevisions>false</trackRevisions>
    </reviewItem>
    <reviewItem>
      <errorID>168e86ca-7d46-46f6-9b24-a3f0d73c1cee</errorID>
      <errorWord>&gt;</errorWord>
      <group>L1_Format</group>
      <groupName>格式问题</groupName>
      <ability>L2_HalfPunc</ability>
      <abilityName>全半角检查</abilityName>
      <candidateList>
        <item>〉</item>
      </candidateList>
      <explain>文本全半角错误。</explain>
      <paraID>10D539AC</paraID>
      <start>90</start>
      <end>91</end>
      <status>unmodified</status>
      <modifiedWord/>
      <trackRevisions>false</trackRevisions>
    </reviewItem>
    <reviewItem>
      <errorID>198e667f-2490-4b09-81a8-973bf329c77c</errorID>
      <errorWord>雨篷</errorWord>
      <group>L1_Word</group>
      <groupName>字词问题</groupName>
      <ability>L2_Typo</ability>
      <abilityName>字词错误</abilityName>
      <candidateList>
        <item>雨棚</item>
      </candidateList>
      <explain/>
      <paraID>16CC75FF</paraID>
      <start>29</start>
      <end>31</end>
      <status>unmodified</status>
      <modifiedWord/>
      <trackRevisions>false</trackRevisions>
    </reviewItem>
    <reviewItem>
      <errorID>32666e71-77ec-4800-9897-007141cc14a4</errorID>
      <errorWord>&lt;</errorWord>
      <group>L1_Format</group>
      <groupName>格式问题</groupName>
      <ability>L2_HalfPunc</ability>
      <abilityName>全半角检查</abilityName>
      <candidateList>
        <item>〈</item>
      </candidateList>
      <explain>文本全半角错误。</explain>
      <paraID>1F1BD6D2</paraID>
      <start>20</start>
      <end>21</end>
      <status>unmodified</status>
      <modifiedWord/>
      <trackRevisions>false</trackRevisions>
    </reviewItem>
    <reviewItem>
      <errorID>cc74c4e7-1f50-48fd-acb2-bd98841dd6c0</errorID>
      <errorWord>&gt;。</errorWord>
      <group>L1_Punc</group>
      <groupName>标点问题</groupName>
      <ability>L2_Punc</ability>
      <abilityName>标点符号检查</abilityName>
      <candidateList>
        <item>&gt;</item>
      </candidateList>
      <explain/>
      <paraID>1F1BD6D2</paraID>
      <start>28</start>
      <end>30</end>
      <status>unmodified</status>
      <modifiedWord/>
      <trackRevisions>false</trackRevisions>
    </reviewItem>
    <reviewItem>
      <errorID>f134c426-911e-4190-8151-e2bc6d81b23f</errorID>
      <errorWord>&lt;</errorWord>
      <group>L1_Format</group>
      <groupName>格式问题</groupName>
      <ability>L2_HalfPunc</ability>
      <abilityName>全半角检查</abilityName>
      <candidateList>
        <item>〈</item>
      </candidateList>
      <explain>文本全半角错误。</explain>
      <paraID>3CC5BFEA</paraID>
      <start>52</start>
      <end>53</end>
      <status>unmodified</status>
      <modifiedWord/>
      <trackRevisions>false</trackRevisions>
    </reviewItem>
    <reviewItem>
      <errorID>bea69d84-6f05-4867-b323-c54d37c1f2a1</errorID>
      <errorWord>&gt;</errorWord>
      <group>L1_Format</group>
      <groupName>格式问题</groupName>
      <ability>L2_HalfPunc</ability>
      <abilityName>全半角检查</abilityName>
      <candidateList>
        <item>〉</item>
      </candidateList>
      <explain>文本全半角错误。</explain>
      <paraID>3CC5BFEA</paraID>
      <start>71</start>
      <end>72</end>
      <status>unmodified</status>
      <modifiedWord/>
      <trackRevisions>false</trackRevisions>
    </reviewItem>
    <reviewItem>
      <errorID>6cc56807-842c-48dc-9440-2a309aeab9b2</errorID>
      <errorWord>卫生洁具</errorWord>
      <group>L1_Grammar</group>
      <groupName>语法问题</groupName>
      <ability>L2_Grammar</ability>
      <abilityName>语法错误</abilityName>
      <candidateList>
        <item>洁具</item>
      </candidateList>
      <explain/>
      <paraID>60947A31</paraID>
      <start>2</start>
      <end>6</end>
      <status>unmodified</status>
      <modifiedWord/>
      <trackRevisions>false</trackRevisions>
    </reviewItem>
    <reviewItem>
      <errorID>2ae76ee8-7c4e-4793-aa9e-fa1af156e3b2</errorID>
      <errorWord>检修人</errorWord>
      <group>L1_Word</group>
      <groupName>字词问题</groupName>
      <ability>L2_Typo</ability>
      <abilityName>字词错误</abilityName>
      <candidateList>
        <item>检修</item>
      </candidateList>
      <explain/>
      <paraID> 50A723B</paraID>
      <start>10</start>
      <end>13</end>
      <status>unmodified</status>
      <modifiedWord/>
      <trackRevisions>false</trackRevisions>
    </reviewItem>
    <reviewItem>
      <errorID>aa2b14c5-707a-484f-a307-bcae632cdd43</errorID>
      <errorWord>中</errorWord>
      <group>L1_Word</group>
      <groupName>字词问题</groupName>
      <ability>L2_Typo</ability>
      <abilityName>字词错误</abilityName>
      <candidateList>
        <item>中第</item>
      </candidateList>
      <explain/>
      <paraID>6DD6DDF9</paraID>
      <start>33</start>
      <end>34</end>
      <status>unmodified</status>
      <modifiedWord/>
      <trackRevisions>false</trackRevisions>
    </reviewItem>
    <reviewItem>
      <errorID>acec90dd-789e-4566-8578-30fca26ad588</errorID>
      <errorWord>应能</errorWord>
      <group>L1_Word</group>
      <groupName>字词问题</groupName>
      <ability>L2_Typo</ability>
      <abilityName>字词错误</abilityName>
      <candidateList>
        <item>应</item>
      </candidateList>
      <explain/>
      <paraID>19E09FD8</paraID>
      <start>8</start>
      <end>10</end>
      <status>unmodified</status>
      <modifiedWord/>
      <trackRevisions>false</trackRevisions>
    </reviewItem>
    <reviewItem>
      <errorID>d7e5c413-fac4-4608-b2eb-663b10a22191</errorID>
      <errorWord>挑板</errorWord>
      <group>L1_Word</group>
      <groupName>字词问题</groupName>
      <ability>L2_Typo</ability>
      <abilityName>字词错误</abilityName>
      <candidateList>
        <item>跳板</item>
      </candidateList>
      <explain/>
      <paraID>7E371400</paraID>
      <start>25</start>
      <end>27</end>
      <status>unmodified</status>
      <modifiedWord/>
      <trackRevisions>false</trackRevisions>
    </reviewItem>
    <reviewItem>
      <errorID>b1e9fa5a-ae7f-43d3-b847-7204da91caf5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671A7E9C</paraID>
      <start>0</start>
      <end>2</end>
      <status>unmodified</status>
      <modifiedWord/>
      <trackRevisions>false</trackRevisions>
    </reviewItem>
    <reviewItem>
      <errorID>78e66bcb-83ff-4c7a-9013-ae6813bc7c2a</errorID>
      <errorWord>“</errorWord>
      <group>L1_Punc</group>
      <groupName>标点问题</groupName>
      <ability>L2_Punc</ability>
      <abilityName>标点符号检查</abilityName>
      <candidateList/>
      <explain/>
      <paraID>2C4367C1</paraID>
      <start>10</start>
      <end>11</end>
      <status>unmodified</status>
      <modifiedWord/>
      <trackRevisions>false</trackRevisions>
    </reviewItem>
    <reviewItem>
      <errorID>b6806a21-8b2b-4cb9-8903-053251e4fab4</errorID>
      <errorWord>“</errorWord>
      <group>L1_Punc</group>
      <groupName>标点问题</groupName>
      <ability>L2_Punc</ability>
      <abilityName>标点符号检查</abilityName>
      <candidateList/>
      <explain/>
      <paraID>2C4367C1</paraID>
      <start>36</start>
      <end>37</end>
      <status>unmodified</status>
      <modifiedWord/>
      <trackRevisions>false</trackRevisions>
    </reviewItem>
    <reviewItem>
      <errorID>600e04b6-893e-4715-94eb-0e0b39b4be8b</errorID>
      <errorWord>(</errorWord>
      <group>L1_Punc</group>
      <groupName>标点问题</groupName>
      <ability>L2_Punc</ability>
      <abilityName>标点符号检查</abilityName>
      <candidateList/>
      <explain/>
      <paraID>2C4367C1</paraID>
      <start>41</start>
      <end>42</end>
      <status>unmodified</status>
      <modifiedWord/>
      <trackRevisions>false</trackRevisions>
    </reviewItem>
    <reviewItem>
      <errorID>cc1b7d69-b7fe-4b4b-b869-4fd138c345f4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2C4367C1</paraID>
      <start>55</start>
      <end>58</end>
      <status>unmodified</status>
      <modifiedWord/>
      <trackRevisions>false</trackRevisions>
    </reviewItem>
    <reviewItem>
      <errorID>6f433deb-8352-40dd-ac4e-f3912d764e5e</errorID>
      <errorWord>[2018]131号</errorWord>
      <group>L1_Knowledge</group>
      <groupName>知识性问题</groupName>
      <ability>L2_Knowledge</ability>
      <abilityName>其他知识</abilityName>
      <candidateList>
        <item>〔2018〕131号</item>
      </candidateList>
      <explain>发文字号格式错误。</explain>
      <paraID>2C4367C1</paraID>
      <start>61</start>
      <end>71</end>
      <status>unmodified</status>
      <modifiedWord/>
      <trackRevisions>false</trackRevisions>
    </reviewItem>
    <reviewItem>
      <errorID>a30f8ebf-6b56-4d5a-bf6b-d159277ef01a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2C4367C1</paraID>
      <start>71</start>
      <end>74</end>
      <status>unmodified</status>
      <modifiedWord/>
      <trackRevisions>false</trackRevisions>
    </reviewItem>
    <reviewItem>
      <errorID>a4f24cf1-778e-461e-8f13-42b0250e8853</errorID>
      <errorWord>[2018]3号</errorWord>
      <group>L1_Knowledge</group>
      <groupName>知识性问题</groupName>
      <ability>L2_Knowledge</ability>
      <abilityName>其他知识</abilityName>
      <candidateList>
        <item>〔2018〕3号</item>
      </candidateList>
      <explain>发文字号格式错误。</explain>
      <paraID>2C4367C1</paraID>
      <start>77</start>
      <end>85</end>
      <status>unmodified</status>
      <modifiedWord/>
      <trackRevisions>false</trackRevisions>
    </reviewItem>
    <reviewItem>
      <errorID>08ebf4e1-6420-4da8-b1e2-129f42ba2a01</errorID>
      <errorWord>(</errorWord>
      <group>L1_Format</group>
      <groupName>格式问题</groupName>
      <ability>L2_HalfPunc</ability>
      <abilityName>全半角检查</abilityName>
      <candidateList>
        <item>（</item>
      </candidateList>
      <explain>文本全半角错误。</explain>
      <paraID>67B9D7EA</paraID>
      <start>5</start>
      <end>6</end>
      <status>unmodified</status>
      <modifiedWord/>
      <trackRevisions>false</trackRevisions>
    </reviewItem>
    <reviewItem>
      <errorID>12b21a9f-2c37-4920-994b-370e43dcd8fe</errorID>
      <errorWord>(</errorWord>
      <group>L1_Format</group>
      <groupName>格式问题</groupName>
      <ability>L2_HalfPunc</ability>
      <abilityName>全半角检查</abilityName>
      <candidateList>
        <item>（</item>
      </candidateList>
      <explain>文本全半角错误。</explain>
      <paraID>67B9D7EA</paraID>
      <start>37</start>
      <end>38</end>
      <status>unmodified</status>
      <modifiedWord/>
      <trackRevisions>false</trackRevisions>
    </reviewItem>
    <reviewItem>
      <errorID>92de8387-8039-4ab0-9a67-3e336655051f</errorID>
      <errorWord>:</errorWord>
      <group>L1_Format</group>
      <groupName>格式问题</groupName>
      <ability>L2_HalfPunc</ability>
      <abilityName>全半角检查</abilityName>
      <candidateList>
        <item>：</item>
      </candidateList>
      <explain>文本全半角错误。</explain>
      <paraID>282C6E07</paraID>
      <start>6</start>
      <end>7</end>
      <status>unmodified</status>
      <modifiedWord/>
      <trackRevisions>false</trackRevisions>
    </reviewItem>
    <reviewItem>
      <errorID>06de9d82-d5d7-4c1e-9e4d-bb241d3fc5e6</errorID>
      <errorWord>:</errorWord>
      <group>L1_Format</group>
      <groupName>格式问题</groupName>
      <ability>L2_HalfPunc</ability>
      <abilityName>全半角检查</abilityName>
      <candidateList>
        <item>：</item>
      </candidateList>
      <explain>文本全半角错误。</explain>
      <paraID>4B85D5B7</paraID>
      <start>9</start>
      <end>10</end>
      <status>unmodified</status>
      <modifiedWord/>
      <trackRevisions>false</trackRevisions>
    </reviewItem>
    <reviewItem>
      <errorID>eacf50b6-8946-4a31-8c71-4f2f9df1cea8</errorID>
      <errorWord>:</errorWord>
      <group>L1_Format</group>
      <groupName>格式问题</groupName>
      <ability>L2_HalfPunc</ability>
      <abilityName>全半角检查</abilityName>
      <candidateList>
        <item>：</item>
      </candidateList>
      <explain>文本全半角错误。</explain>
      <paraID>686498C8</paraID>
      <start>10</start>
      <end>11</end>
      <status>unmodified</status>
      <modifiedWord/>
      <trackRevisions>false</trackRevisions>
    </reviewItem>
    <reviewItem>
      <errorID>3cf71d10-5cf2-433d-ab8f-9f150a0f68e2</errorID>
      <errorWord>(</errorWord>
      <group>L1_Format</group>
      <groupName>格式问题</groupName>
      <ability>L2_HalfPunc</ability>
      <abilityName>全半角检查</abilityName>
      <candidateList>
        <item>（</item>
      </candidateList>
      <explain>文本全半角错误。</explain>
      <paraID>4F4A9787</paraID>
      <start>10</start>
      <end>11</end>
      <status>unmodified</status>
      <modifiedWord/>
      <trackRevisions>false</trackRevisions>
    </reviewItem>
    <reviewItem>
      <errorID>8c76eb12-9267-4dcf-9c59-ff82908ad104</errorID>
      <errorWord>(</errorWord>
      <group>L1_Format</group>
      <groupName>格式问题</groupName>
      <ability>L2_HalfPunc</ability>
      <abilityName>全半角检查</abilityName>
      <candidateList>
        <item>（</item>
      </candidateList>
      <explain>文本全半角错误。</explain>
      <paraID>76EF24A7</paraID>
      <start>5</start>
      <end>6</end>
      <status>unmodified</status>
      <modifiedWord/>
      <trackRevisions>false</trackRevisions>
    </reviewItem>
    <reviewItem>
      <errorID>e489013c-bcb6-40e1-8cc3-bfa4e7b51eef</errorID>
      <errorWord>钢筋混凝土按</errorWord>
      <group>L1_Knowledge</group>
      <groupName>知识性问题</groupName>
      <ability>L2_Term</ability>
      <abilityName>专业术语</abilityName>
      <candidateList>
        <item>钢筋混凝土桥</item>
      </candidateList>
      <explain/>
      <paraID>522B6846</paraID>
      <start>19</start>
      <end>25</end>
      <status>unmodified</status>
      <modifiedWord/>
      <trackRevisions>false</trackRevisions>
    </reviewItem>
    <reviewItem>
      <errorID>aca321a0-c315-4014-808a-f0d1f226be17</errorID>
      <errorWord>建筑面层</errorWord>
      <group>L1_Knowledge</group>
      <groupName>知识性问题</groupName>
      <ability>L2_Term</ability>
      <abilityName>专业术语</abilityName>
      <candidateList>
        <item>建筑面积</item>
      </candidateList>
      <explain/>
      <paraID>70F08720</paraID>
      <start>34</start>
      <end>38</end>
      <status>unmodified</status>
      <modifiedWord/>
      <trackRevisions>false</trackRevisions>
    </reviewItem>
    <reviewItem>
      <errorID>df20baee-8f1e-4aff-b5be-b111f1a27b0a</errorID>
      <errorWord>,</errorWord>
      <group>L1_Format</group>
      <groupName>格式问题</groupName>
      <ability>L2_HalfPunc</ability>
      <abilityName>全半角检查</abilityName>
      <candidateList>
        <item>，</item>
      </candidateList>
      <explain>文本全半角错误。</explain>
      <paraID>70F08720</paraID>
      <start>58</start>
      <end>59</end>
      <status>unmodified</status>
      <modifiedWord/>
      <trackRevisions>false</trackRevisions>
    </reviewItem>
    <reviewItem>
      <errorID>3004e881-f497-454c-8186-ba9244785e65</errorID>
      <errorWord>恒荷载</errorWord>
      <group>L1_Word</group>
      <groupName>字词问题</groupName>
      <ability>L2_Typo</ability>
      <abilityName>字词错误</abilityName>
      <candidateList>
        <item>横荷载</item>
      </candidateList>
      <explain/>
      <paraID>567CC31F</paraID>
      <start>7</start>
      <end>10</end>
      <status>unmodified</status>
      <modifiedWord/>
      <trackRevisions>false</trackRevisions>
    </reviewItem>
    <reviewItem>
      <errorID>f9ecdece-c279-4b5c-8880-2d8be27fc504</errorID>
      <errorWord>收进</errorWord>
      <group>L1_Word</group>
      <groupName>字词问题</groupName>
      <ability>L2_Typo</ability>
      <abilityName>字词错误</abilityName>
      <candidateList>
        <item>收紧</item>
      </candidateList>
      <explain/>
      <paraID>395E9205</paraID>
      <start>53</start>
      <end>55</end>
      <status>unmodified</status>
      <modifiedWord/>
      <trackRevisions>false</trackRevisions>
    </reviewItem>
    <reviewItem>
      <errorID>cafe1bdc-6afc-4417-86f7-b3a481e281e9</errorID>
      <errorWord>雨篷</errorWord>
      <group>L1_Word</group>
      <groupName>字词问题</groupName>
      <ability>L2_Typo</ability>
      <abilityName>字词错误</abilityName>
      <candidateList>
        <item>雨棚</item>
      </candidateList>
      <explain>存在发音相同字词的误用。</explain>
      <paraID> F048224</paraID>
      <start>13</start>
      <end>15</end>
      <status>unmodified</status>
      <modifiedWord/>
      <trackRevisions>false</trackRevisions>
    </reviewItem>
    <reviewItem>
      <errorID>692d14d5-db34-46d9-844e-241f71a067a9</errorID>
      <errorWord>,</errorWord>
      <group>L1_Format</group>
      <groupName>格式问题</groupName>
      <ability>L2_HalfPunc</ability>
      <abilityName>全半角检查</abilityName>
      <candidateList>
        <item>，</item>
      </candidateList>
      <explain>文本全半角错误。</explain>
      <paraID>4393C217</paraID>
      <start>22</start>
      <end>23</end>
      <status>unmodified</status>
      <modifiedWord/>
      <trackRevisions>false</trackRevisions>
    </reviewItem>
    <reviewItem>
      <errorID>48c320d2-f59b-4f23-82f1-675b7f874052</errorID>
      <errorWord>;</errorWord>
      <group>L1_Format</group>
      <groupName>格式问题</groupName>
      <ability>L2_HalfPunc</ability>
      <abilityName>全半角检查</abilityName>
      <candidateList>
        <item>；</item>
      </candidateList>
      <explain>文本全半角错误。</explain>
      <paraID>5A1DB505</paraID>
      <start>34</start>
      <end>35</end>
      <status>unmodified</status>
      <modifiedWord/>
      <trackRevisions>false</trackRevisions>
    </reviewItem>
    <reviewItem>
      <errorID>5a4e190b-1d70-47d4-aefe-989883b56519</errorID>
      <errorWord>、</errorWord>
      <group>L1_Punc</group>
      <groupName>标点问题</groupName>
      <ability>L2_Punc</ability>
      <abilityName>标点符号检查</abilityName>
      <candidateList>
        <item>.</item>
      </candidateList>
      <explain/>
      <paraID>2B4B763F</paraID>
      <start>1</start>
      <end>2</end>
      <status>unmodified</status>
      <modifiedWord/>
      <trackRevisions>false</trackRevisions>
    </reviewItem>
    <reviewItem>
      <errorID>8aa308dd-306d-497a-b606-4ceed6892f81</errorID>
      <errorWord>、</errorWord>
      <group>L1_Punc</group>
      <groupName>标点问题</groupName>
      <ability>L2_Punc</ability>
      <abilityName>标点符号检查</abilityName>
      <candidateList>
        <item>.</item>
      </candidateList>
      <explain/>
      <paraID>26EF1198</paraID>
      <start>1</start>
      <end>2</end>
      <status>unmodified</status>
      <modifiedWord/>
      <trackRevisions>false</trackRevisions>
    </reviewItem>
    <reviewItem>
      <errorID>f7e2dabc-5a5d-423a-833f-0f21e1e85017</errorID>
      <errorWord>卫生做</errorWord>
      <group>L1_Word</group>
      <groupName>字词问题</groupName>
      <ability>L2_Typo</ability>
      <abilityName>字词错误</abilityName>
      <candidateList>
        <item>卫生间</item>
      </candidateList>
      <explain/>
      <paraID>7E62962B</paraID>
      <start>0</start>
      <end>3</end>
      <status>unmodified</status>
      <modifiedWord/>
      <trackRevisions>false</trackRevisions>
    </reviewItem>
    <reviewItem>
      <errorID>819b5896-b2bc-46f1-a6cc-69f36e64c238</errorID>
      <errorWord>,</errorWord>
      <group>L1_Format</group>
      <groupName>格式问题</groupName>
      <ability>L2_HalfPunc</ability>
      <abilityName>全半角检查</abilityName>
      <candidateList>
        <item>，</item>
      </candidateList>
      <explain>文本全半角错误。</explain>
      <paraID>5A334D0E</paraID>
      <start>60</start>
      <end>61</end>
      <status>unmodified</status>
      <modifiedWord/>
      <trackRevisions>false</trackRevisions>
    </reviewItem>
    <reviewItem>
      <errorID>347eed1f-477f-4d3b-9da2-8d8f32c29023</errorID>
      <errorWord>,</errorWord>
      <group>L1_Format</group>
      <groupName>格式问题</groupName>
      <ability>L2_HalfPunc</ability>
      <abilityName>全半角检查</abilityName>
      <candidateList>
        <item>，</item>
      </candidateList>
      <explain>文本全半角错误。</explain>
      <paraID>7D1FEA33</paraID>
      <start>18</start>
      <end>19</end>
      <status>unmodified</status>
      <modifiedWord/>
      <trackRevisions>false</trackRevisions>
    </reviewItem>
    <reviewItem>
      <errorID>d394c188-2433-4482-a443-332c2f2b1da7</errorID>
      <errorWord>(</errorWord>
      <group>L1_Format</group>
      <groupName>格式问题</groupName>
      <ability>L2_HalfPunc</ability>
      <abilityName>全半角检查</abilityName>
      <candidateList>
        <item>（</item>
      </candidateList>
      <explain>文本全半角错误。</explain>
      <paraID>7D1FEA33</paraID>
      <start>40</start>
      <end>41</end>
      <status>unmodified</status>
      <modifiedWord/>
      <trackRevisions>false</trackRevisions>
    </reviewItem>
    <reviewItem>
      <errorID>ee218cee-d53c-441b-8d64-8701846ea87b</errorID>
      <errorWord>形式</errorWord>
      <group>L1_Word</group>
      <groupName>字词问题</groupName>
      <ability>L2_Typo</ability>
      <abilityName>字词错误</abilityName>
      <candidateList>
        <item>型式</item>
      </candidateList>
      <explain/>
      <paraID>7D1FEA33</paraID>
      <start>49</start>
      <end>51</end>
      <status>unmodified</status>
      <modifiedWord/>
      <trackRevisions>false</trackRevisions>
    </reviewItem>
    <reviewItem>
      <errorID>2a4980b5-1b6a-4ee4-80e8-c7cddf35db05</errorID>
      <errorWord>(</errorWord>
      <group>L1_Format</group>
      <groupName>格式问题</groupName>
      <ability>L2_HalfPunc</ability>
      <abilityName>全半角检查</abilityName>
      <candidateList>
        <item>（</item>
      </candidateList>
      <explain>文本全半角错误。</explain>
      <paraID>767BB3DB</paraID>
      <start>15</start>
      <end>16</end>
      <status>unmodified</status>
      <modifiedWord/>
      <trackRevisions>false</trackRevisions>
    </reviewItem>
    <reviewItem>
      <errorID>12a99eac-01fd-492b-bc50-890fae258158</errorID>
      <errorWord>(</errorWord>
      <group>L1_Format</group>
      <groupName>格式问题</groupName>
      <ability>L2_HalfPunc</ability>
      <abilityName>全半角检查</abilityName>
      <candidateList>
        <item>（</item>
      </candidateList>
      <explain>文本全半角错误。</explain>
      <paraID>767BB3DB</paraID>
      <start>57</start>
      <end>58</end>
      <status>unmodified</status>
      <modifiedWord/>
      <trackRevisions>false</trackRevisions>
    </reviewItem>
    <reviewItem>
      <errorID>bef2502d-1df9-4416-ac24-d34774137718</errorID>
      <errorWord>其它</errorWord>
      <group>L1_Word</group>
      <groupName>字词问题</groupName>
      <ability>L2_Alias</ability>
      <abilityName>也作/曾用词</abilityName>
      <candidateList>
        <item>其他</item>
      </candidateList>
      <explain>词汇[其它]为不规范表述或旧称，其规范书面表述为[其他]。</explain>
      <paraID>2B0DD15A</paraID>
      <start>4</start>
      <end>6</end>
      <status>unmodified</status>
      <modifiedWord/>
      <trackRevisions>false</trackRevisions>
    </reviewItem>
    <reviewItem>
      <errorID>7a4b12f6-a9d4-4d20-b4c8-296eb93310bb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7E29B8E9</paraID>
      <start>0</start>
      <end>2</end>
      <status>unmodified</status>
      <modifiedWord/>
      <trackRevisions>false</trackRevisions>
    </reviewItem>
    <reviewItem>
      <errorID>b76fe7b8-ed19-4af2-9341-d180ac8f13cc</errorID>
      <errorWord>(</errorWord>
      <group>L1_Format</group>
      <groupName>格式问题</groupName>
      <ability>L2_HalfPunc</ability>
      <abilityName>全半角检查</abilityName>
      <candidateList>
        <item>（</item>
      </candidateList>
      <explain>文本全半角错误。</explain>
      <paraID>  8D9AE0</paraID>
      <start>33</start>
      <end>34</end>
      <status>unmodified</status>
      <modifiedWord/>
      <trackRevisions>false</trackRevisions>
    </reviewItem>
    <reviewItem>
      <errorID>50095223-46a2-4684-b454-eb33ba99d646</errorID>
      <errorWord>(</errorWord>
      <group>L1_Format</group>
      <groupName>格式问题</groupName>
      <ability>L2_HalfPunc</ability>
      <abilityName>全半角检查</abilityName>
      <candidateList>
        <item>（</item>
      </candidateList>
      <explain>文本全半角错误。</explain>
      <paraID>5ACEAAB9</paraID>
      <start>3</start>
      <end>4</end>
      <status>unmodified</status>
      <modifiedWord/>
      <trackRevisions>false</trackRevisions>
    </reviewItem>
    <reviewItem>
      <errorID>91ca7329-b25a-4d91-9b67-d10077f2f377</errorID>
      <errorWord>(</errorWord>
      <group>L1_Format</group>
      <groupName>格式问题</groupName>
      <ability>L2_HalfPunc</ability>
      <abilityName>全半角检查</abilityName>
      <candidateList>
        <item>（</item>
      </candidateList>
      <explain>文本全半角错误。</explain>
      <paraID>1713D640</paraID>
      <start>3</start>
      <end>4</end>
      <status>unmodified</status>
      <modifiedWord/>
      <trackRevisions>false</trackRevisions>
    </reviewItem>
    <reviewItem>
      <errorID>527b1e31-de24-443c-9f57-89ee597e0186</errorID>
      <errorWord>(</errorWord>
      <group>L1_Format</group>
      <groupName>格式问题</groupName>
      <ability>L2_HalfPunc</ability>
      <abilityName>全半角检查</abilityName>
      <candidateList>
        <item>（</item>
      </candidateList>
      <explain>文本全半角错误。</explain>
      <paraID>1EE1121C</paraID>
      <start>5</start>
      <end>6</end>
      <status>unmodified</status>
      <modifiedWord/>
      <trackRevisions>false</trackRevisions>
    </reviewItem>
    <reviewItem>
      <errorID>bd4933cb-b86d-4275-b150-78f6109a49de</errorID>
      <errorWord>.</errorWord>
      <group>L1_Format</group>
      <groupName>格式问题</groupName>
      <ability>L2_HalfPunc</ability>
      <abilityName>全半角检查</abilityName>
      <candidateList>
        <item>。</item>
      </candidateList>
      <explain>文本全半角错误。</explain>
      <paraID>1EE1121C</paraID>
      <start>7</start>
      <end>8</end>
      <status>unmodified</status>
      <modifiedWord/>
      <trackRevisions>false</trackRevisions>
    </reviewItem>
    <reviewItem>
      <errorID>e3779383-bf3c-4267-a6ad-b933b24780ef</errorID>
      <errorWord>(</errorWord>
      <group>L1_Format</group>
      <groupName>格式问题</groupName>
      <ability>L2_HalfPunc</ability>
      <abilityName>全半角检查</abilityName>
      <candidateList>
        <item>（</item>
      </candidateList>
      <explain>文本全半角错误。</explain>
      <paraID>3E798D46</paraID>
      <start>5</start>
      <end>6</end>
      <status>unmodified</status>
      <modifiedWord/>
      <trackRevisions>false</trackRevisions>
    </reviewItem>
    <reviewItem>
      <errorID>1a5f3079-86b4-45a9-963b-3ad9313aa04d</errorID>
      <errorWord>.</errorWord>
      <group>L1_Format</group>
      <groupName>格式问题</groupName>
      <ability>L2_HalfPunc</ability>
      <abilityName>全半角检查</abilityName>
      <candidateList>
        <item>。</item>
      </candidateList>
      <explain>文本全半角错误。</explain>
      <paraID>3E798D46</paraID>
      <start>7</start>
      <end>8</end>
      <status>unmodified</status>
      <modifiedWord/>
      <trackRevisions>false</trackRevisions>
    </reviewItem>
    <reviewItem>
      <errorID>4751970c-8f6c-4fde-b061-81cd93c64c7d</errorID>
      <errorWord>(</errorWord>
      <group>L1_Format</group>
      <groupName>格式问题</groupName>
      <ability>L2_HalfPunc</ability>
      <abilityName>全半角检查</abilityName>
      <candidateList>
        <item>（</item>
      </candidateList>
      <explain>文本全半角错误。</explain>
      <paraID>2B3D66FA</paraID>
      <start>5</start>
      <end>6</end>
      <status>unmodified</status>
      <modifiedWord/>
      <trackRevisions>false</trackRevisions>
    </reviewItem>
    <reviewItem>
      <errorID>bfbef02b-5a59-4c40-b869-a96a90436308</errorID>
      <errorWord>.</errorWord>
      <group>L1_Format</group>
      <groupName>格式问题</groupName>
      <ability>L2_HalfPunc</ability>
      <abilityName>全半角检查</abilityName>
      <candidateList>
        <item>。</item>
      </candidateList>
      <explain>文本全半角错误。</explain>
      <paraID>2B3D66FA</paraID>
      <start>7</start>
      <end>8</end>
      <status>unmodified</status>
      <modifiedWord/>
      <trackRevisions>false</trackRevisions>
    </reviewItem>
    <reviewItem>
      <errorID>8239fd3b-467d-4a28-919e-201b913635b5</errorID>
      <errorWord>(</errorWord>
      <group>L1_Format</group>
      <groupName>格式问题</groupName>
      <ability>L2_HalfPunc</ability>
      <abilityName>全半角检查</abilityName>
      <candidateList>
        <item>（</item>
      </candidateList>
      <explain>文本全半角错误。</explain>
      <paraID>160CD242</paraID>
      <start>4</start>
      <end>5</end>
      <status>unmodified</status>
      <modifiedWord/>
      <trackRevisions>false</trackRevisions>
    </reviewItem>
    <reviewItem>
      <errorID>96548bfe-7305-426a-9d83-2a9663c85f6b</errorID>
      <errorWord>(</errorWord>
      <group>L1_Format</group>
      <groupName>格式问题</groupName>
      <ability>L2_HalfPunc</ability>
      <abilityName>全半角检查</abilityName>
      <candidateList>
        <item>（</item>
      </candidateList>
      <explain>文本全半角错误。</explain>
      <paraID>49006DE3</paraID>
      <start>4</start>
      <end>5</end>
      <status>unmodified</status>
      <modifiedWord/>
      <trackRevisions>false</trackRevisions>
    </reviewItem>
    <reviewItem>
      <errorID>3eca81f7-3123-4e9c-9a77-386057479c9c</errorID>
      <errorWord>(</errorWord>
      <group>L1_Format</group>
      <groupName>格式问题</groupName>
      <ability>L2_HalfPunc</ability>
      <abilityName>全半角检查</abilityName>
      <candidateList>
        <item>（</item>
      </candidateList>
      <explain>文本全半角错误。</explain>
      <paraID>61814234</paraID>
      <start>4</start>
      <end>5</end>
      <status>unmodified</status>
      <modifiedWord/>
      <trackRevisions>false</trackRevisions>
    </reviewItem>
    <reviewItem>
      <errorID>ee24af6d-f9c0-47d3-b5b6-d1b7e222f640</errorID>
      <errorWord>(</errorWord>
      <group>L1_Format</group>
      <groupName>格式问题</groupName>
      <ability>L2_HalfPunc</ability>
      <abilityName>全半角检查</abilityName>
      <candidateList>
        <item>（</item>
      </candidateList>
      <explain>文本全半角错误。</explain>
      <paraID>2EDACE77</paraID>
      <start>4</start>
      <end>5</end>
      <status>unmodified</status>
      <modifiedWord/>
      <trackRevisions>false</trackRevisions>
    </reviewItem>
    <reviewItem>
      <errorID>f21075d0-895a-425c-a5b0-51f7245f4ad4</errorID>
      <errorWord>(</errorWord>
      <group>L1_Format</group>
      <groupName>格式问题</groupName>
      <ability>L2_HalfPunc</ability>
      <abilityName>全半角检查</abilityName>
      <candidateList>
        <item>（</item>
      </candidateList>
      <explain>文本全半角错误。</explain>
      <paraID>1ECD1703</paraID>
      <start>4</start>
      <end>5</end>
      <status>unmodified</status>
      <modifiedWord/>
      <trackRevisions>false</trackRevisions>
    </reviewItem>
    <reviewItem>
      <errorID>1c34eb67-8d0f-415d-ad6c-1f3b737c86fb</errorID>
      <errorWord>(</errorWord>
      <group>L1_Format</group>
      <groupName>格式问题</groupName>
      <ability>L2_HalfPunc</ability>
      <abilityName>全半角检查</abilityName>
      <candidateList>
        <item>（</item>
      </candidateList>
      <explain>文本全半角错误。</explain>
      <paraID>5FDC7590</paraID>
      <start>4</start>
      <end>5</end>
      <status>unmodified</status>
      <modifiedWord/>
      <trackRevisions>false</trackRevisions>
    </reviewItem>
    <reviewItem>
      <errorID>ea7c89e1-018b-495c-a50f-e31e12ab4ca1</errorID>
      <errorWord>.</errorWord>
      <group>L1_Format</group>
      <groupName>格式问题</groupName>
      <ability>L2_HalfPunc</ability>
      <abilityName>全半角检查</abilityName>
      <candidateList>
        <item>。</item>
      </candidateList>
      <explain>文本全半角错误。</explain>
      <paraID>5FDC7590</paraID>
      <start>7</start>
      <end>8</end>
      <status>unmodified</status>
      <modifiedWord/>
      <trackRevisions>false</trackRevisions>
    </reviewItem>
    <reviewItem>
      <errorID>f65c4b1d-0995-450e-ac65-a4c139deec0d</errorID>
      <errorWord>(</errorWord>
      <group>L1_Format</group>
      <groupName>格式问题</groupName>
      <ability>L2_HalfPunc</ability>
      <abilityName>全半角检查</abilityName>
      <candidateList>
        <item>（</item>
      </candidateList>
      <explain>文本全半角错误。</explain>
      <paraID>491543EA</paraID>
      <start>4</start>
      <end>5</end>
      <status>unmodified</status>
      <modifiedWord/>
      <trackRevisions>false</trackRevisions>
    </reviewItem>
    <reviewItem>
      <errorID>964de29e-b2ae-46b3-8dbb-eacf4aec070f</errorID>
      <errorWord>.</errorWord>
      <group>L1_Format</group>
      <groupName>格式问题</groupName>
      <ability>L2_HalfPunc</ability>
      <abilityName>全半角检查</abilityName>
      <candidateList>
        <item>。</item>
      </candidateList>
      <explain>文本全半角错误。</explain>
      <paraID>491543EA</paraID>
      <start>7</start>
      <end>8</end>
      <status>unmodified</status>
      <modifiedWord/>
      <trackRevisions>false</trackRevisions>
    </reviewItem>
    <reviewItem>
      <errorID>0ea308ee-e801-4b83-8c49-e6de9b4d4bcd</errorID>
      <errorWord>~</errorWord>
      <group>L1_Format</group>
      <groupName>格式问题</groupName>
      <ability>L2_HalfPunc</ability>
      <abilityName>全半角检查</abilityName>
      <candidateList>
        <item>～</item>
      </candidateList>
      <explain>文本全半角错误。</explain>
      <paraID>27AE301D</paraID>
      <start>99</start>
      <end>100</end>
      <status>unmodified</status>
      <modifiedWord/>
      <trackRevisions>false</trackRevisions>
    </reviewItem>
    <reviewItem>
      <errorID>55219ba3-4d01-4897-980b-c621f953ca60</errorID>
      <errorWord>(</errorWord>
      <group>L1_Format</group>
      <groupName>格式问题</groupName>
      <ability>L2_HalfPunc</ability>
      <abilityName>全半角检查</abilityName>
      <candidateList>
        <item>（</item>
      </candidateList>
      <explain>文本全半角错误。</explain>
      <paraID>  B23597</paraID>
      <start>51</start>
      <end>52</end>
      <status>unmodified</status>
      <modifiedWord/>
      <trackRevisions>false</trackRevisions>
    </reviewItem>
    <reviewItem>
      <errorID>6cdd6704-1689-4db9-86e4-2c6c748b1bc7</errorID>
      <errorWord>(</errorWord>
      <group>L1_Format</group>
      <groupName>格式问题</groupName>
      <ability>L2_HalfPunc</ability>
      <abilityName>全半角检查</abilityName>
      <candidateList>
        <item>（</item>
      </candidateList>
      <explain>文本全半角错误。</explain>
      <paraID>479B2F29</paraID>
      <start>58</start>
      <end>59</end>
      <status>unmodified</status>
      <modifiedWord/>
      <trackRevisions>false</trackRevisions>
    </reviewItem>
    <reviewItem>
      <errorID>af281472-d844-404e-a345-ae15f42d437a</errorID>
      <errorWord>平</errorWord>
      <group>L1_Word</group>
      <groupName>字词问题</groupName>
      <ability>L2_Typo</ability>
      <abilityName>字词错误</abilityName>
      <candidateList>
        <item>平方</item>
      </candidateList>
      <explain/>
      <paraID> F7E6F20</paraID>
      <start>40</start>
      <end>41</end>
      <status>unmodified</status>
      <modifiedWord/>
      <trackRevisions>false</trackRevisions>
    </reviewItem>
    <reviewItem>
      <errorID>b5cf789c-35fe-4c59-b102-22ecf4e2794a</errorID>
      <errorWord>~</errorWord>
      <group>L1_Format</group>
      <groupName>格式问题</groupName>
      <ability>L2_HalfPunc</ability>
      <abilityName>全半角检查</abilityName>
      <candidateList>
        <item>～</item>
      </candidateList>
      <explain>文本全半角错误。</explain>
      <paraID> F7E6F20</paraID>
      <start>47</start>
      <end>48</end>
      <status>unmodified</status>
      <modifiedWord/>
      <trackRevisions>false</trackRevisions>
    </reviewItem>
    <reviewItem>
      <errorID>5a6e6828-3eb7-4d9d-b9fc-91e8f4335b83</errorID>
      <errorWord>主要以干清扫为主</errorWord>
      <group>L1_Grammar</group>
      <groupName>语法问题</groupName>
      <ability>L2_Grammar</ability>
      <abilityName>语法错误</abilityName>
      <candidateList>
        <item>以干清扫为主</item>
      </candidateList>
      <explain/>
      <paraID> F7E6F20</paraID>
      <start>71</start>
      <end>79</end>
      <status>unmodified</status>
      <modifiedWord/>
      <trackRevisions>false</trackRevisions>
    </reviewItem>
    <reviewItem>
      <errorID>22e90d34-38f9-4ad5-9e36-c54e998173e5</errorID>
      <errorWord>带锁装置</errorWord>
      <group>L1_Knowledge</group>
      <groupName>知识性问题</groupName>
      <ability>L2_Term</ability>
      <abilityName>专业术语</abilityName>
      <candidateList>
        <item>联锁装置</item>
      </candidateList>
      <explain/>
      <paraID>1F75E132</paraID>
      <start>15</start>
      <end>19</end>
      <status>unmodified</status>
      <modifiedWord/>
      <trackRevisions>false</trackRevisions>
    </reviewItem>
    <reviewItem>
      <errorID>099bb625-c9ff-4f6e-a598-1f1333adab0c</errorID>
      <errorWord>~</errorWord>
      <group>L1_Format</group>
      <groupName>格式问题</groupName>
      <ability>L2_HalfPunc</ability>
      <abilityName>全半角检查</abilityName>
      <candidateList>
        <item>～</item>
      </candidateList>
      <explain>文本全半角错误。</explain>
      <paraID> 5777543</paraID>
      <start>99</start>
      <end>100</end>
      <status>unmodified</status>
      <modifiedWord/>
      <trackRevisions>false</trackRevisions>
    </reviewItem>
    <reviewItem>
      <errorID>4c01ea49-20c7-40a9-b92d-cc46ecc0252f</errorID>
      <errorWord>(</errorWord>
      <group>L1_Format</group>
      <groupName>格式问题</groupName>
      <ability>L2_HalfPunc</ability>
      <abilityName>全半角检查</abilityName>
      <candidateList>
        <item>（</item>
      </candidateList>
      <explain>文本全半角错误。</explain>
      <paraID>4FF2F18E</paraID>
      <start>3</start>
      <end>4</end>
      <status>unmodified</status>
      <modifiedWord/>
      <trackRevisions>false</trackRevisions>
    </reviewItem>
    <reviewItem>
      <errorID>6b7cbe1a-9d2d-4247-b8fe-e75f8cbbf874</errorID>
      <errorWord>(</errorWord>
      <group>L1_Format</group>
      <groupName>格式问题</groupName>
      <ability>L2_HalfPunc</ability>
      <abilityName>全半角检查</abilityName>
      <candidateList>
        <item>（</item>
      </candidateList>
      <explain>文本全半角错误。</explain>
      <paraID>4FF2F18E</paraID>
      <start>13</start>
      <end>14</end>
      <status>unmodified</status>
      <modifiedWord/>
      <trackRevisions>false</trackRevisions>
    </reviewItem>
    <reviewItem>
      <errorID>e97700d6-4232-4958-b5c3-f5003edffda7</errorID>
      <errorWord>(</errorWord>
      <group>L1_Format</group>
      <groupName>格式问题</groupName>
      <ability>L2_HalfPunc</ability>
      <abilityName>全半角检查</abilityName>
      <candidateList>
        <item>（</item>
      </candidateList>
      <explain>文本全半角错误。</explain>
      <paraID>4FF2F18E</paraID>
      <start>22</start>
      <end>23</end>
      <status>unmodified</status>
      <modifiedWord/>
      <trackRevisions>false</trackRevisions>
    </reviewItem>
    <reviewItem>
      <errorID>d4293704-8616-469c-ad09-631754917143</errorID>
      <errorWord>(</errorWord>
      <group>L1_Format</group>
      <groupName>格式问题</groupName>
      <ability>L2_HalfPunc</ability>
      <abilityName>全半角检查</abilityName>
      <candidateList>
        <item>（</item>
      </candidateList>
      <explain>文本全半角错误。</explain>
      <paraID>33C05AC0</paraID>
      <start>7</start>
      <end>8</end>
      <status>unmodified</status>
      <modifiedWord/>
      <trackRevisions>false</trackRevisions>
    </reviewItem>
    <reviewItem>
      <errorID>70bf9884-0a3d-4df8-af5a-686204acb291</errorID>
      <errorWord>(</errorWord>
      <group>L1_Format</group>
      <groupName>格式问题</groupName>
      <ability>L2_HalfPunc</ability>
      <abilityName>全半角检查</abilityName>
      <candidateList>
        <item>（</item>
      </candidateList>
      <explain>文本全半角错误。</explain>
      <paraID>35A7201E</paraID>
      <start>9</start>
      <end>10</end>
      <status>unmodified</status>
      <modifiedWord/>
      <trackRevisions>false</trackRevisions>
    </reviewItem>
    <reviewItem>
      <errorID>a0d651b5-710b-4ed3-b68e-efb7db1bb76b</errorID>
      <errorWord>(</errorWord>
      <group>L1_Format</group>
      <groupName>格式问题</groupName>
      <ability>L2_HalfPunc</ability>
      <abilityName>全半角检查</abilityName>
      <candidateList>
        <item>（</item>
      </candidateList>
      <explain>文本全半角错误。</explain>
      <paraID>635A9131</paraID>
      <start>8</start>
      <end>9</end>
      <status>unmodified</status>
      <modifiedWord/>
      <trackRevisions>false</trackRevisions>
    </reviewItem>
    <reviewItem>
      <errorID>5e69a63e-bda4-47a6-bf45-36c4a226c2b2</errorID>
      <errorWord>(</errorWord>
      <group>L1_Format</group>
      <groupName>格式问题</groupName>
      <ability>L2_HalfPunc</ability>
      <abilityName>全半角检查</abilityName>
      <candidateList>
        <item>（</item>
      </candidateList>
      <explain>文本全半角错误。</explain>
      <paraID>3BB82707</paraID>
      <start>3</start>
      <end>4</end>
      <status>unmodified</status>
      <modifiedWord/>
      <trackRevisions>false</trackRevisions>
    </reviewItem>
    <reviewItem>
      <errorID>f0c91e1a-42ce-46ed-8a81-2c5680cabeb0</errorID>
      <errorWord>(</errorWord>
      <group>L1_Format</group>
      <groupName>格式问题</groupName>
      <ability>L2_HalfPunc</ability>
      <abilityName>全半角检查</abilityName>
      <candidateList>
        <item>（</item>
      </candidateList>
      <explain>文本全半角错误。</explain>
      <paraID>3BB82707</paraID>
      <start>13</start>
      <end>14</end>
      <status>unmodified</status>
      <modifiedWord/>
      <trackRevisions>false</trackRevisions>
    </reviewItem>
    <reviewItem>
      <errorID>88a872cf-f9fc-45bd-a610-f10e3aa7aa51</errorID>
      <errorWord>(</errorWord>
      <group>L1_Format</group>
      <groupName>格式问题</groupName>
      <ability>L2_HalfPunc</ability>
      <abilityName>全半角检查</abilityName>
      <candidateList>
        <item>（</item>
      </candidateList>
      <explain>文本全半角错误。</explain>
      <paraID>3BB82707</paraID>
      <start>22</start>
      <end>23</end>
      <status>unmodified</status>
      <modifiedWord/>
      <trackRevisions>false</trackRevisions>
    </reviewItem>
    <reviewItem>
      <errorID>09bc8dec-04e5-4756-a060-9407299456ca</errorID>
      <errorWord>(</errorWord>
      <group>L1_Format</group>
      <groupName>格式问题</groupName>
      <ability>L2_HalfPunc</ability>
      <abilityName>全半角检查</abilityName>
      <candidateList>
        <item>（</item>
      </candidateList>
      <explain>文本全半角错误。</explain>
      <paraID>24C9C388</paraID>
      <start>8</start>
      <end>9</end>
      <status>unmodified</status>
      <modifiedWord/>
      <trackRevisions>false</trackRevisions>
    </reviewItem>
    <reviewItem>
      <errorID>3ea38bb9-e365-4b02-a8a8-da074efe4e2a</errorID>
      <errorWord>(</errorWord>
      <group>L1_Format</group>
      <groupName>格式问题</groupName>
      <ability>L2_HalfPunc</ability>
      <abilityName>全半角检查</abilityName>
      <candidateList>
        <item>（</item>
      </candidateList>
      <explain>文本全半角错误。</explain>
      <paraID>7CFDA84C</paraID>
      <start>11</start>
      <end>12</end>
      <status>unmodified</status>
      <modifiedWord/>
      <trackRevisions>false</trackRevisions>
    </reviewItem>
    <reviewItem>
      <errorID>dc58c340-1ad3-4f17-919a-2d505136fed8</errorID>
      <errorWord>(</errorWord>
      <group>L1_Format</group>
      <groupName>格式问题</groupName>
      <ability>L2_HalfPunc</ability>
      <abilityName>全半角检查</abilityName>
      <candidateList>
        <item>（</item>
      </candidateList>
      <explain>文本全半角错误。</explain>
      <paraID>7CFDA84C</paraID>
      <start>22</start>
      <end>23</end>
      <status>unmodified</status>
      <modifiedWord/>
      <trackRevisions>false</trackRevisions>
    </reviewItem>
    <reviewItem>
      <errorID>8a854685-f718-4ba7-8da5-2a230f4e203a</errorID>
      <errorWord>（</errorWord>
      <group>L1_Format</group>
      <groupName>格式问题</groupName>
      <ability>L2_HalfPunc</ability>
      <abilityName>全半角检查</abilityName>
      <candidateList>
        <item>(</item>
      </candidateList>
      <explain>文本全半角错误。</explain>
      <paraID>7DDBAD52</paraID>
      <start>38</start>
      <end>39</end>
      <status>unmodified</status>
      <modifiedWord/>
      <trackRevisions>false</trackRevisions>
    </reviewItem>
    <reviewItem>
      <errorID>62b45315-50e0-402e-87a4-82e360761ca5</errorID>
      <errorWord>）</errorWord>
      <group>L1_Format</group>
      <groupName>格式问题</groupName>
      <ability>L2_HalfPunc</ability>
      <abilityName>全半角检查</abilityName>
      <candidateList>
        <item>)</item>
      </candidateList>
      <explain>文本全半角错误。</explain>
      <paraID>7DDBAD52</paraID>
      <start>45</start>
      <end>46</end>
      <status>unmodified</status>
      <modifiedWord/>
      <trackRevisions>false</trackRevisions>
    </reviewItem>
    <reviewItem>
      <errorID>e108b52e-ced0-491f-89fe-7a20bea961bf</errorID>
      <errorWord>(</errorWord>
      <group>L1_Format</group>
      <groupName>格式问题</groupName>
      <ability>L2_HalfPunc</ability>
      <abilityName>全半角检查</abilityName>
      <candidateList>
        <item>（</item>
      </candidateList>
      <explain>文本全半角错误。</explain>
      <paraID>65D93BD4</paraID>
      <start>12</start>
      <end>13</end>
      <status>unmodified</status>
      <modifiedWord/>
      <trackRevisions>false</trackRevisions>
    </reviewItem>
    <reviewItem>
      <errorID>82f4707b-7558-431c-a073-7d3afb9d068b</errorID>
      <errorWord>-</errorWord>
      <group>L1_Format</group>
      <groupName>格式问题</groupName>
      <ability>L2_HalfPunc</ability>
      <abilityName>全半角检查</abilityName>
      <candidateList>
        <item>－</item>
      </candidateList>
      <explain>文本全半角错误。</explain>
      <paraID>65D93BD4</paraID>
      <start>37</start>
      <end>38</end>
      <status>unmodified</status>
      <modifiedWord/>
      <trackRevisions>false</trackRevisions>
    </reviewItem>
    <reviewItem>
      <errorID>393b4ee0-5191-48cf-863e-f9671c6fd5e0</errorID>
      <errorWord>(</errorWord>
      <group>L1_Format</group>
      <groupName>格式问题</groupName>
      <ability>L2_HalfPunc</ability>
      <abilityName>全半角检查</abilityName>
      <candidateList>
        <item>（</item>
      </candidateList>
      <explain>文本全半角错误。</explain>
      <paraID>65D93BD4</paraID>
      <start>52</start>
      <end>53</end>
      <status>unmodified</status>
      <modifiedWord/>
      <trackRevisions>false</trackRevisions>
    </reviewItem>
    <reviewItem>
      <errorID>1efb4c6d-1e6a-4828-af60-d0c657c8c3ed</errorID>
      <errorWord>[2016]58号</errorWord>
      <group>L1_Knowledge</group>
      <groupName>知识性问题</groupName>
      <ability>L2_Knowledge</ability>
      <abilityName>其他知识</abilityName>
      <candidateList>
        <item>〔2016〕58号</item>
      </candidateList>
      <explain>发文字号格式错误。</explain>
      <paraID>4D956D8D</paraID>
      <start>47</start>
      <end>56</end>
      <status>unmodified</status>
      <modifiedWord/>
      <trackRevisions>false</trackRevisions>
    </reviewItem>
    <reviewItem>
      <errorID>de4a41e2-5fb8-408b-ba5d-97d56ba7ad29</errorID>
      <errorWord>,</errorWord>
      <group>L1_Format</group>
      <groupName>格式问题</groupName>
      <ability>L2_HalfPunc</ability>
      <abilityName>全半角检查</abilityName>
      <candidateList>
        <item>，</item>
      </candidateList>
      <explain>文本全半角错误。</explain>
      <paraID>6BD5FAE4</paraID>
      <start>20</start>
      <end>21</end>
      <status>unmodified</status>
      <modifiedWord/>
      <trackRevisions>false</trackRevisions>
    </reviewItem>
    <reviewItem>
      <errorID>ea920c6a-8d7d-429a-83f4-8abcdb8c3cf8</errorID>
      <errorWord>海绵性</errorWord>
      <group>L1_Word</group>
      <groupName>字词问题</groupName>
      <ability>L2_Typo</ability>
      <abilityName>字词错误</abilityName>
      <candidateList>
        <item>海绵型</item>
      </candidateList>
      <explain/>
      <paraID>73E071CF</paraID>
      <start>35</start>
      <end>38</end>
      <status>unmodified</status>
      <modifiedWord/>
      <trackRevisions>false</trackRevisions>
    </reviewItem>
    <reviewItem>
      <errorID>deb34afe-52ac-45ce-a976-69b40335815a</errorID>
      <errorWord>;</errorWord>
      <group>L1_Format</group>
      <groupName>格式问题</groupName>
      <ability>L2_HalfPunc</ability>
      <abilityName>全半角检查</abilityName>
      <candidateList>
        <item>；</item>
      </candidateList>
      <explain>文本全半角错误。</explain>
      <paraID>65FD568F</paraID>
      <start>58</start>
      <end>59</end>
      <status>unmodified</status>
      <modifiedWord/>
      <trackRevisions>false</trackRevisions>
    </reviewItem>
    <reviewItem>
      <errorID>62b6fc0a-da12-4d32-9331-482751a0923a</errorID>
      <errorWord>,</errorWord>
      <group>L1_Format</group>
      <groupName>格式问题</groupName>
      <ability>L2_HalfPunc</ability>
      <abilityName>全半角检查</abilityName>
      <candidateList>
        <item>，</item>
      </candidateList>
      <explain>文本全半角错误。</explain>
      <paraID>682C38A0</paraID>
      <start>28</start>
      <end>29</end>
      <status>unmodified</status>
      <modifiedWord/>
      <trackRevisions>false</trackRevisions>
    </reviewItem>
    <reviewItem>
      <errorID>81a86f84-034c-45c9-bdc7-42dd265c8e44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50BB2DA4</paraID>
      <start>19</start>
      <end>20</end>
      <status>unmodified</status>
      <modifiedWord/>
      <trackRevisions>false</trackRevisions>
    </reviewItem>
    <reviewItem>
      <errorID>07c7a61f-2984-47f6-986c-c9e4d5d9a44e</errorID>
      <errorWord>其它</errorWord>
      <group>L1_Word</group>
      <groupName>字词问题</groupName>
      <ability>L2_Alias</ability>
      <abilityName>也作/曾用词</abilityName>
      <candidateList>
        <item>其他</item>
      </candidateList>
      <explain>词汇[其它]为不规范表述或旧称，其规范书面表述为[其他]。</explain>
      <paraID>5EF76B55</paraID>
      <start>18</start>
      <end>20</end>
      <status>unmodified</status>
      <modifiedWord/>
      <trackRevisions>false</trackRevisions>
    </reviewItem>
    <reviewItem>
      <errorID>4dab5981-63e1-46e8-9572-eca48a89189e</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6AF19544</paraID>
      <start>0</start>
      <end>2</end>
      <status>unmodified</status>
      <modifiedWord/>
      <trackRevisions>false</trackRevisions>
    </reviewItem>
    <reviewItem>
      <errorID>bf37b5d0-15a1-442b-bf3f-e2df6673b281</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D295041</paraID>
      <start>0</start>
      <end>2</end>
      <status>unmodified</status>
      <modifiedWord/>
      <trackRevisions>false</trackRevisions>
    </reviewItem>
    <reviewItem>
      <errorID>e7307504-569d-497e-9c4e-a978bd3da4df</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5192BC02</paraID>
      <start>0</start>
      <end>2</end>
      <status>unmodified</status>
      <modifiedWord/>
      <trackRevisions>false</trackRevisions>
    </reviewItem>
    <reviewItem>
      <errorID>190ee487-f489-44e1-845f-3cdb996fa098</errorID>
      <errorWord>其它形式</errorWord>
      <group>L1_Word</group>
      <groupName>字词问题</groupName>
      <ability>L2_Alias</ability>
      <abilityName>也作/曾用词</abilityName>
      <candidateList>
        <item>其他形式</item>
      </candidateList>
      <explain>词汇[其它形式]为不规范表述或旧称，其规范书面表述为[其他形式]。</explain>
      <paraID>5192BC02</paraID>
      <start>19</start>
      <end>23</end>
      <status>unmodified</status>
      <modifiedWord/>
      <trackRevisions>false</trackRevisions>
    </reviewItem>
    <reviewItem>
      <errorID>57cd2a6c-ba3a-4ba1-b3ce-2c4da18f2486</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4C8792E3</paraID>
      <start>0</start>
      <end>2</end>
      <status>unmodified</status>
      <modifiedWord/>
      <trackRevisions>false</trackRevisions>
    </reviewItem>
    <reviewItem>
      <errorID>55c77d27-1f5e-43d8-b1c8-22c5121e8b73</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683700D2</paraID>
      <start>0</start>
      <end>2</end>
      <status>unmodified</status>
      <modifiedWord/>
      <trackRevisions>false</trackRevisions>
    </reviewItem>
    <reviewItem>
      <errorID>3762397c-b5ad-4b85-a0d1-09fd979babbb</errorID>
      <errorWord>有效孔隙应</errorWord>
      <group>L1_Knowledge</group>
      <groupName>知识性问题</groupName>
      <ability>L2_Term</ability>
      <abilityName>专业术语</abilityName>
      <candidateList>
        <item>有效孔隙度</item>
      </candidateList>
      <explain/>
      <paraID>683700D2</paraID>
      <start>2</start>
      <end>7</end>
      <status>unmodified</status>
      <modifiedWord/>
      <trackRevisions>false</trackRevisions>
    </reviewItem>
    <reviewItem>
      <errorID>0ee39ecd-3e93-4351-8553-2b256d09b16f</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11404EEF</paraID>
      <start>0</start>
      <end>2</end>
      <status>unmodified</status>
      <modifiedWord/>
      <trackRevisions>false</trackRevisions>
    </reviewItem>
    <reviewItem>
      <errorID>6ac716e8-a73c-4f0c-919b-7e37dc6cf310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1E9187F2</paraID>
      <start>0</start>
      <end>2</end>
      <status>unmodified</status>
      <modifiedWord/>
      <trackRevisions>false</trackRevisions>
    </reviewItem>
    <reviewItem>
      <errorID>effa5d47-75ee-4f88-ac2c-4283ee5d54ea</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18AEFE77</paraID>
      <start>0</start>
      <end>2</end>
      <status>unmodified</status>
      <modifiedWord/>
      <trackRevisions>false</trackRevisions>
    </reviewItem>
    <reviewItem>
      <errorID>961ff11a-5c8d-4dfa-b8e2-e369d110514a</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4ED26066</paraID>
      <start>0</start>
      <end>2</end>
      <status>unmodified</status>
      <modifiedWord/>
      <trackRevisions>false</trackRevisions>
    </reviewItem>
    <reviewItem>
      <errorID>2c038ceb-30db-4da6-a80a-7010558fb0c4</errorID>
      <errorWord>,</errorWord>
      <group>L1_Format</group>
      <groupName>格式问题</groupName>
      <ability>L2_HalfPunc</ability>
      <abilityName>全半角检查</abilityName>
      <candidateList>
        <item>，</item>
      </candidateList>
      <explain>文本全半角错误。</explain>
      <paraID>2D36ED2A</paraID>
      <start>17</start>
      <end>18</end>
      <status>unmodified</status>
      <modifiedWord/>
      <trackRevisions>false</trackRevisions>
    </reviewItem>
    <reviewItem>
      <errorID>fcb918d1-d825-488e-84d1-4ce24c45ba0d</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278E3C17</paraID>
      <start>0</start>
      <end>2</end>
      <status>unmodified</status>
      <modifiedWord/>
      <trackRevisions>false</trackRevisions>
    </reviewItem>
    <reviewItem>
      <errorID>29a07fa1-bba4-4aac-9424-642cea2ea5df</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340E7D64</paraID>
      <start>0</start>
      <end>2</end>
      <status>unmodified</status>
      <modifiedWord/>
      <trackRevisions>false</trackRevisions>
    </reviewItem>
    <reviewItem>
      <errorID>61f0f05c-f087-4c94-a703-f7253d9c71a3</errorID>
      <errorWord>,</errorWord>
      <group>L1_Format</group>
      <groupName>格式问题</groupName>
      <ability>L2_HalfPunc</ability>
      <abilityName>全半角检查</abilityName>
      <candidateList>
        <item>，</item>
      </candidateList>
      <explain>文本全半角错误。</explain>
      <paraID>340E7D64</paraID>
      <start>9</start>
      <end>10</end>
      <status>unmodified</status>
      <modifiedWord/>
      <trackRevisions>false</trackRevisions>
    </reviewItem>
    <reviewItem>
      <errorID>4a8e00a5-3924-4b72-8c72-a100ff0f9142</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5BE72695</paraID>
      <start>0</start>
      <end>2</end>
      <status>unmodified</status>
      <modifiedWord/>
      <trackRevisions>false</trackRevisions>
    </reviewItem>
    <reviewItem>
      <errorID>749d7e7d-f6ba-461f-9880-1eebab715d63</errorID>
      <errorWord>和防</errorWord>
      <group>L1_Word</group>
      <groupName>字词问题</groupName>
      <ability>L2_Typo</ability>
      <abilityName>字词错误</abilityName>
      <candidateList>
        <item>和</item>
      </candidateList>
      <explain>〈量〉用于洗东西换水的次数或一剂药煎的次数：衣裳已经洗了三～｜二～药。</explain>
      <paraID>76ED32FF</paraID>
      <start>4</start>
      <end>6</end>
      <status>unmodified</status>
      <modifiedWord/>
      <trackRevisions>false</trackRevisions>
    </reviewItem>
    <reviewItem>
      <errorID>aae715a0-d2c7-41dd-ad3b-a129206e5c0f</errorID>
      <errorWord>(</errorWord>
      <group>L1_Format</group>
      <groupName>格式问题</groupName>
      <ability>L2_HalfPunc</ability>
      <abilityName>全半角检查</abilityName>
      <candidateList>
        <item>（</item>
      </candidateList>
      <explain>文本全半角错误。</explain>
      <paraID>642D46B9</paraID>
      <start>53</start>
      <end>54</end>
      <status>unmodified</status>
      <modifiedWord/>
      <trackRevisions>false</trackRevisions>
    </reviewItem>
    <reviewItem>
      <errorID>1b6e6c69-4e21-40a6-872b-7fed1731737f</errorID>
      <errorWord>(</errorWord>
      <group>L1_Format</group>
      <groupName>格式问题</groupName>
      <ability>L2_HalfPunc</ability>
      <abilityName>全半角检查</abilityName>
      <candidateList>
        <item>（</item>
      </candidateList>
      <explain>文本全半角错误。</explain>
      <paraID>222D5CAA</paraID>
      <start>42</start>
      <end>43</end>
      <status>unmodified</status>
      <modifiedWord/>
      <trackRevisions>false</trackRevisions>
    </reviewItem>
    <reviewItem>
      <errorID>450d2ff4-0dec-4273-8aa6-a23fc032a1be</errorID>
      <errorWord>(</errorWord>
      <group>L1_Format</group>
      <groupName>格式问题</groupName>
      <ability>L2_HalfPunc</ability>
      <abilityName>全半角检查</abilityName>
      <candidateList>
        <item>（</item>
      </candidateList>
      <explain>文本全半角错误。</explain>
      <paraID>222D5CAA</paraID>
      <start>50</start>
      <end>51</end>
      <status>unmodified</status>
      <modifiedWord/>
      <trackRevisions>false</trackRevisions>
    </reviewItem>
    <reviewItem>
      <errorID>8d0c558a-2deb-496c-a26d-b1969bbc6c51</errorID>
      <errorWord>;</errorWord>
      <group>L1_Format</group>
      <groupName>格式问题</groupName>
      <ability>L2_HalfPunc</ability>
      <abilityName>全半角检查</abilityName>
      <candidateList>
        <item>；</item>
      </candidateList>
      <explain>文本全半角错误。</explain>
      <paraID>222D5CAA</paraID>
      <start>70</start>
      <end>71</end>
      <status>unmodified</status>
      <modifiedWord/>
      <trackRevisions>false</trackRevisions>
    </reviewItem>
    <reviewItem>
      <errorID>4d3c18d2-38c3-4ae5-829c-f07d3e7c1f5a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18F2D2F8</paraID>
      <start>0</start>
      <end>2</end>
      <status>unmodified</status>
      <modifiedWord/>
      <trackRevisions>false</trackRevisions>
    </reviewItem>
    <reviewItem>
      <errorID>fd286b1d-2354-47a0-957e-5a82dba8db8c</errorID>
      <errorWord>(</errorWord>
      <group>L1_Format</group>
      <groupName>格式问题</groupName>
      <ability>L2_HalfPunc</ability>
      <abilityName>全半角检查</abilityName>
      <candidateList>
        <item>（</item>
      </candidateList>
      <explain>文本全半角错误。</explain>
      <paraID>39DFACD0</paraID>
      <start>4</start>
      <end>5</end>
      <status>unmodified</status>
      <modifiedWord/>
      <trackRevisions>false</trackRevisions>
    </reviewItem>
    <reviewItem>
      <errorID>31e6bbaf-ffeb-40d0-859c-308cc7f2e278</errorID>
      <errorWord>(</errorWord>
      <group>L1_Format</group>
      <groupName>格式问题</groupName>
      <ability>L2_HalfPunc</ability>
      <abilityName>全半角检查</abilityName>
      <candidateList>
        <item>（</item>
      </candidateList>
      <explain>文本全半角错误。</explain>
      <paraID>4752E0F4</paraID>
      <start>7</start>
      <end>8</end>
      <status>unmodified</status>
      <modifiedWord/>
      <trackRevisions>false</trackRevisions>
    </reviewItem>
    <reviewItem>
      <errorID>d3cd9c99-ca38-45e4-9387-1651a1b812e6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654566D5</paraID>
      <start>0</start>
      <end>2</end>
      <status>unmodified</status>
      <modifiedWord/>
      <trackRevisions>false</trackRevisions>
    </reviewItem>
    <reviewItem>
      <errorID>2e92f68f-c6e4-4c7f-b021-208eee98c502</errorID>
      <errorWord>和防</errorWord>
      <group>L1_Word</group>
      <groupName>字词问题</groupName>
      <ability>L2_Typo</ability>
      <abilityName>字词错误</abilityName>
      <candidateList>
        <item>和</item>
      </candidateList>
      <explain>〈量〉用于洗东西换水的次数或一剂药煎的次数：衣裳已经洗了三～｜二～药。</explain>
      <paraID>48A4D147</paraID>
      <start>4</start>
      <end>6</end>
      <status>unmodified</status>
      <modifiedWord/>
      <trackRevisions>false</trackRevisions>
    </reviewItem>
    <reviewItem>
      <errorID>a286fbc3-5253-48e2-928b-02015ad6b957</errorID>
      <errorWord>或会</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7C27D9ED</paraID>
      <start>40</start>
      <end>42</end>
      <status>unmodified</status>
      <modifiedWord/>
      <trackRevisions>false</trackRevisions>
    </reviewItem>
    <reviewItem>
      <errorID>51f2a887-9de3-4ca8-9782-9496021f004a</errorID>
      <errorWord>;</errorWord>
      <group>L1_Format</group>
      <groupName>格式问题</groupName>
      <ability>L2_HalfPunc</ability>
      <abilityName>全半角检查</abilityName>
      <candidateList>
        <item>；</item>
      </candidateList>
      <explain>文本全半角错误。</explain>
      <paraID>63BD5FC0</paraID>
      <start>27</start>
      <end>28</end>
      <status>unmodified</status>
      <modifiedWord/>
      <trackRevisions>false</trackRevisions>
    </reviewItem>
    <reviewItem>
      <errorID>be2ef13f-f91f-4606-b6ef-ca6b8015ff2b</errorID>
      <errorWord>(</errorWord>
      <group>L1_Format</group>
      <groupName>格式问题</groupName>
      <ability>L2_HalfPunc</ability>
      <abilityName>全半角检查</abilityName>
      <candidateList>
        <item>（</item>
      </candidateList>
      <explain>文本全半角错误。</explain>
      <paraID> 8A620EF</paraID>
      <start>33</start>
      <end>34</end>
      <status>unmodified</status>
      <modifiedWord/>
      <trackRevisions>false</trackRevisions>
    </reviewItem>
    <reviewItem>
      <errorID>61ac6b92-51bb-49f2-96ce-94587ceca1f3</errorID>
      <errorWord>）自</errorWord>
      <group>L1_Word</group>
      <groupName>字词问题</groupName>
      <ability>L2_Typo</ability>
      <abilityName>字词错误</abilityName>
      <candidateList>
        <item>）</item>
      </candidateList>
      <explain/>
      <paraID>59B38321</paraID>
      <start>2</start>
      <end>4</end>
      <status>unmodified</status>
      <modifiedWord/>
      <trackRevisions>false</trackRevisions>
    </reviewItem>
    <reviewItem>
      <errorID>a3207845-3c48-434f-bb81-7b94d7a43171</errorID>
      <errorWord>;</errorWord>
      <group>L1_Format</group>
      <groupName>格式问题</groupName>
      <ability>L2_HalfPunc</ability>
      <abilityName>全半角检查</abilityName>
      <candidateList>
        <item>；</item>
      </candidateList>
      <explain>文本全半角错误。</explain>
      <paraID>5CDF3B91</paraID>
      <start>20</start>
      <end>21</end>
      <status>unmodified</status>
      <modifiedWord/>
      <trackRevisions>false</trackRevisions>
    </reviewItem>
    <reviewItem>
      <errorID>0ee8d502-40ce-42c9-b419-7518fd1cdd13</errorID>
      <errorWord>;</errorWord>
      <group>L1_Format</group>
      <groupName>格式问题</groupName>
      <ability>L2_HalfPunc</ability>
      <abilityName>全半角检查</abilityName>
      <candidateList>
        <item>；</item>
      </candidateList>
      <explain>文本全半角错误。</explain>
      <paraID> 4C1ED1E</paraID>
      <start>16</start>
      <end>17</end>
      <status>unmodified</status>
      <modifiedWord/>
      <trackRevisions>false</trackRevisions>
    </reviewItem>
    <reviewItem>
      <errorID>d6caed5b-e3cb-4114-bbf4-af3473e91c8c</errorID>
      <errorWord>;</errorWord>
      <group>L1_Format</group>
      <groupName>格式问题</groupName>
      <ability>L2_HalfPunc</ability>
      <abilityName>全半角检查</abilityName>
      <candidateList>
        <item>；</item>
      </candidateList>
      <explain>文本全半角错误。</explain>
      <paraID> CDA4E1E</paraID>
      <start>17</start>
      <end>18</end>
      <status>unmodified</status>
      <modifiedWord/>
      <trackRevisions>false</trackRevisions>
    </reviewItem>
    <reviewItem>
      <errorID>1a0a0c89-c776-4bb2-b228-a3f3a9f72296</errorID>
      <errorWord>;</errorWord>
      <group>L1_Format</group>
      <groupName>格式问题</groupName>
      <ability>L2_HalfPunc</ability>
      <abilityName>全半角检查</abilityName>
      <candidateList>
        <item>；</item>
      </candidateList>
      <explain>文本全半角错误。</explain>
      <paraID> CDA4E1E</paraID>
      <start>49</start>
      <end>50</end>
      <status>unmodified</status>
      <modifiedWord/>
      <trackRevisions>false</trackRevisions>
    </reviewItem>
    <reviewItem>
      <errorID>833d0c28-8623-42d8-835a-34781ecb4e78</errorID>
      <errorWord>(</errorWord>
      <group>L1_Format</group>
      <groupName>格式问题</groupName>
      <ability>L2_HalfPunc</ability>
      <abilityName>全半角检查</abilityName>
      <candidateList>
        <item>（</item>
      </candidateList>
      <explain>文本全半角错误。</explain>
      <paraID>64979051</paraID>
      <start>17</start>
      <end>18</end>
      <status>unmodified</status>
      <modifiedWord/>
      <trackRevisions>false</trackRevisions>
    </reviewItem>
    <reviewItem>
      <errorID>ec5aebcc-2950-489e-a9e4-da0fa283d1b8</errorID>
      <errorWord>生活废水</errorWord>
      <group>L1_Knowledge</group>
      <groupName>知识性问题</groupName>
      <ability>L2_Term</ability>
      <abilityName>专业术语</abilityName>
      <candidateList>
        <item>生活污水</item>
      </candidateList>
      <explain/>
      <paraID>5ABDF041</paraID>
      <start>6</start>
      <end>10</end>
      <status>unmodified</status>
      <modifiedWord/>
      <trackRevisions>false</trackRevisions>
    </reviewItem>
    <reviewItem>
      <errorID>e97dc9ff-b357-4b07-b9d5-f8325c9574e9</errorID>
      <errorWord>雨水系统</errorWord>
      <group>L1_Knowledge</group>
      <groupName>知识性问题</groupName>
      <ability>L2_Term</ability>
      <abilityName>专业术语</abilityName>
      <candidateList>
        <item>泄水系统</item>
      </candidateList>
      <explain/>
      <paraID>33345782</paraID>
      <start>7</start>
      <end>11</end>
      <status>unmodified</status>
      <modifiedWord/>
      <trackRevisions>false</trackRevisions>
    </reviewItem>
    <reviewItem>
      <errorID>c1859080-f001-4e3c-89c2-5832a727ec9a</errorID>
      <errorWord>或会</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33345782</paraID>
      <start>20</start>
      <end>22</end>
      <status>unmodified</status>
      <modifiedWord/>
      <trackRevisions>false</trackRevisions>
    </reviewItem>
    <reviewItem>
      <errorID>bf9c6a84-73c5-4872-bf77-26c77620c737</errorID>
      <errorWord>雨水系统</errorWord>
      <group>L1_Knowledge</group>
      <groupName>知识性问题</groupName>
      <ability>L2_Term</ability>
      <abilityName>专业术语</abilityName>
      <candidateList>
        <item>泄水系统</item>
      </candidateList>
      <explain/>
      <paraID>78A7203E</paraID>
      <start>34</start>
      <end>38</end>
      <status>unmodified</status>
      <modifiedWord/>
      <trackRevisions>false</trackRevisions>
    </reviewItem>
    <reviewItem>
      <errorID>71c85323-a52c-476f-aef6-bc2b107c3889</errorID>
      <errorWord>;</errorWord>
      <group>L1_Format</group>
      <groupName>格式问题</groupName>
      <ability>L2_HalfPunc</ability>
      <abilityName>全半角检查</abilityName>
      <candidateList>
        <item>；</item>
      </candidateList>
      <explain>文本全半角错误。</explain>
      <paraID>1BB109BA</paraID>
      <start>26</start>
      <end>27</end>
      <status>unmodified</status>
      <modifiedWord/>
      <trackRevisions>false</trackRevisions>
    </reviewItem>
    <reviewItem>
      <errorID>febfaca8-db83-4a36-a74d-908792794b41</errorID>
      <errorWord>(</errorWord>
      <group>L1_Format</group>
      <groupName>格式问题</groupName>
      <ability>L2_HalfPunc</ability>
      <abilityName>全半角检查</abilityName>
      <candidateList>
        <item>（</item>
      </candidateList>
      <explain>文本全半角错误。</explain>
      <paraID> 9D54F75</paraID>
      <start>78</start>
      <end>79</end>
      <status>unmodified</status>
      <modifiedWord/>
      <trackRevisions>false</trackRevisions>
    </reviewItem>
    <reviewItem>
      <errorID>04d448a2-48bc-431c-8357-5a49ccf7d878</errorID>
      <errorWord>～</errorWord>
      <group>L1_Format</group>
      <groupName>格式问题</groupName>
      <ability>L2_HalfPunc</ability>
      <abilityName>全半角检查</abilityName>
      <candidateList>
        <item>~</item>
      </candidateList>
      <explain>文本全半角错误。</explain>
      <paraID> B25FE98</paraID>
      <start>4</start>
      <end>5</end>
      <status>unmodified</status>
      <modifiedWord/>
      <trackRevisions>false</trackRevisions>
    </reviewItem>
    <reviewItem>
      <errorID>7def8b94-4e40-4bc7-8c67-fe5ba233d43b</errorID>
      <errorWord>～</errorWord>
      <group>L1_Format</group>
      <groupName>格式问题</groupName>
      <ability>L2_HalfPunc</ability>
      <abilityName>全半角检查</abilityName>
      <candidateList>
        <item>~</item>
      </candidateList>
      <explain>文本全半角错误。</explain>
      <paraID>62447E74</paraID>
      <start>5</start>
      <end>6</end>
      <status>unmodified</status>
      <modifiedWord/>
      <trackRevisions>false</trackRevisions>
    </reviewItem>
    <reviewItem>
      <errorID>47fc6456-9d64-4a20-8326-e2a62d551c2c</errorID>
      <errorWord>;</errorWord>
      <group>L1_Format</group>
      <groupName>格式问题</groupName>
      <ability>L2_HalfPunc</ability>
      <abilityName>全半角检查</abilityName>
      <candidateList>
        <item>；</item>
      </candidateList>
      <explain>文本全半角错误。</explain>
      <paraID>4A1F6F1F</paraID>
      <start>14</start>
      <end>15</end>
      <status>unmodified</status>
      <modifiedWord/>
      <trackRevisions>false</trackRevisions>
    </reviewItem>
    <reviewItem>
      <errorID>bb0ac7f3-00ce-4f05-811a-8259ec4dc3ac</errorID>
      <errorWord>;</errorWord>
      <group>L1_Format</group>
      <groupName>格式问题</groupName>
      <ability>L2_HalfPunc</ability>
      <abilityName>全半角检查</abilityName>
      <candidateList>
        <item>；</item>
      </candidateList>
      <explain>文本全半角错误。</explain>
      <paraID>4A1F6F1F</paraID>
      <start>24</start>
      <end>25</end>
      <status>unmodified</status>
      <modifiedWord/>
      <trackRevisions>false</trackRevisions>
    </reviewItem>
    <reviewItem>
      <errorID>e71ff7dc-7529-4712-aa72-d0ff5c112a2a</errorID>
      <errorWord>;</errorWord>
      <group>L1_Format</group>
      <groupName>格式问题</groupName>
      <ability>L2_HalfPunc</ability>
      <abilityName>全半角检查</abilityName>
      <candidateList>
        <item>；</item>
      </candidateList>
      <explain>文本全半角错误。</explain>
      <paraID>4A1F6F1F</paraID>
      <start>33</start>
      <end>34</end>
      <status>unmodified</status>
      <modifiedWord/>
      <trackRevisions>false</trackRevisions>
    </reviewItem>
    <reviewItem>
      <errorID>eaa9882a-e16f-4753-9b8e-d9c49c475d87</errorID>
      <errorWord>;</errorWord>
      <group>L1_Format</group>
      <groupName>格式问题</groupName>
      <ability>L2_HalfPunc</ability>
      <abilityName>全半角检查</abilityName>
      <candidateList>
        <item>；</item>
      </candidateList>
      <explain>文本全半角错误。</explain>
      <paraID>4A1F6F1F</paraID>
      <start>40</start>
      <end>41</end>
      <status>unmodified</status>
      <modifiedWord/>
      <trackRevisions>false</trackRevisions>
    </reviewItem>
    <reviewItem>
      <errorID>2b4db090-d810-4e5c-b227-666b2a1d618c</errorID>
      <errorWord>;</errorWord>
      <group>L1_Format</group>
      <groupName>格式问题</groupName>
      <ability>L2_HalfPunc</ability>
      <abilityName>全半角检查</abilityName>
      <candidateList>
        <item>；</item>
      </candidateList>
      <explain>文本全半角错误。</explain>
      <paraID> F1352E7</paraID>
      <start>15</start>
      <end>16</end>
      <status>unmodified</status>
      <modifiedWord/>
      <trackRevisions>false</trackRevisions>
    </reviewItem>
    <reviewItem>
      <errorID>ba11907f-4168-490d-aa32-faf92ed721fb</errorID>
      <errorWord>,</errorWord>
      <group>L1_Format</group>
      <groupName>格式问题</groupName>
      <ability>L2_HalfPunc</ability>
      <abilityName>全半角检查</abilityName>
      <candidateList>
        <item>，</item>
      </candidateList>
      <explain>文本全半角错误。</explain>
      <paraID>29A2FEAD</paraID>
      <start>32</start>
      <end>33</end>
      <status>unmodified</status>
      <modifiedWord/>
      <trackRevisions>false</trackRevisions>
    </reviewItem>
    <reviewItem>
      <errorID>282842ca-eae8-4cd7-954f-6ef37e8b3433</errorID>
      <errorWord>吋</errorWord>
      <group>L1_Word</group>
      <groupName>字词问题</groupName>
      <ability>L2_Variant</ability>
      <abilityName>异形词</abilityName>
      <candidateList>
        <item>英寸</item>
      </candidateList>
      <explain>词汇[吋]的规范词形写作[英寸]。</explain>
      <paraID>5F4FCA8E</paraID>
      <start>40</start>
      <end>41</end>
      <status>unmodified</status>
      <modifiedWord/>
      <trackRevisions>false</trackRevisions>
    </reviewItem>
    <reviewItem>
      <errorID>cad0ec1f-4b46-4849-9cd5-d5282c9a6be2</errorID>
      <errorWord>出水系统</errorWord>
      <group>L1_Knowledge</group>
      <groupName>知识性问题</groupName>
      <ability>L2_Term</ability>
      <abilityName>专业术语</abilityName>
      <candidateList>
        <item>泄水系统</item>
      </candidateList>
      <explain/>
      <paraID>522DAA99</paraID>
      <start>3</start>
      <end>7</end>
      <status>unmodified</status>
      <modifiedWord/>
      <trackRevisions>false</trackRevisions>
    </reviewItem>
    <reviewItem>
      <errorID>78b4ebe0-c99c-4463-a7e9-21142f6d70c9</errorID>
      <errorWord>出水系统</errorWord>
      <group>L1_Knowledge</group>
      <groupName>知识性问题</groupName>
      <ability>L2_Term</ability>
      <abilityName>专业术语</abilityName>
      <candidateList>
        <item>泄水系统</item>
      </candidateList>
      <explain/>
      <paraID>6A15E7BC</paraID>
      <start>3</start>
      <end>7</end>
      <status>unmodified</status>
      <modifiedWord/>
      <trackRevisions>false</trackRevisions>
    </reviewItem>
    <reviewItem>
      <errorID>155ef288-520f-4d20-94f7-0a7ab1a2c2c7</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6E61BAD2</paraID>
      <start>0</start>
      <end>2</end>
      <status>unmodified</status>
      <modifiedWord/>
      <trackRevisions>false</trackRevisions>
    </reviewItem>
    <reviewItem>
      <errorID>8bfe1203-75b9-4d3a-84b5-eed3acca54c5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7BB8E46</paraID>
      <start>0</start>
      <end>2</end>
      <status>unmodified</status>
      <modifiedWord/>
      <trackRevisions>false</trackRevisions>
    </reviewItem>
    <reviewItem>
      <errorID>59f48edd-fae0-4a0f-b37c-f6500f875985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44925689</paraID>
      <start>0</start>
      <end>2</end>
      <status>unmodified</status>
      <modifiedWord/>
      <trackRevisions>false</trackRevisions>
    </reviewItem>
    <reviewItem>
      <errorID>42107bce-c8bd-4d2b-a583-2705483c3688</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42CB538C</paraID>
      <start>0</start>
      <end>2</end>
      <status>unmodified</status>
      <modifiedWord/>
      <trackRevisions>false</trackRevisions>
    </reviewItem>
    <reviewItem>
      <errorID>09c194a8-69a5-41e0-a2f5-0fbdc37d810d</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32E2DA97</paraID>
      <start>0</start>
      <end>2</end>
      <status>unmodified</status>
      <modifiedWord/>
      <trackRevisions>false</trackRevisions>
    </reviewItem>
    <reviewItem>
      <errorID>e6684946-8bc9-4dff-9507-fc806d31ef22</errorID>
      <errorWord>(</errorWord>
      <group>L1_Format</group>
      <groupName>格式问题</groupName>
      <ability>L2_HalfPunc</ability>
      <abilityName>全半角检查</abilityName>
      <candidateList>
        <item>（</item>
      </candidateList>
      <explain>文本全半角错误。</explain>
      <paraID>101B1A9D</paraID>
      <start>41</start>
      <end>42</end>
      <status>unmodified</status>
      <modifiedWord/>
      <trackRevisions>false</trackRevisions>
    </reviewItem>
    <reviewItem>
      <errorID>67b24d92-0d76-408e-958a-588b775ff3de</errorID>
      <errorWord>(</errorWord>
      <group>L1_Format</group>
      <groupName>格式问题</groupName>
      <ability>L2_HalfPunc</ability>
      <abilityName>全半角检查</abilityName>
      <candidateList>
        <item>（</item>
      </candidateList>
      <explain>文本全半角错误。</explain>
      <paraID>  790CAA</paraID>
      <start>35</start>
      <end>36</end>
      <status>unmodified</status>
      <modifiedWord/>
      <trackRevisions>false</trackRevisions>
    </reviewItem>
    <reviewItem>
      <errorID>7e0ad602-e909-4288-8a1d-eec2d6a7ea18</errorID>
      <errorWord>)</errorWord>
      <group>L1_Format</group>
      <groupName>格式问题</groupName>
      <ability>L2_HalfPunc</ability>
      <abilityName>全半角检查</abilityName>
      <candidateList>
        <item>）</item>
      </candidateList>
      <explain>文本全半角错误。</explain>
      <paraID>  790CAA</paraID>
      <start>37</start>
      <end>38</end>
      <status>unmodified</status>
      <modifiedWord/>
      <trackRevisions>false</trackRevisions>
    </reviewItem>
    <reviewItem>
      <errorID>2d47eb89-e4ca-407f-9b87-75bb5783395f</errorID>
      <errorWord>(</errorWord>
      <group>L1_Format</group>
      <groupName>格式问题</groupName>
      <ability>L2_HalfPunc</ability>
      <abilityName>全半角检查</abilityName>
      <candidateList>
        <item>（</item>
      </candidateList>
      <explain>文本全半角错误。</explain>
      <paraID>  790CAA</paraID>
      <start>42</start>
      <end>43</end>
      <status>unmodified</status>
      <modifiedWord/>
      <trackRevisions>false</trackRevisions>
    </reviewItem>
    <reviewItem>
      <errorID>ca5f1ac9-c7eb-4aa3-b941-53599b04baaf</errorID>
      <errorWord>)</errorWord>
      <group>L1_Format</group>
      <groupName>格式问题</groupName>
      <ability>L2_HalfPunc</ability>
      <abilityName>全半角检查</abilityName>
      <candidateList>
        <item>）</item>
      </candidateList>
      <explain>文本全半角错误。</explain>
      <paraID>  790CAA</paraID>
      <start>44</start>
      <end>45</end>
      <status>unmodified</status>
      <modifiedWord/>
      <trackRevisions>false</trackRevisions>
    </reviewItem>
    <reviewItem>
      <errorID>e9feddb8-a966-40ef-8896-158580b355f6</errorID>
      <errorWord>.</errorWord>
      <group>L1_Format</group>
      <groupName>格式问题</groupName>
      <ability>L2_HalfPunc</ability>
      <abilityName>全半角检查</abilityName>
      <candidateList>
        <item>。</item>
      </candidateList>
      <explain>文本全半角错误。</explain>
      <paraID>328A8F7E</paraID>
      <start>5</start>
      <end>6</end>
      <status>unmodified</status>
      <modifiedWord/>
      <trackRevisions>false</trackRevisions>
    </reviewItem>
    <reviewItem>
      <errorID>33ca6c38-3daa-477c-88be-2c64061e3fd0</errorID>
      <errorWord>（</errorWord>
      <group>L1_Format</group>
      <groupName>格式问题</groupName>
      <ability>L2_HalfPunc</ability>
      <abilityName>全半角检查</abilityName>
      <candidateList>
        <item>(</item>
      </candidateList>
      <explain>文本全半角错误。</explain>
      <paraID>550620CA</paraID>
      <start>0</start>
      <end>1</end>
      <status>unmodified</status>
      <modifiedWord/>
      <trackRevisions>false</trackRevisions>
    </reviewItem>
    <reviewItem>
      <errorID>9f90858d-0280-4443-8bb5-e49d962244e6</errorID>
      <errorWord>）</errorWord>
      <group>L1_Format</group>
      <groupName>格式问题</groupName>
      <ability>L2_HalfPunc</ability>
      <abilityName>全半角检查</abilityName>
      <candidateList>
        <item>)</item>
      </candidateList>
      <explain>文本全半角错误。</explain>
      <paraID>550620CA</paraID>
      <start>2</start>
      <end>3</end>
      <status>unmodified</status>
      <modifiedWord/>
      <trackRevisions>false</trackRevisions>
    </reviewItem>
    <reviewItem>
      <errorID>05adaef6-2a55-4373-90b2-270908c549ab</errorID>
      <errorWord>.</errorWord>
      <group>L1_Format</group>
      <groupName>格式问题</groupName>
      <ability>L2_HalfPunc</ability>
      <abilityName>全半角检查</abilityName>
      <candidateList>
        <item>。</item>
      </candidateList>
      <explain>文本全半角错误。</explain>
      <paraID>22C5DF9D</paraID>
      <start>5</start>
      <end>6</end>
      <status>unmodified</status>
      <modifiedWord/>
      <trackRevisions>false</trackRevisions>
    </reviewItem>
    <reviewItem>
      <errorID>03cad618-bd6b-4bd1-9a29-6cc0f8c391e0</errorID>
      <errorWord>（</errorWord>
      <group>L1_Format</group>
      <groupName>格式问题</groupName>
      <ability>L2_HalfPunc</ability>
      <abilityName>全半角检查</abilityName>
      <candidateList>
        <item>(</item>
      </candidateList>
      <explain>文本全半角错误。</explain>
      <paraID>68EAEDD2</paraID>
      <start>0</start>
      <end>1</end>
      <status>unmodified</status>
      <modifiedWord/>
      <trackRevisions>false</trackRevisions>
    </reviewItem>
    <reviewItem>
      <errorID>30540a8f-ec93-437b-9c53-6dddb4fc20af</errorID>
      <errorWord>）</errorWord>
      <group>L1_Format</group>
      <groupName>格式问题</groupName>
      <ability>L2_HalfPunc</ability>
      <abilityName>全半角检查</abilityName>
      <candidateList>
        <item>)</item>
      </candidateList>
      <explain>文本全半角错误。</explain>
      <paraID>68EAEDD2</paraID>
      <start>2</start>
      <end>3</end>
      <status>unmodified</status>
      <modifiedWord/>
      <trackRevisions>false</trackRevisions>
    </reviewItem>
    <reviewItem>
      <errorID>de8bb60b-3e33-410d-b731-9da7bb5fa36b</errorID>
      <errorWord>玛蹄</errorWord>
      <group>L1_Word</group>
      <groupName>字词问题</groupName>
      <ability>L2_Typo</ability>
      <abilityName>字词错误</abilityName>
      <candidateList>
        <item>马蹄</item>
      </candidateList>
      <explain/>
      <paraID>1AF31D23</paraID>
      <start>25</start>
      <end>27</end>
      <status>unmodified</status>
      <modifiedWord/>
      <trackRevisions>false</trackRevisions>
    </reviewItem>
    <reviewItem>
      <errorID>9f1e3acb-870f-4054-9b82-8d157a276317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3CF6868B</paraID>
      <start>47</start>
      <end>48</end>
      <status>unmodified</status>
      <modifiedWord/>
      <trackRevisions>false</trackRevisions>
    </reviewItem>
    <reviewItem>
      <errorID>a85b33a3-fcdd-4199-8e7e-d71889c2e243</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1842DAC5</paraID>
      <start>85</start>
      <end>86</end>
      <status>modified</status>
      <modifiedWord>做</modifiedWord>
      <trackRevisions>false</trackRevisions>
    </reviewItem>
    <reviewItem>
      <errorID>3f751a6a-4c39-4217-a36d-b38984b59cc9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23711218</paraID>
      <start>0</start>
      <end>2</end>
      <status>unmodified</status>
      <modifiedWord/>
      <trackRevisions>false</trackRevisions>
    </reviewItem>
    <reviewItem>
      <errorID>f19615f9-5b06-43cd-85f3-6ebe10dd4ba4</errorID>
      <errorWord>涉</errorWord>
      <group>L1_Word</group>
      <groupName>字词问题</groupName>
      <ability>L2_Typo</ability>
      <abilityName>字词错误</abilityName>
      <candidateList>
        <item>涉及</item>
      </candidateList>
      <explain>〈动〉牵涉到；关联到：案子～好几个人｜这个问题～面很广。</explain>
      <paraID>7BEECDD2</paraID>
      <start>13</start>
      <end>14</end>
      <status>unmodified</status>
      <modifiedWord/>
      <trackRevisions>false</trackRevisions>
    </reviewItem>
    <reviewItem>
      <errorID>867a2e16-4231-4bc7-8ed8-ea1ea6672dc6</errorID>
      <errorWord>后才</errorWord>
      <group>L1_Word</group>
      <groupName>字词问题</groupName>
      <ability>L2_Typo</ability>
      <abilityName>字词错误</abilityName>
      <candidateList>
        <item>后方</item>
      </candidateList>
      <explain>存在字形相近字词的误用。</explain>
      <paraID>7BEECDD2</paraID>
      <start>50</start>
      <end>52</end>
      <status>unmodified</status>
      <modifiedWord/>
      <trackRevisions>false</trackRevisions>
    </reviewItem>
    <reviewItem>
      <errorID>97ef6980-1937-48e9-9d6c-bfc3b3eb6354</errorID>
      <errorWord>自然进风</errorWord>
      <group>L1_Word</group>
      <groupName>字词问题</groupName>
      <ability>L2_Typo</ability>
      <abilityName>字词错误</abilityName>
      <candidateList>
        <item>自然通风</item>
      </candidateList>
      <explain/>
      <paraID>34B88436</paraID>
      <start>5</start>
      <end>9</end>
      <status>unmodified</status>
      <modifiedWord/>
      <trackRevisions>false</trackRevisions>
    </reviewItem>
    <reviewItem>
      <errorID>0da92ce9-e4b7-4410-8879-33e095210b68</errorID>
      <errorWord>自然进风</errorWord>
      <group>L1_Word</group>
      <groupName>字词问题</groupName>
      <ability>L2_Typo</ability>
      <abilityName>字词错误</abilityName>
      <candidateList>
        <item>自然通风</item>
      </candidateList>
      <explain/>
      <paraID>36929EB9</paraID>
      <start>5</start>
      <end>9</end>
      <status>unmodified</status>
      <modifiedWord/>
      <trackRevisions>false</trackRevisions>
    </reviewItem>
    <reviewItem>
      <errorID>3331b247-c23c-43d1-bf09-4fd63c0649b5</errorID>
      <errorWord>自然进风</errorWord>
      <group>L1_Word</group>
      <groupName>字词问题</groupName>
      <ability>L2_Typo</ability>
      <abilityName>字词错误</abilityName>
      <candidateList>
        <item>自然通风</item>
      </candidateList>
      <explain/>
      <paraID> 5D2E574</paraID>
      <start>5</start>
      <end>9</end>
      <status>unmodified</status>
      <modifiedWord/>
      <trackRevisions>false</trackRevisions>
    </reviewItem>
    <reviewItem>
      <errorID>f36f1837-2482-402c-86e7-de0a98a8e985</errorID>
      <errorWord>自然进风</errorWord>
      <group>L1_Word</group>
      <groupName>字词问题</groupName>
      <ability>L2_Typo</ability>
      <abilityName>字词错误</abilityName>
      <candidateList>
        <item>自然通风</item>
      </candidateList>
      <explain/>
      <paraID>3A8ADEA0</paraID>
      <start>5</start>
      <end>9</end>
      <status>unmodified</status>
      <modifiedWord/>
      <trackRevisions>false</trackRevisions>
    </reviewItem>
    <reviewItem>
      <errorID>35a06f29-567e-481d-94f3-b8e068ba6a43</errorID>
      <errorWord>自然进风</errorWord>
      <group>L1_Word</group>
      <groupName>字词问题</groupName>
      <ability>L2_Typo</ability>
      <abilityName>字词错误</abilityName>
      <candidateList>
        <item>自然通风</item>
      </candidateList>
      <explain/>
      <paraID>72960219</paraID>
      <start>5</start>
      <end>9</end>
      <status>unmodified</status>
      <modifiedWord/>
      <trackRevisions>false</trackRevisions>
    </reviewItem>
    <reviewItem>
      <errorID>6afe5a9e-16de-4655-a49b-93f6c8fd6208</errorID>
      <errorWord>自然进风</errorWord>
      <group>L1_Word</group>
      <groupName>字词问题</groupName>
      <ability>L2_Typo</ability>
      <abilityName>字词错误</abilityName>
      <candidateList>
        <item>自然通风</item>
      </candidateList>
      <explain/>
      <paraID>3508F7BB</paraID>
      <start>5</start>
      <end>9</end>
      <status>unmodified</status>
      <modifiedWord/>
      <trackRevisions>false</trackRevisions>
    </reviewItem>
    <reviewItem>
      <errorID>1d707cd0-c8af-4557-af6a-6dec29b4a105</errorID>
      <errorWord>自然进风</errorWord>
      <group>L1_Word</group>
      <groupName>字词问题</groupName>
      <ability>L2_Typo</ability>
      <abilityName>字词错误</abilityName>
      <candidateList>
        <item>自然通风</item>
      </candidateList>
      <explain/>
      <paraID>50E0D0F7</paraID>
      <start>5</start>
      <end>9</end>
      <status>unmodified</status>
      <modifiedWord/>
      <trackRevisions>false</trackRevisions>
    </reviewItem>
    <reviewItem>
      <errorID>4d8ce882-1f94-4695-9625-620645e479d8</errorID>
      <errorWord>自然进风</errorWord>
      <group>L1_Word</group>
      <groupName>字词问题</groupName>
      <ability>L2_Typo</ability>
      <abilityName>字词错误</abilityName>
      <candidateList>
        <item>自然通风</item>
      </candidateList>
      <explain/>
      <paraID>30D9C71F</paraID>
      <start>64</start>
      <end>68</end>
      <status>unmodified</status>
      <modifiedWord/>
      <trackRevisions>false</trackRevisions>
    </reviewItem>
    <reviewItem>
      <errorID>a220a3b9-f806-4c0f-b6ac-c421247490cf</errorID>
      <errorWord>自然进风</errorWord>
      <group>L1_Word</group>
      <groupName>字词问题</groupName>
      <ability>L2_Typo</ability>
      <abilityName>字词错误</abilityName>
      <candidateList>
        <item>自然通风</item>
      </candidateList>
      <explain/>
      <paraID>1FC55406</paraID>
      <start>71</start>
      <end>75</end>
      <status>unmodified</status>
      <modifiedWord/>
      <trackRevisions>false</trackRevisions>
    </reviewItem>
    <reviewItem>
      <errorID>2332d66f-a6dc-440b-8de7-552b7151d484</errorID>
      <errorWord>自然进风</errorWord>
      <group>L1_Word</group>
      <groupName>字词问题</groupName>
      <ability>L2_Typo</ability>
      <abilityName>字词错误</abilityName>
      <candidateList>
        <item>自然通风</item>
      </candidateList>
      <explain/>
      <paraID>1C795694</paraID>
      <start>43</start>
      <end>47</end>
      <status>unmodified</status>
      <modifiedWord/>
      <trackRevisions>false</trackRevisions>
    </reviewItem>
    <reviewItem>
      <errorID>c805a747-55d4-46ba-8a02-fd2bc73c64aa</errorID>
      <errorWord>自然进风</errorWord>
      <group>L1_Word</group>
      <groupName>字词问题</groupName>
      <ability>L2_Typo</ability>
      <abilityName>字词错误</abilityName>
      <candidateList>
        <item>自然通风</item>
      </candidateList>
      <explain/>
      <paraID>4827AA0B</paraID>
      <start>61</start>
      <end>65</end>
      <status>unmodified</status>
      <modifiedWord/>
      <trackRevisions>false</trackRevisions>
    </reviewItem>
    <reviewItem>
      <errorID>4910f878-2691-47fb-8915-a0a1d2dd6ef5</errorID>
      <errorWord>进风</errorWord>
      <group>L1_Word</group>
      <groupName>字词问题</groupName>
      <ability>L2_Typo</ability>
      <abilityName>字词错误</abilityName>
      <candidateList>
        <item>通风</item>
      </candidateList>
      <explain/>
      <paraID>79FE48A4</paraID>
      <start>49</start>
      <end>51</end>
      <status>unmodified</status>
      <modifiedWord/>
      <trackRevisions>false</trackRevisions>
    </reviewItem>
    <reviewItem>
      <errorID>6a565d19-0102-4ac5-87c9-d432110eea55</errorID>
      <errorWord>自然进风</errorWord>
      <group>L1_Word</group>
      <groupName>字词问题</groupName>
      <ability>L2_Typo</ability>
      <abilityName>字词错误</abilityName>
      <candidateList>
        <item>自然通风</item>
      </candidateList>
      <explain/>
      <paraID>1FFFEF5D</paraID>
      <start>57</start>
      <end>61</end>
      <status>unmodified</status>
      <modifiedWord/>
      <trackRevisions>false</trackRevisions>
    </reviewItem>
    <reviewItem>
      <errorID>d788098c-c29b-4c86-b7f4-c421edd0e2e2</errorID>
      <errorWord>自然进风</errorWord>
      <group>L1_Word</group>
      <groupName>字词问题</groupName>
      <ability>L2_Typo</ability>
      <abilityName>字词错误</abilityName>
      <candidateList>
        <item>自然通风</item>
      </candidateList>
      <explain/>
      <paraID>5ABC0175</paraID>
      <start>11</start>
      <end>15</end>
      <status>unmodified</status>
      <modifiedWord/>
      <trackRevisions>false</trackRevisions>
    </reviewItem>
    <reviewItem>
      <errorID>5722fdd0-9ad5-4a31-b6ee-19b6bf9a32e0</errorID>
      <errorWord>~</errorWord>
      <group>L1_Format</group>
      <groupName>格式问题</groupName>
      <ability>L2_HalfPunc</ability>
      <abilityName>全半角检查</abilityName>
      <candidateList>
        <item>～</item>
      </candidateList>
      <explain>文本全半角错误。</explain>
      <paraID>2641F75F</paraID>
      <start>33</start>
      <end>34</end>
      <status>unmodified</status>
      <modifiedWord/>
      <trackRevisions>false</trackRevisions>
    </reviewItem>
    <reviewItem>
      <errorID>9615e203-0842-43c2-88d2-bdb37ca1ff76</errorID>
      <errorWord>自然进风</errorWord>
      <group>L1_Word</group>
      <groupName>字词问题</groupName>
      <ability>L2_Typo</ability>
      <abilityName>字词错误</abilityName>
      <candidateList>
        <item>自然通风</item>
      </candidateList>
      <explain/>
      <paraID>56E2178D</paraID>
      <start>9</start>
      <end>13</end>
      <status>unmodified</status>
      <modifiedWord/>
      <trackRevisions>false</trackRevisions>
    </reviewItem>
    <reviewItem>
      <errorID>2da34f6f-abf9-42e5-8e92-326ff3017b3f</errorID>
      <errorWord>自然进风</errorWord>
      <group>L1_Word</group>
      <groupName>字词问题</groupName>
      <ability>L2_Typo</ability>
      <abilityName>字词错误</abilityName>
      <candidateList>
        <item>自然通风</item>
      </candidateList>
      <explain/>
      <paraID>2A5AF08A</paraID>
      <start>9</start>
      <end>13</end>
      <status>unmodified</status>
      <modifiedWord/>
      <trackRevisions>false</trackRevisions>
    </reviewItem>
    <reviewItem>
      <errorID>38df320c-ba4b-44b3-ae94-44327a614077</errorID>
      <errorWord>~</errorWord>
      <group>L1_Format</group>
      <groupName>格式问题</groupName>
      <ability>L2_HalfPunc</ability>
      <abilityName>全半角检查</abilityName>
      <candidateList>
        <item>～</item>
      </candidateList>
      <explain>文本全半角错误。</explain>
      <paraID>769D761C</paraID>
      <start>43</start>
      <end>44</end>
      <status>unmodified</status>
      <modifiedWord/>
      <trackRevisions>false</trackRevisions>
    </reviewItem>
    <reviewItem>
      <errorID>d0f0ff07-5832-44a8-951c-7b9ed31d3ef7</errorID>
      <errorWord>(</errorWord>
      <group>L1_Format</group>
      <groupName>格式问题</groupName>
      <ability>L2_HalfPunc</ability>
      <abilityName>全半角检查</abilityName>
      <candidateList>
        <item>（</item>
      </candidateList>
      <explain>文本全半角错误。</explain>
      <paraID>4E3BB8C1</paraID>
      <start>35</start>
      <end>36</end>
      <status>unmodified</status>
      <modifiedWord/>
      <trackRevisions>false</trackRevisions>
    </reviewItem>
    <reviewItem>
      <errorID>e424c918-8574-4971-865d-eed803374b6a</errorID>
      <errorWord>)</errorWord>
      <group>L1_Format</group>
      <groupName>格式问题</groupName>
      <ability>L2_HalfPunc</ability>
      <abilityName>全半角检查</abilityName>
      <candidateList>
        <item>）</item>
      </candidateList>
      <explain>文本全半角错误。</explain>
      <paraID>4E3BB8C1</paraID>
      <start>54</start>
      <end>55</end>
      <status>unmodified</status>
      <modifiedWord/>
      <trackRevisions>false</trackRevisions>
    </reviewItem>
    <reviewItem>
      <errorID>2432f9d9-a5aa-4eeb-91dd-7b70fff28679</errorID>
      <errorWord>(</errorWord>
      <group>L1_Format</group>
      <groupName>格式问题</groupName>
      <ability>L2_HalfPunc</ability>
      <abilityName>全半角检查</abilityName>
      <candidateList>
        <item>（</item>
      </candidateList>
      <explain>文本全半角错误。</explain>
      <paraID>4E3BB8C1</paraID>
      <start>131</start>
      <end>132</end>
      <status>unmodified</status>
      <modifiedWord/>
      <trackRevisions>false</trackRevisions>
    </reviewItem>
    <reviewItem>
      <errorID>c4e1e7b8-cdd4-41d1-b134-43cc913819c5</errorID>
      <errorWord>)</errorWord>
      <group>L1_Format</group>
      <groupName>格式问题</groupName>
      <ability>L2_HalfPunc</ability>
      <abilityName>全半角检查</abilityName>
      <candidateList>
        <item>）</item>
      </candidateList>
      <explain>文本全半角错误。</explain>
      <paraID>4E3BB8C1</paraID>
      <start>134</start>
      <end>135</end>
      <status>unmodified</status>
      <modifiedWord/>
      <trackRevisions>false</trackRevisions>
    </reviewItem>
    <reviewItem>
      <errorID>e6de040f-670a-49d4-b821-ceeb187ccd66</errorID>
      <errorWord>(</errorWord>
      <group>L1_Format</group>
      <groupName>格式问题</groupName>
      <ability>L2_HalfPunc</ability>
      <abilityName>全半角检查</abilityName>
      <candidateList>
        <item>（</item>
      </candidateList>
      <explain>文本全半角错误。</explain>
      <paraID>4E3BB8C1</paraID>
      <start>186</start>
      <end>187</end>
      <status>unmodified</status>
      <modifiedWord/>
      <trackRevisions>false</trackRevisions>
    </reviewItem>
    <reviewItem>
      <errorID>250032a8-dc07-49a3-a10b-692c619669be</errorID>
      <errorWord>)</errorWord>
      <group>L1_Format</group>
      <groupName>格式问题</groupName>
      <ability>L2_HalfPunc</ability>
      <abilityName>全半角检查</abilityName>
      <candidateList>
        <item>）</item>
      </candidateList>
      <explain>文本全半角错误。</explain>
      <paraID>4E3BB8C1</paraID>
      <start>189</start>
      <end>190</end>
      <status>unmodified</status>
      <modifiedWord/>
      <trackRevisions>false</trackRevisions>
    </reviewItem>
    <reviewItem>
      <errorID>4e700914-6c8c-4d6e-841a-d821bc4f74cf</errorID>
      <errorWord>详</errorWord>
      <group>L1_Word</group>
      <groupName>字词问题</groupName>
      <ability>L2_Typo</ability>
      <abilityName>字词错误</abilityName>
      <candidateList>
        <item>详见</item>
      </candidateList>
      <explain/>
      <paraID>7759EA48</paraID>
      <start>192</start>
      <end>193</end>
      <status>unmodified</status>
      <modifiedWord/>
      <trackRevisions>false</trackRevisions>
    </reviewItem>
    <reviewItem>
      <errorID>013ab0aa-66f9-45f3-b259-d6c64e871eeb</errorID>
      <errorWord>非机动车库</errorWord>
      <group>L1_Knowledge</group>
      <groupName>知识性问题</groupName>
      <ability>L2_Term</ability>
      <abilityName>专业术语</abilityName>
      <candidateList>
        <item>非机动车道</item>
      </candidateList>
      <explain/>
      <paraID>449F8661</paraID>
      <start>15</start>
      <end>20</end>
      <status>unmodified</status>
      <modifiedWord/>
      <trackRevisions>false</trackRevisions>
    </reviewItem>
    <reviewItem>
      <errorID>acf58a7c-d126-43b8-9ebe-be9eed9573cd</errorID>
      <errorWord>(</errorWord>
      <group>L1_Format</group>
      <groupName>格式问题</groupName>
      <ability>L2_HalfPunc</ability>
      <abilityName>全半角检查</abilityName>
      <candidateList>
        <item>（</item>
      </candidateList>
      <explain>文本全半角错误。</explain>
      <paraID>58817AF8</paraID>
      <start>143</start>
      <end>144</end>
      <status>unmodified</status>
      <modifiedWord/>
      <trackRevisions>false</trackRevisions>
    </reviewItem>
    <reviewItem>
      <errorID>a9e83fb5-ea06-495e-bb30-a210601a2e13</errorID>
      <errorWord>)</errorWord>
      <group>L1_Format</group>
      <groupName>格式问题</groupName>
      <ability>L2_HalfPunc</ability>
      <abilityName>全半角检查</abilityName>
      <candidateList>
        <item>）</item>
      </candidateList>
      <explain>文本全半角错误。</explain>
      <paraID>58817AF8</paraID>
      <start>145</start>
      <end>146</end>
      <status>unmodified</status>
      <modifiedWord/>
      <trackRevisions>false</trackRevisions>
    </reviewItem>
    <reviewItem>
      <errorID>550d73bd-38a4-4b5b-b0c4-3a976c6fbf27</errorID>
      <errorWord>(</errorWord>
      <group>L1_Format</group>
      <groupName>格式问题</groupName>
      <ability>L2_HalfPunc</ability>
      <abilityName>全半角检查</abilityName>
      <candidateList>
        <item>（</item>
      </candidateList>
      <explain>文本全半角错误。</explain>
      <paraID>27FC0D20</paraID>
      <start>48</start>
      <end>49</end>
      <status>unmodified</status>
      <modifiedWord/>
      <trackRevisions>false</trackRevisions>
    </reviewItem>
    <reviewItem>
      <errorID>10fca6ca-16bd-453e-a86e-b1b319739361</errorID>
      <errorWord>)</errorWord>
      <group>L1_Format</group>
      <groupName>格式问题</groupName>
      <ability>L2_HalfPunc</ability>
      <abilityName>全半角检查</abilityName>
      <candidateList>
        <item>）</item>
      </candidateList>
      <explain>文本全半角错误。</explain>
      <paraID>27FC0D20</paraID>
      <start>50</start>
      <end>51</end>
      <status>unmodified</status>
      <modifiedWord/>
      <trackRevisions>false</trackRevisions>
    </reviewItem>
    <reviewItem>
      <errorID>d2898287-61f2-43e2-ad54-6ae6ce73d2be</errorID>
      <errorWord>自然进风</errorWord>
      <group>L1_Word</group>
      <groupName>字词问题</groupName>
      <ability>L2_Typo</ability>
      <abilityName>字词错误</abilityName>
      <candidateList>
        <item>自然通风</item>
      </candidateList>
      <explain/>
      <paraID> C7EE57F</paraID>
      <start>28</start>
      <end>32</end>
      <status>unmodified</status>
      <modifiedWord/>
      <trackRevisions>false</trackRevisions>
    </reviewItem>
    <reviewItem>
      <errorID>cd4ef435-f015-4a40-9a3e-bf0b3eb6cf43</errorID>
      <errorWord>暗装</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2EF9DEF7</paraID>
      <start>6</start>
      <end>8</end>
      <status>unmodified</status>
      <modifiedWord/>
      <trackRevisions>false</trackRevisions>
    </reviewItem>
    <reviewItem>
      <errorID>ba77ded3-6ba9-44ce-9a0c-5c9af25c306e</errorID>
      <errorWord>~</errorWord>
      <group>L1_Format</group>
      <groupName>格式问题</groupName>
      <ability>L2_HalfPunc</ability>
      <abilityName>全半角检查</abilityName>
      <candidateList>
        <item>～</item>
      </candidateList>
      <explain>文本全半角错误。</explain>
      <paraID> 78EFA8C</paraID>
      <start>74</start>
      <end>75</end>
      <status>unmodified</status>
      <modifiedWord/>
      <trackRevisions>false</trackRevisions>
    </reviewItem>
    <reviewItem>
      <errorID>a6bc2e9d-88d0-40b6-a821-e048e10b3b3c</errorID>
      <errorWord>距楼</errorWord>
      <group>L1_Word</group>
      <groupName>字词问题</groupName>
      <ability>L2_Typo</ability>
      <abilityName>字词错误</abilityName>
      <candidateList>
        <item>距离</item>
      </candidateList>
      <explain>❶〈动〉在空间或时间上相隔：天津～北京约有一百二十公里｜现在～唐代已经有一千多年。❷〈名〉相隔的长度：等～｜拉开一定的～◇他的看法和你有～。</explain>
      <paraID>442B1494</paraID>
      <start>27</start>
      <end>29</end>
      <status>unmodified</status>
      <modifiedWord/>
      <trackRevisions>false</trackRevisions>
    </reviewItem>
    <reviewItem>
      <errorID>066b61f5-23b3-4aab-98bc-c2e2c2122603</errorID>
      <errorWord>完</errorWord>
      <group>L1_Word</group>
      <groupName>字词问题</groupName>
      <ability>L2_Typo</ability>
      <abilityName>字词错误</abilityName>
      <candidateList>
        <item>完成</item>
      </candidateList>
      <explain>〈动〉按照预期的目的结束；做成：～任务｜～作业｜计划完得成。</explain>
      <paraID>14834B93</paraID>
      <start>123</start>
      <end>124</end>
      <status>unmodified</status>
      <modifiedWord/>
      <trackRevisions>false</trackRevisions>
    </reviewItem>
    <reviewItem>
      <errorID>4a650520-2fec-4012-b15f-670e42ec0a19</errorID>
      <errorWord>暗装</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40402F4F</paraID>
      <start>78</start>
      <end>80</end>
      <status>unmodified</status>
      <modifiedWord/>
      <trackRevisions>false</trackRevisions>
    </reviewItem>
    <reviewItem>
      <errorID>11ab00e4-a6fb-43c8-b7af-dc85461bf2de</errorID>
      <errorWord>保温</errorWord>
      <group>L1_Word</group>
      <groupName>字词问题</groupName>
      <ability>L2_Typo</ability>
      <abilityName>字词错误</abilityName>
      <candidateList>
        <item>高温</item>
      </candidateList>
      <explain/>
      <paraID>3A230E43</paraID>
      <start>64</start>
      <end>66</end>
      <status>unmodified</status>
      <modifiedWord/>
      <trackRevisions>false</trackRevisions>
    </reviewItem>
    <reviewItem>
      <errorID>dbed1417-896d-4937-9265-8bb39fb2b408</errorID>
      <errorWord>距楼</errorWord>
      <group>L1_Word</group>
      <groupName>字词问题</groupName>
      <ability>L2_Typo</ability>
      <abilityName>字词错误</abilityName>
      <candidateList>
        <item>距离</item>
      </candidateList>
      <explain>❶〈动〉在空间或时间上相隔：天津～北京约有一百二十公里｜现在～唐代已经有一千多年。❷〈名〉相隔的长度：等～｜拉开一定的～◇他的看法和你有～。</explain>
      <paraID>21976FEB</paraID>
      <start>109</start>
      <end>111</end>
      <status>unmodified</status>
      <modifiedWord/>
      <trackRevisions>false</trackRevisions>
    </reviewItem>
    <reviewItem>
      <errorID>f1d87400-89b6-4ee8-8c29-10b4bb373f73</errorID>
      <errorWord>(</errorWord>
      <group>L1_Format</group>
      <groupName>格式问题</groupName>
      <ability>L2_HalfPunc</ability>
      <abilityName>全半角检查</abilityName>
      <candidateList>
        <item>（</item>
      </candidateList>
      <explain>文本全半角错误。</explain>
      <paraID>5121A564</paraID>
      <start>197</start>
      <end>198</end>
      <status>unmodified</status>
      <modifiedWord/>
      <trackRevisions>false</trackRevisions>
    </reviewItem>
    <reviewItem>
      <errorID>ff2d1edb-1acb-4cb4-9b82-4440f83b117c</errorID>
      <errorWord>(</errorWord>
      <group>L1_Format</group>
      <groupName>格式问题</groupName>
      <ability>L2_HalfPunc</ability>
      <abilityName>全半角检查</abilityName>
      <candidateList>
        <item>（</item>
      </candidateList>
      <explain>文本全半角错误。</explain>
      <paraID>7403AA7A</paraID>
      <start>23</start>
      <end>24</end>
      <status>unmodified</status>
      <modifiedWord/>
      <trackRevisions>false</trackRevisions>
    </reviewItem>
    <reviewItem>
      <errorID>6c218c44-497b-4af6-8ceb-dc53c36cee39</errorID>
      <errorWord>进风</errorWord>
      <group>L1_Word</group>
      <groupName>字词问题</groupName>
      <ability>L2_Typo</ability>
      <abilityName>字词错误</abilityName>
      <candidateList>
        <item>通风</item>
      </candidateList>
      <explain/>
      <paraID>7403AA7A</paraID>
      <start>35</start>
      <end>37</end>
      <status>unmodified</status>
      <modifiedWord/>
      <trackRevisions>false</trackRevisions>
    </reviewItem>
    <reviewItem>
      <errorID>6e5c8933-f292-4d0b-8ce7-1fba0d6d16f7</errorID>
      <errorWord>(</errorWord>
      <group>L1_Format</group>
      <groupName>格式问题</groupName>
      <ability>L2_HalfPunc</ability>
      <abilityName>全半角检查</abilityName>
      <candidateList>
        <item>（</item>
      </candidateList>
      <explain>文本全半角错误。</explain>
      <paraID>77B4733A</paraID>
      <start>21</start>
      <end>22</end>
      <status>unmodified</status>
      <modifiedWord/>
      <trackRevisions>false</trackRevisions>
    </reviewItem>
    <reviewItem>
      <errorID>8a4ce753-40e2-4d1c-bcbb-7a32364e6da6</errorID>
      <errorWord>(</errorWord>
      <group>L1_Format</group>
      <groupName>格式问题</groupName>
      <ability>L2_HalfPunc</ability>
      <abilityName>全半角检查</abilityName>
      <candidateList>
        <item>（</item>
      </candidateList>
      <explain>文本全半角错误。</explain>
      <paraID>5E91F2FC</paraID>
      <start>23</start>
      <end>24</end>
      <status>unmodified</status>
      <modifiedWord/>
      <trackRevisions>false</trackRevisions>
    </reviewItem>
    <reviewItem>
      <errorID>84e8fc59-7b8f-47e7-a4c1-dfa7ac972274</errorID>
      <errorWord>进风</errorWord>
      <group>L1_Word</group>
      <groupName>字词问题</groupName>
      <ability>L2_Typo</ability>
      <abilityName>字词错误</abilityName>
      <candidateList>
        <item>通风</item>
      </candidateList>
      <explain/>
      <paraID>5E91F2FC</paraID>
      <start>35</start>
      <end>37</end>
      <status>unmodified</status>
      <modifiedWord/>
      <trackRevisions>false</trackRevisions>
    </reviewItem>
    <reviewItem>
      <errorID>6945aad5-eeee-409a-8ac6-08e9933d14e4</errorID>
      <errorWord>(</errorWord>
      <group>L1_Format</group>
      <groupName>格式问题</groupName>
      <ability>L2_HalfPunc</ability>
      <abilityName>全半角检查</abilityName>
      <candidateList>
        <item>（</item>
      </candidateList>
      <explain>文本全半角错误。</explain>
      <paraID> 41293D3</paraID>
      <start>21</start>
      <end>22</end>
      <status>unmodified</status>
      <modifiedWord/>
      <trackRevisions>false</trackRevisions>
    </reviewItem>
    <reviewItem>
      <errorID>7b0e4915-58a8-46a9-9728-0d6c1644bda3</errorID>
      <errorWord>进风</errorWord>
      <group>L1_Word</group>
      <groupName>字词问题</groupName>
      <ability>L2_Typo</ability>
      <abilityName>字词错误</abilityName>
      <candidateList>
        <item>通风</item>
      </candidateList>
      <explain/>
      <paraID>5455D59C</paraID>
      <start>41</start>
      <end>43</end>
      <status>unmodified</status>
      <modifiedWord/>
      <trackRevisions>false</trackRevisions>
    </reviewItem>
    <reviewItem>
      <errorID>2c09e007-5b9e-487c-a010-a0a54d60601d</errorID>
      <errorWord>临战</errorWord>
      <group>L1_Word</group>
      <groupName>字词问题</groupName>
      <ability>L2_Typo</ability>
      <abilityName>字词错误</abilityName>
      <candidateList>
        <item>临时</item>
      </candidateList>
      <explain/>
      <paraID>3A19E305</paraID>
      <start>62</start>
      <end>64</end>
      <status>unmodified</status>
      <modifiedWord/>
      <trackRevisions>false</trackRevisions>
    </reviewItem>
    <reviewItem>
      <errorID>b588d066-1f24-46fc-a320-c925bd80d377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2E20BB82</paraID>
      <start>0</start>
      <end>2</end>
      <status>unmodified</status>
      <modifiedWord/>
      <trackRevisions>false</trackRevisions>
    </reviewItem>
    <reviewItem>
      <errorID>2879031f-1596-4f31-a7ee-80597c35a92e</errorID>
      <errorWord>：</errorWord>
      <group>L1_Format</group>
      <groupName>格式问题</groupName>
      <ability>L2_HalfPunc</ability>
      <abilityName>全半角检查</abilityName>
      <candidateList>
        <item>:</item>
      </candidateList>
      <explain>文本全半角错误。</explain>
      <paraID>10E78D5B</paraID>
      <start>24</start>
      <end>25</end>
      <status>unmodified</status>
      <modifiedWord/>
      <trackRevisions>false</trackRevisions>
    </reviewItem>
    <reviewItem>
      <errorID>a2b43bc4-3743-4053-93c8-022a8d6eeb97</errorID>
      <errorWord>涉</errorWord>
      <group>L1_Word</group>
      <groupName>字词问题</groupName>
      <ability>L2_Typo</ability>
      <abilityName>字词错误</abilityName>
      <candidateList>
        <item>涉及</item>
      </candidateList>
      <explain>〈动〉牵涉到；关联到：案子～好几个人｜这个问题～面很广。</explain>
      <paraID>6D0A7FE4</paraID>
      <start>10</start>
      <end>11</end>
      <status>unmodified</status>
      <modifiedWord/>
      <trackRevisions>false</trackRevisions>
    </reviewItem>
    <reviewItem>
      <errorID>91cc9e3e-90a4-4bd7-9681-80842d0cbfcd</errorID>
      <errorWord>,</errorWord>
      <group>L1_Format</group>
      <groupName>格式问题</groupName>
      <ability>L2_HalfPunc</ability>
      <abilityName>全半角检查</abilityName>
      <candidateList>
        <item>，</item>
      </candidateList>
      <explain>文本全半角错误。</explain>
      <paraID>  6A7AC8</paraID>
      <start>18</start>
      <end>19</end>
      <status>unmodified</status>
      <modifiedWord/>
      <trackRevisions>false</trackRevisions>
    </reviewItem>
    <reviewItem>
      <errorID>d5eefb75-ac53-4904-bfc3-1aeb9ca4d934</errorID>
      <errorWord>链接</errorWord>
      <group>L1_Word</group>
      <groupName>字词问题</groupName>
      <ability>L2_Typo</ability>
      <abilityName>字词错误</abilityName>
      <candidateList>
        <item>连接</item>
      </candidateList>
      <explain>存在发音相同字词的误用。</explain>
      <paraID>68B8F799</paraID>
      <start>9</start>
      <end>11</end>
      <status>unmodified</status>
      <modifiedWord/>
      <trackRevisions>false</trackRevisions>
    </reviewItem>
    <reviewItem>
      <errorID>978b4b15-505b-4291-a882-02afbe915023</errorID>
      <errorWord>作</errorWord>
      <group>L1_Word</group>
      <groupName>字词问题</groupName>
      <ability>L2_Typo</ability>
      <abilityName>字词错误</abilityName>
      <candidateList>
        <item>做</item>
      </candidateList>
      <explain>存在发音相同字词的误用。</explain>
      <paraID>54505E04</paraID>
      <start>84</start>
      <end>85</end>
      <status>unmodified</status>
      <modifiedWord/>
      <trackRevisions>false</trackRevisions>
    </reviewItem>
    <reviewItem>
      <errorID>bf593378-288f-4d9b-bdcf-d107ee7e2b33</errorID>
      <errorWord>柴油发电机房</errorWord>
      <group>L1_Knowledge</group>
      <groupName>知识性问题</groupName>
      <ability>L2_Term</ability>
      <abilityName>专业术语</abilityName>
      <candidateList>
        <item>柴油发电机室</item>
      </candidateList>
      <explain/>
      <paraID>1910DDF9</paraID>
      <start>9</start>
      <end>15</end>
      <status>unmodified</status>
      <modifiedWord/>
      <trackRevisions>false</trackRevisions>
    </reviewItem>
    <reviewItem>
      <errorID>5b7ba28f-c1fc-4c0e-b4ec-509982716471</errorID>
      <errorWord>)</errorWord>
      <group>L1_Format</group>
      <groupName>格式问题</groupName>
      <ability>L2_HalfPunc</ability>
      <abilityName>全半角检查</abilityName>
      <candidateList>
        <item>）</item>
      </candidateList>
      <explain>文本全半角错误。</explain>
      <paraID>153AC677</paraID>
      <start>143</start>
      <end>144</end>
      <status>unmodified</status>
      <modifiedWord/>
      <trackRevisions>false</trackRevisions>
    </reviewItem>
    <reviewItem>
      <errorID>b5eaa0a7-a5a8-4e13-be99-975f5970dcea</errorID>
      <errorWord>公共用</errorWord>
      <group>L1_Word</group>
      <groupName>字词问题</groupName>
      <ability>L2_Typo</ability>
      <abilityName>字词错误</abilityName>
      <candidateList>
        <item>公共</item>
      </candidateList>
      <explain/>
      <paraID>501161E9</paraID>
      <start>25</start>
      <end>28</end>
      <status>unmodified</status>
      <modifiedWord/>
      <trackRevisions>false</trackRevisions>
    </reviewItem>
    <reviewItem>
      <errorID>e544fee0-a68b-4fe7-a29e-7f14650b330e</errorID>
      <errorWord>超</errorWord>
      <group>L1_Word</group>
      <groupName>字词问题</groupName>
      <ability>L2_Typo</ability>
      <abilityName>字词错误</abilityName>
      <candidateList>
        <item>超过</item>
      </candidateList>
      <explain/>
      <paraID>501161E9</paraID>
      <start>69</start>
      <end>70</end>
      <status>unmodified</status>
      <modifiedWord/>
      <trackRevisions>false</trackRevisions>
    </reviewItem>
    <reviewItem>
      <errorID>0d7b2ad6-112d-4eb3-bfab-6d213758f8df</errorID>
      <errorWord>段在</errorWord>
      <group>L1_Word</group>
      <groupName>字词问题</groupName>
      <ability>L2_Typo</ability>
      <abilityName>字词错误</abilityName>
      <candidateList>
        <item>段</item>
      </candidateList>
      <explain/>
      <paraID>20B1BAF0</paraID>
      <start>44</start>
      <end>46</end>
      <status>unmodified</status>
      <modifiedWord/>
      <trackRevisions>false</trackRevisions>
    </reviewItem>
    <reviewItem>
      <errorID>69465589-1c29-49ea-a594-47dc6339f4ee</errorID>
      <errorWord>75%~85%</errorWord>
      <group>L1_Knowledge</group>
      <groupName>知识性问题</groupName>
      <ability>L2_Knowledge</ability>
      <abilityName>其他知识</abilityName>
      <candidateList>
        <item>75%～85%</item>
      </candidateList>
      <explain>1. “75%~85%”中的单位“%”仅出现在后一个数字上，容易引起歧义；根据《现代汉语标点符号数字用法规范手册》，数字表示范围两边需要使用统一的格式。2. 根据标点国标 4.13 中的规则，数字、时间或地域连接符应使用（视觉上更长的）“—”或“～”。</explain>
      <paraID>6FD7E1FC</paraID>
      <start>10</start>
      <end>17</end>
      <status>unmodified</status>
      <modifiedWord/>
      <trackRevisions>false</trackRevisions>
    </reviewItem>
    <reviewItem>
      <errorID>a06c5744-990e-4b5c-a276-10f01c06d2dc</errorID>
      <errorWord>到达</errorWord>
      <group>L1_Word</group>
      <groupName>字词问题</groupName>
      <ability>L2_Typo</ability>
      <abilityName>字词错误</abilityName>
      <candidateList>
        <item>达到</item>
      </candidateList>
      <explain>〈动〉到（多指抽象事物或程度）：达得到｜达不到｜目的没有～｜～国际水平。</explain>
      <paraID>48058180</paraID>
      <start>39</start>
      <end>41</end>
      <status>unmodified</status>
      <modifiedWord/>
      <trackRevisions>false</trackRevisions>
    </reviewItem>
    <reviewItem>
      <errorID>a24f6f7f-ec1a-4249-b39c-e177e0ed174a</errorID>
      <errorWord>(</errorWord>
      <group>L1_Format</group>
      <groupName>格式问题</groupName>
      <ability>L2_HalfPunc</ability>
      <abilityName>全半角检查</abilityName>
      <candidateList>
        <item>（</item>
      </candidateList>
      <explain>文本全半角错误。</explain>
      <paraID>4A980FA1</paraID>
      <start>175</start>
      <end>176</end>
      <status>unmodified</status>
      <modifiedWord/>
      <trackRevisions>false</trackRevisions>
    </reviewItem>
    <reviewItem>
      <errorID>eb706d18-0bda-4826-afbb-f048fe4ab7ea</errorID>
      <errorWord>其它</errorWord>
      <group>L1_Word</group>
      <groupName>字词问题</groupName>
      <ability>L2_Alias</ability>
      <abilityName>也作/曾用词</abilityName>
      <candidateList>
        <item>其他</item>
      </candidateList>
      <explain>词汇[其它]为不规范表述或旧称，其规范书面表述为[其他]。</explain>
      <paraID>5D25B5ED</paraID>
      <start>2</start>
      <end>4</end>
      <status>unmodified</status>
      <modifiedWord/>
      <trackRevisions>false</trackRevisions>
    </reviewItem>
    <reviewItem>
      <errorID>49e6391d-61f0-4d70-bb4f-e00f9fca792a</errorID>
      <errorWord>联结</errorWord>
      <group>L1_Word</group>
      <groupName>字词问题</groupName>
      <ability>L2_Typo</ability>
      <abilityName>字词错误</abilityName>
      <candidateList>
        <item>连接</item>
      </candidateList>
      <explain>（联接）liánjiē〈动〉❶（事物）互相衔接：山岭～。❷使连接：～线路。</explain>
      <paraID>43A37184</paraID>
      <start>18</start>
      <end>20</end>
      <status>unmodified</status>
      <modifiedWord/>
      <trackRevisions>false</trackRevisions>
    </reviewItem>
    <reviewItem>
      <errorID>c3c4b8d5-3faa-4ebf-bc6a-f285120ee310</errorID>
      <errorWord>联结</errorWord>
      <group>L1_Word</group>
      <groupName>字词问题</groupName>
      <ability>L2_Typo</ability>
      <abilityName>字词错误</abilityName>
      <candidateList>
        <item>连接</item>
      </candidateList>
      <explain>（联接）liánjiē〈动〉❶（事物）互相衔接：山岭～。❷使连接：～线路。</explain>
      <paraID>66C45468</paraID>
      <start>22</start>
      <end>24</end>
      <status>unmodified</status>
      <modifiedWord/>
      <trackRevisions>false</trackRevisions>
    </reviewItem>
    <reviewItem>
      <errorID>e69b8ed0-24ba-491f-96d4-e0a4cee777a5</errorID>
      <errorWord>结线</errorWord>
      <group>L1_Word</group>
      <groupName>字词问题</groupName>
      <ability>L2_Typo</ability>
      <abilityName>字词错误</abilityName>
      <candidateList>
        <item>接线</item>
      </candidateList>
      <explain>〈动〉用导线连接线路。</explain>
      <paraID>7AB20E55</paraID>
      <start>8</start>
      <end>10</end>
      <status>unmodified</status>
      <modifiedWord/>
      <trackRevisions>false</trackRevisions>
    </reviewItem>
    <reviewItem>
      <errorID>1defad72-9dbf-4af4-8495-2089529d13dd</errorID>
      <errorWord>接地形式</errorWord>
      <group>L1_Word</group>
      <groupName>字词问题</groupName>
      <ability>L2_Typo</ability>
      <abilityName>字词错误</abilityName>
      <candidateList>
        <item>接地型式</item>
      </candidateList>
      <explain/>
      <paraID> 8CBA7D8</paraID>
      <start>11</start>
      <end>15</end>
      <status>unmodified</status>
      <modifiedWord/>
      <trackRevisions>false</trackRevisions>
    </reviewItem>
    <reviewItem>
      <errorID>62f9ff2d-dd9d-4be4-acae-ed6cdbd6eefd</errorID>
      <errorWord>接地形式</errorWord>
      <group>L1_Word</group>
      <groupName>字词问题</groupName>
      <ability>L2_Typo</ability>
      <abilityName>字词错误</abilityName>
      <candidateList>
        <item>接地型式</item>
      </candidateList>
      <explain/>
      <paraID>3875B8D7</paraID>
      <start>6</start>
      <end>10</end>
      <status>unmodified</status>
      <modifiedWord/>
      <trackRevisions>false</trackRevisions>
    </reviewItem>
    <reviewItem>
      <errorID>8989f99e-5682-4287-bc26-8c25d38cd36b</errorID>
      <errorWord>接地形式</errorWord>
      <group>L1_Word</group>
      <groupName>字词问题</groupName>
      <ability>L2_Typo</ability>
      <abilityName>字词错误</abilityName>
      <candidateList>
        <item>接地型式</item>
      </candidateList>
      <explain/>
      <paraID>167E5553</paraID>
      <start>6</start>
      <end>10</end>
      <status>unmodified</status>
      <modifiedWord/>
      <trackRevisions>false</trackRevisions>
    </reviewItem>
    <reviewItem>
      <errorID>618e5ceb-18f3-4071-a9ae-c88079bae983</errorID>
      <errorWord>,</errorWord>
      <group>L1_Format</group>
      <groupName>格式问题</groupName>
      <ability>L2_HalfPunc</ability>
      <abilityName>全半角检查</abilityName>
      <candidateList>
        <item>，</item>
      </candidateList>
      <explain>文本全半角错误。</explain>
      <paraID> 264729A</paraID>
      <start>18</start>
      <end>19</end>
      <status>unmodified</status>
      <modifiedWord/>
      <trackRevisions>false</trackRevisions>
    </reviewItem>
    <reviewItem>
      <errorID>b9fd190a-42f7-44ee-af9b-2da63a5e3140</errorID>
      <errorWord>;</errorWord>
      <group>L1_Format</group>
      <groupName>格式问题</groupName>
      <ability>L2_HalfPunc</ability>
      <abilityName>全半角检查</abilityName>
      <candidateList>
        <item>；</item>
      </candidateList>
      <explain>文本全半角错误。</explain>
      <paraID>12135B40</paraID>
      <start>26</start>
      <end>27</end>
      <status>unmodified</status>
      <modifiedWord/>
      <trackRevisions>false</trackRevisions>
    </reviewItem>
    <reviewItem>
      <errorID>e49b6af2-a386-4a62-8fa3-23790c44fe21</errorID>
      <errorWord>(</errorWord>
      <group>L1_Format</group>
      <groupName>格式问题</groupName>
      <ability>L2_HalfPunc</ability>
      <abilityName>全半角检查</abilityName>
      <candidateList>
        <item>（</item>
      </candidateList>
      <explain>文本全半角错误。</explain>
      <paraID>12135B40</paraID>
      <start>40</start>
      <end>41</end>
      <status>unmodified</status>
      <modifiedWord/>
      <trackRevisions>false</trackRevisions>
    </reviewItem>
    <reviewItem>
      <errorID>e137e17f-ebbf-4051-b9d7-939df8a464c2</errorID>
      <errorWord>)</errorWord>
      <group>L1_Format</group>
      <groupName>格式问题</groupName>
      <ability>L2_HalfPunc</ability>
      <abilityName>全半角检查</abilityName>
      <candidateList>
        <item>）</item>
      </candidateList>
      <explain>文本全半角错误。</explain>
      <paraID>12135B40</paraID>
      <start>44</start>
      <end>45</end>
      <status>unmodified</status>
      <modifiedWord/>
      <trackRevisions>false</trackRevisions>
    </reviewItem>
    <reviewItem>
      <errorID>f0583743-d68e-4860-b139-bd95473b1445</errorID>
      <errorWord>其它</errorWord>
      <group>L1_Word</group>
      <groupName>字词问题</groupName>
      <ability>L2_Alias</ability>
      <abilityName>也作/曾用词</abilityName>
      <candidateList>
        <item>其他</item>
      </candidateList>
      <explain>词汇[其它]为不规范表述或旧称，其规范书面表述为[其他]。</explain>
      <paraID>1C5F9386</paraID>
      <start>2</start>
      <end>4</end>
      <status>unmodified</status>
      <modifiedWord/>
      <trackRevisions>false</trackRevisions>
    </reviewItem>
    <reviewItem>
      <errorID>717d74ff-ca47-410f-bf03-87b41a6604e4</errorID>
      <errorWord>可</errorWord>
      <group>L1_Word</group>
      <groupName>字词问题</groupName>
      <ability>L2_Typo</ability>
      <abilityName>字词错误</abilityName>
      <candidateList>
        <item>可在</item>
      </candidateList>
      <explain/>
      <paraID>5B13F6F9</paraID>
      <start>21</start>
      <end>22</end>
      <status>unmodified</status>
      <modifiedWord/>
      <trackRevisions>false</trackRevisions>
    </reviewItem>
    <reviewItem>
      <errorID>f847b3da-28e8-4a36-a45d-626651828289</errorID>
      <errorWord>其它</errorWord>
      <group>L1_Word</group>
      <groupName>字词问题</groupName>
      <ability>L2_Alias</ability>
      <abilityName>也作/曾用词</abilityName>
      <candidateList>
        <item>其他</item>
      </candidateList>
      <explain>词汇[其它]为不规范表述或旧称，其规范书面表述为[其他]。</explain>
      <paraID>76A0A82B</paraID>
      <start>0</start>
      <end>2</end>
      <status>unmodified</status>
      <modifiedWord/>
      <trackRevisions>false</trackRevisions>
    </reviewItem>
    <reviewItem>
      <errorID>23099ba2-3173-4b3e-a8f8-386abb3114b6</errorID>
      <errorWord>其它</errorWord>
      <group>L1_Word</group>
      <groupName>字词问题</groupName>
      <ability>L2_Alias</ability>
      <abilityName>也作/曾用词</abilityName>
      <candidateList>
        <item>其他</item>
      </candidateList>
      <explain>词汇[其它]为不规范表述或旧称，其规范书面表述为[其他]。</explain>
      <paraID>6FF9BEE6</paraID>
      <start>2</start>
      <end>4</end>
      <status>unmodified</status>
      <modifiedWord/>
      <trackRevisions>false</trackRevisions>
    </reviewItem>
    <reviewItem>
      <errorID>01fedb2f-128d-41c8-98b4-71adcd933f05</errorID>
      <errorWord>个</errorWord>
      <group>L1_Knowledge</group>
      <groupName>知识性问题</groupName>
      <ability>L2_Knowledge</ability>
      <abilityName>其他知识</abilityName>
      <candidateList>
        <item>间</item>
      </candidateList>
      <explain>请检查“个”是否为量词使用错误，建议修改为“间”。</explain>
      <paraID>2E04624D</paraID>
      <start>27</start>
      <end>28</end>
      <status>unmodified</status>
      <modifiedWord/>
      <trackRevisions>false</trackRevisions>
    </reviewItem>
    <reviewItem>
      <errorID>06f5f0bb-e7cf-4856-bf17-760bab6afa50</errorID>
      <errorWord>两地控制</errorWord>
      <group>L1_Knowledge</group>
      <groupName>知识性问题</groupName>
      <ability>L2_Term</ability>
      <abilityName>专业术语</abilityName>
      <candidateList>
        <item>就地控制</item>
      </candidateList>
      <explain/>
      <paraID>5BA5EDF5</paraID>
      <start>49</start>
      <end>53</end>
      <status>unmodified</status>
      <modifiedWord/>
      <trackRevisions>false</trackRevisions>
    </reviewItem>
    <reviewItem>
      <errorID>d0a383d5-3952-44d6-98ba-0fe08f900f64</errorID>
      <errorWord>(</errorWord>
      <group>L1_Format</group>
      <groupName>格式问题</groupName>
      <ability>L2_HalfPunc</ability>
      <abilityName>全半角检查</abilityName>
      <candidateList>
        <item>（</item>
      </candidateList>
      <explain>文本全半角错误。</explain>
      <paraID>3F1590EF</paraID>
      <start>10</start>
      <end>11</end>
      <status>unmodified</status>
      <modifiedWord/>
      <trackRevisions>false</trackRevisions>
    </reviewItem>
    <reviewItem>
      <errorID>038bb320-d7f7-4aef-ae20-13ca9be56fc5</errorID>
      <errorWord>)</errorWord>
      <group>L1_Format</group>
      <groupName>格式问题</groupName>
      <ability>L2_HalfPunc</ability>
      <abilityName>全半角检查</abilityName>
      <candidateList>
        <item>）</item>
      </candidateList>
      <explain>文本全半角错误。</explain>
      <paraID>3F1590EF</paraID>
      <start>14</start>
      <end>15</end>
      <status>unmodified</status>
      <modifiedWord/>
      <trackRevisions>false</trackRevisions>
    </reviewItem>
    <reviewItem>
      <errorID>394656ac-111f-4ea3-ab4a-ac57f5b1382b</errorID>
      <errorWord>(</errorWord>
      <group>L1_Format</group>
      <groupName>格式问题</groupName>
      <ability>L2_HalfPunc</ability>
      <abilityName>全半角检查</abilityName>
      <candidateList>
        <item>（</item>
      </candidateList>
      <explain>文本全半角错误。</explain>
      <paraID>29645263</paraID>
      <start>9</start>
      <end>10</end>
      <status>unmodified</status>
      <modifiedWord/>
      <trackRevisions>false</trackRevisions>
    </reviewItem>
    <reviewItem>
      <errorID>2d36dfb4-e159-4765-ad52-54570d27d213</errorID>
      <errorWord>)</errorWord>
      <group>L1_Format</group>
      <groupName>格式问题</groupName>
      <ability>L2_HalfPunc</ability>
      <abilityName>全半角检查</abilityName>
      <candidateList>
        <item>）</item>
      </candidateList>
      <explain>文本全半角错误。</explain>
      <paraID>29645263</paraID>
      <start>12</start>
      <end>13</end>
      <status>unmodified</status>
      <modifiedWord/>
      <trackRevisions>false</trackRevisions>
    </reviewItem>
    <reviewItem>
      <errorID>117fa821-1ab6-43df-8d5a-cc75287e7d0e</errorID>
      <errorWord>符</errorWord>
      <group>L1_Word</group>
      <groupName>字词问题</groupName>
      <ability>L2_Typo</ability>
      <abilityName>字词错误</abilityName>
      <candidateList>
        <item>符合</item>
      </candidateList>
      <explain>〈动〉（数量、形状、情节等）相合：～事实｜这些产品不～质量标准。</explain>
      <paraID>3C70D1FF</paraID>
      <start>9</start>
      <end>10</end>
      <status>unmodified</status>
      <modifiedWord/>
      <trackRevisions>false</trackRevisions>
    </reviewItem>
    <reviewItem>
      <errorID>b2137ce6-512c-4f50-8ef2-14e6ab199407</errorID>
      <errorWord>(</errorWord>
      <group>L1_Punc</group>
      <groupName>标点问题</groupName>
      <ability>L2_Punc</ability>
      <abilityName>标点符号检查</abilityName>
      <candidateList/>
      <explain/>
      <paraID>7AB76C24</paraID>
      <start>38</start>
      <end>39</end>
      <status>unmodified</status>
      <modifiedWord/>
      <trackRevisions>false</trackRevisions>
    </reviewItem>
    <reviewItem>
      <errorID>c654ef59-3263-4c76-aa30-8b15b2c773d5</errorID>
      <errorWord>其它</errorWord>
      <group>L1_Word</group>
      <groupName>字词问题</groupName>
      <ability>L2_Alias</ability>
      <abilityName>也作/曾用词</abilityName>
      <candidateList>
        <item>其他</item>
      </candidateList>
      <explain>词汇[其它]为不规范表述或旧称，其规范书面表述为[其他]。</explain>
      <paraID>42C26380</paraID>
      <start>65</start>
      <end>67</end>
      <status>unmodified</status>
      <modifiedWord/>
      <trackRevisions>false</trackRevisions>
    </reviewItem>
    <reviewItem>
      <errorID>085f0fd8-5f08-4ec7-87b3-8ee09dc3dc71</errorID>
      <errorWord>(</errorWord>
      <group>L1_Format</group>
      <groupName>格式问题</groupName>
      <ability>L2_HalfPunc</ability>
      <abilityName>全半角检查</abilityName>
      <candidateList>
        <item>（</item>
      </candidateList>
      <explain>文本全半角错误。</explain>
      <paraID>366FEC62</paraID>
      <start>33</start>
      <end>34</end>
      <status>unmodified</status>
      <modifiedWord/>
      <trackRevisions>false</trackRevisions>
    </reviewItem>
    <reviewItem>
      <errorID>f1523ed8-2352-49ad-b8c1-56e1e010fbdc</errorID>
      <errorWord>(</errorWord>
      <group>L1_Format</group>
      <groupName>格式问题</groupName>
      <ability>L2_HalfPunc</ability>
      <abilityName>全半角检查</abilityName>
      <candidateList>
        <item>（</item>
      </candidateList>
      <explain>文本全半角错误。</explain>
      <paraID>366FEC62</paraID>
      <start>51</start>
      <end>52</end>
      <status>unmodified</status>
      <modifiedWord/>
      <trackRevisions>false</trackRevisions>
    </reviewItem>
    <reviewItem>
      <errorID>e2a76635-bfa9-4a55-b230-6875673e3d2a</errorID>
      <errorWord>当此</errorWord>
      <group>L1_Word</group>
      <groupName>字词问题</groupName>
      <ability>L2_Typo</ability>
      <abilityName>字词错误</abilityName>
      <candidateList>
        <item>当</item>
      </candidateList>
      <explain/>
      <paraID>7C999CD7</paraID>
      <start>31</start>
      <end>33</end>
      <status>unmodified</status>
      <modifiedWord/>
      <trackRevisions>false</trackRevisions>
    </reviewItem>
    <reviewItem>
      <errorID>ea5b4a14-924b-437d-a643-82dc71982158</errorID>
      <errorWord>综合防灾</errorWord>
      <group>L1_Knowledge</group>
      <groupName>知识性问题</groupName>
      <ability>L2_Term</ability>
      <abilityName>专业术语</abilityName>
      <candidateList>
        <item>综合防治</item>
      </candidateList>
      <explain/>
      <paraID> 9F06446</paraID>
      <start>5</start>
      <end>9</end>
      <status>unmodified</status>
      <modifiedWord/>
      <trackRevisions>false</trackRevisions>
    </reviewItem>
    <reviewItem>
      <errorID>d54f1331-bfdd-4991-9b09-c90c8ed256de</errorID>
      <errorWord>设置</errorWord>
      <group>L1_Word</group>
      <groupName>字词问题</groupName>
      <ability>L2_Typo</ability>
      <abilityName>字词错误</abilityName>
      <candidateList>
        <item>设施</item>
      </candidateList>
      <explain/>
      <paraID> 9F06446</paraID>
      <start>14</start>
      <end>16</end>
      <status>unmodified</status>
      <modifiedWord/>
      <trackRevisions>false</trackRevisions>
    </reviewItem>
    <reviewItem>
      <errorID>a3584b11-560e-46a4-9f42-d584c5651f29</errorID>
      <errorWord>-</errorWord>
      <group>L1_Format</group>
      <groupName>格式问题</groupName>
      <ability>L2_HalfPunc</ability>
      <abilityName>全半角检查</abilityName>
      <candidateList>
        <item>－</item>
      </candidateList>
      <explain>文本全半角错误。</explain>
      <paraID>4E47F085</paraID>
      <start>4</start>
      <end>5</end>
      <status>unmodified</status>
      <modifiedWord/>
      <trackRevisions>false</trackRevisions>
    </reviewItem>
    <reviewItem>
      <errorID>c6730773-1260-4999-9a7f-cfd9d835df9f</errorID>
      <errorWord>(</errorWord>
      <group>L1_Format</group>
      <groupName>格式问题</groupName>
      <ability>L2_HalfPunc</ability>
      <abilityName>全半角检查</abilityName>
      <candidateList>
        <item>（</item>
      </candidateList>
      <explain>文本全半角错误。</explain>
      <paraID>74C13DBC</paraID>
      <start>2</start>
      <end>3</end>
      <status>unmodified</status>
      <modifiedWord/>
      <trackRevisions>false</trackRevisions>
    </reviewItem>
    <reviewItem>
      <errorID>def6fdab-8d10-4b23-98a9-eb85b4cda22e</errorID>
      <errorWord>(</errorWord>
      <group>L1_Format</group>
      <groupName>格式问题</groupName>
      <ability>L2_HalfPunc</ability>
      <abilityName>全半角检查</abilityName>
      <candidateList>
        <item>（</item>
      </candidateList>
      <explain>文本全半角错误。</explain>
      <paraID>346A3FC5</paraID>
      <start>2</start>
      <end>3</end>
      <status>unmodified</status>
      <modifiedWord/>
      <trackRevisions>false</trackRevisions>
    </reviewItem>
    <reviewItem>
      <errorID>b7aaddcf-70e1-42b9-bed7-0206b314cdc3</errorID>
      <errorWord>(</errorWord>
      <group>L1_Format</group>
      <groupName>格式问题</groupName>
      <ability>L2_HalfPunc</ability>
      <abilityName>全半角检查</abilityName>
      <candidateList>
        <item>（</item>
      </candidateList>
      <explain>文本全半角错误。</explain>
      <paraID>6B1D46C0</paraID>
      <start>2</start>
      <end>3</end>
      <status>unmodified</status>
      <modifiedWord/>
      <trackRevisions>false</trackRevisions>
    </reviewItem>
    <reviewItem>
      <errorID>4570a4d3-c8d2-40b5-8e5f-c6a95e6babc0</errorID>
      <errorWord>(</errorWord>
      <group>L1_Format</group>
      <groupName>格式问题</groupName>
      <ability>L2_HalfPunc</ability>
      <abilityName>全半角检查</abilityName>
      <candidateList>
        <item>（</item>
      </candidateList>
      <explain>文本全半角错误。</explain>
      <paraID>7FA06826</paraID>
      <start>2</start>
      <end>3</end>
      <status>unmodified</status>
      <modifiedWord/>
      <trackRevisions>false</trackRevisions>
    </reviewItem>
    <reviewItem>
      <errorID>99582c17-7653-465b-a06a-b749446a7c27</errorID>
      <errorWord>(</errorWord>
      <group>L1_Format</group>
      <groupName>格式问题</groupName>
      <ability>L2_HalfPunc</ability>
      <abilityName>全半角检查</abilityName>
      <candidateList>
        <item>（</item>
      </candidateList>
      <explain>文本全半角错误。</explain>
      <paraID>47C87B6E</paraID>
      <start>2</start>
      <end>3</end>
      <status>unmodified</status>
      <modifiedWord/>
      <trackRevisions>false</trackRevisions>
    </reviewItem>
    <reviewItem>
      <errorID>49c2aed4-1c1c-4b97-a493-c346f5665f1a</errorID>
      <errorWord>(</errorWord>
      <group>L1_Format</group>
      <groupName>格式问题</groupName>
      <ability>L2_HalfPunc</ability>
      <abilityName>全半角检查</abilityName>
      <candidateList>
        <item>（</item>
      </candidateList>
      <explain>文本全半角错误。</explain>
      <paraID>71340E17</paraID>
      <start>2</start>
      <end>3</end>
      <status>unmodified</status>
      <modifiedWord/>
      <trackRevisions>false</trackRevisions>
    </reviewItem>
    <reviewItem>
      <errorID>276633e5-680f-4ef1-a324-efb983dea8c9</errorID>
      <errorWord>-</errorWord>
      <group>L1_Format</group>
      <groupName>格式问题</groupName>
      <ability>L2_HalfPunc</ability>
      <abilityName>全半角检查</abilityName>
      <candidateList>
        <item>－</item>
      </candidateList>
      <explain>文本全半角错误。</explain>
      <paraID> 6EA225D</paraID>
      <start>4</start>
      <end>5</end>
      <status>unmodified</status>
      <modifiedWord/>
      <trackRevisions>false</trackRevisions>
    </reviewItem>
    <reviewItem>
      <errorID>e38403f6-d3dc-4926-9272-f4db04b9efad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19E01820</paraID>
      <start>0</start>
      <end>2</end>
      <status>unmodified</status>
      <modifiedWord/>
      <trackRevisions>false</trackRevisions>
    </reviewItem>
    <reviewItem>
      <errorID>1a9c7de0-a8fd-4b81-ab34-0f90ce468cb0</errorID>
      <errorWord>当此</errorWord>
      <group>L1_Word</group>
      <groupName>字词问题</groupName>
      <ability>L2_Typo</ability>
      <abilityName>字词错误</abilityName>
      <candidateList>
        <item>当</item>
      </candidateList>
      <explain/>
      <paraID>3DCDCDEE</paraID>
      <start>17</start>
      <end>19</end>
      <status>unmodified</status>
      <modifiedWord/>
      <trackRevisions>false</trackRevisions>
    </reviewItem>
    <reviewItem>
      <errorID>c20f666c-0afa-47e0-8d06-d412e5a8fcaa</errorID>
      <errorWord>须</errorWord>
      <group>L1_Word</group>
      <groupName>字词问题</groupName>
      <ability>L2_Typo</ability>
      <abilityName>字词错误</abilityName>
      <candidateList>
        <item>需</item>
      </candidateList>
      <explain>存在发音相同字词的误用。</explain>
      <paraID>16AA2264</paraID>
      <start>58</start>
      <end>59</end>
      <status>unmodified</status>
      <modifiedWord/>
      <trackRevisions>false</trackRevisions>
    </reviewItem>
    <reviewItem>
      <errorID>2c059c70-0bf4-4eee-b571-c30b735bc10a</errorID>
      <errorWord>,</errorWord>
      <group>L1_Format</group>
      <groupName>格式问题</groupName>
      <ability>L2_HalfPunc</ability>
      <abilityName>全半角检查</abilityName>
      <candidateList>
        <item>，</item>
      </candidateList>
      <explain>文本全半角错误。</explain>
      <paraID>53E3AF05</paraID>
      <start>30</start>
      <end>31</end>
      <status>unmodified</status>
      <modifiedWord/>
      <trackRevisions>false</trackRevisions>
    </reviewItem>
    <reviewItem>
      <errorID>6ceae50f-8106-4d00-a775-621a6695a2cc</errorID>
      <errorWord>须</errorWord>
      <group>L1_Word</group>
      <groupName>字词问题</groupName>
      <ability>L2_Typo</ability>
      <abilityName>字词错误</abilityName>
      <candidateList>
        <item>需</item>
      </candidateList>
      <explain>存在发音相同字词的误用。</explain>
      <paraID>3BE12CF3</paraID>
      <start>51</start>
      <end>52</end>
      <status>unmodified</status>
      <modifiedWord/>
      <trackRevisions>false</trackRevisions>
    </reviewItem>
    <reviewItem>
      <errorID>0e81fc20-9801-45e3-968d-4d8163a27906</errorID>
      <errorWord>)</errorWord>
      <group>L1_Format</group>
      <groupName>格式问题</groupName>
      <ability>L2_HalfPunc</ability>
      <abilityName>全半角检查</abilityName>
      <candidateList>
        <item>）</item>
      </candidateList>
      <explain>文本全半角错误。</explain>
      <paraID>60201E89</paraID>
      <start>145</start>
      <end>146</end>
      <status>unmodified</status>
      <modifiedWord/>
      <trackRevisions>false</trackRevisions>
    </reviewItem>
    <reviewItem>
      <errorID>7c1738ed-a83f-4340-88e6-17ce38094f69</errorID>
      <errorWord>提资</errorWord>
      <group>L1_Word</group>
      <groupName>字词问题</groupName>
      <ability>L2_Typo</ability>
      <abilityName>字词错误</abilityName>
      <candidateList>
        <item>提供</item>
      </candidateList>
      <explain/>
      <paraID>7F6C1649</paraID>
      <start>15</start>
      <end>17</end>
      <status>unmodified</status>
      <modifiedWord/>
      <trackRevisions>false</trackRevisions>
    </reviewItem>
    <reviewItem>
      <errorID>404532e0-ce44-43fd-a656-360bc45004c0</errorID>
      <errorWord>其它</errorWord>
      <group>L1_Word</group>
      <groupName>字词问题</groupName>
      <ability>L2_Alias</ability>
      <abilityName>也作/曾用词</abilityName>
      <candidateList>
        <item>其他</item>
      </candidateList>
      <explain>词汇[其它]为不规范表述或旧称，其规范书面表述为[其他]。</explain>
      <paraID>5B6907EE</paraID>
      <start>2</start>
      <end>4</end>
      <status>unmodified</status>
      <modifiedWord/>
      <trackRevisions>false</trackRevisions>
    </reviewItem>
    <reviewItem>
      <errorID>958d0987-5d12-47a3-8589-03dda214806a</errorID>
      <errorWord>低压配电屏</errorWord>
      <group>L1_Knowledge</group>
      <groupName>知识性问题</groupName>
      <ability>L2_Term</ability>
      <abilityName>专业术语</abilityName>
      <candidateList>
        <item>低压配电室</item>
      </candidateList>
      <explain/>
      <paraID>7B49F2F6</paraID>
      <start>41</start>
      <end>46</end>
      <status>unmodified</status>
      <modifiedWord/>
      <trackRevisions>false</trackRevisions>
    </reviewItem>
    <reviewItem>
      <errorID>018b1110-74c4-4535-8e36-91e36e3fda4a</errorID>
      <errorWord>热力管道</errorWord>
      <group>L1_Knowledge</group>
      <groupName>知识性问题</groupName>
      <ability>L2_Term</ability>
      <abilityName>专业术语</abilityName>
      <candidateList>
        <item>压力管道</item>
      </candidateList>
      <explain/>
      <paraID>1EEF89D4</paraID>
      <start>44</start>
      <end>48</end>
      <status>unmodified</status>
      <modifiedWord/>
      <trackRevisions>false</trackRevisions>
    </reviewItem>
    <reviewItem>
      <errorID>61b26717-dfe7-4214-a564-a467553a8900</errorID>
      <errorWord>联通</errorWord>
      <group>L1_Word</group>
      <groupName>字词问题</groupName>
      <ability>L2_Typo</ability>
      <abilityName>字词错误</abilityName>
      <candidateList>
        <item>连通</item>
      </candidateList>
      <explain>存在发音相同字词的误用。</explain>
      <paraID>65113E4E</paraID>
      <start>36</start>
      <end>38</end>
      <status>unmodified</status>
      <modifiedWord/>
      <trackRevisions>false</trackRevisions>
    </reviewItem>
    <reviewItem>
      <errorID>1c1d499b-2048-4ccd-b10f-cf9eca4d867b</errorID>
      <errorWord>其它</errorWord>
      <group>L1_Word</group>
      <groupName>字词问题</groupName>
      <ability>L2_Alias</ability>
      <abilityName>也作/曾用词</abilityName>
      <candidateList>
        <item>其他</item>
      </candidateList>
      <explain>词汇[其它]为不规范表述或旧称，其规范书面表述为[其他]。</explain>
      <paraID>3C9AD813</paraID>
      <start>2</start>
      <end>4</end>
      <status>unmodified</status>
      <modifiedWord/>
      <trackRevisions>false</trackRevisions>
    </reviewItem>
    <reviewItem>
      <errorID>91c81791-31d5-45c3-92f5-d5b2bbeb1f97</errorID>
      <errorWord>室内、外</errorWord>
      <group>L1_Punc</group>
      <groupName>标点问题</groupName>
      <ability>L2_Punc</ability>
      <abilityName>标点符号检查</abilityName>
      <candidateList>
        <item>室内外</item>
      </candidateList>
      <explain/>
      <paraID>6AB15781</paraID>
      <start>43</start>
      <end>47</end>
      <status>unmodified</status>
      <modifiedWord/>
      <trackRevisions>false</trackRevisions>
    </reviewItem>
    <reviewItem>
      <errorID>48e33d54-dc65-4842-b30c-d427d5459971</errorID>
      <errorWord>联结</errorWord>
      <group>L1_Word</group>
      <groupName>字词问题</groupName>
      <ability>L2_Typo</ability>
      <abilityName>字词错误</abilityName>
      <candidateList>
        <item>连接</item>
      </candidateList>
      <explain>（联接）liánjiē〈动〉❶（事物）互相衔接：山岭～。❷使连接：～线路。</explain>
      <paraID> 4FBF082</paraID>
      <start>25</start>
      <end>27</end>
      <status>unmodified</status>
      <modifiedWord/>
      <trackRevisions>false</trackRevisions>
    </reviewItem>
    <reviewItem>
      <errorID>700a1964-735b-480a-ba05-e1d5f694196f</errorID>
      <errorWord>(</errorWord>
      <group>L1_Format</group>
      <groupName>格式问题</groupName>
      <ability>L2_HalfPunc</ability>
      <abilityName>全半角检查</abilityName>
      <candidateList>
        <item>（</item>
      </candidateList>
      <explain>文本全半角错误。</explain>
      <paraID>6B479ED6</paraID>
      <start>31</start>
      <end>32</end>
      <status>unmodified</status>
      <modifiedWord/>
      <trackRevisions>false</trackRevisions>
    </reviewItem>
    <reviewItem>
      <errorID>ea75f301-991a-47f5-8bac-3d1a2b2a2bd2</errorID>
      <errorWord>)</errorWord>
      <group>L1_Format</group>
      <groupName>格式问题</groupName>
      <ability>L2_HalfPunc</ability>
      <abilityName>全半角检查</abilityName>
      <candidateList>
        <item>）</item>
      </candidateList>
      <explain>文本全半角错误。</explain>
      <paraID>6B479ED6</paraID>
      <start>36</start>
      <end>37</end>
      <status>unmodified</status>
      <modifiedWord/>
      <trackRevisions>false</trackRevisions>
    </reviewItem>
    <reviewItem>
      <errorID>5e2edee8-97c4-4d15-96bf-f5c1d308c933</errorID>
      <errorWord>(</errorWord>
      <group>L1_Format</group>
      <groupName>格式问题</groupName>
      <ability>L2_HalfPunc</ability>
      <abilityName>全半角检查</abilityName>
      <candidateList>
        <item>（</item>
      </candidateList>
      <explain>文本全半角错误。</explain>
      <paraID>1DA18206</paraID>
      <start>54</start>
      <end>55</end>
      <status>unmodified</status>
      <modifiedWord/>
      <trackRevisions>false</trackRevisions>
    </reviewItem>
    <reviewItem>
      <errorID>63206c19-b143-4f7c-bbf9-1abcd2c35541</errorID>
      <errorWord>)</errorWord>
      <group>L1_Format</group>
      <groupName>格式问题</groupName>
      <ability>L2_HalfPunc</ability>
      <abilityName>全半角检查</abilityName>
      <candidateList>
        <item>）</item>
      </candidateList>
      <explain>文本全半角错误。</explain>
      <paraID>1DA18206</paraID>
      <start>59</start>
      <end>60</end>
      <status>unmodified</status>
      <modifiedWord/>
      <trackRevisions>false</trackRevisions>
    </reviewItem>
    <reviewItem>
      <errorID>c7023a02-9c99-4322-8a73-eda84ca89dfd</errorID>
      <errorWord>行业标淮</errorWord>
      <group>L1_Word</group>
      <groupName>字词问题</groupName>
      <ability>L2_Typo</ability>
      <abilityName>字词错误</abilityName>
      <candidateList>
        <item>行业标准</item>
      </candidateList>
      <explain/>
      <paraID>2D93AF63</paraID>
      <start>78</start>
      <end>82</end>
      <status>unmodified</status>
      <modifiedWord/>
      <trackRevisions>false</trackRevisions>
    </reviewItem>
    <reviewItem>
      <errorID>83749d44-0bb0-4aef-9311-af0e840d1ba4</errorID>
      <errorWord>(</errorWord>
      <group>L1_Format</group>
      <groupName>格式问题</groupName>
      <ability>L2_HalfPunc</ability>
      <abilityName>全半角检查</abilityName>
      <candidateList>
        <item>（</item>
      </candidateList>
      <explain>文本全半角错误。</explain>
      <paraID>39009A5A</paraID>
      <start>54</start>
      <end>55</end>
      <status>unmodified</status>
      <modifiedWord/>
      <trackRevisions>false</trackRevisions>
    </reviewItem>
    <reviewItem>
      <errorID>6106a021-277d-4e55-a7f5-7cde1d61fd15</errorID>
      <errorWord>)</errorWord>
      <group>L1_Format</group>
      <groupName>格式问题</groupName>
      <ability>L2_HalfPunc</ability>
      <abilityName>全半角检查</abilityName>
      <candidateList>
        <item>）</item>
      </candidateList>
      <explain>文本全半角错误。</explain>
      <paraID>39009A5A</paraID>
      <start>59</start>
      <end>60</end>
      <status>unmodified</status>
      <modifiedWord/>
      <trackRevisions>false</trackRevisions>
    </reviewItem>
    <reviewItem>
      <errorID>58209f98-7fbd-4edf-a0d6-bb69db6c9224</errorID>
      <errorWord>支承</errorWord>
      <group>L1_Word</group>
      <groupName>字词问题</groupName>
      <ability>L2_Typo</ability>
      <abilityName>字词错误</abilityName>
      <candidateList>
        <item>支撑</item>
      </candidateList>
      <explain>〈动〉❶抵抗住压力使东西不倒塌：坑道里用柱子～着。❷勉强维持：他～着坐起来，头还在发晕｜一家的生活由他一人～。</explain>
      <paraID>64AA247C</paraID>
      <start>15</start>
      <end>17</end>
      <status>unmodified</status>
      <modifiedWord/>
      <trackRevisions>false</trackRevisions>
    </reviewItem>
    <reviewItem>
      <errorID>c29d4cb8-dce1-4aab-8b44-5fb2a98cbf10</errorID>
      <errorWord>~</errorWord>
      <group>L1_Format</group>
      <groupName>格式问题</groupName>
      <ability>L2_HalfPunc</ability>
      <abilityName>全半角检查</abilityName>
      <candidateList>
        <item>～</item>
      </candidateList>
      <explain>文本全半角错误。</explain>
      <paraID>272595F1</paraID>
      <start>184</start>
      <end>185</end>
      <status>unmodified</status>
      <modifiedWord/>
      <trackRevisions>false</trackRevisions>
    </reviewItem>
    <reviewItem>
      <errorID>9c199e32-2f06-4ad3-b20c-6ca3c2ee38a7</errorID>
      <errorWord>:</errorWord>
      <group>L1_Format</group>
      <groupName>格式问题</groupName>
      <ability>L2_HalfPunc</ability>
      <abilityName>全半角检查</abilityName>
      <candidateList>
        <item>：</item>
      </candidateList>
      <explain>文本全半角错误。</explain>
      <paraID>57B1E5E7</paraID>
      <start>11</start>
      <end>12</end>
      <status>unmodified</status>
      <modifiedWord/>
      <trackRevisions>false</trackRevisions>
    </reviewItem>
    <reviewItem>
      <errorID>bc6c4c9d-0621-4cf4-8628-9cc46e4b1a01</errorID>
      <errorWord>详</errorWord>
      <group>L1_Word</group>
      <groupName>字词问题</groupName>
      <ability>L2_Typo</ability>
      <abilityName>字词错误</abilityName>
      <candidateList>
        <item>详见</item>
      </candidateList>
      <explain/>
      <paraID>1432AD52</paraID>
      <start>119</start>
      <end>120</end>
      <status>unmodified</status>
      <modifiedWord/>
      <trackRevisions>false</trackRevisions>
    </reviewItem>
    <reviewItem>
      <errorID>94c94213-9437-4564-a0a8-2d8d0067836f</errorID>
      <errorWord>(</errorWord>
      <group>L1_Format</group>
      <groupName>格式问题</groupName>
      <ability>L2_HalfPunc</ability>
      <abilityName>全半角检查</abilityName>
      <candidateList>
        <item>（</item>
      </candidateList>
      <explain>文本全半角错误。</explain>
      <paraID> B8AB7AD</paraID>
      <start>12</start>
      <end>13</end>
      <status>unmodified</status>
      <modifiedWord/>
      <trackRevisions>false</trackRevisions>
    </reviewItem>
    <reviewItem>
      <errorID>60d9fc88-a33d-4de6-b9df-aab4facc01c0</errorID>
      <errorWord>)</errorWord>
      <group>L1_Format</group>
      <groupName>格式问题</groupName>
      <ability>L2_HalfPunc</ability>
      <abilityName>全半角检查</abilityName>
      <candidateList>
        <item>）</item>
      </candidateList>
      <explain>文本全半角错误。</explain>
      <paraID> B8AB7AD</paraID>
      <start>14</start>
      <end>15</end>
      <status>unmodified</status>
      <modifiedWord/>
      <trackRevisions>false</trackRevisions>
    </reviewItem>
    <reviewItem>
      <errorID>9b54b599-edeb-4f85-b3ec-8095d6f12ec4</errorID>
      <errorWord>宜设</errorWord>
      <group>L1_Word</group>
      <groupName>字词问题</groupName>
      <ability>L2_Typo</ability>
      <abilityName>字词错误</abilityName>
      <candidateList>
        <item>建设</item>
      </candidateList>
      <explain>〈动〉创立新事业；增加新设施：经济～｜～家园｜～现代化强国◇组织～｜思想～。</explain>
      <paraID>7E6A4D07</paraID>
      <start>1</start>
      <end>3</end>
      <status>unmodified</status>
      <modifiedWord/>
      <trackRevisions>false</trackRevisions>
    </reviewItem>
    <reviewItem>
      <errorID>b5b4dd90-cb29-4f40-b271-31d5d3fa6f19</errorID>
      <errorWord>(</errorWord>
      <group>L1_Format</group>
      <groupName>格式问题</groupName>
      <ability>L2_HalfPunc</ability>
      <abilityName>全半角检查</abilityName>
      <candidateList>
        <item>（</item>
      </candidateList>
      <explain>文本全半角错误。</explain>
      <paraID>3A039D89</paraID>
      <start>12</start>
      <end>13</end>
      <status>unmodified</status>
      <modifiedWord/>
      <trackRevisions>false</trackRevisions>
    </reviewItem>
    <reviewItem>
      <errorID>57ab9d1d-36d0-4b7b-a9ff-c63de07f2955</errorID>
      <errorWord>)</errorWord>
      <group>L1_Format</group>
      <groupName>格式问题</groupName>
      <ability>L2_HalfPunc</ability>
      <abilityName>全半角检查</abilityName>
      <candidateList>
        <item>）</item>
      </candidateList>
      <explain>文本全半角错误。</explain>
      <paraID>3A039D89</paraID>
      <start>14</start>
      <end>15</end>
      <status>unmodified</status>
      <modifiedWord/>
      <trackRevisions>false</trackRevisions>
    </reviewItem>
    <reviewItem>
      <errorID>6f9d386d-588a-4446-81fe-04a093ca6510</errorID>
      <errorWord>(</errorWord>
      <group>L1_Format</group>
      <groupName>格式问题</groupName>
      <ability>L2_HalfPunc</ability>
      <abilityName>全半角检查</abilityName>
      <candidateList>
        <item>（</item>
      </candidateList>
      <explain>文本全半角错误。</explain>
      <paraID>242E92DF</paraID>
      <start>7</start>
      <end>8</end>
      <status>unmodified</status>
      <modifiedWord/>
      <trackRevisions>false</trackRevisions>
    </reviewItem>
    <reviewItem>
      <errorID>cd11dae2-fa41-4564-b36b-1eed794a6767</errorID>
      <errorWord>)</errorWord>
      <group>L1_Format</group>
      <groupName>格式问题</groupName>
      <ability>L2_HalfPunc</ability>
      <abilityName>全半角检查</abilityName>
      <candidateList>
        <item>）</item>
      </candidateList>
      <explain>文本全半角错误。</explain>
      <paraID>242E92DF</paraID>
      <start>13</start>
      <end>14</end>
      <status>unmodified</status>
      <modifiedWord/>
      <trackRevisions>false</trackRevisions>
    </reviewItem>
    <reviewItem>
      <errorID>fd1da4d2-bc61-4372-87c4-8aee8d4899b1</errorID>
      <errorWord>:</errorWord>
      <group>L1_Format</group>
      <groupName>格式问题</groupName>
      <ability>L2_HalfPunc</ability>
      <abilityName>全半角检查</abilityName>
      <candidateList>
        <item>：</item>
      </candidateList>
      <explain>文本全半角错误。</explain>
      <paraID>7ADFAD41</paraID>
      <start>11</start>
      <end>12</end>
      <status>unmodified</status>
      <modifiedWord/>
      <trackRevisions>false</trackRevisions>
    </reviewItem>
    <reviewItem>
      <errorID>f58c4d78-5a51-4ffc-8623-941d70320603</errorID>
      <errorWord>消防控制宜</errorWord>
      <group>L1_Knowledge</group>
      <groupName>知识性问题</groupName>
      <ability>L2_Term</ability>
      <abilityName>专业术语</abilityName>
      <candidateList>
        <item>消防控制室</item>
      </candidateList>
      <explain/>
      <paraID>13B342C0</paraID>
      <start>3</start>
      <end>8</end>
      <status>unmodified</status>
      <modifiedWord/>
      <trackRevisions>false</trackRevisions>
    </reviewItem>
    <reviewItem>
      <errorID>9cdcf60c-c7e7-42a8-887b-28dcb7e374e1</errorID>
      <errorWord>,</errorWord>
      <group>L1_Format</group>
      <groupName>格式问题</groupName>
      <ability>L2_HalfPunc</ability>
      <abilityName>全半角检查</abilityName>
      <candidateList>
        <item>，</item>
      </candidateList>
      <explain>文本全半角错误。</explain>
      <paraID>4765B36D</paraID>
      <start>24</start>
      <end>25</end>
      <status>unmodified</status>
      <modifiedWord/>
      <trackRevisions>false</trackRevisions>
    </reviewItem>
    <reviewItem>
      <errorID>be5b05eb-8eac-4682-95b7-2a7fd1a4ecf8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4765B36D</paraID>
      <start>68</start>
      <end>69</end>
      <status>unmodified</status>
      <modifiedWord/>
      <trackRevisions>false</trackRevisions>
    </reviewItem>
    <reviewItem>
      <errorID>a36a294d-20a0-43fd-b469-9aa61a942143</errorID>
      <errorWord>具备三</errorWord>
      <group>L1_Word</group>
      <groupName>字词问题</groupName>
      <ability>L2_Typo</ability>
      <abilityName>字词错误</abilityName>
      <candidateList>
        <item>具备</item>
      </candidateList>
      <explain/>
      <paraID>788D310F</paraID>
      <start>37</start>
      <end>40</end>
      <status>unmodified</status>
      <modifiedWord/>
      <trackRevisions>false</trackRevisions>
    </reviewItem>
    <reviewItem>
      <errorID>bd33e7ff-f800-4d7c-9863-7f58ffd90ea1</errorID>
      <errorWord>(</errorWord>
      <group>L1_Format</group>
      <groupName>格式问题</groupName>
      <ability>L2_HalfPunc</ability>
      <abilityName>全半角检查</abilityName>
      <candidateList>
        <item>（</item>
      </candidateList>
      <explain>文本全半角错误。</explain>
      <paraID>1C245ADF</paraID>
      <start>4</start>
      <end>5</end>
      <status>unmodified</status>
      <modifiedWord/>
      <trackRevisions>false</trackRevisions>
    </reviewItem>
    <reviewItem>
      <errorID>2973057e-02b7-47e2-af5f-9e6e5cabcb3c</errorID>
      <errorWord>(</errorWord>
      <group>L1_Format</group>
      <groupName>格式问题</groupName>
      <ability>L2_HalfPunc</ability>
      <abilityName>全半角检查</abilityName>
      <candidateList>
        <item>（</item>
      </candidateList>
      <explain>文本全半角错误。</explain>
      <paraID>6150B2B0</paraID>
      <start>4</start>
      <end>5</end>
      <status>unmodified</status>
      <modifiedWord/>
      <trackRevisions>false</trackRevisions>
    </reviewItem>
    <reviewItem>
      <errorID>317c4b01-88b6-4d18-be75-ebca082c5dc1</errorID>
      <errorWord>’</errorWord>
      <group>L1_Punc</group>
      <groupName>标点问题</groupName>
      <ability>L2_Punc</ability>
      <abilityName>标点符号检查</abilityName>
      <candidateList/>
      <explain/>
      <paraID>6150B2B0</paraID>
      <start>8</start>
      <end>9</end>
      <status>unmodified</status>
      <modifiedWord/>
      <trackRevisions>false</trackRevisions>
    </reviewItem>
    <reviewItem>
      <errorID>f6379986-878b-4470-9581-f87828a74f57</errorID>
      <errorWord>(</errorWord>
      <group>L1_Format</group>
      <groupName>格式问题</groupName>
      <ability>L2_HalfPunc</ability>
      <abilityName>全半角检查</abilityName>
      <candidateList>
        <item>（</item>
      </candidateList>
      <explain>文本全半角错误。</explain>
      <paraID>183B11B6</paraID>
      <start>4</start>
      <end>5</end>
      <status>unmodified</status>
      <modifiedWord/>
      <trackRevisions>false</trackRevisions>
    </reviewItem>
    <reviewItem>
      <errorID>83173042-67f0-4f56-b302-ccdc8180ce08</errorID>
      <errorWord>(</errorWord>
      <group>L1_Format</group>
      <groupName>格式问题</groupName>
      <ability>L2_HalfPunc</ability>
      <abilityName>全半角检查</abilityName>
      <candidateList>
        <item>（</item>
      </candidateList>
      <explain>文本全半角错误。</explain>
      <paraID>6E5B031B</paraID>
      <start>4</start>
      <end>5</end>
      <status>unmodified</status>
      <modifiedWord/>
      <trackRevisions>false</trackRevisions>
    </reviewItem>
    <reviewItem>
      <errorID>5ff954d5-8a35-45f9-9d46-eb5cc8845ede</errorID>
      <errorWord>(</errorWord>
      <group>L1_Format</group>
      <groupName>格式问题</groupName>
      <ability>L2_HalfPunc</ability>
      <abilityName>全半角检查</abilityName>
      <candidateList>
        <item>（</item>
      </candidateList>
      <explain>文本全半角错误。</explain>
      <paraID>4BAE5EB0</paraID>
      <start>9</start>
      <end>10</end>
      <status>unmodified</status>
      <modifiedWord/>
      <trackRevisions>false</trackRevisions>
    </reviewItem>
    <reviewItem>
      <errorID>d944f45e-5dce-4c40-8555-fae61583339c</errorID>
      <errorWord>(</errorWord>
      <group>L1_Format</group>
      <groupName>格式问题</groupName>
      <ability>L2_HalfPunc</ability>
      <abilityName>全半角检查</abilityName>
      <candidateList>
        <item>（</item>
      </candidateList>
      <explain>文本全半角错误。</explain>
      <paraID>6D464B11</paraID>
      <start>9</start>
      <end>10</end>
      <status>unmodified</status>
      <modifiedWord/>
      <trackRevisions>false</trackRevisions>
    </reviewItem>
    <reviewItem>
      <errorID>6e2708d7-dac1-4dbf-8144-65fdf1b917fd</errorID>
      <errorWord>(</errorWord>
      <group>L1_Format</group>
      <groupName>格式问题</groupName>
      <ability>L2_HalfPunc</ability>
      <abilityName>全半角检查</abilityName>
      <candidateList>
        <item>（</item>
      </candidateList>
      <explain>文本全半角错误。</explain>
      <paraID>3BED2AB6</paraID>
      <start>5</start>
      <end>6</end>
      <status>unmodified</status>
      <modifiedWord/>
      <trackRevisions>false</trackRevisions>
    </reviewItem>
    <reviewItem>
      <errorID>e87c9e1c-2637-4b07-9d5b-6a1e54c614b8</errorID>
      <errorWord>(</errorWord>
      <group>L1_Format</group>
      <groupName>格式问题</groupName>
      <ability>L2_HalfPunc</ability>
      <abilityName>全半角检查</abilityName>
      <candidateList>
        <item>（</item>
      </candidateList>
      <explain>文本全半角错误。</explain>
      <paraID> F47171B</paraID>
      <start>5</start>
      <end>6</end>
      <status>unmodified</status>
      <modifiedWord/>
      <trackRevisions>false</trackRevisions>
    </reviewItem>
    <reviewItem>
      <errorID>dc15fb2a-99a4-4b82-8c1c-dd78b3cd31b5</errorID>
      <errorWord>(</errorWord>
      <group>L1_Format</group>
      <groupName>格式问题</groupName>
      <ability>L2_HalfPunc</ability>
      <abilityName>全半角检查</abilityName>
      <candidateList>
        <item>（</item>
      </candidateList>
      <explain>文本全半角错误。</explain>
      <paraID>354E0E4C</paraID>
      <start>12</start>
      <end>13</end>
      <status>unmodified</status>
      <modifiedWord/>
      <trackRevisions>false</trackRevisions>
    </reviewItem>
    <reviewItem>
      <errorID>63297dce-42af-44c5-be08-7928710008c1</errorID>
      <errorWord>(</errorWord>
      <group>L1_Format</group>
      <groupName>格式问题</groupName>
      <ability>L2_HalfPunc</ability>
      <abilityName>全半角检查</abilityName>
      <candidateList>
        <item>（</item>
      </candidateList>
      <explain>文本全半角错误。</explain>
      <paraID>6B6F684A</paraID>
      <start>10</start>
      <end>11</end>
      <status>unmodified</status>
      <modifiedWord/>
      <trackRevisions>false</trackRevisions>
    </reviewItem>
    <reviewItem>
      <errorID>e8040261-1888-4661-9b48-c26029922875</errorID>
      <errorWord>）</errorWord>
      <group>L1_Format</group>
      <groupName>格式问题</groupName>
      <ability>L2_HalfPunc</ability>
      <abilityName>全半角检查</abilityName>
      <candidateList>
        <item>)</item>
      </candidateList>
      <explain>文本全半角错误。</explain>
      <paraID>64136480</paraID>
      <start>15</start>
      <end>16</end>
      <status>unmodified</status>
      <modifiedWord/>
      <trackRevisions>false</trackRevisions>
    </reviewItem>
    <reviewItem>
      <errorID>d7715164-8668-4e3f-98d7-2c8a169de36c</errorID>
      <errorWord>）</errorWord>
      <group>L1_Format</group>
      <groupName>格式问题</groupName>
      <ability>L2_HalfPunc</ability>
      <abilityName>全半角检查</abilityName>
      <candidateList>
        <item>)</item>
      </candidateList>
      <explain>文本全半角错误。</explain>
      <paraID>4DE84441</paraID>
      <start>15</start>
      <end>16</end>
      <status>unmodified</status>
      <modifiedWord/>
      <trackRevisions>false</trackRevisions>
    </reviewItem>
    <reviewItem>
      <errorID>053a66eb-80da-49fb-ac16-2c097d65be06</errorID>
      <errorWord>(</errorWord>
      <group>L1_Format</group>
      <groupName>格式问题</groupName>
      <ability>L2_HalfPunc</ability>
      <abilityName>全半角检查</abilityName>
      <candidateList>
        <item>（</item>
      </candidateList>
      <explain>文本全半角错误。</explain>
      <paraID>2BBDD458</paraID>
      <start>4</start>
      <end>5</end>
      <status>unmodified</status>
      <modifiedWord/>
      <trackRevisions>false</trackRevisions>
    </reviewItem>
    <reviewItem>
      <errorID>5bb37818-edb4-4f71-8f3c-5b937a78f4e2</errorID>
      <errorWord>(</errorWord>
      <group>L1_Format</group>
      <groupName>格式问题</groupName>
      <ability>L2_HalfPunc</ability>
      <abilityName>全半角检查</abilityName>
      <candidateList>
        <item>（</item>
      </candidateList>
      <explain>文本全半角错误。</explain>
      <paraID>45C5FE68</paraID>
      <start>4</start>
      <end>5</end>
      <status>unmodified</status>
      <modifiedWord/>
      <trackRevisions>false</trackRevisions>
    </reviewItem>
    <reviewItem>
      <errorID>3a482077-61de-4b73-97d3-d1abc3aef4a9</errorID>
      <errorWord>(</errorWord>
      <group>L1_Format</group>
      <groupName>格式问题</groupName>
      <ability>L2_HalfPunc</ability>
      <abilityName>全半角检查</abilityName>
      <candidateList>
        <item>（</item>
      </candidateList>
      <explain>文本全半角错误。</explain>
      <paraID> BB889E3</paraID>
      <start>3</start>
      <end>4</end>
      <status>unmodified</status>
      <modifiedWord/>
      <trackRevisions>false</trackRevisions>
    </reviewItem>
    <reviewItem>
      <errorID>1ad958eb-5831-416a-8e55-7d7995bab193</errorID>
      <errorWord>其它</errorWord>
      <group>L1_Word</group>
      <groupName>字词问题</groupName>
      <ability>L2_Alias</ability>
      <abilityName>也作/曾用词</abilityName>
      <candidateList>
        <item>其他</item>
      </candidateList>
      <explain>词汇[其它]为不规范表述或旧称，其规范书面表述为[其他]。</explain>
      <paraID>4F23E57B</paraID>
      <start>0</start>
      <end>2</end>
      <status>unmodified</status>
      <modifiedWord/>
      <trackRevisions>false</trackRevisions>
    </reviewItem>
    <reviewItem>
      <errorID>13cc7b9a-c803-49b1-b2b9-79187dbcc12f</errorID>
      <errorWord>(</errorWord>
      <group>L1_Format</group>
      <groupName>格式问题</groupName>
      <ability>L2_HalfPunc</ability>
      <abilityName>全半角检查</abilityName>
      <candidateList>
        <item>（</item>
      </candidateList>
      <explain>文本全半角错误。</explain>
      <paraID>2F2775ED</paraID>
      <start>23</start>
      <end>24</end>
      <status>unmodified</status>
      <modifiedWord/>
      <trackRevisions>false</trackRevisions>
    </reviewItem>
    <reviewItem>
      <errorID>9491db4a-7950-4a4d-bd1d-7a4ddd010be4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2538BBA8</paraID>
      <start>0</start>
      <end>2</end>
      <status>unmodified</status>
      <modifiedWord/>
      <trackRevisions>false</trackRevisions>
    </reviewItem>
    <reviewItem>
      <errorID>a1623d35-cc87-46b4-831d-571187400723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3B5176A5</paraID>
      <start>0</start>
      <end>2</end>
      <status>unmodified</status>
      <modifiedWord/>
      <trackRevisions>false</trackRevisions>
    </reviewItem>
    <reviewItem>
      <errorID>7389de9d-3aa9-4ae1-bf11-5f5568fa87ba</errorID>
      <errorWord>详实</errorWord>
      <group>L1_Word</group>
      <groupName>字词问题</groupName>
      <ability>L2_Typo</ability>
      <abilityName>字词错误</abilityName>
      <candidateList>
        <item>翔实</item>
      </candidateList>
      <explain/>
      <paraID>63C37804</paraID>
      <start>20</start>
      <end>22</end>
      <status>unmodified</status>
      <modifiedWord/>
      <trackRevisions>false</trackRevisions>
    </reviewItem>
    <reviewItem>
      <errorID>5b1947ac-fa49-4f92-9203-b96914c7c424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352932A5</paraID>
      <start>0</start>
      <end>2</end>
      <status>unmodified</status>
      <modifiedWord/>
      <trackRevisions>false</trackRevisions>
    </reviewItem>
    <reviewItem>
      <errorID>344d78b3-5c20-4f3a-bbce-859720d06947</errorID>
      <errorWord>）</errorWord>
      <group>L1_Word</group>
      <groupName>字词问题</groupName>
      <ability>L2_Typo</ability>
      <abilityName>字词错误</abilityName>
      <candidateList>
        <item>）以</item>
      </candidateList>
      <explain/>
      <paraID>4BB7EEDA</paraID>
      <start>2</start>
      <end>3</end>
      <status>unmodified</status>
      <modifiedWord/>
      <trackRevisions>false</trackRevisions>
    </reviewItem>
    <reviewItem>
      <errorID>bdbff3aa-f4e9-4481-b7ac-1879bf21e57c</errorID>
      <errorWord>(</errorWord>
      <group>L1_Format</group>
      <groupName>格式问题</groupName>
      <ability>L2_HalfPunc</ability>
      <abilityName>全半角检查</abilityName>
      <candidateList>
        <item>（</item>
      </candidateList>
      <explain>文本全半角错误。</explain>
      <paraID>3E574B66</paraID>
      <start>15</start>
      <end>16</end>
      <status>unmodified</status>
      <modifiedWord/>
      <trackRevisions>false</trackRevisions>
    </reviewItem>
    <reviewItem>
      <errorID>21a9dd36-0672-4b0b-a844-7aa51851ac0c</errorID>
      <errorWord>(</errorWord>
      <group>L1_Format</group>
      <groupName>格式问题</groupName>
      <ability>L2_HalfPunc</ability>
      <abilityName>全半角检查</abilityName>
      <candidateList>
        <item>（</item>
      </candidateList>
      <explain>文本全半角错误。</explain>
      <paraID>33750AF5</paraID>
      <start>9</start>
      <end>10</end>
      <status>unmodified</status>
      <modifiedWord/>
      <trackRevisions>false</trackRevisions>
    </reviewItem>
    <reviewItem>
      <errorID>1e8b286b-a442-4efe-bd77-fa32f016581a</errorID>
      <errorWord>内当</errorWord>
      <group>L1_Word</group>
      <groupName>字词问题</groupName>
      <ability>L2_Typo</ability>
      <abilityName>字词错误</abilityName>
      <candidateList>
        <item>内应</item>
      </candidateList>
      <explain/>
      <paraID>24B2FB9B</paraID>
      <start>8</start>
      <end>10</end>
      <status>unmodified</status>
      <modifiedWord/>
      <trackRevisions>false</trackRevisions>
    </reviewItem>
    <reviewItem>
      <errorID>991b01cf-6a0f-4904-828a-b09e276fa798</errorID>
      <errorWord>墙角</errorWord>
      <group>L1_Word</group>
      <groupName>字词问题</groupName>
      <ability>L2_Typo</ability>
      <abilityName>字词错误</abilityName>
      <candidateList>
        <item>墙脚</item>
      </candidateList>
      <explain>存在发音相同字词的误用。</explain>
      <paraID>38DB9E18</paraID>
      <start>6</start>
      <end>8</end>
      <status>unmodified</status>
      <modifiedWord/>
      <trackRevisions>false</trackRevisions>
    </reviewItem>
    <reviewItem>
      <errorID>266b4c47-7b8d-49a2-b1ee-5f647e185005</errorID>
      <errorWord>型</errorWord>
      <group>L1_Word</group>
      <groupName>字词问题</groupName>
      <ability>L2_Typo</ability>
      <abilityName>字词错误</abilityName>
      <candidateList>
        <item>形</item>
      </candidateList>
      <explain>存在发音相同字词的误用。</explain>
      <paraID>2E438112</paraID>
      <start>8</start>
      <end>9</end>
      <status>unmodified</status>
      <modifiedWord/>
      <trackRevisions>false</trackRevisions>
    </reviewItem>
    <reviewItem>
      <errorID>de757b90-007d-4aed-987d-0d5cad3a6257</errorID>
      <errorWord>,</errorWord>
      <group>L1_Format</group>
      <groupName>格式问题</groupName>
      <ability>L2_HalfPunc</ability>
      <abilityName>全半角检查</abilityName>
      <candidateList>
        <item>，</item>
      </candidateList>
      <explain>文本全半角错误。</explain>
      <paraID>504D5425</paraID>
      <start>16</start>
      <end>17</end>
      <status>unmodified</status>
      <modifiedWord/>
      <trackRevisions>false</trackRevisions>
    </reviewItem>
    <reviewItem>
      <errorID>71cb8b80-b8cc-42d4-8890-4e64850b73c8</errorID>
      <errorWord>~</errorWord>
      <group>L1_Format</group>
      <groupName>格式问题</groupName>
      <ability>L2_HalfPunc</ability>
      <abilityName>全半角检查</abilityName>
      <candidateList>
        <item>～</item>
      </candidateList>
      <explain>文本全半角错误。</explain>
      <paraID>54DBA27A</paraID>
      <start>16</start>
      <end>17</end>
      <status>unmodified</status>
      <modifiedWord/>
      <trackRevisions>false</trackRevisions>
    </reviewItem>
    <reviewItem>
      <errorID>18a2ea2a-6e08-4da9-8685-8c3283f40525</errorID>
      <errorWord>~</errorWord>
      <group>L1_Format</group>
      <groupName>格式问题</groupName>
      <ability>L2_HalfPunc</ability>
      <abilityName>全半角检查</abilityName>
      <candidateList>
        <item>～</item>
      </candidateList>
      <explain>文本全半角错误。</explain>
      <paraID>5D05801D</paraID>
      <start>15</start>
      <end>16</end>
      <status>unmodified</status>
      <modifiedWord/>
      <trackRevisions>false</trackRevisions>
    </reviewItem>
    <reviewItem>
      <errorID>578761bf-6c01-4580-990a-07c9f55451a6</errorID>
      <errorWord>(</errorWord>
      <group>L1_Format</group>
      <groupName>格式问题</groupName>
      <ability>L2_HalfPunc</ability>
      <abilityName>全半角检查</abilityName>
      <candidateList>
        <item>（</item>
      </candidateList>
      <explain>文本全半角错误。</explain>
      <paraID>2C405FE6</paraID>
      <start>25</start>
      <end>26</end>
      <status>unmodified</status>
      <modifiedWord/>
      <trackRevisions>false</trackRevisions>
    </reviewItem>
    <reviewItem>
      <errorID>a5e57fe9-8161-4dba-a977-db2ab0927367</errorID>
      <errorWord>;</errorWord>
      <group>L1_Format</group>
      <groupName>格式问题</groupName>
      <ability>L2_HalfPunc</ability>
      <abilityName>全半角检查</abilityName>
      <candidateList>
        <item>；</item>
      </candidateList>
      <explain>文本全半角错误。</explain>
      <paraID>2C405FE6</paraID>
      <start>34</start>
      <end>35</end>
      <status>unmodified</status>
      <modifiedWord/>
      <trackRevisions>false</trackRevisions>
    </reviewItem>
    <reviewItem>
      <errorID>7b76dba4-cd83-4b2a-b63a-e64a86f5751e</errorID>
      <errorWord>;</errorWord>
      <group>L1_Format</group>
      <groupName>格式问题</groupName>
      <ability>L2_HalfPunc</ability>
      <abilityName>全半角检查</abilityName>
      <candidateList>
        <item>；</item>
      </candidateList>
      <explain>文本全半角错误。</explain>
      <paraID>2C405FE6</paraID>
      <start>49</start>
      <end>50</end>
      <status>unmodified</status>
      <modifiedWord/>
      <trackRevisions>false</trackRevisions>
    </reviewItem>
    <reviewItem>
      <errorID>470678a3-691c-4e2a-bc89-7d99dcd04b2b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14055B68</paraID>
      <start>0</start>
      <end>3</end>
      <status>unmodified</status>
      <modifiedWord/>
      <trackRevisions>false</trackRevisions>
    </reviewItem>
    <reviewItem>
      <errorID>5f91c182-e4ab-447c-b590-0a9f5a19263b</errorID>
      <errorWord>线形</errorWord>
      <group>L1_Word</group>
      <groupName>字词问题</groupName>
      <ability>L2_Typo</ability>
      <abilityName>字词错误</abilityName>
      <candidateList>
        <item>线性</item>
      </candidateList>
      <explain>存在发音相同字词的误用。</explain>
      <paraID> 1DA82B0</paraID>
      <start>6</start>
      <end>8</end>
      <status>unmodified</status>
      <modifiedWord/>
      <trackRevisions>false</trackRevisions>
    </reviewItem>
    <reviewItem>
      <errorID>29eb59c5-1cc8-4ad8-a9cb-53f9bfbba433</errorID>
      <errorWord>;</errorWord>
      <group>L1_Format</group>
      <groupName>格式问题</groupName>
      <ability>L2_HalfPunc</ability>
      <abilityName>全半角检查</abilityName>
      <candidateList>
        <item>；</item>
      </candidateList>
      <explain>文本全半角错误。</explain>
      <paraID>4D68A827</paraID>
      <start>38</start>
      <end>39</end>
      <status>unmodified</status>
      <modifiedWord/>
      <trackRevisions>false</trackRevisions>
    </reviewItem>
    <reviewItem>
      <errorID>e7e4b44a-be1e-426b-a803-fd84947570b5</errorID>
      <errorWord>(</errorWord>
      <group>L1_Format</group>
      <groupName>格式问题</groupName>
      <ability>L2_HalfPunc</ability>
      <abilityName>全半角检查</abilityName>
      <candidateList>
        <item>（</item>
      </candidateList>
      <explain>文本全半角错误。</explain>
      <paraID>38AE2F73</paraID>
      <start>33</start>
      <end>34</end>
      <status>unmodified</status>
      <modifiedWord/>
      <trackRevisions>false</trackRevisions>
    </reviewItem>
    <reviewItem>
      <errorID>ff522279-62dd-4bea-ab16-7f28e1b69021</errorID>
      <errorWord>(</errorWord>
      <group>L1_Format</group>
      <groupName>格式问题</groupName>
      <ability>L2_HalfPunc</ability>
      <abilityName>全半角检查</abilityName>
      <candidateList>
        <item>（</item>
      </candidateList>
      <explain>文本全半角错误。</explain>
      <paraID>38AE2F73</paraID>
      <start>46</start>
      <end>47</end>
      <status>unmodified</status>
      <modifiedWord/>
      <trackRevisions>false</trackRevisions>
    </reviewItem>
    <reviewItem>
      <errorID>97a69d97-e573-4d6a-92d3-8e7de193693d</errorID>
      <errorWord>;</errorWord>
      <group>L1_Format</group>
      <groupName>格式问题</groupName>
      <ability>L2_HalfPunc</ability>
      <abilityName>全半角检查</abilityName>
      <candidateList>
        <item>；</item>
      </candidateList>
      <explain>文本全半角错误。</explain>
      <paraID>38AE2F73</paraID>
      <start>57</start>
      <end>58</end>
      <status>unmodified</status>
      <modifiedWord/>
      <trackRevisions>false</trackRevisions>
    </reviewItem>
    <reviewItem>
      <errorID>c92203d9-3b72-430b-a3bc-2c45c7780af3</errorID>
      <errorWord>(</errorWord>
      <group>L1_Format</group>
      <groupName>格式问题</groupName>
      <ability>L2_HalfPunc</ability>
      <abilityName>全半角检查</abilityName>
      <candidateList>
        <item>（</item>
      </candidateList>
      <explain>文本全半角错误。</explain>
      <paraID>38AE2F73</paraID>
      <start>70</start>
      <end>71</end>
      <status>unmodified</status>
      <modifiedWord/>
      <trackRevisions>false</trackRevisions>
    </reviewItem>
    <reviewItem>
      <errorID>97c8199b-964b-4816-a1d6-7d901f1c0770</errorID>
      <errorWord>(</errorWord>
      <group>L1_Format</group>
      <groupName>格式问题</groupName>
      <ability>L2_HalfPunc</ability>
      <abilityName>全半角检查</abilityName>
      <candidateList>
        <item>（</item>
      </candidateList>
      <explain>文本全半角错误。</explain>
      <paraID>38AE2F73</paraID>
      <start>83</start>
      <end>84</end>
      <status>unmodified</status>
      <modifiedWord/>
      <trackRevisions>false</trackRevisions>
    </reviewItem>
    <reviewItem>
      <errorID>a0dcaca2-48a6-443c-83e5-f7929318c5d8</errorID>
      <errorWord>复核</errorWord>
      <group>L1_Word</group>
      <groupName>字词问题</groupName>
      <ability>L2_Typo</ability>
      <abilityName>字词错误</abilityName>
      <candidateList>
        <item>符合</item>
      </candidateList>
      <explain>〈动〉（数量、形状、情节等）相合：～事实｜这些产品不～质量标准。</explain>
      <paraID>12F171C0</paraID>
      <start>10</start>
      <end>12</end>
      <status>unmodified</status>
      <modifiedWord/>
      <trackRevisions>false</trackRevisions>
    </reviewItem>
    <reviewItem>
      <errorID>91ca874e-7cfc-459e-9663-97220afe2d0a</errorID>
      <errorWord>;</errorWord>
      <group>L1_Format</group>
      <groupName>格式问题</groupName>
      <ability>L2_HalfPunc</ability>
      <abilityName>全半角检查</abilityName>
      <candidateList>
        <item>；</item>
      </candidateList>
      <explain>文本全半角错误。</explain>
      <paraID>12F171C0</paraID>
      <start>44</start>
      <end>45</end>
      <status>unmodified</status>
      <modifiedWord/>
      <trackRevisions>false</trackRevisions>
    </reviewItem>
    <reviewItem>
      <errorID>8870095a-abab-4940-a94c-69e5738e24ad</errorID>
      <errorWord>缓和由线</errorWord>
      <group>L1_Knowledge</group>
      <groupName>知识性问题</groupName>
      <ability>L2_Term</ability>
      <abilityName>专业术语</abilityName>
      <candidateList>
        <item>缓和曲线</item>
      </candidateList>
      <explain/>
      <paraID> D8D22C5</paraID>
      <start>88</start>
      <end>92</end>
      <status>unmodified</status>
      <modifiedWord/>
      <trackRevisions>false</trackRevisions>
    </reviewItem>
    <reviewItem>
      <errorID>4852a528-6390-44d3-9e11-3c5e8b170772</errorID>
      <errorWord>（</errorWord>
      <group>L1_Format</group>
      <groupName>格式问题</groupName>
      <ability>L2_HalfPunc</ability>
      <abilityName>全半角检查</abilityName>
      <candidateList>
        <item>(</item>
      </candidateList>
      <explain>文本全半角错误。</explain>
      <paraID>348FF9A8</paraID>
      <start>0</start>
      <end>1</end>
      <status>unmodified</status>
      <modifiedWord/>
      <trackRevisions>false</trackRevisions>
    </reviewItem>
    <reviewItem>
      <errorID>e8a82071-9a4c-4c3d-8e28-7e73e210c451</errorID>
      <errorWord>）</errorWord>
      <group>L1_Format</group>
      <groupName>格式问题</groupName>
      <ability>L2_HalfPunc</ability>
      <abilityName>全半角检查</abilityName>
      <candidateList>
        <item>)</item>
      </candidateList>
      <explain>文本全半角错误。</explain>
      <paraID>348FF9A8</paraID>
      <start>2</start>
      <end>3</end>
      <status>unmodified</status>
      <modifiedWord/>
      <trackRevisions>false</trackRevisions>
    </reviewItem>
    <reviewItem>
      <errorID>d663db44-b870-4f17-9768-1e2ceffc86ec</errorID>
      <errorWord>＜</errorWord>
      <group>L1_Format</group>
      <groupName>格式问题</groupName>
      <ability>L2_HalfPunc</ability>
      <abilityName>全半角检查</abilityName>
      <candidateList>
        <item>&lt;</item>
      </candidateList>
      <explain>文本全半角错误。</explain>
      <paraID>59C1EEEE</paraID>
      <start>2</start>
      <end>3</end>
      <status>unmodified</status>
      <modifiedWord/>
      <trackRevisions>false</trackRevisions>
    </reviewItem>
    <reviewItem>
      <errorID>e32da680-e457-4187-95cb-f8f72e2e2dc4</errorID>
      <errorWord>＜</errorWord>
      <group>L1_Format</group>
      <groupName>格式问题</groupName>
      <ability>L2_HalfPunc</ability>
      <abilityName>全半角检查</abilityName>
      <candidateList>
        <item>&lt;</item>
      </candidateList>
      <explain>文本全半角错误。</explain>
      <paraID>6661581E</paraID>
      <start>2</start>
      <end>3</end>
      <status>unmodified</status>
      <modifiedWord/>
      <trackRevisions>false</trackRevisions>
    </reviewItem>
    <reviewItem>
      <errorID>22df28b0-174a-4a5b-9c3b-e87da38fa7ec</errorID>
      <errorWord>:</errorWord>
      <group>L1_Format</group>
      <groupName>格式问题</groupName>
      <ability>L2_HalfPunc</ability>
      <abilityName>全半角检查</abilityName>
      <candidateList>
        <item>：</item>
      </candidateList>
      <explain>文本全半角错误。</explain>
      <paraID>5910F6F9</paraID>
      <start>15</start>
      <end>16</end>
      <status>unmodified</status>
      <modifiedWord/>
      <trackRevisions>false</trackRevisions>
    </reviewItem>
    <reviewItem>
      <errorID>192f55e5-ddc6-4c60-a3d5-d4839d71ef7c</errorID>
      <errorWord>;</errorWord>
      <group>L1_Format</group>
      <groupName>格式问题</groupName>
      <ability>L2_HalfPunc</ability>
      <abilityName>全半角检查</abilityName>
      <candidateList>
        <item>；</item>
      </candidateList>
      <explain>文本全半角错误。</explain>
      <paraID> D861EA2</paraID>
      <start>14</start>
      <end>15</end>
      <status>unmodified</status>
      <modifiedWord/>
      <trackRevisions>false</trackRevisions>
    </reviewItem>
    <reviewItem>
      <errorID>3b1d248d-f61a-41c2-8b9b-61229bea17bc</errorID>
      <errorWord>（</errorWord>
      <group>L1_Format</group>
      <groupName>格式问题</groupName>
      <ability>L2_HalfPunc</ability>
      <abilityName>全半角检查</abilityName>
      <candidateList>
        <item>(</item>
      </candidateList>
      <explain>文本全半角错误。</explain>
      <paraID>615FDA04</paraID>
      <start>0</start>
      <end>1</end>
      <status>unmodified</status>
      <modifiedWord/>
      <trackRevisions>false</trackRevisions>
    </reviewItem>
    <reviewItem>
      <errorID>39ea7289-9091-4471-9140-009536569775</errorID>
      <errorWord>）</errorWord>
      <group>L1_Format</group>
      <groupName>格式问题</groupName>
      <ability>L2_HalfPunc</ability>
      <abilityName>全半角检查</abilityName>
      <candidateList>
        <item>)</item>
      </candidateList>
      <explain>文本全半角错误。</explain>
      <paraID>615FDA04</paraID>
      <start>2</start>
      <end>3</end>
      <status>unmodified</status>
      <modifiedWord/>
      <trackRevisions>false</trackRevisions>
    </reviewItem>
    <reviewItem>
      <errorID>0f378fbb-259f-4326-b526-3ab7b9ac4bd8</errorID>
      <errorWord>~</errorWord>
      <group>L1_Format</group>
      <groupName>格式问题</groupName>
      <ability>L2_HalfPunc</ability>
      <abilityName>全半角检查</abilityName>
      <candidateList>
        <item>～</item>
      </candidateList>
      <explain>文本全半角错误。</explain>
      <paraID>712A380F</paraID>
      <start>37</start>
      <end>38</end>
      <status>unmodified</status>
      <modifiedWord/>
      <trackRevisions>false</trackRevisions>
    </reviewItem>
    <reviewItem>
      <errorID>0e0bc1ff-25bd-4a01-9179-63aedff9bb5e</errorID>
      <errorWord>:</errorWord>
      <group>L1_Format</group>
      <groupName>格式问题</groupName>
      <ability>L2_HalfPunc</ability>
      <abilityName>全半角检查</abilityName>
      <candidateList>
        <item>：</item>
      </candidateList>
      <explain>文本全半角错误。</explain>
      <paraID>712A380F</paraID>
      <start>57</start>
      <end>58</end>
      <status>unmodified</status>
      <modifiedWord/>
      <trackRevisions>false</trackRevisions>
    </reviewItem>
    <reviewItem>
      <errorID>f40068d5-11fd-4651-9c69-c4c6771e153b</errorID>
      <errorWord>;</errorWord>
      <group>L1_Format</group>
      <groupName>格式问题</groupName>
      <ability>L2_HalfPunc</ability>
      <abilityName>全半角检查</abilityName>
      <candidateList>
        <item>；</item>
      </candidateList>
      <explain>文本全半角错误。</explain>
      <paraID>6E7A1E21</paraID>
      <start>43</start>
      <end>44</end>
      <status>unmodified</status>
      <modifiedWord/>
      <trackRevisions>false</trackRevisions>
    </reviewItem>
    <reviewItem>
      <errorID>77be803e-931d-401d-9df6-c1d862a795cd</errorID>
      <errorWord>（</errorWord>
      <group>L1_Format</group>
      <groupName>格式问题</groupName>
      <ability>L2_HalfPunc</ability>
      <abilityName>全半角检查</abilityName>
      <candidateList>
        <item>(</item>
      </candidateList>
      <explain>文本全半角错误。</explain>
      <paraID>7C0B1154</paraID>
      <start>4</start>
      <end>5</end>
      <status>unmodified</status>
      <modifiedWord/>
      <trackRevisions>false</trackRevisions>
    </reviewItem>
    <reviewItem>
      <errorID>1b06db77-79db-4bee-a5d2-ec76bdf162e7</errorID>
      <errorWord>）</errorWord>
      <group>L1_Format</group>
      <groupName>格式问题</groupName>
      <ability>L2_HalfPunc</ability>
      <abilityName>全半角检查</abilityName>
      <candidateList>
        <item>)</item>
      </candidateList>
      <explain>文本全半角错误。</explain>
      <paraID>7C0B1154</paraID>
      <start>8</start>
      <end>9</end>
      <status>unmodified</status>
      <modifiedWord/>
      <trackRevisions>false</trackRevisions>
    </reviewItem>
    <reviewItem>
      <errorID>5a289524-f6a8-471c-b0ee-3248fa2dc190</errorID>
      <errorWord>破</errorWord>
      <group>L1_Word</group>
      <groupName>字词问题</groupName>
      <ability>L2_Typo</ability>
      <abilityName>字词错误</abilityName>
      <candidateList>
        <item>坡</item>
      </candidateList>
      <explain/>
      <paraID>51FAC853</paraID>
      <start>13</start>
      <end>14</end>
      <status>unmodified</status>
      <modifiedWord/>
      <trackRevisions>false</trackRevisions>
    </reviewItem>
    <reviewItem>
      <errorID>95d7f4be-0e96-49e1-b0a5-7add3641fd52</errorID>
      <errorWord>~</errorWord>
      <group>L1_Format</group>
      <groupName>格式问题</groupName>
      <ability>L2_HalfPunc</ability>
      <abilityName>全半角检查</abilityName>
      <candidateList>
        <item>～</item>
      </candidateList>
      <explain>文本全半角错误。</explain>
      <paraID>35015A3C</paraID>
      <start>15</start>
      <end>16</end>
      <status>unmodified</status>
      <modifiedWord/>
      <trackRevisions>false</trackRevisions>
    </reviewItem>
    <reviewItem>
      <errorID>2f14cac0-a6a9-44ee-bc04-bbb754c7a6be</errorID>
      <errorWord>~</errorWord>
      <group>L1_Format</group>
      <groupName>格式问题</groupName>
      <ability>L2_HalfPunc</ability>
      <abilityName>全半角检查</abilityName>
      <candidateList>
        <item>～</item>
      </candidateList>
      <explain>文本全半角错误。</explain>
      <paraID>35015A3C</paraID>
      <start>46</start>
      <end>47</end>
      <status>unmodified</status>
      <modifiedWord/>
      <trackRevisions>false</trackRevisions>
    </reviewItem>
    <reviewItem>
      <errorID>b2f6ae0f-1921-45b7-bed1-470cae6e91b7</errorID>
      <errorWord>强度要</errorWord>
      <group>L1_Word</group>
      <groupName>字词问题</groupName>
      <ability>L2_Typo</ability>
      <abilityName>字词错误</abilityName>
      <candidateList>
        <item>强度</item>
      </candidateList>
      <explain/>
      <paraID>721B93EC</paraID>
      <start>43</start>
      <end>46</end>
      <status>unmodified</status>
      <modifiedWord/>
      <trackRevisions>false</trackRevisions>
    </reviewItem>
    <reviewItem>
      <errorID>e4611feb-a5a0-4d9d-8baf-a7603e2e57dc</errorID>
      <errorWord>:</errorWord>
      <group>L1_Format</group>
      <groupName>格式问题</groupName>
      <ability>L2_HalfPunc</ability>
      <abilityName>全半角检查</abilityName>
      <candidateList>
        <item>：</item>
      </candidateList>
      <explain>文本全半角错误。</explain>
      <paraID>45C46AB7</paraID>
      <start>46</start>
      <end>47</end>
      <status>unmodified</status>
      <modifiedWord/>
      <trackRevisions>false</trackRevisions>
    </reviewItem>
    <reviewItem>
      <errorID>d7994e67-56e7-4376-89fc-32584046dcf6</errorID>
      <errorWord>(</errorWord>
      <group>L1_Format</group>
      <groupName>格式问题</groupName>
      <ability>L2_HalfPunc</ability>
      <abilityName>全半角检查</abilityName>
      <candidateList>
        <item>（</item>
      </candidateList>
      <explain>文本全半角错误。</explain>
      <paraID>2B98D9AF</paraID>
      <start>28</start>
      <end>29</end>
      <status>unmodified</status>
      <modifiedWord/>
      <trackRevisions>false</trackRevisions>
    </reviewItem>
    <reviewItem>
      <errorID>3f48464a-d9f8-4f1d-b373-6dfbbb4e9db8</errorID>
      <errorWord>~</errorWord>
      <group>L1_Format</group>
      <groupName>格式问题</groupName>
      <ability>L2_HalfPunc</ability>
      <abilityName>全半角检查</abilityName>
      <candidateList>
        <item>～</item>
      </candidateList>
      <explain>文本全半角错误。</explain>
      <paraID>21E3CFEA</paraID>
      <start>24</start>
      <end>25</end>
      <status>unmodified</status>
      <modifiedWord/>
      <trackRevisions>false</trackRevisions>
    </reviewItem>
    <reviewItem>
      <errorID>56b326ff-0a34-4b51-a1d7-80f9f860c862</errorID>
      <errorWord>;</errorWord>
      <group>L1_Format</group>
      <groupName>格式问题</groupName>
      <ability>L2_HalfPunc</ability>
      <abilityName>全半角检查</abilityName>
      <candidateList>
        <item>；</item>
      </candidateList>
      <explain>文本全半角错误。</explain>
      <paraID>3BAC0678</paraID>
      <start>22</start>
      <end>23</end>
      <status>unmodified</status>
      <modifiedWord/>
      <trackRevisions>false</trackRevisions>
    </reviewItem>
    <reviewItem>
      <errorID>d4c1908c-2640-45e6-8da3-efaa8825f375</errorID>
      <errorWord>:</errorWord>
      <group>L1_Format</group>
      <groupName>格式问题</groupName>
      <ability>L2_HalfPunc</ability>
      <abilityName>全半角检查</abilityName>
      <candidateList>
        <item>：</item>
      </candidateList>
      <explain>文本全半角错误。</explain>
      <paraID>277B6817</paraID>
      <start>15</start>
      <end>16</end>
      <status>unmodified</status>
      <modifiedWord/>
      <trackRevisions>false</trackRevisions>
    </reviewItem>
    <reviewItem>
      <errorID>504262d8-74d7-408d-9ff1-40db6669faa5</errorID>
      <errorWord>;</errorWord>
      <group>L1_Format</group>
      <groupName>格式问题</groupName>
      <ability>L2_HalfPunc</ability>
      <abilityName>全半角检查</abilityName>
      <candidateList>
        <item>；</item>
      </candidateList>
      <explain>文本全半角错误。</explain>
      <paraID>4455123F</paraID>
      <start>65</start>
      <end>66</end>
      <status>unmodified</status>
      <modifiedWord/>
      <trackRevisions>false</trackRevisions>
    </reviewItem>
    <reviewItem>
      <errorID>c32a36bf-7c9d-49ac-b423-303adb275c5d</errorID>
      <errorWord>;</errorWord>
      <group>L1_Format</group>
      <groupName>格式问题</groupName>
      <ability>L2_HalfPunc</ability>
      <abilityName>全半角检查</abilityName>
      <candidateList>
        <item>；</item>
      </candidateList>
      <explain>文本全半角错误。</explain>
      <paraID> EA9D734</paraID>
      <start>26</start>
      <end>27</end>
      <status>unmodified</status>
      <modifiedWord/>
      <trackRevisions>false</trackRevisions>
    </reviewItem>
    <reviewItem>
      <errorID>73fd1d2b-0add-4d25-bddf-d9cbffb83a46</errorID>
      <errorWord>;</errorWord>
      <group>L1_Format</group>
      <groupName>格式问题</groupName>
      <ability>L2_HalfPunc</ability>
      <abilityName>全半角检查</abilityName>
      <candidateList>
        <item>；</item>
      </candidateList>
      <explain>文本全半角错误。</explain>
      <paraID>24B190FA</paraID>
      <start>27</start>
      <end>28</end>
      <status>unmodified</status>
      <modifiedWord/>
      <trackRevisions>false</trackRevisions>
    </reviewItem>
    <reviewItem>
      <errorID>ddbb5f96-56a7-4ba4-8bf8-b419ae4e6986</errorID>
      <errorWord>;</errorWord>
      <group>L1_Format</group>
      <groupName>格式问题</groupName>
      <ability>L2_HalfPunc</ability>
      <abilityName>全半角检查</abilityName>
      <candidateList>
        <item>；</item>
      </candidateList>
      <explain>文本全半角错误。</explain>
      <paraID>4B138B4E</paraID>
      <start>23</start>
      <end>24</end>
      <status>unmodified</status>
      <modifiedWord/>
      <trackRevisions>false</trackRevisions>
    </reviewItem>
    <reviewItem>
      <errorID>d3210da4-c174-432c-9922-0387cb7feeaa</errorID>
      <errorWord>;</errorWord>
      <group>L1_Format</group>
      <groupName>格式问题</groupName>
      <ability>L2_HalfPunc</ability>
      <abilityName>全半角检查</abilityName>
      <candidateList>
        <item>；</item>
      </candidateList>
      <explain>文本全半角错误。</explain>
      <paraID>318EB382</paraID>
      <start>31</start>
      <end>32</end>
      <status>unmodified</status>
      <modifiedWord/>
      <trackRevisions>false</trackRevisions>
    </reviewItem>
    <reviewItem>
      <errorID>fa92633e-af96-4e9b-8671-985f3c230d3a</errorID>
      <errorWord>~</errorWord>
      <group>L1_Format</group>
      <groupName>格式问题</groupName>
      <ability>L2_HalfPunc</ability>
      <abilityName>全半角检查</abilityName>
      <candidateList>
        <item>～</item>
      </candidateList>
      <explain>文本全半角错误。</explain>
      <paraID>318EB382</paraID>
      <start>39</start>
      <end>40</end>
      <status>unmodified</status>
      <modifiedWord/>
      <trackRevisions>false</trackRevisions>
    </reviewItem>
    <reviewItem>
      <errorID>d57fe69d-3a2e-4c9a-8d7b-c78248b0a547</errorID>
      <errorWord>(</errorWord>
      <group>L1_Format</group>
      <groupName>格式问题</groupName>
      <ability>L2_HalfPunc</ability>
      <abilityName>全半角检查</abilityName>
      <candidateList>
        <item>（</item>
      </candidateList>
      <explain>文本全半角错误。</explain>
      <paraID>3B0EA65B</paraID>
      <start>15</start>
      <end>16</end>
      <status>unmodified</status>
      <modifiedWord/>
      <trackRevisions>false</trackRevisions>
    </reviewItem>
    <reviewItem>
      <errorID>d5668ebb-a1fe-4207-92de-a1f26052da04</errorID>
      <errorWord>(</errorWord>
      <group>L1_Format</group>
      <groupName>格式问题</groupName>
      <ability>L2_HalfPunc</ability>
      <abilityName>全半角检查</abilityName>
      <candidateList>
        <item>（</item>
      </candidateList>
      <explain>文本全半角错误。</explain>
      <paraID>14422834</paraID>
      <start>7</start>
      <end>8</end>
      <status>unmodified</status>
      <modifiedWord/>
      <trackRevisions>false</trackRevisions>
    </reviewItem>
    <reviewItem>
      <errorID>22c93200-191c-47b1-b9e7-b106cf7d40ae</errorID>
      <errorWord>(</errorWord>
      <group>L1_Format</group>
      <groupName>格式问题</groupName>
      <ability>L2_HalfPunc</ability>
      <abilityName>全半角检查</abilityName>
      <candidateList>
        <item>（</item>
      </candidateList>
      <explain>文本全半角错误。</explain>
      <paraID> 2F01911</paraID>
      <start>15</start>
      <end>16</end>
      <status>unmodified</status>
      <modifiedWord/>
      <trackRevisions>false</trackRevisions>
    </reviewItem>
    <reviewItem>
      <errorID>2772990d-7958-4154-a02f-68a4eb6013ef</errorID>
      <errorWord>(</errorWord>
      <group>L1_Format</group>
      <groupName>格式问题</groupName>
      <ability>L2_HalfPunc</ability>
      <abilityName>全半角检查</abilityName>
      <candidateList>
        <item>（</item>
      </candidateList>
      <explain>文本全半角错误。</explain>
      <paraID>7A652D5F</paraID>
      <start>7</start>
      <end>8</end>
      <status>unmodified</status>
      <modifiedWord/>
      <trackRevisions>false</trackRevisions>
    </reviewItem>
    <reviewItem>
      <errorID>375ccb93-b7d7-4e09-b8da-1969e6e4d0a6</errorID>
      <errorWord>》</errorWord>
      <group>L1_Word</group>
      <groupName>字词问题</groupName>
      <ability>L2_Typo</ability>
      <abilityName>字词错误</abilityName>
      <candidateList>
        <item>》第</item>
      </candidateList>
      <explain/>
      <paraID>3D35F292</paraID>
      <start>26</start>
      <end>27</end>
      <status>unmodified</status>
      <modifiedWord/>
      <trackRevisions>false</trackRevisions>
    </reviewItem>
    <reviewItem>
      <errorID>0e318938-ce41-4326-b5af-628eb1e7cebd</errorID>
      <errorWord>~</errorWord>
      <group>L1_Format</group>
      <groupName>格式问题</groupName>
      <ability>L2_HalfPunc</ability>
      <abilityName>全半角检查</abilityName>
      <candidateList>
        <item>～</item>
      </candidateList>
      <explain>文本全半角错误。</explain>
      <paraID>5FA8CAA9</paraID>
      <start>20</start>
      <end>21</end>
      <status>unmodified</status>
      <modifiedWord/>
      <trackRevisions>false</trackRevisions>
    </reviewItem>
    <reviewItem>
      <errorID>fafd7040-eaa9-4bf0-8a29-6622bc992a70</errorID>
      <errorWord>:</errorWord>
      <group>L1_Format</group>
      <groupName>格式问题</groupName>
      <ability>L2_HalfPunc</ability>
      <abilityName>全半角检查</abilityName>
      <candidateList>
        <item>：</item>
      </candidateList>
      <explain>文本全半角错误。</explain>
      <paraID>69739F1E</paraID>
      <start>17</start>
      <end>18</end>
      <status>unmodified</status>
      <modifiedWord/>
      <trackRevisions>false</trackRevisions>
    </reviewItem>
    <reviewItem>
      <errorID>fb71a9d1-6dbb-4f2b-b9e7-e1281f945f1a</errorID>
      <errorWord>:</errorWord>
      <group>L1_Format</group>
      <groupName>格式问题</groupName>
      <ability>L2_HalfPunc</ability>
      <abilityName>全半角检查</abilityName>
      <candidateList>
        <item>：</item>
      </candidateList>
      <explain>文本全半角错误。</explain>
      <paraID>46FC52C2</paraID>
      <start>17</start>
      <end>18</end>
      <status>unmodified</status>
      <modifiedWord/>
      <trackRevisions>false</trackRevisions>
    </reviewItem>
    <reviewItem>
      <errorID>c1398f7a-2055-4580-bdd8-3e697f7f4d09</errorID>
      <errorWord>;</errorWord>
      <group>L1_Format</group>
      <groupName>格式问题</groupName>
      <ability>L2_HalfPunc</ability>
      <abilityName>全半角检查</abilityName>
      <candidateList>
        <item>；</item>
      </candidateList>
      <explain>文本全半角错误。</explain>
      <paraID>58FFBCE8</paraID>
      <start>25</start>
      <end>26</end>
      <status>unmodified</status>
      <modifiedWord/>
      <trackRevisions>false</trackRevisions>
    </reviewItem>
    <reviewItem>
      <errorID>99d1272e-eb25-4e64-8652-8a56455c3522</errorID>
      <errorWord>缘名坡道</errorWord>
      <group>L1_Knowledge</group>
      <groupName>知识性问题</groupName>
      <ability>L2_Term</ability>
      <abilityName>专业术语</abilityName>
      <candidateList>
        <item>缘石坡道</item>
      </candidateList>
      <explain/>
      <paraID> 3D7E5DB</paraID>
      <start>6</start>
      <end>10</end>
      <status>unmodified</status>
      <modifiedWord/>
      <trackRevisions>false</trackRevisions>
    </reviewItem>
    <reviewItem>
      <errorID>ef64d181-4d38-4264-9b52-c382ebda929a</errorID>
      <errorWord>坡口览度</errorWord>
      <group>L1_Knowledge</group>
      <groupName>知识性问题</groupName>
      <ability>L2_Term</ability>
      <abilityName>专业术语</abilityName>
      <candidateList>
        <item>坡口角度</item>
      </candidateList>
      <explain/>
      <paraID> 3D7E5DB</paraID>
      <start>11</start>
      <end>15</end>
      <status>unmodified</status>
      <modifiedWord/>
      <trackRevisions>false</trackRevisions>
    </reviewItem>
    <reviewItem>
      <errorID>b48a9afe-1400-4a17-9ea1-fe8dcc7d50c8</errorID>
      <errorWord>雨水篦子</errorWord>
      <group>L1_Word</group>
      <groupName>字词问题</groupName>
      <ability>L2_Typo</ability>
      <abilityName>字词错误</abilityName>
      <candidateList>
        <item>雨水箅子</item>
      </candidateList>
      <explain/>
      <paraID>7D5CC64C</paraID>
      <start>15</start>
      <end>19</end>
      <status>unmodified</status>
      <modifiedWord/>
      <trackRevisions>false</trackRevisions>
    </reviewItem>
    <reviewItem>
      <errorID>7c013edc-9453-492b-9aa3-a5711420ddb2</errorID>
      <errorWord>(</errorWord>
      <group>L1_Format</group>
      <groupName>格式问题</groupName>
      <ability>L2_HalfPunc</ability>
      <abilityName>全半角检查</abilityName>
      <candidateList>
        <item>（</item>
      </candidateList>
      <explain>文本全半角错误。</explain>
      <paraID>55E121F2</paraID>
      <start>7</start>
      <end>8</end>
      <status>unmodified</status>
      <modifiedWord/>
      <trackRevisions>false</trackRevisions>
    </reviewItem>
    <reviewItem>
      <errorID>0b99bfb8-1e15-4e1a-bfc9-662457ee4985</errorID>
      <errorWord>(</errorWord>
      <group>L1_Format</group>
      <groupName>格式问题</groupName>
      <ability>L2_HalfPunc</ability>
      <abilityName>全半角检查</abilityName>
      <candidateList>
        <item>（</item>
      </candidateList>
      <explain>文本全半角错误。</explain>
      <paraID>7F744DC3</paraID>
      <start>35</start>
      <end>36</end>
      <status>unmodified</status>
      <modifiedWord/>
      <trackRevisions>false</trackRevisions>
    </reviewItem>
    <reviewItem>
      <errorID>1a41fda6-ead1-4668-a418-3a75fa4cc66a</errorID>
      <errorWord>(</errorWord>
      <group>L1_Format</group>
      <groupName>格式问题</groupName>
      <ability>L2_HalfPunc</ability>
      <abilityName>全半角检查</abilityName>
      <candidateList>
        <item>（</item>
      </candidateList>
      <explain>文本全半角错误。</explain>
      <paraID>1DAEBCA5</paraID>
      <start>8</start>
      <end>9</end>
      <status>unmodified</status>
      <modifiedWord/>
      <trackRevisions>false</trackRevisions>
    </reviewItem>
    <reviewItem>
      <errorID>af7f5182-58b9-461f-be94-10431bd5ac2f</errorID>
      <errorWord>(</errorWord>
      <group>L1_Format</group>
      <groupName>格式问题</groupName>
      <ability>L2_HalfPunc</ability>
      <abilityName>全半角检查</abilityName>
      <candidateList>
        <item>（</item>
      </candidateList>
      <explain>文本全半角错误。</explain>
      <paraID>1BD50D88</paraID>
      <start>8</start>
      <end>9</end>
      <status>unmodified</status>
      <modifiedWord/>
      <trackRevisions>false</trackRevisions>
    </reviewItem>
    <reviewItem>
      <errorID>9300bc0a-bb78-497c-8b62-b8b6c0f8d009</errorID>
      <errorWord>(</errorWord>
      <group>L1_Format</group>
      <groupName>格式问题</groupName>
      <ability>L2_HalfPunc</ability>
      <abilityName>全半角检查</abilityName>
      <candidateList>
        <item>（</item>
      </candidateList>
      <explain>文本全半角错误。</explain>
      <paraID>5774EA21</paraID>
      <start>7</start>
      <end>8</end>
      <status>unmodified</status>
      <modifiedWord/>
      <trackRevisions>false</trackRevisions>
    </reviewItem>
    <reviewItem>
      <errorID>6c3ac9d5-7a6c-4c04-9a9a-028541aebc5f</errorID>
      <errorWord>&gt;</errorWord>
      <group>L1_Punc</group>
      <groupName>标点问题</groupName>
      <ability>L2_Punc</ability>
      <abilityName>标点符号检查</abilityName>
      <candidateList/>
      <explain/>
      <paraID>628682FB</paraID>
      <start>0</start>
      <end>1</end>
      <status>unmodified</status>
      <modifiedWord/>
      <trackRevisions>false</trackRevisions>
    </reviewItem>
    <reviewItem>
      <errorID>b87c04e4-3ecf-4637-954a-9ab55e88fd1a</errorID>
      <errorWord>:</errorWord>
      <group>L1_Format</group>
      <groupName>格式问题</groupName>
      <ability>L2_HalfPunc</ability>
      <abilityName>全半角检查</abilityName>
      <candidateList>
        <item>：</item>
      </candidateList>
      <explain>文本全半角错误。</explain>
      <paraID>22E094CC</paraID>
      <start>1</start>
      <end>2</end>
      <status>unmodified</status>
      <modifiedWord/>
      <trackRevisions>false</trackRevisions>
    </reviewItem>
    <reviewItem>
      <errorID>d51a79f9-4056-4b2e-926f-90c9e8d14182</errorID>
      <errorWord>(</errorWord>
      <group>L1_Format</group>
      <groupName>格式问题</groupName>
      <ability>L2_HalfPunc</ability>
      <abilityName>全半角检查</abilityName>
      <candidateList>
        <item>（</item>
      </candidateList>
      <explain>文本全半角错误。</explain>
      <paraID>769A8BD5</paraID>
      <start>54</start>
      <end>55</end>
      <status>unmodified</status>
      <modifiedWord/>
      <trackRevisions>false</trackRevisions>
    </reviewItem>
    <reviewItem>
      <errorID>43471d0b-9ceb-4cd4-a68f-4caf10cea311</errorID>
      <errorWord>(</errorWord>
      <group>L1_Format</group>
      <groupName>格式问题</groupName>
      <ability>L2_HalfPunc</ability>
      <abilityName>全半角检查</abilityName>
      <candidateList>
        <item>（</item>
      </candidateList>
      <explain>文本全半角错误。</explain>
      <paraID>4B656ED4</paraID>
      <start>214</start>
      <end>215</end>
      <status>unmodified</status>
      <modifiedWord/>
      <trackRevisions>false</trackRevisions>
    </reviewItem>
    <reviewItem>
      <errorID>62ee0f7c-5d8d-436b-afb7-5d533f91f151</errorID>
      <errorWord>：</errorWord>
      <group>L1_Format</group>
      <groupName>格式问题</groupName>
      <ability>L2_HalfPunc</ability>
      <abilityName>全半角检查</abilityName>
      <candidateList>
        <item>:</item>
      </candidateList>
      <explain>文本全半角错误。</explain>
      <paraID>3EC1FD7A</paraID>
      <start>154</start>
      <end>155</end>
      <status>unmodified</status>
      <modifiedWord/>
      <trackRevisions>false</trackRevisions>
    </reviewItem>
    <reviewItem>
      <errorID>df9c8d58-fd6f-4801-85df-413fe91d3ec2</errorID>
      <errorWord>地面水</errorWord>
      <group>L1_Word</group>
      <groupName>字词问题</groupName>
      <ability>L2_Typo</ability>
      <abilityName>字词错误</abilityName>
      <candidateList>
        <item>地表水</item>
      </candidateList>
      <explain/>
      <paraID>3325F6A1</paraID>
      <start>35</start>
      <end>38</end>
      <status>unmodified</status>
      <modifiedWord/>
      <trackRevisions>false</trackRevisions>
    </reviewItem>
    <reviewItem>
      <errorID>1e1ff4ae-dc63-454b-91a8-5770b4262b61</errorID>
      <errorWord>～</errorWord>
      <group>L1_Format</group>
      <groupName>格式问题</groupName>
      <ability>L2_HalfPunc</ability>
      <abilityName>全半角检查</abilityName>
      <candidateList>
        <item>~</item>
      </candidateList>
      <explain>文本全半角错误。</explain>
      <paraID>5794456F</paraID>
      <start>1</start>
      <end>2</end>
      <status>unmodified</status>
      <modifiedWord/>
      <trackRevisions>false</trackRevisions>
    </reviewItem>
    <reviewItem>
      <errorID>edcf650b-2f63-49ee-8523-8711bb7ba978</errorID>
      <errorWord>～</errorWord>
      <group>L1_Format</group>
      <groupName>格式问题</groupName>
      <ability>L2_HalfPunc</ability>
      <abilityName>全半角检查</abilityName>
      <candidateList>
        <item>~</item>
      </candidateList>
      <explain>文本全半角错误。</explain>
      <paraID> 9786259</paraID>
      <start>5</start>
      <end>6</end>
      <status>unmodified</status>
      <modifiedWord/>
      <trackRevisions>false</trackRevisions>
    </reviewItem>
    <reviewItem>
      <errorID>59dbd21d-9128-44d0-9979-eb6f26ed2e57</errorID>
      <errorWord>～</errorWord>
      <group>L1_Format</group>
      <groupName>格式问题</groupName>
      <ability>L2_HalfPunc</ability>
      <abilityName>全半角检查</abilityName>
      <candidateList>
        <item>~</item>
      </candidateList>
      <explain>文本全半角错误。</explain>
      <paraID>67C78458</paraID>
      <start>3</start>
      <end>4</end>
      <status>unmodified</status>
      <modifiedWord/>
      <trackRevisions>false</trackRevisions>
    </reviewItem>
    <reviewItem>
      <errorID>46b86326-d8b0-4902-b112-d4fd3f08a523</errorID>
      <errorWord>～</errorWord>
      <group>L1_Format</group>
      <groupName>格式问题</groupName>
      <ability>L2_HalfPunc</ability>
      <abilityName>全半角检查</abilityName>
      <candidateList>
        <item>~</item>
      </candidateList>
      <explain>文本全半角错误。</explain>
      <paraID>6C2D0646</paraID>
      <start>5</start>
      <end>6</end>
      <status>unmodified</status>
      <modifiedWord/>
      <trackRevisions>false</trackRevisions>
    </reviewItem>
    <reviewItem>
      <errorID>b4ffa566-7fe1-49a2-84f6-2bacabe7897b</errorID>
      <errorWord>：</errorWord>
      <group>L1_Format</group>
      <groupName>格式问题</groupName>
      <ability>L2_HalfPunc</ability>
      <abilityName>全半角检查</abilityName>
      <candidateList>
        <item>:</item>
      </candidateList>
      <explain>文本全半角错误。</explain>
      <paraID>6C521792</paraID>
      <start>4</start>
      <end>5</end>
      <status>unmodified</status>
      <modifiedWord/>
      <trackRevisions>false</trackRevisions>
    </reviewItem>
    <reviewItem>
      <errorID>f6dcea95-285e-49a8-a265-ddcef97ce22a</errorID>
      <errorWord>：</errorWord>
      <group>L1_Format</group>
      <groupName>格式问题</groupName>
      <ability>L2_HalfPunc</ability>
      <abilityName>全半角检查</abilityName>
      <candidateList>
        <item>:</item>
      </candidateList>
      <explain>文本全半角错误。</explain>
      <paraID>245F3B58</paraID>
      <start>6</start>
      <end>7</end>
      <status>unmodified</status>
      <modifiedWord/>
      <trackRevisions>false</trackRevisions>
    </reviewItem>
    <reviewItem>
      <errorID>bca97a8d-af78-4a1b-bb58-db9a5dc18df5</errorID>
      <errorWord>：</errorWord>
      <group>L1_Format</group>
      <groupName>格式问题</groupName>
      <ability>L2_HalfPunc</ability>
      <abilityName>全半角检查</abilityName>
      <candidateList>
        <item>:</item>
      </candidateList>
      <explain>文本全半角错误。</explain>
      <paraID>48E6806B</paraID>
      <start>4</start>
      <end>5</end>
      <status>unmodified</status>
      <modifiedWord/>
      <trackRevisions>false</trackRevisions>
    </reviewItem>
    <reviewItem>
      <errorID>7388cf55-1831-4691-8456-6796f3e0ab22</errorID>
      <errorWord>：</errorWord>
      <group>L1_Format</group>
      <groupName>格式问题</groupName>
      <ability>L2_HalfPunc</ability>
      <abilityName>全半角检查</abilityName>
      <candidateList>
        <item>:</item>
      </candidateList>
      <explain>文本全半角错误。</explain>
      <paraID>4DD966D5</paraID>
      <start>6</start>
      <end>7</end>
      <status>unmodified</status>
      <modifiedWord/>
      <trackRevisions>false</trackRevisions>
    </reviewItem>
    <reviewItem>
      <errorID>3b396c65-5d1d-4600-a16e-103b45deac0c</errorID>
      <errorWord>：</errorWord>
      <group>L1_Format</group>
      <groupName>格式问题</groupName>
      <ability>L2_HalfPunc</ability>
      <abilityName>全半角检查</abilityName>
      <candidateList>
        <item>:</item>
      </candidateList>
      <explain>文本全半角错误。</explain>
      <paraID>49F1944F</paraID>
      <start>15</start>
      <end>16</end>
      <status>unmodified</status>
      <modifiedWord/>
      <trackRevisions>false</trackRevisions>
    </reviewItem>
    <reviewItem>
      <errorID>70644c83-ac47-4c37-ab3b-79533454a324</errorID>
      <errorWord>：</errorWord>
      <group>L1_Format</group>
      <groupName>格式问题</groupName>
      <ability>L2_HalfPunc</ability>
      <abilityName>全半角检查</abilityName>
      <candidateList>
        <item>:</item>
      </candidateList>
      <explain>文本全半角错误。</explain>
      <paraID>49F1944F</paraID>
      <start>21</start>
      <end>22</end>
      <status>unmodified</status>
      <modifiedWord/>
      <trackRevisions>false</trackRevisions>
    </reviewItem>
    <reviewItem>
      <errorID>6be79432-4324-4f1d-9a10-8c8d074422ee</errorID>
      <errorWord>：</errorWord>
      <group>L1_Format</group>
      <groupName>格式问题</groupName>
      <ability>L2_HalfPunc</ability>
      <abilityName>全半角检查</abilityName>
      <candidateList>
        <item>:</item>
      </candidateList>
      <explain>文本全半角错误。</explain>
      <paraID>49F1944F</paraID>
      <start>37</start>
      <end>38</end>
      <status>unmodified</status>
      <modifiedWord/>
      <trackRevisions>false</trackRevisions>
    </reviewItem>
    <reviewItem>
      <errorID>3fe8e660-14f0-41d3-9dc6-4c5e9e3170df</errorID>
      <errorWord>：</errorWord>
      <group>L1_Format</group>
      <groupName>格式问题</groupName>
      <ability>L2_HalfPunc</ability>
      <abilityName>全半角检查</abilityName>
      <candidateList>
        <item>:</item>
      </candidateList>
      <explain>文本全半角错误。</explain>
      <paraID>446A85D7</paraID>
      <start>14</start>
      <end>15</end>
      <status>unmodified</status>
      <modifiedWord/>
      <trackRevisions>false</trackRevisions>
    </reviewItem>
    <reviewItem>
      <errorID>dc9afe14-ead8-4137-8386-77e24507e736</errorID>
      <errorWord>减小</errorWord>
      <group>L1_Word</group>
      <groupName>字词问题</groupName>
      <ability>L2_Typo</ability>
      <abilityName>字词错误</abilityName>
      <candidateList>
        <item>减少</item>
      </candidateList>
      <explain>存在字形相近字词的误用。</explain>
      <paraID>42C145E3</paraID>
      <start>3</start>
      <end>5</end>
      <status>unmodified</status>
      <modifiedWord/>
      <trackRevisions>false</trackRevisions>
    </reviewItem>
    <reviewItem>
      <errorID>4519c26b-9c30-4ada-a766-df8016a67a7b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4D2BE107</paraID>
      <start>13</start>
      <end>14</end>
      <status>unmodified</status>
      <modifiedWord/>
      <trackRevisions>false</trackRevisions>
    </reviewItem>
    <reviewItem>
      <errorID>8e92095a-03a8-4975-82b1-ab032ba0ad1b</errorID>
      <errorWord>并应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59F9A27D</paraID>
      <start>28</start>
      <end>30</end>
      <status>unmodified</status>
      <modifiedWord/>
      <trackRevisions>false</trackRevisions>
    </reviewItem>
    <reviewItem>
      <errorID>18c41649-dc24-4169-910f-6ecaf2171a7b</errorID>
      <errorWord>,</errorWord>
      <group>L1_Format</group>
      <groupName>格式问题</groupName>
      <ability>L2_HalfPunc</ability>
      <abilityName>全半角检查</abilityName>
      <candidateList>
        <item>，</item>
      </candidateList>
      <explain>文本全半角错误。</explain>
      <paraID> 8D7A98F</paraID>
      <start>20</start>
      <end>21</end>
      <status>unmodified</status>
      <modifiedWord/>
      <trackRevisions>false</trackRevisions>
    </reviewItem>
    <reviewItem>
      <errorID>e8c396f5-34cd-446f-be55-cac68c86fb58</errorID>
      <errorWord>.</errorWord>
      <group>L1_Format</group>
      <groupName>格式问题</groupName>
      <ability>L2_HalfPunc</ability>
      <abilityName>全半角检查</abilityName>
      <candidateList>
        <item>。</item>
      </candidateList>
      <explain>文本全半角错误。</explain>
      <paraID>5490891F</paraID>
      <start>43</start>
      <end>44</end>
      <status>unmodified</status>
      <modifiedWord/>
      <trackRevisions>false</trackRevisions>
    </reviewItem>
    <reviewItem>
      <errorID>ec550b24-63bc-4de5-ae53-e403208a575c</errorID>
      <errorWord>~</errorWord>
      <group>L1_Format</group>
      <groupName>格式问题</groupName>
      <ability>L2_HalfPunc</ability>
      <abilityName>全半角检查</abilityName>
      <candidateList>
        <item>～</item>
      </candidateList>
      <explain>文本全半角错误。</explain>
      <paraID>47E9509D</paraID>
      <start>26</start>
      <end>27</end>
      <status>unmodified</status>
      <modifiedWord/>
      <trackRevisions>false</trackRevisions>
    </reviewItem>
    <reviewItem>
      <errorID>bfdde8a6-886b-47f3-8dfc-b9a5d839a7f4</errorID>
      <errorWord>(</errorWord>
      <group>L1_Format</group>
      <groupName>格式问题</groupName>
      <ability>L2_HalfPunc</ability>
      <abilityName>全半角检查</abilityName>
      <candidateList>
        <item>（</item>
      </candidateList>
      <explain>文本全半角错误。</explain>
      <paraID>47E9509D</paraID>
      <start>40</start>
      <end>41</end>
      <status>unmodified</status>
      <modifiedWord/>
      <trackRevisions>false</trackRevisions>
    </reviewItem>
    <reviewItem>
      <errorID>ce283954-99c3-4fb5-8794-8b50eaf82758</errorID>
      <errorWord>,</errorWord>
      <group>L1_Format</group>
      <groupName>格式问题</groupName>
      <ability>L2_HalfPunc</ability>
      <abilityName>全半角检查</abilityName>
      <candidateList>
        <item>，</item>
      </candidateList>
      <explain>文本全半角错误。</explain>
      <paraID>46DD6B7A</paraID>
      <start>21</start>
      <end>22</end>
      <status>unmodified</status>
      <modifiedWord/>
      <trackRevisions>false</trackRevisions>
    </reviewItem>
    <reviewItem>
      <errorID>419589af-4dea-4c24-a6e0-449a73c6485a</errorID>
      <errorWord>(</errorWord>
      <group>L1_Format</group>
      <groupName>格式问题</groupName>
      <ability>L2_HalfPunc</ability>
      <abilityName>全半角检查</abilityName>
      <candidateList>
        <item>（</item>
      </candidateList>
      <explain>文本全半角错误。</explain>
      <paraID>46DD6B7A</paraID>
      <start>39</start>
      <end>40</end>
      <status>unmodified</status>
      <modifiedWord/>
      <trackRevisions>false</trackRevisions>
    </reviewItem>
    <reviewItem>
      <errorID>2f3c2bfd-bd7a-4423-9646-f29d87fc697d</errorID>
      <errorWord>;</errorWord>
      <group>L1_Format</group>
      <groupName>格式问题</groupName>
      <ability>L2_HalfPunc</ability>
      <abilityName>全半角检查</abilityName>
      <candidateList>
        <item>；</item>
      </candidateList>
      <explain>文本全半角错误。</explain>
      <paraID>46DD6B7A</paraID>
      <start>121</start>
      <end>122</end>
      <status>unmodified</status>
      <modifiedWord/>
      <trackRevisions>false</trackRevisions>
    </reviewItem>
    <reviewItem>
      <errorID>1904de65-67c8-43ed-ab3f-8d12913a0969</errorID>
      <errorWord>》</errorWord>
      <group>L1_Word</group>
      <groupName>字词问题</groupName>
      <ability>L2_Typo</ability>
      <abilityName>字词错误</abilityName>
      <candidateList>
        <item>》和</item>
      </candidateList>
      <explain/>
      <paraID> B044F52</paraID>
      <start>17</start>
      <end>18</end>
      <status>unmodified</status>
      <modifiedWord/>
      <trackRevisions>false</trackRevisions>
    </reviewItem>
    <reviewItem>
      <errorID>ae58a191-4110-4b1a-9d07-7d30de558d23</errorID>
      <errorWord>》</errorWord>
      <group>L1_Word</group>
      <groupName>字词问题</groupName>
      <ability>L2_Typo</ability>
      <abilityName>字词错误</abilityName>
      <candidateList>
        <item>》等</item>
      </candidateList>
      <explain/>
      <paraID> B044F52</paraID>
      <start>34</start>
      <end>35</end>
      <status>unmodified</status>
      <modifiedWord/>
      <trackRevisions>false</trackRevisions>
    </reviewItem>
    <reviewItem>
      <errorID>44653c5e-dadd-4735-af17-bdc8c6888ca8</errorID>
      <errorWord>III类</errorWord>
      <group>L1_Knowledge</group>
      <groupName>知识性问题</groupName>
      <ability>L2_Knowledge</ability>
      <abilityName>其他知识</abilityName>
      <candidateList>
        <item>Ⅲ类</item>
      </candidateList>
      <explain/>
      <paraID> EA6D14A</paraID>
      <start>9</start>
      <end>13</end>
      <status>unmodified</status>
      <modifiedWord/>
      <trackRevisions>false</trackRevisions>
    </reviewItem>
    <reviewItem>
      <errorID>10b96bad-8466-4bb4-9c0c-c83ede3ba43d</errorID>
      <errorWord>III类</errorWord>
      <group>L1_Knowledge</group>
      <groupName>知识性问题</groupName>
      <ability>L2_Knowledge</ability>
      <abilityName>其他知识</abilityName>
      <candidateList>
        <item>Ⅲ类</item>
      </candidateList>
      <explain/>
      <paraID> EA6D14A</paraID>
      <start>24</start>
      <end>28</end>
      <status>unmodified</status>
      <modifiedWord/>
      <trackRevisions>false</trackRevisions>
    </reviewItem>
    <reviewItem>
      <errorID>f0b09a21-f899-4828-a8bd-d6ef595029c6</errorID>
      <errorWord>黑</errorWord>
      <group>L1_Word</group>
      <groupName>字词问题</groupName>
      <ability>L2_Typo</ability>
      <abilityName>字词错误</abilityName>
      <candidateList>
        <item>黑色</item>
      </candidateList>
      <explain/>
      <paraID> 69D7F4F</paraID>
      <start>25</start>
      <end>26</end>
      <status>unmodified</status>
      <modifiedWord/>
      <trackRevisions>false</trackRevisions>
    </reviewItem>
    <reviewItem>
      <errorID>c02ea9ec-4517-4d60-ae57-3ee7af9de44d</errorID>
      <errorWord>白</errorWord>
      <group>L1_Word</group>
      <groupName>字词问题</groupName>
      <ability>L2_Typo</ability>
      <abilityName>字词错误</abilityName>
      <candidateList>
        <item>白色</item>
      </candidateList>
      <explain/>
      <paraID>1875C1FF</paraID>
      <start>11</start>
      <end>12</end>
      <status>unmodified</status>
      <modifiedWord/>
      <trackRevisions>false</trackRevisions>
    </reviewItem>
    <reviewItem>
      <errorID>10a21370-1d1a-4846-9e00-083fe33e7c7f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7FB74F36</paraID>
      <start>0</start>
      <end>2</end>
      <status>unmodified</status>
      <modifiedWord/>
      <trackRevisions>false</trackRevisions>
    </reviewItem>
    <reviewItem>
      <errorID>5044c8b5-6f71-465e-aa62-917090621427</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3666B95D</paraID>
      <start>0</start>
      <end>2</end>
      <status>unmodified</status>
      <modifiedWord/>
      <trackRevisions>false</trackRevisions>
    </reviewItem>
    <reviewItem>
      <errorID>dcb12e43-63af-4adc-8f07-e99bd2569086</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7EE434F8</paraID>
      <start>0</start>
      <end>2</end>
      <status>unmodified</status>
      <modifiedWord/>
      <trackRevisions>false</trackRevisions>
    </reviewItem>
    <reviewItem>
      <errorID>2a0cd94f-1a9c-4a41-b479-56c57dfaf37d</errorID>
      <errorWord>,</errorWord>
      <group>L1_Format</group>
      <groupName>格式问题</groupName>
      <ability>L2_HalfPunc</ability>
      <abilityName>全半角检查</abilityName>
      <candidateList>
        <item>，</item>
      </candidateList>
      <explain>文本全半角错误。</explain>
      <paraID>7EE434F8</paraID>
      <start>23</start>
      <end>24</end>
      <status>unmodified</status>
      <modifiedWord/>
      <trackRevisions>false</trackRevisions>
    </reviewItem>
    <reviewItem>
      <errorID>5beebe55-0fcf-45b6-9707-5ff2794c06de</errorID>
      <errorWord>;</errorWord>
      <group>L1_Format</group>
      <groupName>格式问题</groupName>
      <ability>L2_HalfPunc</ability>
      <abilityName>全半角检查</abilityName>
      <candidateList>
        <item>；</item>
      </candidateList>
      <explain>文本全半角错误。</explain>
      <paraID>7EE434F8</paraID>
      <start>42</start>
      <end>43</end>
      <status>unmodified</status>
      <modifiedWord/>
      <trackRevisions>false</trackRevisions>
    </reviewItem>
    <reviewItem>
      <errorID>7149fc08-916e-4d50-aa1a-d661ca5f7f51</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13D1163E</paraID>
      <start>0</start>
      <end>2</end>
      <status>unmodified</status>
      <modifiedWord/>
      <trackRevisions>false</trackRevisions>
    </reviewItem>
    <reviewItem>
      <errorID>e76eca0f-5ed1-4a12-9015-b2fd0ff47a21</errorID>
      <errorWord>,</errorWord>
      <group>L1_Format</group>
      <groupName>格式问题</groupName>
      <ability>L2_HalfPunc</ability>
      <abilityName>全半角检查</abilityName>
      <candidateList>
        <item>，</item>
      </candidateList>
      <explain>文本全半角错误。</explain>
      <paraID>13D1163E</paraID>
      <start>11</start>
      <end>12</end>
      <status>unmodified</status>
      <modifiedWord/>
      <trackRevisions>false</trackRevisions>
    </reviewItem>
    <reviewItem>
      <errorID>79d1f381-a6ba-46a3-a63b-e028318a6c2e</errorID>
      <errorWord>,</errorWord>
      <group>L1_Format</group>
      <groupName>格式问题</groupName>
      <ability>L2_HalfPunc</ability>
      <abilityName>全半角检查</abilityName>
      <candidateList>
        <item>，</item>
      </candidateList>
      <explain>文本全半角错误。</explain>
      <paraID>13D1163E</paraID>
      <start>35</start>
      <end>36</end>
      <status>unmodified</status>
      <modifiedWord/>
      <trackRevisions>false</trackRevisions>
    </reviewItem>
    <reviewItem>
      <errorID>a5428a23-835c-4ee0-8427-6fb7417b8251</errorID>
      <errorWord>,</errorWord>
      <group>L1_Format</group>
      <groupName>格式问题</groupName>
      <ability>L2_HalfPunc</ability>
      <abilityName>全半角检查</abilityName>
      <candidateList>
        <item>，</item>
      </candidateList>
      <explain>文本全半角错误。</explain>
      <paraID>13D1163E</paraID>
      <start>46</start>
      <end>47</end>
      <status>unmodified</status>
      <modifiedWord/>
      <trackRevisions>false</trackRevisions>
    </reviewItem>
    <reviewItem>
      <errorID>17f12839-f1f0-4d10-808f-3e029eb2d900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64BCD47B</paraID>
      <start>43</start>
      <end>44</end>
      <status>unmodified</status>
      <modifiedWord/>
      <trackRevisions>false</trackRevisions>
    </reviewItem>
    <reviewItem>
      <errorID>c610742e-ff57-4104-a91d-5bb36bfef9a0</errorID>
      <errorWord>:</errorWord>
      <group>L1_Format</group>
      <groupName>格式问题</groupName>
      <ability>L2_HalfPunc</ability>
      <abilityName>全半角检查</abilityName>
      <candidateList>
        <item>：</item>
      </candidateList>
      <explain>文本全半角错误。</explain>
      <paraID>4889D01E</paraID>
      <start>31</start>
      <end>32</end>
      <status>unmodified</status>
      <modifiedWord/>
      <trackRevisions>false</trackRevisions>
    </reviewItem>
    <reviewItem>
      <errorID>06778cae-7c00-471f-9e2e-5e90f349f558</errorID>
      <errorWord>~</errorWord>
      <group>L1_Format</group>
      <groupName>格式问题</groupName>
      <ability>L2_HalfPunc</ability>
      <abilityName>全半角检查</abilityName>
      <candidateList>
        <item>～</item>
      </candidateList>
      <explain>文本全半角错误。</explain>
      <paraID>6A01E2AB</paraID>
      <start>43</start>
      <end>44</end>
      <status>unmodified</status>
      <modifiedWord/>
      <trackRevisions>false</trackRevisions>
    </reviewItem>
    <reviewItem>
      <errorID>c773326f-d105-4136-81a7-788c551e3f62</errorID>
      <errorWord>~</errorWord>
      <group>L1_Format</group>
      <groupName>格式问题</groupName>
      <ability>L2_HalfPunc</ability>
      <abilityName>全半角检查</abilityName>
      <candidateList>
        <item>～</item>
      </candidateList>
      <explain>文本全半角错误。</explain>
      <paraID>656196CE</paraID>
      <start>52</start>
      <end>53</end>
      <status>unmodified</status>
      <modifiedWord/>
      <trackRevisions>false</trackRevisions>
    </reviewItem>
    <reviewItem>
      <errorID>b102ae6f-6d67-406d-8632-ebd1296ba378</errorID>
      <errorWord>震荡</errorWord>
      <group>L1_Word</group>
      <groupName>字词问题</groupName>
      <ability>L2_Typo</ability>
      <abilityName>字词错误</abilityName>
      <candidateList>
        <item>振荡</item>
      </candidateList>
      <explain>存在发音相同字词的误用。</explain>
      <paraID> AAC0EDF</paraID>
      <start>17</start>
      <end>19</end>
      <status>unmodified</status>
      <modifiedWord/>
      <trackRevisions>false</trackRevisions>
    </reviewItem>
    <reviewItem>
      <errorID>59587620-22a5-4646-a7f4-d1552bb50ec0</errorID>
      <errorWord>线型</errorWord>
      <group>L1_Word</group>
      <groupName>字词问题</groupName>
      <ability>L2_Typo</ability>
      <abilityName>字词错误</abilityName>
      <candidateList>
        <item>线形</item>
      </candidateList>
      <explain/>
      <paraID>1602F016</paraID>
      <start>24</start>
      <end>26</end>
      <status>unmodified</status>
      <modifiedWord/>
      <trackRevisions>false</trackRevisions>
    </reviewItem>
    <reviewItem>
      <errorID>0ced8e21-b288-4ea9-af5a-8f948e711c17</errorID>
      <errorWord>粘</errorWord>
      <group>L1_Word</group>
      <groupName>字词问题</groupName>
      <ability>L2_Typo</ability>
      <abilityName>字词错误</abilityName>
      <candidateList>
        <item>黏</item>
      </candidateList>
      <explain>存在发音相同字词的误用。</explain>
      <paraID>1602F016</paraID>
      <start>60</start>
      <end>61</end>
      <status>unmodified</status>
      <modifiedWord/>
      <trackRevisions>false</trackRevisions>
    </reviewItem>
    <reviewItem>
      <errorID>b8cbb22c-6cd0-4827-bd8f-dc69d5aba2b5</errorID>
      <errorWord>,</errorWord>
      <group>L1_Format</group>
      <groupName>格式问题</groupName>
      <ability>L2_HalfPunc</ability>
      <abilityName>全半角检查</abilityName>
      <candidateList>
        <item>，</item>
      </candidateList>
      <explain>文本全半角错误。</explain>
      <paraID>119D8FC3</paraID>
      <start>19</start>
      <end>20</end>
      <status>unmodified</status>
      <modifiedWord/>
      <trackRevisions>false</trackRevisions>
    </reviewItem>
    <reviewItem>
      <errorID>aea617c4-e481-4d8f-a13c-aa771d50c7fd</errorID>
      <errorWord>热度锌</errorWord>
      <group>L1_Word</group>
      <groupName>字词问题</groupName>
      <ability>L2_Typo</ability>
      <abilityName>字词错误</abilityName>
      <candidateList>
        <item>热镀锌</item>
      </candidateList>
      <explain/>
      <paraID>119D8FC3</paraID>
      <start>29</start>
      <end>32</end>
      <status>modified</status>
      <modifiedWord>热镀锌</modifiedWord>
      <trackRevisions>false</trackRevisions>
    </reviewItem>
    <reviewItem>
      <errorID>a3fa81fe-ed8b-4a77-af87-c6c6aebebb81</errorID>
      <errorWord>,</errorWord>
      <group>L1_Format</group>
      <groupName>格式问题</groupName>
      <ability>L2_HalfPunc</ability>
      <abilityName>全半角检查</abilityName>
      <candidateList>
        <item>，</item>
      </candidateList>
      <explain>文本全半角错误。</explain>
      <paraID>119D8FC3</paraID>
      <start>36</start>
      <end>37</end>
      <status>unmodified</status>
      <modifiedWord/>
      <trackRevisions>false</trackRevisions>
    </reviewItem>
    <reviewItem>
      <errorID>3e14c490-d6c8-47e6-a1f7-423392346e87</errorID>
      <errorWord>,</errorWord>
      <group>L1_Format</group>
      <groupName>格式问题</groupName>
      <ability>L2_HalfPunc</ability>
      <abilityName>全半角检查</abilityName>
      <candidateList>
        <item>，</item>
      </candidateList>
      <explain>文本全半角错误。</explain>
      <paraID>119D8FC3</paraID>
      <start>76</start>
      <end>77</end>
      <status>unmodified</status>
      <modifiedWord/>
      <trackRevisions>false</trackRevisions>
    </reviewItem>
    <reviewItem>
      <errorID>9b5fd37f-77aa-453c-b132-7df76bd24846</errorID>
      <errorWord>;</errorWord>
      <group>L1_Format</group>
      <groupName>格式问题</groupName>
      <ability>L2_HalfPunc</ability>
      <abilityName>全半角检查</abilityName>
      <candidateList>
        <item>；</item>
      </candidateList>
      <explain>文本全半角错误。</explain>
      <paraID>119D8FC3</paraID>
      <start>91</start>
      <end>92</end>
      <status>unmodified</status>
      <modifiedWord/>
      <trackRevisions>false</trackRevisions>
    </reviewItem>
    <reviewItem>
      <errorID>bde1ae4c-6259-42c0-a27a-564012d1071b</errorID>
      <errorWord>(</errorWord>
      <group>L1_Format</group>
      <groupName>格式问题</groupName>
      <ability>L2_HalfPunc</ability>
      <abilityName>全半角检查</abilityName>
      <candidateList>
        <item>（</item>
      </candidateList>
      <explain>文本全半角错误。</explain>
      <paraID>7A614FD6</paraID>
      <start>35</start>
      <end>36</end>
      <status>unmodified</status>
      <modifiedWord/>
      <trackRevisions>false</trackRevisions>
    </reviewItem>
    <reviewItem>
      <errorID>dd99dd76-5498-4357-bac9-642a4b5775c1</errorID>
      <errorWord>(</errorWord>
      <group>L1_Format</group>
      <groupName>格式问题</groupName>
      <ability>L2_HalfPunc</ability>
      <abilityName>全半角检查</abilityName>
      <candidateList>
        <item>（</item>
      </candidateList>
      <explain>文本全半角错误。</explain>
      <paraID>7A614FD6</paraID>
      <start>56</start>
      <end>57</end>
      <status>unmodified</status>
      <modifiedWord/>
      <trackRevisions>false</trackRevisions>
    </reviewItem>
    <reviewItem>
      <errorID>3d2d008d-683f-4c15-95d3-6f8f7d0eef3e</errorID>
      <errorWord>(</errorWord>
      <group>L1_Format</group>
      <groupName>格式问题</groupName>
      <ability>L2_HalfPunc</ability>
      <abilityName>全半角检查</abilityName>
      <candidateList>
        <item>（</item>
      </candidateList>
      <explain>文本全半角错误。</explain>
      <paraID>7A614FD6</paraID>
      <start>138</start>
      <end>139</end>
      <status>unmodified</status>
      <modifiedWord/>
      <trackRevisions>false</trackRevisions>
    </reviewItem>
    <reviewItem>
      <errorID>d58a0fb9-6c43-4aba-92fe-0a90093a222d</errorID>
      <errorWord>(</errorWord>
      <group>L1_Format</group>
      <groupName>格式问题</groupName>
      <ability>L2_HalfPunc</ability>
      <abilityName>全半角检查</abilityName>
      <candidateList>
        <item>（</item>
      </candidateList>
      <explain>文本全半角错误。</explain>
      <paraID> F0B2881</paraID>
      <start>56</start>
      <end>57</end>
      <status>unmodified</status>
      <modifiedWord/>
      <trackRevisions>false</trackRevisions>
    </reviewItem>
    <reviewItem>
      <errorID>eb6d39f2-8c15-4298-9ec0-32f59cf3dcf1</errorID>
      <errorWord>基础要</errorWord>
      <group>L1_Word</group>
      <groupName>字词问题</groupName>
      <ability>L2_Typo</ability>
      <abilityName>字词错误</abilityName>
      <candidateList>
        <item>基础</item>
      </candidateList>
      <explain/>
      <paraID>3A1D8803</paraID>
      <start>43</start>
      <end>46</end>
      <status>unmodified</status>
      <modifiedWord/>
      <trackRevisions>false</trackRevisions>
    </reviewItem>
    <reviewItem>
      <errorID>5237b496-5020-4ce0-9156-859c18c70389</errorID>
      <errorWord>~</errorWord>
      <group>L1_Format</group>
      <groupName>格式问题</groupName>
      <ability>L2_HalfPunc</ability>
      <abilityName>全半角检查</abilityName>
      <candidateList>
        <item>～</item>
      </candidateList>
      <explain>文本全半角错误。</explain>
      <paraID>5033C107</paraID>
      <start>171</start>
      <end>172</end>
      <status>unmodified</status>
      <modifiedWord/>
      <trackRevisions>false</trackRevisions>
    </reviewItem>
    <reviewItem>
      <errorID>e8f8690a-a5cc-4ffd-b746-c54197682de6</errorID>
      <errorWord>(</errorWord>
      <group>L1_Format</group>
      <groupName>格式问题</groupName>
      <ability>L2_HalfPunc</ability>
      <abilityName>全半角检查</abilityName>
      <candidateList>
        <item>（</item>
      </candidateList>
      <explain>文本全半角错误。</explain>
      <paraID>5033C107</paraID>
      <start>190</start>
      <end>191</end>
      <status>unmodified</status>
      <modifiedWord/>
      <trackRevisions>false</trackRevisions>
    </reviewItem>
    <reviewItem>
      <errorID>a516e9e0-1ebc-4055-a0d8-0cfe0604667e</errorID>
      <errorWord>~</errorWord>
      <group>L1_Format</group>
      <groupName>格式问题</groupName>
      <ability>L2_HalfPunc</ability>
      <abilityName>全半角检查</abilityName>
      <candidateList>
        <item>～</item>
      </candidateList>
      <explain>文本全半角错误。</explain>
      <paraID>5033C107</paraID>
      <start>239</start>
      <end>240</end>
      <status>unmodified</status>
      <modifiedWord/>
      <trackRevisions>false</trackRevisions>
    </reviewItem>
    <reviewItem>
      <errorID>67724151-b5cf-4b85-aa53-712f7d62a4f8</errorID>
      <errorWord>，</errorWord>
      <group>L1_Word</group>
      <groupName>字词问题</groupName>
      <ability>L2_Typo</ability>
      <abilityName>字词错误</abilityName>
      <candidateList>
        <item>，需</item>
      </candidateList>
      <explain/>
      <paraID>6C811211</paraID>
      <start>46</start>
      <end>47</end>
      <status>unmodified</status>
      <modifiedWord/>
      <trackRevisions>false</trackRevisions>
    </reviewItem>
    <reviewItem>
      <errorID>9c5e0ca5-de0c-43cd-875c-84453ef86d0a</errorID>
      <errorWord>:</errorWord>
      <group>L1_Format</group>
      <groupName>格式问题</groupName>
      <ability>L2_HalfPunc</ability>
      <abilityName>全半角检查</abilityName>
      <candidateList>
        <item>：</item>
      </candidateList>
      <explain>文本全半角错误。</explain>
      <paraID> AD7D012</paraID>
      <start>53</start>
      <end>54</end>
      <status>unmodified</status>
      <modifiedWord/>
      <trackRevisions>false</trackRevisions>
    </reviewItem>
    <reviewItem>
      <errorID>82bf8500-ab21-4a77-be37-16ed1ee32de9</errorID>
      <errorWord>度</errorWord>
      <group>L1_Word</group>
      <groupName>字词问题</groupName>
      <ability>L2_Typo</ability>
      <abilityName>字词错误</abilityName>
      <candidateList>
        <item>度一</item>
      </candidateList>
      <explain/>
      <paraID>43D6C614</paraID>
      <start>26</start>
      <end>27</end>
      <status>unmodified</status>
      <modifiedWord/>
      <trackRevisions>false</trackRevisions>
    </reviewItem>
    <reviewItem>
      <errorID>6b594e18-8fa4-49d4-98b3-e8dd40a9102c</errorID>
      <errorWord>当道路</errorWord>
      <group>L1_Word</group>
      <groupName>字词问题</groupName>
      <ability>L2_Typo</ability>
      <abilityName>字词错误</abilityName>
      <candidateList>
        <item>道路</item>
      </candidateList>
      <explain/>
      <paraID>43D6C614</paraID>
      <start>29</start>
      <end>32</end>
      <status>unmodified</status>
      <modifiedWord/>
      <trackRevisions>false</trackRevisions>
    </reviewItem>
    <reviewItem>
      <errorID>fad49c44-d7da-452b-bbf2-a6f810b87095</errorID>
      <errorWord>;</errorWord>
      <group>L1_Format</group>
      <groupName>格式问题</groupName>
      <ability>L2_HalfPunc</ability>
      <abilityName>全半角检查</abilityName>
      <candidateList>
        <item>；</item>
      </candidateList>
      <explain>文本全半角错误。</explain>
      <paraID>2179C263</paraID>
      <start>17</start>
      <end>18</end>
      <status>unmodified</status>
      <modifiedWord/>
      <trackRevisions>false</trackRevisions>
    </reviewItem>
    <reviewItem>
      <errorID>5c1ada8c-37c2-43da-a5eb-c581b0648f31</errorID>
      <errorWord>;</errorWord>
      <group>L1_Format</group>
      <groupName>格式问题</groupName>
      <ability>L2_HalfPunc</ability>
      <abilityName>全半角检查</abilityName>
      <candidateList>
        <item>；</item>
      </candidateList>
      <explain>文本全半角错误。</explain>
      <paraID>572310A0</paraID>
      <start>33</start>
      <end>34</end>
      <status>unmodified</status>
      <modifiedWord/>
      <trackRevisions>false</trackRevisions>
    </reviewItem>
    <reviewItem>
      <errorID>fe51185c-492b-401c-b827-9bf13e17a218</errorID>
      <errorWord>;</errorWord>
      <group>L1_Format</group>
      <groupName>格式问题</groupName>
      <ability>L2_HalfPunc</ability>
      <abilityName>全半角检查</abilityName>
      <candidateList>
        <item>；</item>
      </candidateList>
      <explain>文本全半角错误。</explain>
      <paraID>30947A5B</paraID>
      <start>55</start>
      <end>56</end>
      <status>unmodified</status>
      <modifiedWord/>
      <trackRevisions>false</trackRevisions>
    </reviewItem>
    <reviewItem>
      <errorID>39c78ca2-919c-4ed1-a10b-cc9640e11fe8</errorID>
      <errorWord>次于路</errorWord>
      <group>L1_Word</group>
      <groupName>字词问题</groupName>
      <ability>L2_Typo</ability>
      <abilityName>字词错误</abilityName>
      <candidateList>
        <item>次干路</item>
      </candidateList>
      <explain>存在字形相近字词的误用。</explain>
      <paraID>30947A5B</paraID>
      <start>57</start>
      <end>60</end>
      <status>unmodified</status>
      <modifiedWord/>
      <trackRevisions>false</trackRevisions>
    </reviewItem>
    <reviewItem>
      <errorID>540943d3-df88-477d-afed-35a75b46b59c</errorID>
      <errorWord>1.5%~2%</errorWord>
      <group>L1_Knowledge</group>
      <groupName>知识性问题</groupName>
      <ability>L2_Knowledge</ability>
      <abilityName>其他知识</abilityName>
      <candidateList>
        <item>1.5%～2%</item>
      </candidateList>
      <explain>1. “1.5%~2%”中的单位“%”仅出现在后一个数字上，容易引起歧义；根据《现代汉语标点符号数字用法规范手册》，数字表示范围两边需要使用统一的格式。2. 根据标点国标 4.13 中的规则，数字、时间或地域连接符应使用（视觉上更长的）“—”或“～”。</explain>
      <paraID>30947A5B</paraID>
      <start>69</start>
      <end>76</end>
      <status>unmodified</status>
      <modifiedWord/>
      <trackRevisions>false</trackRevisions>
    </reviewItem>
    <reviewItem>
      <errorID>b8bc5974-ca59-46a6-b92c-8b00f34b51dd</errorID>
      <errorWord>1%~2%</errorWord>
      <group>L1_Knowledge</group>
      <groupName>知识性问题</groupName>
      <ability>L2_Knowledge</ability>
      <abilityName>其他知识</abilityName>
      <candidateList>
        <item>1%～2%</item>
      </candidateList>
      <explain>1. “1%~2%”中的单位“%”仅出现在后一个数字上，容易引起歧义；根据《现代汉语标点符号数字用法规范手册》，数字表示范围两边需要使用统一的格式。2. 根据标点国标 4.13 中的规则，数字、时间或地域连接符应使用（视觉上更长的）“—”或“～”。</explain>
      <paraID>30947A5B</paraID>
      <start>84</start>
      <end>89</end>
      <status>unmodified</status>
      <modifiedWord/>
      <trackRevisions>false</trackRevisions>
    </reviewItem>
    <reviewItem>
      <errorID>19a720f0-c65b-46a1-b062-697cefb0d8cf</errorID>
      <errorWord>0.3%~0.5%</errorWord>
      <group>L1_Knowledge</group>
      <groupName>知识性问题</groupName>
      <ability>L2_Knowledge</ability>
      <abilityName>其他知识</abilityName>
      <candidateList>
        <item>0.3%～0.5%</item>
      </candidateList>
      <explain>1. “0.3%~0.5%”中的单位“%”仅出现在后一个数字上，容易引起歧义；根据《现代汉语标点符号数字用法规范手册》，数字表示范围两边需要使用统一的格式。2. 根据标点国标 4.13 中的规则，数字、时间或地域连接符应使用（视觉上更长的）“—”或“～”。</explain>
      <paraID>30947A5B</paraID>
      <start>134</start>
      <end>143</end>
      <status>unmodified</status>
      <modifiedWord/>
      <trackRevisions>false</trackRevisions>
    </reviewItem>
    <reviewItem>
      <errorID>a4bb4a5f-80c6-47c1-912c-3630b3aad362</errorID>
      <errorWord>~</errorWord>
      <group>L1_Format</group>
      <groupName>格式问题</groupName>
      <ability>L2_HalfPunc</ability>
      <abilityName>全半角检查</abilityName>
      <candidateList>
        <item>～</item>
      </candidateList>
      <explain>文本全半角错误。</explain>
      <paraID>669B4275</paraID>
      <start>41</start>
      <end>42</end>
      <status>unmodified</status>
      <modifiedWord/>
      <trackRevisions>false</trackRevisions>
    </reviewItem>
    <reviewItem>
      <errorID>ce6aa71d-f533-4673-9878-e47cf513898e</errorID>
      <errorWord>支承</errorWord>
      <group>L1_Word</group>
      <groupName>字词问题</groupName>
      <ability>L2_Typo</ability>
      <abilityName>字词错误</abilityName>
      <candidateList>
        <item>支撑</item>
      </candidateList>
      <explain>〈动〉❶抵抗住压力使东西不倒塌：坑道里用柱子～着。❷勉强维持：他～着坐起来，头还在发晕｜一家的生活由他一人～。</explain>
      <paraID>6D7076A7</paraID>
      <start>0</start>
      <end>2</end>
      <status>unmodified</status>
      <modifiedWord/>
      <trackRevisions>false</trackRevisions>
    </reviewItem>
    <reviewItem>
      <errorID>49e22957-5c9e-4ea3-984e-f6a8408ee20d</errorID>
      <errorWord>宜</errorWord>
      <group>L1_Word</group>
      <groupName>字词问题</groupName>
      <ability>L2_Typo</ability>
      <abilityName>字词错误</abilityName>
      <candidateList>
        <item>体</item>
      </candidateList>
      <explain>存在发音相近字词的误用。</explain>
      <paraID>35582396</paraID>
      <start>1</start>
      <end>2</end>
      <status>unmodified</status>
      <modifiedWord/>
      <trackRevisions>false</trackRevisions>
    </reviewItem>
    <reviewItem>
      <errorID>91cabe33-4c6d-4141-8763-1a22dd540d7b</errorID>
      <errorWord>:</errorWord>
      <group>L1_Format</group>
      <groupName>格式问题</groupName>
      <ability>L2_HalfPunc</ability>
      <abilityName>全半角检查</abilityName>
      <candidateList>
        <item>：</item>
      </candidateList>
      <explain>文本全半角错误。</explain>
      <paraID>49DF67AD</paraID>
      <start>13</start>
      <end>14</end>
      <status>unmodified</status>
      <modifiedWord/>
      <trackRevisions>false</trackRevisions>
    </reviewItem>
    <reviewItem>
      <errorID>d1942c60-83bd-44c8-9218-45530534e3ee</errorID>
      <errorWord>:</errorWord>
      <group>L1_Format</group>
      <groupName>格式问题</groupName>
      <ability>L2_HalfPunc</ability>
      <abilityName>全半角检查</abilityName>
      <candidateList>
        <item>：</item>
      </candidateList>
      <explain>文本全半角错误。</explain>
      <paraID> 4728353</paraID>
      <start>22</start>
      <end>23</end>
      <status>unmodified</status>
      <modifiedWord/>
      <trackRevisions>false</trackRevisions>
    </reviewItem>
    <reviewItem>
      <errorID>02fca7fb-1a91-42a7-b20f-f4e7f3adf6f5</errorID>
      <errorWord>仲缩</errorWord>
      <group>L1_Word</group>
      <groupName>字词问题</groupName>
      <ability>L2_Typo</ability>
      <abilityName>字词错误</abilityName>
      <candidateList>
        <item>伸缩</item>
      </candidateList>
      <explain>存在字形相近字词的误用。</explain>
      <paraID> 9EFF5C1</paraID>
      <start>27</start>
      <end>29</end>
      <status>unmodified</status>
      <modifiedWord/>
      <trackRevisions>false</trackRevisions>
    </reviewItem>
    <reviewItem>
      <errorID>d25e79c9-da46-454c-9ab9-8c992d5eb1f3</errorID>
      <errorWord>检算</errorWord>
      <group>L1_Word</group>
      <groupName>字词问题</groupName>
      <ability>L2_Typo</ability>
      <abilityName>字词错误</abilityName>
      <candidateList>
        <item>计算</item>
      </candidateList>
      <explain/>
      <paraID>18C29AF3</paraID>
      <start>12</start>
      <end>14</end>
      <status>unmodified</status>
      <modifiedWord/>
      <trackRevisions>false</trackRevisions>
    </reviewItem>
    <reviewItem>
      <errorID>7547bd61-03b7-4c71-a08c-c9a415f6b29b</errorID>
      <errorWord>:</errorWord>
      <group>L1_Format</group>
      <groupName>格式问题</groupName>
      <ability>L2_HalfPunc</ability>
      <abilityName>全半角检查</abilityName>
      <candidateList>
        <item>：</item>
      </candidateList>
      <explain>文本全半角错误。</explain>
      <paraID>50A8860A</paraID>
      <start>20</start>
      <end>21</end>
      <status>unmodified</status>
      <modifiedWord/>
      <trackRevisions>false</trackRevisions>
    </reviewItem>
    <reviewItem>
      <errorID>df591f79-8a81-4a47-8714-82746b8b00fd</errorID>
      <errorWord>~</errorWord>
      <group>L1_Format</group>
      <groupName>格式问题</groupName>
      <ability>L2_HalfPunc</ability>
      <abilityName>全半角检查</abilityName>
      <candidateList>
        <item>～</item>
      </candidateList>
      <explain>文本全半角错误。</explain>
      <paraID>6C2B0778</paraID>
      <start>99</start>
      <end>100</end>
      <status>unmodified</status>
      <modifiedWord/>
      <trackRevisions>false</trackRevisions>
    </reviewItem>
    <reviewItem>
      <errorID>9d27f969-dd8c-44c5-9df3-a48f73f145d4</errorID>
      <errorWord>小午</errorWord>
      <group>L1_Word</group>
      <groupName>字词问题</groupName>
      <ability>L2_Typo</ability>
      <abilityName>字词错误</abilityName>
      <candidateList>
        <item>小于</item>
      </candidateList>
      <explain/>
      <paraID>49CA7EA1</paraID>
      <start>35</start>
      <end>37</end>
      <status>unmodified</status>
      <modifiedWord/>
      <trackRevisions>false</trackRevisions>
    </reviewItem>
    <reviewItem>
      <errorID>2e3dfaa4-f5b6-4e87-8dfd-87fea17a6e0a</errorID>
      <errorWord>粘结</errorWord>
      <group>L1_Word</group>
      <groupName>字词问题</groupName>
      <ability>L2_Typo</ability>
      <abilityName>字词错误</abilityName>
      <candidateList>
        <item>黏结</item>
      </candidateList>
      <explain>存在发音相同字词的误用。</explain>
      <paraID>7868C006</paraID>
      <start>52</start>
      <end>54</end>
      <status>unmodified</status>
      <modifiedWord/>
      <trackRevisions>false</trackRevisions>
    </reviewItem>
    <reviewItem>
      <errorID>fc52f4c0-c42d-42f9-a19a-63ad3b801aed</errorID>
      <errorWord>:</errorWord>
      <group>L1_Format</group>
      <groupName>格式问题</groupName>
      <ability>L2_HalfPunc</ability>
      <abilityName>全半角检查</abilityName>
      <candidateList>
        <item>：</item>
      </candidateList>
      <explain>文本全半角错误。</explain>
      <paraID>1FA3EB6B</paraID>
      <start>16</start>
      <end>17</end>
      <status>unmodified</status>
      <modifiedWord/>
      <trackRevisions>false</trackRevisions>
    </reviewItem>
    <reviewItem>
      <errorID>3e604dd6-7642-4a47-9b89-77bcbfa2df31</errorID>
      <errorWord>:</errorWord>
      <group>L1_Format</group>
      <groupName>格式问题</groupName>
      <ability>L2_HalfPunc</ability>
      <abilityName>全半角检查</abilityName>
      <candidateList>
        <item>：</item>
      </candidateList>
      <explain>文本全半角错误。</explain>
      <paraID> 6E79E71</paraID>
      <start>28</start>
      <end>29</end>
      <status>unmodified</status>
      <modifiedWord/>
      <trackRevisions>false</trackRevisions>
    </reviewItem>
    <reviewItem>
      <errorID>4e4e4de0-c04c-42cb-8475-bea1511725d6</errorID>
      <errorWord>大子</errorWord>
      <group>L1_Word</group>
      <groupName>字词问题</groupName>
      <ability>L2_Typo</ability>
      <abilityName>字词错误</abilityName>
      <candidateList>
        <item>大于</item>
      </candidateList>
      <explain/>
      <paraID>7EB61C4E</paraID>
      <start>3</start>
      <end>5</end>
      <status>unmodified</status>
      <modifiedWord/>
      <trackRevisions>false</trackRevisions>
    </reviewItem>
    <reviewItem>
      <errorID>f67b786a-14c2-4508-8105-3cc676e82b37</errorID>
      <errorWord>:</errorWord>
      <group>L1_Format</group>
      <groupName>格式问题</groupName>
      <ability>L2_HalfPunc</ability>
      <abilityName>全半角检查</abilityName>
      <candidateList>
        <item>：</item>
      </candidateList>
      <explain>文本全半角错误。</explain>
      <paraID>7F2A8341</paraID>
      <start>46</start>
      <end>47</end>
      <status>unmodified</status>
      <modifiedWord/>
      <trackRevisions>false</trackRevisions>
    </reviewItem>
    <reviewItem>
      <errorID>71250fc5-21ff-4090-b786-ea250b057446</errorID>
      <errorWord>作</errorWord>
      <group>L1_Word</group>
      <groupName>字词问题</groupName>
      <ability>L2_Typo</ability>
      <abilityName>字词错误</abilityName>
      <candidateList>
        <item>做</item>
      </candidateList>
      <explain>存在发音相同字词的误用。</explain>
      <paraID>7F2A8341</paraID>
      <start>53</start>
      <end>54</end>
      <status>unmodified</status>
      <modifiedWord/>
      <trackRevisions>false</trackRevisions>
    </reviewItem>
    <reviewItem>
      <errorID>486079c2-16fc-4794-9b6e-9e40374e6cb8</errorID>
      <errorWord>其它</errorWord>
      <group>L1_Word</group>
      <groupName>字词问题</groupName>
      <ability>L2_Alias</ability>
      <abilityName>也作/曾用词</abilityName>
      <candidateList>
        <item>其他</item>
      </candidateList>
      <explain>词汇[其它]为不规范表述或旧称，其规范书面表述为[其他]。</explain>
      <paraID>4BDF38E0</paraID>
      <start>3</start>
      <end>5</end>
      <status>unmodified</status>
      <modifiedWord/>
      <trackRevisions>false</trackRevisions>
    </reviewItem>
    <reviewItem>
      <errorID>6c337b03-37d7-4ade-ae5e-7b21fd16fa9a</errorID>
      <errorWord>:</errorWord>
      <group>L1_Format</group>
      <groupName>格式问题</groupName>
      <ability>L2_HalfPunc</ability>
      <abilityName>全半角检查</abilityName>
      <candidateList>
        <item>：</item>
      </candidateList>
      <explain>文本全半角错误。</explain>
      <paraID> 56C06C9</paraID>
      <start>25</start>
      <end>26</end>
      <status>unmodified</status>
      <modifiedWord/>
      <trackRevisions>false</trackRevisions>
    </reviewItem>
    <reviewItem>
      <errorID>7db03c87-0efe-4a03-a749-cc915225ff95</errorID>
      <errorWord>夜半</errorWord>
      <group>L1_Word</group>
      <groupName>字词问题</groupName>
      <ability>L2_Typo</ability>
      <abilityName>字词错误</abilityName>
      <candidateList>
        <item>夜晚</item>
      </candidateList>
      <explain/>
      <paraID> 4B30C38</paraID>
      <start>73</start>
      <end>75</end>
      <status>unmodified</status>
      <modifiedWord/>
      <trackRevisions>false</trackRevisions>
    </reviewItem>
    <reviewItem>
      <errorID>c6413a48-0a67-4094-ab81-4c3fdaf26794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4B30C38</paraID>
      <start>107</start>
      <end>108</end>
      <status>unmodified</status>
      <modifiedWord/>
      <trackRevisions>false</trackRevisions>
    </reviewItem>
    <reviewItem>
      <errorID>7ba024ca-3da0-4348-8081-80acda476f34</errorID>
      <errorWord>沿</errorWord>
      <group>L1_Word</group>
      <groupName>字词问题</groupName>
      <ability>L2_Typo</ability>
      <abilityName>字词错误</abilityName>
      <candidateList>
        <item>缘</item>
      </candidateList>
      <explain/>
      <paraID>2921951A</paraID>
      <start>10</start>
      <end>11</end>
      <status>unmodified</status>
      <modifiedWord/>
      <trackRevisions>false</trackRevisions>
    </reviewItem>
    <reviewItem>
      <errorID>1a7cf61c-59f7-489b-baf6-ff0aab48fc0b</errorID>
      <errorWord>其它</errorWord>
      <group>L1_Word</group>
      <groupName>字词问题</groupName>
      <ability>L2_Alias</ability>
      <abilityName>也作/曾用词</abilityName>
      <candidateList>
        <item>其他</item>
      </candidateList>
      <explain>词汇[其它]为不规范表述或旧称，其规范书面表述为[其他]。</explain>
      <paraID>2921951A</paraID>
      <start>27</start>
      <end>29</end>
      <status>unmodified</status>
      <modifiedWord/>
      <trackRevisions>false</trackRevisions>
    </reviewItem>
    <reviewItem>
      <errorID>bd652e30-8bc6-4fbd-b6e5-c13e473c6d80</errorID>
      <errorWord>特</errorWord>
      <group>L1_Word</group>
      <groupName>字词问题</groupName>
      <ability>L2_Typo</ability>
      <abilityName>字词错误</abilityName>
      <candidateList>
        <item>特色</item>
      </candidateList>
      <explain>〈名〉事物所表现的独特的色彩、风格等：民族～｜艺术～｜他们的表演各有～。</explain>
      <paraID>1CCD52B2</paraID>
      <start>52</start>
      <end>53</end>
      <status>unmodified</status>
      <modifiedWord/>
      <trackRevisions>false</trackRevisions>
    </reviewItem>
    <reviewItem>
      <errorID>c32d92ce-65d4-4493-8338-a47f657790af</errorID>
      <errorWord>和</errorWord>
      <group>L1_Word</group>
      <groupName>字词问题</groupName>
      <ability>L2_Typo</ability>
      <abilityName>字词错误</abilityName>
      <candidateList>
        <item>和可</item>
      </candidateList>
      <explain/>
      <paraID> BEA2FEA</paraID>
      <start>9</start>
      <end>10</end>
      <status>unmodified</status>
      <modifiedWord/>
      <trackRevisions>false</trackRevisions>
    </reviewItem>
    <reviewItem>
      <errorID>20f903ae-588e-44e6-bfb8-873b79fe0fce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4655F980</paraID>
      <start>25</start>
      <end>26</end>
      <status>unmodified</status>
      <modifiedWord/>
      <trackRevisions>false</trackRevisions>
    </reviewItem>
    <reviewItem>
      <errorID>0d1a34e3-a58f-4bbd-84be-31981b24e318</errorID>
      <errorWord>好</errorWord>
      <group>L1_Word</group>
      <groupName>字词问题</groupName>
      <ability>L2_Typo</ability>
      <abilityName>字词错误</abilityName>
      <candidateList>
        <item>好地</item>
      </candidateList>
      <explain/>
      <paraID>4655F980</paraID>
      <start>43</start>
      <end>44</end>
      <status>unmodified</status>
      <modifiedWord/>
      <trackRevisions>false</trackRevisions>
    </reviewItem>
    <reviewItem>
      <errorID>5ba0ddb6-e01d-46dd-b84b-4427f43404cb</errorID>
      <errorWord>适当的</errorWord>
      <group>L1_Word</group>
      <groupName>字词问题</groupName>
      <ability>L2_Typo</ability>
      <abilityName>字词错误</abilityName>
      <candidateList>
        <item>适当地</item>
      </candidateList>
      <explain/>
      <paraID>4655F980</paraID>
      <start>63</start>
      <end>66</end>
      <status>unmodified</status>
      <modifiedWord/>
      <trackRevisions>false</trackRevisions>
    </reviewItem>
    <reviewItem>
      <errorID>26773dad-f4cc-4d03-84af-8db867636176</errorID>
      <errorWord>冠密</errorWord>
      <group>L1_Word</group>
      <groupName>字词问题</groupName>
      <ability>L2_Typo</ability>
      <abilityName>字词错误</abilityName>
      <candidateList>
        <item>茂密</item>
      </candidateList>
      <explain/>
      <paraID>6B518820</paraID>
      <start>41</start>
      <end>43</end>
      <status>unmodified</status>
      <modifiedWord/>
      <trackRevisions>false</trackRevisions>
    </reviewItem>
    <reviewItem>
      <errorID>83c0ced7-2a5f-4f50-ab2b-c17f02a7bf8e</errorID>
      <errorWord>遮荫</errorWord>
      <group>L1_Word</group>
      <groupName>字词问题</groupName>
      <ability>L2_Typo</ability>
      <abilityName>字词错误</abilityName>
      <candidateList>
        <item>遮阴</item>
      </candidateList>
      <explain>存在发音相同字词的误用。</explain>
      <paraID>6B518820</paraID>
      <start>44</start>
      <end>46</end>
      <status>unmodified</status>
      <modifiedWord/>
      <trackRevisions>false</trackRevisions>
    </reviewItem>
    <reviewItem>
      <errorID>cb01c9e2-3905-4c51-9f37-077456291fc8</errorID>
      <errorWord>乔术</errorWord>
      <group>L1_Word</group>
      <groupName>字词问题</groupName>
      <ability>L2_Typo</ability>
      <abilityName>字词错误</abilityName>
      <candidateList>
        <item>乔木</item>
      </candidateList>
      <explain>存在字形相近字词的误用。</explain>
      <paraID>5A6B21C2</paraID>
      <start>61</start>
      <end>63</end>
      <status>unmodified</status>
      <modifiedWord/>
      <trackRevisions>false</trackRevisions>
    </reviewItem>
    <reviewItem>
      <errorID>329579f6-b3b2-432c-bb7e-8e4cdc60646a</errorID>
      <errorWord>设</errorWord>
      <group>L1_Word</group>
      <groupName>字词问题</groupName>
      <ability>L2_Typo</ability>
      <abilityName>字词错误</abilityName>
      <candidateList>
        <item>设置</item>
      </candidateList>
      <explain>〈动〉❶设立：这座剧院是为儿童～的。❷安放；安装：～障碍。</explain>
      <paraID>2E536B64</paraID>
      <start>25</start>
      <end>26</end>
      <status>unmodified</status>
      <modifiedWord/>
      <trackRevisions>false</trackRevisions>
    </reviewItem>
    <reviewItem>
      <errorID>ed4b15ec-c107-4b3a-ab8d-aafbc3ef0003</errorID>
      <errorWord>,</errorWord>
      <group>L1_Format</group>
      <groupName>格式问题</groupName>
      <ability>L2_HalfPunc</ability>
      <abilityName>全半角检查</abilityName>
      <candidateList>
        <item>，</item>
      </candidateList>
      <explain>文本全半角错误。</explain>
      <paraID>5E91F9E4</paraID>
      <start>17</start>
      <end>18</end>
      <status>unmodified</status>
      <modifiedWord/>
      <trackRevisions>false</trackRevisions>
    </reviewItem>
    <reviewItem>
      <errorID>6fbc0d03-a91f-4b9b-9eee-2b94debadaab</errorID>
      <errorWord>,</errorWord>
      <group>L1_Format</group>
      <groupName>格式问题</groupName>
      <ability>L2_HalfPunc</ability>
      <abilityName>全半角检查</abilityName>
      <candidateList>
        <item>，</item>
      </candidateList>
      <explain>文本全半角错误。</explain>
      <paraID>212C76E6</paraID>
      <start>32</start>
      <end>33</end>
      <status>unmodified</status>
      <modifiedWord/>
      <trackRevisions>false</trackRevisions>
    </reviewItem>
    <reviewItem>
      <errorID>8b6b2890-c285-4c5a-a52d-dd757319b66c</errorID>
      <errorWord>接所有</errorWord>
      <group>L1_Word</group>
      <groupName>字词问题</groupName>
      <ability>L2_Typo</ability>
      <abilityName>字词错误</abilityName>
      <candidateList>
        <item>所有</item>
      </candidateList>
      <explain/>
      <paraID>212C76E6</paraID>
      <start>101</start>
      <end>104</end>
      <status>unmodified</status>
      <modifiedWord/>
      <trackRevisions>false</trackRevisions>
    </reviewItem>
    <reviewItem>
      <errorID>029f8bd7-2c2d-4642-8409-cb2c09d31c5b</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212C76E6</paraID>
      <start>123</start>
      <end>124</end>
      <status>unmodified</status>
      <modifiedWord/>
      <trackRevisions>false</trackRevisions>
    </reviewItem>
    <reviewItem>
      <errorID>b940a4b5-16e1-428f-8459-721d09073926</errorID>
      <errorWord>座</errorWord>
      <group>L1_Knowledge</group>
      <groupName>知识性问题</groupName>
      <ability>L2_Knowledge</ability>
      <abilityName>其他知识</abilityName>
      <candidateList>
        <item>眼</item>
      </candidateList>
      <explain/>
      <paraID>41DA0B94</paraID>
      <start>4</start>
      <end>5</end>
      <status>unmodified</status>
      <modifiedWord/>
      <trackRevisions>false</trackRevisions>
    </reviewItem>
    <reviewItem>
      <errorID>e50a7151-58fd-4d52-9d2b-6f91df5dde8c</errorID>
      <errorWord>电力管道</errorWord>
      <group>L1_Knowledge</group>
      <groupName>知识性问题</groupName>
      <ability>L2_Term</ability>
      <abilityName>专业术语</abilityName>
      <candidateList>
        <item>压力管道</item>
      </candidateList>
      <explain/>
      <paraID>38384FA7</paraID>
      <start>49</start>
      <end>53</end>
      <status>unmodified</status>
      <modifiedWord/>
      <trackRevisions>false</trackRevisions>
    </reviewItem>
    <reviewItem>
      <errorID>f03892fc-fca1-4546-86d4-600c956a747a</errorID>
      <errorWord>电缆管道</errorWord>
      <group>L1_Knowledge</group>
      <groupName>知识性问题</groupName>
      <ability>L2_Term</ability>
      <abilityName>专业术语</abilityName>
      <candidateList>
        <item>电缆井道</item>
      </candidateList>
      <explain/>
      <paraID>3BDD143B</paraID>
      <start>3</start>
      <end>7</end>
      <status>unmodified</status>
      <modifiedWord/>
      <trackRevisions>false</trackRevisions>
    </reviewItem>
    <reviewItem>
      <errorID>da4c35be-1515-4d65-a4cc-fb8336f9a49e</errorID>
      <errorWord>中（小）型</errorWord>
      <group>L1_Punc</group>
      <groupName>标点问题</groupName>
      <ability>L2_Punc</ability>
      <abilityName>标点符号检查</abilityName>
      <candidateList>
        <item>中小型</item>
      </candidateList>
      <explain/>
      <paraID>3BDD143B</paraID>
      <start>22</start>
      <end>27</end>
      <status>unmodified</status>
      <modifiedWord/>
      <trackRevisions>false</trackRevisions>
    </reviewItem>
    <reviewItem>
      <errorID>0d5c9f23-6853-415a-ad13-1aeeaf018a01</errorID>
      <errorWord>通信管道</errorWord>
      <group>L1_Knowledge</group>
      <groupName>知识性问题</groupName>
      <ability>L2_Term</ability>
      <abilityName>专业术语</abilityName>
      <candidateList>
        <item>通风管道</item>
      </candidateList>
      <explain/>
      <paraID>7F7AA5BE</paraID>
      <start>3</start>
      <end>7</end>
      <status>unmodified</status>
      <modifiedWord/>
      <trackRevisions>false</trackRevisions>
    </reviewItem>
    <reviewItem>
      <errorID>ba0a68da-0ec5-4d01-b42c-f8b18aa0aed7</errorID>
      <errorWord>接近于</errorWord>
      <group>L1_Word</group>
      <groupName>字词问题</groupName>
      <ability>L2_Typo</ability>
      <abilityName>字词错误</abilityName>
      <candidateList>
        <item>接近</item>
      </candidateList>
      <explain/>
      <paraID>7E2DAF98</paraID>
      <start>28</start>
      <end>31</end>
      <status>unmodified</status>
      <modifiedWord/>
      <trackRevisions>false</trackRevisions>
    </reviewItem>
    <reviewItem>
      <errorID>b4ecd6bb-1dd2-454d-8542-de16f9654956</errorID>
      <errorWord>通信管道</errorWord>
      <group>L1_Knowledge</group>
      <groupName>知识性问题</groupName>
      <ability>L2_Term</ability>
      <abilityName>专业术语</abilityName>
      <candidateList>
        <item>通风管道</item>
      </candidateList>
      <explain/>
      <paraID>20AF95E7</paraID>
      <start>46</start>
      <end>50</end>
      <status>unmodified</status>
      <modifiedWord/>
      <trackRevisions>false</trackRevisions>
    </reviewItem>
    <reviewItem>
      <errorID>064b2190-a2c0-4797-ab79-c75ed1e71cf7</errorID>
      <errorWord>电缆管道</errorWord>
      <group>L1_Knowledge</group>
      <groupName>知识性问题</groupName>
      <ability>L2_Term</ability>
      <abilityName>专业术语</abilityName>
      <candidateList>
        <item>电缆井道</item>
      </candidateList>
      <explain/>
      <paraID>782F32DA</paraID>
      <start>3</start>
      <end>7</end>
      <status>unmodified</status>
      <modifiedWord/>
      <trackRevisions>false</trackRevisions>
    </reviewItem>
    <reviewItem>
      <errorID>ad185639-f47d-4e74-8337-72c39605a100</errorID>
      <errorWord>通信管道</errorWord>
      <group>L1_Knowledge</group>
      <groupName>知识性问题</groupName>
      <ability>L2_Term</ability>
      <abilityName>专业术语</abilityName>
      <candidateList>
        <item>通风管道</item>
      </candidateList>
      <explain/>
      <paraID>45BEBF72</paraID>
      <start>3</start>
      <end>7</end>
      <status>unmodified</status>
      <modifiedWord/>
      <trackRevisions>false</trackRevisions>
    </reviewItem>
    <reviewItem>
      <errorID>9dbac997-c89e-47d8-863c-8b9e3e45e1eb</errorID>
      <errorWord>转输</errorWord>
      <group>L1_Word</group>
      <groupName>字词问题</groupName>
      <ability>L2_Typo</ability>
      <abilityName>字词错误</abilityName>
      <candidateList>
        <item>传输</item>
      </candidateList>
      <explain>存在发音相同字词的误用。</explain>
      <paraID>260EA302</paraID>
      <start>4</start>
      <end>6</end>
      <status>unmodified</status>
      <modifiedWord/>
      <trackRevisions>false</trackRevisions>
    </reviewItem>
    <reviewItem>
      <errorID>2005e41a-773d-4ede-98da-04dc0508caf0</errorID>
      <errorWord>(</errorWord>
      <group>L1_Format</group>
      <groupName>格式问题</groupName>
      <ability>L2_HalfPunc</ability>
      <abilityName>全半角检查</abilityName>
      <candidateList>
        <item>（</item>
      </candidateList>
      <explain>文本全半角错误。</explain>
      <paraID>20FA10B7</paraID>
      <start>6</start>
      <end>7</end>
      <status>unmodified</status>
      <modifiedWord/>
      <trackRevisions>false</trackRevisions>
    </reviewItem>
    <reviewItem>
      <errorID>0ceec93a-cd66-49b1-96ef-b227f48ab5ff</errorID>
      <errorWord>(</errorWord>
      <group>L1_Format</group>
      <groupName>格式问题</groupName>
      <ability>L2_HalfPunc</ability>
      <abilityName>全半角检查</abilityName>
      <candidateList>
        <item>（</item>
      </candidateList>
      <explain>文本全半角错误。</explain>
      <paraID>20FA10B7</paraID>
      <start>55</start>
      <end>56</end>
      <status>unmodified</status>
      <modifiedWord/>
      <trackRevisions>false</trackRevisions>
    </reviewItem>
    <reviewItem>
      <errorID>02963463-941d-418a-aa47-df7aaea7395b</errorID>
      <errorWord>污水厂</errorWord>
      <group>L1_Word</group>
      <groupName>字词问题</groupName>
      <ability>L2_Typo</ability>
      <abilityName>字词错误</abilityName>
      <candidateList>
        <item>污水处理厂</item>
      </candidateList>
      <explain/>
      <paraID>76131820</paraID>
      <start>41</start>
      <end>44</end>
      <status>unmodified</status>
      <modifiedWord/>
      <trackRevisions>false</trackRevisions>
    </reviewItem>
    <reviewItem>
      <errorID>c81df632-886e-42ea-af04-12cc624f3d24</errorID>
      <errorWord>流槽</errorWord>
      <group>L1_Word</group>
      <groupName>字词问题</groupName>
      <ability>L2_Typo</ability>
      <abilityName>字词错误</abilityName>
      <candidateList>
        <item>溜槽</item>
      </candidateList>
      <explain/>
      <paraID>63578128</paraID>
      <start>59</start>
      <end>61</end>
      <status>unmodified</status>
      <modifiedWord/>
      <trackRevisions>false</trackRevisions>
    </reviewItem>
    <reviewItem>
      <errorID>be73a0c4-ac15-4231-9fc1-529a1ec09e13</errorID>
      <errorWord>做</errorWord>
      <group>L1_Word</group>
      <groupName>字词问题</groupName>
      <ability>L2_Typo</ability>
      <abilityName>字词错误</abilityName>
      <candidateList>
        <item>作</item>
      </candidateList>
      <explain>存在发音相同字词的误用。</explain>
      <paraID>2DB73049</paraID>
      <start>84</start>
      <end>85</end>
      <status>unmodified</status>
      <modifiedWord/>
      <trackRevisions>false</trackRevisions>
    </reviewItem>
    <reviewItem>
      <errorID>fa1793bf-dd7f-47f7-a660-57ff895f8895</errorID>
      <errorWord>流槽</errorWord>
      <group>L1_Word</group>
      <groupName>字词问题</groupName>
      <ability>L2_Typo</ability>
      <abilityName>字词错误</abilityName>
      <candidateList>
        <item>溜槽</item>
      </candidateList>
      <explain/>
      <paraID>2DB73049</paraID>
      <start>85</start>
      <end>87</end>
      <status>unmodified</status>
      <modifiedWord/>
      <trackRevisions>false</trackRevisions>
    </reviewItem>
    <reviewItem>
      <errorID>0387da93-9e59-43ff-8fe1-ffcd5a8eab44</errorID>
      <errorWord>:</errorWord>
      <group>L1_Format</group>
      <groupName>格式问题</groupName>
      <ability>L2_HalfPunc</ability>
      <abilityName>全半角检查</abilityName>
      <candidateList>
        <item>：</item>
      </candidateList>
      <explain>文本全半角错误。</explain>
      <paraID>6739238A</paraID>
      <start>7</start>
      <end>8</end>
      <status>unmodified</status>
      <modifiedWord/>
      <trackRevisions>false</trackRevisions>
    </reviewItem>
    <reviewItem>
      <errorID>3b15d2d5-da1a-4449-adf7-f35d8f8af59b</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F7B7C4E</paraID>
      <start>0</start>
      <end>2</end>
      <status>unmodified</status>
      <modifiedWord/>
      <trackRevisions>false</trackRevisions>
    </reviewItem>
    <reviewItem>
      <errorID>97647d64-02a5-4759-a045-e8cfaafee9a5</errorID>
      <errorWord>流槽</errorWord>
      <group>L1_Word</group>
      <groupName>字词问题</groupName>
      <ability>L2_Typo</ability>
      <abilityName>字词错误</abilityName>
      <candidateList>
        <item>溜槽</item>
      </candidateList>
      <explain/>
      <paraID> F7B7C4E</paraID>
      <start>9</start>
      <end>11</end>
      <status>unmodified</status>
      <modifiedWord/>
      <trackRevisions>false</trackRevisions>
    </reviewItem>
    <reviewItem>
      <errorID>df172181-5eca-484b-8224-eabe20492be6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D7FDD52</paraID>
      <start>0</start>
      <end>2</end>
      <status>unmodified</status>
      <modifiedWord/>
      <trackRevisions>false</trackRevisions>
    </reviewItem>
    <reviewItem>
      <errorID>192ab44d-bde3-4a95-8bd1-95647cba4656</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103F906B</paraID>
      <start>0</start>
      <end>2</end>
      <status>unmodified</status>
      <modifiedWord/>
      <trackRevisions>false</trackRevisions>
    </reviewItem>
    <reviewItem>
      <errorID>fee81711-9388-4b97-8340-dcc3c101c007</errorID>
      <errorWord>;</errorWord>
      <group>L1_Format</group>
      <groupName>格式问题</groupName>
      <ability>L2_HalfPunc</ability>
      <abilityName>全半角检查</abilityName>
      <candidateList>
        <item>；</item>
      </candidateList>
      <explain>文本全半角错误。</explain>
      <paraID>103F906B</paraID>
      <start>46</start>
      <end>47</end>
      <status>unmodified</status>
      <modifiedWord/>
      <trackRevisions>false</trackRevisions>
    </reviewItem>
    <reviewItem>
      <errorID>8961b95e-7bc1-4451-a230-461d00fef8a1</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836830D</paraID>
      <start>0</start>
      <end>2</end>
      <status>unmodified</status>
      <modifiedWord/>
      <trackRevisions>false</trackRevisions>
    </reviewItem>
    <reviewItem>
      <errorID>09bbdf06-8375-4ee8-a547-8d585489467d</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3222C9D7</paraID>
      <start>0</start>
      <end>2</end>
      <status>unmodified</status>
      <modifiedWord/>
      <trackRevisions>false</trackRevisions>
    </reviewItem>
    <reviewItem>
      <errorID>21862e2a-822e-4e3f-ac1d-55df8a1d6a33</errorID>
      <errorWord>,</errorWord>
      <group>L1_Format</group>
      <groupName>格式问题</groupName>
      <ability>L2_HalfPunc</ability>
      <abilityName>全半角检查</abilityName>
      <candidateList>
        <item>，</item>
      </candidateList>
      <explain>文本全半角错误。</explain>
      <paraID>3222C9D7</paraID>
      <start>7</start>
      <end>8</end>
      <status>unmodified</status>
      <modifiedWord/>
      <trackRevisions>false</trackRevisions>
    </reviewItem>
    <reviewItem>
      <errorID>6d82fdff-4a04-4d45-b2b3-e2909b036768</errorID>
      <errorWord>井简</errorWord>
      <group>L1_Word</group>
      <groupName>字词问题</groupName>
      <ability>L2_Typo</ability>
      <abilityName>字词错误</abilityName>
      <candidateList>
        <item>井筒</item>
      </candidateList>
      <explain>存在字形相近字词的误用。</explain>
      <paraID>3222C9D7</paraID>
      <start>12</start>
      <end>14</end>
      <status>unmodified</status>
      <modifiedWord/>
      <trackRevisions>false</trackRevisions>
    </reviewItem>
    <reviewItem>
      <errorID>a4781be3-0362-4d8d-b885-26b7348b6c85</errorID>
      <errorWord>,</errorWord>
      <group>L1_Format</group>
      <groupName>格式问题</groupName>
      <ability>L2_HalfPunc</ability>
      <abilityName>全半角检查</abilityName>
      <candidateList>
        <item>，</item>
      </candidateList>
      <explain>文本全半角错误。</explain>
      <paraID>3222C9D7</paraID>
      <start>23</start>
      <end>24</end>
      <status>unmodified</status>
      <modifiedWord/>
      <trackRevisions>false</trackRevisions>
    </reviewItem>
    <reviewItem>
      <errorID>b2f80776-548f-49ca-bebd-de9d0c70a1e9</errorID>
      <errorWord>沙砾</errorWord>
      <group>L1_Word</group>
      <groupName>字词问题</groupName>
      <ability>L2_Typo</ability>
      <abilityName>字词错误</abilityName>
      <candidateList>
        <item>砂砾</item>
      </candidateList>
      <explain>存在发音相同字词的误用。</explain>
      <paraID>3222C9D7</paraID>
      <start>33</start>
      <end>35</end>
      <status>unmodified</status>
      <modifiedWord/>
      <trackRevisions>false</trackRevisions>
    </reviewItem>
    <reviewItem>
      <errorID>ca3684cb-6c31-47ae-81ac-baa7ad90d693</errorID>
      <errorWord>,</errorWord>
      <group>L1_Format</group>
      <groupName>格式问题</groupName>
      <ability>L2_HalfPunc</ability>
      <abilityName>全半角检查</abilityName>
      <candidateList>
        <item>，</item>
      </candidateList>
      <explain>文本全半角错误。</explain>
      <paraID>3222C9D7</paraID>
      <start>40</start>
      <end>41</end>
      <status>unmodified</status>
      <modifiedWord/>
      <trackRevisions>false</trackRevisions>
    </reviewItem>
    <reviewItem>
      <errorID>6c6475ec-9740-4120-94eb-26a9a37eadec</errorID>
      <errorWord>(</errorWord>
      <group>L1_Format</group>
      <groupName>格式问题</groupName>
      <ability>L2_HalfPunc</ability>
      <abilityName>全半角检查</abilityName>
      <candidateList>
        <item>（</item>
      </candidateList>
      <explain>文本全半角错误。</explain>
      <paraID>6DFC4A8C</paraID>
      <start>8</start>
      <end>9</end>
      <status>unmodified</status>
      <modifiedWord/>
      <trackRevisions>false</trackRevisions>
    </reviewItem>
    <reviewItem>
      <errorID>e54c48e3-d90d-44c0-a121-adf42406ba22</errorID>
      <errorWord>:</errorWord>
      <group>L1_Format</group>
      <groupName>格式问题</groupName>
      <ability>L2_HalfPunc</ability>
      <abilityName>全半角检查</abilityName>
      <candidateList>
        <item>：</item>
      </candidateList>
      <explain>文本全半角错误。</explain>
      <paraID>6DFC4A8C</paraID>
      <start>28</start>
      <end>29</end>
      <status>unmodified</status>
      <modifiedWord/>
      <trackRevisions>false</trackRevisions>
    </reviewItem>
    <reviewItem>
      <errorID>5326c45e-b282-44d4-9140-cab2881ba3e6</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1AB2A329</paraID>
      <start>0</start>
      <end>2</end>
      <status>unmodified</status>
      <modifiedWord/>
      <trackRevisions>false</trackRevisions>
    </reviewItem>
    <reviewItem>
      <errorID>cb69abe2-0daa-49ba-aa5e-3beea7f1c25f</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3458771C</paraID>
      <start>0</start>
      <end>2</end>
      <status>unmodified</status>
      <modifiedWord/>
      <trackRevisions>false</trackRevisions>
    </reviewItem>
    <reviewItem>
      <errorID>6c8ee15f-b363-4128-87c1-deaa8b7eaef6</errorID>
      <errorWord>四围</errorWord>
      <group>L1_Word</group>
      <groupName>字词问题</groupName>
      <ability>L2_Typo</ability>
      <abilityName>字词错误</abilityName>
      <candidateList>
        <item>周围</item>
      </candidateList>
      <explain/>
      <paraID> 745A78E</paraID>
      <start>8</start>
      <end>10</end>
      <status>unmodified</status>
      <modifiedWord/>
      <trackRevisions>false</trackRevisions>
    </reviewItem>
    <reviewItem>
      <errorID>f22c0a20-f525-4fbb-ad29-bb38827e0287</errorID>
      <errorWord>丕宜</errorWord>
      <group>L1_Word</group>
      <groupName>字词问题</groupName>
      <ability>L2_Typo</ability>
      <abilityName>字词错误</abilityName>
      <candidateList>
        <item>不宜</item>
      </candidateList>
      <explain>〈动〉不适宜：这块地～种植水稻｜解决思想问题要耐心细致，～操之过急。</explain>
      <paraID> 41CDDE6</paraID>
      <start>8</start>
      <end>10</end>
      <status>unmodified</status>
      <modifiedWord/>
      <trackRevisions>false</trackRevisions>
    </reviewItem>
    <reviewItem>
      <errorID>48f6fb28-f086-4897-8d0a-17c5b997f37e</errorID>
      <errorWord>高压配电时</errorWord>
      <group>L1_Knowledge</group>
      <groupName>知识性问题</groupName>
      <ability>L2_Term</ability>
      <abilityName>专业术语</abilityName>
      <candidateList>
        <item>高压配电室</item>
      </candidateList>
      <explain/>
      <paraID> A5EA593</paraID>
      <start>26</start>
      <end>31</end>
      <status>unmodified</status>
      <modifiedWord/>
      <trackRevisions>false</trackRevisions>
    </reviewItem>
    <reviewItem>
      <errorID>8f17ec0d-819f-4ecf-b14c-e00b9832f6d4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2EEC6984</paraID>
      <start>42</start>
      <end>43</end>
      <status>unmodified</status>
      <modifiedWord/>
      <trackRevisions>false</trackRevisions>
    </reviewItem>
    <reviewItem>
      <errorID>6d299c95-55d2-4908-83f7-e6909e252cb9</errorID>
      <errorWord>维西县</errorWord>
      <group>L1_Knowledge</group>
      <groupName>知识性问题</groupName>
      <ability>L2_Location</ability>
      <abilityName>地名检查</abilityName>
      <candidateList>
        <item>维西傈僳族自治县</item>
      </candidateList>
      <explain>自治区州县缩写不规范。《地名管理条例》第十八条规定，标识牌、公共平台发布的信息、各类公文证件、学习类公开出版物、地图、法律法规规定等场景范围内必须使用标准地名。</explain>
      <paraID>13A4BDBA</paraID>
      <start>75</start>
      <end>78</end>
      <status>unmodified</status>
      <modifiedWord/>
      <trackRevisions>false</trackRevisions>
    </reviewItem>
    <reviewItem>
      <errorID>82d5c8d8-a462-4059-a39c-cb55edf26d1f</errorID>
      <errorWord>-</errorWord>
      <group>L1_Format</group>
      <groupName>格式问题</groupName>
      <ability>L2_HalfPunc</ability>
      <abilityName>全半角检查</abilityName>
      <candidateList>
        <item>－</item>
      </candidateList>
      <explain>文本全半角错误。</explain>
      <paraID>3ED17FFB</paraID>
      <start>76</start>
      <end>77</end>
      <status>unmodified</status>
      <modifiedWord/>
      <trackRevisions>false</trackRevisions>
    </reviewItem>
    <reviewItem>
      <errorID>9d11a591-cb1d-42eb-9045-813b2b41da0b</errorID>
      <errorWord>田地</errorWord>
      <group>L1_Word</group>
      <groupName>字词问题</groupName>
      <ability>L2_Typo</ability>
      <abilityName>字词错误</abilityName>
      <candidateList>
        <item>地</item>
      </candidateList>
      <explain>“地”常用于连接修饰语与动词性中心语，表示动作的方式、状态或程度。</explain>
      <paraID>12CDB74B</paraID>
      <start>76</start>
      <end>78</end>
      <status>unmodified</status>
      <modifiedWord/>
      <trackRevisions>false</trackRevisions>
    </reviewItem>
    <reviewItem>
      <errorID>0a75340c-4989-42cf-a79b-919e2d10603f</errorID>
      <errorWord>遥讯</errorWord>
      <group>L1_Word</group>
      <groupName>字词问题</groupName>
      <ability>L2_Typo</ability>
      <abilityName>字词错误</abilityName>
      <candidateList>
        <item>遥信</item>
      </candidateList>
      <explain/>
      <paraID>55B00F81</paraID>
      <start>110</start>
      <end>112</end>
      <status>unmodified</status>
      <modifiedWord/>
      <trackRevisions>false</trackRevisions>
    </reviewItem>
    <reviewItem>
      <errorID>2fe52d5d-dd89-4db6-950c-110818b6a913</errorID>
      <errorWord>压力管线</errorWord>
      <group>L1_Knowledge</group>
      <groupName>知识性问题</groupName>
      <ability>L2_Term</ability>
      <abilityName>专业术语</abilityName>
      <candidateList>
        <item>压力管道</item>
      </candidateList>
      <explain/>
      <paraID>7687C309</paraID>
      <start>44</start>
      <end>48</end>
      <status>unmodified</status>
      <modifiedWord/>
      <trackRevisions>false</trackRevisions>
    </reviewItem>
    <reviewItem>
      <errorID>ac28fbc0-e8ed-46ab-9ac7-f2395e9961fd</errorID>
      <errorWord>(</errorWord>
      <group>L1_Format</group>
      <groupName>格式问题</groupName>
      <ability>L2_HalfPunc</ability>
      <abilityName>全半角检查</abilityName>
      <candidateList>
        <item>（</item>
      </candidateList>
      <explain>文本全半角错误。</explain>
      <paraID>3F5D0CF9</paraID>
      <start>38</start>
      <end>39</end>
      <status>unmodified</status>
      <modifiedWord/>
      <trackRevisions>false</trackRevisions>
    </reviewItem>
    <reviewItem>
      <errorID>67d471f2-89c0-4944-bc1c-d019e7933fce</errorID>
      <errorWord>)</errorWord>
      <group>L1_Format</group>
      <groupName>格式问题</groupName>
      <ability>L2_HalfPunc</ability>
      <abilityName>全半角检查</abilityName>
      <candidateList>
        <item>）</item>
      </candidateList>
      <explain>文本全半角错误。</explain>
      <paraID>3F5D0CF9</paraID>
      <start>41</start>
      <end>42</end>
      <status>unmodified</status>
      <modifiedWord/>
      <trackRevisions>false</trackRevisions>
    </reviewItem>
    <reviewItem>
      <errorID>ded2a4e9-734f-4da6-88c3-8e5a64469be4</errorID>
      <errorWord>(</errorWord>
      <group>L1_Format</group>
      <groupName>格式问题</groupName>
      <ability>L2_HalfPunc</ability>
      <abilityName>全半角检查</abilityName>
      <candidateList>
        <item>（</item>
      </candidateList>
      <explain>文本全半角错误。</explain>
      <paraID>3F5D0CF9</paraID>
      <start>45</start>
      <end>46</end>
      <status>unmodified</status>
      <modifiedWord/>
      <trackRevisions>false</trackRevisions>
    </reviewItem>
    <reviewItem>
      <errorID>01c69fad-6fa2-4621-b2c8-dccdc0f6b3fc</errorID>
      <errorWord>)</errorWord>
      <group>L1_Format</group>
      <groupName>格式问题</groupName>
      <ability>L2_HalfPunc</ability>
      <abilityName>全半角检查</abilityName>
      <candidateList>
        <item>）</item>
      </candidateList>
      <explain>文本全半角错误。</explain>
      <paraID>3F5D0CF9</paraID>
      <start>48</start>
      <end>49</end>
      <status>unmodified</status>
      <modifiedWord/>
      <trackRevisions>false</trackRevisions>
    </reviewItem>
    <reviewItem>
      <errorID>e1ed824f-fae6-4052-bca0-31f29a032369</errorID>
      <errorWord>(</errorWord>
      <group>L1_Format</group>
      <groupName>格式问题</groupName>
      <ability>L2_HalfPunc</ability>
      <abilityName>全半角检查</abilityName>
      <candidateList>
        <item>（</item>
      </candidateList>
      <explain>文本全半角错误。</explain>
      <paraID>3F5D0CF9</paraID>
      <start>55</start>
      <end>56</end>
      <status>unmodified</status>
      <modifiedWord/>
      <trackRevisions>false</trackRevisions>
    </reviewItem>
    <reviewItem>
      <errorID>591c7f43-451a-4c6d-b9a8-2334ce0fcea3</errorID>
      <errorWord>)</errorWord>
      <group>L1_Format</group>
      <groupName>格式问题</groupName>
      <ability>L2_HalfPunc</ability>
      <abilityName>全半角检查</abilityName>
      <candidateList>
        <item>）</item>
      </candidateList>
      <explain>文本全半角错误。</explain>
      <paraID>3F5D0CF9</paraID>
      <start>58</start>
      <end>59</end>
      <status>unmodified</status>
      <modifiedWord/>
      <trackRevisions>false</trackRevisions>
    </reviewItem>
    <reviewItem>
      <errorID>cbf93182-cf0d-45c5-8f4b-cc204016c636</errorID>
      <errorWord>(</errorWord>
      <group>L1_Format</group>
      <groupName>格式问题</groupName>
      <ability>L2_HalfPunc</ability>
      <abilityName>全半角检查</abilityName>
      <candidateList>
        <item>（</item>
      </candidateList>
      <explain>文本全半角错误。</explain>
      <paraID>3F5D0CF9</paraID>
      <start>62</start>
      <end>63</end>
      <status>unmodified</status>
      <modifiedWord/>
      <trackRevisions>false</trackRevisions>
    </reviewItem>
    <reviewItem>
      <errorID>66eabc4d-9b90-44de-bafc-09dcd0e08245</errorID>
      <errorWord>)</errorWord>
      <group>L1_Format</group>
      <groupName>格式问题</groupName>
      <ability>L2_HalfPunc</ability>
      <abilityName>全半角检查</abilityName>
      <candidateList>
        <item>）</item>
      </candidateList>
      <explain>文本全半角错误。</explain>
      <paraID>3F5D0CF9</paraID>
      <start>65</start>
      <end>66</end>
      <status>unmodified</status>
      <modifiedWord/>
      <trackRevisions>false</trackRevisions>
    </reviewItem>
    <reviewItem>
      <errorID>e2618ae4-041a-4019-b396-390e72a534b9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45BA5ADF</paraID>
      <start>0</start>
      <end>2</end>
      <status>unmodified</status>
      <modifiedWord/>
      <trackRevisions>false</trackRevisions>
    </reviewItem>
    <reviewItem>
      <errorID>105912e8-40bd-4c1f-875c-6a14299aa508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193D03AB</paraID>
      <start>0</start>
      <end>2</end>
      <status>unmodified</status>
      <modifiedWord/>
      <trackRevisions>false</trackRevisions>
    </reviewItem>
    <reviewItem>
      <errorID>24875fb1-8f9a-493f-8d6d-f567826ab40e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54C264C0</paraID>
      <start>0</start>
      <end>2</end>
      <status>unmodified</status>
      <modifiedWord/>
      <trackRevisions>false</trackRevisions>
    </reviewItem>
    <reviewItem>
      <errorID>68e093ed-a713-45b0-a127-05c9ec68aea7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40A00B57</paraID>
      <start>0</start>
      <end>2</end>
      <status>unmodified</status>
      <modifiedWord/>
      <trackRevisions>false</trackRevisions>
    </reviewItem>
    <reviewItem>
      <errorID>043bc7f8-8a67-4920-bfcb-779cd43f9d32</errorID>
      <errorWord>其它</errorWord>
      <group>L1_Word</group>
      <groupName>字词问题</groupName>
      <ability>L2_Alias</ability>
      <abilityName>也作/曾用词</abilityName>
      <candidateList>
        <item>其他</item>
      </candidateList>
      <explain>词汇[其它]为不规范表述或旧称，其规范书面表述为[其他]。</explain>
      <paraID>3984B651</paraID>
      <start>17</start>
      <end>19</end>
      <status>unmodified</status>
      <modifiedWord/>
      <trackRevisions>false</trackRevisions>
    </reviewItem>
    <reviewItem>
      <errorID>98198b51-a5f7-47e1-b56e-6440b0f8bb48</errorID>
      <errorWord>其它</errorWord>
      <group>L1_Word</group>
      <groupName>字词问题</groupName>
      <ability>L2_Alias</ability>
      <abilityName>也作/曾用词</abilityName>
      <candidateList>
        <item>其他</item>
      </candidateList>
      <explain>词汇[其它]为不规范表述或旧称，其规范书面表述为[其他]。</explain>
      <paraID>438ECAC1</paraID>
      <start>8</start>
      <end>10</end>
      <status>unmodified</status>
      <modifiedWord/>
      <trackRevisions>false</trackRevisions>
    </reviewItem>
    <reviewItem>
      <errorID>d7e21a45-7bf7-4f5a-a536-2c8c1cc64227</errorID>
      <errorWord>条款专用</errorWord>
      <group>L1_Knowledge</group>
      <groupName>知识性问题</groupName>
      <ability>L2_Idiom</ability>
      <abilityName>成语和诗歌</abilityName>
      <candidateList>
        <item>专款专用</item>
      </candidateList>
      <explain/>
      <paraID>6582FCE1</paraID>
      <start>58</start>
      <end>62</end>
      <status>unmodified</status>
      <modifiedWord/>
      <trackRevisions>false</trackRevisions>
    </reviewItem>
    <reviewItem>
      <errorID>04957be2-3452-4a48-8a84-8f5c607a7b52</errorID>
      <errorWord>条款专用</errorWord>
      <group>L1_Knowledge</group>
      <groupName>知识性问题</groupName>
      <ability>L2_Idiom</ability>
      <abilityName>成语和诗歌</abilityName>
      <candidateList>
        <item>专款专用</item>
      </candidateList>
      <explain/>
      <paraID>6582FCE1</paraID>
      <start>137</start>
      <end>141</end>
      <status>unmodified</status>
      <modifiedWord/>
      <trackRevisions>false</trackRevisions>
    </reviewItem>
    <reviewItem>
      <errorID>3f080355-8f35-4f20-905b-95578ec3f1c3</errorID>
      <errorWord>作</errorWord>
      <group>L1_Word</group>
      <groupName>字词问题</groupName>
      <ability>L2_Typo</ability>
      <abilityName>字词错误</abilityName>
      <candidateList>
        <item>做</item>
      </candidateList>
      <explain>存在发音相同字词的误用。</explain>
      <paraID>54F83494</paraID>
      <start>57</start>
      <end>58</end>
      <status>unmodified</status>
      <modifiedWord/>
      <trackRevisions>false</trackRevisions>
    </reviewItem>
    <reviewItem>
      <errorID>f7ea476f-b08e-4c9b-be35-6f5128c5dcee</errorID>
      <errorWord>条款专用</errorWord>
      <group>L1_Knowledge</group>
      <groupName>知识性问题</groupName>
      <ability>L2_Idiom</ability>
      <abilityName>成语和诗歌</abilityName>
      <candidateList>
        <item>专款专用</item>
      </candidateList>
      <explain/>
      <paraID>54F83494</paraID>
      <start>87</start>
      <end>91</end>
      <status>unmodified</status>
      <modifiedWord/>
      <trackRevisions>false</trackRevisions>
    </reviewItem>
    <reviewItem>
      <errorID>b6c10216-b4c9-447b-9417-97c5f83c8d1a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7350050B</paraID>
      <start>0</start>
      <end>2</end>
      <status>unmodified</status>
      <modifiedWord/>
      <trackRevisions>false</trackRevisions>
    </reviewItem>
    <reviewItem>
      <errorID>b7862900-15cc-40d4-886f-7408e9f0a941</errorID>
      <errorWord>、尤其</errorWord>
      <group>L1_Punc</group>
      <groupName>标点问题</groupName>
      <ability>L2_Punc</ability>
      <abilityName>标点符号检查</abilityName>
      <candidateList>
        <item>，尤其</item>
      </candidateList>
      <explain>连接词前后不宜使用顿号，建议使用逗号。</explain>
      <paraID>5FDE7819</paraID>
      <start>49</start>
      <end>52</end>
      <status>unmodified</status>
      <modifiedWord/>
      <trackRevisions>false</trackRevisions>
    </reviewItem>
    <reviewItem>
      <errorID>c276932e-2257-4933-857f-fd8049f8fc39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74B22FB8</paraID>
      <start>0</start>
      <end>2</end>
      <status>unmodified</status>
      <modifiedWord/>
      <trackRevisions>false</trackRevisions>
    </reviewItem>
    <reviewItem>
      <errorID>37642ee9-fa87-415f-be93-04a615b0d4dc</errorID>
      <errorWord>任何的</errorWord>
      <group>L1_Word</group>
      <groupName>字词问题</groupName>
      <ability>L2_Typo</ability>
      <abilityName>字词错误</abilityName>
      <candidateList>
        <item>任何</item>
      </candidateList>
      <explain>〈代〉指示代词。不论什么：～人都要遵纪守法｜我们能够战胜～困难。</explain>
      <paraID>5D236B48</paraID>
      <start>65</start>
      <end>68</end>
      <status>unmodified</status>
      <modifiedWord/>
      <trackRevisions>false</trackRevisions>
    </reviewItem>
    <reviewItem>
      <errorID>7306f205-2cab-47b7-a7f0-a016aa843adf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32D7973A</paraID>
      <start>0</start>
      <end>2</end>
      <status>unmodified</status>
      <modifiedWord/>
      <trackRevisions>false</trackRevisions>
    </reviewItem>
    <reviewItem>
      <errorID>be2504f5-264e-4a1b-bef2-19871ca3a62e</errorID>
      <errorWord>污水厂</errorWord>
      <group>L1_Word</group>
      <groupName>字词问题</groupName>
      <ability>L2_Typo</ability>
      <abilityName>字词错误</abilityName>
      <candidateList>
        <item>污水处理厂</item>
      </candidateList>
      <explain/>
      <paraID> 4B65272</paraID>
      <start>11</start>
      <end>14</end>
      <status>unmodified</status>
      <modifiedWord/>
      <trackRevisions>false</trackRevisions>
    </reviewItem>
    <reviewItem>
      <errorID>829c27f6-3497-459b-a732-fbf4740ab55b</errorID>
      <errorWord>垃圾厂</errorWord>
      <group>L1_Word</group>
      <groupName>字词问题</groupName>
      <ability>L2_Typo</ability>
      <abilityName>字词错误</abilityName>
      <candidateList>
        <item>垃圾场</item>
      </candidateList>
      <explain/>
      <paraID> 4B65272</paraID>
      <start>17</start>
      <end>20</end>
      <status>unmodified</status>
      <modifiedWord/>
      <trackRevisions>false</trackRevisions>
    </reviewItem>
    <reviewItem>
      <errorID>307f690c-788a-4cc9-bbf6-1cabdf57a216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1E7E565C</paraID>
      <start>0</start>
      <end>2</end>
      <status>unmodified</status>
      <modifiedWord/>
      <trackRevisions>false</trackRevisions>
    </reviewItem>
    <reviewItem>
      <errorID>690e95eb-2786-4fd5-8e76-8ad30a11d36a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10736FBA</paraID>
      <start>0</start>
      <end>2</end>
      <status>unmodified</status>
      <modifiedWord/>
      <trackRevisions>false</trackRevisions>
    </reviewItem>
    <reviewItem>
      <errorID>7d61f425-3fd0-4538-9aec-a0b2384b378a</errorID>
      <errorWord>化化</errorWord>
      <group>L1_Word</group>
      <groupName>字词问题</groupName>
      <ability>L2_Typo</ability>
      <abilityName>字词错误</abilityName>
      <candidateList>
        <item>化</item>
      </candidateList>
      <explain>〈动〉（僧道）向人求布施：募～｜～缘｜～斋｜～了些米面来。</explain>
      <paraID>4ED684E5</paraID>
      <start>28</start>
      <end>30</end>
      <status>unmodified</status>
      <modifiedWord/>
      <trackRevisions>false</trackRevisions>
    </reviewItem>
    <reviewItem>
      <errorID>374ea183-50ac-4e2d-88b5-a82497f7b759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55B678</paraID>
      <start>0</start>
      <end>2</end>
      <status>unmodified</status>
      <modifiedWord/>
      <trackRevisions>false</trackRevisions>
    </reviewItem>
    <reviewItem>
      <errorID>845717ea-c5a8-4188-9535-a87b30fdc96e</errorID>
      <errorWord>４</errorWord>
      <group>L1_Format</group>
      <groupName>格式问题</groupName>
      <ability>L2_HalfPunc</ability>
      <abilityName>全半角检查</abilityName>
      <candidateList>
        <item>4</item>
      </candidateList>
      <explain>文本全半角错误。</explain>
      <paraID>540C3A05</paraID>
      <start>1</start>
      <end>2</end>
      <status>unmodified</status>
      <modifiedWord/>
      <trackRevisions>false</trackRevisions>
    </reviewItem>
    <reviewItem>
      <errorID>db539a94-3dc0-475d-826a-012c62249012</errorID>
      <errorWord>５</errorWord>
      <group>L1_Format</group>
      <groupName>格式问题</groupName>
      <ability>L2_HalfPunc</ability>
      <abilityName>全半角检查</abilityName>
      <candidateList>
        <item>5</item>
      </candidateList>
      <explain>文本全半角错误。</explain>
      <paraID>741AA7E8</paraID>
      <start>1</start>
      <end>2</end>
      <status>unmodified</status>
      <modifiedWord/>
      <trackRevisions>false</trackRevisions>
    </reviewItem>
    <reviewItem>
      <errorID>a31136c6-de77-4a55-9fea-96af7f0c0883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342BEC65</paraID>
      <start>0</start>
      <end>2</end>
      <status>unmodified</status>
      <modifiedWord/>
      <trackRevisions>false</trackRevisions>
    </reviewItem>
    <reviewItem>
      <errorID>781da207-1adb-420a-a6cd-40ea90e271ad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2D617CE1</paraID>
      <start>0</start>
      <end>2</end>
      <status>unmodified</status>
      <modifiedWord/>
      <trackRevisions>false</trackRevisions>
    </reviewItem>
    <reviewItem>
      <errorID>8d6ac2cd-a165-4c60-89fa-1fc23bbc30c1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3F5F37D2</paraID>
      <start>0</start>
      <end>2</end>
      <status>unmodified</status>
      <modifiedWord/>
      <trackRevisions>false</trackRevisions>
    </reviewItem>
    <reviewItem>
      <errorID>bd27841f-1443-4ec9-af0a-9f55ba382f15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994F8D4</paraID>
      <start>0</start>
      <end>2</end>
      <status>unmodified</status>
      <modifiedWord/>
      <trackRevisions>false</trackRevisions>
    </reviewItem>
    <reviewItem>
      <errorID>13a822fa-3dc1-45a6-afbe-25b987c5ba95</errorID>
      <errorWord>间</errorWord>
      <group>L1_Word</group>
      <groupName>字词问题</groupName>
      <ability>L2_Typo</ability>
      <abilityName>字词错误</abilityName>
      <candidateList>
        <item>间内</item>
      </candidateList>
      <explain/>
      <paraID>7252447E</paraID>
      <start>93</start>
      <end>94</end>
      <status>unmodified</status>
      <modifiedWord/>
      <trackRevisions>false</trackRevisions>
    </reviewItem>
    <reviewItem>
      <errorID>f752b495-c71a-40c0-95a2-b7ea266b6354</errorID>
      <errorWord>按发包人</errorWord>
      <group>L1_Word</group>
      <groupName>字词问题</groupName>
      <ability>L2_Typo</ability>
      <abilityName>字词错误</abilityName>
      <candidateList>
        <item>发包人</item>
      </candidateList>
      <explain/>
      <paraID>68D0ADFB</paraID>
      <start>41</start>
      <end>45</end>
      <status>unmodified</status>
      <modifiedWord/>
      <trackRevisions>false</trackRevisions>
    </reviewItem>
    <reviewItem>
      <errorID>8422c3dd-477a-41dc-bac3-340967639f7c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7DAC8F84</paraID>
      <start>0</start>
      <end>2</end>
      <status>unmodified</status>
      <modifiedWord/>
      <trackRevisions>false</trackRevisions>
    </reviewItem>
    <reviewItem>
      <errorID>cb58325c-120e-4443-b125-61418d00d75a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16A58D33</paraID>
      <start>0</start>
      <end>2</end>
      <status>unmodified</status>
      <modifiedWord/>
      <trackRevisions>false</trackRevisions>
    </reviewItem>
    <reviewItem>
      <errorID>b3bd8563-8d67-46df-b329-45b391a69e22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2E55B9D7</paraID>
      <start>0</start>
      <end>2</end>
      <status>unmodified</status>
      <modifiedWord/>
      <trackRevisions>false</trackRevisions>
    </reviewItem>
    <reviewItem>
      <errorID>623d6b86-6754-4db6-81c0-d1134b4d888e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5D9A7C58</paraID>
      <start>0</start>
      <end>2</end>
      <status>unmodified</status>
      <modifiedWord/>
      <trackRevisions>false</trackRevisions>
    </reviewItem>
    <reviewItem>
      <errorID>af92f569-beaa-4433-99c9-741cf64cd960</errorID>
      <errorWord>。；</errorWord>
      <group>L1_Punc</group>
      <groupName>标点问题</groupName>
      <ability>L2_Punc</ability>
      <abilityName>标点符号检查</abilityName>
      <candidateList>
        <item>。</item>
      </candidateList>
      <explain/>
      <paraID>62866389</paraID>
      <start>27</start>
      <end>29</end>
      <status>unmodified</status>
      <modifiedWord/>
      <trackRevisions>false</trackRevisions>
    </reviewItem>
    <reviewItem>
      <errorID>d6514668-3d5c-4616-bfe3-46ff7dc04de3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6ACE2BDA</paraID>
      <start>0</start>
      <end>2</end>
      <status>unmodified</status>
      <modifiedWord/>
      <trackRevisions>false</trackRevisions>
    </reviewItem>
    <reviewItem>
      <errorID>6707c550-55c2-46f0-a0e6-ec1e256e454a</errorID>
      <errorWord>,</errorWord>
      <group>L1_Format</group>
      <groupName>格式问题</groupName>
      <ability>L2_HalfPunc</ability>
      <abilityName>全半角检查</abilityName>
      <candidateList>
        <item>，</item>
      </candidateList>
      <explain>文本全半角错误。</explain>
      <paraID>5AB83759</paraID>
      <start>22</start>
      <end>23</end>
      <status>unmodified</status>
      <modifiedWord/>
      <trackRevisions>false</trackRevisions>
    </reviewItem>
    <reviewItem>
      <errorID>c95573f9-2767-455b-b6ee-c31cd3a315b5</errorID>
      <errorWord>手工</errorWord>
      <group>L1_Word</group>
      <groupName>字词问题</groupName>
      <ability>L2_Typo</ability>
      <abilityName>字词错误</abilityName>
      <candidateList>
        <item>施工</item>
      </candidateList>
      <explain>〈动〉按照设计的规格和要求建筑房屋、桥梁、道路、水利工程等。</explain>
      <paraID>36D28EE8</paraID>
      <start>35</start>
      <end>37</end>
      <status>unmodified</status>
      <modifiedWord/>
      <trackRevisions>false</trackRevisions>
    </reviewItem>
    <reviewItem>
      <errorID>165d46e5-c605-4662-8c7f-60a721a430ba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4F7C4EA2</paraID>
      <start>0</start>
      <end>2</end>
      <status>unmodified</status>
      <modifiedWord/>
      <trackRevisions>false</trackRevisions>
    </reviewItem>
    <reviewItem>
      <errorID>2ad27dd4-caba-4796-b4cd-8f1acc1911a1</errorID>
      <errorWord>,</errorWord>
      <group>L1_Format</group>
      <groupName>格式问题</groupName>
      <ability>L2_HalfPunc</ability>
      <abilityName>全半角检查</abilityName>
      <candidateList>
        <item>，</item>
      </candidateList>
      <explain>文本全半角错误。</explain>
      <paraID>7429D15D</paraID>
      <start>55</start>
      <end>56</end>
      <status>unmodified</status>
      <modifiedWord/>
      <trackRevisions>false</trackRevisions>
    </reviewItem>
    <reviewItem>
      <errorID>14a51d42-febd-4a48-91f9-cfb5acefe8fd</errorID>
      <errorWord>召开的</errorWord>
      <group>L1_Word</group>
      <groupName>字词问题</groupName>
      <ability>L2_Typo</ability>
      <abilityName>字词错误</abilityName>
      <candidateList>
        <item>召开</item>
      </candidateList>
      <explain/>
      <paraID>7429D15D</paraID>
      <start>71</start>
      <end>74</end>
      <status>unmodified</status>
      <modifiedWord/>
      <trackRevisions>false</trackRevisions>
    </reviewItem>
    <reviewItem>
      <errorID>58ef358e-d849-4273-89ae-15ad21adf5c1</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7429D15D</paraID>
      <start>84</start>
      <end>85</end>
      <status>unmodified</status>
      <modifiedWord/>
      <trackRevisions>false</trackRevisions>
    </reviewItem>
    <reviewItem>
      <errorID>5faffc96-4ef4-47d5-ae07-06f163edcddd</errorID>
      <errorWord>文件及</errorWord>
      <group>L1_Word</group>
      <groupName>字词问题</groupName>
      <ability>L2_Typo</ability>
      <abilityName>字词错误</abilityName>
      <candidateList>
        <item>文件</item>
      </candidateList>
      <explain/>
      <paraID>1A445157</paraID>
      <start>21</start>
      <end>24</end>
      <status>unmodified</status>
      <modifiedWord/>
      <trackRevisions>false</trackRevisions>
    </reviewItem>
    <reviewItem>
      <errorID>549edd46-ce2a-4f66-b1f8-db96ec678e02</errorID>
      <errorWord>:</errorWord>
      <group>L1_Format</group>
      <groupName>格式问题</groupName>
      <ability>L2_HalfPunc</ability>
      <abilityName>全半角检查</abilityName>
      <candidateList>
        <item>：</item>
      </candidateList>
      <explain>文本全半角错误。</explain>
      <paraID>2E9BF0AA</paraID>
      <start>13</start>
      <end>14</end>
      <status>unmodified</status>
      <modifiedWord/>
      <trackRevisions>false</trackRevisions>
    </reviewItem>
    <reviewItem>
      <errorID>8376ce50-72e7-4dc1-8109-a331e1f3d5b4</errorID>
      <errorWord>;</errorWord>
      <group>L1_Format</group>
      <groupName>格式问题</groupName>
      <ability>L2_HalfPunc</ability>
      <abilityName>全半角检查</abilityName>
      <candidateList>
        <item>；</item>
      </candidateList>
      <explain>文本全半角错误。</explain>
      <paraID>2E9BF0AA</paraID>
      <start>88</start>
      <end>89</end>
      <status>unmodified</status>
      <modifiedWord/>
      <trackRevisions>false</trackRevisions>
    </reviewItem>
    <reviewItem>
      <errorID>1d2ad831-014a-4106-a418-8abd737964d6</errorID>
      <errorWord>;</errorWord>
      <group>L1_Format</group>
      <groupName>格式问题</groupName>
      <ability>L2_HalfPunc</ability>
      <abilityName>全半角检查</abilityName>
      <candidateList>
        <item>；</item>
      </candidateList>
      <explain>文本全半角错误。</explain>
      <paraID>2E9BF0AA</paraID>
      <start>119</start>
      <end>120</end>
      <status>unmodified</status>
      <modifiedWord/>
      <trackRevisions>false</trackRevisions>
    </reviewItem>
    <reviewItem>
      <errorID>46a6e9cc-829b-4e81-b6e0-5a59ff0931d1</errorID>
      <errorWord>法律、法规</errorWord>
      <group>L1_Word</group>
      <groupName>字词问题</groupName>
      <ability>L2_Typo</ability>
      <abilityName>字词错误</abilityName>
      <candidateList>
        <item>法律法规</item>
      </candidateList>
      <explain/>
      <paraID>2F6C725D</paraID>
      <start>3</start>
      <end>8</end>
      <status>unmodified</status>
      <modifiedWord/>
      <trackRevisions>false</trackRevisions>
    </reviewItem>
    <reviewItem>
      <errorID>4193a644-3e9f-4996-9679-43b6ce6aa9cc</errorID>
      <errorWord>:</errorWord>
      <group>L1_Format</group>
      <groupName>格式问题</groupName>
      <ability>L2_HalfPunc</ability>
      <abilityName>全半角检查</abilityName>
      <candidateList>
        <item>：</item>
      </candidateList>
      <explain>文本全半角错误。</explain>
      <paraID>2F6C725D</paraID>
      <start>25</start>
      <end>26</end>
      <status>unmodified</status>
      <modifiedWord/>
      <trackRevisions>false</trackRevisions>
    </reviewItem>
    <reviewItem>
      <errorID>f9afd352-e0e2-459c-9c5d-6dd12f494d9d</errorID>
      <errorWord>法律、法规</errorWord>
      <group>L1_Word</group>
      <groupName>字词问题</groupName>
      <ability>L2_Typo</ability>
      <abilityName>字词错误</abilityName>
      <candidateList>
        <item>法律法规</item>
      </candidateList>
      <explain/>
      <paraID>2F6C725D</paraID>
      <start>29</start>
      <end>34</end>
      <status>unmodified</status>
      <modifiedWord/>
      <trackRevisions>false</trackRevisions>
    </reviewItem>
    <reviewItem>
      <errorID>5f93627d-4fc3-4ebb-b5b2-fa2a54b1c72a</errorID>
      <errorWord>:</errorWord>
      <group>L1_Format</group>
      <groupName>格式问题</groupName>
      <ability>L2_HalfPunc</ability>
      <abilityName>全半角检查</abilityName>
      <candidateList>
        <item>：</item>
      </candidateList>
      <explain>文本全半角错误。</explain>
      <paraID>6E6C33FF</paraID>
      <start>15</start>
      <end>16</end>
      <status>unmodified</status>
      <modifiedWord/>
      <trackRevisions>false</trackRevisions>
    </reviewItem>
    <reviewItem>
      <errorID>5868bba1-f5cf-41d1-b7ce-8c6dbe53ffcd</errorID>
      <errorWord>:</errorWord>
      <group>L1_Format</group>
      <groupName>格式问题</groupName>
      <ability>L2_HalfPunc</ability>
      <abilityName>全半角检查</abilityName>
      <candidateList>
        <item>：</item>
      </candidateList>
      <explain>文本全半角错误。</explain>
      <paraID>4813B226</paraID>
      <start>17</start>
      <end>18</end>
      <status>unmodified</status>
      <modifiedWord/>
      <trackRevisions>false</trackRevisions>
    </reviewItem>
    <reviewItem>
      <errorID>aad02c04-ae49-4943-8c4a-8262a6d4cb50</errorID>
      <errorWord>:</errorWord>
      <group>L1_Format</group>
      <groupName>格式问题</groupName>
      <ability>L2_HalfPunc</ability>
      <abilityName>全半角检查</abilityName>
      <candidateList>
        <item>：</item>
      </candidateList>
      <explain>文本全半角错误。</explain>
      <paraID>36A64707</paraID>
      <start>13</start>
      <end>14</end>
      <status>unmodified</status>
      <modifiedWord/>
      <trackRevisions>false</trackRevisions>
    </reviewItem>
    <reviewItem>
      <errorID>b6d230f9-9112-4ad5-a308-24883f70dc36</errorID>
      <errorWord>面开展</errorWord>
      <group>L1_Word</group>
      <groupName>字词问题</groupName>
      <ability>L2_Typo</ability>
      <abilityName>字词错误</abilityName>
      <candidateList>
        <item>而开展</item>
      </candidateList>
      <explain/>
      <paraID>7C736D0D</paraID>
      <start>199</start>
      <end>202</end>
      <status>unmodified</status>
      <modifiedWord/>
      <trackRevisions>false</trackRevisions>
    </reviewItem>
    <reviewItem>
      <errorID>5b17a9d9-67a3-4178-8e22-12e95c7b138f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18D55A37</paraID>
      <start>0</start>
      <end>2</end>
      <status>unmodified</status>
      <modifiedWord/>
      <trackRevisions>false</trackRevisions>
    </reviewItem>
    <reviewItem>
      <errorID>6f18d414-3b02-4172-a6a1-50478c9f5cfe</errorID>
      <errorWord>《</errorWord>
      <group>L1_Punc</group>
      <groupName>标点问题</groupName>
      <ability>L2_Punc</ability>
      <abilityName>标点符号检查</abilityName>
      <candidateList/>
      <explain>同一形式括号套用。</explain>
      <paraID> BB41906</paraID>
      <start>219</start>
      <end>220</end>
      <status>unmodified</status>
      <modifiedWord/>
      <trackRevisions>false</trackRevisions>
    </reviewItem>
    <reviewItem>
      <errorID>5625301e-67d4-4eae-a10e-c4bdb58c2a97</errorID>
      <errorWord>》</errorWord>
      <group>L1_Punc</group>
      <groupName>标点问题</groupName>
      <ability>L2_Punc</ability>
      <abilityName>标点符号检查</abilityName>
      <candidateList/>
      <explain>同一形式括号套用。</explain>
      <paraID> BB41906</paraID>
      <start>238</start>
      <end>239</end>
      <status>unmodified</status>
      <modifiedWord/>
      <trackRevisions>false</trackRevisions>
    </reviewItem>
    <reviewItem>
      <errorID>481ba9a6-9b9c-4766-9bdf-61acef5e8e12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405BC3B5</paraID>
      <start>0</start>
      <end>2</end>
      <status>unmodified</status>
      <modifiedWord/>
      <trackRevisions>false</trackRevisions>
    </reviewItem>
    <reviewItem>
      <errorID>356f2213-ec50-42e5-8793-b43989629883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1036B5A3</paraID>
      <start>0</start>
      <end>2</end>
      <status>unmodified</status>
      <modifiedWord/>
      <trackRevisions>false</trackRevisions>
    </reviewItem>
    <reviewItem>
      <errorID>88000ff3-0bdf-4535-88b1-387dea516ae2</errorID>
      <errorWord>超</errorWord>
      <group>L1_Word</group>
      <groupName>字词问题</groupName>
      <ability>L2_Typo</ability>
      <abilityName>字词错误</abilityName>
      <candidateList>
        <item>超过</item>
      </candidateList>
      <explain/>
      <paraID>45DB491C</paraID>
      <start>15</start>
      <end>16</end>
      <status>unmodified</status>
      <modifiedWord/>
      <trackRevisions>false</trackRevisions>
    </reviewItem>
    <reviewItem>
      <errorID>f1bbeedb-a5d8-4a0e-8c44-8a29e7586fa6</errorID>
      <errorWord>《云南省工程质量安全手册实施细则》（试行）</errorWord>
      <group>L1_Knowledge</group>
      <groupName>知识性问题</groupName>
      <ability>L2_Knowledge</ability>
      <abilityName>其他知识</abilityName>
      <candidateList>
        <item>《云南省工程质量安全手册实施细则（试行）》</item>
      </candidateList>
      <explain>疑似政策文件、法律法规名称等书写不规范，请注意检查。</explain>
      <paraID>3B10734C</paraID>
      <start>23</start>
      <end>44</end>
      <status>unmodified</status>
      <modifiedWord/>
      <trackRevisions>false</trackRevisions>
    </reviewItem>
    <reviewItem>
      <errorID>10779b02-b648-4b5f-b3fb-b3fdc0dd4ee0</errorID>
      <errorWord>》</errorWord>
      <group>L1_Word</group>
      <groupName>字词问题</groupName>
      <ability>L2_Typo</ability>
      <abilityName>字词错误</abilityName>
      <candidateList>
        <item>》和</item>
      </candidateList>
      <explain/>
      <paraID>3B10734C</paraID>
      <start>59</start>
      <end>60</end>
      <status>unmodified</status>
      <modifiedWord/>
      <trackRevisions>false</trackRevisions>
    </reviewItem>
    <reviewItem>
      <errorID>81783e81-d120-44a8-a6d8-27bb5481d003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124055A</paraID>
      <start>0</start>
      <end>2</end>
      <status>unmodified</status>
      <modifiedWord/>
      <trackRevisions>false</trackRevisions>
    </reviewItem>
    <reviewItem>
      <errorID>2786b5b1-175f-494f-b081-9dbf7f010375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6DA81A39</paraID>
      <start>0</start>
      <end>2</end>
      <status>unmodified</status>
      <modifiedWord/>
      <trackRevisions>false</trackRevisions>
    </reviewItem>
    <reviewItem>
      <errorID>fe8787df-3855-4af3-9e9e-8468660de272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3D48D86E</paraID>
      <start>0</start>
      <end>2</end>
      <status>unmodified</status>
      <modifiedWord/>
      <trackRevisions>false</trackRevisions>
    </reviewItem>
    <reviewItem>
      <errorID>1a9e0f32-53ec-4c7c-ba8a-14446e636aa4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5A2CC4E6</paraID>
      <start>0</start>
      <end>2</end>
      <status>unmodified</status>
      <modifiedWord/>
      <trackRevisions>false</trackRevisions>
    </reviewItem>
    <reviewItem>
      <errorID>db9d81ba-40c6-42b9-854e-71f50429bd78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1751A3AF</paraID>
      <start>0</start>
      <end>2</end>
      <status>unmodified</status>
      <modifiedWord/>
      <trackRevisions>false</trackRevisions>
    </reviewItem>
    <reviewItem>
      <errorID>91b3aa34-9599-4494-a7bd-8dd671042bff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7437E835</paraID>
      <start>0</start>
      <end>2</end>
      <status>unmodified</status>
      <modifiedWord/>
      <trackRevisions>false</trackRevisions>
    </reviewItem>
    <reviewItem>
      <errorID>71359074-8c73-4cbf-89f5-a12b25f49b51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2CD801CD</paraID>
      <start>0</start>
      <end>2</end>
      <status>unmodified</status>
      <modifiedWord/>
      <trackRevisions>false</trackRevisions>
    </reviewItem>
    <reviewItem>
      <errorID>6a4ab57e-e498-4771-9259-a619db2d44f6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5EEBC1DD</paraID>
      <start>0</start>
      <end>2</end>
      <status>unmodified</status>
      <modifiedWord/>
      <trackRevisions>false</trackRevisions>
    </reviewItem>
    <reviewItem>
      <errorID>15d94520-de00-40b7-82f0-e4b024ed936b</errorID>
      <errorWord>:</errorWord>
      <group>L1_Format</group>
      <groupName>格式问题</groupName>
      <ability>L2_HalfPunc</ability>
      <abilityName>全半角检查</abilityName>
      <candidateList>
        <item>：</item>
      </candidateList>
      <explain>文本全半角错误。</explain>
      <paraID>2CF01864</paraID>
      <start>7</start>
      <end>8</end>
      <status>unmodified</status>
      <modifiedWord/>
      <trackRevisions>false</trackRevisions>
    </reviewItem>
    <reviewItem>
      <errorID>c4edb4bb-e798-4c4e-9452-f6c6045e12c8</errorID>
      <errorWord>;</errorWord>
      <group>L1_Format</group>
      <groupName>格式问题</groupName>
      <ability>L2_HalfPunc</ability>
      <abilityName>全半角检查</abilityName>
      <candidateList>
        <item>；</item>
      </candidateList>
      <explain>文本全半角错误。</explain>
      <paraID>2CF01864</paraID>
      <start>26</start>
      <end>27</end>
      <status>unmodified</status>
      <modifiedWord/>
      <trackRevisions>false</trackRevisions>
    </reviewItem>
    <reviewItem>
      <errorID>b85e55f1-be83-498d-87c6-aa627a3b8278</errorID>
      <errorWord>:</errorWord>
      <group>L1_Format</group>
      <groupName>格式问题</groupName>
      <ability>L2_HalfPunc</ability>
      <abilityName>全半角检查</abilityName>
      <candidateList>
        <item>：</item>
      </candidateList>
      <explain>文本全半角错误。</explain>
      <paraID>11E48B9F</paraID>
      <start>7</start>
      <end>8</end>
      <status>unmodified</status>
      <modifiedWord/>
      <trackRevisions>false</trackRevisions>
    </reviewItem>
    <reviewItem>
      <errorID>ff275020-9e30-4900-b3c8-537126d0211b</errorID>
      <errorWord>;</errorWord>
      <group>L1_Format</group>
      <groupName>格式问题</groupName>
      <ability>L2_HalfPunc</ability>
      <abilityName>全半角检查</abilityName>
      <candidateList>
        <item>；</item>
      </candidateList>
      <explain>文本全半角错误。</explain>
      <paraID>11E48B9F</paraID>
      <start>37</start>
      <end>38</end>
      <status>unmodified</status>
      <modifiedWord/>
      <trackRevisions>false</trackRevisions>
    </reviewItem>
    <reviewItem>
      <errorID>54e06479-2cec-4c48-b1f3-68de1a409352</errorID>
      <errorWord>:</errorWord>
      <group>L1_Format</group>
      <groupName>格式问题</groupName>
      <ability>L2_HalfPunc</ability>
      <abilityName>全半角检查</abilityName>
      <candidateList>
        <item>：</item>
      </candidateList>
      <explain>文本全半角错误。</explain>
      <paraID> 7CD1DB2</paraID>
      <start>7</start>
      <end>8</end>
      <status>unmodified</status>
      <modifiedWord/>
      <trackRevisions>false</trackRevisions>
    </reviewItem>
    <reviewItem>
      <errorID>3a120dad-45ce-48a7-8521-ca8deabe3e36</errorID>
      <errorWord>:</errorWord>
      <group>L1_Format</group>
      <groupName>格式问题</groupName>
      <ability>L2_HalfPunc</ability>
      <abilityName>全半角检查</abilityName>
      <candidateList>
        <item>：</item>
      </candidateList>
      <explain>文本全半角错误。</explain>
      <paraID> 7CD1DB2</paraID>
      <start>41</start>
      <end>42</end>
      <status>unmodified</status>
      <modifiedWord/>
      <trackRevisions>false</trackRevisions>
    </reviewItem>
    <reviewItem>
      <errorID>54ec6fca-1ee7-43fb-84e7-29f06718860e</errorID>
      <errorWord>:</errorWord>
      <group>L1_Format</group>
      <groupName>格式问题</groupName>
      <ability>L2_HalfPunc</ability>
      <abilityName>全半角检查</abilityName>
      <candidateList>
        <item>：</item>
      </candidateList>
      <explain>文本全半角错误。</explain>
      <paraID>62F8DB5A</paraID>
      <start>7</start>
      <end>8</end>
      <status>unmodified</status>
      <modifiedWord/>
      <trackRevisions>false</trackRevisions>
    </reviewItem>
    <reviewItem>
      <errorID>9cbd557b-ed38-4c95-8e6e-3c3ff4da2d54</errorID>
      <errorWord>:</errorWord>
      <group>L1_Format</group>
      <groupName>格式问题</groupName>
      <ability>L2_HalfPunc</ability>
      <abilityName>全半角检查</abilityName>
      <candidateList>
        <item>：</item>
      </candidateList>
      <explain>文本全半角错误。</explain>
      <paraID>62F8DB5A</paraID>
      <start>26</start>
      <end>27</end>
      <status>unmodified</status>
      <modifiedWord/>
      <trackRevisions>false</trackRevisions>
    </reviewItem>
    <reviewItem>
      <errorID>9b136ab1-dcae-4e38-8d91-2da996da6924</errorID>
      <errorWord>:</errorWord>
      <group>L1_Format</group>
      <groupName>格式问题</groupName>
      <ability>L2_HalfPunc</ability>
      <abilityName>全半角检查</abilityName>
      <candidateList>
        <item>：</item>
      </candidateList>
      <explain>文本全半角错误。</explain>
      <paraID>   3F38D</paraID>
      <start>7</start>
      <end>8</end>
      <status>unmodified</status>
      <modifiedWord/>
      <trackRevisions>false</trackRevisions>
    </reviewItem>
    <reviewItem>
      <errorID>cfcaa0f6-a97d-4c3d-9659-35142dffddb0</errorID>
      <errorWord>;</errorWord>
      <group>L1_Format</group>
      <groupName>格式问题</groupName>
      <ability>L2_HalfPunc</ability>
      <abilityName>全半角检查</abilityName>
      <candidateList>
        <item>；</item>
      </candidateList>
      <explain>文本全半角错误。</explain>
      <paraID>   3F38D</paraID>
      <start>44</start>
      <end>45</end>
      <status>unmodified</status>
      <modifiedWord/>
      <trackRevisions>false</trackRevisions>
    </reviewItem>
    <reviewItem>
      <errorID>e12ce7de-fcdf-4d67-8834-5cbf9586e45b</errorID>
      <errorWord>:</errorWord>
      <group>L1_Format</group>
      <groupName>格式问题</groupName>
      <ability>L2_HalfPunc</ability>
      <abilityName>全半角检查</abilityName>
      <candidateList>
        <item>：</item>
      </candidateList>
      <explain>文本全半角错误。</explain>
      <paraID>32A31242</paraID>
      <start>7</start>
      <end>8</end>
      <status>unmodified</status>
      <modifiedWord/>
      <trackRevisions>false</trackRevisions>
    </reviewItem>
    <reviewItem>
      <errorID>a1f2ae1a-00d7-4994-a201-54d8908cbbef</errorID>
      <errorWord>;</errorWord>
      <group>L1_Format</group>
      <groupName>格式问题</groupName>
      <ability>L2_HalfPunc</ability>
      <abilityName>全半角检查</abilityName>
      <candidateList>
        <item>；</item>
      </candidateList>
      <explain>文本全半角错误。</explain>
      <paraID>32A31242</paraID>
      <start>25</start>
      <end>26</end>
      <status>unmodified</status>
      <modifiedWord/>
      <trackRevisions>false</trackRevisions>
    </reviewItem>
    <reviewItem>
      <errorID>3657919e-57cc-4554-afce-dcb318915499</errorID>
      <errorWord>:</errorWord>
      <group>L1_Format</group>
      <groupName>格式问题</groupName>
      <ability>L2_HalfPunc</ability>
      <abilityName>全半角检查</abilityName>
      <candidateList>
        <item>：</item>
      </candidateList>
      <explain>文本全半角错误。</explain>
      <paraID>350043FF</paraID>
      <start>7</start>
      <end>8</end>
      <status>unmodified</status>
      <modifiedWord/>
      <trackRevisions>false</trackRevisions>
    </reviewItem>
    <reviewItem>
      <errorID>86c53f0f-3698-4de6-8e3f-7e5ccb9e78e7</errorID>
      <errorWord>;</errorWord>
      <group>L1_Format</group>
      <groupName>格式问题</groupName>
      <ability>L2_HalfPunc</ability>
      <abilityName>全半角检查</abilityName>
      <candidateList>
        <item>；</item>
      </candidateList>
      <explain>文本全半角错误。</explain>
      <paraID>350043FF</paraID>
      <start>34</start>
      <end>35</end>
      <status>unmodified</status>
      <modifiedWord/>
      <trackRevisions>false</trackRevisions>
    </reviewItem>
    <reviewItem>
      <errorID>a8cc205d-f714-4ae1-92cc-049697bc2640</errorID>
      <errorWord>:</errorWord>
      <group>L1_Format</group>
      <groupName>格式问题</groupName>
      <ability>L2_HalfPunc</ability>
      <abilityName>全半角检查</abilityName>
      <candidateList>
        <item>：</item>
      </candidateList>
      <explain>文本全半角错误。</explain>
      <paraID>663D6304</paraID>
      <start>11</start>
      <end>12</end>
      <status>unmodified</status>
      <modifiedWord/>
      <trackRevisions>false</trackRevisions>
    </reviewItem>
    <reviewItem>
      <errorID>4e130e12-27a3-47ed-b7c8-0f310cda8d8f</errorID>
      <errorWord>;</errorWord>
      <group>L1_Format</group>
      <groupName>格式问题</groupName>
      <ability>L2_HalfPunc</ability>
      <abilityName>全半角检查</abilityName>
      <candidateList>
        <item>；</item>
      </candidateList>
      <explain>文本全半角错误。</explain>
      <paraID>663D6304</paraID>
      <start>42</start>
      <end>43</end>
      <status>unmodified</status>
      <modifiedWord/>
      <trackRevisions>false</trackRevisions>
    </reviewItem>
    <reviewItem>
      <errorID>7dd0ba8e-1c89-40a2-9c86-ab4521da380d</errorID>
      <errorWord>:</errorWord>
      <group>L1_Format</group>
      <groupName>格式问题</groupName>
      <ability>L2_HalfPunc</ability>
      <abilityName>全半角检查</abilityName>
      <candidateList>
        <item>：</item>
      </candidateList>
      <explain>文本全半角错误。</explain>
      <paraID>5C0C7CB0</paraID>
      <start>10</start>
      <end>11</end>
      <status>unmodified</status>
      <modifiedWord/>
      <trackRevisions>false</trackRevisions>
    </reviewItem>
    <reviewItem>
      <errorID>68df7616-8d32-4de2-9e9b-e13741d80177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4B8A5CDA</paraID>
      <start>0</start>
      <end>2</end>
      <status>unmodified</status>
      <modifiedWord/>
      <trackRevisions>false</trackRevisions>
    </reviewItem>
    <reviewItem>
      <errorID>011a55b9-a50d-496a-8871-f1bd70002d28</errorID>
      <errorWord>,</errorWord>
      <group>L1_Format</group>
      <groupName>格式问题</groupName>
      <ability>L2_HalfPunc</ability>
      <abilityName>全半角检查</abilityName>
      <candidateList>
        <item>，</item>
      </candidateList>
      <explain>文本全半角错误。</explain>
      <paraID>58FFF41E</paraID>
      <start>55</start>
      <end>56</end>
      <status>unmodified</status>
      <modifiedWord/>
      <trackRevisions>false</trackRevisions>
    </reviewItem>
    <reviewItem>
      <errorID>ac9d6e81-1058-436e-93e6-66517188a2be</errorID>
      <errorWord>,</errorWord>
      <group>L1_Format</group>
      <groupName>格式问题</groupName>
      <ability>L2_HalfPunc</ability>
      <abilityName>全半角检查</abilityName>
      <candidateList>
        <item>，</item>
      </candidateList>
      <explain>文本全半角错误。</explain>
      <paraID>58FFF41E</paraID>
      <start>77</start>
      <end>78</end>
      <status>unmodified</status>
      <modifiedWord/>
      <trackRevisions>false</trackRevisions>
    </reviewItem>
    <reviewItem>
      <errorID>0ce86175-5285-4f5b-90b9-85cd36a37d88</errorID>
      <errorWord>,</errorWord>
      <group>L1_Format</group>
      <groupName>格式问题</groupName>
      <ability>L2_HalfPunc</ability>
      <abilityName>全半角检查</abilityName>
      <candidateList>
        <item>，</item>
      </candidateList>
      <explain>文本全半角错误。</explain>
      <paraID>58FFF41E</paraID>
      <start>86</start>
      <end>87</end>
      <status>unmodified</status>
      <modifiedWord/>
      <trackRevisions>false</trackRevisions>
    </reviewItem>
    <reviewItem>
      <errorID>7f4553cf-063d-4907-89d3-cb0c23a3b9b6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68F6C0F1</paraID>
      <start>0</start>
      <end>3</end>
      <status>unmodified</status>
      <modifiedWord/>
      <trackRevisions>false</trackRevisions>
    </reviewItem>
    <reviewItem>
      <errorID>01b55186-5998-422f-a255-4f1400f27bc6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D20260D</paraID>
      <start>18</start>
      <end>20</end>
      <status>unmodified</status>
      <modifiedWord/>
      <trackRevisions>false</trackRevisions>
    </reviewItem>
    <reviewItem>
      <errorID>286aba0b-d2ef-4973-b6be-63696c85dde4</errorID>
      <errorWord>人</errorWord>
      <group>L1_Word</group>
      <groupName>字词问题</groupName>
      <ability>L2_Typo</ability>
      <abilityName>字词错误</abilityName>
      <candidateList>
        <item>人单</item>
      </candidateList>
      <explain/>
      <paraID> 4F454F1</paraID>
      <start>56</start>
      <end>57</end>
      <status>unmodified</status>
      <modifiedWord/>
      <trackRevisions>false</trackRevisions>
    </reviewItem>
    <reviewItem>
      <errorID>6e8425c2-cb1b-4e76-944d-e3ef2b6f6827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4415B8EF</paraID>
      <start>0</start>
      <end>2</end>
      <status>unmodified</status>
      <modifiedWord/>
      <trackRevisions>false</trackRevisions>
    </reviewItem>
    <reviewItem>
      <errorID>a7da3e88-c3ef-49b9-976e-0f4f509d9bf0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59A5885D</paraID>
      <start>0</start>
      <end>2</end>
      <status>unmodified</status>
      <modifiedWord/>
      <trackRevisions>false</trackRevisions>
    </reviewItem>
    <reviewItem>
      <errorID>37b14217-d35c-48fa-9ddb-3963094caee9</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 EAE12B3</paraID>
      <start>4</start>
      <end>6</end>
      <status>unmodified</status>
      <modifiedWord/>
      <trackRevisions>false</trackRevisions>
    </reviewItem>
    <reviewItem>
      <errorID>01e7805c-fc5b-4d90-b25a-4c9b91863bc9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251052E0</paraID>
      <start>0</start>
      <end>2</end>
      <status>unmodified</status>
      <modifiedWord/>
      <trackRevisions>false</trackRevisions>
    </reviewItem>
    <reviewItem>
      <errorID>c70f28d9-ab0d-46d7-b022-88395590c8b2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6E23B5B</paraID>
      <start>15</start>
      <end>16</end>
      <status>unmodified</status>
      <modifiedWord/>
      <trackRevisions>false</trackRevisions>
    </reviewItem>
    <reviewItem>
      <errorID>eadc4764-827e-49b1-b164-84f2bae0477c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2B88FB30</paraID>
      <start>0</start>
      <end>2</end>
      <status>unmodified</status>
      <modifiedWord/>
      <trackRevisions>false</trackRevisions>
    </reviewItem>
    <reviewItem>
      <errorID>edd24d8d-9a68-483c-9c6d-2d900bbe0a53</errorID>
      <errorWord>一般应</errorWord>
      <group>L1_Word</group>
      <groupName>字词问题</groupName>
      <ability>L2_Typo</ability>
      <abilityName>字词错误</abilityName>
      <candidateList>
        <item>一般</item>
      </candidateList>
      <explain>❶〈形〉一样；同样：哥儿俩长得～高｜火车飞～地向前驰去。❷数量词。一种：别有～滋味。❸〈形〉普通；通常：～性｜～化｜～情况｜他一早出去，～要到天黑才回家｜～地说，吃这种药是很见效的。</explain>
      <paraID>   E3E4B</paraID>
      <start>16</start>
      <end>19</end>
      <status>unmodified</status>
      <modifiedWord/>
      <trackRevisions>false</trackRevisions>
    </reviewItem>
    <reviewItem>
      <errorID>52071a38-de73-4bc9-87d4-1fc6e11f618c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723B3D05</paraID>
      <start>0</start>
      <end>2</end>
      <status>unmodified</status>
      <modifiedWord/>
      <trackRevisions>false</trackRevisions>
    </reviewItem>
    <reviewItem>
      <errorID>a3ff0964-00f2-4d08-b465-929fff0cff31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3D728A99</paraID>
      <start>0</start>
      <end>2</end>
      <status>unmodified</status>
      <modifiedWord/>
      <trackRevisions>false</trackRevisions>
    </reviewItem>
    <reviewItem>
      <errorID>056adccf-e739-4682-864f-0ad27817e0d7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45D79561</paraID>
      <start>0</start>
      <end>2</end>
      <status>unmodified</status>
      <modifiedWord/>
      <trackRevisions>false</trackRevisions>
    </reviewItem>
    <reviewItem>
      <errorID>09b58857-6c87-47b3-b591-a6140daca601</errorID>
      <errorWord>除</errorWord>
      <group>L1_Word</group>
      <groupName>字词问题</groupName>
      <ability>L2_Typo</ability>
      <abilityName>字词错误</abilityName>
      <candidateList>
        <item>除设</item>
      </candidateList>
      <explain/>
      <paraID>5AB3ED1A</paraID>
      <start>38</start>
      <end>39</end>
      <status>unmodified</status>
      <modifiedWord/>
      <trackRevisions>false</trackRevisions>
    </reviewItem>
    <reviewItem>
      <errorID>c08f63e8-ce56-430d-a22e-59ace024a42f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5069B25A</paraID>
      <start>0</start>
      <end>2</end>
      <status>unmodified</status>
      <modifiedWord/>
      <trackRevisions>false</trackRevisions>
    </reviewItem>
    <reviewItem>
      <errorID>8e2a6430-23a3-414e-a70f-ec26a127cc7b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58A9193D</paraID>
      <start>0</start>
      <end>2</end>
      <status>unmodified</status>
      <modifiedWord/>
      <trackRevisions>false</trackRevisions>
    </reviewItem>
    <reviewItem>
      <errorID>29133491-032a-427b-a3cb-b830ef3f7340</errorID>
      <errorWord>,</errorWord>
      <group>L1_Format</group>
      <groupName>格式问题</groupName>
      <ability>L2_HalfPunc</ability>
      <abilityName>全半角检查</abilityName>
      <candidateList>
        <item>，</item>
      </candidateList>
      <explain>文本全半角错误。</explain>
      <paraID>6A3A1C37</paraID>
      <start>82</start>
      <end>83</end>
      <status>unmodified</status>
      <modifiedWord/>
      <trackRevisions>false</trackRevisions>
    </reviewItem>
    <reviewItem>
      <errorID>69b50c54-3998-4035-919c-1034b7138d4b</errorID>
      <errorWord>:</errorWord>
      <group>L1_Format</group>
      <groupName>格式问题</groupName>
      <ability>L2_HalfPunc</ability>
      <abilityName>全半角检查</abilityName>
      <candidateList>
        <item>：</item>
      </candidateList>
      <explain>文本全半角错误。</explain>
      <paraID>6A3A1C37</paraID>
      <start>95</start>
      <end>96</end>
      <status>unmodified</status>
      <modifiedWord/>
      <trackRevisions>false</trackRevisions>
    </reviewItem>
    <reviewItem>
      <errorID>5cfe2465-1868-428f-bc68-08d213f7da20</errorID>
      <errorWord>的安全生产记录</errorWord>
      <group>L1_Word</group>
      <groupName>字词问题</groupName>
      <ability>L2_Alias</ability>
      <abilityName>也作/曾用词</abilityName>
      <candidateList>
        <item>的安全生产纪录</item>
      </candidateList>
      <explain>词汇[的安全生产记录]为不规范表述或旧称，其规范书面表述为[的安全生产纪录]。</explain>
      <paraID>6A3A1C37</paraID>
      <start>203</start>
      <end>210</end>
      <status>unmodified</status>
      <modifiedWord/>
      <trackRevisions>false</trackRevisions>
    </reviewItem>
    <reviewItem>
      <errorID>db2d7802-5e3d-4ac1-b6c5-b019d8641979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52595FC4</paraID>
      <start>0</start>
      <end>2</end>
      <status>unmodified</status>
      <modifiedWord/>
      <trackRevisions>false</trackRevisions>
    </reviewItem>
    <reviewItem>
      <errorID>9a70cdef-ac70-48f9-a436-8ad46b988c9f</errorID>
      <errorWord>,</errorWord>
      <group>L1_Format</group>
      <groupName>格式问题</groupName>
      <ability>L2_HalfPunc</ability>
      <abilityName>全半角检查</abilityName>
      <candidateList>
        <item>，</item>
      </candidateList>
      <explain>文本全半角错误。</explain>
      <paraID>49BBD0B9</paraID>
      <start>131</start>
      <end>132</end>
      <status>unmodified</status>
      <modifiedWord/>
      <trackRevisions>false</trackRevisions>
    </reviewItem>
    <reviewItem>
      <errorID>9c16e349-058c-44ad-9172-9259121a4e99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45431FF9</paraID>
      <start>0</start>
      <end>2</end>
      <status>unmodified</status>
      <modifiedWord/>
      <trackRevisions>false</trackRevisions>
    </reviewItem>
    <reviewItem>
      <errorID>fc31e9f6-f2e7-4835-a87f-fda378f091ed</errorID>
      <errorWord>:</errorWord>
      <group>L1_Format</group>
      <groupName>格式问题</groupName>
      <ability>L2_HalfPunc</ability>
      <abilityName>全半角检查</abilityName>
      <candidateList>
        <item>：</item>
      </candidateList>
      <explain>文本全半角错误。</explain>
      <paraID>3B2E7A56</paraID>
      <start>23</start>
      <end>24</end>
      <status>unmodified</status>
      <modifiedWord/>
      <trackRevisions>false</trackRevisions>
    </reviewItem>
    <reviewItem>
      <errorID>40a71003-0448-447d-b546-8fb64eeac9cf</errorID>
      <errorWord>以后的</errorWord>
      <group>L1_Word</group>
      <groupName>字词问题</groupName>
      <ability>L2_Typo</ability>
      <abilityName>字词错误</abilityName>
      <candidateList>
        <item>以后</item>
      </candidateList>
      <explain>〈名〉方位词。现在或所说某时之后的时期：从今～｜五年～｜毕业～｜～我们还要进一步研究这个问题。</explain>
      <paraID>26FB415E</paraID>
      <start>26</start>
      <end>29</end>
      <status>unmodified</status>
      <modifiedWord/>
      <trackRevisions>false</trackRevisions>
    </reviewItem>
    <reviewItem>
      <errorID>c61ede93-d6c0-4843-88f9-6e019e753b0b</errorID>
      <errorWord>其它</errorWord>
      <group>L1_Word</group>
      <groupName>字词问题</groupName>
      <ability>L2_Alias</ability>
      <abilityName>也作/曾用词</abilityName>
      <candidateList>
        <item>其他</item>
      </candidateList>
      <explain>词汇[其它]为不规范表述或旧称，其规范书面表述为[其他]。</explain>
      <paraID> E76F526</paraID>
      <start>85</start>
      <end>87</end>
      <status>unmodified</status>
      <modifiedWord/>
      <trackRevisions>false</trackRevisions>
    </reviewItem>
    <reviewItem>
      <errorID>8c21ef4d-8b13-4b56-9743-01139cf376c8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4A77BB7</paraID>
      <start>0</start>
      <end>2</end>
      <status>unmodified</status>
      <modifiedWord/>
      <trackRevisions>false</trackRevisions>
    </reviewItem>
    <reviewItem>
      <errorID>02f5b6d5-8af2-4b45-ad10-639350a33e49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7E295022</paraID>
      <start>0</start>
      <end>2</end>
      <status>unmodified</status>
      <modifiedWord/>
      <trackRevisions>false</trackRevisions>
    </reviewItem>
    <reviewItem>
      <errorID>541be4cb-86c9-4fc4-90da-cd542d515d28</errorID>
      <errorWord>:</errorWord>
      <group>L1_Format</group>
      <groupName>格式问题</groupName>
      <ability>L2_HalfPunc</ability>
      <abilityName>全半角检查</abilityName>
      <candidateList>
        <item>：</item>
      </candidateList>
      <explain>文本全半角错误。</explain>
      <paraID>5BD66329</paraID>
      <start>9</start>
      <end>10</end>
      <status>unmodified</status>
      <modifiedWord/>
      <trackRevisions>false</trackRevisions>
    </reviewItem>
    <reviewItem>
      <errorID>433dae11-0128-4e6e-b15f-7cb17c82420a</errorID>
      <errorWord>:</errorWord>
      <group>L1_Format</group>
      <groupName>格式问题</groupName>
      <ability>L2_HalfPunc</ability>
      <abilityName>全半角检查</abilityName>
      <candidateList>
        <item>：</item>
      </candidateList>
      <explain>文本全半角错误。</explain>
      <paraID>4AA704A5</paraID>
      <start>9</start>
      <end>10</end>
      <status>unmodified</status>
      <modifiedWord/>
      <trackRevisions>false</trackRevisions>
    </reviewItem>
    <reviewItem>
      <errorID>f79316e8-7d4c-4e69-a4bc-1773e6687cb7</errorID>
      <errorWord>:</errorWord>
      <group>L1_Format</group>
      <groupName>格式问题</groupName>
      <ability>L2_HalfPunc</ability>
      <abilityName>全半角检查</abilityName>
      <candidateList>
        <item>：</item>
      </candidateList>
      <explain>文本全半角错误。</explain>
      <paraID>55F315BA</paraID>
      <start>8</start>
      <end>9</end>
      <status>unmodified</status>
      <modifiedWord/>
      <trackRevisions>false</trackRevisions>
    </reviewItem>
    <reviewItem>
      <errorID>7ba92031-3f80-430e-8f4a-4b2f4370a164</errorID>
      <errorWord>:</errorWord>
      <group>L1_Format</group>
      <groupName>格式问题</groupName>
      <ability>L2_HalfPunc</ability>
      <abilityName>全半角检查</abilityName>
      <candidateList>
        <item>：</item>
      </candidateList>
      <explain>文本全半角错误。</explain>
      <paraID>699568CB</paraID>
      <start>11</start>
      <end>12</end>
      <status>unmodified</status>
      <modifiedWord/>
      <trackRevisions>false</trackRevisions>
    </reviewItem>
    <reviewItem>
      <errorID>118f9f78-13cb-464d-b47d-b653aed3d594</errorID>
      <errorWord>:</errorWord>
      <group>L1_Format</group>
      <groupName>格式问题</groupName>
      <ability>L2_HalfPunc</ability>
      <abilityName>全半角检查</abilityName>
      <candidateList>
        <item>：</item>
      </candidateList>
      <explain>文本全半角错误。</explain>
      <paraID>7E812E94</paraID>
      <start>9</start>
      <end>10</end>
      <status>unmodified</status>
      <modifiedWord/>
      <trackRevisions>false</trackRevisions>
    </reviewItem>
    <reviewItem>
      <errorID>1293a3c9-1854-4839-b5f2-f4de23eeeada</errorID>
      <errorWord>:</errorWord>
      <group>L1_Format</group>
      <groupName>格式问题</groupName>
      <ability>L2_HalfPunc</ability>
      <abilityName>全半角检查</abilityName>
      <candidateList>
        <item>：</item>
      </candidateList>
      <explain>文本全半角错误。</explain>
      <paraID>5BF80EFD</paraID>
      <start>8</start>
      <end>9</end>
      <status>unmodified</status>
      <modifiedWord/>
      <trackRevisions>false</trackRevisions>
    </reviewItem>
    <reviewItem>
      <errorID>e3aed217-d555-4f19-a9ff-828191b2b4ee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4C6E7069</paraID>
      <start>0</start>
      <end>2</end>
      <status>unmodified</status>
      <modifiedWord/>
      <trackRevisions>false</trackRevisions>
    </reviewItem>
    <reviewItem>
      <errorID>9615a086-04b8-4ec6-83d5-8ec753ba4990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43DB58CA</paraID>
      <start>0</start>
      <end>2</end>
      <status>unmodified</status>
      <modifiedWord/>
      <trackRevisions>false</trackRevisions>
    </reviewItem>
    <reviewItem>
      <errorID>ee77a262-bc6e-4d52-a567-dd78887a9e4d</errorID>
      <errorWord>:</errorWord>
      <group>L1_Format</group>
      <groupName>格式问题</groupName>
      <ability>L2_HalfPunc</ability>
      <abilityName>全半角检查</abilityName>
      <candidateList>
        <item>：</item>
      </candidateList>
      <explain>文本全半角错误。</explain>
      <paraID>43DB58CA</paraID>
      <start>110</start>
      <end>111</end>
      <status>unmodified</status>
      <modifiedWord/>
      <trackRevisions>false</trackRevisions>
    </reviewItem>
    <reviewItem>
      <errorID>dce54ba1-a936-4e43-b0de-f40b0703b0e3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50EA25C2</paraID>
      <start>0</start>
      <end>2</end>
      <status>unmodified</status>
      <modifiedWord/>
      <trackRevisions>false</trackRevisions>
    </reviewItem>
    <reviewItem>
      <errorID>0682e784-d15d-4053-be76-2d086454f313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41B75E4A</paraID>
      <start>0</start>
      <end>2</end>
      <status>unmodified</status>
      <modifiedWord/>
      <trackRevisions>false</trackRevisions>
    </reviewItem>
    <reviewItem>
      <errorID>12711101-fb1b-4923-b73c-14a73a086443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32A91C6B</paraID>
      <start>0</start>
      <end>2</end>
      <status>unmodified</status>
      <modifiedWord/>
      <trackRevisions>false</trackRevisions>
    </reviewItem>
    <reviewItem>
      <errorID>f9127055-90ad-4df0-8c22-ecff862e60f1</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32A91C6B</paraID>
      <start>35</start>
      <end>36</end>
      <status>unmodified</status>
      <modifiedWord/>
      <trackRevisions>false</trackRevisions>
    </reviewItem>
    <reviewItem>
      <errorID>fb4b981e-77be-477f-b226-cad3582fdda5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1CB3FF0D</paraID>
      <start>0</start>
      <end>2</end>
      <status>unmodified</status>
      <modifiedWord/>
      <trackRevisions>false</trackRevisions>
    </reviewItem>
    <reviewItem>
      <errorID>d7e0a075-13cf-41e7-9c93-840e7d90ce89</errorID>
      <errorWord>时</errorWord>
      <group>L1_Word</group>
      <groupName>字词问题</groupName>
      <ability>L2_Typo</ability>
      <abilityName>字词错误</abilityName>
      <candidateList>
        <item>时内</item>
      </candidateList>
      <explain/>
      <paraID>1CB3FF0D</paraID>
      <start>19</start>
      <end>20</end>
      <status>unmodified</status>
      <modifiedWord/>
      <trackRevisions>false</trackRevisions>
    </reviewItem>
    <reviewItem>
      <errorID>2008dd6e-1c0d-461d-8645-7c1a4b0755c0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2B1FF937</paraID>
      <start>0</start>
      <end>2</end>
      <status>unmodified</status>
      <modifiedWord/>
      <trackRevisions>false</trackRevisions>
    </reviewItem>
    <reviewItem>
      <errorID>d7406f2e-0fe9-4308-9212-faf8f3fe7bfe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4FE1B4F6</paraID>
      <start>0</start>
      <end>2</end>
      <status>unmodified</status>
      <modifiedWord/>
      <trackRevisions>false</trackRevisions>
    </reviewItem>
    <reviewItem>
      <errorID>a3c9dcf5-fa6b-429a-aede-48a4480b95e7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481DBCFF</paraID>
      <start>0</start>
      <end>2</end>
      <status>unmodified</status>
      <modifiedWord/>
      <trackRevisions>false</trackRevisions>
    </reviewItem>
    <reviewItem>
      <errorID>0be8d833-a976-4273-bd44-a0c18e46ffb2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319821A4</paraID>
      <start>0</start>
      <end>2</end>
      <status>unmodified</status>
      <modifiedWord/>
      <trackRevisions>false</trackRevisions>
    </reviewItem>
    <reviewItem>
      <errorID>fc8106fc-0fd2-4e4a-a8e9-40ccd7b66834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A7DC328</paraID>
      <start>0</start>
      <end>2</end>
      <status>unmodified</status>
      <modifiedWord/>
      <trackRevisions>false</trackRevisions>
    </reviewItem>
    <reviewItem>
      <errorID>f6fded20-2f8b-4cee-b666-782e7e94f1cc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82BF894</paraID>
      <start>0</start>
      <end>2</end>
      <status>unmodified</status>
      <modifiedWord/>
      <trackRevisions>false</trackRevisions>
    </reviewItem>
    <reviewItem>
      <errorID>8866324e-bcb8-4ec8-a64f-865f967d185b</errorID>
      <errorWord>更换为</errorWord>
      <group>L1_Word</group>
      <groupName>字词问题</groupName>
      <ability>L2_Typo</ability>
      <abilityName>字词错误</abilityName>
      <candidateList>
        <item>更换</item>
      </candidateList>
      <explain>〈动〉变换；替换：～位置｜～衣裳｜～值班人员｜展览馆里的展品不断～。</explain>
      <paraID>19EBFDE4</paraID>
      <start>138</start>
      <end>141</end>
      <status>unmodified</status>
      <modifiedWord/>
      <trackRevisions>false</trackRevisions>
    </reviewItem>
    <reviewItem>
      <errorID>7fabe1c2-4b9e-4319-aab2-38c8fcd9f7d5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F7972B</paraID>
      <start>0</start>
      <end>2</end>
      <status>unmodified</status>
      <modifiedWord/>
      <trackRevisions>false</trackRevisions>
    </reviewItem>
    <reviewItem>
      <errorID>8d4af886-42c1-4904-a307-7d6bfa027845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229D48E1</paraID>
      <start>0</start>
      <end>2</end>
      <status>unmodified</status>
      <modifiedWord/>
      <trackRevisions>false</trackRevisions>
    </reviewItem>
    <reviewItem>
      <errorID>1c10aa34-6728-4765-97e5-9a06d2a06513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146C4FD</paraID>
      <start>0</start>
      <end>2</end>
      <status>unmodified</status>
      <modifiedWord/>
      <trackRevisions>false</trackRevisions>
    </reviewItem>
    <reviewItem>
      <errorID>4cb279fc-845c-4c97-aa94-b7e3155a9469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22E002F7</paraID>
      <start>0</start>
      <end>2</end>
      <status>unmodified</status>
      <modifiedWord/>
      <trackRevisions>false</trackRevisions>
    </reviewItem>
    <reviewItem>
      <errorID>f3536267-68cd-4f83-a0a1-47dfb3468052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57468018</paraID>
      <start>0</start>
      <end>2</end>
      <status>unmodified</status>
      <modifiedWord/>
      <trackRevisions>false</trackRevisions>
    </reviewItem>
    <reviewItem>
      <errorID>6873a86d-f458-4a37-ba45-74cedfacb986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278CF18E</paraID>
      <start>0</start>
      <end>2</end>
      <status>unmodified</status>
      <modifiedWord/>
      <trackRevisions>false</trackRevisions>
    </reviewItem>
    <reviewItem>
      <errorID>91bff8ca-82d9-4c19-b609-28dfde32dcd7</errorID>
      <errorWord>增强</errorWord>
      <group>L1_Grammar</group>
      <groupName>语法问题</groupName>
      <ability>L2_Grammar</ability>
      <abilityName>语法错误</abilityName>
      <candidateList>
        <item>提高</item>
      </candidateList>
      <explain>“增强～效率”搭配不当，建议修改为“提高～效率”。</explain>
      <paraID>3716D18D</paraID>
      <start>3</start>
      <end>5</end>
      <status>unmodified</status>
      <modifiedWord/>
      <trackRevisions>false</trackRevisions>
    </reviewItem>
    <reviewItem>
      <errorID>27305fb6-c3a1-49ca-b039-715416ccd013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5874ADAA</paraID>
      <start>0</start>
      <end>2</end>
      <status>unmodified</status>
      <modifiedWord/>
      <trackRevisions>false</trackRevisions>
    </reviewItem>
    <reviewItem>
      <errorID>ce9a2f64-1cf4-456c-8a77-e903610717a0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F8B4E14</paraID>
      <start>0</start>
      <end>2</end>
      <status>unmodified</status>
      <modifiedWord/>
      <trackRevisions>false</trackRevisions>
    </reviewItem>
    <reviewItem>
      <errorID>2f30bc1d-666a-4043-a0e6-16343637db5f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79E1B464</paraID>
      <start>0</start>
      <end>2</end>
      <status>unmodified</status>
      <modifiedWord/>
      <trackRevisions>false</trackRevisions>
    </reviewItem>
    <reviewItem>
      <errorID>41673884-a4a9-45f1-b130-04c5afaf12bc</errorID>
      <errorWord>构建</errorWord>
      <group>L1_Word</group>
      <groupName>字词问题</groupName>
      <ability>L2_Typo</ability>
      <abilityName>字词错误</abilityName>
      <candidateList>
        <item>构件</item>
      </candidateList>
      <explain>存在发音相同字词的误用。</explain>
      <paraID>40B2E30D</paraID>
      <start>14</start>
      <end>16</end>
      <status>unmodified</status>
      <modifiedWord/>
      <trackRevisions>false</trackRevisions>
    </reviewItem>
    <reviewItem>
      <errorID>0f92f651-3354-4a94-80a5-10098e7fee83</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29BD4B5B</paraID>
      <start>0</start>
      <end>2</end>
      <status>unmodified</status>
      <modifiedWord/>
      <trackRevisions>false</trackRevisions>
    </reviewItem>
    <reviewItem>
      <errorID>fff0f8aa-f900-40e7-aa25-897c2fd4b143</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5B5AED90</paraID>
      <start>0</start>
      <end>2</end>
      <status>unmodified</status>
      <modifiedWord/>
      <trackRevisions>false</trackRevisions>
    </reviewItem>
    <reviewItem>
      <errorID>c254ad98-1105-461d-9557-44cfa96018a4</errorID>
      <errorWord>的总</errorWord>
      <group>L1_Word</group>
      <groupName>字词问题</groupName>
      <ability>L2_Typo</ability>
      <abilityName>字词错误</abilityName>
      <candidateList>
        <item>的</item>
      </candidateList>
      <explain>“的”常用于连接修饰语与名词性中心语，表示属性、所属或描述。</explain>
      <paraID> 6E7043F</paraID>
      <start>60</start>
      <end>62</end>
      <status>unmodified</status>
      <modifiedWord/>
      <trackRevisions>false</trackRevisions>
    </reviewItem>
    <reviewItem>
      <errorID>4933ffb7-78d2-4f95-9514-6e9fa3dd487d</errorID>
      <errorWord>-</errorWord>
      <group>L1_Format</group>
      <groupName>格式问题</groupName>
      <ability>L2_HalfPunc</ability>
      <abilityName>全半角检查</abilityName>
      <candidateList>
        <item>－</item>
      </candidateList>
      <explain>文本全半角错误。</explain>
      <paraID>226535EC</paraID>
      <start>2</start>
      <end>3</end>
      <status>unmodified</status>
      <modifiedWord/>
      <trackRevisions>false</trackRevisions>
    </reviewItem>
    <reviewItem>
      <errorID>62d39413-2e04-4e03-b9ed-5b39c07e651d</errorID>
      <errorWord>-</errorWord>
      <group>L1_Format</group>
      <groupName>格式问题</groupName>
      <ability>L2_HalfPunc</ability>
      <abilityName>全半角检查</abilityName>
      <candidateList>
        <item>－</item>
      </candidateList>
      <explain>文本全半角错误。</explain>
      <paraID>4F115FC4</paraID>
      <start>2</start>
      <end>3</end>
      <status>unmodified</status>
      <modifiedWord/>
      <trackRevisions>false</trackRevisions>
    </reviewItem>
    <reviewItem>
      <errorID>e99b6f7d-2daa-4383-8da6-a202bb1b255e</errorID>
      <errorWord>-</errorWord>
      <group>L1_Format</group>
      <groupName>格式问题</groupName>
      <ability>L2_HalfPunc</ability>
      <abilityName>全半角检查</abilityName>
      <candidateList>
        <item>－</item>
      </candidateList>
      <explain>文本全半角错误。</explain>
      <paraID>6A39E033</paraID>
      <start>2</start>
      <end>3</end>
      <status>unmodified</status>
      <modifiedWord/>
      <trackRevisions>false</trackRevisions>
    </reviewItem>
    <reviewItem>
      <errorID>ea9a82d7-596c-4a19-9bb5-ef5e1361d5a6</errorID>
      <errorWord>-</errorWord>
      <group>L1_Format</group>
      <groupName>格式问题</groupName>
      <ability>L2_HalfPunc</ability>
      <abilityName>全半角检查</abilityName>
      <candidateList>
        <item>－</item>
      </candidateList>
      <explain>文本全半角错误。</explain>
      <paraID>6A39E033</paraID>
      <start>7</start>
      <end>8</end>
      <status>unmodified</status>
      <modifiedWord/>
      <trackRevisions>false</trackRevisions>
    </reviewItem>
    <reviewItem>
      <errorID>e548f476-a736-4df9-91ca-00950114c15b</errorID>
      <errorWord>-</errorWord>
      <group>L1_Format</group>
      <groupName>格式问题</groupName>
      <ability>L2_HalfPunc</ability>
      <abilityName>全半角检查</abilityName>
      <candidateList>
        <item>－</item>
      </candidateList>
      <explain>文本全半角错误。</explain>
      <paraID>5DDA601B</paraID>
      <start>2</start>
      <end>3</end>
      <status>unmodified</status>
      <modifiedWord/>
      <trackRevisions>false</trackRevisions>
    </reviewItem>
    <reviewItem>
      <errorID>f41e9b83-f36d-4355-8731-37b1300310af</errorID>
      <errorWord>-</errorWord>
      <group>L1_Format</group>
      <groupName>格式问题</groupName>
      <ability>L2_HalfPunc</ability>
      <abilityName>全半角检查</abilityName>
      <candidateList>
        <item>－</item>
      </candidateList>
      <explain>文本全半角错误。</explain>
      <paraID>47500199</paraID>
      <start>2</start>
      <end>3</end>
      <status>unmodified</status>
      <modifiedWord/>
      <trackRevisions>false</trackRevisions>
    </reviewItem>
    <reviewItem>
      <errorID>70c9bea8-0d81-45c8-aed0-fc188b90c796</errorID>
      <errorWord>-</errorWord>
      <group>L1_Format</group>
      <groupName>格式问题</groupName>
      <ability>L2_HalfPunc</ability>
      <abilityName>全半角检查</abilityName>
      <candidateList>
        <item>－</item>
      </candidateList>
      <explain>文本全半角错误。</explain>
      <paraID> 8B8831C</paraID>
      <start>2</start>
      <end>3</end>
      <status>unmodified</status>
      <modifiedWord/>
      <trackRevisions>false</trackRevisions>
    </reviewItem>
    <reviewItem>
      <errorID>a6b7d5d3-a4fe-4c0a-bcd4-b4c2ccfde982</errorID>
      <errorWord>-</errorWord>
      <group>L1_Format</group>
      <groupName>格式问题</groupName>
      <ability>L2_HalfPunc</ability>
      <abilityName>全半角检查</abilityName>
      <candidateList>
        <item>－</item>
      </candidateList>
      <explain>文本全半角错误。</explain>
      <paraID>4E2D6254</paraID>
      <start>2</start>
      <end>3</end>
      <status>unmodified</status>
      <modifiedWord/>
      <trackRevisions>false</trackRevisions>
    </reviewItem>
    <reviewItem>
      <errorID>2d8a16fc-f3df-4b46-affd-47a9a2b03412</errorID>
      <errorWord>-</errorWord>
      <group>L1_Format</group>
      <groupName>格式问题</groupName>
      <ability>L2_HalfPunc</ability>
      <abilityName>全半角检查</abilityName>
      <candidateList>
        <item>－</item>
      </candidateList>
      <explain>文本全半角错误。</explain>
      <paraID>69F52728</paraID>
      <start>3</start>
      <end>4</end>
      <status>unmodified</status>
      <modifiedWord/>
      <trackRevisions>false</trackRevisions>
    </reviewItem>
    <reviewItem>
      <errorID>b6182245-b754-46e9-91d1-bd46326dac9d</errorID>
      <errorWord>-</errorWord>
      <group>L1_Format</group>
      <groupName>格式问题</groupName>
      <ability>L2_HalfPunc</ability>
      <abilityName>全半角检查</abilityName>
      <candidateList>
        <item>－</item>
      </candidateList>
      <explain>文本全半角错误。</explain>
      <paraID>5634A8A0</paraID>
      <start>4</start>
      <end>5</end>
      <status>unmodified</status>
      <modifiedWord/>
      <trackRevisions>false</trackRevisions>
    </reviewItem>
    <reviewItem>
      <errorID>9287867b-76f6-4a98-8672-58317ec6a3e7</errorID>
      <errorWord>-</errorWord>
      <group>L1_Format</group>
      <groupName>格式问题</groupName>
      <ability>L2_HalfPunc</ability>
      <abilityName>全半角检查</abilityName>
      <candidateList>
        <item>－</item>
      </candidateList>
      <explain>文本全半角错误。</explain>
      <paraID>4D8B7DAD</paraID>
      <start>4</start>
      <end>5</end>
      <status>unmodified</status>
      <modifiedWord/>
      <trackRevisions>false</trackRevisions>
    </reviewItem>
    <reviewItem>
      <errorID>b66eb86f-ce75-4563-9737-84adb0db48e0</errorID>
      <errorWord>-</errorWord>
      <group>L1_Format</group>
      <groupName>格式问题</groupName>
      <ability>L2_HalfPunc</ability>
      <abilityName>全半角检查</abilityName>
      <candidateList>
        <item>－</item>
      </candidateList>
      <explain>文本全半角错误。</explain>
      <paraID> B3984AE</paraID>
      <start>4</start>
      <end>5</end>
      <status>unmodified</status>
      <modifiedWord/>
      <trackRevisions>false</trackRevisions>
    </reviewItem>
    <reviewItem>
      <errorID>71b3cf62-5962-4488-8938-55e5392e9dfd</errorID>
      <errorWord>-</errorWord>
      <group>L1_Format</group>
      <groupName>格式问题</groupName>
      <ability>L2_HalfPunc</ability>
      <abilityName>全半角检查</abilityName>
      <candidateList>
        <item>－</item>
      </candidateList>
      <explain>文本全半角错误。</explain>
      <paraID>7B244499</paraID>
      <start>2</start>
      <end>3</end>
      <status>unmodified</status>
      <modifiedWord/>
      <trackRevisions>false</trackRevisions>
    </reviewItem>
    <reviewItem>
      <errorID>f06b3816-d5f2-4ab2-8f91-39869de26ef7</errorID>
      <errorWord>-</errorWord>
      <group>L1_Format</group>
      <groupName>格式问题</groupName>
      <ability>L2_HalfPunc</ability>
      <abilityName>全半角检查</abilityName>
      <candidateList>
        <item>－</item>
      </candidateList>
      <explain>文本全半角错误。</explain>
      <paraID>190A62B3</paraID>
      <start>2</start>
      <end>3</end>
      <status>unmodified</status>
      <modifiedWord/>
      <trackRevisions>false</trackRevisions>
    </reviewItem>
    <reviewItem>
      <errorID>8e2eba9d-cc30-43f2-851c-d0f8f42415ee</errorID>
      <errorWord>-</errorWord>
      <group>L1_Format</group>
      <groupName>格式问题</groupName>
      <ability>L2_HalfPunc</ability>
      <abilityName>全半角检查</abilityName>
      <candidateList>
        <item>－</item>
      </candidateList>
      <explain>文本全半角错误。</explain>
      <paraID>582F0C88</paraID>
      <start>2</start>
      <end>3</end>
      <status>unmodified</status>
      <modifiedWord/>
      <trackRevisions>false</trackRevisions>
    </reviewItem>
    <reviewItem>
      <errorID>058dc1af-413e-4e03-abf9-ab41a2f42cc3</errorID>
      <errorWord>-</errorWord>
      <group>L1_Format</group>
      <groupName>格式问题</groupName>
      <ability>L2_HalfPunc</ability>
      <abilityName>全半角检查</abilityName>
      <candidateList>
        <item>－</item>
      </candidateList>
      <explain>文本全半角错误。</explain>
      <paraID>4E8AB1B2</paraID>
      <start>2</start>
      <end>3</end>
      <status>unmodified</status>
      <modifiedWord/>
      <trackRevisions>false</trackRevisions>
    </reviewItem>
    <reviewItem>
      <errorID>071305e1-7d87-4c9b-801d-7d5baa23c73a</errorID>
      <errorWord>-</errorWord>
      <group>L1_Format</group>
      <groupName>格式问题</groupName>
      <ability>L2_HalfPunc</ability>
      <abilityName>全半角检查</abilityName>
      <candidateList>
        <item>－</item>
      </candidateList>
      <explain>文本全半角错误。</explain>
      <paraID>4E8AB1B2</paraID>
      <start>5</start>
      <end>6</end>
      <status>unmodified</status>
      <modifiedWord/>
      <trackRevisions>false</trackRevisions>
    </reviewItem>
    <reviewItem>
      <errorID>27389cda-5dcf-47c3-bea9-945e43722ecb</errorID>
      <errorWord>-</errorWord>
      <group>L1_Format</group>
      <groupName>格式问题</groupName>
      <ability>L2_HalfPunc</ability>
      <abilityName>全半角检查</abilityName>
      <candidateList>
        <item>－</item>
      </candidateList>
      <explain>文本全半角错误。</explain>
      <paraID>36EE1C1D</paraID>
      <start>2</start>
      <end>3</end>
      <status>unmodified</status>
      <modifiedWord/>
      <trackRevisions>false</trackRevisions>
    </reviewItem>
    <reviewItem>
      <errorID>8929c98e-ede5-46f3-81a8-8c45dd80a6d6</errorID>
      <errorWord>-</errorWord>
      <group>L1_Format</group>
      <groupName>格式问题</groupName>
      <ability>L2_HalfPunc</ability>
      <abilityName>全半角检查</abilityName>
      <candidateList>
        <item>－</item>
      </candidateList>
      <explain>文本全半角错误。</explain>
      <paraID>6B92479A</paraID>
      <start>2</start>
      <end>3</end>
      <status>unmodified</status>
      <modifiedWord/>
      <trackRevisions>false</trackRevisions>
    </reviewItem>
    <reviewItem>
      <errorID>4667cf63-e6f2-480d-a80c-39b18eba2059</errorID>
      <errorWord>-</errorWord>
      <group>L1_Format</group>
      <groupName>格式问题</groupName>
      <ability>L2_HalfPunc</ability>
      <abilityName>全半角检查</abilityName>
      <candidateList>
        <item>－</item>
      </candidateList>
      <explain>文本全半角错误。</explain>
      <paraID> 8B5A830</paraID>
      <start>2</start>
      <end>3</end>
      <status>unmodified</status>
      <modifiedWord/>
      <trackRevisions>false</trackRevisions>
    </reviewItem>
    <reviewItem>
      <errorID>7423edff-b855-4d23-8a89-38fe9cf301c7</errorID>
      <errorWord>-</errorWord>
      <group>L1_Format</group>
      <groupName>格式问题</groupName>
      <ability>L2_HalfPunc</ability>
      <abilityName>全半角检查</abilityName>
      <candidateList>
        <item>－</item>
      </candidateList>
      <explain>文本全半角错误。</explain>
      <paraID>26646F0F</paraID>
      <start>2</start>
      <end>3</end>
      <status>unmodified</status>
      <modifiedWord/>
      <trackRevisions>false</trackRevisions>
    </reviewItem>
    <reviewItem>
      <errorID>b98679b5-01b1-495b-8e8b-781f9ce16ea3</errorID>
      <errorWord>-</errorWord>
      <group>L1_Format</group>
      <groupName>格式问题</groupName>
      <ability>L2_HalfPunc</ability>
      <abilityName>全半角检查</abilityName>
      <candidateList>
        <item>－</item>
      </candidateList>
      <explain>文本全半角错误。</explain>
      <paraID>26646F0F</paraID>
      <start>5</start>
      <end>6</end>
      <status>unmodified</status>
      <modifiedWord/>
      <trackRevisions>false</trackRevisions>
    </reviewItem>
    <reviewItem>
      <errorID>807ae57a-a104-446b-b57a-93fe304463d4</errorID>
      <errorWord>-</errorWord>
      <group>L1_Format</group>
      <groupName>格式问题</groupName>
      <ability>L2_HalfPunc</ability>
      <abilityName>全半角检查</abilityName>
      <candidateList>
        <item>－</item>
      </candidateList>
      <explain>文本全半角错误。</explain>
      <paraID>3DF601F1</paraID>
      <start>2</start>
      <end>3</end>
      <status>unmodified</status>
      <modifiedWord/>
      <trackRevisions>false</trackRevisions>
    </reviewItem>
    <reviewItem>
      <errorID>34e93182-5265-4657-aacb-e8edc6e7f31a</errorID>
      <errorWord>-</errorWord>
      <group>L1_Format</group>
      <groupName>格式问题</groupName>
      <ability>L2_HalfPunc</ability>
      <abilityName>全半角检查</abilityName>
      <candidateList>
        <item>－</item>
      </candidateList>
      <explain>文本全半角错误。</explain>
      <paraID>3DF601F1</paraID>
      <start>5</start>
      <end>6</end>
      <status>unmodified</status>
      <modifiedWord/>
      <trackRevisions>false</trackRevisions>
    </reviewItem>
    <reviewItem>
      <errorID>24df5f25-f9a5-4b86-ad81-7c173606deb3</errorID>
      <errorWord>-</errorWord>
      <group>L1_Format</group>
      <groupName>格式问题</groupName>
      <ability>L2_HalfPunc</ability>
      <abilityName>全半角检查</abilityName>
      <candidateList>
        <item>－</item>
      </candidateList>
      <explain>文本全半角错误。</explain>
      <paraID>3D3F4EB3</paraID>
      <start>2</start>
      <end>3</end>
      <status>unmodified</status>
      <modifiedWord/>
      <trackRevisions>false</trackRevisions>
    </reviewItem>
    <reviewItem>
      <errorID>2d4bc7d0-539c-4708-b1ed-5e6284d7bce5</errorID>
      <errorWord>-</errorWord>
      <group>L1_Format</group>
      <groupName>格式问题</groupName>
      <ability>L2_HalfPunc</ability>
      <abilityName>全半角检查</abilityName>
      <candidateList>
        <item>－</item>
      </candidateList>
      <explain>文本全半角错误。</explain>
      <paraID> 1EE141D</paraID>
      <start>2</start>
      <end>3</end>
      <status>unmodified</status>
      <modifiedWord/>
      <trackRevisions>false</trackRevisions>
    </reviewItem>
    <reviewItem>
      <errorID>2ff8b6a7-b6f7-474a-9a81-417cb57449dd</errorID>
      <errorWord>-</errorWord>
      <group>L1_Format</group>
      <groupName>格式问题</groupName>
      <ability>L2_HalfPunc</ability>
      <abilityName>全半角检查</abilityName>
      <candidateList>
        <item>－</item>
      </candidateList>
      <explain>文本全半角错误。</explain>
      <paraID> 1EE141D</paraID>
      <start>5</start>
      <end>6</end>
      <status>unmodified</status>
      <modifiedWord/>
      <trackRevisions>false</trackRevisions>
    </reviewItem>
    <reviewItem>
      <errorID>ea7c451f-ef16-4a90-9230-c12303ce9916</errorID>
      <errorWord>-</errorWord>
      <group>L1_Format</group>
      <groupName>格式问题</groupName>
      <ability>L2_HalfPunc</ability>
      <abilityName>全半角检查</abilityName>
      <candidateList>
        <item>－</item>
      </candidateList>
      <explain>文本全半角错误。</explain>
      <paraID>77839E3A</paraID>
      <start>2</start>
      <end>3</end>
      <status>unmodified</status>
      <modifiedWord/>
      <trackRevisions>false</trackRevisions>
    </reviewItem>
    <reviewItem>
      <errorID>5eaf69e5-afcf-46f2-9c0d-784369d316e8</errorID>
      <errorWord>-</errorWord>
      <group>L1_Format</group>
      <groupName>格式问题</groupName>
      <ability>L2_HalfPunc</ability>
      <abilityName>全半角检查</abilityName>
      <candidateList>
        <item>－</item>
      </candidateList>
      <explain>文本全半角错误。</explain>
      <paraID>77839E3A</paraID>
      <start>5</start>
      <end>6</end>
      <status>unmodified</status>
      <modifiedWord/>
      <trackRevisions>false</trackRevisions>
    </reviewItem>
    <reviewItem>
      <errorID>a1b75e4f-e375-4a16-a296-3589e6920e5a</errorID>
      <errorWord>-</errorWord>
      <group>L1_Format</group>
      <groupName>格式问题</groupName>
      <ability>L2_HalfPunc</ability>
      <abilityName>全半角检查</abilityName>
      <candidateList>
        <item>－</item>
      </candidateList>
      <explain>文本全半角错误。</explain>
      <paraID>77839E3A</paraID>
      <start>8</start>
      <end>9</end>
      <status>unmodified</status>
      <modifiedWord/>
      <trackRevisions>false</trackRevisions>
    </reviewItem>
    <reviewItem>
      <errorID>5fde2ea8-5533-40b9-9282-90527ac616cb</errorID>
      <errorWord>-</errorWord>
      <group>L1_Format</group>
      <groupName>格式问题</groupName>
      <ability>L2_HalfPunc</ability>
      <abilityName>全半角检查</abilityName>
      <candidateList>
        <item>－</item>
      </candidateList>
      <explain>文本全半角错误。</explain>
      <paraID>5ADED376</paraID>
      <start>2</start>
      <end>3</end>
      <status>unmodified</status>
      <modifiedWord/>
      <trackRevisions>false</trackRevisions>
    </reviewItem>
    <reviewItem>
      <errorID>6b9bd49a-fcc2-4d52-9903-0703b71f4521</errorID>
      <errorWord>-</errorWord>
      <group>L1_Format</group>
      <groupName>格式问题</groupName>
      <ability>L2_HalfPunc</ability>
      <abilityName>全半角检查</abilityName>
      <candidateList>
        <item>－</item>
      </candidateList>
      <explain>文本全半角错误。</explain>
      <paraID>5ADED376</paraID>
      <start>5</start>
      <end>6</end>
      <status>unmodified</status>
      <modifiedWord/>
      <trackRevisions>false</trackRevisions>
    </reviewItem>
    <reviewItem>
      <errorID>9dbdb337-a92b-486f-bf96-3464af48f336</errorID>
      <errorWord>-</errorWord>
      <group>L1_Format</group>
      <groupName>格式问题</groupName>
      <ability>L2_HalfPunc</ability>
      <abilityName>全半角检查</abilityName>
      <candidateList>
        <item>－</item>
      </candidateList>
      <explain>文本全半角错误。</explain>
      <paraID>138C6EE5</paraID>
      <start>2</start>
      <end>3</end>
      <status>unmodified</status>
      <modifiedWord/>
      <trackRevisions>false</trackRevisions>
    </reviewItem>
    <reviewItem>
      <errorID>3095e9df-6c90-4208-ab4a-bc0779a1d84e</errorID>
      <errorWord>-</errorWord>
      <group>L1_Format</group>
      <groupName>格式问题</groupName>
      <ability>L2_HalfPunc</ability>
      <abilityName>全半角检查</abilityName>
      <candidateList>
        <item>－</item>
      </candidateList>
      <explain>文本全半角错误。</explain>
      <paraID>138C6EE5</paraID>
      <start>5</start>
      <end>6</end>
      <status>unmodified</status>
      <modifiedWord/>
      <trackRevisions>false</trackRevisions>
    </reviewItem>
    <reviewItem>
      <errorID>f1abde6a-5974-4599-9084-a528b8d72f75</errorID>
      <errorWord>-</errorWord>
      <group>L1_Format</group>
      <groupName>格式问题</groupName>
      <ability>L2_HalfPunc</ability>
      <abilityName>全半角检查</abilityName>
      <candidateList>
        <item>－</item>
      </candidateList>
      <explain>文本全半角错误。</explain>
      <paraID>45B51ACA</paraID>
      <start>4</start>
      <end>5</end>
      <status>unmodified</status>
      <modifiedWord/>
      <trackRevisions>false</trackRevisions>
    </reviewItem>
    <reviewItem>
      <errorID>3e9aedf6-19a2-4d76-b94a-4d04fa7cf35a</errorID>
      <errorWord>-</errorWord>
      <group>L1_Format</group>
      <groupName>格式问题</groupName>
      <ability>L2_HalfPunc</ability>
      <abilityName>全半角检查</abilityName>
      <candidateList>
        <item>－</item>
      </candidateList>
      <explain>文本全半角错误。</explain>
      <paraID> C764FD9</paraID>
      <start>2</start>
      <end>3</end>
      <status>unmodified</status>
      <modifiedWord/>
      <trackRevisions>false</trackRevisions>
    </reviewItem>
    <reviewItem>
      <errorID>cac30f7f-a0dc-4303-b85d-76b1301da599</errorID>
      <errorWord>-</errorWord>
      <group>L1_Format</group>
      <groupName>格式问题</groupName>
      <ability>L2_HalfPunc</ability>
      <abilityName>全半角检查</abilityName>
      <candidateList>
        <item>－</item>
      </candidateList>
      <explain>文本全半角错误。</explain>
      <paraID> C764FD9</paraID>
      <start>5</start>
      <end>6</end>
      <status>unmodified</status>
      <modifiedWord/>
      <trackRevisions>false</trackRevisions>
    </reviewItem>
    <reviewItem>
      <errorID>94f69b18-5d24-4d52-9acb-f9cb844f8d12</errorID>
      <errorWord>-</errorWord>
      <group>L1_Format</group>
      <groupName>格式问题</groupName>
      <ability>L2_HalfPunc</ability>
      <abilityName>全半角检查</abilityName>
      <candidateList>
        <item>－</item>
      </candidateList>
      <explain>文本全半角错误。</explain>
      <paraID> C764FD9</paraID>
      <start>8</start>
      <end>9</end>
      <status>unmodified</status>
      <modifiedWord/>
      <trackRevisions>false</trackRevisions>
    </reviewItem>
    <reviewItem>
      <errorID>b70be5de-31b5-4944-a783-7ada75c7e677</errorID>
      <errorWord>-</errorWord>
      <group>L1_Format</group>
      <groupName>格式问题</groupName>
      <ability>L2_HalfPunc</ability>
      <abilityName>全半角检查</abilityName>
      <candidateList>
        <item>－</item>
      </candidateList>
      <explain>文本全半角错误。</explain>
      <paraID>16C1AF9E</paraID>
      <start>4</start>
      <end>5</end>
      <status>unmodified</status>
      <modifiedWord/>
      <trackRevisions>false</trackRevisions>
    </reviewItem>
    <reviewItem>
      <errorID>d33888e1-4e4e-4cc1-8b5e-c62b3088494c</errorID>
      <errorWord>-</errorWord>
      <group>L1_Format</group>
      <groupName>格式问题</groupName>
      <ability>L2_HalfPunc</ability>
      <abilityName>全半角检查</abilityName>
      <candidateList>
        <item>－</item>
      </candidateList>
      <explain>文本全半角错误。</explain>
      <paraID>16C1AF9E</paraID>
      <start>7</start>
      <end>8</end>
      <status>unmodified</status>
      <modifiedWord/>
      <trackRevisions>false</trackRevisions>
    </reviewItem>
    <reviewItem>
      <errorID>8e79726d-3e93-4ec3-8e8d-e3b8835d325c</errorID>
      <errorWord>-</errorWord>
      <group>L1_Format</group>
      <groupName>格式问题</groupName>
      <ability>L2_HalfPunc</ability>
      <abilityName>全半角检查</abilityName>
      <candidateList>
        <item>－</item>
      </candidateList>
      <explain>文本全半角错误。</explain>
      <paraID>16C1AF9E</paraID>
      <start>12</start>
      <end>13</end>
      <status>unmodified</status>
      <modifiedWord/>
      <trackRevisions>false</trackRevisions>
    </reviewItem>
    <reviewItem>
      <errorID>ea463c02-83b3-40ed-89c7-4c437bf758e5</errorID>
      <errorWord>-</errorWord>
      <group>L1_Format</group>
      <groupName>格式问题</groupName>
      <ability>L2_HalfPunc</ability>
      <abilityName>全半角检查</abilityName>
      <candidateList>
        <item>－</item>
      </candidateList>
      <explain>文本全半角错误。</explain>
      <paraID> FC2A5FB</paraID>
      <start>4</start>
      <end>5</end>
      <status>unmodified</status>
      <modifiedWord/>
      <trackRevisions>false</trackRevisions>
    </reviewItem>
    <reviewItem>
      <errorID>cb0dd720-6d31-4a1a-af4c-1a2c728608df</errorID>
      <errorWord>-</errorWord>
      <group>L1_Format</group>
      <groupName>格式问题</groupName>
      <ability>L2_HalfPunc</ability>
      <abilityName>全半角检查</abilityName>
      <candidateList>
        <item>－</item>
      </candidateList>
      <explain>文本全半角错误。</explain>
      <paraID> FC2A5FB</paraID>
      <start>7</start>
      <end>8</end>
      <status>unmodified</status>
      <modifiedWord/>
      <trackRevisions>false</trackRevisions>
    </reviewItem>
    <reviewItem>
      <errorID>bcbd5fb6-03b6-4cbe-8959-92d208142f62</errorID>
      <errorWord>-</errorWord>
      <group>L1_Format</group>
      <groupName>格式问题</groupName>
      <ability>L2_HalfPunc</ability>
      <abilityName>全半角检查</abilityName>
      <candidateList>
        <item>－</item>
      </candidateList>
      <explain>文本全半角错误。</explain>
      <paraID> FC2A5FB</paraID>
      <start>10</start>
      <end>11</end>
      <status>unmodified</status>
      <modifiedWord/>
      <trackRevisions>false</trackRevisions>
    </reviewItem>
    <reviewItem>
      <errorID>e91b8ce0-48bd-4367-81d8-7d4fb1155e4f</errorID>
      <errorWord>-</errorWord>
      <group>L1_Format</group>
      <groupName>格式问题</groupName>
      <ability>L2_HalfPunc</ability>
      <abilityName>全半角检查</abilityName>
      <candidateList>
        <item>－</item>
      </candidateList>
      <explain>文本全半角错误。</explain>
      <paraID>21EF1987</paraID>
      <start>2</start>
      <end>3</end>
      <status>unmodified</status>
      <modifiedWord/>
      <trackRevisions>false</trackRevisions>
    </reviewItem>
    <reviewItem>
      <errorID>d14b0e10-d0b4-4ea2-b9b1-4bd44c808bc4</errorID>
      <errorWord>-</errorWord>
      <group>L1_Format</group>
      <groupName>格式问题</groupName>
      <ability>L2_HalfPunc</ability>
      <abilityName>全半角检查</abilityName>
      <candidateList>
        <item>－</item>
      </candidateList>
      <explain>文本全半角错误。</explain>
      <paraID>21EF1987</paraID>
      <start>5</start>
      <end>6</end>
      <status>unmodified</status>
      <modifiedWord/>
      <trackRevisions>false</trackRevisions>
    </reviewItem>
    <reviewItem>
      <errorID>1beb177c-da12-450f-a38c-b996e2964a34</errorID>
      <errorWord>-</errorWord>
      <group>L1_Format</group>
      <groupName>格式问题</groupName>
      <ability>L2_HalfPunc</ability>
      <abilityName>全半角检查</abilityName>
      <candidateList>
        <item>－</item>
      </candidateList>
      <explain>文本全半角错误。</explain>
      <paraID>21EF1987</paraID>
      <start>8</start>
      <end>9</end>
      <status>unmodified</status>
      <modifiedWord/>
      <trackRevisions>false</trackRevisions>
    </reviewItem>
    <reviewItem>
      <errorID>9de9cdbb-238c-4c3f-ab0f-b15a4e764153</errorID>
      <errorWord>-</errorWord>
      <group>L1_Format</group>
      <groupName>格式问题</groupName>
      <ability>L2_HalfPunc</ability>
      <abilityName>全半角检查</abilityName>
      <candidateList>
        <item>－</item>
      </candidateList>
      <explain>文本全半角错误。</explain>
      <paraID>470DA60E</paraID>
      <start>4</start>
      <end>5</end>
      <status>unmodified</status>
      <modifiedWord/>
      <trackRevisions>false</trackRevisions>
    </reviewItem>
    <reviewItem>
      <errorID>270b6924-fa6f-44c0-ad95-ca31a68e6902</errorID>
      <errorWord>-</errorWord>
      <group>L1_Format</group>
      <groupName>格式问题</groupName>
      <ability>L2_HalfPunc</ability>
      <abilityName>全半角检查</abilityName>
      <candidateList>
        <item>－</item>
      </candidateList>
      <explain>文本全半角错误。</explain>
      <paraID>470DA60E</paraID>
      <start>7</start>
      <end>8</end>
      <status>unmodified</status>
      <modifiedWord/>
      <trackRevisions>false</trackRevisions>
    </reviewItem>
    <reviewItem>
      <errorID>f66c71cd-8a87-4d22-a7c8-3fd4730a76bf</errorID>
      <errorWord>做</errorWord>
      <group>L1_Word</group>
      <groupName>字词问题</groupName>
      <ability>L2_Typo</ability>
      <abilityName>字词错误</abilityName>
      <candidateList>
        <item>作</item>
      </candidateList>
      <explain>存在发音相同字词的误用。</explain>
      <paraID>60E2733F</paraID>
      <start>4</start>
      <end>5</end>
      <status>unmodified</status>
      <modifiedWord/>
      <trackRevisions>false</trackRevisions>
    </reviewItem>
    <reviewItem>
      <errorID>73084eb8-4bb9-44f8-afdc-8679a7630b27</errorID>
      <errorWord>-</errorWord>
      <group>L1_Format</group>
      <groupName>格式问题</groupName>
      <ability>L2_HalfPunc</ability>
      <abilityName>全半角检查</abilityName>
      <candidateList>
        <item>－</item>
      </candidateList>
      <explain>文本全半角错误。</explain>
      <paraID>39E8F34B</paraID>
      <start>8</start>
      <end>9</end>
      <status>unmodified</status>
      <modifiedWord/>
      <trackRevisions>false</trackRevisions>
    </reviewItem>
    <reviewItem>
      <errorID>e02e70a1-5924-4769-93fa-19817a763133</errorID>
      <errorWord>-</errorWord>
      <group>L1_Format</group>
      <groupName>格式问题</groupName>
      <ability>L2_HalfPunc</ability>
      <abilityName>全半角检查</abilityName>
      <candidateList>
        <item>－</item>
      </candidateList>
      <explain>文本全半角错误。</explain>
      <paraID>39E8F34B</paraID>
      <start>13</start>
      <end>14</end>
      <status>unmodified</status>
      <modifiedWord/>
      <trackRevisions>false</trackRevisions>
    </reviewItem>
    <reviewItem>
      <errorID>4ca00e27-aafb-4ff8-90f4-09538db6cc56</errorID>
      <errorWord>-</errorWord>
      <group>L1_Format</group>
      <groupName>格式问题</groupName>
      <ability>L2_HalfPunc</ability>
      <abilityName>全半角检查</abilityName>
      <candidateList>
        <item>－</item>
      </candidateList>
      <explain>文本全半角错误。</explain>
      <paraID>774D00C5</paraID>
      <start>2</start>
      <end>3</end>
      <status>unmodified</status>
      <modifiedWord/>
      <trackRevisions>false</trackRevisions>
    </reviewItem>
    <reviewItem>
      <errorID>3648f625-cdd5-4f12-84d1-eff8404d7cec</errorID>
      <errorWord>-</errorWord>
      <group>L1_Format</group>
      <groupName>格式问题</groupName>
      <ability>L2_HalfPunc</ability>
      <abilityName>全半角检查</abilityName>
      <candidateList>
        <item>－</item>
      </candidateList>
      <explain>文本全半角错误。</explain>
      <paraID>774D00C5</paraID>
      <start>5</start>
      <end>6</end>
      <status>unmodified</status>
      <modifiedWord/>
      <trackRevisions>false</trackRevisions>
    </reviewItem>
    <reviewItem>
      <errorID>5b2cf8a0-8a6f-4854-a1ab-a1767b9e4091</errorID>
      <errorWord>-</errorWord>
      <group>L1_Format</group>
      <groupName>格式问题</groupName>
      <ability>L2_HalfPunc</ability>
      <abilityName>全半角检查</abilityName>
      <candidateList>
        <item>－</item>
      </candidateList>
      <explain>文本全半角错误。</explain>
      <paraID>4EFEC6F7</paraID>
      <start>2</start>
      <end>3</end>
      <status>unmodified</status>
      <modifiedWord/>
      <trackRevisions>false</trackRevisions>
    </reviewItem>
    <reviewItem>
      <errorID>0d05b3cb-dc8f-4cac-a260-bb33e4c1d1bf</errorID>
      <errorWord>-</errorWord>
      <group>L1_Format</group>
      <groupName>格式问题</groupName>
      <ability>L2_HalfPunc</ability>
      <abilityName>全半角检查</abilityName>
      <candidateList>
        <item>－</item>
      </candidateList>
      <explain>文本全半角错误。</explain>
      <paraID>4EFEC6F7</paraID>
      <start>5</start>
      <end>6</end>
      <status>unmodified</status>
      <modifiedWord/>
      <trackRevisions>false</trackRevisions>
    </reviewItem>
    <reviewItem>
      <errorID>bcb98d51-6845-42bf-8e06-68768fb3af44</errorID>
      <errorWord>-</errorWord>
      <group>L1_Format</group>
      <groupName>格式问题</groupName>
      <ability>L2_HalfPunc</ability>
      <abilityName>全半角检查</abilityName>
      <candidateList>
        <item>－</item>
      </candidateList>
      <explain>文本全半角错误。</explain>
      <paraID>4EFEC6F7</paraID>
      <start>8</start>
      <end>9</end>
      <status>unmodified</status>
      <modifiedWord/>
      <trackRevisions>false</trackRevisions>
    </reviewItem>
    <reviewItem>
      <errorID>ca8feb5c-447d-45c0-b520-8c0d1d4f7602</errorID>
      <errorWord>-</errorWord>
      <group>L1_Format</group>
      <groupName>格式问题</groupName>
      <ability>L2_HalfPunc</ability>
      <abilityName>全半角检查</abilityName>
      <candidateList>
        <item>－</item>
      </candidateList>
      <explain>文本全半角错误。</explain>
      <paraID>229B1BD2</paraID>
      <start>4</start>
      <end>5</end>
      <status>unmodified</status>
      <modifiedWord/>
      <trackRevisions>false</trackRevisions>
    </reviewItem>
    <reviewItem>
      <errorID>dfeb76e1-321c-4cfe-8065-48c041cb8ae7</errorID>
      <errorWord>-</errorWord>
      <group>L1_Format</group>
      <groupName>格式问题</groupName>
      <ability>L2_HalfPunc</ability>
      <abilityName>全半角检查</abilityName>
      <candidateList>
        <item>－</item>
      </candidateList>
      <explain>文本全半角错误。</explain>
      <paraID>229B1BD2</paraID>
      <start>7</start>
      <end>8</end>
      <status>unmodified</status>
      <modifiedWord/>
      <trackRevisions>false</trackRevisions>
    </reviewItem>
    <reviewItem>
      <errorID>eacb5671-4516-486f-902b-255583340bee</errorID>
      <errorWord>-</errorWord>
      <group>L1_Format</group>
      <groupName>格式问题</groupName>
      <ability>L2_HalfPunc</ability>
      <abilityName>全半角检查</abilityName>
      <candidateList>
        <item>－</item>
      </candidateList>
      <explain>文本全半角错误。</explain>
      <paraID>229B1BD2</paraID>
      <start>11</start>
      <end>12</end>
      <status>unmodified</status>
      <modifiedWord/>
      <trackRevisions>false</trackRevisions>
    </reviewItem>
    <reviewItem>
      <errorID>639ce9c9-4275-4b0b-af20-54342d396875</errorID>
      <errorWord>-</errorWord>
      <group>L1_Format</group>
      <groupName>格式问题</groupName>
      <ability>L2_HalfPunc</ability>
      <abilityName>全半角检查</abilityName>
      <candidateList>
        <item>－</item>
      </candidateList>
      <explain>文本全半角错误。</explain>
      <paraID>229B1BD2</paraID>
      <start>14</start>
      <end>15</end>
      <status>unmodified</status>
      <modifiedWord/>
      <trackRevisions>false</trackRevisions>
    </reviewItem>
    <reviewItem>
      <errorID>e5c5d114-e4a3-4c1d-bb08-67c00f7d0cdf</errorID>
      <errorWord>-</errorWord>
      <group>L1_Format</group>
      <groupName>格式问题</groupName>
      <ability>L2_HalfPunc</ability>
      <abilityName>全半角检查</abilityName>
      <candidateList>
        <item>－</item>
      </candidateList>
      <explain>文本全半角错误。</explain>
      <paraID>71052B74</paraID>
      <start>2</start>
      <end>3</end>
      <status>unmodified</status>
      <modifiedWord/>
      <trackRevisions>false</trackRevisions>
    </reviewItem>
    <reviewItem>
      <errorID>5d865a64-934a-4861-95cd-8cb0c2b94dbb</errorID>
      <errorWord>-</errorWord>
      <group>L1_Format</group>
      <groupName>格式问题</groupName>
      <ability>L2_HalfPunc</ability>
      <abilityName>全半角检查</abilityName>
      <candidateList>
        <item>－</item>
      </candidateList>
      <explain>文本全半角错误。</explain>
      <paraID>71052B74</paraID>
      <start>5</start>
      <end>6</end>
      <status>unmodified</status>
      <modifiedWord/>
      <trackRevisions>false</trackRevisions>
    </reviewItem>
    <reviewItem>
      <errorID>085b62ef-2ba6-437d-abea-9c18922c9436</errorID>
      <errorWord>-</errorWord>
      <group>L1_Format</group>
      <groupName>格式问题</groupName>
      <ability>L2_HalfPunc</ability>
      <abilityName>全半角检查</abilityName>
      <candidateList>
        <item>－</item>
      </candidateList>
      <explain>文本全半角错误。</explain>
      <paraID>71052B74</paraID>
      <start>8</start>
      <end>9</end>
      <status>unmodified</status>
      <modifiedWord/>
      <trackRevisions>false</trackRevisions>
    </reviewItem>
    <reviewItem>
      <errorID>0565f3df-2ba9-435e-9769-ff6ec0249ad1</errorID>
      <errorWord>-</errorWord>
      <group>L1_Format</group>
      <groupName>格式问题</groupName>
      <ability>L2_HalfPunc</ability>
      <abilityName>全半角检查</abilityName>
      <candidateList>
        <item>－</item>
      </candidateList>
      <explain>文本全半角错误。</explain>
      <paraID>36488758</paraID>
      <start>2</start>
      <end>3</end>
      <status>unmodified</status>
      <modifiedWord/>
      <trackRevisions>false</trackRevisions>
    </reviewItem>
    <reviewItem>
      <errorID>16a237c3-3f6e-4562-b4cd-bdc60cb2ccde</errorID>
      <errorWord>-</errorWord>
      <group>L1_Format</group>
      <groupName>格式问题</groupName>
      <ability>L2_HalfPunc</ability>
      <abilityName>全半角检查</abilityName>
      <candidateList>
        <item>－</item>
      </candidateList>
      <explain>文本全半角错误。</explain>
      <paraID>36488758</paraID>
      <start>5</start>
      <end>6</end>
      <status>unmodified</status>
      <modifiedWord/>
      <trackRevisions>false</trackRevisions>
    </reviewItem>
    <reviewItem>
      <errorID>68246cfe-39dd-4b2c-aab2-7db6d5333eb0</errorID>
      <errorWord>-</errorWord>
      <group>L1_Format</group>
      <groupName>格式问题</groupName>
      <ability>L2_HalfPunc</ability>
      <abilityName>全半角检查</abilityName>
      <candidateList>
        <item>－</item>
      </candidateList>
      <explain>文本全半角错误。</explain>
      <paraID>6BFEFAA4</paraID>
      <start>2</start>
      <end>3</end>
      <status>unmodified</status>
      <modifiedWord/>
      <trackRevisions>false</trackRevisions>
    </reviewItem>
    <reviewItem>
      <errorID>7db8e971-293a-4e42-b629-28d3e6e0bba4</errorID>
      <errorWord>-</errorWord>
      <group>L1_Format</group>
      <groupName>格式问题</groupName>
      <ability>L2_HalfPunc</ability>
      <abilityName>全半角检查</abilityName>
      <candidateList>
        <item>－</item>
      </candidateList>
      <explain>文本全半角错误。</explain>
      <paraID>6BFEFAA4</paraID>
      <start>5</start>
      <end>6</end>
      <status>unmodified</status>
      <modifiedWord/>
      <trackRevisions>false</trackRevisions>
    </reviewItem>
    <reviewItem>
      <errorID>cb9f6ec2-b35f-47e7-9bba-cab6c53108c7</errorID>
      <errorWord>-</errorWord>
      <group>L1_Format</group>
      <groupName>格式问题</groupName>
      <ability>L2_HalfPunc</ability>
      <abilityName>全半角检查</abilityName>
      <candidateList>
        <item>－</item>
      </candidateList>
      <explain>文本全半角错误。</explain>
      <paraID>6BFEFAA4</paraID>
      <start>12</start>
      <end>13</end>
      <status>unmodified</status>
      <modifiedWord/>
      <trackRevisions>false</trackRevisions>
    </reviewItem>
    <reviewItem>
      <errorID>25423057-62a6-4567-9e9f-0751d791094a</errorID>
      <errorWord>-</errorWord>
      <group>L1_Format</group>
      <groupName>格式问题</groupName>
      <ability>L2_HalfPunc</ability>
      <abilityName>全半角检查</abilityName>
      <candidateList>
        <item>－</item>
      </candidateList>
      <explain>文本全半角错误。</explain>
      <paraID>6B4781E4</paraID>
      <start>2</start>
      <end>3</end>
      <status>unmodified</status>
      <modifiedWord/>
      <trackRevisions>false</trackRevisions>
    </reviewItem>
    <reviewItem>
      <errorID>a3d32441-d4e6-4843-b5af-654b2a1e54de</errorID>
      <errorWord>-</errorWord>
      <group>L1_Format</group>
      <groupName>格式问题</groupName>
      <ability>L2_HalfPunc</ability>
      <abilityName>全半角检查</abilityName>
      <candidateList>
        <item>－</item>
      </candidateList>
      <explain>文本全半角错误。</explain>
      <paraID>6B4781E4</paraID>
      <start>5</start>
      <end>6</end>
      <status>unmodified</status>
      <modifiedWord/>
      <trackRevisions>false</trackRevisions>
    </reviewItem>
    <reviewItem>
      <errorID>9abb368f-f149-4236-a881-d51e775b6d88</errorID>
      <errorWord>-</errorWord>
      <group>L1_Format</group>
      <groupName>格式问题</groupName>
      <ability>L2_HalfPunc</ability>
      <abilityName>全半角检查</abilityName>
      <candidateList>
        <item>－</item>
      </candidateList>
      <explain>文本全半角错误。</explain>
      <paraID>6B4781E4</paraID>
      <start>10</start>
      <end>11</end>
      <status>unmodified</status>
      <modifiedWord/>
      <trackRevisions>false</trackRevisions>
    </reviewItem>
    <reviewItem>
      <errorID>6d4cc2b3-ccac-45c3-904e-9ebbb008d85f</errorID>
      <errorWord>-</errorWord>
      <group>L1_Format</group>
      <groupName>格式问题</groupName>
      <ability>L2_HalfPunc</ability>
      <abilityName>全半角检查</abilityName>
      <candidateList>
        <item>－</item>
      </candidateList>
      <explain>文本全半角错误。</explain>
      <paraID>6B4781E4</paraID>
      <start>15</start>
      <end>16</end>
      <status>unmodified</status>
      <modifiedWord/>
      <trackRevisions>false</trackRevisions>
    </reviewItem>
    <reviewItem>
      <errorID>505ecbd3-646b-49df-bd8d-24e4e4ef01fc</errorID>
      <errorWord>-</errorWord>
      <group>L1_Format</group>
      <groupName>格式问题</groupName>
      <ability>L2_HalfPunc</ability>
      <abilityName>全半角检查</abilityName>
      <candidateList>
        <item>－</item>
      </candidateList>
      <explain>文本全半角错误。</explain>
      <paraID>51DACA64</paraID>
      <start>2</start>
      <end>3</end>
      <status>unmodified</status>
      <modifiedWord/>
      <trackRevisions>false</trackRevisions>
    </reviewItem>
    <reviewItem>
      <errorID>7748638c-4445-4445-bc78-bdebcd0718a9</errorID>
      <errorWord>-</errorWord>
      <group>L1_Format</group>
      <groupName>格式问题</groupName>
      <ability>L2_HalfPunc</ability>
      <abilityName>全半角检查</abilityName>
      <candidateList>
        <item>－</item>
      </candidateList>
      <explain>文本全半角错误。</explain>
      <paraID> 3CF1A51</paraID>
      <start>2</start>
      <end>3</end>
      <status>unmodified</status>
      <modifiedWord/>
      <trackRevisions>false</trackRevisions>
    </reviewItem>
    <reviewItem>
      <errorID>6d8aa9e1-0176-4ffd-b002-4e227639579f</errorID>
      <errorWord>接口形式</errorWord>
      <group>L1_Word</group>
      <groupName>字词问题</groupName>
      <ability>L2_Typo</ability>
      <abilityName>字词错误</abilityName>
      <candidateList>
        <item>接口型式</item>
      </candidateList>
      <explain/>
      <paraID> 3CF1A51</paraID>
      <start>6</start>
      <end>10</end>
      <status>unmodified</status>
      <modifiedWord/>
      <trackRevisions>false</trackRevisions>
    </reviewItem>
    <reviewItem>
      <errorID>22d92ad8-d9c1-4801-93c1-386390b594d6</errorID>
      <errorWord>-</errorWord>
      <group>L1_Format</group>
      <groupName>格式问题</groupName>
      <ability>L2_HalfPunc</ability>
      <abilityName>全半角检查</abilityName>
      <candidateList>
        <item>－</item>
      </candidateList>
      <explain>文本全半角错误。</explain>
      <paraID>4D0516D0</paraID>
      <start>2</start>
      <end>3</end>
      <status>unmodified</status>
      <modifiedWord/>
      <trackRevisions>false</trackRevisions>
    </reviewItem>
    <reviewItem>
      <errorID>c1f86d37-81e2-48f6-8bc6-0832f2890206</errorID>
      <errorWord>-</errorWord>
      <group>L1_Format</group>
      <groupName>格式问题</groupName>
      <ability>L2_HalfPunc</ability>
      <abilityName>全半角检查</abilityName>
      <candidateList>
        <item>－</item>
      </candidateList>
      <explain>文本全半角错误。</explain>
      <paraID>4D0516D0</paraID>
      <start>5</start>
      <end>6</end>
      <status>unmodified</status>
      <modifiedWord/>
      <trackRevisions>false</trackRevisions>
    </reviewItem>
    <reviewItem>
      <errorID>50996c1f-2d74-479d-be89-ebeac8cd9705</errorID>
      <errorWord>-</errorWord>
      <group>L1_Format</group>
      <groupName>格式问题</groupName>
      <ability>L2_HalfPunc</ability>
      <abilityName>全半角检查</abilityName>
      <candidateList>
        <item>－</item>
      </candidateList>
      <explain>文本全半角错误。</explain>
      <paraID>720CC01D</paraID>
      <start>2</start>
      <end>3</end>
      <status>unmodified</status>
      <modifiedWord/>
      <trackRevisions>false</trackRevisions>
    </reviewItem>
    <reviewItem>
      <errorID>3bd3fe51-c553-4a08-a1da-0459eff80de1</errorID>
      <errorWord>-</errorWord>
      <group>L1_Format</group>
      <groupName>格式问题</groupName>
      <ability>L2_HalfPunc</ability>
      <abilityName>全半角检查</abilityName>
      <candidateList>
        <item>－</item>
      </candidateList>
      <explain>文本全半角错误。</explain>
      <paraID>720CC01D</paraID>
      <start>5</start>
      <end>6</end>
      <status>unmodified</status>
      <modifiedWord/>
      <trackRevisions>false</trackRevisions>
    </reviewItem>
    <reviewItem>
      <errorID>e8a46706-8eff-4faf-b839-65e4a2573be3</errorID>
      <errorWord>-</errorWord>
      <group>L1_Format</group>
      <groupName>格式问题</groupName>
      <ability>L2_HalfPunc</ability>
      <abilityName>全半角检查</abilityName>
      <candidateList>
        <item>－</item>
      </candidateList>
      <explain>文本全半角错误。</explain>
      <paraID>720CC01D</paraID>
      <start>10</start>
      <end>11</end>
      <status>unmodified</status>
      <modifiedWord/>
      <trackRevisions>false</trackRevisions>
    </reviewItem>
    <reviewItem>
      <errorID>c7d22b6c-8e44-4edf-bbd2-0816aa04dd8e</errorID>
      <errorWord>-</errorWord>
      <group>L1_Format</group>
      <groupName>格式问题</groupName>
      <ability>L2_HalfPunc</ability>
      <abilityName>全半角检查</abilityName>
      <candidateList>
        <item>－</item>
      </candidateList>
      <explain>文本全半角错误。</explain>
      <paraID>720CC01D</paraID>
      <start>15</start>
      <end>16</end>
      <status>unmodified</status>
      <modifiedWord/>
      <trackRevisions>false</trackRevisions>
    </reviewItem>
    <reviewItem>
      <errorID>4e14a7e7-2acc-4eca-8c83-893e2d80e34a</errorID>
      <errorWord>-</errorWord>
      <group>L1_Format</group>
      <groupName>格式问题</groupName>
      <ability>L2_HalfPunc</ability>
      <abilityName>全半角检查</abilityName>
      <candidateList>
        <item>－</item>
      </candidateList>
      <explain>文本全半角错误。</explain>
      <paraID>6D7FA582</paraID>
      <start>2</start>
      <end>3</end>
      <status>unmodified</status>
      <modifiedWord/>
      <trackRevisions>false</trackRevisions>
    </reviewItem>
    <reviewItem>
      <errorID>876a5dec-a5b7-4323-83d0-7958c5ee5cdf</errorID>
      <errorWord>-</errorWord>
      <group>L1_Format</group>
      <groupName>格式问题</groupName>
      <ability>L2_HalfPunc</ability>
      <abilityName>全半角检查</abilityName>
      <candidateList>
        <item>－</item>
      </candidateList>
      <explain>文本全半角错误。</explain>
      <paraID>6D7FA582</paraID>
      <start>5</start>
      <end>6</end>
      <status>unmodified</status>
      <modifiedWord/>
      <trackRevisions>false</trackRevisions>
    </reviewItem>
    <reviewItem>
      <errorID>0263725d-ac58-4ca2-a5f4-0113f2b27302</errorID>
      <errorWord>-</errorWord>
      <group>L1_Format</group>
      <groupName>格式问题</groupName>
      <ability>L2_HalfPunc</ability>
      <abilityName>全半角检查</abilityName>
      <candidateList>
        <item>－</item>
      </candidateList>
      <explain>文本全半角错误。</explain>
      <paraID>6D7FA582</paraID>
      <start>10</start>
      <end>11</end>
      <status>unmodified</status>
      <modifiedWord/>
      <trackRevisions>false</trackRevisions>
    </reviewItem>
    <reviewItem>
      <errorID>bf14ce2b-ce8e-47d3-be0d-185d05ba35ba</errorID>
      <errorWord>-</errorWord>
      <group>L1_Format</group>
      <groupName>格式问题</groupName>
      <ability>L2_HalfPunc</ability>
      <abilityName>全半角检查</abilityName>
      <candidateList>
        <item>－</item>
      </candidateList>
      <explain>文本全半角错误。</explain>
      <paraID>63E36F7E</paraID>
      <start>2</start>
      <end>3</end>
      <status>unmodified</status>
      <modifiedWord/>
      <trackRevisions>false</trackRevisions>
    </reviewItem>
    <reviewItem>
      <errorID>d60a9900-50c2-471c-a3fb-da0c725181d7</errorID>
      <errorWord>-</errorWord>
      <group>L1_Format</group>
      <groupName>格式问题</groupName>
      <ability>L2_HalfPunc</ability>
      <abilityName>全半角检查</abilityName>
      <candidateList>
        <item>－</item>
      </candidateList>
      <explain>文本全半角错误。</explain>
      <paraID>63E36F7E</paraID>
      <start>5</start>
      <end>6</end>
      <status>unmodified</status>
      <modifiedWord/>
      <trackRevisions>false</trackRevisions>
    </reviewItem>
    <reviewItem>
      <errorID>318d4b0f-c19f-4e15-bbdf-c641e5ead2d8</errorID>
      <errorWord>-</errorWord>
      <group>L1_Format</group>
      <groupName>格式问题</groupName>
      <ability>L2_HalfPunc</ability>
      <abilityName>全半角检查</abilityName>
      <candidateList>
        <item>－</item>
      </candidateList>
      <explain>文本全半角错误。</explain>
      <paraID>63E36F7E</paraID>
      <start>10</start>
      <end>11</end>
      <status>unmodified</status>
      <modifiedWord/>
      <trackRevisions>false</trackRevisions>
    </reviewItem>
    <reviewItem>
      <errorID>3f9cfa8f-9565-4664-a677-ace56a721c83</errorID>
      <errorWord>-</errorWord>
      <group>L1_Format</group>
      <groupName>格式问题</groupName>
      <ability>L2_HalfPunc</ability>
      <abilityName>全半角检查</abilityName>
      <candidateList>
        <item>－</item>
      </candidateList>
      <explain>文本全半角错误。</explain>
      <paraID>3234809C</paraID>
      <start>2</start>
      <end>3</end>
      <status>unmodified</status>
      <modifiedWord/>
      <trackRevisions>false</trackRevisions>
    </reviewItem>
    <reviewItem>
      <errorID>34b59eed-177c-4b2a-ae4f-b05fa539153e</errorID>
      <errorWord>-</errorWord>
      <group>L1_Format</group>
      <groupName>格式问题</groupName>
      <ability>L2_HalfPunc</ability>
      <abilityName>全半角检查</abilityName>
      <candidateList>
        <item>－</item>
      </candidateList>
      <explain>文本全半角错误。</explain>
      <paraID>3234809C</paraID>
      <start>7</start>
      <end>8</end>
      <status>unmodified</status>
      <modifiedWord/>
      <trackRevisions>false</trackRevisions>
    </reviewItem>
    <reviewItem>
      <errorID>a8cc97fa-00a2-4daf-88ac-f112b5ac9d53</errorID>
      <errorWord>-</errorWord>
      <group>L1_Format</group>
      <groupName>格式问题</groupName>
      <ability>L2_HalfPunc</ability>
      <abilityName>全半角检查</abilityName>
      <candidateList>
        <item>－</item>
      </candidateList>
      <explain>文本全半角错误。</explain>
      <paraID>3234809C</paraID>
      <start>10</start>
      <end>11</end>
      <status>unmodified</status>
      <modifiedWord/>
      <trackRevisions>false</trackRevisions>
    </reviewItem>
    <reviewItem>
      <errorID>a40d80aa-3e25-4d4c-932f-d842739ddaf3</errorID>
      <errorWord>-</errorWord>
      <group>L1_Format</group>
      <groupName>格式问题</groupName>
      <ability>L2_HalfPunc</ability>
      <abilityName>全半角检查</abilityName>
      <candidateList>
        <item>－</item>
      </candidateList>
      <explain>文本全半角错误。</explain>
      <paraID>42AEABEE</paraID>
      <start>2</start>
      <end>3</end>
      <status>unmodified</status>
      <modifiedWord/>
      <trackRevisions>false</trackRevisions>
    </reviewItem>
    <reviewItem>
      <errorID>cfae5824-aa8a-4e92-85b1-4093dace16a3</errorID>
      <errorWord>-</errorWord>
      <group>L1_Format</group>
      <groupName>格式问题</groupName>
      <ability>L2_HalfPunc</ability>
      <abilityName>全半角检查</abilityName>
      <candidateList>
        <item>－</item>
      </candidateList>
      <explain>文本全半角错误。</explain>
      <paraID>42AEABEE</paraID>
      <start>5</start>
      <end>6</end>
      <status>unmodified</status>
      <modifiedWord/>
      <trackRevisions>false</trackRevisions>
    </reviewItem>
    <reviewItem>
      <errorID>ca6cf6cc-a03f-43dd-ad58-5bf09599511e</errorID>
      <errorWord>相同大</errorWord>
      <group>L1_Word</group>
      <groupName>字词问题</groupName>
      <ability>L2_Typo</ability>
      <abilityName>字词错误</abilityName>
      <candidateList>
        <item>相同</item>
      </candidateList>
      <explain/>
      <paraID>22064592</paraID>
      <start>21</start>
      <end>24</end>
      <status>unmodified</status>
      <modifiedWord/>
      <trackRevisions>false</trackRevisions>
    </reviewItem>
    <reviewItem>
      <errorID>84786a9e-acbb-49b8-84e3-823cf0a3fc03</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4F80E5F6</paraID>
      <start>0</start>
      <end>2</end>
      <status>unmodified</status>
      <modifiedWord/>
      <trackRevisions>false</trackRevisions>
    </reviewItem>
    <reviewItem>
      <errorID>03e38a8e-2685-436d-9646-4fbaa40c90ee</errorID>
      <errorWord>（</errorWord>
      <group>L1_Format</group>
      <groupName>格式问题</groupName>
      <ability>L2_HalfPunc</ability>
      <abilityName>全半角检查</abilityName>
      <candidateList>
        <item>(</item>
      </candidateList>
      <explain>文本全半角错误。</explain>
      <paraID>1B38CEF7</paraID>
      <start>4</start>
      <end>5</end>
      <status>unmodified</status>
      <modifiedWord/>
      <trackRevisions>false</trackRevisions>
    </reviewItem>
    <reviewItem>
      <errorID>5f497891-613c-4781-b21e-28134fc122fc</errorID>
      <errorWord>）</errorWord>
      <group>L1_Format</group>
      <groupName>格式问题</groupName>
      <ability>L2_HalfPunc</ability>
      <abilityName>全半角检查</abilityName>
      <candidateList>
        <item>)</item>
      </candidateList>
      <explain>文本全半角错误。</explain>
      <paraID>1B38CEF7</paraID>
      <start>45</start>
      <end>46</end>
      <status>unmodified</status>
      <modifiedWord/>
      <trackRevisions>false</trackRevisions>
    </reviewItem>
    <reviewItem>
      <errorID>784fa59c-bda6-40fb-8576-f9c6f7f6756a</errorID>
      <errorWord>，</errorWord>
      <group>L1_Format</group>
      <groupName>格式问题</groupName>
      <ability>L2_HalfPunc</ability>
      <abilityName>全半角检查</abilityName>
      <candidateList>
        <item>,</item>
      </candidateList>
      <explain>文本全半角错误。</explain>
      <paraID>58C50846</paraID>
      <start>1</start>
      <end>2</end>
      <status>unmodified</status>
      <modifiedWord/>
      <trackRevisions>false</trackRevisions>
    </reviewItem>
    <reviewItem>
      <errorID>4deb5d45-356a-4f7e-a276-866655e64389</errorID>
      <errorWord>，</errorWord>
      <group>L1_Format</group>
      <groupName>格式问题</groupName>
      <ability>L2_HalfPunc</ability>
      <abilityName>全半角检查</abilityName>
      <candidateList>
        <item>,</item>
      </candidateList>
      <explain>文本全半角错误。</explain>
      <paraID>58C50846</paraID>
      <start>5</start>
      <end>6</end>
      <status>unmodified</status>
      <modifiedWord/>
      <trackRevisions>false</trackRevisions>
    </reviewItem>
    <reviewItem>
      <errorID>ad46850d-6639-484f-a37d-c82df6fd5e5f</errorID>
      <errorWord>，</errorWord>
      <group>L1_Format</group>
      <groupName>格式问题</groupName>
      <ability>L2_HalfPunc</ability>
      <abilityName>全半角检查</abilityName>
      <candidateList>
        <item>,</item>
      </candidateList>
      <explain>文本全半角错误。</explain>
      <paraID>11BD78B7</paraID>
      <start>1</start>
      <end>2</end>
      <status>unmodified</status>
      <modifiedWord/>
      <trackRevisions>false</trackRevisions>
    </reviewItem>
    <reviewItem>
      <errorID>6b3ac80f-17de-41c0-ae2f-91f2ad5d6c7c</errorID>
      <errorWord>，</errorWord>
      <group>L1_Format</group>
      <groupName>格式问题</groupName>
      <ability>L2_HalfPunc</ability>
      <abilityName>全半角检查</abilityName>
      <candidateList>
        <item>,</item>
      </candidateList>
      <explain>文本全半角错误。</explain>
      <paraID>11BD78B7</paraID>
      <start>5</start>
      <end>6</end>
      <status>unmodified</status>
      <modifiedWord/>
      <trackRevisions>false</trackRevisions>
    </reviewItem>
    <reviewItem>
      <errorID>49080b20-c550-4c74-82af-b908e9b84273</errorID>
      <errorWord>，</errorWord>
      <group>L1_Format</group>
      <groupName>格式问题</groupName>
      <ability>L2_HalfPunc</ability>
      <abilityName>全半角检查</abilityName>
      <candidateList>
        <item>,</item>
      </candidateList>
      <explain>文本全半角错误。</explain>
      <paraID>73485DFD</paraID>
      <start>1</start>
      <end>2</end>
      <status>unmodified</status>
      <modifiedWord/>
      <trackRevisions>false</trackRevisions>
    </reviewItem>
    <reviewItem>
      <errorID>d1226d79-2af4-4b9e-82dc-c063a3a39129</errorID>
      <errorWord>，</errorWord>
      <group>L1_Format</group>
      <groupName>格式问题</groupName>
      <ability>L2_HalfPunc</ability>
      <abilityName>全半角检查</abilityName>
      <candidateList>
        <item>,</item>
      </candidateList>
      <explain>文本全半角错误。</explain>
      <paraID>73485DFD</paraID>
      <start>5</start>
      <end>6</end>
      <status>unmodified</status>
      <modifiedWord/>
      <trackRevisions>false</trackRevisions>
    </reviewItem>
    <reviewItem>
      <errorID>de933231-ab2d-462f-b745-6a27cf4fff91</errorID>
      <errorWord>，</errorWord>
      <group>L1_Format</group>
      <groupName>格式问题</groupName>
      <ability>L2_HalfPunc</ability>
      <abilityName>全半角检查</abilityName>
      <candidateList>
        <item>,</item>
      </candidateList>
      <explain>文本全半角错误。</explain>
      <paraID>65FCA13D</paraID>
      <start>3</start>
      <end>4</end>
      <status>unmodified</status>
      <modifiedWord/>
      <trackRevisions>false</trackRevisions>
    </reviewItem>
    <reviewItem>
      <errorID>af6ab7b8-a57e-4239-bcda-439257e47190</errorID>
      <errorWord>，</errorWord>
      <group>L1_Format</group>
      <groupName>格式问题</groupName>
      <ability>L2_HalfPunc</ability>
      <abilityName>全半角检查</abilityName>
      <candidateList>
        <item>,</item>
      </candidateList>
      <explain>文本全半角错误。</explain>
      <paraID>65FCA13D</paraID>
      <start>7</start>
      <end>8</end>
      <status>unmodified</status>
      <modifiedWord/>
      <trackRevisions>false</trackRevisions>
    </reviewItem>
    <reviewItem>
      <errorID>a13b0c15-a12e-4534-804d-89b6764c05be</errorID>
      <errorWord>，</errorWord>
      <group>L1_Format</group>
      <groupName>格式问题</groupName>
      <ability>L2_HalfPunc</ability>
      <abilityName>全半角检查</abilityName>
      <candidateList>
        <item>,</item>
      </candidateList>
      <explain>文本全半角错误。</explain>
      <paraID>6C648220</paraID>
      <start>3</start>
      <end>4</end>
      <status>unmodified</status>
      <modifiedWord/>
      <trackRevisions>false</trackRevisions>
    </reviewItem>
    <reviewItem>
      <errorID>abe073b0-7baf-4f64-9484-59df0a4bcdd6</errorID>
      <errorWord>，</errorWord>
      <group>L1_Format</group>
      <groupName>格式问题</groupName>
      <ability>L2_HalfPunc</ability>
      <abilityName>全半角检查</abilityName>
      <candidateList>
        <item>,</item>
      </candidateList>
      <explain>文本全半角错误。</explain>
      <paraID>6C648220</paraID>
      <start>7</start>
      <end>8</end>
      <status>unmodified</status>
      <modifiedWord/>
      <trackRevisions>false</trackRevisions>
    </reviewItem>
    <reviewItem>
      <errorID>4b975c67-f758-4546-aa98-9900c2076e1e</errorID>
      <errorWord>，</errorWord>
      <group>L1_Format</group>
      <groupName>格式问题</groupName>
      <ability>L2_HalfPunc</ability>
      <abilityName>全半角检查</abilityName>
      <candidateList>
        <item>,</item>
      </candidateList>
      <explain>文本全半角错误。</explain>
      <paraID>368D2622</paraID>
      <start>3</start>
      <end>4</end>
      <status>unmodified</status>
      <modifiedWord/>
      <trackRevisions>false</trackRevisions>
    </reviewItem>
    <reviewItem>
      <errorID>f67a1836-c2d5-4759-b6b0-20c5d6958ca6</errorID>
      <errorWord>，</errorWord>
      <group>L1_Format</group>
      <groupName>格式问题</groupName>
      <ability>L2_HalfPunc</ability>
      <abilityName>全半角检查</abilityName>
      <candidateList>
        <item>,</item>
      </candidateList>
      <explain>文本全半角错误。</explain>
      <paraID>368D2622</paraID>
      <start>7</start>
      <end>8</end>
      <status>unmodified</status>
      <modifiedWord/>
      <trackRevisions>false</trackRevisions>
    </reviewItem>
    <reviewItem>
      <errorID>d1268ff2-fb3e-4402-9404-5d64c78ae517</errorID>
      <errorWord>，</errorWord>
      <group>L1_Format</group>
      <groupName>格式问题</groupName>
      <ability>L2_HalfPunc</ability>
      <abilityName>全半角检查</abilityName>
      <candidateList>
        <item>,</item>
      </candidateList>
      <explain>文本全半角错误。</explain>
      <paraID> C167796</paraID>
      <start>3</start>
      <end>4</end>
      <status>unmodified</status>
      <modifiedWord/>
      <trackRevisions>false</trackRevisions>
    </reviewItem>
    <reviewItem>
      <errorID>2ee54a33-6b43-4fdf-b081-8b61670b2865</errorID>
      <errorWord>，</errorWord>
      <group>L1_Format</group>
      <groupName>格式问题</groupName>
      <ability>L2_HalfPunc</ability>
      <abilityName>全半角检查</abilityName>
      <candidateList>
        <item>,</item>
      </candidateList>
      <explain>文本全半角错误。</explain>
      <paraID> C167796</paraID>
      <start>7</start>
      <end>8</end>
      <status>unmodified</status>
      <modifiedWord/>
      <trackRevisions>false</trackRevisions>
    </reviewItem>
    <reviewItem>
      <errorID>9cff9f81-1a6b-459d-91fd-436d5edbb76d</errorID>
      <errorWord>，</errorWord>
      <group>L1_Format</group>
      <groupName>格式问题</groupName>
      <ability>L2_HalfPunc</ability>
      <abilityName>全半角检查</abilityName>
      <candidateList>
        <item>,</item>
      </candidateList>
      <explain>文本全半角错误。</explain>
      <paraID>6156D4E3</paraID>
      <start>3</start>
      <end>4</end>
      <status>unmodified</status>
      <modifiedWord/>
      <trackRevisions>false</trackRevisions>
    </reviewItem>
    <reviewItem>
      <errorID>63b5f766-b222-42f1-a795-60e4f44162b9</errorID>
      <errorWord>，</errorWord>
      <group>L1_Format</group>
      <groupName>格式问题</groupName>
      <ability>L2_HalfPunc</ability>
      <abilityName>全半角检查</abilityName>
      <candidateList>
        <item>,</item>
      </candidateList>
      <explain>文本全半角错误。</explain>
      <paraID>6156D4E3</paraID>
      <start>7</start>
      <end>8</end>
      <status>unmodified</status>
      <modifiedWord/>
      <trackRevisions>false</trackRevisions>
    </reviewItem>
    <reviewItem>
      <errorID>5aa7e828-5f6a-4abc-8a5e-74fe5508d7e0</errorID>
      <errorWord>，</errorWord>
      <group>L1_Format</group>
      <groupName>格式问题</groupName>
      <ability>L2_HalfPunc</ability>
      <abilityName>全半角检查</abilityName>
      <candidateList>
        <item>,</item>
      </candidateList>
      <explain>文本全半角错误。</explain>
      <paraID>1E62FCB9</paraID>
      <start>3</start>
      <end>4</end>
      <status>unmodified</status>
      <modifiedWord/>
      <trackRevisions>false</trackRevisions>
    </reviewItem>
    <reviewItem>
      <errorID>493e21c8-c4d7-444e-bb12-85e4fcffd373</errorID>
      <errorWord>，</errorWord>
      <group>L1_Format</group>
      <groupName>格式问题</groupName>
      <ability>L2_HalfPunc</ability>
      <abilityName>全半角检查</abilityName>
      <candidateList>
        <item>,</item>
      </candidateList>
      <explain>文本全半角错误。</explain>
      <paraID>1E62FCB9</paraID>
      <start>7</start>
      <end>8</end>
      <status>unmodified</status>
      <modifiedWord/>
      <trackRevisions>false</trackRevisions>
    </reviewItem>
    <reviewItem>
      <errorID>7e72125b-815b-4bdd-942e-dbe2a17d7371</errorID>
      <errorWord>，</errorWord>
      <group>L1_Format</group>
      <groupName>格式问题</groupName>
      <ability>L2_HalfPunc</ability>
      <abilityName>全半角检查</abilityName>
      <candidateList>
        <item>,</item>
      </candidateList>
      <explain>文本全半角错误。</explain>
      <paraID>3B0F8EFA</paraID>
      <start>3</start>
      <end>4</end>
      <status>unmodified</status>
      <modifiedWord/>
      <trackRevisions>false</trackRevisions>
    </reviewItem>
    <reviewItem>
      <errorID>b4f0f318-ba6b-49da-bf37-eaa287adc84e</errorID>
      <errorWord>，</errorWord>
      <group>L1_Format</group>
      <groupName>格式问题</groupName>
      <ability>L2_HalfPunc</ability>
      <abilityName>全半角检查</abilityName>
      <candidateList>
        <item>,</item>
      </candidateList>
      <explain>文本全半角错误。</explain>
      <paraID>3B0F8EFA</paraID>
      <start>7</start>
      <end>8</end>
      <status>unmodified</status>
      <modifiedWord/>
      <trackRevisions>false</trackRevisions>
    </reviewItem>
    <reviewItem>
      <errorID>f8248ff9-a2b9-48cc-95b0-b4d56bce84a0</errorID>
      <errorWord>，</errorWord>
      <group>L1_Format</group>
      <groupName>格式问题</groupName>
      <ability>L2_HalfPunc</ability>
      <abilityName>全半角检查</abilityName>
      <candidateList>
        <item>,</item>
      </candidateList>
      <explain>文本全半角错误。</explain>
      <paraID>76BB710C</paraID>
      <start>1</start>
      <end>2</end>
      <status>unmodified</status>
      <modifiedWord/>
      <trackRevisions>false</trackRevisions>
    </reviewItem>
    <reviewItem>
      <errorID>29b0f775-6f34-4360-b40b-c292d38545ee</errorID>
      <errorWord>，</errorWord>
      <group>L1_Format</group>
      <groupName>格式问题</groupName>
      <ability>L2_HalfPunc</ability>
      <abilityName>全半角检查</abilityName>
      <candidateList>
        <item>,</item>
      </candidateList>
      <explain>文本全半角错误。</explain>
      <paraID>76BB710C</paraID>
      <start>5</start>
      <end>6</end>
      <status>unmodified</status>
      <modifiedWord/>
      <trackRevisions>false</trackRevisions>
    </reviewItem>
    <reviewItem>
      <errorID>f9df91e9-677d-4286-af55-bab2de70ae27</errorID>
      <errorWord>，</errorWord>
      <group>L1_Format</group>
      <groupName>格式问题</groupName>
      <ability>L2_HalfPunc</ability>
      <abilityName>全半角检查</abilityName>
      <candidateList>
        <item>,</item>
      </candidateList>
      <explain>文本全半角错误。</explain>
      <paraID> D86E71D</paraID>
      <start>3</start>
      <end>4</end>
      <status>unmodified</status>
      <modifiedWord/>
      <trackRevisions>false</trackRevisions>
    </reviewItem>
    <reviewItem>
      <errorID>7f0af2f6-97d8-4080-b581-1dd26f234be2</errorID>
      <errorWord>，</errorWord>
      <group>L1_Format</group>
      <groupName>格式问题</groupName>
      <ability>L2_HalfPunc</ability>
      <abilityName>全半角检查</abilityName>
      <candidateList>
        <item>,</item>
      </candidateList>
      <explain>文本全半角错误。</explain>
      <paraID> D86E71D</paraID>
      <start>5</start>
      <end>6</end>
      <status>unmodified</status>
      <modifiedWord/>
      <trackRevisions>false</trackRevisions>
    </reviewItem>
    <reviewItem>
      <errorID>fd34779c-1d6d-4f3a-a7d8-47bdff974a52</errorID>
      <errorWord>，</errorWord>
      <group>L1_Format</group>
      <groupName>格式问题</groupName>
      <ability>L2_HalfPunc</ability>
      <abilityName>全半角检查</abilityName>
      <candidateList>
        <item>,</item>
      </candidateList>
      <explain>文本全半角错误。</explain>
      <paraID>6C1C1536</paraID>
      <start>3</start>
      <end>4</end>
      <status>unmodified</status>
      <modifiedWord/>
      <trackRevisions>false</trackRevisions>
    </reviewItem>
    <reviewItem>
      <errorID>75d20485-dd96-488d-a2d7-14f589092f3e</errorID>
      <errorWord>，</errorWord>
      <group>L1_Format</group>
      <groupName>格式问题</groupName>
      <ability>L2_HalfPunc</ability>
      <abilityName>全半角检查</abilityName>
      <candidateList>
        <item>,</item>
      </candidateList>
      <explain>文本全半角错误。</explain>
      <paraID>6C1C1536</paraID>
      <start>5</start>
      <end>6</end>
      <status>unmodified</status>
      <modifiedWord/>
      <trackRevisions>false</trackRevisions>
    </reviewItem>
    <reviewItem>
      <errorID>eff63667-3121-4809-94e4-229f4a86503f</errorID>
      <errorWord>，</errorWord>
      <group>L1_Format</group>
      <groupName>格式问题</groupName>
      <ability>L2_HalfPunc</ability>
      <abilityName>全半角检查</abilityName>
      <candidateList>
        <item>,</item>
      </candidateList>
      <explain>文本全半角错误。</explain>
      <paraID>6F6EC756</paraID>
      <start>1</start>
      <end>2</end>
      <status>unmodified</status>
      <modifiedWord/>
      <trackRevisions>false</trackRevisions>
    </reviewItem>
    <reviewItem>
      <errorID>b5705efc-dac4-46d7-b06f-24374e7454e6</errorID>
      <errorWord>，</errorWord>
      <group>L1_Format</group>
      <groupName>格式问题</groupName>
      <ability>L2_HalfPunc</ability>
      <abilityName>全半角检查</abilityName>
      <candidateList>
        <item>,</item>
      </candidateList>
      <explain>文本全半角错误。</explain>
      <paraID>6F6EC756</paraID>
      <start>3</start>
      <end>4</end>
      <status>unmodified</status>
      <modifiedWord/>
      <trackRevisions>false</trackRevisions>
    </reviewItem>
    <reviewItem>
      <errorID>5a3dd21d-a9ba-4c68-8588-135b545d3334</errorID>
      <errorWord>，</errorWord>
      <group>L1_Format</group>
      <groupName>格式问题</groupName>
      <ability>L2_HalfPunc</ability>
      <abilityName>全半角检查</abilityName>
      <candidateList>
        <item>,</item>
      </candidateList>
      <explain>文本全半角错误。</explain>
      <paraID>1CAE8F5F</paraID>
      <start>3</start>
      <end>4</end>
      <status>unmodified</status>
      <modifiedWord/>
      <trackRevisions>false</trackRevisions>
    </reviewItem>
    <reviewItem>
      <errorID>8ef60a40-b78e-4d31-915c-d1192df04054</errorID>
      <errorWord>，</errorWord>
      <group>L1_Format</group>
      <groupName>格式问题</groupName>
      <ability>L2_HalfPunc</ability>
      <abilityName>全半角检查</abilityName>
      <candidateList>
        <item>,</item>
      </candidateList>
      <explain>文本全半角错误。</explain>
      <paraID>1CAE8F5F</paraID>
      <start>5</start>
      <end>6</end>
      <status>unmodified</status>
      <modifiedWord/>
      <trackRevisions>false</trackRevisions>
    </reviewItem>
    <reviewItem>
      <errorID>ce9ac8f3-7812-4e71-ac35-21351296673c</errorID>
      <errorWord>，</errorWord>
      <group>L1_Format</group>
      <groupName>格式问题</groupName>
      <ability>L2_HalfPunc</ability>
      <abilityName>全半角检查</abilityName>
      <candidateList>
        <item>,</item>
      </candidateList>
      <explain>文本全半角错误。</explain>
      <paraID>3B2205B1</paraID>
      <start>3</start>
      <end>4</end>
      <status>unmodified</status>
      <modifiedWord/>
      <trackRevisions>false</trackRevisions>
    </reviewItem>
    <reviewItem>
      <errorID>30c1da34-adc7-479e-b17e-73a0f2609c6a</errorID>
      <errorWord>，</errorWord>
      <group>L1_Format</group>
      <groupName>格式问题</groupName>
      <ability>L2_HalfPunc</ability>
      <abilityName>全半角检查</abilityName>
      <candidateList>
        <item>,</item>
      </candidateList>
      <explain>文本全半角错误。</explain>
      <paraID>3B2205B1</paraID>
      <start>7</start>
      <end>8</end>
      <status>unmodified</status>
      <modifiedWord/>
      <trackRevisions>false</trackRevisions>
    </reviewItem>
    <reviewItem>
      <errorID>8bd4f7dc-08d4-4e62-8322-913fc6607040</errorID>
      <errorWord>，</errorWord>
      <group>L1_Format</group>
      <groupName>格式问题</groupName>
      <ability>L2_HalfPunc</ability>
      <abilityName>全半角检查</abilityName>
      <candidateList>
        <item>,</item>
      </candidateList>
      <explain>文本全半角错误。</explain>
      <paraID>1B0B8E9E</paraID>
      <start>1</start>
      <end>2</end>
      <status>unmodified</status>
      <modifiedWord/>
      <trackRevisions>false</trackRevisions>
    </reviewItem>
    <reviewItem>
      <errorID>026a5be4-d1bb-4802-b447-8f5e5ff4d0a8</errorID>
      <errorWord>，</errorWord>
      <group>L1_Format</group>
      <groupName>格式问题</groupName>
      <ability>L2_HalfPunc</ability>
      <abilityName>全半角检查</abilityName>
      <candidateList>
        <item>,</item>
      </candidateList>
      <explain>文本全半角错误。</explain>
      <paraID>1B0B8E9E</paraID>
      <start>5</start>
      <end>6</end>
      <status>unmodified</status>
      <modifiedWord/>
      <trackRevisions>false</trackRevisions>
    </reviewItem>
    <reviewItem>
      <errorID>281d65a4-a2bc-4e03-b8a1-1863fb7673ab</errorID>
      <errorWord>，</errorWord>
      <group>L1_Format</group>
      <groupName>格式问题</groupName>
      <ability>L2_HalfPunc</ability>
      <abilityName>全半角检查</abilityName>
      <candidateList>
        <item>,</item>
      </candidateList>
      <explain>文本全半角错误。</explain>
      <paraID>10900C85</paraID>
      <start>1</start>
      <end>2</end>
      <status>unmodified</status>
      <modifiedWord/>
      <trackRevisions>false</trackRevisions>
    </reviewItem>
    <reviewItem>
      <errorID>ede5c832-749a-4d0f-8146-90de316fe455</errorID>
      <errorWord>，</errorWord>
      <group>L1_Format</group>
      <groupName>格式问题</groupName>
      <ability>L2_HalfPunc</ability>
      <abilityName>全半角检查</abilityName>
      <candidateList>
        <item>,</item>
      </candidateList>
      <explain>文本全半角错误。</explain>
      <paraID>10900C85</paraID>
      <start>5</start>
      <end>6</end>
      <status>unmodified</status>
      <modifiedWord/>
      <trackRevisions>false</trackRevisions>
    </reviewItem>
    <reviewItem>
      <errorID>168a6b32-c3c3-4e66-895f-5e828515e367</errorID>
      <errorWord>，</errorWord>
      <group>L1_Format</group>
      <groupName>格式问题</groupName>
      <ability>L2_HalfPunc</ability>
      <abilityName>全半角检查</abilityName>
      <candidateList>
        <item>,</item>
      </candidateList>
      <explain>文本全半角错误。</explain>
      <paraID>4263AFE9</paraID>
      <start>3</start>
      <end>4</end>
      <status>unmodified</status>
      <modifiedWord/>
      <trackRevisions>false</trackRevisions>
    </reviewItem>
    <reviewItem>
      <errorID>2f040850-7678-4559-b3a8-c3a9208daeb8</errorID>
      <errorWord>，</errorWord>
      <group>L1_Format</group>
      <groupName>格式问题</groupName>
      <ability>L2_HalfPunc</ability>
      <abilityName>全半角检查</abilityName>
      <candidateList>
        <item>,</item>
      </candidateList>
      <explain>文本全半角错误。</explain>
      <paraID>4263AFE9</paraID>
      <start>5</start>
      <end>6</end>
      <status>unmodified</status>
      <modifiedWord/>
      <trackRevisions>false</trackRevisions>
    </reviewItem>
    <reviewItem>
      <errorID>047aa4c3-9341-42da-b4ff-9c0555d7f4d2</errorID>
      <errorWord>，</errorWord>
      <group>L1_Format</group>
      <groupName>格式问题</groupName>
      <ability>L2_HalfPunc</ability>
      <abilityName>全半角检查</abilityName>
      <candidateList>
        <item>,</item>
      </candidateList>
      <explain>文本全半角错误。</explain>
      <paraID>17ED101C</paraID>
      <start>1</start>
      <end>2</end>
      <status>unmodified</status>
      <modifiedWord/>
      <trackRevisions>false</trackRevisions>
    </reviewItem>
    <reviewItem>
      <errorID>8d3d6d8a-8c03-42d9-b158-0ca0e8a1b766</errorID>
      <errorWord>，</errorWord>
      <group>L1_Format</group>
      <groupName>格式问题</groupName>
      <ability>L2_HalfPunc</ability>
      <abilityName>全半角检查</abilityName>
      <candidateList>
        <item>,</item>
      </candidateList>
      <explain>文本全半角错误。</explain>
      <paraID>17ED101C</paraID>
      <start>3</start>
      <end>4</end>
      <status>unmodified</status>
      <modifiedWord/>
      <trackRevisions>false</trackRevisions>
    </reviewItem>
    <reviewItem>
      <errorID>df498bb3-e5c7-400a-bb25-5604bd8b1a03</errorID>
      <errorWord>，</errorWord>
      <group>L1_Format</group>
      <groupName>格式问题</groupName>
      <ability>L2_HalfPunc</ability>
      <abilityName>全半角检查</abilityName>
      <candidateList>
        <item>,</item>
      </candidateList>
      <explain>文本全半角错误。</explain>
      <paraID>597C150C</paraID>
      <start>3</start>
      <end>4</end>
      <status>unmodified</status>
      <modifiedWord/>
      <trackRevisions>false</trackRevisions>
    </reviewItem>
    <reviewItem>
      <errorID>636023e4-ad22-48fd-9d2a-6beb8ed129be</errorID>
      <errorWord>，</errorWord>
      <group>L1_Format</group>
      <groupName>格式问题</groupName>
      <ability>L2_HalfPunc</ability>
      <abilityName>全半角检查</abilityName>
      <candidateList>
        <item>,</item>
      </candidateList>
      <explain>文本全半角错误。</explain>
      <paraID>597C150C</paraID>
      <start>7</start>
      <end>8</end>
      <status>unmodified</status>
      <modifiedWord/>
      <trackRevisions>false</trackRevisions>
    </reviewItem>
    <reviewItem>
      <errorID>9472f6b1-80dd-4cd1-93b2-e27da3747088</errorID>
      <errorWord>，</errorWord>
      <group>L1_Format</group>
      <groupName>格式问题</groupName>
      <ability>L2_HalfPunc</ability>
      <abilityName>全半角检查</abilityName>
      <candidateList>
        <item>,</item>
      </candidateList>
      <explain>文本全半角错误。</explain>
      <paraID> B0A5B85</paraID>
      <start>3</start>
      <end>4</end>
      <status>unmodified</status>
      <modifiedWord/>
      <trackRevisions>false</trackRevisions>
    </reviewItem>
    <reviewItem>
      <errorID>f47e9d87-e0a6-4822-8808-d8226f1b8b44</errorID>
      <errorWord>，</errorWord>
      <group>L1_Format</group>
      <groupName>格式问题</groupName>
      <ability>L2_HalfPunc</ability>
      <abilityName>全半角检查</abilityName>
      <candidateList>
        <item>,</item>
      </candidateList>
      <explain>文本全半角错误。</explain>
      <paraID> B0A5B85</paraID>
      <start>7</start>
      <end>8</end>
      <status>unmodified</status>
      <modifiedWord/>
      <trackRevisions>false</trackRevisions>
    </reviewItem>
    <reviewItem>
      <errorID>602f1081-ccb7-4ead-a86c-8cd45a503a06</errorID>
      <errorWord>，</errorWord>
      <group>L1_Format</group>
      <groupName>格式问题</groupName>
      <ability>L2_HalfPunc</ability>
      <abilityName>全半角检查</abilityName>
      <candidateList>
        <item>,</item>
      </candidateList>
      <explain>文本全半角错误。</explain>
      <paraID>32AA7639</paraID>
      <start>3</start>
      <end>4</end>
      <status>unmodified</status>
      <modifiedWord/>
      <trackRevisions>false</trackRevisions>
    </reviewItem>
    <reviewItem>
      <errorID>26e33a8a-2d9e-4417-865b-cbe8ca4e8388</errorID>
      <errorWord>，</errorWord>
      <group>L1_Format</group>
      <groupName>格式问题</groupName>
      <ability>L2_HalfPunc</ability>
      <abilityName>全半角检查</abilityName>
      <candidateList>
        <item>,</item>
      </candidateList>
      <explain>文本全半角错误。</explain>
      <paraID>32AA7639</paraID>
      <start>6</start>
      <end>7</end>
      <status>unmodified</status>
      <modifiedWord/>
      <trackRevisions>false</trackRevisions>
    </reviewItem>
    <reviewItem>
      <errorID>d4ce1c1a-adfd-433b-bc2c-c171e9569697</errorID>
      <errorWord>，</errorWord>
      <group>L1_Format</group>
      <groupName>格式问题</groupName>
      <ability>L2_HalfPunc</ability>
      <abilityName>全半角检查</abilityName>
      <candidateList>
        <item>,</item>
      </candidateList>
      <explain>文本全半角错误。</explain>
      <paraID>45F8162B</paraID>
      <start>3</start>
      <end>4</end>
      <status>unmodified</status>
      <modifiedWord/>
      <trackRevisions>false</trackRevisions>
    </reviewItem>
    <reviewItem>
      <errorID>a983b8ea-34e5-4e41-8d86-22c04d62b9cd</errorID>
      <errorWord>，</errorWord>
      <group>L1_Format</group>
      <groupName>格式问题</groupName>
      <ability>L2_HalfPunc</ability>
      <abilityName>全半角检查</abilityName>
      <candidateList>
        <item>,</item>
      </candidateList>
      <explain>文本全半角错误。</explain>
      <paraID>45F8162B</paraID>
      <start>5</start>
      <end>6</end>
      <status>unmodified</status>
      <modifiedWord/>
      <trackRevisions>false</trackRevisions>
    </reviewItem>
    <reviewItem>
      <errorID>110b6314-8c5c-44a0-8be7-dd49bfc62bfa</errorID>
      <errorWord>，</errorWord>
      <group>L1_Format</group>
      <groupName>格式问题</groupName>
      <ability>L2_HalfPunc</ability>
      <abilityName>全半角检查</abilityName>
      <candidateList>
        <item>,</item>
      </candidateList>
      <explain>文本全半角错误。</explain>
      <paraID>646C94EB</paraID>
      <start>3</start>
      <end>4</end>
      <status>unmodified</status>
      <modifiedWord/>
      <trackRevisions>false</trackRevisions>
    </reviewItem>
    <reviewItem>
      <errorID>2dc027df-d505-4abe-9f34-f337bffed22c</errorID>
      <errorWord>，</errorWord>
      <group>L1_Format</group>
      <groupName>格式问题</groupName>
      <ability>L2_HalfPunc</ability>
      <abilityName>全半角检查</abilityName>
      <candidateList>
        <item>,</item>
      </candidateList>
      <explain>文本全半角错误。</explain>
      <paraID>646C94EB</paraID>
      <start>6</start>
      <end>7</end>
      <status>unmodified</status>
      <modifiedWord/>
      <trackRevisions>false</trackRevisions>
    </reviewItem>
    <reviewItem>
      <errorID>122751b8-76df-4241-856c-dde8119cf9b4</errorID>
      <errorWord>，</errorWord>
      <group>L1_Format</group>
      <groupName>格式问题</groupName>
      <ability>L2_HalfPunc</ability>
      <abilityName>全半角检查</abilityName>
      <candidateList>
        <item>,</item>
      </candidateList>
      <explain>文本全半角错误。</explain>
      <paraID>652B706B</paraID>
      <start>3</start>
      <end>4</end>
      <status>unmodified</status>
      <modifiedWord/>
      <trackRevisions>false</trackRevisions>
    </reviewItem>
    <reviewItem>
      <errorID>ccd75ce8-b78d-4dc3-909a-6ab637559cd0</errorID>
      <errorWord>，</errorWord>
      <group>L1_Format</group>
      <groupName>格式问题</groupName>
      <ability>L2_HalfPunc</ability>
      <abilityName>全半角检查</abilityName>
      <candidateList>
        <item>,</item>
      </candidateList>
      <explain>文本全半角错误。</explain>
      <paraID>652B706B</paraID>
      <start>5</start>
      <end>6</end>
      <status>unmodified</status>
      <modifiedWord/>
      <trackRevisions>false</trackRevisions>
    </reviewItem>
    <reviewItem>
      <errorID>ed48fa78-6cc2-4d25-b674-daafdae57862</errorID>
      <errorWord>，</errorWord>
      <group>L1_Format</group>
      <groupName>格式问题</groupName>
      <ability>L2_HalfPunc</ability>
      <abilityName>全半角检查</abilityName>
      <candidateList>
        <item>,</item>
      </candidateList>
      <explain>文本全半角错误。</explain>
      <paraID> ADED9A1</paraID>
      <start>3</start>
      <end>4</end>
      <status>unmodified</status>
      <modifiedWord/>
      <trackRevisions>false</trackRevisions>
    </reviewItem>
    <reviewItem>
      <errorID>a6217752-dc0e-46d6-9216-1d709bccc8f9</errorID>
      <errorWord>，</errorWord>
      <group>L1_Format</group>
      <groupName>格式问题</groupName>
      <ability>L2_HalfPunc</ability>
      <abilityName>全半角检查</abilityName>
      <candidateList>
        <item>,</item>
      </candidateList>
      <explain>文本全半角错误。</explain>
      <paraID> ADED9A1</paraID>
      <start>7</start>
      <end>8</end>
      <status>unmodified</status>
      <modifiedWord/>
      <trackRevisions>false</trackRevisions>
    </reviewItem>
    <reviewItem>
      <errorID>5e902c83-a57a-4b94-a391-5ed19bce66fb</errorID>
      <errorWord>，</errorWord>
      <group>L1_Format</group>
      <groupName>格式问题</groupName>
      <ability>L2_HalfPunc</ability>
      <abilityName>全半角检查</abilityName>
      <candidateList>
        <item>,</item>
      </candidateList>
      <explain>文本全半角错误。</explain>
      <paraID>643C8C18</paraID>
      <start>2</start>
      <end>3</end>
      <status>unmodified</status>
      <modifiedWord/>
      <trackRevisions>false</trackRevisions>
    </reviewItem>
    <reviewItem>
      <errorID>e4a6f0a2-35ea-4f4a-afa4-192fc89abf7d</errorID>
      <errorWord>，</errorWord>
      <group>L1_Format</group>
      <groupName>格式问题</groupName>
      <ability>L2_HalfPunc</ability>
      <abilityName>全半角检查</abilityName>
      <candidateList>
        <item>,</item>
      </candidateList>
      <explain>文本全半角错误。</explain>
      <paraID>643C8C18</paraID>
      <start>6</start>
      <end>7</end>
      <status>unmodified</status>
      <modifiedWord/>
      <trackRevisions>false</trackRevisions>
    </reviewItem>
    <reviewItem>
      <errorID>e5a00539-ebc4-4a0e-9a09-94062862c277</errorID>
      <errorWord>，</errorWord>
      <group>L1_Format</group>
      <groupName>格式问题</groupName>
      <ability>L2_HalfPunc</ability>
      <abilityName>全半角检查</abilityName>
      <candidateList>
        <item>,</item>
      </candidateList>
      <explain>文本全半角错误。</explain>
      <paraID>638D9F9B</paraID>
      <start>1</start>
      <end>2</end>
      <status>unmodified</status>
      <modifiedWord/>
      <trackRevisions>false</trackRevisions>
    </reviewItem>
    <reviewItem>
      <errorID>863dd8eb-2929-4d2e-89df-e78b9fd1e584</errorID>
      <errorWord>，</errorWord>
      <group>L1_Format</group>
      <groupName>格式问题</groupName>
      <ability>L2_HalfPunc</ability>
      <abilityName>全半角检查</abilityName>
      <candidateList>
        <item>,</item>
      </candidateList>
      <explain>文本全半角错误。</explain>
      <paraID>638D9F9B</paraID>
      <start>5</start>
      <end>6</end>
      <status>unmodified</status>
      <modifiedWord/>
      <trackRevisions>false</trackRevisions>
    </reviewItem>
    <reviewItem>
      <errorID>1dea7d6d-a2be-4b30-adc2-23f5f4776327</errorID>
      <errorWord>，</errorWord>
      <group>L1_Format</group>
      <groupName>格式问题</groupName>
      <ability>L2_HalfPunc</ability>
      <abilityName>全半角检查</abilityName>
      <candidateList>
        <item>,</item>
      </candidateList>
      <explain>文本全半角错误。</explain>
      <paraID>2D17605D</paraID>
      <start>1</start>
      <end>2</end>
      <status>unmodified</status>
      <modifiedWord/>
      <trackRevisions>false</trackRevisions>
    </reviewItem>
    <reviewItem>
      <errorID>f5032029-8338-4d8f-8cac-7adfb98d2562</errorID>
      <errorWord>，</errorWord>
      <group>L1_Format</group>
      <groupName>格式问题</groupName>
      <ability>L2_HalfPunc</ability>
      <abilityName>全半角检查</abilityName>
      <candidateList>
        <item>,</item>
      </candidateList>
      <explain>文本全半角错误。</explain>
      <paraID>2D17605D</paraID>
      <start>5</start>
      <end>6</end>
      <status>unmodified</status>
      <modifiedWord/>
      <trackRevisions>false</trackRevisions>
    </reviewItem>
    <reviewItem>
      <errorID>f4d15591-c959-444e-910d-92e7aa197b93</errorID>
      <errorWord>，</errorWord>
      <group>L1_Format</group>
      <groupName>格式问题</groupName>
      <ability>L2_HalfPunc</ability>
      <abilityName>全半角检查</abilityName>
      <candidateList>
        <item>,</item>
      </candidateList>
      <explain>文本全半角错误。</explain>
      <paraID>4D869B8E</paraID>
      <start>3</start>
      <end>4</end>
      <status>unmodified</status>
      <modifiedWord/>
      <trackRevisions>false</trackRevisions>
    </reviewItem>
    <reviewItem>
      <errorID>932601ba-c8f7-4cf1-b2a9-7f53cf77b9ed</errorID>
      <errorWord>，</errorWord>
      <group>L1_Format</group>
      <groupName>格式问题</groupName>
      <ability>L2_HalfPunc</ability>
      <abilityName>全半角检查</abilityName>
      <candidateList>
        <item>,</item>
      </candidateList>
      <explain>文本全半角错误。</explain>
      <paraID>4D869B8E</paraID>
      <start>5</start>
      <end>6</end>
      <status>unmodified</status>
      <modifiedWord/>
      <trackRevisions>false</trackRevisions>
    </reviewItem>
    <reviewItem>
      <errorID>aaf44f6d-5b40-47f0-a039-fa6ea4dd0e5a</errorID>
      <errorWord>，</errorWord>
      <group>L1_Format</group>
      <groupName>格式问题</groupName>
      <ability>L2_HalfPunc</ability>
      <abilityName>全半角检查</abilityName>
      <candidateList>
        <item>,</item>
      </candidateList>
      <explain>文本全半角错误。</explain>
      <paraID>23D868D7</paraID>
      <start>3</start>
      <end>4</end>
      <status>unmodified</status>
      <modifiedWord/>
      <trackRevisions>false</trackRevisions>
    </reviewItem>
    <reviewItem>
      <errorID>9f8571d2-d81c-4128-afa8-0187f8a15122</errorID>
      <errorWord>，</errorWord>
      <group>L1_Format</group>
      <groupName>格式问题</groupName>
      <ability>L2_HalfPunc</ability>
      <abilityName>全半角检查</abilityName>
      <candidateList>
        <item>,</item>
      </candidateList>
      <explain>文本全半角错误。</explain>
      <paraID>23D868D7</paraID>
      <start>5</start>
      <end>6</end>
      <status>unmodified</status>
      <modifiedWord/>
      <trackRevisions>false</trackRevisions>
    </reviewItem>
    <reviewItem>
      <errorID>536cce10-ebb1-451d-8616-dfc6e25c1f90</errorID>
      <errorWord>，</errorWord>
      <group>L1_Format</group>
      <groupName>格式问题</groupName>
      <ability>L2_HalfPunc</ability>
      <abilityName>全半角检查</abilityName>
      <candidateList>
        <item>,</item>
      </candidateList>
      <explain>文本全半角错误。</explain>
      <paraID>223B0B75</paraID>
      <start>1</start>
      <end>2</end>
      <status>unmodified</status>
      <modifiedWord/>
      <trackRevisions>false</trackRevisions>
    </reviewItem>
    <reviewItem>
      <errorID>833361e3-7ced-4402-9e4f-b400b362c985</errorID>
      <errorWord>，</errorWord>
      <group>L1_Format</group>
      <groupName>格式问题</groupName>
      <ability>L2_HalfPunc</ability>
      <abilityName>全半角检查</abilityName>
      <candidateList>
        <item>,</item>
      </candidateList>
      <explain>文本全半角错误。</explain>
      <paraID>223B0B75</paraID>
      <start>5</start>
      <end>6</end>
      <status>unmodified</status>
      <modifiedWord/>
      <trackRevisions>false</trackRevisions>
    </reviewItem>
    <reviewItem>
      <errorID>115078c6-96c3-4d48-bdf8-89747b10fd86</errorID>
      <errorWord>，</errorWord>
      <group>L1_Format</group>
      <groupName>格式问题</groupName>
      <ability>L2_HalfPunc</ability>
      <abilityName>全半角检查</abilityName>
      <candidateList>
        <item>,</item>
      </candidateList>
      <explain>文本全半角错误。</explain>
      <paraID>529226E6</paraID>
      <start>3</start>
      <end>4</end>
      <status>unmodified</status>
      <modifiedWord/>
      <trackRevisions>false</trackRevisions>
    </reviewItem>
    <reviewItem>
      <errorID>bbe45d7e-ec97-4803-bdda-9fb05e256f1e</errorID>
      <errorWord>，</errorWord>
      <group>L1_Format</group>
      <groupName>格式问题</groupName>
      <ability>L2_HalfPunc</ability>
      <abilityName>全半角检查</abilityName>
      <candidateList>
        <item>,</item>
      </candidateList>
      <explain>文本全半角错误。</explain>
      <paraID>529226E6</paraID>
      <start>7</start>
      <end>8</end>
      <status>unmodified</status>
      <modifiedWord/>
      <trackRevisions>false</trackRevisions>
    </reviewItem>
    <reviewItem>
      <errorID>bf5b0d9d-5ece-4b2a-9019-7a4df27dcf0f</errorID>
      <errorWord>，</errorWord>
      <group>L1_Format</group>
      <groupName>格式问题</groupName>
      <ability>L2_HalfPunc</ability>
      <abilityName>全半角检查</abilityName>
      <candidateList>
        <item>,</item>
      </candidateList>
      <explain>文本全半角错误。</explain>
      <paraID>4989C3C4</paraID>
      <start>3</start>
      <end>4</end>
      <status>unmodified</status>
      <modifiedWord/>
      <trackRevisions>false</trackRevisions>
    </reviewItem>
    <reviewItem>
      <errorID>5c489b38-37bf-436e-8726-9487ae7e568c</errorID>
      <errorWord>，</errorWord>
      <group>L1_Format</group>
      <groupName>格式问题</groupName>
      <ability>L2_HalfPunc</ability>
      <abilityName>全半角检查</abilityName>
      <candidateList>
        <item>,</item>
      </candidateList>
      <explain>文本全半角错误。</explain>
      <paraID>4989C3C4</paraID>
      <start>7</start>
      <end>8</end>
      <status>unmodified</status>
      <modifiedWord/>
      <trackRevisions>false</trackRevisions>
    </reviewItem>
    <reviewItem>
      <errorID>03b9b4e4-c380-47b7-b5b2-7becc39b0ecc</errorID>
      <errorWord>，</errorWord>
      <group>L1_Format</group>
      <groupName>格式问题</groupName>
      <ability>L2_HalfPunc</ability>
      <abilityName>全半角检查</abilityName>
      <candidateList>
        <item>,</item>
      </candidateList>
      <explain>文本全半角错误。</explain>
      <paraID>462B7A73</paraID>
      <start>3</start>
      <end>4</end>
      <status>unmodified</status>
      <modifiedWord/>
      <trackRevisions>false</trackRevisions>
    </reviewItem>
    <reviewItem>
      <errorID>48758ea5-a278-4634-8876-1fe42f86474d</errorID>
      <errorWord>，</errorWord>
      <group>L1_Format</group>
      <groupName>格式问题</groupName>
      <ability>L2_HalfPunc</ability>
      <abilityName>全半角检查</abilityName>
      <candidateList>
        <item>,</item>
      </candidateList>
      <explain>文本全半角错误。</explain>
      <paraID>462B7A73</paraID>
      <start>5</start>
      <end>6</end>
      <status>unmodified</status>
      <modifiedWord/>
      <trackRevisions>false</trackRevisions>
    </reviewItem>
    <reviewItem>
      <errorID>aecadf97-477d-432a-8bd4-5e739cda0310</errorID>
      <errorWord>，</errorWord>
      <group>L1_Format</group>
      <groupName>格式问题</groupName>
      <ability>L2_HalfPunc</ability>
      <abilityName>全半角检查</abilityName>
      <candidateList>
        <item>,</item>
      </candidateList>
      <explain>文本全半角错误。</explain>
      <paraID>3C8934A1</paraID>
      <start>3</start>
      <end>4</end>
      <status>unmodified</status>
      <modifiedWord/>
      <trackRevisions>false</trackRevisions>
    </reviewItem>
    <reviewItem>
      <errorID>3859e358-eb69-40a5-8af5-2461758ede6a</errorID>
      <errorWord>，</errorWord>
      <group>L1_Format</group>
      <groupName>格式问题</groupName>
      <ability>L2_HalfPunc</ability>
      <abilityName>全半角检查</abilityName>
      <candidateList>
        <item>,</item>
      </candidateList>
      <explain>文本全半角错误。</explain>
      <paraID>3C8934A1</paraID>
      <start>5</start>
      <end>6</end>
      <status>unmodified</status>
      <modifiedWord/>
      <trackRevisions>false</trackRevisions>
    </reviewItem>
    <reviewItem>
      <errorID>2f4a2b8f-ac01-4c87-8b40-f74aa2271a03</errorID>
      <errorWord>，</errorWord>
      <group>L1_Format</group>
      <groupName>格式问题</groupName>
      <ability>L2_HalfPunc</ability>
      <abilityName>全半角检查</abilityName>
      <candidateList>
        <item>,</item>
      </candidateList>
      <explain>文本全半角错误。</explain>
      <paraID>65FB1394</paraID>
      <start>3</start>
      <end>4</end>
      <status>unmodified</status>
      <modifiedWord/>
      <trackRevisions>false</trackRevisions>
    </reviewItem>
    <reviewItem>
      <errorID>48bfee4a-9773-40c7-b8c9-1452b368d0e5</errorID>
      <errorWord>，</errorWord>
      <group>L1_Format</group>
      <groupName>格式问题</groupName>
      <ability>L2_HalfPunc</ability>
      <abilityName>全半角检查</abilityName>
      <candidateList>
        <item>,</item>
      </candidateList>
      <explain>文本全半角错误。</explain>
      <paraID>65FB1394</paraID>
      <start>5</start>
      <end>6</end>
      <status>unmodified</status>
      <modifiedWord/>
      <trackRevisions>false</trackRevisions>
    </reviewItem>
    <reviewItem>
      <errorID>f8f85b0b-709b-43ee-8ba8-52e9e3d0c9f3</errorID>
      <errorWord>，</errorWord>
      <group>L1_Format</group>
      <groupName>格式问题</groupName>
      <ability>L2_HalfPunc</ability>
      <abilityName>全半角检查</abilityName>
      <candidateList>
        <item>,</item>
      </candidateList>
      <explain>文本全半角错误。</explain>
      <paraID>7E035586</paraID>
      <start>1</start>
      <end>2</end>
      <status>unmodified</status>
      <modifiedWord/>
      <trackRevisions>false</trackRevisions>
    </reviewItem>
    <reviewItem>
      <errorID>1af36939-f4ac-46e0-858b-625792a1b2ea</errorID>
      <errorWord>，</errorWord>
      <group>L1_Format</group>
      <groupName>格式问题</groupName>
      <ability>L2_HalfPunc</ability>
      <abilityName>全半角检查</abilityName>
      <candidateList>
        <item>,</item>
      </candidateList>
      <explain>文本全半角错误。</explain>
      <paraID>7E035586</paraID>
      <start>5</start>
      <end>6</end>
      <status>unmodified</status>
      <modifiedWord/>
      <trackRevisions>false</trackRevisions>
    </reviewItem>
    <reviewItem>
      <errorID>3e3877bf-7638-425c-8978-b0083b91e150</errorID>
      <errorWord>，</errorWord>
      <group>L1_Format</group>
      <groupName>格式问题</groupName>
      <ability>L2_HalfPunc</ability>
      <abilityName>全半角检查</abilityName>
      <candidateList>
        <item>,</item>
      </candidateList>
      <explain>文本全半角错误。</explain>
      <paraID>59526BB3</paraID>
      <start>3</start>
      <end>4</end>
      <status>unmodified</status>
      <modifiedWord/>
      <trackRevisions>false</trackRevisions>
    </reviewItem>
    <reviewItem>
      <errorID>a5a2d3a1-aeb1-4e0b-8d03-0a44a0798697</errorID>
      <errorWord>，</errorWord>
      <group>L1_Format</group>
      <groupName>格式问题</groupName>
      <ability>L2_HalfPunc</ability>
      <abilityName>全半角检查</abilityName>
      <candidateList>
        <item>,</item>
      </candidateList>
      <explain>文本全半角错误。</explain>
      <paraID>59526BB3</paraID>
      <start>7</start>
      <end>8</end>
      <status>unmodified</status>
      <modifiedWord/>
      <trackRevisions>false</trackRevisions>
    </reviewItem>
    <reviewItem>
      <errorID>b92e90a1-e3c4-49c8-a08b-5550d1134cf9</errorID>
      <errorWord>，</errorWord>
      <group>L1_Format</group>
      <groupName>格式问题</groupName>
      <ability>L2_HalfPunc</ability>
      <abilityName>全半角检查</abilityName>
      <candidateList>
        <item>,</item>
      </candidateList>
      <explain>文本全半角错误。</explain>
      <paraID>4D3327AC</paraID>
      <start>3</start>
      <end>4</end>
      <status>unmodified</status>
      <modifiedWord/>
      <trackRevisions>false</trackRevisions>
    </reviewItem>
    <reviewItem>
      <errorID>45c5bcff-4c75-4333-9625-831884fda916</errorID>
      <errorWord>，</errorWord>
      <group>L1_Format</group>
      <groupName>格式问题</groupName>
      <ability>L2_HalfPunc</ability>
      <abilityName>全半角检查</abilityName>
      <candidateList>
        <item>,</item>
      </candidateList>
      <explain>文本全半角错误。</explain>
      <paraID>4D3327AC</paraID>
      <start>5</start>
      <end>6</end>
      <status>unmodified</status>
      <modifiedWord/>
      <trackRevisions>false</trackRevisions>
    </reviewItem>
    <reviewItem>
      <errorID>c1c3538a-2fd7-4e4b-a281-0cf223083c87</errorID>
      <errorWord>，</errorWord>
      <group>L1_Format</group>
      <groupName>格式问题</groupName>
      <ability>L2_HalfPunc</ability>
      <abilityName>全半角检查</abilityName>
      <candidateList>
        <item>,</item>
      </candidateList>
      <explain>文本全半角错误。</explain>
      <paraID>690E95CB</paraID>
      <start>1</start>
      <end>2</end>
      <status>unmodified</status>
      <modifiedWord/>
      <trackRevisions>false</trackRevisions>
    </reviewItem>
    <reviewItem>
      <errorID>04ec8409-f314-4f5b-90dc-d44d341a324e</errorID>
      <errorWord>，</errorWord>
      <group>L1_Format</group>
      <groupName>格式问题</groupName>
      <ability>L2_HalfPunc</ability>
      <abilityName>全半角检查</abilityName>
      <candidateList>
        <item>,</item>
      </candidateList>
      <explain>文本全半角错误。</explain>
      <paraID>690E95CB</paraID>
      <start>5</start>
      <end>6</end>
      <status>unmodified</status>
      <modifiedWord/>
      <trackRevisions>false</trackRevisions>
    </reviewItem>
    <reviewItem>
      <errorID>97729301-18f2-4ab4-96b4-1c2788fca442</errorID>
      <errorWord>，</errorWord>
      <group>L1_Format</group>
      <groupName>格式问题</groupName>
      <ability>L2_HalfPunc</ability>
      <abilityName>全半角检查</abilityName>
      <candidateList>
        <item>,</item>
      </candidateList>
      <explain>文本全半角错误。</explain>
      <paraID>722E9378</paraID>
      <start>3</start>
      <end>4</end>
      <status>unmodified</status>
      <modifiedWord/>
      <trackRevisions>false</trackRevisions>
    </reviewItem>
    <reviewItem>
      <errorID>bebda9c4-cf85-4aa4-bb2e-845702ef40c4</errorID>
      <errorWord>，</errorWord>
      <group>L1_Format</group>
      <groupName>格式问题</groupName>
      <ability>L2_HalfPunc</ability>
      <abilityName>全半角检查</abilityName>
      <candidateList>
        <item>,</item>
      </candidateList>
      <explain>文本全半角错误。</explain>
      <paraID>722E9378</paraID>
      <start>5</start>
      <end>6</end>
      <status>unmodified</status>
      <modifiedWord/>
      <trackRevisions>false</trackRevisions>
    </reviewItem>
    <reviewItem>
      <errorID>06cca998-1c09-4cb7-bbbb-21ad0b9f24ee</errorID>
      <errorWord>，</errorWord>
      <group>L1_Format</group>
      <groupName>格式问题</groupName>
      <ability>L2_HalfPunc</ability>
      <abilityName>全半角检查</abilityName>
      <candidateList>
        <item>,</item>
      </candidateList>
      <explain>文本全半角错误。</explain>
      <paraID>45F5559D</paraID>
      <start>3</start>
      <end>4</end>
      <status>unmodified</status>
      <modifiedWord/>
      <trackRevisions>false</trackRevisions>
    </reviewItem>
    <reviewItem>
      <errorID>b335dd7f-a1d2-4d70-a373-2447af7d846a</errorID>
      <errorWord>，</errorWord>
      <group>L1_Format</group>
      <groupName>格式问题</groupName>
      <ability>L2_HalfPunc</ability>
      <abilityName>全半角检查</abilityName>
      <candidateList>
        <item>,</item>
      </candidateList>
      <explain>文本全半角错误。</explain>
      <paraID>45F5559D</paraID>
      <start>7</start>
      <end>8</end>
      <status>unmodified</status>
      <modifiedWord/>
      <trackRevisions>false</trackRevisions>
    </reviewItem>
    <reviewItem>
      <errorID>c01704c9-4058-4315-a55a-19631c070cb5</errorID>
      <errorWord>，</errorWord>
      <group>L1_Format</group>
      <groupName>格式问题</groupName>
      <ability>L2_HalfPunc</ability>
      <abilityName>全半角检查</abilityName>
      <candidateList>
        <item>,</item>
      </candidateList>
      <explain>文本全半角错误。</explain>
      <paraID>634C161F</paraID>
      <start>3</start>
      <end>4</end>
      <status>unmodified</status>
      <modifiedWord/>
      <trackRevisions>false</trackRevisions>
    </reviewItem>
    <reviewItem>
      <errorID>4b02ed63-b6b8-43d5-a590-2258a629e1c8</errorID>
      <errorWord>，</errorWord>
      <group>L1_Format</group>
      <groupName>格式问题</groupName>
      <ability>L2_HalfPunc</ability>
      <abilityName>全半角检查</abilityName>
      <candidateList>
        <item>,</item>
      </candidateList>
      <explain>文本全半角错误。</explain>
      <paraID>634C161F</paraID>
      <start>7</start>
      <end>8</end>
      <status>unmodified</status>
      <modifiedWord/>
      <trackRevisions>false</trackRevisions>
    </reviewItem>
    <reviewItem>
      <errorID>14906c46-22af-4034-9b52-46863f992035</errorID>
      <errorWord>，</errorWord>
      <group>L1_Format</group>
      <groupName>格式问题</groupName>
      <ability>L2_HalfPunc</ability>
      <abilityName>全半角检查</abilityName>
      <candidateList>
        <item>,</item>
      </candidateList>
      <explain>文本全半角错误。</explain>
      <paraID>784CFFD8</paraID>
      <start>3</start>
      <end>4</end>
      <status>unmodified</status>
      <modifiedWord/>
      <trackRevisions>false</trackRevisions>
    </reviewItem>
    <reviewItem>
      <errorID>eecbd6f2-c72c-4252-85c2-0fe6fc9ede3a</errorID>
      <errorWord>，</errorWord>
      <group>L1_Format</group>
      <groupName>格式问题</groupName>
      <ability>L2_HalfPunc</ability>
      <abilityName>全半角检查</abilityName>
      <candidateList>
        <item>,</item>
      </candidateList>
      <explain>文本全半角错误。</explain>
      <paraID>784CFFD8</paraID>
      <start>5</start>
      <end>6</end>
      <status>unmodified</status>
      <modifiedWord/>
      <trackRevisions>false</trackRevisions>
    </reviewItem>
    <reviewItem>
      <errorID>add6e686-b09c-4c57-a5b3-f56c434db0a2</errorID>
      <errorWord>，</errorWord>
      <group>L1_Format</group>
      <groupName>格式问题</groupName>
      <ability>L2_HalfPunc</ability>
      <abilityName>全半角检查</abilityName>
      <candidateList>
        <item>,</item>
      </candidateList>
      <explain>文本全半角错误。</explain>
      <paraID>3452140E</paraID>
      <start>3</start>
      <end>4</end>
      <status>unmodified</status>
      <modifiedWord/>
      <trackRevisions>false</trackRevisions>
    </reviewItem>
    <reviewItem>
      <errorID>4c5114b8-cbed-4c03-a932-67a2b47298af</errorID>
      <errorWord>，</errorWord>
      <group>L1_Format</group>
      <groupName>格式问题</groupName>
      <ability>L2_HalfPunc</ability>
      <abilityName>全半角检查</abilityName>
      <candidateList>
        <item>,</item>
      </candidateList>
      <explain>文本全半角错误。</explain>
      <paraID>3452140E</paraID>
      <start>5</start>
      <end>6</end>
      <status>unmodified</status>
      <modifiedWord/>
      <trackRevisions>false</trackRevisions>
    </reviewItem>
    <reviewItem>
      <errorID>deff2b15-0ec4-4336-938c-58a6c50364a7</errorID>
      <errorWord>，</errorWord>
      <group>L1_Format</group>
      <groupName>格式问题</groupName>
      <ability>L2_HalfPunc</ability>
      <abilityName>全半角检查</abilityName>
      <candidateList>
        <item>,</item>
      </candidateList>
      <explain>文本全半角错误。</explain>
      <paraID>46D53F24</paraID>
      <start>2</start>
      <end>3</end>
      <status>unmodified</status>
      <modifiedWord/>
      <trackRevisions>false</trackRevisions>
    </reviewItem>
    <reviewItem>
      <errorID>03e7c866-4b98-4caa-a9fc-444e70a239df</errorID>
      <errorWord>，</errorWord>
      <group>L1_Format</group>
      <groupName>格式问题</groupName>
      <ability>L2_HalfPunc</ability>
      <abilityName>全半角检查</abilityName>
      <candidateList>
        <item>,</item>
      </candidateList>
      <explain>文本全半角错误。</explain>
      <paraID>46D53F24</paraID>
      <start>6</start>
      <end>7</end>
      <status>unmodified</status>
      <modifiedWord/>
      <trackRevisions>false</trackRevisions>
    </reviewItem>
    <reviewItem>
      <errorID>22cae62f-be6e-4bbd-adf1-fc9f247184c9</errorID>
      <errorWord>，</errorWord>
      <group>L1_Format</group>
      <groupName>格式问题</groupName>
      <ability>L2_HalfPunc</ability>
      <abilityName>全半角检查</abilityName>
      <candidateList>
        <item>,</item>
      </candidateList>
      <explain>文本全半角错误。</explain>
      <paraID>6FFAA125</paraID>
      <start>3</start>
      <end>4</end>
      <status>unmodified</status>
      <modifiedWord/>
      <trackRevisions>false</trackRevisions>
    </reviewItem>
    <reviewItem>
      <errorID>3f04733d-8dd9-479a-9840-980660d69268</errorID>
      <errorWord>，</errorWord>
      <group>L1_Format</group>
      <groupName>格式问题</groupName>
      <ability>L2_HalfPunc</ability>
      <abilityName>全半角检查</abilityName>
      <candidateList>
        <item>,</item>
      </candidateList>
      <explain>文本全半角错误。</explain>
      <paraID>6FFAA125</paraID>
      <start>7</start>
      <end>8</end>
      <status>unmodified</status>
      <modifiedWord/>
      <trackRevisions>false</trackRevisions>
    </reviewItem>
    <reviewItem>
      <errorID>8c63e671-335c-4c80-8f00-2ee2009ed0df</errorID>
      <errorWord>，</errorWord>
      <group>L1_Format</group>
      <groupName>格式问题</groupName>
      <ability>L2_HalfPunc</ability>
      <abilityName>全半角检查</abilityName>
      <candidateList>
        <item>,</item>
      </candidateList>
      <explain>文本全半角错误。</explain>
      <paraID> EBFA797</paraID>
      <start>2</start>
      <end>3</end>
      <status>unmodified</status>
      <modifiedWord/>
      <trackRevisions>false</trackRevisions>
    </reviewItem>
    <reviewItem>
      <errorID>32e84562-e634-4e88-bd30-b6dd422b6802</errorID>
      <errorWord>，</errorWord>
      <group>L1_Format</group>
      <groupName>格式问题</groupName>
      <ability>L2_HalfPunc</ability>
      <abilityName>全半角检查</abilityName>
      <candidateList>
        <item>,</item>
      </candidateList>
      <explain>文本全半角错误。</explain>
      <paraID> EBFA797</paraID>
      <start>6</start>
      <end>7</end>
      <status>unmodified</status>
      <modifiedWord/>
      <trackRevisions>false</trackRevisions>
    </reviewItem>
    <reviewItem>
      <errorID>437ccb2e-5e50-45b9-b55b-e3686a53b3d7</errorID>
      <errorWord>，</errorWord>
      <group>L1_Format</group>
      <groupName>格式问题</groupName>
      <ability>L2_HalfPunc</ability>
      <abilityName>全半角检查</abilityName>
      <candidateList>
        <item>,</item>
      </candidateList>
      <explain>文本全半角错误。</explain>
      <paraID>1C3F2FAB</paraID>
      <start>3</start>
      <end>4</end>
      <status>unmodified</status>
      <modifiedWord/>
      <trackRevisions>false</trackRevisions>
    </reviewItem>
    <reviewItem>
      <errorID>d39216e0-ccbe-4b69-bb52-9ac6c7cb38b8</errorID>
      <errorWord>，</errorWord>
      <group>L1_Format</group>
      <groupName>格式问题</groupName>
      <ability>L2_HalfPunc</ability>
      <abilityName>全半角检查</abilityName>
      <candidateList>
        <item>,</item>
      </candidateList>
      <explain>文本全半角错误。</explain>
      <paraID>1C3F2FAB</paraID>
      <start>7</start>
      <end>8</end>
      <status>unmodified</status>
      <modifiedWord/>
      <trackRevisions>false</trackRevisions>
    </reviewItem>
    <reviewItem>
      <errorID>529403c3-0095-4fa8-b5b8-1ae7490760be</errorID>
      <errorWord>，</errorWord>
      <group>L1_Format</group>
      <groupName>格式问题</groupName>
      <ability>L2_HalfPunc</ability>
      <abilityName>全半角检查</abilityName>
      <candidateList>
        <item>,</item>
      </candidateList>
      <explain>文本全半角错误。</explain>
      <paraID>58394060</paraID>
      <start>1</start>
      <end>2</end>
      <status>unmodified</status>
      <modifiedWord/>
      <trackRevisions>false</trackRevisions>
    </reviewItem>
    <reviewItem>
      <errorID>6753470a-85fa-4754-9c00-27d7b0ff9bc5</errorID>
      <errorWord>，</errorWord>
      <group>L1_Format</group>
      <groupName>格式问题</groupName>
      <ability>L2_HalfPunc</ability>
      <abilityName>全半角检查</abilityName>
      <candidateList>
        <item>,</item>
      </candidateList>
      <explain>文本全半角错误。</explain>
      <paraID>58394060</paraID>
      <start>5</start>
      <end>6</end>
      <status>unmodified</status>
      <modifiedWord/>
      <trackRevisions>false</trackRevisions>
    </reviewItem>
    <reviewItem>
      <errorID>fcb212a1-a851-4e12-8f91-427cef4baae8</errorID>
      <errorWord>…………</errorWord>
      <group>L1_Punc</group>
      <groupName>标点问题</groupName>
      <ability>L2_Punc</ability>
      <abilityName>标点符号检查</abilityName>
      <candidateList>
        <item>…</item>
      </candidateList>
      <explain/>
      <paraID> 6FFCA9A</paraID>
      <start>0</start>
      <end>4</end>
      <status>unmodified</status>
      <modifiedWord/>
      <trackRevisions>false</trackRevisions>
    </reviewItem>
    <reviewItem>
      <errorID>2c325d69-9a25-488b-9acb-5c0c05cb95e5</errorID>
      <errorWord>…………</errorWord>
      <group>L1_Punc</group>
      <groupName>标点问题</groupName>
      <ability>L2_Punc</ability>
      <abilityName>标点符号检查</abilityName>
      <candidateList>
        <item>…</item>
      </candidateList>
      <explain/>
      <paraID>6D710FF1</paraID>
      <start>0</start>
      <end>4</end>
      <status>unmodified</status>
      <modifiedWord/>
      <trackRevisions>false</trackRevisions>
    </reviewItem>
    <reviewItem>
      <errorID>36481ae4-d9f8-4c4e-8d85-203c85e00866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1B169F47</paraID>
      <start>0</start>
      <end>2</end>
      <status>unmodified</status>
      <modifiedWord/>
      <trackRevisions>false</trackRevisions>
    </reviewItem>
    <reviewItem>
      <errorID>564e1142-7c02-41fd-b011-441d428161e1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3FCC137E</paraID>
      <start>0</start>
      <end>2</end>
      <status>unmodified</status>
      <modifiedWord/>
      <trackRevisions>false</trackRevisions>
    </reviewItem>
    <reviewItem>
      <errorID>07dddadd-c9ee-41cf-8b67-8b8c5ff1529b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34B28DFA</paraID>
      <start>0</start>
      <end>2</end>
      <status>unmodified</status>
      <modifiedWord/>
      <trackRevisions>false</trackRevisions>
    </reviewItem>
    <reviewItem>
      <errorID>f52b262c-c3b4-4981-913c-f81c3b70657e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2FF177F9</paraID>
      <start>0</start>
      <end>2</end>
      <status>unmodified</status>
      <modifiedWord/>
      <trackRevisions>false</trackRevisions>
    </reviewItem>
    <reviewItem>
      <errorID>31ee7ebf-f66a-478f-a03c-cd840b094cf9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389896EA</paraID>
      <start>0</start>
      <end>2</end>
      <status>unmodified</status>
      <modifiedWord/>
      <trackRevisions>false</trackRevisions>
    </reviewItem>
    <reviewItem>
      <errorID>907835c6-8af9-43b3-a8c2-c43fea4a47a7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75E32C4</paraID>
      <start>0</start>
      <end>2</end>
      <status>unmodified</status>
      <modifiedWord/>
      <trackRevisions>false</trackRevisions>
    </reviewItem>
    <reviewItem>
      <errorID>bfd8a5d6-d8dc-4eb0-b915-ff93e73a430e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6E1D389F</paraID>
      <start>0</start>
      <end>2</end>
      <status>unmodified</status>
      <modifiedWord/>
      <trackRevisions>false</trackRevisions>
    </reviewItem>
    <reviewItem>
      <errorID>a3b4c4b8-064b-4a23-b8fc-ff4b06148e9b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1CDD7807</paraID>
      <start>0</start>
      <end>2</end>
      <status>unmodified</status>
      <modifiedWord/>
      <trackRevisions>false</trackRevisions>
    </reviewItem>
    <reviewItem>
      <errorID>e4d25beb-8670-4763-9cc8-02723e8151c5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5DA0E00F</paraID>
      <start>0</start>
      <end>2</end>
      <status>unmodified</status>
      <modifiedWord/>
      <trackRevisions>false</trackRevisions>
    </reviewItem>
    <reviewItem>
      <errorID>c3ac7282-0666-444a-9f11-8e66350f6fde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5831351C</paraID>
      <start>0</start>
      <end>2</end>
      <status>unmodified</status>
      <modifiedWord/>
      <trackRevisions>false</trackRevisions>
    </reviewItem>
    <reviewItem>
      <errorID>e30493f2-8ef6-4871-bfa1-808a1ac2f06e</errorID>
      <errorWord>处于</errorWord>
      <group>L1_Word</group>
      <groupName>字词问题</groupName>
      <ability>L2_Typo</ability>
      <abilityName>字词错误</abilityName>
      <candidateList>
        <item>处以</item>
      </candidateList>
      <explain>存在发音相近字词的误用。</explain>
      <paraID>180EE3A4</paraID>
      <start>46</start>
      <end>48</end>
      <status>unmodified</status>
      <modifiedWord/>
      <trackRevisions>false</trackRevisions>
    </reviewItem>
    <reviewItem>
      <errorID>4985d228-1db5-498c-bb03-c070ece8bf4e</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40145D9E</paraID>
      <start>51</start>
      <end>53</end>
      <status>unmodified</status>
      <modifiedWord/>
      <trackRevisions>false</trackRevisions>
    </reviewItem>
    <reviewItem>
      <errorID>c1edb089-f4da-43e4-9f1f-e2513a1061e6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712D52F</paraID>
      <start>0</start>
      <end>2</end>
      <status>unmodified</status>
      <modifiedWord/>
      <trackRevisions>false</trackRevisions>
    </reviewItem>
    <reviewItem>
      <errorID>9495bb79-a39d-4ff2-ba77-26d1eeb1601a</errorID>
      <errorWord>,</errorWord>
      <group>L1_Format</group>
      <groupName>格式问题</groupName>
      <ability>L2_HalfPunc</ability>
      <abilityName>全半角检查</abilityName>
      <candidateList>
        <item>，</item>
      </candidateList>
      <explain>文本全半角错误。</explain>
      <paraID>1345E9D8</paraID>
      <start>84</start>
      <end>85</end>
      <status>unmodified</status>
      <modifiedWord/>
      <trackRevisions>false</trackRevisions>
    </reviewItem>
    <reviewItem>
      <errorID>0854bde8-39d0-45f6-8fad-4a883c1b974d</errorID>
      <errorWord>,</errorWord>
      <group>L1_Format</group>
      <groupName>格式问题</groupName>
      <ability>L2_HalfPunc</ability>
      <abilityName>全半角检查</abilityName>
      <candidateList>
        <item>，</item>
      </candidateList>
      <explain>文本全半角错误。</explain>
      <paraID>1345E9D8</paraID>
      <start>91</start>
      <end>92</end>
      <status>unmodified</status>
      <modifiedWord/>
      <trackRevisions>false</trackRevisions>
    </reviewItem>
    <reviewItem>
      <errorID>f4b2933d-5202-4aff-af75-8aff735b48f6</errorID>
      <errorWord>(</errorWord>
      <group>L1_Format</group>
      <groupName>格式问题</groupName>
      <ability>L2_HalfPunc</ability>
      <abilityName>全半角检查</abilityName>
      <candidateList>
        <item>（</item>
      </candidateList>
      <explain>文本全半角错误。</explain>
      <paraID>443DEE36</paraID>
      <start>23</start>
      <end>24</end>
      <status>unmodified</status>
      <modifiedWord/>
      <trackRevisions>false</trackRevisions>
    </reviewItem>
    <reviewItem>
      <errorID>ddc55078-ef48-4504-933f-6f2f7f6bb616</errorID>
      <errorWord>,</errorWord>
      <group>L1_Format</group>
      <groupName>格式问题</groupName>
      <ability>L2_HalfPunc</ability>
      <abilityName>全半角检查</abilityName>
      <candidateList>
        <item>，</item>
      </candidateList>
      <explain>文本全半角错误。</explain>
      <paraID>  D7B3A7</paraID>
      <start>84</start>
      <end>85</end>
      <status>unmodified</status>
      <modifiedWord/>
      <trackRevisions>false</trackRevisions>
    </reviewItem>
    <reviewItem>
      <errorID>96e4bd4f-b284-46b7-ab2b-c2c30fb2f9bc</errorID>
      <errorWord>,</errorWord>
      <group>L1_Format</group>
      <groupName>格式问题</groupName>
      <ability>L2_HalfPunc</ability>
      <abilityName>全半角检查</abilityName>
      <candidateList>
        <item>，</item>
      </candidateList>
      <explain>文本全半角错误。</explain>
      <paraID>  D7B3A7</paraID>
      <start>91</start>
      <end>92</end>
      <status>unmodified</status>
      <modifiedWord/>
      <trackRevisions>false</trackRevisions>
    </reviewItem>
    <reviewItem>
      <errorID>b4abf3f5-9434-42fc-acaa-cd3092c4f7dc</errorID>
      <errorWord>(</errorWord>
      <group>L1_Format</group>
      <groupName>格式问题</groupName>
      <ability>L2_HalfPunc</ability>
      <abilityName>全半角检查</abilityName>
      <candidateList>
        <item>（</item>
      </candidateList>
      <explain>文本全半角错误。</explain>
      <paraID> 5C3272E</paraID>
      <start>23</start>
      <end>24</end>
      <status>unmodified</status>
      <modifiedWord/>
      <trackRevisions>false</trackRevisions>
    </reviewItem>
    <reviewItem>
      <errorID>f6a8797b-717d-4eeb-b9a7-d0fb4be71d14</errorID>
      <errorWord>(</errorWord>
      <group>L1_Format</group>
      <groupName>格式问题</groupName>
      <ability>L2_HalfPunc</ability>
      <abilityName>全半角检查</abilityName>
      <candidateList>
        <item>（</item>
      </candidateList>
      <explain>文本全半角错误。</explain>
      <paraID>  BCF1F8</paraID>
      <start>17</start>
      <end>18</end>
      <status>unmodified</status>
      <modifiedWord/>
      <trackRevisions>false</trackRevisions>
    </reviewItem>
    <reviewItem>
      <errorID>0c70bec2-80d6-4f8e-b485-9920e3744a7c</errorID>
      <errorWord>(</errorWord>
      <group>L1_Format</group>
      <groupName>格式问题</groupName>
      <ability>L2_HalfPunc</ability>
      <abilityName>全半角检查</abilityName>
      <candidateList>
        <item>（</item>
      </candidateList>
      <explain>文本全半角错误。</explain>
      <paraID>465C7D4E</paraID>
      <start>19</start>
      <end>20</end>
      <status>unmodified</status>
      <modifiedWord/>
      <trackRevisions>false</trackRevisions>
    </reviewItem>
    <reviewItem>
      <errorID>82767fa1-348a-4f1c-bed6-712b2b6395d5</errorID>
      <errorWord>：</errorWord>
      <group>L1_Format</group>
      <groupName>格式问题</groupName>
      <ability>L2_HalfPunc</ability>
      <abilityName>全半角检查</abilityName>
      <candidateList>
        <item>:</item>
      </candidateList>
      <explain>文本全半角错误。</explain>
      <paraID>6080A11B</paraID>
      <start>6</start>
      <end>7</end>
      <status>unmodified</status>
      <modifiedWord/>
      <trackRevisions>false</trackRevisions>
    </reviewItem>
    <reviewItem>
      <errorID>830b0c62-3f3c-4a3d-ba3e-41c855495343</errorID>
      <errorWord>雨篷</errorWord>
      <group>L1_Word</group>
      <groupName>字词问题</groupName>
      <ability>L2_Typo</ability>
      <abilityName>字词错误</abilityName>
      <candidateList>
        <item>雨棚</item>
      </candidateList>
      <explain>存在发音相同字词的误用。</explain>
      <paraID>50F35318</paraID>
      <start>0</start>
      <end>2</end>
      <status>unmodified</status>
      <modifiedWord/>
      <trackRevisions>false</trackRevisions>
    </reviewItem>
    <reviewItem>
      <errorID>4b3dec09-56b5-48e2-b21d-59edb3ec562d</errorID>
      <errorWord>混凝土挑板</errorWord>
      <group>L1_Knowledge</group>
      <groupName>知识性问题</groupName>
      <ability>L2_Term</ability>
      <abilityName>专业术语</abilityName>
      <candidateList>
        <item>混凝土模板</item>
      </candidateList>
      <explain/>
      <paraID>50F35318</paraID>
      <start>8</start>
      <end>13</end>
      <status>unmodified</status>
      <modifiedWord/>
      <trackRevisions>false</trackRevisions>
    </reviewItem>
    <reviewItem>
      <errorID>f6e7c4e6-2a61-4eb3-a29c-68a2f21bb22e</errorID>
      <errorWord>：</errorWord>
      <group>L1_Format</group>
      <groupName>格式问题</groupName>
      <ability>L2_HalfPunc</ability>
      <abilityName>全半角检查</abilityName>
      <candidateList>
        <item>:</item>
      </candidateList>
      <explain>文本全半角错误。</explain>
      <paraID>21C7A77F</paraID>
      <start>8</start>
      <end>9</end>
      <status>unmodified</status>
      <modifiedWord/>
      <trackRevisions>false</trackRevisions>
    </reviewItem>
    <reviewItem>
      <errorID>ccca23cf-1f63-430a-97bf-10148f262288</errorID>
      <errorWord>,</errorWord>
      <group>L1_Format</group>
      <groupName>格式问题</groupName>
      <ability>L2_HalfPunc</ability>
      <abilityName>全半角检查</abilityName>
      <candidateList>
        <item>，</item>
      </candidateList>
      <explain>文本全半角错误。</explain>
      <paraID>6E0811F1</paraID>
      <start>84</start>
      <end>85</end>
      <status>unmodified</status>
      <modifiedWord/>
      <trackRevisions>false</trackRevisions>
    </reviewItem>
    <reviewItem>
      <errorID>dd4d355d-32ce-42b4-ac4d-6a0d228a081a</errorID>
      <errorWord>,</errorWord>
      <group>L1_Format</group>
      <groupName>格式问题</groupName>
      <ability>L2_HalfPunc</ability>
      <abilityName>全半角检查</abilityName>
      <candidateList>
        <item>，</item>
      </candidateList>
      <explain>文本全半角错误。</explain>
      <paraID>6E0811F1</paraID>
      <start>91</start>
      <end>92</end>
      <status>unmodified</status>
      <modifiedWord/>
      <trackRevisions>false</trackRevisions>
    </reviewItem>
    <reviewItem>
      <errorID>e33dbbe9-1533-4536-a438-1060d1d9db09</errorID>
      <errorWord>(</errorWord>
      <group>L1_Format</group>
      <groupName>格式问题</groupName>
      <ability>L2_HalfPunc</ability>
      <abilityName>全半角检查</abilityName>
      <candidateList>
        <item>（</item>
      </candidateList>
      <explain>文本全半角错误。</explain>
      <paraID>49C7F2C3</paraID>
      <start>19</start>
      <end>20</end>
      <status>unmodified</status>
      <modifiedWord/>
      <trackRevisions>false</trackRevisions>
    </reviewItem>
    <reviewItem>
      <errorID>23603dd0-f1fb-465e-81a8-f484097e4893</errorID>
      <errorWord>：</errorWord>
      <group>L1_Format</group>
      <groupName>格式问题</groupName>
      <ability>L2_HalfPunc</ability>
      <abilityName>全半角检查</abilityName>
      <candidateList>
        <item>:</item>
      </candidateList>
      <explain>文本全半角错误。</explain>
      <paraID>78A7FDA7</paraID>
      <start>8</start>
      <end>9</end>
      <status>unmodified</status>
      <modifiedWord/>
      <trackRevisions>false</trackRevisions>
    </reviewItem>
    <reviewItem>
      <errorID>16ad17d8-19a0-4a93-8331-82a41b6b6275</errorID>
      <errorWord>,</errorWord>
      <group>L1_Format</group>
      <groupName>格式问题</groupName>
      <ability>L2_HalfPunc</ability>
      <abilityName>全半角检查</abilityName>
      <candidateList>
        <item>，</item>
      </candidateList>
      <explain>文本全半角错误。</explain>
      <paraID>1EEAAE48</paraID>
      <start>25</start>
      <end>26</end>
      <status>unmodified</status>
      <modifiedWord/>
      <trackRevisions>false</trackRevisions>
    </reviewItem>
    <reviewItem>
      <errorID>568f8a50-73c5-478d-a801-c3f14245d4d6</errorID>
      <errorWord>：</errorWord>
      <group>L1_Format</group>
      <groupName>格式问题</groupName>
      <ability>L2_HalfPunc</ability>
      <abilityName>全半角检查</abilityName>
      <candidateList>
        <item>:</item>
      </candidateList>
      <explain>文本全半角错误。</explain>
      <paraID>1EEAAE48</paraID>
      <start>35</start>
      <end>36</end>
      <status>unmodified</status>
      <modifiedWord/>
      <trackRevisions>false</trackRevisions>
    </reviewItem>
    <reviewItem>
      <errorID>2cf9a509-52ff-4c07-9193-392e78005389</errorID>
      <errorWord>墙固</errorWord>
      <group>L1_Word</group>
      <groupName>字词问题</groupName>
      <ability>L2_Typo</ability>
      <abilityName>字词错误</abilityName>
      <candidateList>
        <item>墙壁</item>
      </candidateList>
      <explain/>
      <paraID>67EE1953</paraID>
      <start>3</start>
      <end>5</end>
      <status>unmodified</status>
      <modifiedWord/>
      <trackRevisions>false</trackRevisions>
    </reviewItem>
    <reviewItem>
      <errorID>9e076d7f-adc9-4682-93fc-85517c569f42</errorID>
      <errorWord>：</errorWord>
      <group>L1_Format</group>
      <groupName>格式问题</groupName>
      <ability>L2_HalfPunc</ability>
      <abilityName>全半角检查</abilityName>
      <candidateList>
        <item>:</item>
      </candidateList>
      <explain>文本全半角错误。</explain>
      <paraID>28E0FB5B</paraID>
      <start>6</start>
      <end>7</end>
      <status>unmodified</status>
      <modifiedWord/>
      <trackRevisions>false</trackRevisions>
    </reviewItem>
    <reviewItem>
      <errorID>9218f3eb-740f-4c6a-827b-2ea82254c69d</errorID>
      <errorWord>(</errorWord>
      <group>L1_Format</group>
      <groupName>格式问题</groupName>
      <ability>L2_HalfPunc</ability>
      <abilityName>全半角检查</abilityName>
      <candidateList>
        <item>（</item>
      </candidateList>
      <explain>文本全半角错误。</explain>
      <paraID>5A1795CB</paraID>
      <start>17</start>
      <end>18</end>
      <status>unmodified</status>
      <modifiedWord/>
      <trackRevisions>false</trackRevisions>
    </reviewItem>
    <reviewItem>
      <errorID>aee1cc83-7038-4cc8-b3f1-2d83f376eeb7</errorID>
      <errorWord>：</errorWord>
      <group>L1_Format</group>
      <groupName>格式问题</groupName>
      <ability>L2_HalfPunc</ability>
      <abilityName>全半角检查</abilityName>
      <candidateList>
        <item>:</item>
      </candidateList>
      <explain>文本全半角错误。</explain>
      <paraID>60FBCF35</paraID>
      <start>6</start>
      <end>7</end>
      <status>unmodified</status>
      <modifiedWord/>
      <trackRevisions>false</trackRevisions>
    </reviewItem>
    <reviewItem>
      <errorID>8c52fbe6-0f3d-4282-a0c5-c4052bd0baab</errorID>
      <errorWord>(</errorWord>
      <group>L1_Format</group>
      <groupName>格式问题</groupName>
      <ability>L2_HalfPunc</ability>
      <abilityName>全半角检查</abilityName>
      <candidateList>
        <item>（</item>
      </candidateList>
      <explain>文本全半角错误。</explain>
      <paraID>3749091C</paraID>
      <start>17</start>
      <end>18</end>
      <status>unmodified</status>
      <modifiedWord/>
      <trackRevisions>false</trackRevisions>
    </reviewItem>
    <reviewItem>
      <errorID>f4877207-d035-451b-b2ca-bc4249142045</errorID>
      <errorWord>：</errorWord>
      <group>L1_Format</group>
      <groupName>格式问题</groupName>
      <ability>L2_HalfPunc</ability>
      <abilityName>全半角检查</abilityName>
      <candidateList>
        <item>:</item>
      </candidateList>
      <explain>文本全半角错误。</explain>
      <paraID>158D251B</paraID>
      <start>6</start>
      <end>7</end>
      <status>unmodified</status>
      <modifiedWord/>
      <trackRevisions>false</trackRevisions>
    </reviewItem>
    <reviewItem>
      <errorID>69e9b5da-88c7-415c-b93f-9b6ad242e96b</errorID>
      <errorWord>：</errorWord>
      <group>L1_Format</group>
      <groupName>格式问题</groupName>
      <ability>L2_HalfPunc</ability>
      <abilityName>全半角检查</abilityName>
      <candidateList>
        <item>:</item>
      </candidateList>
      <explain>文本全半角错误。</explain>
      <paraID>2494CB73</paraID>
      <start>6</start>
      <end>7</end>
      <status>unmodified</status>
      <modifiedWord/>
      <trackRevisions>false</trackRevisions>
    </reviewItem>
    <reviewItem>
      <errorID>eac77ed1-fdb2-4081-8311-a68f9dfa4ac5</errorID>
      <errorWord>(</errorWord>
      <group>L1_Format</group>
      <groupName>格式问题</groupName>
      <ability>L2_HalfPunc</ability>
      <abilityName>全半角检查</abilityName>
      <candidateList>
        <item>（</item>
      </candidateList>
      <explain>文本全半角错误。</explain>
      <paraID> 6ED0EB7</paraID>
      <start>20</start>
      <end>21</end>
      <status>unmodified</status>
      <modifiedWord/>
      <trackRevisions>false</trackRevisions>
    </reviewItem>
    <reviewItem>
      <errorID>e9978d9f-520b-4c19-8ce2-b7129b5a44a4</errorID>
      <errorWord>,</errorWord>
      <group>L1_Format</group>
      <groupName>格式问题</groupName>
      <ability>L2_HalfPunc</ability>
      <abilityName>全半角检查</abilityName>
      <candidateList>
        <item>，</item>
      </candidateList>
      <explain>文本全半角错误。</explain>
      <paraID> 6ED0EB7</paraID>
      <start>29</start>
      <end>30</end>
      <status>unmodified</status>
      <modifiedWord/>
      <trackRevisions>false</trackRevisions>
    </reviewItem>
    <reviewItem>
      <errorID>a3fe4040-0c09-454e-bb3b-2944628b4ade</errorID>
      <errorWord>,</errorWord>
      <group>L1_Format</group>
      <groupName>格式问题</groupName>
      <ability>L2_HalfPunc</ability>
      <abilityName>全半角检查</abilityName>
      <candidateList>
        <item>，</item>
      </candidateList>
      <explain>文本全半角错误。</explain>
      <paraID>6DDCBDC2</paraID>
      <start>11</start>
      <end>12</end>
      <status>unmodified</status>
      <modifiedWord/>
      <trackRevisions>false</trackRevisions>
    </reviewItem>
    <reviewItem>
      <errorID>9df66184-e403-4efa-9a98-990a74d585b3</errorID>
      <errorWord>,</errorWord>
      <group>L1_Format</group>
      <groupName>格式问题</groupName>
      <ability>L2_HalfPunc</ability>
      <abilityName>全半角检查</abilityName>
      <candidateList>
        <item>，</item>
      </candidateList>
      <explain>文本全半角错误。</explain>
      <paraID> ED2EEBE</paraID>
      <start>7</start>
      <end>8</end>
      <status>unmodified</status>
      <modifiedWord/>
      <trackRevisions>false</trackRevisions>
    </reviewItem>
    <reviewItem>
      <errorID>bb7089ab-470d-48ef-b7f2-05d376c0a7bb</errorID>
      <errorWord>挂腻子</errorWord>
      <group>L1_Word</group>
      <groupName>字词问题</groupName>
      <ability>L2_Typo</ability>
      <abilityName>字词错误</abilityName>
      <candidateList>
        <item>刮腻子</item>
      </candidateList>
      <explain>存在发音相同字词的误用。</explain>
      <paraID>7225DB22</paraID>
      <start>25</start>
      <end>28</end>
      <status>unmodified</status>
      <modifiedWord/>
      <trackRevisions>false</trackRevisions>
    </reviewItem>
    <reviewItem>
      <errorID>63a1da36-f908-4126-bc77-774778b8ca6c</errorID>
      <errorWord>(</errorWord>
      <group>L1_Format</group>
      <groupName>格式问题</groupName>
      <ability>L2_HalfPunc</ability>
      <abilityName>全半角检查</abilityName>
      <candidateList>
        <item>（</item>
      </candidateList>
      <explain>文本全半角错误。</explain>
      <paraID>58E9EAF8</paraID>
      <start>10</start>
      <end>11</end>
      <status>unmodified</status>
      <modifiedWord/>
      <trackRevisions>false</trackRevisions>
    </reviewItem>
    <reviewItem>
      <errorID>0e31cdeb-d503-4f20-b7aa-419aa27e74a0</errorID>
      <errorWord>遇出</errorWord>
      <group>L1_Word</group>
      <groupName>字词问题</groupName>
      <ability>L2_Typo</ability>
      <abilityName>字词错误</abilityName>
      <candidateList>
        <item>突出</item>
      </candidateList>
      <explain>存在发音相近字词的误用。</explain>
      <paraID>5C799D4B</paraID>
      <start>15</start>
      <end>17</end>
      <status>unmodified</status>
      <modifiedWord/>
      <trackRevisions>false</trackRevisions>
    </reviewItem>
    <reviewItem>
      <errorID>afc7fbf8-7263-4218-a160-451811b0d69f</errorID>
      <errorWord>(</errorWord>
      <group>L1_Format</group>
      <groupName>格式问题</groupName>
      <ability>L2_HalfPunc</ability>
      <abilityName>全半角检查</abilityName>
      <candidateList>
        <item>（</item>
      </candidateList>
      <explain>文本全半角错误。</explain>
      <paraID>40942362</paraID>
      <start>13</start>
      <end>14</end>
      <status>unmodified</status>
      <modifiedWord/>
      <trackRevisions>false</trackRevisions>
    </reviewItem>
    <reviewItem>
      <errorID>b5b0658e-d8a0-489c-a25f-a2bf1d86b457</errorID>
      <errorWord>,</errorWord>
      <group>L1_Format</group>
      <groupName>格式问题</groupName>
      <ability>L2_HalfPunc</ability>
      <abilityName>全半角检查</abilityName>
      <candidateList>
        <item>，</item>
      </candidateList>
      <explain>文本全半角错误。</explain>
      <paraID>44955141</paraID>
      <start>39</start>
      <end>40</end>
      <status>unmodified</status>
      <modifiedWord/>
      <trackRevisions>false</trackRevisions>
    </reviewItem>
    <reviewItem>
      <errorID>6233e500-67d5-471c-95aa-bb011d4cff68</errorID>
      <errorWord>,</errorWord>
      <group>L1_Format</group>
      <groupName>格式问题</groupName>
      <ability>L2_HalfPunc</ability>
      <abilityName>全半角检查</abilityName>
      <candidateList>
        <item>，</item>
      </candidateList>
      <explain>文本全半角错误。</explain>
      <paraID>44955141</paraID>
      <start>55</start>
      <end>56</end>
      <status>unmodified</status>
      <modifiedWord/>
      <trackRevisions>false</trackRevisions>
    </reviewItem>
    <reviewItem>
      <errorID>10fa8e83-0055-4b5c-9efa-34f63c7dcefa</errorID>
      <errorWord>面层详</errorWord>
      <group>L1_Word</group>
      <groupName>字词问题</groupName>
      <ability>L2_Typo</ability>
      <abilityName>字词错误</abilityName>
      <candidateList>
        <item>面层</item>
      </candidateList>
      <explain/>
      <paraID>1AA4B27E</paraID>
      <start>2</start>
      <end>5</end>
      <status>unmodified</status>
      <modifiedWord/>
      <trackRevisions>false</trackRevisions>
    </reviewItem>
    <reviewItem>
      <errorID>e4d3a788-6c89-47ae-bf1e-181b1c502439</errorID>
      <errorWord>,</errorWord>
      <group>L1_Format</group>
      <groupName>格式问题</groupName>
      <ability>L2_HalfPunc</ability>
      <abilityName>全半角检查</abilityName>
      <candidateList>
        <item>，</item>
      </candidateList>
      <explain>文本全半角错误。</explain>
      <paraID>472E3554</paraID>
      <start>39</start>
      <end>40</end>
      <status>unmodified</status>
      <modifiedWord/>
      <trackRevisions>false</trackRevisions>
    </reviewItem>
    <reviewItem>
      <errorID>4ef6a459-4756-4f40-9d58-1b98e5fc594d</errorID>
      <errorWord>,</errorWord>
      <group>L1_Format</group>
      <groupName>格式问题</groupName>
      <ability>L2_HalfPunc</ability>
      <abilityName>全半角检查</abilityName>
      <candidateList>
        <item>，</item>
      </candidateList>
      <explain>文本全半角错误。</explain>
      <paraID>472E3554</paraID>
      <start>55</start>
      <end>56</end>
      <status>unmodified</status>
      <modifiedWord/>
      <trackRevisions>false</trackRevisions>
    </reviewItem>
    <reviewItem>
      <errorID>f93c86cc-69ca-46f1-ab80-37c0b40d4ed0</errorID>
      <errorWord>(</errorWord>
      <group>L1_Format</group>
      <groupName>格式问题</groupName>
      <ability>L2_HalfPunc</ability>
      <abilityName>全半角检查</abilityName>
      <candidateList>
        <item>（</item>
      </candidateList>
      <explain>文本全半角错误。</explain>
      <paraID>25F4E289</paraID>
      <start>14</start>
      <end>15</end>
      <status>unmodified</status>
      <modifiedWord/>
      <trackRevisions>false</trackRevisions>
    </reviewItem>
    <reviewItem>
      <errorID>20e9800b-a292-48d9-9b3e-e7b62afab5a8</errorID>
      <errorWord>(</errorWord>
      <group>L1_Format</group>
      <groupName>格式问题</groupName>
      <ability>L2_HalfPunc</ability>
      <abilityName>全半角检查</abilityName>
      <candidateList>
        <item>（</item>
      </candidateList>
      <explain>文本全半角错误。</explain>
      <paraID>1605B879</paraID>
      <start>20</start>
      <end>21</end>
      <status>unmodified</status>
      <modifiedWord/>
      <trackRevisions>false</trackRevisions>
    </reviewItem>
    <reviewItem>
      <errorID>131429d1-8293-42ff-8605-5d328a463c11</errorID>
      <errorWord>(</errorWord>
      <group>L1_Format</group>
      <groupName>格式问题</groupName>
      <ability>L2_HalfPunc</ability>
      <abilityName>全半角检查</abilityName>
      <candidateList>
        <item>（</item>
      </candidateList>
      <explain>文本全半角错误。</explain>
      <paraID>68C9F2E3</paraID>
      <start>9</start>
      <end>10</end>
      <status>unmodified</status>
      <modifiedWord/>
      <trackRevisions>false</trackRevisions>
    </reviewItem>
    <reviewItem>
      <errorID>bce00260-0e11-4c65-b4b1-fd1120fc634e</errorID>
      <errorWord>(</errorWord>
      <group>L1_Format</group>
      <groupName>格式问题</groupName>
      <ability>L2_HalfPunc</ability>
      <abilityName>全半角检查</abilityName>
      <candidateList>
        <item>（</item>
      </candidateList>
      <explain>文本全半角错误。</explain>
      <paraID>2677DAE3</paraID>
      <start>23</start>
      <end>24</end>
      <status>unmodified</status>
      <modifiedWord/>
      <trackRevisions>false</trackRevisions>
    </reviewItem>
    <reviewItem>
      <errorID>fc2d18f0-a74a-48c2-893c-5b78b1d9bdf4</errorID>
      <errorWord>,</errorWord>
      <group>L1_Format</group>
      <groupName>格式问题</groupName>
      <ability>L2_HalfPunc</ability>
      <abilityName>全半角检查</abilityName>
      <candidateList>
        <item>，</item>
      </candidateList>
      <explain>文本全半角错误。</explain>
      <paraID>2677DAE3</paraID>
      <start>45</start>
      <end>46</end>
      <status>unmodified</status>
      <modifiedWord/>
      <trackRevisions>false</trackRevisions>
    </reviewItem>
    <reviewItem>
      <errorID>b6c1c79e-dfe6-416e-ba82-fd50c9c52ff5</errorID>
      <errorWord>非机动车库</errorWord>
      <group>L1_Knowledge</group>
      <groupName>知识性问题</groupName>
      <ability>L2_Term</ability>
      <abilityName>专业术语</abilityName>
      <candidateList>
        <item>非机动车道</item>
      </candidateList>
      <explain/>
      <paraID>31B65001</paraID>
      <start>0</start>
      <end>5</end>
      <status>unmodified</status>
      <modifiedWord/>
      <trackRevisions>false</trackRevisions>
    </reviewItem>
    <reviewItem>
      <errorID>e1540da1-d77c-4565-95aa-6697140efab3</errorID>
      <errorWord>：</errorWord>
      <group>L1_Format</group>
      <groupName>格式问题</groupName>
      <ability>L2_HalfPunc</ability>
      <abilityName>全半角检查</abilityName>
      <candidateList>
        <item>:</item>
      </candidateList>
      <explain>文本全半角错误。</explain>
      <paraID> 95E35E6</paraID>
      <start>8</start>
      <end>9</end>
      <status>unmodified</status>
      <modifiedWord/>
      <trackRevisions>false</trackRevisions>
    </reviewItem>
    <reviewItem>
      <errorID>47251e05-6eeb-4523-aac3-7ac27128c30f</errorID>
      <errorWord>(</errorWord>
      <group>L1_Format</group>
      <groupName>格式问题</groupName>
      <ability>L2_HalfPunc</ability>
      <abilityName>全半角检查</abilityName>
      <candidateList>
        <item>（</item>
      </candidateList>
      <explain>文本全半角错误。</explain>
      <paraID>2223236A</paraID>
      <start>4</start>
      <end>5</end>
      <status>unmodified</status>
      <modifiedWord/>
      <trackRevisions>false</trackRevisions>
    </reviewItem>
    <reviewItem>
      <errorID>002b3039-78dd-4be0-9d7c-dc19455c5459</errorID>
      <errorWord>(</errorWord>
      <group>L1_Format</group>
      <groupName>格式问题</groupName>
      <ability>L2_HalfPunc</ability>
      <abilityName>全半角检查</abilityName>
      <candidateList>
        <item>（</item>
      </candidateList>
      <explain>文本全半角错误。</explain>
      <paraID>2C5E58A5</paraID>
      <start>20</start>
      <end>21</end>
      <status>unmodified</status>
      <modifiedWord/>
      <trackRevisions>false</trackRevisions>
    </reviewItem>
    <reviewItem>
      <errorID>b9764198-1ee1-4876-bea6-a3f39d692273</errorID>
      <errorWord>柴发</errorWord>
      <group>L1_Word</group>
      <groupName>字词问题</groupName>
      <ability>L2_Typo</ability>
      <abilityName>字词错误</abilityName>
      <candidateList>
        <item>柴火</item>
      </candidateList>
      <explain/>
      <paraID>5BB4C095</paraID>
      <start>29</start>
      <end>31</end>
      <status>unmodified</status>
      <modifiedWord/>
      <trackRevisions>false</trackRevisions>
    </reviewItem>
    <reviewItem>
      <errorID>0eb2d4c0-74a0-4086-b970-2fed37b2a98b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44AB46BA</paraID>
      <start>0</start>
      <end>2</end>
      <status>unmodified</status>
      <modifiedWord/>
      <trackRevisions>false</trackRevisions>
    </reviewItem>
    <reviewItem>
      <errorID>897e7d34-b4f6-444f-a510-fe02bcf8f819</errorID>
      <errorWord>：</errorWord>
      <group>L1_Format</group>
      <groupName>格式问题</groupName>
      <ability>L2_HalfPunc</ability>
      <abilityName>全半角检查</abilityName>
      <candidateList>
        <item>:</item>
      </candidateList>
      <explain>文本全半角错误。</explain>
      <paraID>50A45133</paraID>
      <start>6</start>
      <end>7</end>
      <status>unmodified</status>
      <modifiedWord/>
      <trackRevisions>false</trackRevisions>
    </reviewItem>
    <reviewItem>
      <errorID>c9615dc2-b561-4943-a8b4-ea6718d030d1</errorID>
      <errorWord>：</errorWord>
      <group>L1_Format</group>
      <groupName>格式问题</groupName>
      <ability>L2_HalfPunc</ability>
      <abilityName>全半角检查</abilityName>
      <candidateList>
        <item>:</item>
      </candidateList>
      <explain>文本全半角错误。</explain>
      <paraID>4ACBDF01</paraID>
      <start>10</start>
      <end>11</end>
      <status>unmodified</status>
      <modifiedWord/>
      <trackRevisions>false</trackRevisions>
    </reviewItem>
    <reviewItem>
      <errorID>16080e2c-3884-4ec4-9009-16fd806e3e40</errorID>
      <errorWord>：</errorWord>
      <group>L1_Format</group>
      <groupName>格式问题</groupName>
      <ability>L2_HalfPunc</ability>
      <abilityName>全半角检查</abilityName>
      <candidateList>
        <item>:</item>
      </candidateList>
      <explain>文本全半角错误。</explain>
      <paraID>3E52F583</paraID>
      <start>10</start>
      <end>11</end>
      <status>unmodified</status>
      <modifiedWord/>
      <trackRevisions>false</trackRevisions>
    </reviewItem>
    <reviewItem>
      <errorID>b5e45be6-0461-4b31-8f61-f4fd6481a47f</errorID>
      <errorWord>：</errorWord>
      <group>L1_Format</group>
      <groupName>格式问题</groupName>
      <ability>L2_HalfPunc</ability>
      <abilityName>全半角检查</abilityName>
      <candidateList>
        <item>:</item>
      </candidateList>
      <explain>文本全半角错误。</explain>
      <paraID>1AE0E784</paraID>
      <start>6</start>
      <end>7</end>
      <status>unmodified</status>
      <modifiedWord/>
      <trackRevisions>false</trackRevisions>
    </reviewItem>
    <reviewItem>
      <errorID>4e7a6449-fe97-47a3-8f26-750441195508</errorID>
      <errorWord>洒</errorWord>
      <group>L1_Word</group>
      <groupName>字词问题</groupName>
      <ability>L2_Typo</ability>
      <abilityName>字词错误</abilityName>
      <candidateList>
        <item>撒</item>
      </candidateList>
      <explain>存在发音相同字词的误用。</explain>
      <paraID>1AE0E784</paraID>
      <start>19</start>
      <end>20</end>
      <status>unmodified</status>
      <modifiedWord/>
      <trackRevisions>false</trackRevisions>
    </reviewItem>
    <reviewItem>
      <errorID>d96f0bbe-60b6-45f8-a720-4a40cc9b2709</errorID>
      <errorWord>：</errorWord>
      <group>L1_Format</group>
      <groupName>格式问题</groupName>
      <ability>L2_HalfPunc</ability>
      <abilityName>全半角检查</abilityName>
      <candidateList>
        <item>:</item>
      </candidateList>
      <explain>文本全半角错误。</explain>
      <paraID>411E8048</paraID>
      <start>9</start>
      <end>10</end>
      <status>unmodified</status>
      <modifiedWord/>
      <trackRevisions>false</trackRevisions>
    </reviewItem>
    <reviewItem>
      <errorID>f8b3c780-8c4e-4093-9a5f-1707c46bd821</errorID>
      <errorWord>-</errorWord>
      <group>L1_Format</group>
      <groupName>格式问题</groupName>
      <ability>L2_HalfPunc</ability>
      <abilityName>全半角检查</abilityName>
      <candidateList>
        <item>－</item>
      </candidateList>
      <explain>文本全半角错误。</explain>
      <paraID>102A90E7</paraID>
      <start>10</start>
      <end>11</end>
      <status>unmodified</status>
      <modifiedWord/>
      <trackRevisions>false</trackRevisions>
    </reviewItem>
    <reviewItem>
      <errorID>88a3f5f7-639a-4f68-b388-669d59361185</errorID>
      <errorWord>：</errorWord>
      <group>L1_Format</group>
      <groupName>格式问题</groupName>
      <ability>L2_HalfPunc</ability>
      <abilityName>全半角检查</abilityName>
      <candidateList>
        <item>:</item>
      </candidateList>
      <explain>文本全半角错误。</explain>
      <paraID>231F14F7</paraID>
      <start>6</start>
      <end>7</end>
      <status>unmodified</status>
      <modifiedWord/>
      <trackRevisions>false</trackRevisions>
    </reviewItem>
    <reviewItem>
      <errorID>ddd8dd0b-2e8a-4be5-95fb-238032b9f4fe</errorID>
      <errorWord>洒</errorWord>
      <group>L1_Word</group>
      <groupName>字词问题</groupName>
      <ability>L2_Typo</ability>
      <abilityName>字词错误</abilityName>
      <candidateList>
        <item>撒</item>
      </candidateList>
      <explain>存在发音相同字词的误用。</explain>
      <paraID>231F14F7</paraID>
      <start>19</start>
      <end>20</end>
      <status>unmodified</status>
      <modifiedWord/>
      <trackRevisions>false</trackRevisions>
    </reviewItem>
    <reviewItem>
      <errorID>3f685b4f-b951-456a-8c9e-fca3afa8c00c</errorID>
      <errorWord>：</errorWord>
      <group>L1_Format</group>
      <groupName>格式问题</groupName>
      <ability>L2_HalfPunc</ability>
      <abilityName>全半角检查</abilityName>
      <candidateList>
        <item>:</item>
      </candidateList>
      <explain>文本全半角错误。</explain>
      <paraID>7A7411E8</paraID>
      <start>9</start>
      <end>10</end>
      <status>unmodified</status>
      <modifiedWord/>
      <trackRevisions>false</trackRevisions>
    </reviewItem>
    <reviewItem>
      <errorID>fb6644d8-6ccb-4220-aaff-0477145a7812</errorID>
      <errorWord>：</errorWord>
      <group>L1_Format</group>
      <groupName>格式问题</groupName>
      <ability>L2_HalfPunc</ability>
      <abilityName>全半角检查</abilityName>
      <candidateList>
        <item>:</item>
      </candidateList>
      <explain>文本全半角错误。</explain>
      <paraID>5806D2E6</paraID>
      <start>6</start>
      <end>7</end>
      <status>unmodified</status>
      <modifiedWord/>
      <trackRevisions>false</trackRevisions>
    </reviewItem>
    <reviewItem>
      <errorID>31ffdbba-603b-4c8e-a6b3-adabf8412660</errorID>
      <errorWord>洒</errorWord>
      <group>L1_Word</group>
      <groupName>字词问题</groupName>
      <ability>L2_Typo</ability>
      <abilityName>字词错误</abilityName>
      <candidateList>
        <item>撒</item>
      </candidateList>
      <explain>存在发音相同字词的误用。</explain>
      <paraID>5806D2E6</paraID>
      <start>19</start>
      <end>20</end>
      <status>unmodified</status>
      <modifiedWord/>
      <trackRevisions>false</trackRevisions>
    </reviewItem>
    <reviewItem>
      <errorID>c9c7e789-2d10-42d2-9976-31cd7b4d7283</errorID>
      <errorWord>：</errorWord>
      <group>L1_Format</group>
      <groupName>格式问题</groupName>
      <ability>L2_HalfPunc</ability>
      <abilityName>全半角检查</abilityName>
      <candidateList>
        <item>:</item>
      </candidateList>
      <explain>文本全半角错误。</explain>
      <paraID>18D5AD01</paraID>
      <start>9</start>
      <end>10</end>
      <status>unmodified</status>
      <modifiedWord/>
      <trackRevisions>false</trackRevisions>
    </reviewItem>
    <reviewItem>
      <errorID>dd52597e-e523-416c-b1c5-c78a2d89bfba</errorID>
      <errorWord>-</errorWord>
      <group>L1_Format</group>
      <groupName>格式问题</groupName>
      <ability>L2_HalfPunc</ability>
      <abilityName>全半角检查</abilityName>
      <candidateList>
        <item>－</item>
      </candidateList>
      <explain>文本全半角错误。</explain>
      <paraID>154DD4A0</paraID>
      <start>10</start>
      <end>11</end>
      <status>unmodified</status>
      <modifiedWord/>
      <trackRevisions>false</trackRevisions>
    </reviewItem>
    <reviewItem>
      <errorID>abaa5bff-49ae-4700-bce6-cd642b3a01ce</errorID>
      <errorWord>：</errorWord>
      <group>L1_Format</group>
      <groupName>格式问题</groupName>
      <ability>L2_HalfPunc</ability>
      <abilityName>全半角检查</abilityName>
      <candidateList>
        <item>:</item>
      </candidateList>
      <explain>文本全半角错误。</explain>
      <paraID>41DB9AB5</paraID>
      <start>6</start>
      <end>7</end>
      <status>unmodified</status>
      <modifiedWord/>
      <trackRevisions>false</trackRevisions>
    </reviewItem>
    <reviewItem>
      <errorID>4804c0fd-99ca-4c0e-85bf-1b3c96a020bf</errorID>
      <errorWord>洒</errorWord>
      <group>L1_Word</group>
      <groupName>字词问题</groupName>
      <ability>L2_Typo</ability>
      <abilityName>字词错误</abilityName>
      <candidateList>
        <item>撒</item>
      </candidateList>
      <explain>存在发音相同字词的误用。</explain>
      <paraID>41DB9AB5</paraID>
      <start>19</start>
      <end>20</end>
      <status>unmodified</status>
      <modifiedWord/>
      <trackRevisions>false</trackRevisions>
    </reviewItem>
    <reviewItem>
      <errorID>ace48e4a-8ed7-4036-bad8-0f5f44ad6524</errorID>
      <errorWord>：</errorWord>
      <group>L1_Format</group>
      <groupName>格式问题</groupName>
      <ability>L2_HalfPunc</ability>
      <abilityName>全半角检查</abilityName>
      <candidateList>
        <item>:</item>
      </candidateList>
      <explain>文本全半角错误。</explain>
      <paraID>20CADD82</paraID>
      <start>9</start>
      <end>10</end>
      <status>unmodified</status>
      <modifiedWord/>
      <trackRevisions>false</trackRevisions>
    </reviewItem>
    <reviewItem>
      <errorID>fd251c59-34fe-4994-961a-1f25c8114c64</errorID>
      <errorWord>-</errorWord>
      <group>L1_Format</group>
      <groupName>格式问题</groupName>
      <ability>L2_HalfPunc</ability>
      <abilityName>全半角检查</abilityName>
      <candidateList>
        <item>－</item>
      </candidateList>
      <explain>文本全半角错误。</explain>
      <paraID>2DC66B55</paraID>
      <start>10</start>
      <end>11</end>
      <status>unmodified</status>
      <modifiedWord/>
      <trackRevisions>false</trackRevisions>
    </reviewItem>
    <reviewItem>
      <errorID>c24059a1-dfd7-485f-91ba-dd25bf29cd7b</errorID>
      <errorWord>：</errorWord>
      <group>L1_Format</group>
      <groupName>格式问题</groupName>
      <ability>L2_HalfPunc</ability>
      <abilityName>全半角检查</abilityName>
      <candidateList>
        <item>:</item>
      </candidateList>
      <explain>文本全半角错误。</explain>
      <paraID>5C810A65</paraID>
      <start>6</start>
      <end>7</end>
      <status>unmodified</status>
      <modifiedWord/>
      <trackRevisions>false</trackRevisions>
    </reviewItem>
    <reviewItem>
      <errorID>c9db5f58-9e84-4129-b5ca-2bbbea6a52bd</errorID>
      <errorWord>：</errorWord>
      <group>L1_Format</group>
      <groupName>格式问题</groupName>
      <ability>L2_HalfPunc</ability>
      <abilityName>全半角检查</abilityName>
      <candidateList>
        <item>:</item>
      </candidateList>
      <explain>文本全半角错误。</explain>
      <paraID>10CAE2E7</paraID>
      <start>9</start>
      <end>10</end>
      <status>unmodified</status>
      <modifiedWord/>
      <trackRevisions>false</trackRevisions>
    </reviewItem>
    <reviewItem>
      <errorID>ec99fe79-2d53-42f4-9dec-67060b98dbf9</errorID>
      <errorWord>-</errorWord>
      <group>L1_Format</group>
      <groupName>格式问题</groupName>
      <ability>L2_HalfPunc</ability>
      <abilityName>全半角检查</abilityName>
      <candidateList>
        <item>－</item>
      </candidateList>
      <explain>文本全半角错误。</explain>
      <paraID>169A0D65</paraID>
      <start>10</start>
      <end>11</end>
      <status>unmodified</status>
      <modifiedWord/>
      <trackRevisions>false</trackRevisions>
    </reviewItem>
    <reviewItem>
      <errorID>6b44f207-42a7-4aa2-9304-b3ee05e9a3c3</errorID>
      <errorWord>：</errorWord>
      <group>L1_Format</group>
      <groupName>格式问题</groupName>
      <ability>L2_HalfPunc</ability>
      <abilityName>全半角检查</abilityName>
      <candidateList>
        <item>:</item>
      </candidateList>
      <explain>文本全半角错误。</explain>
      <paraID>6CC08250</paraID>
      <start>9</start>
      <end>10</end>
      <status>unmodified</status>
      <modifiedWord/>
      <trackRevisions>false</trackRevisions>
    </reviewItem>
    <reviewItem>
      <errorID>bc730a48-b10f-4f86-a837-2befb475d116</errorID>
      <errorWord>：</errorWord>
      <group>L1_Format</group>
      <groupName>格式问题</groupName>
      <ability>L2_HalfPunc</ability>
      <abilityName>全半角检查</abilityName>
      <candidateList>
        <item>:</item>
      </candidateList>
      <explain>文本全半角错误。</explain>
      <paraID>6FD37DB6</paraID>
      <start>9</start>
      <end>10</end>
      <status>unmodified</status>
      <modifiedWord/>
      <trackRevisions>false</trackRevisions>
    </reviewItem>
    <reviewItem>
      <errorID>130fa492-ec8c-4f67-9990-093da1dc2784</errorID>
      <errorWord>-</errorWord>
      <group>L1_Format</group>
      <groupName>格式问题</groupName>
      <ability>L2_HalfPunc</ability>
      <abilityName>全半角检查</abilityName>
      <candidateList>
        <item>－</item>
      </candidateList>
      <explain>文本全半角错误。</explain>
      <paraID>2A89B67E</paraID>
      <start>10</start>
      <end>11</end>
      <status>unmodified</status>
      <modifiedWord/>
      <trackRevisions>false</trackRevisions>
    </reviewItem>
    <reviewItem>
      <errorID>62d552cb-065a-4d5b-a0ed-711dceff8e94</errorID>
      <errorWord>：</errorWord>
      <group>L1_Format</group>
      <groupName>格式问题</groupName>
      <ability>L2_HalfPunc</ability>
      <abilityName>全半角检查</abilityName>
      <candidateList>
        <item>:</item>
      </candidateList>
      <explain>文本全半角错误。</explain>
      <paraID>1F9964F9</paraID>
      <start>9</start>
      <end>10</end>
      <status>unmodified</status>
      <modifiedWord/>
      <trackRevisions>false</trackRevisions>
    </reviewItem>
    <reviewItem>
      <errorID>346ef4d1-cb15-4ac5-9cb6-dba41abe8393</errorID>
      <errorWord>-</errorWord>
      <group>L1_Format</group>
      <groupName>格式问题</groupName>
      <ability>L2_HalfPunc</ability>
      <abilityName>全半角检查</abilityName>
      <candidateList>
        <item>－</item>
      </candidateList>
      <explain>文本全半角错误。</explain>
      <paraID>200C2065</paraID>
      <start>10</start>
      <end>11</end>
      <status>unmodified</status>
      <modifiedWord/>
      <trackRevisions>false</trackRevisions>
    </reviewItem>
    <reviewItem>
      <errorID>4623b2d9-cc6b-4fbb-9d8b-56c07080f5fb</errorID>
      <errorWord>(</errorWord>
      <group>L1_Format</group>
      <groupName>格式问题</groupName>
      <ability>L2_HalfPunc</ability>
      <abilityName>全半角检查</abilityName>
      <candidateList>
        <item>（</item>
      </candidateList>
      <explain>文本全半角错误。</explain>
      <paraID> 6DFFAED</paraID>
      <start>4</start>
      <end>5</end>
      <status>unmodified</status>
      <modifiedWord/>
      <trackRevisions>false</trackRevisions>
    </reviewItem>
    <reviewItem>
      <errorID>13b73d2d-967b-4c30-8535-2ff589dae0e5</errorID>
      <errorWord>：</errorWord>
      <group>L1_Format</group>
      <groupName>格式问题</groupName>
      <ability>L2_HalfPunc</ability>
      <abilityName>全半角检查</abilityName>
      <candidateList>
        <item>:</item>
      </candidateList>
      <explain>文本全半角错误。</explain>
      <paraID>1FCDA2C7</paraID>
      <start>5</start>
      <end>6</end>
      <status>unmodified</status>
      <modifiedWord/>
      <trackRevisions>false</trackRevisions>
    </reviewItem>
    <reviewItem>
      <errorID>0f8eb0d0-e0cc-4664-8f08-0bdf1f30f90a</errorID>
      <errorWord>：</errorWord>
      <group>L1_Format</group>
      <groupName>格式问题</groupName>
      <ability>L2_HalfPunc</ability>
      <abilityName>全半角检查</abilityName>
      <candidateList>
        <item>:</item>
      </candidateList>
      <explain>文本全半角错误。</explain>
      <paraID>2EEA6B29</paraID>
      <start>5</start>
      <end>6</end>
      <status>unmodified</status>
      <modifiedWord/>
      <trackRevisions>false</trackRevisions>
    </reviewItem>
    <reviewItem>
      <errorID>eb984b8f-3145-4232-bbac-da0b928bd506</errorID>
      <errorWord>(</errorWord>
      <group>L1_Format</group>
      <groupName>格式问题</groupName>
      <ability>L2_HalfPunc</ability>
      <abilityName>全半角检查</abilityName>
      <candidateList>
        <item>（</item>
      </candidateList>
      <explain>文本全半角错误。</explain>
      <paraID>7FBCF148</paraID>
      <start>4</start>
      <end>5</end>
      <status>unmodified</status>
      <modifiedWord/>
      <trackRevisions>false</trackRevisions>
    </reviewItem>
    <reviewItem>
      <errorID>26fcbefe-6de6-45e6-9c05-2a825a5f29f8</errorID>
      <errorWord>：</errorWord>
      <group>L1_Format</group>
      <groupName>格式问题</groupName>
      <ability>L2_HalfPunc</ability>
      <abilityName>全半角检查</abilityName>
      <candidateList>
        <item>:</item>
      </candidateList>
      <explain>文本全半角错误。</explain>
      <paraID>10E28BE4</paraID>
      <start>5</start>
      <end>6</end>
      <status>unmodified</status>
      <modifiedWord/>
      <trackRevisions>false</trackRevisions>
    </reviewItem>
    <reviewItem>
      <errorID>86a4793f-6275-4b49-acbb-c4abe4c70d12</errorID>
      <errorWord>：</errorWord>
      <group>L1_Format</group>
      <groupName>格式问题</groupName>
      <ability>L2_HalfPunc</ability>
      <abilityName>全半角检查</abilityName>
      <candidateList>
        <item>:</item>
      </candidateList>
      <explain>文本全半角错误。</explain>
      <paraID>5E1D694A</paraID>
      <start>5</start>
      <end>6</end>
      <status>unmodified</status>
      <modifiedWord/>
      <trackRevisions>false</trackRevisions>
    </reviewItem>
    <reviewItem>
      <errorID>431a681a-8e27-420e-97d1-1feafd40306f</errorID>
      <errorWord>：</errorWord>
      <group>L1_Format</group>
      <groupName>格式问题</groupName>
      <ability>L2_HalfPunc</ability>
      <abilityName>全半角检查</abilityName>
      <candidateList>
        <item>:</item>
      </candidateList>
      <explain>文本全半角错误。</explain>
      <paraID>5614FFD4</paraID>
      <start>5</start>
      <end>6</end>
      <status>unmodified</status>
      <modifiedWord/>
      <trackRevisions>false</trackRevisions>
    </reviewItem>
    <reviewItem>
      <errorID>e1ebb124-4574-4d6c-b6bb-604b10db2bbe</errorID>
      <errorWord>：</errorWord>
      <group>L1_Format</group>
      <groupName>格式问题</groupName>
      <ability>L2_HalfPunc</ability>
      <abilityName>全半角检查</abilityName>
      <candidateList>
        <item>:</item>
      </candidateList>
      <explain>文本全半角错误。</explain>
      <paraID>7EA73ACF</paraID>
      <start>5</start>
      <end>6</end>
      <status>unmodified</status>
      <modifiedWord/>
      <trackRevisions>false</trackRevisions>
    </reviewItem>
    <reviewItem>
      <errorID>715648f5-a56d-483c-a74e-74e64186f6a0</errorID>
      <errorWord>,</errorWord>
      <group>L1_Format</group>
      <groupName>格式问题</groupName>
      <ability>L2_HalfPunc</ability>
      <abilityName>全半角检查</abilityName>
      <candidateList>
        <item>，</item>
      </candidateList>
      <explain>文本全半角错误。</explain>
      <paraID> 2516D7E</paraID>
      <start>13</start>
      <end>14</end>
      <status>unmodified</status>
      <modifiedWord/>
      <trackRevisions>false</trackRevisions>
    </reviewItem>
    <reviewItem>
      <errorID>201085d7-b7e0-40c0-8057-007cf2c34b0a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43D1487F</paraID>
      <start>0</start>
      <end>2</end>
      <status>unmodified</status>
      <modifiedWord/>
      <trackRevisions>false</trackRevisions>
    </reviewItem>
    <reviewItem>
      <errorID>3cb77fb7-13d0-4ebb-9882-e5840616e19c</errorID>
      <errorWord>：</errorWord>
      <group>L1_Format</group>
      <groupName>格式问题</groupName>
      <ability>L2_HalfPunc</ability>
      <abilityName>全半角检查</abilityName>
      <candidateList>
        <item>:</item>
      </candidateList>
      <explain>文本全半角错误。</explain>
      <paraID>7B3B6D0A</paraID>
      <start>10</start>
      <end>11</end>
      <status>unmodified</status>
      <modifiedWord/>
      <trackRevisions>false</trackRevisions>
    </reviewItem>
    <reviewItem>
      <errorID>dcdd4040-9472-40bd-ba06-bfcca7f0de7b</errorID>
      <errorWord>：</errorWord>
      <group>L1_Format</group>
      <groupName>格式问题</groupName>
      <ability>L2_HalfPunc</ability>
      <abilityName>全半角检查</abilityName>
      <candidateList>
        <item>:</item>
      </candidateList>
      <explain>文本全半角错误。</explain>
      <paraID>6CFA651E</paraID>
      <start>6</start>
      <end>7</end>
      <status>unmodified</status>
      <modifiedWord/>
      <trackRevisions>false</trackRevisions>
    </reviewItem>
    <reviewItem>
      <errorID>01483fd5-074a-4873-8900-a2011ce0ee60</errorID>
      <errorWord>洒</errorWord>
      <group>L1_Word</group>
      <groupName>字词问题</groupName>
      <ability>L2_Typo</ability>
      <abilityName>字词错误</abilityName>
      <candidateList>
        <item>撒</item>
      </candidateList>
      <explain>存在发音相同字词的误用。</explain>
      <paraID>6CFA651E</paraID>
      <start>19</start>
      <end>20</end>
      <status>unmodified</status>
      <modifiedWord/>
      <trackRevisions>false</trackRevisions>
    </reviewItem>
    <reviewItem>
      <errorID>da97d7eb-e269-4d3c-874d-6e8a7413b868</errorID>
      <errorWord>-</errorWord>
      <group>L1_Format</group>
      <groupName>格式问题</groupName>
      <ability>L2_HalfPunc</ability>
      <abilityName>全半角检查</abilityName>
      <candidateList>
        <item>－</item>
      </candidateList>
      <explain>文本全半角错误。</explain>
      <paraID>1CA15DA8</paraID>
      <start>10</start>
      <end>11</end>
      <status>unmodified</status>
      <modifiedWord/>
      <trackRevisions>false</trackRevisions>
    </reviewItem>
    <reviewItem>
      <errorID>00dd2531-f923-43f1-b2a2-4760be24d7b9</errorID>
      <errorWord>：</errorWord>
      <group>L1_Format</group>
      <groupName>格式问题</groupName>
      <ability>L2_HalfPunc</ability>
      <abilityName>全半角检查</abilityName>
      <candidateList>
        <item>:</item>
      </candidateList>
      <explain>文本全半角错误。</explain>
      <paraID>6B5392D8</paraID>
      <start>6</start>
      <end>7</end>
      <status>unmodified</status>
      <modifiedWord/>
      <trackRevisions>false</trackRevisions>
    </reviewItem>
    <reviewItem>
      <errorID>48584157-af2a-4233-b037-74bd48c1bb46</errorID>
      <errorWord>洒</errorWord>
      <group>L1_Word</group>
      <groupName>字词问题</groupName>
      <ability>L2_Typo</ability>
      <abilityName>字词错误</abilityName>
      <candidateList>
        <item>撒</item>
      </candidateList>
      <explain>存在发音相同字词的误用。</explain>
      <paraID>6B5392D8</paraID>
      <start>19</start>
      <end>20</end>
      <status>unmodified</status>
      <modifiedWord/>
      <trackRevisions>false</trackRevisions>
    </reviewItem>
    <reviewItem>
      <errorID>3ab87880-7f17-4cae-9204-50026d558a42</errorID>
      <errorWord>：</errorWord>
      <group>L1_Format</group>
      <groupName>格式问题</groupName>
      <ability>L2_HalfPunc</ability>
      <abilityName>全半角检查</abilityName>
      <candidateList>
        <item>:</item>
      </candidateList>
      <explain>文本全半角错误。</explain>
      <paraID>  3555DE</paraID>
      <start>9</start>
      <end>10</end>
      <status>unmodified</status>
      <modifiedWord/>
      <trackRevisions>false</trackRevisions>
    </reviewItem>
    <reviewItem>
      <errorID>05f91f57-bda8-4bd9-9ef7-3c7d210d198e</errorID>
      <errorWord>：</errorWord>
      <group>L1_Format</group>
      <groupName>格式问题</groupName>
      <ability>L2_HalfPunc</ability>
      <abilityName>全半角检查</abilityName>
      <candidateList>
        <item>:</item>
      </candidateList>
      <explain>文本全半角错误。</explain>
      <paraID>703AC4CB</paraID>
      <start>9</start>
      <end>10</end>
      <status>unmodified</status>
      <modifiedWord/>
      <trackRevisions>false</trackRevisions>
    </reviewItem>
    <reviewItem>
      <errorID>f94522b9-9499-4767-8b90-7e1cf3af3f5f</errorID>
      <errorWord>,</errorWord>
      <group>L1_Format</group>
      <groupName>格式问题</groupName>
      <ability>L2_HalfPunc</ability>
      <abilityName>全半角检查</abilityName>
      <candidateList>
        <item>，</item>
      </candidateList>
      <explain>文本全半角错误。</explain>
      <paraID>37011A6A</paraID>
      <start>11</start>
      <end>12</end>
      <status>unmodified</status>
      <modifiedWord/>
      <trackRevisions>false</trackRevisions>
    </reviewItem>
    <reviewItem>
      <errorID>dec8c035-3133-4983-a287-0909a0392761</errorID>
      <errorWord>-</errorWord>
      <group>L1_Format</group>
      <groupName>格式问题</groupName>
      <ability>L2_HalfPunc</ability>
      <abilityName>全半角检查</abilityName>
      <candidateList>
        <item>－</item>
      </candidateList>
      <explain>文本全半角错误。</explain>
      <paraID>1B1358A6</paraID>
      <start>10</start>
      <end>11</end>
      <status>unmodified</status>
      <modifiedWord/>
      <trackRevisions>false</trackRevisions>
    </reviewItem>
    <reviewItem>
      <errorID>693d54c8-7f43-4e21-9f5a-857724cfba90</errorID>
      <errorWord>：</errorWord>
      <group>L1_Format</group>
      <groupName>格式问题</groupName>
      <ability>L2_HalfPunc</ability>
      <abilityName>全半角检查</abilityName>
      <candidateList>
        <item>:</item>
      </candidateList>
      <explain>文本全半角错误。</explain>
      <paraID>213D92EF</paraID>
      <start>9</start>
      <end>10</end>
      <status>unmodified</status>
      <modifiedWord/>
      <trackRevisions>false</trackRevisions>
    </reviewItem>
    <reviewItem>
      <errorID>057285e7-43b4-4d07-bbe5-e33a7d41858d</errorID>
      <errorWord>(</errorWord>
      <group>L1_Format</group>
      <groupName>格式问题</groupName>
      <ability>L2_HalfPunc</ability>
      <abilityName>全半角检查</abilityName>
      <candidateList>
        <item>（</item>
      </candidateList>
      <explain>文本全半角错误。</explain>
      <paraID> 9FA0D30</paraID>
      <start>4</start>
      <end>5</end>
      <status>unmodified</status>
      <modifiedWord/>
      <trackRevisions>false</trackRevisions>
    </reviewItem>
    <reviewItem>
      <errorID>27e9569f-c339-40e2-9d58-db37da8c4908</errorID>
      <errorWord>(</errorWord>
      <group>L1_Format</group>
      <groupName>格式问题</groupName>
      <ability>L2_HalfPunc</ability>
      <abilityName>全半角检查</abilityName>
      <candidateList>
        <item>（</item>
      </candidateList>
      <explain>文本全半角错误。</explain>
      <paraID>477D745E</paraID>
      <start>4</start>
      <end>5</end>
      <status>unmodified</status>
      <modifiedWord/>
      <trackRevisions>false</trackRevisions>
    </reviewItem>
    <reviewItem>
      <errorID>e7a0029e-cf65-49a5-9875-c85271620645</errorID>
      <errorWord>,</errorWord>
      <group>L1_Format</group>
      <groupName>格式问题</groupName>
      <ability>L2_HalfPunc</ability>
      <abilityName>全半角检查</abilityName>
      <candidateList>
        <item>，</item>
      </candidateList>
      <explain>文本全半角错误。</explain>
      <paraID>29D25FD1</paraID>
      <start>13</start>
      <end>14</end>
      <status>unmodified</status>
      <modifiedWord/>
      <trackRevisions>false</trackRevisions>
    </reviewItem>
    <reviewItem>
      <errorID>685f2628-4d1e-499a-a5db-525ac4607ac8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77C04CAA</paraID>
      <start>0</start>
      <end>2</end>
      <status>unmodified</status>
      <modifiedWord/>
      <trackRevisions>false</trackRevisions>
    </reviewItem>
    <reviewItem>
      <errorID>8e848f4e-4dd9-4638-9164-c60a768d47fa</errorID>
      <errorWord>：</errorWord>
      <group>L1_Format</group>
      <groupName>格式问题</groupName>
      <ability>L2_HalfPunc</ability>
      <abilityName>全半角检查</abilityName>
      <candidateList>
        <item>:</item>
      </candidateList>
      <explain>文本全半角错误。</explain>
      <paraID>565F4A03</paraID>
      <start>6</start>
      <end>7</end>
      <status>unmodified</status>
      <modifiedWord/>
      <trackRevisions>false</trackRevisions>
    </reviewItem>
    <reviewItem>
      <errorID>dca196bb-1e44-425b-94bb-f55f069ae281</errorID>
      <errorWord>洒</errorWord>
      <group>L1_Word</group>
      <groupName>字词问题</groupName>
      <ability>L2_Typo</ability>
      <abilityName>字词错误</abilityName>
      <candidateList>
        <item>撒</item>
      </candidateList>
      <explain>存在发音相同字词的误用。</explain>
      <paraID>565F4A03</paraID>
      <start>19</start>
      <end>20</end>
      <status>unmodified</status>
      <modifiedWord/>
      <trackRevisions>false</trackRevisions>
    </reviewItem>
    <reviewItem>
      <errorID>488c2bae-e01e-455e-b863-6b54036c9376</errorID>
      <errorWord>：</errorWord>
      <group>L1_Format</group>
      <groupName>格式问题</groupName>
      <ability>L2_HalfPunc</ability>
      <abilityName>全半角检查</abilityName>
      <candidateList>
        <item>:</item>
      </candidateList>
      <explain>文本全半角错误。</explain>
      <paraID>6175B260</paraID>
      <start>6</start>
      <end>7</end>
      <status>unmodified</status>
      <modifiedWord/>
      <trackRevisions>false</trackRevisions>
    </reviewItem>
    <reviewItem>
      <errorID>035be9fc-b620-40fe-bb35-f8f41ccc8088</errorID>
      <errorWord>洒</errorWord>
      <group>L1_Word</group>
      <groupName>字词问题</groupName>
      <ability>L2_Typo</ability>
      <abilityName>字词错误</abilityName>
      <candidateList>
        <item>撒</item>
      </candidateList>
      <explain>存在发音相同字词的误用。</explain>
      <paraID>6175B260</paraID>
      <start>19</start>
      <end>20</end>
      <status>unmodified</status>
      <modifiedWord/>
      <trackRevisions>false</trackRevisions>
    </reviewItem>
    <reviewItem>
      <errorID>682d7b89-5afe-4b32-9b7d-248e2b4164d1</errorID>
      <errorWord>：</errorWord>
      <group>L1_Format</group>
      <groupName>格式问题</groupName>
      <ability>L2_HalfPunc</ability>
      <abilityName>全半角检查</abilityName>
      <candidateList>
        <item>:</item>
      </candidateList>
      <explain>文本全半角错误。</explain>
      <paraID>5C7EB268</paraID>
      <start>6</start>
      <end>7</end>
      <status>unmodified</status>
      <modifiedWord/>
      <trackRevisions>false</trackRevisions>
    </reviewItem>
    <reviewItem>
      <errorID>35b7cb75-ccaf-4675-801e-c23ad5d4f4ab</errorID>
      <errorWord>洒</errorWord>
      <group>L1_Word</group>
      <groupName>字词问题</groupName>
      <ability>L2_Typo</ability>
      <abilityName>字词错误</abilityName>
      <candidateList>
        <item>撒</item>
      </candidateList>
      <explain>存在发音相同字词的误用。</explain>
      <paraID>5C7EB268</paraID>
      <start>19</start>
      <end>20</end>
      <status>unmodified</status>
      <modifiedWord/>
      <trackRevisions>false</trackRevisions>
    </reviewItem>
    <reviewItem>
      <errorID>76a02e61-54d0-447f-983c-404477b705ee</errorID>
      <errorWord>：</errorWord>
      <group>L1_Format</group>
      <groupName>格式问题</groupName>
      <ability>L2_HalfPunc</ability>
      <abilityName>全半角检查</abilityName>
      <candidateList>
        <item>:</item>
      </candidateList>
      <explain>文本全半角错误。</explain>
      <paraID> 38F29BC</paraID>
      <start>9</start>
      <end>10</end>
      <status>unmodified</status>
      <modifiedWord/>
      <trackRevisions>false</trackRevisions>
    </reviewItem>
    <reviewItem>
      <errorID>a559552b-10db-4ad9-9c25-debda833a3e5</errorID>
      <errorWord>：</errorWord>
      <group>L1_Format</group>
      <groupName>格式问题</groupName>
      <ability>L2_HalfPunc</ability>
      <abilityName>全半角检查</abilityName>
      <candidateList>
        <item>:</item>
      </candidateList>
      <explain>文本全半角错误。</explain>
      <paraID>1D28A6C7</paraID>
      <start>9</start>
      <end>10</end>
      <status>unmodified</status>
      <modifiedWord/>
      <trackRevisions>false</trackRevisions>
    </reviewItem>
    <reviewItem>
      <errorID>b2515d0a-a563-4767-83af-9b02d144e231</errorID>
      <errorWord>：</errorWord>
      <group>L1_Format</group>
      <groupName>格式问题</groupName>
      <ability>L2_HalfPunc</ability>
      <abilityName>全半角检查</abilityName>
      <candidateList>
        <item>:</item>
      </candidateList>
      <explain>文本全半角错误。</explain>
      <paraID>5394297C</paraID>
      <start>9</start>
      <end>10</end>
      <status>unmodified</status>
      <modifiedWord/>
      <trackRevisions>false</trackRevisions>
    </reviewItem>
    <reviewItem>
      <errorID>423272d4-4f39-46bd-a616-5ef021f5e2e3</errorID>
      <errorWord>,</errorWord>
      <group>L1_Format</group>
      <groupName>格式问题</groupName>
      <ability>L2_HalfPunc</ability>
      <abilityName>全半角检查</abilityName>
      <candidateList>
        <item>，</item>
      </candidateList>
      <explain>文本全半角错误。</explain>
      <paraID>124ED992</paraID>
      <start>11</start>
      <end>12</end>
      <status>unmodified</status>
      <modifiedWord/>
      <trackRevisions>false</trackRevisions>
    </reviewItem>
    <reviewItem>
      <errorID>9bb6e1c6-ec3e-4144-aa2a-1a49587f5301</errorID>
      <errorWord>：</errorWord>
      <group>L1_Format</group>
      <groupName>格式问题</groupName>
      <ability>L2_HalfPunc</ability>
      <abilityName>全半角检查</abilityName>
      <candidateList>
        <item>:</item>
      </candidateList>
      <explain>文本全半角错误。</explain>
      <paraID>14FECC27</paraID>
      <start>9</start>
      <end>10</end>
      <status>unmodified</status>
      <modifiedWord/>
      <trackRevisions>false</trackRevisions>
    </reviewItem>
    <reviewItem>
      <errorID>6cd9c1f4-8fbd-4118-9d68-e3fe251b6937</errorID>
      <errorWord>(</errorWord>
      <group>L1_Format</group>
      <groupName>格式问题</groupName>
      <ability>L2_HalfPunc</ability>
      <abilityName>全半角检查</abilityName>
      <candidateList>
        <item>（</item>
      </candidateList>
      <explain>文本全半角错误。</explain>
      <paraID> C1AC332</paraID>
      <start>4</start>
      <end>5</end>
      <status>unmodified</status>
      <modifiedWord/>
      <trackRevisions>false</trackRevisions>
    </reviewItem>
    <reviewItem>
      <errorID>c4befe47-c1ee-4f9a-9507-4d412844d59c</errorID>
      <errorWord>、、</errorWord>
      <group>L1_Punc</group>
      <groupName>标点问题</groupName>
      <ability>L2_Punc</ability>
      <abilityName>标点符号检查</abilityName>
      <candidateList>
        <item>、</item>
      </candidateList>
      <explain/>
      <paraID>3BFABAB1</paraID>
      <start>7</start>
      <end>9</end>
      <status>unmodified</status>
      <modifiedWord/>
      <trackRevisions>false</trackRevisions>
    </reviewItem>
    <reviewItem>
      <errorID>6987397a-941b-4ecf-90c9-f0f2efca7156</errorID>
      <errorWord>(</errorWord>
      <group>L1_Format</group>
      <groupName>格式问题</groupName>
      <ability>L2_HalfPunc</ability>
      <abilityName>全半角检查</abilityName>
      <candidateList>
        <item>（</item>
      </candidateList>
      <explain>文本全半角错误。</explain>
      <paraID>1CD8EB53</paraID>
      <start>4</start>
      <end>5</end>
      <status>unmodified</status>
      <modifiedWord/>
      <trackRevisions>false</trackRevisions>
    </reviewItem>
    <reviewItem>
      <errorID>996683a1-034b-4398-8716-f103ff609c26</errorID>
      <errorWord>：</errorWord>
      <group>L1_Format</group>
      <groupName>格式问题</groupName>
      <ability>L2_HalfPunc</ability>
      <abilityName>全半角检查</abilityName>
      <candidateList>
        <item>:</item>
      </candidateList>
      <explain>文本全半角错误。</explain>
      <paraID>7A86EE69</paraID>
      <start>5</start>
      <end>6</end>
      <status>unmodified</status>
      <modifiedWord/>
      <trackRevisions>false</trackRevisions>
    </reviewItem>
    <reviewItem>
      <errorID>d1afd345-6833-407f-950f-9221b8f628db</errorID>
      <errorWord>：</errorWord>
      <group>L1_Format</group>
      <groupName>格式问题</groupName>
      <ability>L2_HalfPunc</ability>
      <abilityName>全半角检查</abilityName>
      <candidateList>
        <item>:</item>
      </candidateList>
      <explain>文本全半角错误。</explain>
      <paraID>25752E9A</paraID>
      <start>5</start>
      <end>6</end>
      <status>unmodified</status>
      <modifiedWord/>
      <trackRevisions>false</trackRevisions>
    </reviewItem>
    <reviewItem>
      <errorID>43ba4fbc-8251-470b-810d-d60fdbfa61ed</errorID>
      <errorWord>(</errorWord>
      <group>L1_Format</group>
      <groupName>格式问题</groupName>
      <ability>L2_HalfPunc</ability>
      <abilityName>全半角检查</abilityName>
      <candidateList>
        <item>（</item>
      </candidateList>
      <explain>文本全半角错误。</explain>
      <paraID>569BBFB4</paraID>
      <start>4</start>
      <end>5</end>
      <status>unmodified</status>
      <modifiedWord/>
      <trackRevisions>false</trackRevisions>
    </reviewItem>
    <reviewItem>
      <errorID>2a068760-a6bb-4610-91d9-48219e36fb22</errorID>
      <errorWord>(</errorWord>
      <group>L1_Format</group>
      <groupName>格式问题</groupName>
      <ability>L2_HalfPunc</ability>
      <abilityName>全半角检查</abilityName>
      <candidateList>
        <item>（</item>
      </candidateList>
      <explain>文本全半角错误。</explain>
      <paraID>1C257F92</paraID>
      <start>12</start>
      <end>13</end>
      <status>unmodified</status>
      <modifiedWord/>
      <trackRevisions>false</trackRevisions>
    </reviewItem>
    <reviewItem>
      <errorID>37529dea-0026-4416-b7b8-c6c3c61256bf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2B538DBF</paraID>
      <start>0</start>
      <end>2</end>
      <status>unmodified</status>
      <modifiedWord/>
      <trackRevisions>false</trackRevisions>
    </reviewItem>
    <reviewItem>
      <errorID>eb8cd66d-dd35-4d01-ba14-98285ba014e2</errorID>
      <errorWord>：</errorWord>
      <group>L1_Format</group>
      <groupName>格式问题</groupName>
      <ability>L2_HalfPunc</ability>
      <abilityName>全半角检查</abilityName>
      <candidateList>
        <item>:</item>
      </candidateList>
      <explain>文本全半角错误。</explain>
      <paraID>3859F052</paraID>
      <start>6</start>
      <end>7</end>
      <status>unmodified</status>
      <modifiedWord/>
      <trackRevisions>false</trackRevisions>
    </reviewItem>
    <reviewItem>
      <errorID>45169503-0f84-43e8-8227-4e12ba20c747</errorID>
      <errorWord>洒</errorWord>
      <group>L1_Word</group>
      <groupName>字词问题</groupName>
      <ability>L2_Typo</ability>
      <abilityName>字词错误</abilityName>
      <candidateList>
        <item>撒</item>
      </candidateList>
      <explain>存在发音相同字词的误用。</explain>
      <paraID>3859F052</paraID>
      <start>19</start>
      <end>20</end>
      <status>unmodified</status>
      <modifiedWord/>
      <trackRevisions>false</trackRevisions>
    </reviewItem>
    <reviewItem>
      <errorID>4da7f85c-b403-4bad-9dd9-e25289b56fe2</errorID>
      <errorWord>：</errorWord>
      <group>L1_Format</group>
      <groupName>格式问题</groupName>
      <ability>L2_HalfPunc</ability>
      <abilityName>全半角检查</abilityName>
      <candidateList>
        <item>:</item>
      </candidateList>
      <explain>文本全半角错误。</explain>
      <paraID>6D6538BA</paraID>
      <start>9</start>
      <end>10</end>
      <status>unmodified</status>
      <modifiedWord/>
      <trackRevisions>false</trackRevisions>
    </reviewItem>
    <reviewItem>
      <errorID>06513744-2296-41a2-a48e-851e8f0aca20</errorID>
      <errorWord>：</errorWord>
      <group>L1_Format</group>
      <groupName>格式问题</groupName>
      <ability>L2_HalfPunc</ability>
      <abilityName>全半角检查</abilityName>
      <candidateList>
        <item>:</item>
      </candidateList>
      <explain>文本全半角错误。</explain>
      <paraID> 61742AF</paraID>
      <start>6</start>
      <end>7</end>
      <status>unmodified</status>
      <modifiedWord/>
      <trackRevisions>false</trackRevisions>
    </reviewItem>
    <reviewItem>
      <errorID>9b95cdb5-a64d-4565-8472-221210994a70</errorID>
      <errorWord>洒</errorWord>
      <group>L1_Word</group>
      <groupName>字词问题</groupName>
      <ability>L2_Typo</ability>
      <abilityName>字词错误</abilityName>
      <candidateList>
        <item>撒</item>
      </candidateList>
      <explain>存在发音相同字词的误用。</explain>
      <paraID> 61742AF</paraID>
      <start>19</start>
      <end>20</end>
      <status>unmodified</status>
      <modifiedWord/>
      <trackRevisions>false</trackRevisions>
    </reviewItem>
    <reviewItem>
      <errorID>bb7524e1-7679-4f9f-86e8-55e41ffe66a2</errorID>
      <errorWord>：</errorWord>
      <group>L1_Format</group>
      <groupName>格式问题</groupName>
      <ability>L2_HalfPunc</ability>
      <abilityName>全半角检查</abilityName>
      <candidateList>
        <item>:</item>
      </candidateList>
      <explain>文本全半角错误。</explain>
      <paraID>57CC9DE8</paraID>
      <start>6</start>
      <end>7</end>
      <status>unmodified</status>
      <modifiedWord/>
      <trackRevisions>false</trackRevisions>
    </reviewItem>
    <reviewItem>
      <errorID>3cea75dd-111a-42bc-8a4b-ec320ce15eb3</errorID>
      <errorWord>洒</errorWord>
      <group>L1_Word</group>
      <groupName>字词问题</groupName>
      <ability>L2_Typo</ability>
      <abilityName>字词错误</abilityName>
      <candidateList>
        <item>撒</item>
      </candidateList>
      <explain>存在发音相同字词的误用。</explain>
      <paraID>57CC9DE8</paraID>
      <start>19</start>
      <end>20</end>
      <status>unmodified</status>
      <modifiedWord/>
      <trackRevisions>false</trackRevisions>
    </reviewItem>
    <reviewItem>
      <errorID>9c830845-5c5e-4ddf-a2cc-2ef4caacd49a</errorID>
      <errorWord>：</errorWord>
      <group>L1_Format</group>
      <groupName>格式问题</groupName>
      <ability>L2_HalfPunc</ability>
      <abilityName>全半角检查</abilityName>
      <candidateList>
        <item>:</item>
      </candidateList>
      <explain>文本全半角错误。</explain>
      <paraID>5FD2A4B9</paraID>
      <start>9</start>
      <end>10</end>
      <status>unmodified</status>
      <modifiedWord/>
      <trackRevisions>false</trackRevisions>
    </reviewItem>
    <reviewItem>
      <errorID>68763677-b844-4370-a3d0-1de0eae5369d</errorID>
      <errorWord>：</errorWord>
      <group>L1_Format</group>
      <groupName>格式问题</groupName>
      <ability>L2_HalfPunc</ability>
      <abilityName>全半角检查</abilityName>
      <candidateList>
        <item>:</item>
      </candidateList>
      <explain>文本全半角错误。</explain>
      <paraID>66ECB214</paraID>
      <start>9</start>
      <end>10</end>
      <status>unmodified</status>
      <modifiedWord/>
      <trackRevisions>false</trackRevisions>
    </reviewItem>
    <reviewItem>
      <errorID>5ec54167-ce1a-4634-9e9e-8fa14c25fcd1</errorID>
      <errorWord>：</errorWord>
      <group>L1_Format</group>
      <groupName>格式问题</groupName>
      <ability>L2_HalfPunc</ability>
      <abilityName>全半角检查</abilityName>
      <candidateList>
        <item>:</item>
      </candidateList>
      <explain>文本全半角错误。</explain>
      <paraID>7F2D16C3</paraID>
      <start>9</start>
      <end>10</end>
      <status>unmodified</status>
      <modifiedWord/>
      <trackRevisions>false</trackRevisions>
    </reviewItem>
    <reviewItem>
      <errorID>98fb3a8a-39eb-46aa-b7e0-6e3618257f32</errorID>
      <errorWord>,</errorWord>
      <group>L1_Format</group>
      <groupName>格式问题</groupName>
      <ability>L2_HalfPunc</ability>
      <abilityName>全半角检查</abilityName>
      <candidateList>
        <item>，</item>
      </candidateList>
      <explain>文本全半角错误。</explain>
      <paraID>3CCD715D</paraID>
      <start>11</start>
      <end>12</end>
      <status>unmodified</status>
      <modifiedWord/>
      <trackRevisions>false</trackRevisions>
    </reviewItem>
    <reviewItem>
      <errorID>7800e0e9-773d-4d09-ab6e-f14e2dec9de4</errorID>
      <errorWord>：</errorWord>
      <group>L1_Format</group>
      <groupName>格式问题</groupName>
      <ability>L2_HalfPunc</ability>
      <abilityName>全半角检查</abilityName>
      <candidateList>
        <item>:</item>
      </candidateList>
      <explain>文本全半角错误。</explain>
      <paraID> 7B7EF4D</paraID>
      <start>9</start>
      <end>10</end>
      <status>unmodified</status>
      <modifiedWord/>
      <trackRevisions>false</trackRevisions>
    </reviewItem>
    <reviewItem>
      <errorID>fc52cf9a-b3aa-4b5d-bce5-097e19e2ff5f</errorID>
      <errorWord>(</errorWord>
      <group>L1_Format</group>
      <groupName>格式问题</groupName>
      <ability>L2_HalfPunc</ability>
      <abilityName>全半角检查</abilityName>
      <candidateList>
        <item>（</item>
      </candidateList>
      <explain>文本全半角错误。</explain>
      <paraID>35E45D65</paraID>
      <start>4</start>
      <end>5</end>
      <status>unmodified</status>
      <modifiedWord/>
      <trackRevisions>false</trackRevisions>
    </reviewItem>
    <reviewItem>
      <errorID>8188a206-7938-4974-8d99-52b9d07e36df</errorID>
      <errorWord>(</errorWord>
      <group>L1_Format</group>
      <groupName>格式问题</groupName>
      <ability>L2_HalfPunc</ability>
      <abilityName>全半角检查</abilityName>
      <candidateList>
        <item>（</item>
      </candidateList>
      <explain>文本全半角错误。</explain>
      <paraID>7B4E4F01</paraID>
      <start>4</start>
      <end>5</end>
      <status>unmodified</status>
      <modifiedWord/>
      <trackRevisions>false</trackRevisions>
    </reviewItem>
    <reviewItem>
      <errorID>473652d8-1da0-498d-95cb-98340a83ccd6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2556E0FB</paraID>
      <start>0</start>
      <end>2</end>
      <status>unmodified</status>
      <modifiedWord/>
      <trackRevisions>false</trackRevisions>
    </reviewItem>
    <reviewItem>
      <errorID>7e6e1312-f276-4293-8d74-0a46da1ffb94</errorID>
      <errorWord>区</errorWord>
      <group>L1_Word</group>
      <groupName>字词问题</groupName>
      <ability>L2_Typo</ability>
      <abilityName>字词错误</abilityName>
      <candidateList>
        <item>区域</item>
      </candidateList>
      <explain/>
      <paraID>7BFE3030</paraID>
      <start>45</start>
      <end>46</end>
      <status>unmodified</status>
      <modifiedWord/>
      <trackRevisions>false</trackRevisions>
    </reviewItem>
    <reviewItem>
      <errorID>8f7398c1-73cd-49ce-b624-2d537d9d7512</errorID>
      <errorWord>：</errorWord>
      <group>L1_Format</group>
      <groupName>格式问题</groupName>
      <ability>L2_HalfPunc</ability>
      <abilityName>全半角检查</abilityName>
      <candidateList>
        <item>:</item>
      </candidateList>
      <explain>文本全半角错误。</explain>
      <paraID>33059C26</paraID>
      <start>10</start>
      <end>11</end>
      <status>unmodified</status>
      <modifiedWord/>
      <trackRevisions>false</trackRevisions>
    </reviewItem>
    <reviewItem>
      <errorID>ebee1eee-4484-4e0c-8fd1-8eddffa523a7</errorID>
      <errorWord>：</errorWord>
      <group>L1_Format</group>
      <groupName>格式问题</groupName>
      <ability>L2_HalfPunc</ability>
      <abilityName>全半角检查</abilityName>
      <candidateList>
        <item>:</item>
      </candidateList>
      <explain>文本全半角错误。</explain>
      <paraID>5EEBF6E6</paraID>
      <start>6</start>
      <end>7</end>
      <status>unmodified</status>
      <modifiedWord/>
      <trackRevisions>false</trackRevisions>
    </reviewItem>
    <reviewItem>
      <errorID>681098cd-2343-4aab-a3a1-36427844c528</errorID>
      <errorWord>洒</errorWord>
      <group>L1_Word</group>
      <groupName>字词问题</groupName>
      <ability>L2_Typo</ability>
      <abilityName>字词错误</abilityName>
      <candidateList>
        <item>撒</item>
      </candidateList>
      <explain>存在发音相同字词的误用。</explain>
      <paraID>5EEBF6E6</paraID>
      <start>19</start>
      <end>20</end>
      <status>unmodified</status>
      <modifiedWord/>
      <trackRevisions>false</trackRevisions>
    </reviewItem>
    <reviewItem>
      <errorID>6c3fe718-bd6c-49c7-860a-95cc8fd9d2e6</errorID>
      <errorWord>：</errorWord>
      <group>L1_Format</group>
      <groupName>格式问题</groupName>
      <ability>L2_HalfPunc</ability>
      <abilityName>全半角检查</abilityName>
      <candidateList>
        <item>:</item>
      </candidateList>
      <explain>文本全半角错误。</explain>
      <paraID>71F519A2</paraID>
      <start>6</start>
      <end>7</end>
      <status>unmodified</status>
      <modifiedWord/>
      <trackRevisions>false</trackRevisions>
    </reviewItem>
    <reviewItem>
      <errorID>1de39902-efc8-420c-b1a8-2886e08463da</errorID>
      <errorWord>洒</errorWord>
      <group>L1_Word</group>
      <groupName>字词问题</groupName>
      <ability>L2_Typo</ability>
      <abilityName>字词错误</abilityName>
      <candidateList>
        <item>撒</item>
      </candidateList>
      <explain>存在发音相同字词的误用。</explain>
      <paraID>71F519A2</paraID>
      <start>19</start>
      <end>20</end>
      <status>unmodified</status>
      <modifiedWord/>
      <trackRevisions>false</trackRevisions>
    </reviewItem>
    <reviewItem>
      <errorID>b596bbc0-1ec8-4e3b-90a1-30bd7b74bf01</errorID>
      <errorWord>：</errorWord>
      <group>L1_Format</group>
      <groupName>格式问题</groupName>
      <ability>L2_HalfPunc</ability>
      <abilityName>全半角检查</abilityName>
      <candidateList>
        <item>:</item>
      </candidateList>
      <explain>文本全半角错误。</explain>
      <paraID>62E54AF8</paraID>
      <start>9</start>
      <end>10</end>
      <status>unmodified</status>
      <modifiedWord/>
      <trackRevisions>false</trackRevisions>
    </reviewItem>
    <reviewItem>
      <errorID>86524d12-5bd2-436f-b88d-a5c246fa38bb</errorID>
      <errorWord>-</errorWord>
      <group>L1_Format</group>
      <groupName>格式问题</groupName>
      <ability>L2_HalfPunc</ability>
      <abilityName>全半角检查</abilityName>
      <candidateList>
        <item>－</item>
      </candidateList>
      <explain>文本全半角错误。</explain>
      <paraID> 787DDBC</paraID>
      <start>10</start>
      <end>11</end>
      <status>unmodified</status>
      <modifiedWord/>
      <trackRevisions>false</trackRevisions>
    </reviewItem>
    <reviewItem>
      <errorID>68e1e49e-2c3f-49d7-81fc-4f79c195d483</errorID>
      <errorWord>污衣处理</errorWord>
      <group>L1_Knowledge</group>
      <groupName>知识性问题</groupName>
      <ability>L2_Term</ability>
      <abilityName>专业术语</abilityName>
      <candidateList>
        <item>污水处理</item>
      </candidateList>
      <explain/>
      <paraID> 25217FE</paraID>
      <start>23</start>
      <end>27</end>
      <status>unmodified</status>
      <modifiedWord/>
      <trackRevisions>false</trackRevisions>
    </reviewItem>
    <reviewItem>
      <errorID>994f4497-6c1b-4140-aced-6938e6ccfc69</errorID>
      <errorWord>：</errorWord>
      <group>L1_Format</group>
      <groupName>格式问题</groupName>
      <ability>L2_HalfPunc</ability>
      <abilityName>全半角检查</abilityName>
      <candidateList>
        <item>:</item>
      </candidateList>
      <explain>文本全半角错误。</explain>
      <paraID>2920AE3C</paraID>
      <start>9</start>
      <end>10</end>
      <status>unmodified</status>
      <modifiedWord/>
      <trackRevisions>false</trackRevisions>
    </reviewItem>
    <reviewItem>
      <errorID>9e94d0d0-6e2d-46cd-80f0-9e0ce169c0d3</errorID>
      <errorWord>,</errorWord>
      <group>L1_Format</group>
      <groupName>格式问题</groupName>
      <ability>L2_HalfPunc</ability>
      <abilityName>全半角检查</abilityName>
      <candidateList>
        <item>，</item>
      </candidateList>
      <explain>文本全半角错误。</explain>
      <paraID> BDB0D49</paraID>
      <start>11</start>
      <end>12</end>
      <status>unmodified</status>
      <modifiedWord/>
      <trackRevisions>false</trackRevisions>
    </reviewItem>
    <reviewItem>
      <errorID>0bb6571f-dfc2-4fdc-9373-b7585fe82434</errorID>
      <errorWord>(</errorWord>
      <group>L1_Format</group>
      <groupName>格式问题</groupName>
      <ability>L2_HalfPunc</ability>
      <abilityName>全半角检查</abilityName>
      <candidateList>
        <item>（</item>
      </candidateList>
      <explain>文本全半角错误。</explain>
      <paraID>549BCCC7</paraID>
      <start>21</start>
      <end>22</end>
      <status>unmodified</status>
      <modifiedWord/>
      <trackRevisions>false</trackRevisions>
    </reviewItem>
    <reviewItem>
      <errorID>0676ee81-faa6-42d5-b13a-d78c4b15b04e</errorID>
      <errorWord>、）</errorWord>
      <group>L1_Punc</group>
      <groupName>标点问题</groupName>
      <ability>L2_Punc</ability>
      <abilityName>标点符号检查</abilityName>
      <candidateList>
        <item>）</item>
      </candidateList>
      <explain/>
      <paraID>6129D572</paraID>
      <start>21</start>
      <end>23</end>
      <status>unmodified</status>
      <modifiedWord/>
      <trackRevisions>false</trackRevisions>
    </reviewItem>
    <reviewItem>
      <errorID>53ba7193-e3d8-44f3-ba5a-9194230233d7</errorID>
      <errorWord>中心供应</errorWord>
      <group>L1_Knowledge</group>
      <groupName>知识性问题</groupName>
      <ability>L2_Term</ability>
      <abilityName>专业术语</abilityName>
      <candidateList>
        <item>中心供氧</item>
      </candidateList>
      <explain/>
      <paraID>6129D572</paraID>
      <start>58</start>
      <end>62</end>
      <status>unmodified</status>
      <modifiedWord/>
      <trackRevisions>false</trackRevisions>
    </reviewItem>
    <reviewItem>
      <errorID>b5d1491d-80e7-4977-ae9a-bd74ba264db7</errorID>
      <errorWord>其它</errorWord>
      <group>L1_Word</group>
      <groupName>字词问题</groupName>
      <ability>L2_Alias</ability>
      <abilityName>也作/曾用词</abilityName>
      <candidateList>
        <item>其他</item>
      </candidateList>
      <explain>词汇[其它]为不规范表述或旧称，其规范书面表述为[其他]。</explain>
      <paraID>6129D572</paraID>
      <start>116</start>
      <end>118</end>
      <status>unmodified</status>
      <modifiedWord/>
      <trackRevisions>false</trackRevisions>
    </reviewItem>
    <reviewItem>
      <errorID>81c9bfa3-475d-4cac-aca5-92b93e396bc2</errorID>
      <errorWord>中心供应</errorWord>
      <group>L1_Knowledge</group>
      <groupName>知识性问题</groupName>
      <ability>L2_Term</ability>
      <abilityName>专业术语</abilityName>
      <candidateList>
        <item>中心供氧</item>
      </candidateList>
      <explain/>
      <paraID> 40A2CDE</paraID>
      <start>14</start>
      <end>18</end>
      <status>unmodified</status>
      <modifiedWord/>
      <trackRevisions>false</trackRevisions>
    </reviewItem>
    <reviewItem>
      <errorID>9397fa67-d28e-43e5-972f-d51d7aea526b</errorID>
      <errorWord>：</errorWord>
      <group>L1_Format</group>
      <groupName>格式问题</groupName>
      <ability>L2_HalfPunc</ability>
      <abilityName>全半角检查</abilityName>
      <candidateList>
        <item>:</item>
      </candidateList>
      <explain>文本全半角错误。</explain>
      <paraID>34670E99</paraID>
      <start>9</start>
      <end>10</end>
      <status>unmodified</status>
      <modifiedWord/>
      <trackRevisions>false</trackRevisions>
    </reviewItem>
    <reviewItem>
      <errorID>2c9cd1dc-70b2-430d-bbce-2218d6481452</errorID>
      <errorWord>混凝土楼板</errorWord>
      <group>L1_Knowledge</group>
      <groupName>知识性问题</groupName>
      <ability>L2_Term</ability>
      <abilityName>专业术语</abilityName>
      <candidateList>
        <item>混凝土模板</item>
      </candidateList>
      <explain/>
      <paraID>7011EA7E</paraID>
      <start>4</start>
      <end>9</end>
      <status>unmodified</status>
      <modifiedWord/>
      <trackRevisions>false</trackRevisions>
    </reviewItem>
    <reviewItem>
      <errorID>b8c9a012-8ed7-4168-b39e-872625d6815a</errorID>
      <errorWord>：</errorWord>
      <group>L1_Format</group>
      <groupName>格式问题</groupName>
      <ability>L2_HalfPunc</ability>
      <abilityName>全半角检查</abilityName>
      <candidateList>
        <item>:</item>
      </candidateList>
      <explain>文本全半角错误。</explain>
      <paraID>13618ED4</paraID>
      <start>9</start>
      <end>10</end>
      <status>unmodified</status>
      <modifiedWord/>
      <trackRevisions>false</trackRevisions>
    </reviewItem>
    <reviewItem>
      <errorID>8543819c-5d42-4186-8f7c-0edccf53a690</errorID>
      <errorWord>,</errorWord>
      <group>L1_Format</group>
      <groupName>格式问题</groupName>
      <ability>L2_HalfPunc</ability>
      <abilityName>全半角检查</abilityName>
      <candidateList>
        <item>，</item>
      </candidateList>
      <explain>文本全半角错误。</explain>
      <paraID>350608A9</paraID>
      <start>11</start>
      <end>12</end>
      <status>unmodified</status>
      <modifiedWord/>
      <trackRevisions>false</trackRevisions>
    </reviewItem>
    <reviewItem>
      <errorID>9ded8a41-ccf6-4414-99aa-80833e3d46ec</errorID>
      <errorWord>-</errorWord>
      <group>L1_Format</group>
      <groupName>格式问题</groupName>
      <ability>L2_HalfPunc</ability>
      <abilityName>全半角检查</abilityName>
      <candidateList>
        <item>－</item>
      </candidateList>
      <explain>文本全半角错误。</explain>
      <paraID>475E89D9</paraID>
      <start>10</start>
      <end>11</end>
      <status>unmodified</status>
      <modifiedWord/>
      <trackRevisions>false</trackRevisions>
    </reviewItem>
    <reviewItem>
      <errorID>8fb41567-5205-4501-9b1c-13db67e21e87</errorID>
      <errorWord>：</errorWord>
      <group>L1_Format</group>
      <groupName>格式问题</groupName>
      <ability>L2_HalfPunc</ability>
      <abilityName>全半角检查</abilityName>
      <candidateList>
        <item>:</item>
      </candidateList>
      <explain>文本全半角错误。</explain>
      <paraID>54A24EB7</paraID>
      <start>9</start>
      <end>10</end>
      <status>unmodified</status>
      <modifiedWord/>
      <trackRevisions>false</trackRevisions>
    </reviewItem>
    <reviewItem>
      <errorID>704fa5b2-a84f-492d-898a-202702febc81</errorID>
      <errorWord>(</errorWord>
      <group>L1_Format</group>
      <groupName>格式问题</groupName>
      <ability>L2_HalfPunc</ability>
      <abilityName>全半角检查</abilityName>
      <candidateList>
        <item>（</item>
      </candidateList>
      <explain>文本全半角错误。</explain>
      <paraID>33D0015A</paraID>
      <start>4</start>
      <end>5</end>
      <status>unmodified</status>
      <modifiedWord/>
      <trackRevisions>false</trackRevisions>
    </reviewItem>
    <reviewItem>
      <errorID>318a7e56-e52f-4ce8-b053-2bf8ff6383ca</errorID>
      <errorWord>-</errorWord>
      <group>L1_Format</group>
      <groupName>格式问题</groupName>
      <ability>L2_HalfPunc</ability>
      <abilityName>全半角检查</abilityName>
      <candidateList>
        <item>－</item>
      </candidateList>
      <explain>文本全半角错误。</explain>
      <paraID>7259087B</paraID>
      <start>9</start>
      <end>10</end>
      <status>unmodified</status>
      <modifiedWord/>
      <trackRevisions>false</trackRevisions>
    </reviewItem>
    <reviewItem>
      <errorID>f522493e-6a74-4d4b-9a21-a4dba3baed8a</errorID>
      <errorWord>(</errorWord>
      <group>L1_Format</group>
      <groupName>格式问题</groupName>
      <ability>L2_HalfPunc</ability>
      <abilityName>全半角检查</abilityName>
      <candidateList>
        <item>（</item>
      </candidateList>
      <explain>文本全半角错误。</explain>
      <paraID>5251C3ED</paraID>
      <start>27</start>
      <end>28</end>
      <status>unmodified</status>
      <modifiedWord/>
      <trackRevisions>false</trackRevisions>
    </reviewItem>
    <reviewItem>
      <errorID>28aa8721-0820-406d-985f-81797540fdf8</errorID>
      <errorWord>(</errorWord>
      <group>L1_Format</group>
      <groupName>格式问题</groupName>
      <ability>L2_HalfPunc</ability>
      <abilityName>全半角检查</abilityName>
      <candidateList>
        <item>（</item>
      </candidateList>
      <explain>文本全半角错误。</explain>
      <paraID>25D63264</paraID>
      <start>38</start>
      <end>39</end>
      <status>unmodified</status>
      <modifiedWord/>
      <trackRevisions>false</trackRevisions>
    </reviewItem>
    <reviewItem>
      <errorID>5d7ff171-5efe-46e4-b1aa-b3eaaa3b3e3c</errorID>
      <errorWord>(</errorWord>
      <group>L1_Format</group>
      <groupName>格式问题</groupName>
      <ability>L2_HalfPunc</ability>
      <abilityName>全半角检查</abilityName>
      <candidateList>
        <item>（</item>
      </candidateList>
      <explain>文本全半角错误。</explain>
      <paraID>2557F142</paraID>
      <start>58</start>
      <end>59</end>
      <status>unmodified</status>
      <modifiedWord/>
      <trackRevisions>false</trackRevisions>
    </reviewItem>
    <reviewItem>
      <errorID>2fbce189-9a33-44c8-bc1a-7845b1a83c94</errorID>
      <errorWord>(</errorWord>
      <group>L1_Format</group>
      <groupName>格式问题</groupName>
      <ability>L2_HalfPunc</ability>
      <abilityName>全半角检查</abilityName>
      <candidateList>
        <item>（</item>
      </candidateList>
      <explain>文本全半角错误。</explain>
      <paraID>39CF3D08</paraID>
      <start>6</start>
      <end>7</end>
      <status>unmodified</status>
      <modifiedWord/>
      <trackRevisions>false</trackRevisions>
    </reviewItem>
    <reviewItem>
      <errorID>85dd8e39-b9ac-4d1a-ac8e-21a819de4a57</errorID>
      <errorWord>(</errorWord>
      <group>L1_Format</group>
      <groupName>格式问题</groupName>
      <ability>L2_HalfPunc</ability>
      <abilityName>全半角检查</abilityName>
      <candidateList>
        <item>（</item>
      </candidateList>
      <explain>文本全半角错误。</explain>
      <paraID>39CF3D08</paraID>
      <start>15</start>
      <end>16</end>
      <status>unmodified</status>
      <modifiedWord/>
      <trackRevisions>false</trackRevisions>
    </reviewItem>
    <reviewItem>
      <errorID>ae1c529b-0f23-497b-ba20-e27d7699ab63</errorID>
      <errorWord>石膏砂浆</errorWord>
      <group>L1_Knowledge</group>
      <groupName>知识性问题</groupName>
      <ability>L2_Term</ability>
      <abilityName>专业术语</abilityName>
      <candidateList>
        <item>石灰砂浆</item>
      </candidateList>
      <explain/>
      <paraID>39CF3D08</paraID>
      <start>34</start>
      <end>38</end>
      <status>unmodified</status>
      <modifiedWord/>
      <trackRevisions>false</trackRevisions>
    </reviewItem>
    <reviewItem>
      <errorID>506ddff1-d4ec-4c33-a76d-0d4586117c14</errorID>
      <errorWord>(</errorWord>
      <group>L1_Format</group>
      <groupName>格式问题</groupName>
      <ability>L2_HalfPunc</ability>
      <abilityName>全半角检查</abilityName>
      <candidateList>
        <item>（</item>
      </candidateList>
      <explain>文本全半角错误。</explain>
      <paraID>425F1259</paraID>
      <start>3</start>
      <end>4</end>
      <status>unmodified</status>
      <modifiedWord/>
      <trackRevisions>false</trackRevisions>
    </reviewItem>
    <reviewItem>
      <errorID>46bda723-c41f-412a-9e19-c393784a12cc</errorID>
      <errorWord>其它</errorWord>
      <group>L1_Word</group>
      <groupName>字词问题</groupName>
      <ability>L2_Alias</ability>
      <abilityName>也作/曾用词</abilityName>
      <candidateList>
        <item>其他</item>
      </candidateList>
      <explain>词汇[其它]为不规范表述或旧称，其规范书面表述为[其他]。</explain>
      <paraID>425F1259</paraID>
      <start>39</start>
      <end>41</end>
      <status>unmodified</status>
      <modifiedWord/>
      <trackRevisions>false</trackRevisions>
    </reviewItem>
    <reviewItem>
      <errorID>105f5b44-6d3c-48dc-a79f-f275b8f4f4d5</errorID>
      <errorWord>,</errorWord>
      <group>L1_Format</group>
      <groupName>格式问题</groupName>
      <ability>L2_HalfPunc</ability>
      <abilityName>全半角检查</abilityName>
      <candidateList>
        <item>，</item>
      </candidateList>
      <explain>文本全半角错误。</explain>
      <paraID>544FA9FC</paraID>
      <start>12</start>
      <end>13</end>
      <status>unmodified</status>
      <modifiedWord/>
      <trackRevisions>false</trackRevisions>
    </reviewItem>
    <reviewItem>
      <errorID>f4f18523-bf8a-456e-bd22-31d6a24e16e7</errorID>
      <errorWord>(</errorWord>
      <group>L1_Format</group>
      <groupName>格式问题</groupName>
      <ability>L2_HalfPunc</ability>
      <abilityName>全半角检查</abilityName>
      <candidateList>
        <item>（</item>
      </candidateList>
      <explain>文本全半角错误。</explain>
      <paraID>1C4ADD0A</paraID>
      <start>6</start>
      <end>7</end>
      <status>unmodified</status>
      <modifiedWord/>
      <trackRevisions>false</trackRevisions>
    </reviewItem>
    <reviewItem>
      <errorID>e60bb41a-6337-41be-847c-fefa5a354209</errorID>
      <errorWord>中心供应</errorWord>
      <group>L1_Knowledge</group>
      <groupName>知识性问题</groupName>
      <ability>L2_Term</ability>
      <abilityName>专业术语</abilityName>
      <candidateList>
        <item>中心供氧</item>
      </candidateList>
      <explain/>
      <paraID>4E1CEDE6</paraID>
      <start>30</start>
      <end>34</end>
      <status>unmodified</status>
      <modifiedWord/>
      <trackRevisions>false</trackRevisions>
    </reviewItem>
    <reviewItem>
      <errorID>835a4af4-945d-4898-ba19-77db748daf6b</errorID>
      <errorWord>中心供应</errorWord>
      <group>L1_Knowledge</group>
      <groupName>知识性问题</groupName>
      <ability>L2_Term</ability>
      <abilityName>专业术语</abilityName>
      <candidateList>
        <item>中心供氧</item>
      </candidateList>
      <explain/>
      <paraID>5E5450A2</paraID>
      <start>65</start>
      <end>69</end>
      <status>unmodified</status>
      <modifiedWord/>
      <trackRevisions>false</trackRevisions>
    </reviewItem>
    <reviewItem>
      <errorID>da3a802e-9189-4027-9448-93e042c0ae82</errorID>
      <errorWord>中心供应</errorWord>
      <group>L1_Knowledge</group>
      <groupName>知识性问题</groupName>
      <ability>L2_Term</ability>
      <abilityName>专业术语</abilityName>
      <candidateList>
        <item>中心供氧</item>
      </candidateList>
      <explain/>
      <paraID>53691267</paraID>
      <start>22</start>
      <end>26</end>
      <status>unmodified</status>
      <modifiedWord/>
      <trackRevisions>false</trackRevisions>
    </reviewItem>
    <reviewItem>
      <errorID>357a8505-2af1-4fa7-b3f2-2323d090e387</errorID>
      <errorWord>电解</errorWord>
      <group>L1_Word</group>
      <groupName>字词问题</groupName>
      <ability>L2_Typo</ability>
      <abilityName>字词错误</abilityName>
      <candidateList>
        <item>电结</item>
      </candidateList>
      <explain/>
      <paraID>680A7A60</paraID>
      <start>8</start>
      <end>10</end>
      <status>unmodified</status>
      <modifiedWord/>
      <trackRevisions>false</trackRevisions>
    </reviewItem>
    <reviewItem>
      <errorID>44fc772d-c5e3-4d75-83a1-6857e58e7143</errorID>
      <errorWord>(</errorWord>
      <group>L1_Format</group>
      <groupName>格式问题</groupName>
      <ability>L2_HalfPunc</ability>
      <abilityName>全半角检查</abilityName>
      <candidateList>
        <item>（</item>
      </candidateList>
      <explain>文本全半角错误。</explain>
      <paraID>75059C0C</paraID>
      <start>3</start>
      <end>4</end>
      <status>unmodified</status>
      <modifiedWord/>
      <trackRevisions>false</trackRevisions>
    </reviewItem>
    <reviewItem>
      <errorID>9f4e2445-97c4-4b13-9240-ce41282091ff</errorID>
      <errorWord>其它</errorWord>
      <group>L1_Word</group>
      <groupName>字词问题</groupName>
      <ability>L2_Alias</ability>
      <abilityName>也作/曾用词</abilityName>
      <candidateList>
        <item>其他</item>
      </candidateList>
      <explain>词汇[其它]为不规范表述或旧称，其规范书面表述为[其他]。</explain>
      <paraID>75059C0C</paraID>
      <start>39</start>
      <end>41</end>
      <status>unmodified</status>
      <modifiedWord/>
      <trackRevisions>false</trackRevisions>
    </reviewItem>
    <reviewItem>
      <errorID>2e006710-47f0-49fc-8325-e9f583b8d5db</errorID>
      <errorWord>-</errorWord>
      <group>L1_Format</group>
      <groupName>格式问题</groupName>
      <ability>L2_HalfPunc</ability>
      <abilityName>全半角检查</abilityName>
      <candidateList>
        <item>－</item>
      </candidateList>
      <explain>文本全半角错误。</explain>
      <paraID>7FD9478B</paraID>
      <start>9</start>
      <end>10</end>
      <status>unmodified</status>
      <modifiedWord/>
      <trackRevisions>false</trackRevisions>
    </reviewItem>
    <reviewItem>
      <errorID>3daf2553-d583-4c30-8484-4b7bee76860c</errorID>
      <errorWord>-</errorWord>
      <group>L1_Format</group>
      <groupName>格式问题</groupName>
      <ability>L2_HalfPunc</ability>
      <abilityName>全半角检查</abilityName>
      <candidateList>
        <item>－</item>
      </candidateList>
      <explain>文本全半角错误。</explain>
      <paraID> 6584367</paraID>
      <start>9</start>
      <end>10</end>
      <status>unmodified</status>
      <modifiedWord/>
      <trackRevisions>false</trackRevisions>
    </reviewItem>
    <reviewItem>
      <errorID>ff9608e7-2b54-4aff-82c6-cf9d7a339d9f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F1EC956</paraID>
      <start>0</start>
      <end>2</end>
      <status>unmodified</status>
      <modifiedWord/>
      <trackRevisions>false</trackRevisions>
    </reviewItem>
    <reviewItem>
      <errorID>1a3a9caa-b1ff-4cc8-be72-ec6e45f28603</errorID>
      <errorWord>水泥沙子</errorWord>
      <group>L1_Word</group>
      <groupName>字词问题</groupName>
      <ability>L2_Typo</ability>
      <abilityName>字词错误</abilityName>
      <candidateList>
        <item>水泥砂子</item>
      </candidateList>
      <explain/>
      <paraID>43783F57</paraID>
      <start>6</start>
      <end>10</end>
      <status>unmodified</status>
      <modifiedWord/>
      <trackRevisions>false</trackRevisions>
    </reviewItem>
    <reviewItem>
      <errorID>0c48dae5-7efc-4330-964e-35d0806dd75f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74001706</paraID>
      <start>0</start>
      <end>2</end>
      <status>unmodified</status>
      <modifiedWord/>
      <trackRevisions>false</trackRevisions>
    </reviewItem>
    <reviewItem>
      <errorID>5c77aa75-acd7-4959-8999-6cf8e0c2687a</errorID>
      <errorWord>～</errorWord>
      <group>L1_Format</group>
      <groupName>格式问题</groupName>
      <ability>L2_HalfPunc</ability>
      <abilityName>全半角检查</abilityName>
      <candidateList>
        <item>~</item>
      </candidateList>
      <explain>文本全半角错误。</explain>
      <paraID> 4ABE7F0</paraID>
      <start>9</start>
      <end>10</end>
      <status>unmodified</status>
      <modifiedWord/>
      <trackRevisions>false</trackRevisions>
    </reviewItem>
    <reviewItem>
      <errorID>464487ca-2853-4914-b3e7-a7283df8d7ba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2C0C3AF8</paraID>
      <start>0</start>
      <end>2</end>
      <status>unmodified</status>
      <modifiedWord/>
      <trackRevisions>false</trackRevisions>
    </reviewItem>
    <reviewItem>
      <errorID>4ab12999-3023-45de-9c09-2a6b47e2ba68</errorID>
      <errorWord>～</errorWord>
      <group>L1_Format</group>
      <groupName>格式问题</groupName>
      <ability>L2_HalfPunc</ability>
      <abilityName>全半角检查</abilityName>
      <candidateList>
        <item>~</item>
      </candidateList>
      <explain>文本全半角错误。</explain>
      <paraID>67EBC445</paraID>
      <start>15</start>
      <end>16</end>
      <status>unmodified</status>
      <modifiedWord/>
      <trackRevisions>false</trackRevisions>
    </reviewItem>
    <reviewItem>
      <errorID>1d5a4d65-1422-4840-b755-55fe2b2314d6</errorID>
      <errorWord>～</errorWord>
      <group>L1_Format</group>
      <groupName>格式问题</groupName>
      <ability>L2_HalfPunc</ability>
      <abilityName>全半角检查</abilityName>
      <candidateList>
        <item>~</item>
      </candidateList>
      <explain>文本全半角错误。</explain>
      <paraID>180EA734</paraID>
      <start>7</start>
      <end>8</end>
      <status>unmodified</status>
      <modifiedWord/>
      <trackRevisions>false</trackRevisions>
    </reviewItem>
    <reviewItem>
      <errorID>eb597a26-d87f-4237-87f1-9e87ef8a1f67</errorID>
      <errorWord>聚氨脂</errorWord>
      <group>L1_Word</group>
      <groupName>字词问题</groupName>
      <ability>L2_Typo</ability>
      <abilityName>字词错误</abilityName>
      <candidateList>
        <item>聚氨酯</item>
      </candidateList>
      <explain/>
      <paraID>1B0C88E0</paraID>
      <start>5</start>
      <end>8</end>
      <status>unmodified</status>
      <modifiedWord/>
      <trackRevisions>false</trackRevisions>
    </reviewItem>
    <reviewItem>
      <errorID>4698cf84-1eba-4789-b9b4-0ef6152782b7</errorID>
      <errorWord>～</errorWord>
      <group>L1_Format</group>
      <groupName>格式问题</groupName>
      <ability>L2_HalfPunc</ability>
      <abilityName>全半角检查</abilityName>
      <candidateList>
        <item>~</item>
      </candidateList>
      <explain>文本全半角错误。</explain>
      <paraID>162FB50E</paraID>
      <start>15</start>
      <end>16</end>
      <status>unmodified</status>
      <modifiedWord/>
      <trackRevisions>false</trackRevisions>
    </reviewItem>
    <reviewItem>
      <errorID>e7e23c50-ebc9-49a0-991b-c4dd84b67cea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542FE86B</paraID>
      <start>0</start>
      <end>2</end>
      <status>unmodified</status>
      <modifiedWord/>
      <trackRevisions>false</trackRevisions>
    </reviewItem>
    <reviewItem>
      <errorID>f2308c6d-cf72-426d-bd53-06dceab2e2ac</errorID>
      <errorWord>～</errorWord>
      <group>L1_Format</group>
      <groupName>格式问题</groupName>
      <ability>L2_HalfPunc</ability>
      <abilityName>全半角检查</abilityName>
      <candidateList>
        <item>~</item>
      </candidateList>
      <explain>文本全半角错误。</explain>
      <paraID>6B729E5B</paraID>
      <start>16</start>
      <end>17</end>
      <status>unmodified</status>
      <modifiedWord/>
      <trackRevisions>false</trackRevisions>
    </reviewItem>
    <reviewItem>
      <errorID>723a19d3-dc1e-42f2-8a77-71d758050fc2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E57616B</paraID>
      <start>0</start>
      <end>2</end>
      <status>unmodified</status>
      <modifiedWord/>
      <trackRevisions>false</trackRevisions>
    </reviewItem>
    <reviewItem>
      <errorID>0daa6272-2056-4721-a876-f986b2226749</errorID>
      <errorWord>:</errorWord>
      <group>L1_Format</group>
      <groupName>格式问题</groupName>
      <ability>L2_HalfPunc</ability>
      <abilityName>全半角检查</abilityName>
      <candidateList>
        <item>：</item>
      </candidateList>
      <explain>文本全半角错误。</explain>
      <paraID>10F2F174</paraID>
      <start>2</start>
      <end>3</end>
      <status>unmodified</status>
      <modifiedWord/>
      <trackRevisions>false</trackRevisions>
    </reviewItem>
    <reviewItem>
      <errorID>8eb9be53-2221-4719-a690-825312c1d3b1</errorID>
      <errorWord>:</errorWord>
      <group>L1_Format</group>
      <groupName>格式问题</groupName>
      <ability>L2_HalfPunc</ability>
      <abilityName>全半角检查</abilityName>
      <candidateList>
        <item>：</item>
      </candidateList>
      <explain>文本全半角错误。</explain>
      <paraID>510F211F</paraID>
      <start>2</start>
      <end>3</end>
      <status>unmodified</status>
      <modifiedWord/>
      <trackRevisions>false</trackRevisions>
    </reviewItem>
    <reviewItem>
      <errorID>fedf43e1-af93-4bfd-84db-6d58adb1cb3f</errorID>
      <errorWord>:</errorWord>
      <group>L1_Format</group>
      <groupName>格式问题</groupName>
      <ability>L2_HalfPunc</ability>
      <abilityName>全半角检查</abilityName>
      <candidateList>
        <item>：</item>
      </candidateList>
      <explain>文本全半角错误。</explain>
      <paraID>7628BC05</paraID>
      <start>3</start>
      <end>4</end>
      <status>unmodified</status>
      <modifiedWord/>
      <trackRevisions>false</trackRevisions>
    </reviewItem>
    <reviewItem>
      <errorID>d7b51cca-6173-4bb7-83e5-965ce52e97df</errorID>
      <errorWord>:</errorWord>
      <group>L1_Format</group>
      <groupName>格式问题</groupName>
      <ability>L2_HalfPunc</ability>
      <abilityName>全半角检查</abilityName>
      <candidateList>
        <item>：</item>
      </candidateList>
      <explain>文本全半角错误。</explain>
      <paraID>14B15594</paraID>
      <start>2</start>
      <end>3</end>
      <status>unmodified</status>
      <modifiedWord/>
      <trackRevisions>false</trackRevisions>
    </reviewItem>
    <reviewItem>
      <errorID>2193fcaa-5918-405c-9b00-f08853df9f4b</errorID>
      <errorWord>II级</errorWord>
      <group>L1_Knowledge</group>
      <groupName>知识性问题</groupName>
      <ability>L2_Knowledge</ability>
      <abilityName>其他知识</abilityName>
      <candidateList>
        <item>Ⅱ级</item>
      </candidateList>
      <explain/>
      <paraID>44408798</paraID>
      <start>3</start>
      <end>6</end>
      <status>unmodified</status>
      <modifiedWord/>
      <trackRevisions>false</trackRevisions>
    </reviewItem>
    <reviewItem>
      <errorID>f14ea812-90e3-4ca6-b0b8-eab23c071123</errorID>
      <errorWord>III级</errorWord>
      <group>L1_Knowledge</group>
      <groupName>知识性问题</groupName>
      <ability>L2_Knowledge</ability>
      <abilityName>其他知识</abilityName>
      <candidateList>
        <item>Ⅲ级</item>
      </candidateList>
      <explain/>
      <paraID>50DE9CFE</paraID>
      <start>3</start>
      <end>7</end>
      <status>unmodified</status>
      <modifiedWord/>
      <trackRevisions>false</trackRevisions>
    </reviewItem>
    <reviewItem>
      <errorID>d1429ec2-f162-4074-8758-bb5bb82e6b34</errorID>
      <errorWord>II级</errorWord>
      <group>L1_Knowledge</group>
      <groupName>知识性问题</groupName>
      <ability>L2_Knowledge</ability>
      <abilityName>其他知识</abilityName>
      <candidateList>
        <item>Ⅱ级</item>
      </candidateList>
      <explain/>
      <paraID>3CD0E3AF</paraID>
      <start>3</start>
      <end>6</end>
      <status>unmodified</status>
      <modifiedWord/>
      <trackRevisions>false</trackRevisions>
    </reviewItem>
    <reviewItem>
      <errorID>f237dcbd-090c-42a5-9cf1-bdbd891ab205</errorID>
      <errorWord>III级</errorWord>
      <group>L1_Knowledge</group>
      <groupName>知识性问题</groupName>
      <ability>L2_Knowledge</ability>
      <abilityName>其他知识</abilityName>
      <candidateList>
        <item>Ⅲ级</item>
      </candidateList>
      <explain/>
      <paraID>743C66C1</paraID>
      <start>3</start>
      <end>7</end>
      <status>unmodified</status>
      <modifiedWord/>
      <trackRevisions>false</trackRevisions>
    </reviewItem>
    <reviewItem>
      <errorID>f91b40ed-6a13-4c21-8503-160c9982973b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239BC8C1</paraID>
      <start>0</start>
      <end>2</end>
      <status>unmodified</status>
      <modifiedWord/>
      <trackRevisions>false</trackRevisions>
    </reviewItem>
    <reviewItem>
      <errorID>38d801a3-a450-45db-a499-678a9d014160</errorID>
      <errorWord>(</errorWord>
      <group>L1_Format</group>
      <groupName>格式问题</groupName>
      <ability>L2_HalfPunc</ability>
      <abilityName>全半角检查</abilityName>
      <candidateList>
        <item>（</item>
      </candidateList>
      <explain>文本全半角错误。</explain>
      <paraID>5981F307</paraID>
      <start>9</start>
      <end>10</end>
      <status>unmodified</status>
      <modifiedWord/>
      <trackRevisions>false</trackRevisions>
    </reviewItem>
    <reviewItem>
      <errorID>fa5139b0-ba32-4095-9f21-feb5389595a9</errorID>
      <errorWord>,</errorWord>
      <group>L1_Format</group>
      <groupName>格式问题</groupName>
      <ability>L2_HalfPunc</ability>
      <abilityName>全半角检查</abilityName>
      <candidateList>
        <item>，</item>
      </candidateList>
      <explain>文本全半角错误。</explain>
      <paraID>5981F307</paraID>
      <start>14</start>
      <end>15</end>
      <status>unmodified</status>
      <modifiedWord/>
      <trackRevisions>false</trackRevisions>
    </reviewItem>
    <reviewItem>
      <errorID>44b5b3c5-8e36-4274-8d18-20597a82950c</errorID>
      <errorWord>(</errorWord>
      <group>L1_Format</group>
      <groupName>格式问题</groupName>
      <ability>L2_HalfPunc</ability>
      <abilityName>全半角检查</abilityName>
      <candidateList>
        <item>（</item>
      </candidateList>
      <explain>文本全半角错误。</explain>
      <paraID>5981F307</paraID>
      <start>21</start>
      <end>22</end>
      <status>unmodified</status>
      <modifiedWord/>
      <trackRevisions>false</trackRevisions>
    </reviewItem>
    <reviewItem>
      <errorID>7e91259b-3a0f-44f6-bd01-c7eba6298314</errorID>
      <errorWord>对</errorWord>
      <group>L1_Word</group>
      <groupName>字词问题</groupName>
      <ability>L2_Typo</ability>
      <abilityName>字词错误</abilityName>
      <candidateList>
        <item>对焦</item>
      </candidateList>
      <explain/>
      <paraID> 9F81837</paraID>
      <start>2</start>
      <end>3</end>
      <status>unmodified</status>
      <modifiedWord/>
      <trackRevisions>false</trackRevisions>
    </reviewItem>
    <reviewItem>
      <errorID>9d5506e9-18aa-4fa2-99f7-d94dc2f7bce0</errorID>
      <errorWord>,</errorWord>
      <group>L1_Format</group>
      <groupName>格式问题</groupName>
      <ability>L2_HalfPunc</ability>
      <abilityName>全半角检查</abilityName>
      <candidateList>
        <item>，</item>
      </candidateList>
      <explain>文本全半角错误。</explain>
      <paraID>6DE52CB7</paraID>
      <start>9</start>
      <end>10</end>
      <status>unmodified</status>
      <modifiedWord/>
      <trackRevisions>false</trackRevisions>
    </reviewItem>
    <reviewItem>
      <errorID>c187badf-2a65-4ea1-8f86-5c3a4b02a836</errorID>
      <errorWord>;</errorWord>
      <group>L1_Format</group>
      <groupName>格式问题</groupName>
      <ability>L2_HalfPunc</ability>
      <abilityName>全半角检查</abilityName>
      <candidateList>
        <item>；</item>
      </candidateList>
      <explain>文本全半角错误。</explain>
      <paraID>6DE52CB7</paraID>
      <start>16</start>
      <end>17</end>
      <status>unmodified</status>
      <modifiedWord/>
      <trackRevisions>false</trackRevisions>
    </reviewItem>
    <reviewItem>
      <errorID>c61fa6b7-4a33-44ae-8bec-4feafffb0ad8</errorID>
      <errorWord>,</errorWord>
      <group>L1_Format</group>
      <groupName>格式问题</groupName>
      <ability>L2_HalfPunc</ability>
      <abilityName>全半角检查</abilityName>
      <candidateList>
        <item>，</item>
      </candidateList>
      <explain>文本全半角错误。</explain>
      <paraID>6DE52CB7</paraID>
      <start>34</start>
      <end>35</end>
      <status>unmodified</status>
      <modifiedWord/>
      <trackRevisions>false</trackRevisions>
    </reviewItem>
    <reviewItem>
      <errorID>4f5ec3be-e66d-4f83-8a18-4b66ab7a596a</errorID>
      <errorWord>,</errorWord>
      <group>L1_Format</group>
      <groupName>格式问题</groupName>
      <ability>L2_HalfPunc</ability>
      <abilityName>全半角检查</abilityName>
      <candidateList>
        <item>，</item>
      </candidateList>
      <explain>文本全半角错误。</explain>
      <paraID>7E6E553D</paraID>
      <start>2</start>
      <end>3</end>
      <status>unmodified</status>
      <modifiedWord/>
      <trackRevisions>false</trackRevisions>
    </reviewItem>
    <reviewItem>
      <errorID>b009f7a6-9b6b-4270-94cb-a0c22dac98ef</errorID>
      <errorWord>(</errorWord>
      <group>L1_Format</group>
      <groupName>格式问题</groupName>
      <ability>L2_HalfPunc</ability>
      <abilityName>全半角检查</abilityName>
      <candidateList>
        <item>（</item>
      </candidateList>
      <explain>文本全半角错误。</explain>
      <paraID> EAC810F</paraID>
      <start>9</start>
      <end>10</end>
      <status>unmodified</status>
      <modifiedWord/>
      <trackRevisions>false</trackRevisions>
    </reviewItem>
    <reviewItem>
      <errorID>825b20d1-c6a5-4a34-b7ec-e7297b352e12</errorID>
      <errorWord>,</errorWord>
      <group>L1_Format</group>
      <groupName>格式问题</groupName>
      <ability>L2_HalfPunc</ability>
      <abilityName>全半角检查</abilityName>
      <candidateList>
        <item>，</item>
      </candidateList>
      <explain>文本全半角错误。</explain>
      <paraID> EAC810F</paraID>
      <start>13</start>
      <end>14</end>
      <status>unmodified</status>
      <modifiedWord/>
      <trackRevisions>false</trackRevisions>
    </reviewItem>
    <reviewItem>
      <errorID>cdc058d3-eeb7-4b3e-8cb1-68d580466b33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106DAB14</paraID>
      <start>0</start>
      <end>2</end>
      <status>unmodified</status>
      <modifiedWord/>
      <trackRevisions>false</trackRevisions>
    </reviewItem>
    <reviewItem>
      <errorID>bb504d57-3a33-494e-ae9b-20fb7f0e9c5e</errorID>
      <errorWord>对</errorWord>
      <group>L1_Word</group>
      <groupName>字词问题</groupName>
      <ability>L2_Typo</ability>
      <abilityName>字词错误</abilityName>
      <candidateList>
        <item>对焦</item>
      </candidateList>
      <explain/>
      <paraID>7E0959E9</paraID>
      <start>2</start>
      <end>3</end>
      <status>unmodified</status>
      <modifiedWord/>
      <trackRevisions>false</trackRevisions>
    </reviewItem>
    <reviewItem>
      <errorID>e5968a0c-3897-4ce8-9ae1-6d7309a83ffb</errorID>
      <errorWord>,</errorWord>
      <group>L1_Format</group>
      <groupName>格式问题</groupName>
      <ability>L2_HalfPunc</ability>
      <abilityName>全半角检查</abilityName>
      <candidateList>
        <item>，</item>
      </candidateList>
      <explain>文本全半角错误。</explain>
      <paraID>194A774C</paraID>
      <start>2</start>
      <end>3</end>
      <status>unmodified</status>
      <modifiedWord/>
      <trackRevisions>false</trackRevisions>
    </reviewItem>
    <reviewItem>
      <errorID>48e47b67-e84a-4bea-99f1-10995112b33a</errorID>
      <errorWord>(</errorWord>
      <group>L1_Format</group>
      <groupName>格式问题</groupName>
      <ability>L2_HalfPunc</ability>
      <abilityName>全半角检查</abilityName>
      <candidateList>
        <item>（</item>
      </candidateList>
      <explain>文本全半角错误。</explain>
      <paraID> DE9630C</paraID>
      <start>9</start>
      <end>10</end>
      <status>unmodified</status>
      <modifiedWord/>
      <trackRevisions>false</trackRevisions>
    </reviewItem>
    <reviewItem>
      <errorID>23033963-e320-4a51-8cde-228072132990</errorID>
      <errorWord>,</errorWord>
      <group>L1_Format</group>
      <groupName>格式问题</groupName>
      <ability>L2_HalfPunc</ability>
      <abilityName>全半角检查</abilityName>
      <candidateList>
        <item>，</item>
      </candidateList>
      <explain>文本全半角错误。</explain>
      <paraID> DE9630C</paraID>
      <start>13</start>
      <end>14</end>
      <status>unmodified</status>
      <modifiedWord/>
      <trackRevisions>false</trackRevisions>
    </reviewItem>
    <reviewItem>
      <errorID>03b12207-7335-4323-a777-075087c79bf6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367A3FCE</paraID>
      <start>0</start>
      <end>2</end>
      <status>unmodified</status>
      <modifiedWord/>
      <trackRevisions>false</trackRevisions>
    </reviewItem>
    <reviewItem>
      <errorID>649c2a24-1237-4e58-9e95-64285c699d26</errorID>
      <errorWord>,</errorWord>
      <group>L1_Format</group>
      <groupName>格式问题</groupName>
      <ability>L2_HalfPunc</ability>
      <abilityName>全半角检查</abilityName>
      <candidateList>
        <item>，</item>
      </candidateList>
      <explain>文本全半角错误。</explain>
      <paraID>33DB25B3</paraID>
      <start>13</start>
      <end>14</end>
      <status>unmodified</status>
      <modifiedWord/>
      <trackRevisions>false</trackRevisions>
    </reviewItem>
    <reviewItem>
      <errorID>1725d9a6-e89c-4f84-8f5d-40667071979d</errorID>
      <errorWord>,</errorWord>
      <group>L1_Format</group>
      <groupName>格式问题</groupName>
      <ability>L2_HalfPunc</ability>
      <abilityName>全半角检查</abilityName>
      <candidateList>
        <item>，</item>
      </candidateList>
      <explain>文本全半角错误。</explain>
      <paraID>77EFEB78</paraID>
      <start>13</start>
      <end>14</end>
      <status>unmodified</status>
      <modifiedWord/>
      <trackRevisions>false</trackRevisions>
    </reviewItem>
    <reviewItem>
      <errorID>5d00d8ee-ea03-43d3-b9de-1dc45bec3b93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61E59F4E</paraID>
      <start>0</start>
      <end>2</end>
      <status>unmodified</status>
      <modifiedWord/>
      <trackRevisions>false</trackRevisions>
    </reviewItem>
    <reviewItem>
      <errorID>01c14b3c-f0df-4d05-ab77-96d2381da419</errorID>
      <errorWord>-</errorWord>
      <group>L1_Format</group>
      <groupName>格式问题</groupName>
      <ability>L2_HalfPunc</ability>
      <abilityName>全半角检查</abilityName>
      <candidateList>
        <item>－</item>
      </candidateList>
      <explain>文本全半角错误。</explain>
      <paraID>79D1B3DD</paraID>
      <start>3</start>
      <end>4</end>
      <status>unmodified</status>
      <modifiedWord/>
      <trackRevisions>false</trackRevisions>
    </reviewItem>
    <reviewItem>
      <errorID>dc0b2f25-1979-4355-842b-102f5e1515ba</errorID>
      <errorWord>-</errorWord>
      <group>L1_Format</group>
      <groupName>格式问题</groupName>
      <ability>L2_HalfPunc</ability>
      <abilityName>全半角检查</abilityName>
      <candidateList>
        <item>－</item>
      </candidateList>
      <explain>文本全半角错误。</explain>
      <paraID>51B2D9A1</paraID>
      <start>6</start>
      <end>7</end>
      <status>unmodified</status>
      <modifiedWord/>
      <trackRevisions>false</trackRevisions>
    </reviewItem>
    <reviewItem>
      <errorID>0af5fcf0-04b8-4ae7-91b6-1ba843a6c369</errorID>
      <errorWord>-</errorWord>
      <group>L1_Format</group>
      <groupName>格式问题</groupName>
      <ability>L2_HalfPunc</ability>
      <abilityName>全半角检查</abilityName>
      <candidateList>
        <item>－</item>
      </candidateList>
      <explain>文本全半角错误。</explain>
      <paraID>5725C393</paraID>
      <start>6</start>
      <end>7</end>
      <status>unmodified</status>
      <modifiedWord/>
      <trackRevisions>false</trackRevisions>
    </reviewItem>
    <reviewItem>
      <errorID>f9c29dce-a9e7-4785-bc9b-e3cf7269e053</errorID>
      <errorWord>-</errorWord>
      <group>L1_Format</group>
      <groupName>格式问题</groupName>
      <ability>L2_HalfPunc</ability>
      <abilityName>全半角检查</abilityName>
      <candidateList>
        <item>－</item>
      </candidateList>
      <explain>文本全半角错误。</explain>
      <paraID>710B215D</paraID>
      <start>6</start>
      <end>7</end>
      <status>unmodified</status>
      <modifiedWord/>
      <trackRevisions>false</trackRevisions>
    </reviewItem>
    <reviewItem>
      <errorID>4612710e-4ea1-43e5-83a2-d51b76ca0777</errorID>
      <errorWord>-</errorWord>
      <group>L1_Format</group>
      <groupName>格式问题</groupName>
      <ability>L2_HalfPunc</ability>
      <abilityName>全半角检查</abilityName>
      <candidateList>
        <item>－</item>
      </candidateList>
      <explain>文本全半角错误。</explain>
      <paraID>6DD7AD37</paraID>
      <start>6</start>
      <end>7</end>
      <status>unmodified</status>
      <modifiedWord/>
      <trackRevisions>false</trackRevisions>
    </reviewItem>
    <reviewItem>
      <errorID>407e0b47-2342-49aa-90fe-d3b0cfcc23c5</errorID>
      <errorWord>,</errorWord>
      <group>L1_Format</group>
      <groupName>格式问题</groupName>
      <ability>L2_HalfPunc</ability>
      <abilityName>全半角检查</abilityName>
      <candidateList>
        <item>，</item>
      </candidateList>
      <explain>文本全半角错误。</explain>
      <paraID>247D2F68</paraID>
      <start>7</start>
      <end>8</end>
      <status>unmodified</status>
      <modifiedWord/>
      <trackRevisions>false</trackRevisions>
    </reviewItem>
    <reviewItem>
      <errorID>a9896e5a-dd5f-4a4d-af17-944dde66732d</errorID>
      <errorWord>,</errorWord>
      <group>L1_Format</group>
      <groupName>格式问题</groupName>
      <ability>L2_HalfPunc</ability>
      <abilityName>全半角检查</abilityName>
      <candidateList>
        <item>，</item>
      </candidateList>
      <explain>文本全半角错误。</explain>
      <paraID>5B9DC00C</paraID>
      <start>7</start>
      <end>8</end>
      <status>unmodified</status>
      <modifiedWord/>
      <trackRevisions>false</trackRevisions>
    </reviewItem>
    <reviewItem>
      <errorID>750dc332-18c4-4b68-bccb-35d2f5638913</errorID>
      <errorWord>,</errorWord>
      <group>L1_Format</group>
      <groupName>格式问题</groupName>
      <ability>L2_HalfPunc</ability>
      <abilityName>全半角检查</abilityName>
      <candidateList>
        <item>，</item>
      </candidateList>
      <explain>文本全半角错误。</explain>
      <paraID>5DA52BC1</paraID>
      <start>7</start>
      <end>8</end>
      <status>unmodified</status>
      <modifiedWord/>
      <trackRevisions>false</trackRevisions>
    </reviewItem>
    <reviewItem>
      <errorID>1d73bbd1-8bf3-4542-b24a-bf3c7cbe0cc6</errorID>
      <errorWord>,</errorWord>
      <group>L1_Format</group>
      <groupName>格式问题</groupName>
      <ability>L2_HalfPunc</ability>
      <abilityName>全半角检查</abilityName>
      <candidateList>
        <item>，</item>
      </candidateList>
      <explain>文本全半角错误。</explain>
      <paraID>16A36946</paraID>
      <start>7</start>
      <end>8</end>
      <status>unmodified</status>
      <modifiedWord/>
      <trackRevisions>false</trackRevisions>
    </reviewItem>
    <reviewItem>
      <errorID>db045139-a0d0-49a6-a57a-62248ba2f617</errorID>
      <errorWord>,</errorWord>
      <group>L1_Format</group>
      <groupName>格式问题</groupName>
      <ability>L2_HalfPunc</ability>
      <abilityName>全半角检查</abilityName>
      <candidateList>
        <item>，</item>
      </candidateList>
      <explain>文本全半角错误。</explain>
      <paraID>66F8BE97</paraID>
      <start>7</start>
      <end>8</end>
      <status>unmodified</status>
      <modifiedWord/>
      <trackRevisions>false</trackRevisions>
    </reviewItem>
    <reviewItem>
      <errorID>47754c26-5175-4b4a-9aab-986198ccddf3</errorID>
      <errorWord>,</errorWord>
      <group>L1_Format</group>
      <groupName>格式问题</groupName>
      <ability>L2_HalfPunc</ability>
      <abilityName>全半角检查</abilityName>
      <candidateList>
        <item>，</item>
      </candidateList>
      <explain>文本全半角错误。</explain>
      <paraID>443F2379</paraID>
      <start>7</start>
      <end>8</end>
      <status>unmodified</status>
      <modifiedWord/>
      <trackRevisions>false</trackRevisions>
    </reviewItem>
    <reviewItem>
      <errorID>fc889899-dd49-4ed2-9205-21924dd5798c</errorID>
      <errorWord>,</errorWord>
      <group>L1_Format</group>
      <groupName>格式问题</groupName>
      <ability>L2_HalfPunc</ability>
      <abilityName>全半角检查</abilityName>
      <candidateList>
        <item>，</item>
      </candidateList>
      <explain>文本全半角错误。</explain>
      <paraID>1AE41CF5</paraID>
      <start>7</start>
      <end>8</end>
      <status>unmodified</status>
      <modifiedWord/>
      <trackRevisions>false</trackRevisions>
    </reviewItem>
    <reviewItem>
      <errorID>7bbb8fb2-9151-4c75-beaf-121792dfb916</errorID>
      <errorWord>,</errorWord>
      <group>L1_Format</group>
      <groupName>格式问题</groupName>
      <ability>L2_HalfPunc</ability>
      <abilityName>全半角检查</abilityName>
      <candidateList>
        <item>，</item>
      </candidateList>
      <explain>文本全半角错误。</explain>
      <paraID>51940724</paraID>
      <start>7</start>
      <end>8</end>
      <status>unmodified</status>
      <modifiedWord/>
      <trackRevisions>false</trackRevisions>
    </reviewItem>
    <reviewItem>
      <errorID>a1512919-191f-4a3c-9075-dc49271b279c</errorID>
      <errorWord>-</errorWord>
      <group>L1_Format</group>
      <groupName>格式问题</groupName>
      <ability>L2_HalfPunc</ability>
      <abilityName>全半角检查</abilityName>
      <candidateList>
        <item>－</item>
      </candidateList>
      <explain>文本全半角错误。</explain>
      <paraID>7109EBDE</paraID>
      <start>7</start>
      <end>8</end>
      <status>unmodified</status>
      <modifiedWord/>
      <trackRevisions>false</trackRevisions>
    </reviewItem>
    <reviewItem>
      <errorID>2b606e85-dfd7-4147-b38e-5792bf8a40db</errorID>
      <errorWord>-</errorWord>
      <group>L1_Format</group>
      <groupName>格式问题</groupName>
      <ability>L2_HalfPunc</ability>
      <abilityName>全半角检查</abilityName>
      <candidateList>
        <item>－</item>
      </candidateList>
      <explain>文本全半角错误。</explain>
      <paraID>77475A45</paraID>
      <start>5</start>
      <end>6</end>
      <status>unmodified</status>
      <modifiedWord/>
      <trackRevisions>false</trackRevisions>
    </reviewItem>
    <reviewItem>
      <errorID>3c3df249-a7a4-4c21-809e-3c5d3d760024</errorID>
      <errorWord>其它</errorWord>
      <group>L1_Word</group>
      <groupName>字词问题</groupName>
      <ability>L2_Alias</ability>
      <abilityName>也作/曾用词</abilityName>
      <candidateList>
        <item>其他</item>
      </candidateList>
      <explain>词汇[其它]为不规范表述或旧称，其规范书面表述为[其他]。</explain>
      <paraID>155DE7BE</paraID>
      <start>13</start>
      <end>15</end>
      <status>unmodified</status>
      <modifiedWord/>
      <trackRevisions>false</trackRevisions>
    </reviewItem>
    <reviewItem>
      <errorID>6c020adc-304d-47cf-ac9f-2f4f3ca71415</errorID>
      <errorWord>-</errorWord>
      <group>L1_Format</group>
      <groupName>格式问题</groupName>
      <ability>L2_HalfPunc</ability>
      <abilityName>全半角检查</abilityName>
      <candidateList>
        <item>－</item>
      </candidateList>
      <explain>文本全半角错误。</explain>
      <paraID>4B7B67AC</paraID>
      <start>5</start>
      <end>6</end>
      <status>unmodified</status>
      <modifiedWord/>
      <trackRevisions>false</trackRevisions>
    </reviewItem>
    <reviewItem>
      <errorID>8c125dd8-48d5-4620-af15-5ae3beb2fa16</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4F0C5734</paraID>
      <start>6</start>
      <end>8</end>
      <status>unmodified</status>
      <modifiedWord/>
      <trackRevisions>false</trackRevisions>
    </reviewItem>
    <reviewItem>
      <errorID>2a9e5a08-c559-4871-878f-7da4401f307f</errorID>
      <errorWord>-</errorWord>
      <group>L1_Format</group>
      <groupName>格式问题</groupName>
      <ability>L2_HalfPunc</ability>
      <abilityName>全半角检查</abilityName>
      <candidateList>
        <item>－</item>
      </candidateList>
      <explain>文本全半角错误。</explain>
      <paraID>24959620</paraID>
      <start>7</start>
      <end>8</end>
      <status>unmodified</status>
      <modifiedWord/>
      <trackRevisions>false</trackRevisions>
    </reviewItem>
    <reviewItem>
      <errorID>af605044-e2c0-41e8-92a3-39bf074c0642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77E62B27</paraID>
      <start>0</start>
      <end>2</end>
      <status>unmodified</status>
      <modifiedWord/>
      <trackRevisions>false</trackRevisions>
    </reviewItem>
    <reviewItem>
      <errorID>5ea74775-e7e9-40fd-bd53-f1b7f67d06d0</errorID>
      <errorWord>(</errorWord>
      <group>L1_Format</group>
      <groupName>格式问题</groupName>
      <ability>L2_HalfPunc</ability>
      <abilityName>全半角检查</abilityName>
      <candidateList>
        <item>（</item>
      </candidateList>
      <explain>文本全半角错误。</explain>
      <paraID>3189F56A</paraID>
      <start>9</start>
      <end>10</end>
      <status>unmodified</status>
      <modifiedWord/>
      <trackRevisions>false</trackRevisions>
    </reviewItem>
    <reviewItem>
      <errorID>0aae69d3-f4a7-4f47-8b06-f3e6cdba3d15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5F1E0F63</paraID>
      <start>0</start>
      <end>2</end>
      <status>unmodified</status>
      <modifiedWord/>
      <trackRevisions>false</trackRevisions>
    </reviewItem>
    <reviewItem>
      <errorID>5c3f3b09-1dbc-48c9-bda8-f573f7b336cf</errorID>
      <errorWord>县城融媒体中心</errorWord>
      <group>L1_Political</group>
      <groupName>政治性问题</groupName>
      <ability>L2_Keyword</ability>
      <abilityName>固定表述</abilityName>
      <candidateList>
        <item>县级融媒体中心</item>
      </candidateList>
      <explain>词汇“县级融媒体中心”在特定场景下为固定表述形式，请确认此处的“县城融媒体中心”是否存在不当。</explain>
      <paraID>321F8894</paraID>
      <start>64</start>
      <end>71</end>
      <status>unmodified</status>
      <modifiedWord/>
      <trackRevisions>false</trackRevisions>
    </reviewItem>
    <reviewItem>
      <errorID>ebf0717d-d636-4c4f-974e-f7c504bb458d</errorID>
      <errorWord>(</errorWord>
      <group>L1_Format</group>
      <groupName>格式问题</groupName>
      <ability>L2_HalfPunc</ability>
      <abilityName>全半角检查</abilityName>
      <candidateList>
        <item>（</item>
      </candidateList>
      <explain>文本全半角错误。</explain>
      <paraID>6689F6B3</paraID>
      <start>9</start>
      <end>10</end>
      <status>unmodified</status>
      <modifiedWord/>
      <trackRevisions>false</trackRevisions>
    </reviewItem>
    <reviewItem>
      <errorID>654379a1-1efa-467b-b55e-9853691c9e3f</errorID>
      <errorWord>(</errorWord>
      <group>L1_Format</group>
      <groupName>格式问题</groupName>
      <ability>L2_HalfPunc</ability>
      <abilityName>全半角检查</abilityName>
      <candidateList>
        <item>（</item>
      </candidateList>
      <explain>文本全半角错误。</explain>
      <paraID>5201B9BF</paraID>
      <start>9</start>
      <end>10</end>
      <status>unmodified</status>
      <modifiedWord/>
      <trackRevisions>false</trackRevisions>
    </reviewItem>
    <reviewItem>
      <errorID>665c5ce5-6313-48a4-92c5-084145aa6157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5D3F6628</paraID>
      <start>0</start>
      <end>2</end>
      <status>unmodified</status>
      <modifiedWord/>
      <trackRevisions>false</trackRevisions>
    </reviewItem>
    <reviewItem>
      <errorID>2229ac1c-1140-4bc9-921a-83ef0c9ad52c</errorID>
      <errorWord>-</errorWord>
      <group>L1_Format</group>
      <groupName>格式问题</groupName>
      <ability>L2_HalfPunc</ability>
      <abilityName>全半角检查</abilityName>
      <candidateList>
        <item>－</item>
      </candidateList>
      <explain>文本全半角错误。</explain>
      <paraID>557CE642</paraID>
      <start>4</start>
      <end>5</end>
      <status>unmodified</status>
      <modifiedWord/>
      <trackRevisions>false</trackRevisions>
    </reviewItem>
    <reviewItem>
      <errorID>f78a3171-a9f8-4714-ae1d-93b8653010ca</errorID>
      <errorWord>(</errorWord>
      <group>L1_Format</group>
      <groupName>格式问题</groupName>
      <ability>L2_HalfPunc</ability>
      <abilityName>全半角检查</abilityName>
      <candidateList>
        <item>（</item>
      </candidateList>
      <explain>文本全半角错误。</explain>
      <paraID>6A95EECC</paraID>
      <start>9</start>
      <end>10</end>
      <status>unmodified</status>
      <modifiedWord/>
      <trackRevisions>false</trackRevisions>
    </reviewItem>
    <reviewItem>
      <errorID>1c83eafd-9e0f-469c-a1ff-f053fe615d87</errorID>
      <errorWord>、、</errorWord>
      <group>L1_Punc</group>
      <groupName>标点问题</groupName>
      <ability>L2_Punc</ability>
      <abilityName>标点符号检查</abilityName>
      <candidateList>
        <item>、</item>
      </candidateList>
      <explain/>
      <paraID>587A4FFD</paraID>
      <start>7</start>
      <end>9</end>
      <status>unmodified</status>
      <modifiedWord/>
      <trackRevisions>false</trackRevisions>
    </reviewItem>
    <reviewItem>
      <errorID>77a6864c-9368-4330-b582-ef9e7860b36a</errorID>
      <errorWord>(</errorWord>
      <group>L1_Format</group>
      <groupName>格式问题</groupName>
      <ability>L2_HalfPunc</ability>
      <abilityName>全半角检查</abilityName>
      <candidateList>
        <item>（</item>
      </candidateList>
      <explain>文本全半角错误。</explain>
      <paraID>675B789F</paraID>
      <start>9</start>
      <end>10</end>
      <status>unmodified</status>
      <modifiedWord/>
      <trackRevisions>false</trackRevisions>
    </reviewItem>
    <reviewItem>
      <errorID>d0c50e12-0d14-4f24-85e5-a983c5da4710</errorID>
      <errorWord>(</errorWord>
      <group>L1_Format</group>
      <groupName>格式问题</groupName>
      <ability>L2_HalfPunc</ability>
      <abilityName>全半角检查</abilityName>
      <candidateList>
        <item>（</item>
      </candidateList>
      <explain>文本全半角错误。</explain>
      <paraID>677E7D53</paraID>
      <start>2</start>
      <end>3</end>
      <status>unmodified</status>
      <modifiedWord/>
      <trackRevisions>false</trackRevisions>
    </reviewItem>
    <reviewItem>
      <errorID>2791c74e-7414-454a-a04a-fcc3c95a78a7</errorID>
      <errorWord>(</errorWord>
      <group>L1_Format</group>
      <groupName>格式问题</groupName>
      <ability>L2_HalfPunc</ability>
      <abilityName>全半角检查</abilityName>
      <candidateList>
        <item>（</item>
      </candidateList>
      <explain>文本全半角错误。</explain>
      <paraID>7CCFDC8B</paraID>
      <start>12</start>
      <end>13</end>
      <status>unmodified</status>
      <modifiedWord/>
      <trackRevisions>false</trackRevisions>
    </reviewItem>
    <reviewItem>
      <errorID>f7ab4293-0b61-45b5-b40c-0373099ef254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27027507</paraID>
      <start>0</start>
      <end>2</end>
      <status>unmodified</status>
      <modifiedWord/>
      <trackRevisions>false</trackRevisions>
    </reviewItem>
    <reviewItem>
      <errorID>97488d6b-241d-4e07-98ee-2c66d07bd694</errorID>
      <errorWord>-</errorWord>
      <group>L1_Format</group>
      <groupName>格式问题</groupName>
      <ability>L2_HalfPunc</ability>
      <abilityName>全半角检查</abilityName>
      <candidateList>
        <item>－</item>
      </candidateList>
      <explain>文本全半角错误。</explain>
      <paraID>7FA0C87A</paraID>
      <start>4</start>
      <end>5</end>
      <status>unmodified</status>
      <modifiedWord/>
      <trackRevisions>false</trackRevisions>
    </reviewItem>
    <reviewItem>
      <errorID>61ee41c3-8df4-4a39-b8d5-f36e6d539cdc</errorID>
      <errorWord>(</errorWord>
      <group>L1_Format</group>
      <groupName>格式问题</groupName>
      <ability>L2_HalfPunc</ability>
      <abilityName>全半角检查</abilityName>
      <candidateList>
        <item>（</item>
      </candidateList>
      <explain>文本全半角错误。</explain>
      <paraID>31D7F2CB</paraID>
      <start>9</start>
      <end>10</end>
      <status>unmodified</status>
      <modifiedWord/>
      <trackRevisions>false</trackRevisions>
    </reviewItem>
    <reviewItem>
      <errorID>aab90e03-c505-422b-a58a-298962fc6111</errorID>
      <errorWord>(</errorWord>
      <group>L1_Format</group>
      <groupName>格式问题</groupName>
      <ability>L2_HalfPunc</ability>
      <abilityName>全半角检查</abilityName>
      <candidateList>
        <item>（</item>
      </candidateList>
      <explain>文本全半角错误。</explain>
      <paraID> A840F05</paraID>
      <start>9</start>
      <end>10</end>
      <status>unmodified</status>
      <modifiedWord/>
      <trackRevisions>false</trackRevisions>
    </reviewItem>
    <reviewItem>
      <errorID>cfba114a-3ce4-435c-b28f-d99936e2384e</errorID>
      <errorWord>-</errorWord>
      <group>L1_Format</group>
      <groupName>格式问题</groupName>
      <ability>L2_HalfPunc</ability>
      <abilityName>全半角检查</abilityName>
      <candidateList>
        <item>－</item>
      </candidateList>
      <explain>文本全半角错误。</explain>
      <paraID>51271BA7</paraID>
      <start>9</start>
      <end>10</end>
      <status>unmodified</status>
      <modifiedWord/>
      <trackRevisions>false</trackRevisions>
    </reviewItem>
    <reviewItem>
      <errorID>05f0843d-5b69-42bd-8c2f-4bb6ee2a4ccd</errorID>
      <errorWord>-</errorWord>
      <group>L1_Format</group>
      <groupName>格式问题</groupName>
      <ability>L2_HalfPunc</ability>
      <abilityName>全半角检查</abilityName>
      <candidateList>
        <item>－</item>
      </candidateList>
      <explain>文本全半角错误。</explain>
      <paraID>645CAAB6</paraID>
      <start>13</start>
      <end>14</end>
      <status>unmodified</status>
      <modifiedWord/>
      <trackRevisions>false</trackRevisions>
    </reviewItem>
    <reviewItem>
      <errorID>8ab90840-2a7e-4001-930d-bd8b103cdf4b</errorID>
      <errorWord>(</errorWord>
      <group>L1_Format</group>
      <groupName>格式问题</groupName>
      <ability>L2_HalfPunc</ability>
      <abilityName>全半角检查</abilityName>
      <candidateList>
        <item>（</item>
      </candidateList>
      <explain>文本全半角错误。</explain>
      <paraID>749F4EFF</paraID>
      <start>10</start>
      <end>11</end>
      <status>unmodified</status>
      <modifiedWord/>
      <trackRevisions>false</trackRevisions>
    </reviewItem>
    <reviewItem>
      <errorID>667267d8-be4e-4686-b335-993c92fb280d</errorID>
      <errorWord>:</errorWord>
      <group>L1_Format</group>
      <groupName>格式问题</groupName>
      <ability>L2_HalfPunc</ability>
      <abilityName>全半角检查</abilityName>
      <candidateList>
        <item>：</item>
      </candidateList>
      <explain>文本全半角错误。</explain>
      <paraID>7A77ACF3</paraID>
      <start>5</start>
      <end>6</end>
      <status>unmodified</status>
      <modifiedWord/>
      <trackRevisions>false</trackRevisions>
    </reviewItem>
    <reviewItem>
      <errorID>bf9fa5d0-28e8-4187-90de-8a0aceff0d15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7A77ACF3</paraID>
      <start>11</start>
      <end>12</end>
      <status>unmodified</status>
      <modifiedWord/>
      <trackRevisions>false</trackRevisions>
    </reviewItem>
    <reviewItem>
      <errorID>20bdef47-3b0c-4f87-8ccd-9107f3423def</errorID>
      <errorWord>;</errorWord>
      <group>L1_Format</group>
      <groupName>格式问题</groupName>
      <ability>L2_HalfPunc</ability>
      <abilityName>全半角检查</abilityName>
      <candidateList>
        <item>；</item>
      </candidateList>
      <explain>文本全半角错误。</explain>
      <paraID>7A77ACF3</paraID>
      <start>34</start>
      <end>35</end>
      <status>unmodified</status>
      <modifiedWord/>
      <trackRevisions>false</trackRevisions>
    </reviewItem>
    <reviewItem>
      <errorID>0748c9bd-a5bc-42a4-bcd4-d2124889f4ed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5C32D5FE</paraID>
      <start>5</start>
      <end>6</end>
      <status>unmodified</status>
      <modifiedWord/>
      <trackRevisions>false</trackRevisions>
    </reviewItem>
    <reviewItem>
      <errorID>fae3d2d5-d73f-42e7-9c5b-71bab482bd47</errorID>
      <errorWord>;</errorWord>
      <group>L1_Format</group>
      <groupName>格式问题</groupName>
      <ability>L2_HalfPunc</ability>
      <abilityName>全半角检查</abilityName>
      <candidateList>
        <item>；</item>
      </candidateList>
      <explain>文本全半角错误。</explain>
      <paraID>5C32D5FE</paraID>
      <start>29</start>
      <end>30</end>
      <status>unmodified</status>
      <modifiedWord/>
      <trackRevisions>false</trackRevisions>
    </reviewItem>
    <reviewItem>
      <errorID>c0566b01-604a-48be-9775-556f78bbd7f0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25486AE2</paraID>
      <start>5</start>
      <end>6</end>
      <status>unmodified</status>
      <modifiedWord/>
      <trackRevisions>false</trackRevisions>
    </reviewItem>
    <reviewItem>
      <errorID>cb52bc72-bddf-41c2-ac5d-7db502bd4e69</errorID>
      <errorWord>：</errorWord>
      <group>L1_Format</group>
      <groupName>格式问题</groupName>
      <ability>L2_HalfPunc</ability>
      <abilityName>全半角检查</abilityName>
      <candidateList>
        <item>:</item>
      </candidateList>
      <explain>文本全半角错误。</explain>
      <paraID>5A414A5C</paraID>
      <start>14</start>
      <end>15</end>
      <status>unmodified</status>
      <modifiedWord/>
      <trackRevisions>false</trackRevisions>
    </reviewItem>
    <reviewItem>
      <errorID>e5f25a00-0381-4539-a001-ae26d431c4e4</errorID>
      <errorWord>：</errorWord>
      <group>L1_Format</group>
      <groupName>格式问题</groupName>
      <ability>L2_HalfPunc</ability>
      <abilityName>全半角检查</abilityName>
      <candidateList>
        <item>:</item>
      </candidateList>
      <explain>文本全半角错误。</explain>
      <paraID>2F7C25C5</paraID>
      <start>7</start>
      <end>8</end>
      <status>unmodified</status>
      <modifiedWord/>
      <trackRevisions>false</trackRevisions>
    </reviewItem>
    <reviewItem>
      <errorID>53111f2a-7f05-4de9-9eaf-1e5a4a1432eb</errorID>
      <errorWord>(</errorWord>
      <group>L1_Format</group>
      <groupName>格式问题</groupName>
      <ability>L2_HalfPunc</ability>
      <abilityName>全半角检查</abilityName>
      <candidateList>
        <item>（</item>
      </candidateList>
      <explain>文本全半角错误。</explain>
      <paraID>7A8648DF</paraID>
      <start>20</start>
      <end>21</end>
      <status>unmodified</status>
      <modifiedWord/>
      <trackRevisions>false</trackRevisions>
    </reviewItem>
    <reviewItem>
      <errorID>3f58ffe1-1c19-4b2f-a043-3b2414d51151</errorID>
      <errorWord>透层</errorWord>
      <group>L1_Word</group>
      <groupName>字词问题</groupName>
      <ability>L2_Typo</ability>
      <abilityName>字词错误</abilityName>
      <candidateList>
        <item>涂层</item>
      </candidateList>
      <explain/>
      <paraID>535D9DAB</paraID>
      <start>7</start>
      <end>9</end>
      <status>unmodified</status>
      <modifiedWord/>
      <trackRevisions>false</trackRevisions>
    </reviewItem>
    <reviewItem>
      <errorID>f5768865-e18f-44c5-844d-d5b725049fbb</errorID>
      <errorWord>(</errorWord>
      <group>L1_Format</group>
      <groupName>格式问题</groupName>
      <ability>L2_HalfPunc</ability>
      <abilityName>全半角检查</abilityName>
      <candidateList>
        <item>（</item>
      </candidateList>
      <explain>文本全半角错误。</explain>
      <paraID>49767BD7</paraID>
      <start>13</start>
      <end>14</end>
      <status>unmodified</status>
      <modifiedWord/>
      <trackRevisions>false</trackRevisions>
    </reviewItem>
    <reviewItem>
      <errorID>cf16053d-09f3-41f7-8002-0f5017f8ae5e</errorID>
      <errorWord>(</errorWord>
      <group>L1_Format</group>
      <groupName>格式问题</groupName>
      <ability>L2_HalfPunc</ability>
      <abilityName>全半角检查</abilityName>
      <candidateList>
        <item>（</item>
      </candidateList>
      <explain>文本全半角错误。</explain>
      <paraID>671F6A57</paraID>
      <start>20</start>
      <end>21</end>
      <status>unmodified</status>
      <modifiedWord/>
      <trackRevisions>false</trackRevisions>
    </reviewItem>
    <reviewItem>
      <errorID>70bf55bd-ab78-4aa6-b6a1-e313d9a99164</errorID>
      <errorWord>透层</errorWord>
      <group>L1_Word</group>
      <groupName>字词问题</groupName>
      <ability>L2_Typo</ability>
      <abilityName>字词错误</abilityName>
      <candidateList>
        <item>涂层</item>
      </candidateList>
      <explain/>
      <paraID>4304F2A0</paraID>
      <start>7</start>
      <end>9</end>
      <status>unmodified</status>
      <modifiedWord/>
      <trackRevisions>false</trackRevisions>
    </reviewItem>
    <reviewItem>
      <errorID>e8b30785-b993-4eff-a090-caad00cea0f8</errorID>
      <errorWord>(</errorWord>
      <group>L1_Format</group>
      <groupName>格式问题</groupName>
      <ability>L2_HalfPunc</ability>
      <abilityName>全半角检查</abilityName>
      <candidateList>
        <item>（</item>
      </candidateList>
      <explain>文本全半角错误。</explain>
      <paraID>2FDCB679</paraID>
      <start>13</start>
      <end>14</end>
      <status>unmodified</status>
      <modifiedWord/>
      <trackRevisions>false</trackRevisions>
    </reviewItem>
    <reviewItem>
      <errorID>ff93d44e-7173-494b-b2f4-19648df1526a</errorID>
      <errorWord>-</errorWord>
      <group>L1_Format</group>
      <groupName>格式问题</groupName>
      <ability>L2_HalfPunc</ability>
      <abilityName>全半角检查</abilityName>
      <candidateList>
        <item>－</item>
      </candidateList>
      <explain>文本全半角错误。</explain>
      <paraID>1A081109</paraID>
      <start>7</start>
      <end>8</end>
      <status>unmodified</status>
      <modifiedWord/>
      <trackRevisions>false</trackRevisions>
    </reviewItem>
    <reviewItem>
      <errorID>80849605-f743-4593-b1a3-b85a2a869564</errorID>
      <errorWord>其它</errorWord>
      <group>L1_Word</group>
      <groupName>字词问题</groupName>
      <ability>L2_Alias</ability>
      <abilityName>也作/曾用词</abilityName>
      <candidateList>
        <item>其他</item>
      </candidateList>
      <explain>词汇[其它]为不规范表述或旧称，其规范书面表述为[其他]。</explain>
      <paraID>650C859C</paraID>
      <start>102</start>
      <end>104</end>
      <status>unmodified</status>
      <modifiedWord/>
      <trackRevisions>false</trackRevisions>
    </reviewItem>
    <reviewItem>
      <errorID>4af2fd94-a901-4e0f-9897-5f201f140253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6F40A97A</paraID>
      <start>50</start>
      <end>51</end>
      <status>unmodified</status>
      <modifiedWord/>
      <trackRevisions>false</trackRevisions>
    </reviewItem>
    <reviewItem>
      <errorID>0d76cf9c-2a42-4678-a379-87661d09c64a</errorID>
      <errorWord>-</errorWord>
      <group>L1_Format</group>
      <groupName>格式问题</groupName>
      <ability>L2_HalfPunc</ability>
      <abilityName>全半角检查</abilityName>
      <candidateList>
        <item>－</item>
      </candidateList>
      <explain>文本全半角错误。</explain>
      <paraID> 4D0239C</paraID>
      <start>3</start>
      <end>4</end>
      <status>unmodified</status>
      <modifiedWord/>
      <trackRevisions>false</trackRevisions>
    </reviewItem>
    <reviewItem>
      <errorID>b9808001-cf2d-431c-9c26-958fe4d4529c</errorID>
      <errorWord>-</errorWord>
      <group>L1_Format</group>
      <groupName>格式问题</groupName>
      <ability>L2_HalfPunc</ability>
      <abilityName>全半角检查</abilityName>
      <candidateList>
        <item>－</item>
      </candidateList>
      <explain>文本全半角错误。</explain>
      <paraID> 4D0239C</paraID>
      <start>9</start>
      <end>10</end>
      <status>unmodified</status>
      <modifiedWord/>
      <trackRevisions>false</trackRevisions>
    </reviewItem>
    <reviewItem>
      <errorID>02193ced-43b2-4aba-b196-665c7df4aaf9</errorID>
      <errorWord>功</errorWord>
      <group>L1_Word</group>
      <groupName>字词问题</groupName>
      <ability>L2_Typo</ability>
      <abilityName>字词错误</abilityName>
      <candidateList>
        <item>功能</item>
      </candidateList>
      <explain/>
      <paraID>5051CCDB</paraID>
      <start>45</start>
      <end>46</end>
      <status>unmodified</status>
      <modifiedWord/>
      <trackRevisions>false</trackRevisions>
    </reviewItem>
    <reviewItem>
      <errorID>bd1381ce-a187-4f84-b1cd-8c81efc145a9</errorID>
      <errorWord>提高</errorWord>
      <group>L1_Grammar</group>
      <groupName>语法问题</groupName>
      <ability>L2_Grammar</ability>
      <abilityName>语法错误</abilityName>
      <candidateList>
        <item>增强</item>
      </candidateList>
      <explain>“提高～意识”搭配不当，建议修改为“增强～意识”。</explain>
      <paraID>5816EB35</paraID>
      <start>19</start>
      <end>21</end>
      <status>unmodified</status>
      <modifiedWord/>
      <trackRevisions>false</trackRevisions>
    </reviewItem>
    <reviewItem>
      <errorID>c2cdeb19-75db-484a-b1d5-7e66156ed03e</errorID>
      <errorWord>测</errorWord>
      <group>L1_Word</group>
      <groupName>字词问题</groupName>
      <ability>L2_Typo</ability>
      <abilityName>字词错误</abilityName>
      <candidateList>
        <item>的</item>
      </candidateList>
      <explain>“的”常用于连接修饰语与名词性中心语，表示属性、所属或描述。</explain>
      <paraID>6BCF1278</paraID>
      <start>0</start>
      <end>1</end>
      <status>unmodified</status>
      <modifiedWord/>
      <trackRevisions>false</trackRevisions>
    </reviewItem>
    <reviewItem>
      <errorID>4a54f5a2-9284-4ba1-b0d4-d7bf340259ff</errorID>
      <errorWord>、</errorWord>
      <group>L1_Punc</group>
      <groupName>标点问题</groupName>
      <ability>L2_Punc</ability>
      <abilityName>标点符号检查</abilityName>
      <candidateList/>
      <explain/>
      <paraID> 19E4137</paraID>
      <start>0</start>
      <end>1</end>
      <status>unmodified</status>
      <modifiedWord/>
      <trackRevisions>false</trackRevisions>
    </reviewItem>
    <reviewItem>
      <errorID>a8f37ad1-9861-4d39-b36d-7e5710aa2df5</errorID>
      <errorWord>、</errorWord>
      <group>L1_Punc</group>
      <groupName>标点问题</groupName>
      <ability>L2_Punc</ability>
      <abilityName>标点符号检查</abilityName>
      <candidateList/>
      <explain/>
      <paraID>4EA02C27</paraID>
      <start>0</start>
      <end>1</end>
      <status>unmodified</status>
      <modifiedWord/>
      <trackRevisions>false</trackRevisions>
    </reviewItem>
    <reviewItem>
      <errorID>09a9253a-5b10-4e75-a178-04fcc06d3324</errorID>
      <errorWord>测</errorWord>
      <group>L1_Word</group>
      <groupName>字词问题</groupName>
      <ability>L2_Typo</ability>
      <abilityName>字词错误</abilityName>
      <candidateList>
        <item>的</item>
      </candidateList>
      <explain>“的”常用于连接修饰语与名词性中心语，表示属性、所属或描述。</explain>
      <paraID> 43C870A</paraID>
      <start>0</start>
      <end>1</end>
      <status>unmodified</status>
      <modifiedWord/>
      <trackRevisions>false</trackRevisions>
    </reviewItem>
    <reviewItem>
      <errorID>664737ff-6e36-4ca1-88b2-4dca59f03373</errorID>
      <errorWord>测</errorWord>
      <group>L1_Word</group>
      <groupName>字词问题</groupName>
      <ability>L2_Typo</ability>
      <abilityName>字词错误</abilityName>
      <candidateList>
        <item>的</item>
      </candidateList>
      <explain>“的”常用于连接修饰语与名词性中心语，表示属性、所属或描述。</explain>
      <paraID>59ED918F</paraID>
      <start>0</start>
      <end>1</end>
      <status>unmodified</status>
      <modifiedWord/>
      <trackRevisions>false</trackRevisions>
    </reviewItem>
    <reviewItem>
      <errorID>96e59666-b5c7-4abf-90f6-53f4f4b3128e</errorID>
      <errorWord>测</errorWord>
      <group>L1_Word</group>
      <groupName>字词问题</groupName>
      <ability>L2_Typo</ability>
      <abilityName>字词错误</abilityName>
      <candidateList>
        <item>的</item>
      </candidateList>
      <explain>“的”常用于连接修饰语与名词性中心语，表示属性、所属或描述。</explain>
      <paraID>1EFAEC54</paraID>
      <start>0</start>
      <end>1</end>
      <status>unmodified</status>
      <modifiedWord/>
      <trackRevisions>false</trackRevisions>
    </reviewItem>
    <reviewItem>
      <errorID>c0dabfc1-13c5-46ea-a635-1f152c3af402</errorID>
      <errorWord>测</errorWord>
      <group>L1_Word</group>
      <groupName>字词问题</groupName>
      <ability>L2_Typo</ability>
      <abilityName>字词错误</abilityName>
      <candidateList>
        <item>的</item>
      </candidateList>
      <explain>“的”常用于连接修饰语与名词性中心语，表示属性、所属或描述。</explain>
      <paraID>50CDB13B</paraID>
      <start>0</start>
      <end>1</end>
      <status>unmodified</status>
      <modifiedWord/>
      <trackRevisions>false</trackRevisions>
    </reviewItem>
    <reviewItem>
      <errorID>ea660a94-cd56-4382-84b7-e6f19517b903</errorID>
      <errorWord>-</errorWord>
      <group>L1_Format</group>
      <groupName>格式问题</groupName>
      <ability>L2_HalfPunc</ability>
      <abilityName>全半角检查</abilityName>
      <candidateList>
        <item>－</item>
      </candidateList>
      <explain>文本全半角错误。</explain>
      <paraID>39653C45</paraID>
      <start>4</start>
      <end>5</end>
      <status>unmodified</status>
      <modifiedWord/>
      <trackRevisions>false</trackRevisions>
    </reviewItem>
    <reviewItem>
      <errorID>3cbf7e75-ce2a-4fe5-9aa1-9e166da34ef6</errorID>
      <errorWord>-</errorWord>
      <group>L1_Format</group>
      <groupName>格式问题</groupName>
      <ability>L2_HalfPunc</ability>
      <abilityName>全半角检查</abilityName>
      <candidateList>
        <item>－</item>
      </candidateList>
      <explain>文本全半角错误。</explain>
      <paraID>39653C45</paraID>
      <start>10</start>
      <end>11</end>
      <status>unmodified</status>
      <modifiedWord/>
      <trackRevisions>false</trackRevisions>
    </reviewItem>
    <reviewItem>
      <errorID>561b4db9-a2d3-4ddf-bc14-69efb8eb4697</errorID>
      <errorWord>人</errorWord>
      <group>L1_Word</group>
      <groupName>字词问题</groupName>
      <ability>L2_Typo</ability>
      <abilityName>字词错误</abilityName>
      <candidateList>
        <item>人员</item>
      </candidateList>
      <explain>〈名〉担任某种职务的人：机关工作～｜值班～｜～配备。</explain>
      <paraID>4E0B2C93</paraID>
      <start>31</start>
      <end>32</end>
      <status>unmodified</status>
      <modifiedWord/>
      <trackRevisions>false</trackRevisions>
    </reviewItem>
    <reviewItem>
      <errorID>2c649b9d-04ae-4304-8dbf-d734717d75f0</errorID>
      <errorWord>实施</errorWord>
      <group>L1_Word</group>
      <groupName>字词问题</groupName>
      <ability>L2_Typo</ability>
      <abilityName>字词错误</abilityName>
      <candidateList>
        <item>实时</item>
      </candidateList>
      <explain>〈副〉与某事发生、发展过程同时（做某事）：进行～报道｜～传递股市行情。</explain>
      <paraID>59458D76</paraID>
      <start>22</start>
      <end>24</end>
      <status>unmodified</status>
      <modifiedWord/>
      <trackRevisions>false</trackRevisions>
    </reviewItem>
    <reviewItem>
      <errorID>7e353cb3-e912-47cd-9793-010fea07216c</errorID>
      <errorWord>作</errorWord>
      <group>L1_Word</group>
      <groupName>字词问题</groupName>
      <ability>L2_Typo</ability>
      <abilityName>字词错误</abilityName>
      <candidateList>
        <item>作人</item>
      </candidateList>
      <explain/>
      <paraID>1CAEF02D</paraID>
      <start>61</start>
      <end>62</end>
      <status>unmodified</status>
      <modifiedWord/>
      <trackRevisions>false</trackRevisions>
    </reviewItem>
    <reviewItem>
      <errorID>d2e05363-0c36-462a-9d80-f9dcee009434</errorID>
      <errorWord>作</errorWord>
      <group>L1_Word</group>
      <groupName>字词问题</groupName>
      <ability>L2_Typo</ability>
      <abilityName>字词错误</abilityName>
      <candidateList>
        <item>作人</item>
      </candidateList>
      <explain/>
      <paraID>38FAC31B</paraID>
      <start>61</start>
      <end>62</end>
      <status>unmodified</status>
      <modifiedWord/>
      <trackRevisions>false</trackRevisions>
    </reviewItem>
    <reviewItem>
      <errorID>f1949cfe-f329-483b-845d-8c52f924ece8</errorID>
      <errorWord>泄露</errorWord>
      <group>L1_Word</group>
      <groupName>字词问题</groupName>
      <ability>L2_Typo</ability>
      <abilityName>字词错误</abilityName>
      <candidateList>
        <item>泄漏</item>
      </candidateList>
      <explain/>
      <paraID>690CA4F5</paraID>
      <start>52</start>
      <end>54</end>
      <status>unmodified</status>
      <modifiedWord/>
      <trackRevisions>false</trackRevisions>
    </reviewItem>
    <reviewItem>
      <errorID>6bfd6d18-cbf6-4262-a1cd-6113aa572ee9</errorID>
      <errorWord>人</errorWord>
      <group>L1_Word</group>
      <groupName>字词问题</groupName>
      <ability>L2_Typo</ability>
      <abilityName>字词错误</abilityName>
      <candidateList>
        <item>人员</item>
      </candidateList>
      <explain>〈名〉担任某种职务的人：机关工作～｜值班～｜～配备。</explain>
      <paraID>690CA4F5</paraID>
      <start>66</start>
      <end>67</end>
      <status>unmodified</status>
      <modifiedWord/>
      <trackRevisions>false</trackRevisions>
    </reviewItem>
    <reviewItem>
      <errorID>a31af504-573f-4337-a18d-a75f20fbf229</errorID>
      <errorWord>-</errorWord>
      <group>L1_Format</group>
      <groupName>格式问题</groupName>
      <ability>L2_HalfPunc</ability>
      <abilityName>全半角检查</abilityName>
      <candidateList>
        <item>－</item>
      </candidateList>
      <explain>文本全半角错误。</explain>
      <paraID> B3BC8AD</paraID>
      <start>3</start>
      <end>4</end>
      <status>unmodified</status>
      <modifiedWord/>
      <trackRevisions>false</trackRevisions>
    </reviewItem>
    <reviewItem>
      <errorID>e73d9892-8348-4904-9736-88f14cc2f757</errorID>
      <errorWord>-</errorWord>
      <group>L1_Format</group>
      <groupName>格式问题</groupName>
      <ability>L2_HalfPunc</ability>
      <abilityName>全半角检查</abilityName>
      <candidateList>
        <item>－</item>
      </candidateList>
      <explain>文本全半角错误。</explain>
      <paraID> B3BC8AD</paraID>
      <start>9</start>
      <end>10</end>
      <status>unmodified</status>
      <modifiedWord/>
      <trackRevisions>false</trackRevisions>
    </reviewItem>
    <reviewItem>
      <errorID>97c87847-f618-40f3-9747-33faeb72469e</errorID>
      <errorWord>清洗</errorWord>
      <group>L1_Word</group>
      <groupName>字词问题</groupName>
      <ability>L2_Typo</ability>
      <abilityName>字词错误</abilityName>
      <candidateList>
        <item>清晰</item>
      </candidateList>
      <explain/>
      <paraID> 26CF56B</paraID>
      <start>22</start>
      <end>24</end>
      <status>unmodified</status>
      <modifiedWord/>
      <trackRevisions>false</trackRevisions>
    </reviewItem>
    <reviewItem>
      <errorID>100143de-0bfb-4626-bc7b-c6ee2477d166</errorID>
      <errorWord>，</errorWord>
      <group>L1_Word</group>
      <groupName>字词问题</groupName>
      <ability>L2_Typo</ability>
      <abilityName>字词错误</abilityName>
      <candidateList>
        <item>，将</item>
      </candidateList>
      <explain/>
      <paraID> 26CF56B</paraID>
      <start>32</start>
      <end>33</end>
      <status>unmodified</status>
      <modifiedWord/>
      <trackRevisions>false</trackRevisions>
    </reviewItem>
    <reviewItem>
      <errorID>5429226f-9703-49e5-ab15-90ae2b00672c</errorID>
      <errorWord>，</errorWord>
      <group>L1_Word</group>
      <groupName>字词问题</groupName>
      <ability>L2_Typo</ability>
      <abilityName>字词错误</abilityName>
      <candidateList>
        <item>，将</item>
      </candidateList>
      <explain/>
      <paraID>4DEF6099</paraID>
      <start>36</start>
      <end>37</end>
      <status>unmodified</status>
      <modifiedWord/>
      <trackRevisions>false</trackRevisions>
    </reviewItem>
    <reviewItem>
      <errorID>5753eadf-7065-49e3-bc1b-7ba8e8174179</errorID>
      <errorWord>-</errorWord>
      <group>L1_Format</group>
      <groupName>格式问题</groupName>
      <ability>L2_HalfPunc</ability>
      <abilityName>全半角检查</abilityName>
      <candidateList>
        <item>－</item>
      </candidateList>
      <explain>文本全半角错误。</explain>
      <paraID> 2095CFD</paraID>
      <start>3</start>
      <end>4</end>
      <status>unmodified</status>
      <modifiedWord/>
      <trackRevisions>false</trackRevisions>
    </reviewItem>
    <reviewItem>
      <errorID>62e35de8-7a3a-40ef-b9a9-ffc6e240736b</errorID>
      <errorWord>-</errorWord>
      <group>L1_Format</group>
      <groupName>格式问题</groupName>
      <ability>L2_HalfPunc</ability>
      <abilityName>全半角检查</abilityName>
      <candidateList>
        <item>－</item>
      </candidateList>
      <explain>文本全半角错误。</explain>
      <paraID> 2095CFD</paraID>
      <start>9</start>
      <end>10</end>
      <status>unmodified</status>
      <modifiedWord/>
      <trackRevisions>false</trackRevisions>
    </reviewItem>
    <reviewItem>
      <errorID>a58aa407-a864-4ac9-b7b9-30d84ee80b6c</errorID>
      <errorWord>加盖</errorWord>
      <group>L1_Word</group>
      <groupName>字词问题</groupName>
      <ability>L2_Typo</ability>
      <abilityName>字词错误</abilityName>
      <candidateList>
        <item>遮盖</item>
      </candidateList>
      <explain/>
      <paraID>6AFFAEA1</paraID>
      <start>6</start>
      <end>8</end>
      <status>unmodified</status>
      <modifiedWord/>
      <trackRevisions>false</trackRevisions>
    </reviewItem>
    <reviewItem>
      <errorID>073312bd-02ac-40ab-808c-1f7a5255674b</errorID>
      <errorWord>其它</errorWord>
      <group>L1_Word</group>
      <groupName>字词问题</groupName>
      <ability>L2_Alias</ability>
      <abilityName>也作/曾用词</abilityName>
      <candidateList>
        <item>其他</item>
      </candidateList>
      <explain>词汇[其它]为不规范表述或旧称，其规范书面表述为[其他]。</explain>
      <paraID>1E2E75F6</paraID>
      <start>2</start>
      <end>4</end>
      <status>unmodified</status>
      <modifiedWord/>
      <trackRevisions>false</trackRevisions>
    </reviewItem>
    <reviewItem>
      <errorID>49695556-8cee-4132-86c0-eb89da081a1e</errorID>
      <errorWord>-</errorWord>
      <group>L1_Format</group>
      <groupName>格式问题</groupName>
      <ability>L2_HalfPunc</ability>
      <abilityName>全半角检查</abilityName>
      <candidateList>
        <item>－</item>
      </candidateList>
      <explain>文本全半角错误。</explain>
      <paraID>6D0248B7</paraID>
      <start>4</start>
      <end>5</end>
      <status>unmodified</status>
      <modifiedWord/>
      <trackRevisions>false</trackRevisions>
    </reviewItem>
    <reviewItem>
      <errorID>db9b9045-010c-4066-a9a4-63558c30134c</errorID>
      <errorWord>-</errorWord>
      <group>L1_Format</group>
      <groupName>格式问题</groupName>
      <ability>L2_HalfPunc</ability>
      <abilityName>全半角检查</abilityName>
      <candidateList>
        <item>－</item>
      </candidateList>
      <explain>文本全半角错误。</explain>
      <paraID>6D0248B7</paraID>
      <start>10</start>
      <end>11</end>
      <status>unmodified</status>
      <modifiedWord/>
      <trackRevisions>false</trackRevisions>
    </reviewItem>
    <reviewItem>
      <errorID>dfb9f4ba-99a2-4631-9e6f-b65ca8d44618</errorID>
      <errorWord>）</errorWord>
      <group>L1_Format</group>
      <groupName>格式问题</groupName>
      <ability>L2_HalfPunc</ability>
      <abilityName>全半角检查</abilityName>
      <candidateList>
        <item>)</item>
      </candidateList>
      <explain>文本全半角错误。</explain>
      <paraID>  975D5D</paraID>
      <start>79</start>
      <end>80</end>
      <status>unmodified</status>
      <modifiedWord/>
      <trackRevisions>false</trackRevisions>
    </reviewItem>
    <reviewItem>
      <errorID>29e99fef-9e83-4493-aa1b-7c835e30aeff</errorID>
      <errorWord>:</errorWord>
      <group>L1_Format</group>
      <groupName>格式问题</groupName>
      <ability>L2_HalfPunc</ability>
      <abilityName>全半角检查</abilityName>
      <candidateList>
        <item>：</item>
      </candidateList>
      <explain>文本全半角错误。</explain>
      <paraID> 9B086E2</paraID>
      <start>6</start>
      <end>7</end>
      <status>unmodified</status>
      <modifiedWord/>
      <trackRevisions>false</trackRevisions>
    </reviewItem>
    <reviewItem>
      <errorID>d307d75a-9011-406f-bf0a-b9a4943ea7bc</errorID>
      <errorWord>:</errorWord>
      <group>L1_Format</group>
      <groupName>格式问题</groupName>
      <ability>L2_HalfPunc</ability>
      <abilityName>全半角检查</abilityName>
      <candidateList>
        <item>：</item>
      </candidateList>
      <explain>文本全半角错误。</explain>
      <paraID> 9B086E2</paraID>
      <start>42</start>
      <end>43</end>
      <status>unmodified</status>
      <modifiedWord/>
      <trackRevisions>false</trackRevisions>
    </reviewItem>
    <reviewItem>
      <errorID>5619d9da-2706-4bf0-bbad-4d5a0cabd0f6</errorID>
      <errorWord>:</errorWord>
      <group>L1_Format</group>
      <groupName>格式问题</groupName>
      <ability>L2_HalfPunc</ability>
      <abilityName>全半角检查</abilityName>
      <candidateList>
        <item>：</item>
      </candidateList>
      <explain>文本全半角错误。</explain>
      <paraID>7A0C7C02</paraID>
      <start>6</start>
      <end>7</end>
      <status>unmodified</status>
      <modifiedWord/>
      <trackRevisions>false</trackRevisions>
    </reviewItem>
    <reviewItem>
      <errorID>c382af8e-c92e-4b4b-8d43-16af7f473fd3</errorID>
      <errorWord>:</errorWord>
      <group>L1_Format</group>
      <groupName>格式问题</groupName>
      <ability>L2_HalfPunc</ability>
      <abilityName>全半角检查</abilityName>
      <candidateList>
        <item>：</item>
      </candidateList>
      <explain>文本全半角错误。</explain>
      <paraID>7A0C7C02</paraID>
      <start>42</start>
      <end>43</end>
      <status>unmodified</status>
      <modifiedWord/>
      <trackRevisions>false</trackRevisions>
    </reviewItem>
  </reviewItems>
  <config/>
</contractReview>
</file>

<file path=customXml/item3.xml><?xml version="1.0" encoding="utf-8"?>
<b:Sources xmlns="http://schemas.openxmlformats.org/officeDocument/2006/bibliography" xmlns:b="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7BC9ABE-E9C5-47D9-9AC9-910F01B12E2F}">
  <ds:schemaRefs/>
</ds:datastoreItem>
</file>

<file path=customXml/itemProps3.xml><?xml version="1.0" encoding="utf-8"?>
<ds:datastoreItem xmlns:ds="http://schemas.openxmlformats.org/officeDocument/2006/customXml" ds:itemID="{66333914-69C3-4597-A54F-FF6DBB3A8F4F}">
  <ds:schemaRefs/>
</ds:datastoreItem>
</file>

<file path=docProps/app.xml><?xml version="1.0" encoding="utf-8"?>
<Properties xmlns="http://schemas.openxmlformats.org/officeDocument/2006/extended-properties" xmlns:vt="http://schemas.openxmlformats.org/officeDocument/2006/docPropsVTypes">
  <Template>Normal</Template>
  <Pages>501</Pages>
  <Words>5460</Words>
  <Characters>6627</Characters>
  <Lines>2229</Lines>
  <Paragraphs>627</Paragraphs>
  <TotalTime>0</TotalTime>
  <ScaleCrop>false</ScaleCrop>
  <LinksUpToDate>false</LinksUpToDate>
  <CharactersWithSpaces>6839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2026-02-13T08:49:00Z</dcterms:created>
  <dc:creator>觉 周</dc:creator>
  <cp:lastModifiedBy>工作</cp:lastModifiedBy>
  <dcterms:modified xsi:type="dcterms:W3CDTF">2026-02-24T07:34:41Z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eyJoZGlkIjoiNDhkZGNkMzk5ZTQxZDg4ZDQxYWMyYTFjODRhZWMyYzIiLCJ1c2VySWQiOiIyNjQ3MjU1NjAifQ==</vt:lpwstr>
  </property>
  <property fmtid="{D5CDD505-2E9C-101B-9397-08002B2CF9AE}" pid="3" name="KSOProductBuildVer">
    <vt:lpwstr>2052-12.1.0.24034</vt:lpwstr>
  </property>
  <property fmtid="{D5CDD505-2E9C-101B-9397-08002B2CF9AE}" pid="4" name="ICV">
    <vt:lpwstr>05019003A79346DBA7CBCFAFB1AD5AAC_13</vt:lpwstr>
  </property>
</Properties>
</file>